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Theme="majorEastAsia" w:hAnsiTheme="majorEastAsia" w:eastAsiaTheme="majorEastAsia" w:cstheme="majorEastAsia"/>
          <w:color w:val="auto"/>
          <w:sz w:val="48"/>
          <w:szCs w:val="48"/>
          <w:highlight w:val="none"/>
        </w:rPr>
      </w:pPr>
    </w:p>
    <w:p>
      <w:pPr>
        <w:adjustRightInd/>
        <w:spacing w:line="360" w:lineRule="auto"/>
        <w:jc w:val="center"/>
        <w:rPr>
          <w:rFonts w:hint="eastAsia" w:asciiTheme="majorEastAsia" w:hAnsiTheme="majorEastAsia" w:eastAsiaTheme="majorEastAsia" w:cstheme="majorEastAsia"/>
          <w:color w:val="auto"/>
          <w:sz w:val="44"/>
          <w:szCs w:val="44"/>
          <w:highlight w:val="none"/>
          <w:lang w:eastAsia="zh-CN"/>
        </w:rPr>
      </w:pPr>
      <w:r>
        <w:rPr>
          <w:rFonts w:hint="eastAsia" w:asciiTheme="majorEastAsia" w:hAnsiTheme="majorEastAsia" w:eastAsiaTheme="majorEastAsia" w:cstheme="majorEastAsia"/>
          <w:color w:val="auto"/>
          <w:sz w:val="44"/>
          <w:szCs w:val="44"/>
          <w:highlight w:val="none"/>
          <w:lang w:eastAsia="zh-CN"/>
        </w:rPr>
        <w:t>仓前街道原区块2022-2024运溪路以西道路综合养护</w:t>
      </w:r>
    </w:p>
    <w:p>
      <w:pP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color w:val="auto"/>
          <w:sz w:val="48"/>
          <w:szCs w:val="48"/>
          <w:highlight w:val="none"/>
        </w:rPr>
        <w:t>招标文件</w:t>
      </w:r>
    </w:p>
    <w:p>
      <w:pPr>
        <w:adjustRightInd/>
        <w:spacing w:line="360" w:lineRule="auto"/>
        <w:jc w:val="center"/>
        <w:rPr>
          <w:rFonts w:hint="eastAsia" w:asciiTheme="majorEastAsia" w:hAnsiTheme="majorEastAsia" w:eastAsiaTheme="majorEastAsia" w:cstheme="majorEastAsia"/>
          <w:b/>
          <w:color w:val="auto"/>
          <w:sz w:val="44"/>
          <w:szCs w:val="44"/>
          <w:highlight w:val="none"/>
        </w:rPr>
      </w:pPr>
    </w:p>
    <w:p>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（电子招投标）</w:t>
      </w:r>
    </w:p>
    <w:p>
      <w:pPr>
        <w:snapToGrid w:val="0"/>
        <w:spacing w:line="360" w:lineRule="auto"/>
        <w:jc w:val="center"/>
        <w:rPr>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color w:val="auto"/>
          <w:sz w:val="32"/>
          <w:szCs w:val="32"/>
          <w:highlight w:val="none"/>
        </w:rPr>
        <w:t>编号:</w:t>
      </w:r>
      <w:r>
        <w:rPr>
          <w:rFonts w:hint="eastAsia" w:asciiTheme="majorEastAsia" w:hAnsiTheme="majorEastAsia" w:eastAsiaTheme="majorEastAsia" w:cstheme="majorEastAsia"/>
          <w:color w:val="auto"/>
          <w:sz w:val="32"/>
          <w:szCs w:val="32"/>
          <w:highlight w:val="none"/>
          <w:lang w:val="en-US" w:eastAsia="zh-CN"/>
        </w:rPr>
        <w:t>ZJDL-2022-035</w:t>
      </w:r>
    </w:p>
    <w:p>
      <w:pPr>
        <w:adjustRightInd/>
        <w:spacing w:line="360" w:lineRule="auto"/>
        <w:rPr>
          <w:rFonts w:hint="eastAsia" w:asciiTheme="majorEastAsia" w:hAnsiTheme="majorEastAsia" w:eastAsiaTheme="majorEastAsia" w:cstheme="majorEastAsia"/>
          <w:color w:val="auto"/>
          <w:sz w:val="28"/>
          <w:szCs w:val="20"/>
          <w:highlight w:val="none"/>
        </w:rPr>
      </w:pPr>
    </w:p>
    <w:p>
      <w:pPr>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pPr>
        <w:spacing w:line="360" w:lineRule="auto"/>
        <w:jc w:val="center"/>
        <w:rPr>
          <w:rFonts w:hint="eastAsia" w:asciiTheme="majorEastAsia" w:hAnsiTheme="majorEastAsia" w:eastAsiaTheme="majorEastAsia" w:cstheme="majorEastAsia"/>
          <w:b/>
          <w:color w:val="auto"/>
          <w:sz w:val="44"/>
          <w:szCs w:val="44"/>
          <w:highlight w:val="none"/>
        </w:rPr>
      </w:pP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jc w:val="cente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32"/>
          <w:szCs w:val="32"/>
          <w:highlight w:val="none"/>
          <w:lang w:eastAsia="zh-CN"/>
        </w:rPr>
      </w:pPr>
    </w:p>
    <w:p>
      <w:pPr>
        <w:pStyle w:val="6"/>
        <w:rPr>
          <w:rFonts w:hint="eastAsia" w:asciiTheme="majorEastAsia" w:hAnsiTheme="majorEastAsia" w:eastAsiaTheme="majorEastAsia" w:cstheme="majorEastAsia"/>
          <w:highlight w:val="none"/>
          <w:lang w:eastAsia="zh-CN"/>
        </w:rPr>
      </w:pPr>
    </w:p>
    <w:p>
      <w:pPr>
        <w:rPr>
          <w:rFonts w:hint="eastAsia"/>
          <w:highlight w:val="none"/>
          <w:lang w:eastAsia="zh-CN"/>
        </w:rPr>
      </w:pPr>
    </w:p>
    <w:p>
      <w:pPr>
        <w:snapToGrid w:val="0"/>
        <w:spacing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采购人</w:t>
      </w:r>
      <w:r>
        <w:rPr>
          <w:rFonts w:hint="eastAsia" w:asciiTheme="majorEastAsia" w:hAnsiTheme="majorEastAsia" w:eastAsiaTheme="majorEastAsia" w:cstheme="majorEastAsia"/>
          <w:color w:val="auto"/>
          <w:sz w:val="32"/>
          <w:szCs w:val="32"/>
          <w:highlight w:val="none"/>
          <w:lang w:eastAsia="zh-CN"/>
        </w:rPr>
        <w:t>：杭州市余杭区人民政府仓前街道办事处</w:t>
      </w:r>
    </w:p>
    <w:p>
      <w:pPr>
        <w:snapToGrid w:val="0"/>
        <w:spacing w:line="360" w:lineRule="auto"/>
        <w:jc w:val="center"/>
        <w:rPr>
          <w:rFonts w:hint="eastAsia" w:asciiTheme="majorEastAsia" w:hAnsiTheme="majorEastAsia" w:eastAsiaTheme="majorEastAsia" w:cstheme="majorEastAsia"/>
          <w:color w:val="auto"/>
          <w:sz w:val="32"/>
          <w:szCs w:val="32"/>
          <w:highlight w:val="none"/>
          <w:lang w:eastAsia="zh-CN"/>
        </w:rPr>
      </w:pPr>
      <w:r>
        <w:rPr>
          <w:rFonts w:hint="eastAsia" w:asciiTheme="majorEastAsia" w:hAnsiTheme="majorEastAsia" w:eastAsiaTheme="majorEastAsia" w:cstheme="majorEastAsia"/>
          <w:color w:val="auto"/>
          <w:sz w:val="32"/>
          <w:szCs w:val="32"/>
          <w:highlight w:val="none"/>
        </w:rPr>
        <w:t>采购代理机构</w:t>
      </w:r>
      <w:r>
        <w:rPr>
          <w:rFonts w:hint="eastAsia" w:asciiTheme="majorEastAsia" w:hAnsiTheme="majorEastAsia" w:eastAsiaTheme="majorEastAsia" w:cstheme="majorEastAsia"/>
          <w:color w:val="auto"/>
          <w:sz w:val="32"/>
          <w:szCs w:val="32"/>
          <w:highlight w:val="none"/>
          <w:lang w:eastAsia="zh-CN"/>
        </w:rPr>
        <w:t>：浙江中际工程项目管理有限公司</w:t>
      </w:r>
    </w:p>
    <w:p>
      <w:pPr>
        <w:snapToGrid w:val="0"/>
        <w:spacing w:line="360" w:lineRule="auto"/>
        <w:jc w:val="center"/>
        <w:rPr>
          <w:rFonts w:hint="eastAsia" w:asciiTheme="majorEastAsia" w:hAnsiTheme="majorEastAsia" w:eastAsiaTheme="majorEastAsia" w:cstheme="majorEastAsia"/>
          <w:b w:val="0"/>
          <w:bCs w:val="0"/>
          <w:color w:val="auto"/>
          <w:sz w:val="32"/>
          <w:szCs w:val="32"/>
          <w:highlight w:val="none"/>
        </w:rPr>
      </w:pPr>
      <w:r>
        <w:rPr>
          <w:rFonts w:hint="eastAsia" w:asciiTheme="majorEastAsia" w:hAnsiTheme="majorEastAsia" w:eastAsiaTheme="majorEastAsia" w:cstheme="majorEastAsia"/>
          <w:b w:val="0"/>
          <w:bCs w:val="0"/>
          <w:color w:val="auto"/>
          <w:sz w:val="32"/>
          <w:szCs w:val="32"/>
          <w:highlight w:val="none"/>
        </w:rPr>
        <w:t>二〇二</w:t>
      </w:r>
      <w:r>
        <w:rPr>
          <w:rFonts w:hint="eastAsia" w:asciiTheme="majorEastAsia" w:hAnsiTheme="majorEastAsia" w:eastAsiaTheme="majorEastAsia" w:cstheme="majorEastAsia"/>
          <w:b w:val="0"/>
          <w:bCs w:val="0"/>
          <w:color w:val="auto"/>
          <w:sz w:val="32"/>
          <w:szCs w:val="32"/>
          <w:highlight w:val="none"/>
          <w:lang w:val="en-US" w:eastAsia="zh-CN"/>
        </w:rPr>
        <w:t>二</w:t>
      </w:r>
      <w:r>
        <w:rPr>
          <w:rFonts w:hint="eastAsia" w:asciiTheme="majorEastAsia" w:hAnsiTheme="majorEastAsia" w:eastAsiaTheme="majorEastAsia" w:cstheme="majorEastAsia"/>
          <w:b w:val="0"/>
          <w:bCs w:val="0"/>
          <w:color w:val="auto"/>
          <w:sz w:val="32"/>
          <w:szCs w:val="32"/>
          <w:highlight w:val="none"/>
        </w:rPr>
        <w:t>年</w:t>
      </w:r>
      <w:r>
        <w:rPr>
          <w:rFonts w:hint="eastAsia" w:asciiTheme="majorEastAsia" w:hAnsiTheme="majorEastAsia" w:eastAsiaTheme="majorEastAsia" w:cstheme="majorEastAsia"/>
          <w:b w:val="0"/>
          <w:bCs w:val="0"/>
          <w:color w:val="auto"/>
          <w:sz w:val="32"/>
          <w:szCs w:val="32"/>
          <w:highlight w:val="none"/>
          <w:lang w:val="en-US" w:eastAsia="zh-CN"/>
        </w:rPr>
        <w:t>五</w:t>
      </w:r>
      <w:r>
        <w:rPr>
          <w:rFonts w:hint="eastAsia" w:asciiTheme="majorEastAsia" w:hAnsiTheme="majorEastAsia" w:eastAsiaTheme="majorEastAsia" w:cstheme="majorEastAsia"/>
          <w:b w:val="0"/>
          <w:bCs w:val="0"/>
          <w:color w:val="auto"/>
          <w:sz w:val="32"/>
          <w:szCs w:val="32"/>
          <w:highlight w:val="none"/>
        </w:rPr>
        <w:t>月</w:t>
      </w:r>
      <w:r>
        <w:rPr>
          <w:rFonts w:hint="eastAsia" w:asciiTheme="majorEastAsia" w:hAnsiTheme="majorEastAsia" w:eastAsiaTheme="majorEastAsia" w:cstheme="majorEastAsia"/>
          <w:b w:val="0"/>
          <w:bCs w:val="0"/>
          <w:color w:val="auto"/>
          <w:sz w:val="32"/>
          <w:szCs w:val="32"/>
          <w:highlight w:val="none"/>
          <w:lang w:val="en-US" w:eastAsia="zh-CN"/>
        </w:rPr>
        <w:t xml:space="preserve"> </w:t>
      </w:r>
      <w:r>
        <w:rPr>
          <w:rFonts w:hint="eastAsia" w:asciiTheme="majorEastAsia" w:hAnsiTheme="majorEastAsia" w:eastAsiaTheme="majorEastAsia" w:cstheme="majorEastAsia"/>
          <w:b w:val="0"/>
          <w:bCs w:val="0"/>
          <w:color w:val="auto"/>
          <w:sz w:val="32"/>
          <w:szCs w:val="32"/>
          <w:highlight w:val="none"/>
        </w:rPr>
        <w:t>日</w:t>
      </w:r>
    </w:p>
    <w:p>
      <w:pPr>
        <w:spacing w:line="360" w:lineRule="auto"/>
        <w:jc w:val="center"/>
        <w:rPr>
          <w:rFonts w:hint="eastAsia" w:asciiTheme="majorEastAsia" w:hAnsiTheme="majorEastAsia" w:eastAsiaTheme="majorEastAsia" w:cstheme="majorEastAsia"/>
          <w:b/>
          <w:color w:val="auto"/>
          <w:sz w:val="48"/>
          <w:szCs w:val="48"/>
          <w:highlight w:val="none"/>
        </w:rPr>
      </w:pPr>
    </w:p>
    <w:p>
      <w:pP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pPr>
        <w:spacing w:line="360" w:lineRule="auto"/>
        <w:rPr>
          <w:rFonts w:hint="eastAsia" w:asciiTheme="majorEastAsia" w:hAnsiTheme="majorEastAsia" w:eastAsiaTheme="majorEastAsia" w:cstheme="majorEastAsia"/>
          <w:color w:val="auto"/>
          <w:sz w:val="32"/>
          <w:szCs w:val="32"/>
          <w:highlight w:val="none"/>
        </w:rPr>
      </w:pPr>
    </w:p>
    <w:p>
      <w:pPr>
        <w:spacing w:line="360" w:lineRule="auto"/>
        <w:rPr>
          <w:rFonts w:hint="eastAsia" w:asciiTheme="majorEastAsia" w:hAnsiTheme="majorEastAsia" w:eastAsiaTheme="majorEastAsia" w:cstheme="majorEastAsia"/>
          <w:color w:val="auto"/>
          <w:sz w:val="32"/>
          <w:szCs w:val="32"/>
          <w:highlight w:val="none"/>
        </w:rPr>
      </w:pP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pPr>
        <w:spacing w:line="360" w:lineRule="auto"/>
        <w:ind w:firstLine="549" w:firstLineChars="229"/>
        <w:rPr>
          <w:rFonts w:hint="eastAsia" w:asciiTheme="majorEastAsia" w:hAnsiTheme="majorEastAsia" w:eastAsiaTheme="majorEastAsia" w:cstheme="majorEastAsia"/>
          <w:color w:val="auto"/>
          <w:sz w:val="24"/>
          <w:highlight w:val="none"/>
        </w:rPr>
      </w:pPr>
      <w:bookmarkStart w:id="0" w:name="_Hlt91233176"/>
      <w:bookmarkEnd w:id="0"/>
      <w:bookmarkStart w:id="1" w:name="_Toc91899869"/>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24"/>
          <w:highlight w:val="none"/>
        </w:rPr>
      </w:pPr>
    </w:p>
    <w:p>
      <w:pPr>
        <w:numPr>
          <w:ilvl w:val="0"/>
          <w:numId w:val="1"/>
        </w:numPr>
        <w:spacing w:line="360" w:lineRule="auto"/>
        <w:ind w:firstLine="723" w:firstLineChars="200"/>
        <w:jc w:val="center"/>
        <w:rPr>
          <w:rFonts w:hint="eastAsia" w:asciiTheme="majorEastAsia" w:hAnsiTheme="majorEastAsia" w:eastAsiaTheme="majorEastAsia" w:cstheme="majorEastAsia"/>
          <w:b/>
          <w:color w:val="auto"/>
          <w:sz w:val="36"/>
          <w:szCs w:val="20"/>
          <w:highlight w:val="none"/>
        </w:rPr>
      </w:pPr>
      <w:bookmarkStart w:id="2" w:name="第一部分"/>
      <w:r>
        <w:rPr>
          <w:rFonts w:hint="eastAsia" w:asciiTheme="majorEastAsia" w:hAnsiTheme="majorEastAsia" w:eastAsiaTheme="majorEastAsia" w:cstheme="majorEastAsia"/>
          <w:b/>
          <w:color w:val="auto"/>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Theme="majorEastAsia" w:hAnsiTheme="majorEastAsia" w:eastAsiaTheme="majorEastAsia" w:cstheme="majorEastAsia"/>
          <w:b/>
          <w:color w:val="auto"/>
          <w:sz w:val="36"/>
          <w:szCs w:val="20"/>
          <w:highlight w:val="none"/>
        </w:rPr>
        <w:t>招标公告</w:t>
      </w:r>
    </w:p>
    <w:p>
      <w:pPr>
        <w:pStyle w:val="61"/>
        <w:keepNext w:val="0"/>
        <w:keepLines w:val="0"/>
        <w:widowControl/>
        <w:suppressLineNumbers w:val="0"/>
        <w:spacing w:before="75" w:beforeAutospacing="0" w:after="75" w:afterAutospacing="0"/>
        <w:ind w:left="0" w:right="0"/>
        <w:rPr>
          <w:highlight w:val="none"/>
        </w:rPr>
      </w:pPr>
      <w:r>
        <w:rPr>
          <w:rFonts w:ascii="仿宋" w:hAnsi="仿宋" w:eastAsia="仿宋" w:cs="仿宋"/>
          <w:i w:val="0"/>
          <w:iCs w:val="0"/>
          <w:caps w:val="0"/>
          <w:color w:val="000000"/>
          <w:spacing w:val="0"/>
          <w:sz w:val="27"/>
          <w:szCs w:val="27"/>
          <w:highlight w:val="none"/>
        </w:rPr>
        <w:t>  项目概况</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ind w:left="0" w:right="0" w:firstLine="36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仓前街道原区块2022-2024运溪路以西道路综合养护招标项目的潜在投标人应在</w:t>
      </w:r>
      <w:r>
        <w:rPr>
          <w:rFonts w:hint="eastAsia" w:ascii="仿宋" w:hAnsi="仿宋" w:eastAsia="仿宋" w:cs="仿宋"/>
          <w:i w:val="0"/>
          <w:iCs w:val="0"/>
          <w:caps w:val="0"/>
          <w:color w:val="000000"/>
          <w:spacing w:val="0"/>
          <w:sz w:val="27"/>
          <w:szCs w:val="27"/>
          <w:highlight w:val="none"/>
          <w:u w:val="none"/>
        </w:rPr>
        <w:t>政采云平台（http://zfcg.czt.zj.gov.cn）</w:t>
      </w:r>
      <w:r>
        <w:rPr>
          <w:rFonts w:hint="eastAsia" w:ascii="仿宋" w:hAnsi="仿宋" w:eastAsia="仿宋" w:cs="仿宋"/>
          <w:i w:val="0"/>
          <w:iCs w:val="0"/>
          <w:caps w:val="0"/>
          <w:color w:val="000000"/>
          <w:spacing w:val="0"/>
          <w:sz w:val="27"/>
          <w:szCs w:val="27"/>
          <w:highlight w:val="none"/>
        </w:rPr>
        <w:t>获取（下载）招标文件，并于 2022年06月23日 13:00（北京时间）前递交（上传）投标文</w:t>
      </w:r>
    </w:p>
    <w:p>
      <w:pPr>
        <w:pStyle w:val="61"/>
        <w:keepNext w:val="0"/>
        <w:keepLines w:val="0"/>
        <w:widowControl/>
        <w:suppressLineNumbers w:val="0"/>
        <w:spacing w:before="75" w:beforeAutospacing="0" w:after="75" w:afterAutospacing="0"/>
        <w:ind w:right="0"/>
        <w:rPr>
          <w:highlight w:val="none"/>
        </w:rPr>
      </w:pPr>
      <w:r>
        <w:rPr>
          <w:rFonts w:hint="eastAsia" w:ascii="仿宋" w:hAnsi="仿宋" w:eastAsia="仿宋" w:cs="仿宋"/>
          <w:i w:val="0"/>
          <w:iCs w:val="0"/>
          <w:caps w:val="0"/>
          <w:color w:val="000000"/>
          <w:spacing w:val="0"/>
          <w:sz w:val="27"/>
          <w:szCs w:val="27"/>
          <w:highlight w:val="none"/>
        </w:rPr>
        <w:t>件。</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highlight w:val="none"/>
        </w:rPr>
      </w:pPr>
      <w:r>
        <w:rPr>
          <w:rStyle w:val="72"/>
          <w:rFonts w:ascii="黑体" w:hAnsi="宋体" w:eastAsia="黑体" w:cs="黑体"/>
          <w:i w:val="0"/>
          <w:iCs w:val="0"/>
          <w:caps w:val="0"/>
          <w:color w:val="000000"/>
          <w:spacing w:val="0"/>
          <w:sz w:val="27"/>
          <w:szCs w:val="27"/>
          <w:highlight w:val="none"/>
        </w:rPr>
        <w:t>一、项目基本情况</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项目编号：ZJDL-2022-035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项目名称：仓前街道原区块2022-2024运溪路以西道路综合养护</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预算金额（元）：13950000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最高限价（元）：13950000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采购需求：</w:t>
      </w:r>
    </w:p>
    <w:p>
      <w:pPr>
        <w:pStyle w:val="61"/>
        <w:keepNext w:val="0"/>
        <w:keepLines w:val="0"/>
        <w:widowControl/>
        <w:suppressLineNumbers w:val="0"/>
        <w:spacing w:before="75" w:beforeAutospacing="0" w:after="75" w:afterAutospacing="0" w:line="315" w:lineRule="atLeast"/>
        <w:ind w:left="0" w:right="0"/>
        <w:rPr>
          <w:highlight w:val="none"/>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标项名称: 仓前街道原区块2022-2024运溪路以西道路综合养护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数量: 不限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预算金额（元）: 13950000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简要规格描述或项目基本概况介绍、用途：详见采购需求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备注：</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合同履约期限：标项 1，24个月，其中绿化部分23个月</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本项目（是）接受联合体投标。</w:t>
      </w:r>
    </w:p>
    <w:p>
      <w:pPr>
        <w:pStyle w:val="61"/>
        <w:keepNext w:val="0"/>
        <w:keepLines w:val="0"/>
        <w:widowControl/>
        <w:suppressLineNumbers w:val="0"/>
        <w:spacing w:before="225" w:beforeAutospacing="0" w:after="225" w:afterAutospacing="0" w:line="300" w:lineRule="atLeast"/>
        <w:ind w:left="0" w:right="0"/>
        <w:rPr>
          <w:highlight w:val="none"/>
        </w:rPr>
      </w:pPr>
      <w:r>
        <w:rPr>
          <w:rStyle w:val="72"/>
          <w:rFonts w:ascii="黑体" w:hAnsi="宋体" w:eastAsia="黑体" w:cs="黑体"/>
          <w:i w:val="0"/>
          <w:iCs w:val="0"/>
          <w:caps w:val="0"/>
          <w:color w:val="000000"/>
          <w:spacing w:val="0"/>
          <w:sz w:val="27"/>
          <w:szCs w:val="27"/>
          <w:highlight w:val="none"/>
        </w:rPr>
        <w:t>二、申请人的资格要求：</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2.落实政府采购政策需满足的资格要求：无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3.本项目的特定资格要求：无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highlight w:val="none"/>
        </w:rPr>
      </w:pPr>
      <w:r>
        <w:rPr>
          <w:rStyle w:val="72"/>
          <w:rFonts w:ascii="黑体" w:hAnsi="宋体" w:eastAsia="黑体" w:cs="黑体"/>
          <w:i w:val="0"/>
          <w:iCs w:val="0"/>
          <w:caps w:val="0"/>
          <w:color w:val="000000"/>
          <w:spacing w:val="0"/>
          <w:sz w:val="27"/>
          <w:szCs w:val="27"/>
          <w:highlight w:val="none"/>
        </w:rPr>
        <w:t>三、获取招标文件</w:t>
      </w:r>
      <w:r>
        <w:rPr>
          <w:rFonts w:ascii="黑体" w:hAnsi="宋体" w:eastAsia="黑体" w:cs="黑体"/>
          <w:i w:val="0"/>
          <w:iCs w:val="0"/>
          <w:caps w:val="0"/>
          <w:color w:val="000000"/>
          <w:spacing w:val="0"/>
          <w:sz w:val="27"/>
          <w:szCs w:val="27"/>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i w:val="0"/>
          <w:iCs w:val="0"/>
          <w:caps w:val="0"/>
          <w:color w:val="000000"/>
          <w:spacing w:val="0"/>
          <w:sz w:val="27"/>
          <w:szCs w:val="27"/>
          <w:highlight w:val="none"/>
          <w:u w:val="none"/>
        </w:rPr>
        <w:t>时间：/至2022年06月23日 ，每天上午00:00至12:00 ，下午12:00至23:59（北京时间，线上获取法定节假日均可，线下获取文件法定节假日除外）</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地点（网址）：政采云平台（http://zfcg.czt.zj.gov.cn）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方式：供应商登录政采云平台https://www.zcygov.cn/在线申请获取采购文件（进入“项目采购”应用，在获取采购文件菜单中选择项目，申请获取采购文件）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售价（元）：0</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highlight w:val="none"/>
        </w:rPr>
      </w:pPr>
      <w:r>
        <w:rPr>
          <w:rStyle w:val="72"/>
          <w:rFonts w:ascii="黑体" w:hAnsi="宋体" w:eastAsia="黑体" w:cs="黑体"/>
          <w:i w:val="0"/>
          <w:iCs w:val="0"/>
          <w:caps w:val="0"/>
          <w:color w:val="000000"/>
          <w:spacing w:val="0"/>
          <w:sz w:val="27"/>
          <w:szCs w:val="27"/>
          <w:highlight w:val="none"/>
        </w:rPr>
        <w:t>四、提交投标文件截止时间、开标时间和地点</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i w:val="0"/>
          <w:iCs w:val="0"/>
          <w:caps w:val="0"/>
          <w:color w:val="000000"/>
          <w:spacing w:val="0"/>
          <w:sz w:val="27"/>
          <w:szCs w:val="27"/>
          <w:highlight w:val="none"/>
          <w:u w:val="none"/>
        </w:rPr>
        <w:t> 提交投标文件截止时间：2022年06月23日 13:00（北京时间）</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i w:val="0"/>
          <w:iCs w:val="0"/>
          <w:caps w:val="0"/>
          <w:color w:val="000000"/>
          <w:spacing w:val="0"/>
          <w:sz w:val="27"/>
          <w:szCs w:val="27"/>
          <w:highlight w:val="none"/>
          <w:u w:val="none"/>
        </w:rPr>
        <w:t> 投标地点（网址）：通过“政府采购云平台（www.zcygov.cn）”实行在线投标响应（电子投标）；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u w:val="none"/>
        </w:rPr>
        <w:t>    开标时间：2022年06月23日 13:00</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u w:val="none"/>
        </w:rPr>
        <w:t>    开标地点（网址）：政采云平台（http://zfcg.czt.zj.gov.cn）</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highlight w:val="none"/>
        </w:rPr>
      </w:pPr>
      <w:r>
        <w:rPr>
          <w:rStyle w:val="72"/>
          <w:rFonts w:ascii="黑体" w:hAnsi="宋体" w:eastAsia="黑体" w:cs="黑体"/>
          <w:i w:val="0"/>
          <w:iCs w:val="0"/>
          <w:caps w:val="0"/>
          <w:color w:val="000000"/>
          <w:spacing w:val="0"/>
          <w:sz w:val="27"/>
          <w:szCs w:val="27"/>
          <w:highlight w:val="none"/>
        </w:rPr>
        <w:t>五、采购意向公开链接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highlight w:val="none"/>
        </w:rPr>
      </w:pPr>
      <w:r>
        <w:rPr>
          <w:rFonts w:ascii="黑体" w:hAnsi="宋体" w:eastAsia="黑体" w:cs="黑体"/>
          <w:i w:val="0"/>
          <w:iCs w:val="0"/>
          <w:caps w:val="0"/>
          <w:color w:val="000000"/>
          <w:spacing w:val="0"/>
          <w:sz w:val="31"/>
          <w:szCs w:val="31"/>
          <w:highlight w:val="none"/>
        </w:rPr>
        <w:t>   </w:t>
      </w:r>
      <w:r>
        <w:rPr>
          <w:rStyle w:val="81"/>
          <w:rFonts w:hint="eastAsia" w:ascii="仿宋" w:hAnsi="仿宋" w:eastAsia="仿宋" w:cs="仿宋"/>
          <w:i w:val="0"/>
          <w:iCs w:val="0"/>
          <w:caps w:val="0"/>
          <w:color w:val="000000"/>
          <w:spacing w:val="0"/>
          <w:sz w:val="27"/>
          <w:szCs w:val="27"/>
          <w:highlight w:val="none"/>
        </w:rPr>
        <w:t>https://zfcg.czt.zj.gov.cn/innerUsed_noticeDetails/index.html?noticeId=8636246&amp;utm=web-government-front.2e418808.0.0.f37b3810c3d211eca29c4bb0f39886ec</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highlight w:val="none"/>
        </w:rPr>
      </w:pPr>
      <w:r>
        <w:rPr>
          <w:rStyle w:val="72"/>
          <w:rFonts w:ascii="黑体" w:hAnsi="宋体" w:eastAsia="黑体" w:cs="黑体"/>
          <w:i w:val="0"/>
          <w:iCs w:val="0"/>
          <w:caps w:val="0"/>
          <w:color w:val="000000"/>
          <w:spacing w:val="0"/>
          <w:sz w:val="27"/>
          <w:szCs w:val="27"/>
          <w:highlight w:val="none"/>
        </w:rPr>
        <w:t>六、公告期限</w:t>
      </w:r>
      <w:r>
        <w:rPr>
          <w:rFonts w:ascii="黑体" w:hAnsi="宋体" w:eastAsia="黑体" w:cs="黑体"/>
          <w:i w:val="0"/>
          <w:iCs w:val="0"/>
          <w:caps w:val="0"/>
          <w:color w:val="000000"/>
          <w:spacing w:val="0"/>
          <w:sz w:val="31"/>
          <w:szCs w:val="31"/>
          <w:highlight w:val="none"/>
        </w:rPr>
        <w:t> </w:t>
      </w:r>
    </w:p>
    <w:p>
      <w:pPr>
        <w:pStyle w:val="61"/>
        <w:keepNext w:val="0"/>
        <w:keepLines w:val="0"/>
        <w:widowControl/>
        <w:suppressLineNumbers w:val="0"/>
        <w:spacing w:before="75" w:beforeAutospacing="0" w:after="75" w:afterAutospacing="0"/>
        <w:ind w:left="0" w:right="0"/>
        <w:rPr>
          <w:highlight w:val="none"/>
        </w:rPr>
      </w:pPr>
      <w:r>
        <w:rPr>
          <w:rFonts w:hint="eastAsia" w:ascii="仿宋" w:hAnsi="仿宋" w:eastAsia="仿宋" w:cs="仿宋"/>
          <w:i w:val="0"/>
          <w:iCs w:val="0"/>
          <w:caps w:val="0"/>
          <w:color w:val="000000"/>
          <w:spacing w:val="0"/>
          <w:sz w:val="27"/>
          <w:szCs w:val="27"/>
          <w:highlight w:val="none"/>
        </w:rPr>
        <w:t>    自本公告发布之日起5个工作日。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highlight w:val="none"/>
        </w:rPr>
      </w:pPr>
      <w:r>
        <w:rPr>
          <w:rStyle w:val="72"/>
          <w:rFonts w:ascii="黑体" w:hAnsi="宋体" w:eastAsia="黑体" w:cs="黑体"/>
          <w:i w:val="0"/>
          <w:iCs w:val="0"/>
          <w:caps w:val="0"/>
          <w:color w:val="000000"/>
          <w:spacing w:val="0"/>
          <w:sz w:val="27"/>
          <w:szCs w:val="27"/>
          <w:highlight w:val="none"/>
        </w:rPr>
        <w:t>七、其他补充事宜</w:t>
      </w:r>
    </w:p>
    <w:p>
      <w:pPr>
        <w:pStyle w:val="61"/>
        <w:keepNext w:val="0"/>
        <w:keepLines w:val="0"/>
        <w:widowControl/>
        <w:suppressLineNumbers w:val="0"/>
        <w:spacing w:before="75" w:beforeAutospacing="0" w:after="75" w:afterAutospacing="0" w:line="315" w:lineRule="atLeast"/>
        <w:ind w:left="0" w:right="0"/>
        <w:rPr>
          <w:highlight w:val="none"/>
        </w:rPr>
      </w:pPr>
      <w:r>
        <w:rPr>
          <w:rFonts w:hint="eastAsia" w:ascii="仿宋" w:hAnsi="仿宋" w:eastAsia="仿宋" w:cs="仿宋"/>
          <w:i w:val="0"/>
          <w:iCs w:val="0"/>
          <w:caps w:val="0"/>
          <w:color w:val="000000"/>
          <w:spacing w:val="0"/>
          <w:sz w:val="27"/>
          <w:szCs w:val="27"/>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1"/>
        <w:keepNext w:val="0"/>
        <w:keepLines w:val="0"/>
        <w:widowControl/>
        <w:suppressLineNumbers w:val="0"/>
        <w:spacing w:before="75" w:beforeAutospacing="0" w:after="75" w:afterAutospacing="0" w:line="315" w:lineRule="atLeast"/>
        <w:ind w:left="0" w:right="0"/>
        <w:rPr>
          <w:highlight w:val="none"/>
        </w:rPr>
      </w:pPr>
      <w:r>
        <w:rPr>
          <w:rFonts w:hint="eastAsia" w:ascii="仿宋" w:hAnsi="仿宋" w:eastAsia="仿宋" w:cs="仿宋"/>
          <w:i w:val="0"/>
          <w:iCs w:val="0"/>
          <w:caps w:val="0"/>
          <w:color w:val="000000"/>
          <w:spacing w:val="0"/>
          <w:sz w:val="27"/>
          <w:szCs w:val="27"/>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1"/>
        <w:keepNext w:val="0"/>
        <w:keepLines w:val="0"/>
        <w:widowControl/>
        <w:suppressLineNumbers w:val="0"/>
        <w:spacing w:before="75" w:beforeAutospacing="0" w:after="75" w:afterAutospacing="0" w:line="315" w:lineRule="atLeast"/>
        <w:ind w:left="0" w:right="0"/>
        <w:rPr>
          <w:highlight w:val="none"/>
        </w:rPr>
      </w:pPr>
      <w:r>
        <w:rPr>
          <w:rFonts w:hint="eastAsia" w:ascii="仿宋" w:hAnsi="仿宋" w:eastAsia="仿宋" w:cs="仿宋"/>
          <w:i w:val="0"/>
          <w:iCs w:val="0"/>
          <w:caps w:val="0"/>
          <w:color w:val="000000"/>
          <w:spacing w:val="0"/>
          <w:sz w:val="27"/>
          <w:szCs w:val="27"/>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4.其他事项：无  </w:t>
      </w:r>
    </w:p>
    <w:p>
      <w:pPr>
        <w:pStyle w:val="61"/>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highlight w:val="none"/>
        </w:rPr>
      </w:pPr>
      <w:r>
        <w:rPr>
          <w:rStyle w:val="72"/>
          <w:rFonts w:ascii="黑体" w:hAnsi="宋体" w:eastAsia="黑体" w:cs="黑体"/>
          <w:i w:val="0"/>
          <w:iCs w:val="0"/>
          <w:caps w:val="0"/>
          <w:color w:val="000000"/>
          <w:spacing w:val="0"/>
          <w:sz w:val="27"/>
          <w:szCs w:val="27"/>
          <w:highlight w:val="none"/>
        </w:rPr>
        <w:t>八、对本次采购提出询问、质疑、投诉，请按以下方式联系</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1.采购人信息</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名    称：杭州市余杭区人民政府仓前街道办事处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地    址：仓前街道向往街1008号乐富海邦园18幢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传    真：/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项目联系人（询问）：陈文钟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项目联系方式（询问）： 0571-88611800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质疑联系人：周国平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质疑联系方式：13777592253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2.采购代理机构信息</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名    称：浙江中际工程项目管理有限公司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地    址：杭州市临平区南苑街道嘉信国际6楼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传    真：/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项目联系人（询问）：郑泽瑶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项目联系方式（询问）：13735410713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质疑联系人：周杨威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质疑联系方式：13362030720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i w:val="0"/>
          <w:iCs w:val="0"/>
          <w:caps w:val="0"/>
          <w:color w:val="000000"/>
          <w:spacing w:val="0"/>
          <w:sz w:val="27"/>
          <w:szCs w:val="27"/>
          <w:highlight w:val="none"/>
        </w:rPr>
        <w:br w:type="textWrapping"/>
      </w:r>
      <w:r>
        <w:rPr>
          <w:rFonts w:hint="eastAsia" w:ascii="仿宋" w:hAnsi="仿宋" w:eastAsia="仿宋" w:cs="仿宋"/>
          <w:i w:val="0"/>
          <w:iCs w:val="0"/>
          <w:caps w:val="0"/>
          <w:color w:val="000000"/>
          <w:spacing w:val="0"/>
          <w:sz w:val="27"/>
          <w:szCs w:val="27"/>
          <w:highlight w:val="none"/>
        </w:rPr>
        <w:t>    3.同级政府采购监督管理部门</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名    称：杭州市余杭区财政局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地    址：杭州市余杭区五常街道溪沁路8号中国电信浙江创新园1号楼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传    真：/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联系人 ：杜国强 </w:t>
      </w:r>
      <w:r>
        <w:rPr>
          <w:rFonts w:hint="eastAsia" w:ascii="仿宋" w:hAnsi="仿宋" w:eastAsia="仿宋" w:cs="仿宋"/>
          <w:i w:val="0"/>
          <w:iCs w:val="0"/>
          <w:caps w:val="0"/>
          <w:color w:val="000000"/>
          <w:spacing w:val="0"/>
          <w:sz w:val="24"/>
          <w:szCs w:val="24"/>
          <w:highlight w:val="none"/>
        </w:rPr>
        <w:t>            </w:t>
      </w:r>
    </w:p>
    <w:p>
      <w:pPr>
        <w:pStyle w:val="61"/>
        <w:keepNext w:val="0"/>
        <w:keepLines w:val="0"/>
        <w:widowControl/>
        <w:suppressLineNumbers w:val="0"/>
        <w:spacing w:before="75" w:beforeAutospacing="0" w:after="75" w:afterAutospacing="0" w:line="300" w:lineRule="atLeast"/>
        <w:ind w:left="0" w:right="0"/>
        <w:rPr>
          <w:highlight w:val="none"/>
        </w:rPr>
      </w:pPr>
      <w:r>
        <w:rPr>
          <w:rFonts w:hint="eastAsia" w:ascii="仿宋" w:hAnsi="仿宋" w:eastAsia="仿宋" w:cs="仿宋"/>
          <w:i w:val="0"/>
          <w:iCs w:val="0"/>
          <w:caps w:val="0"/>
          <w:color w:val="000000"/>
          <w:spacing w:val="0"/>
          <w:sz w:val="27"/>
          <w:szCs w:val="27"/>
          <w:highlight w:val="none"/>
        </w:rPr>
        <w:t>    监督投诉电话：0571-88728858 </w:t>
      </w:r>
      <w:r>
        <w:rPr>
          <w:rFonts w:hint="eastAsia" w:ascii="仿宋" w:hAnsi="仿宋" w:eastAsia="仿宋" w:cs="仿宋"/>
          <w:i w:val="0"/>
          <w:iCs w:val="0"/>
          <w:caps w:val="0"/>
          <w:color w:val="000000"/>
          <w:spacing w:val="0"/>
          <w:sz w:val="24"/>
          <w:szCs w:val="24"/>
          <w:highlight w:val="none"/>
        </w:rPr>
        <w:t>          </w:t>
      </w:r>
      <w:r>
        <w:rPr>
          <w:rFonts w:hint="eastAsia" w:ascii="仿宋" w:hAnsi="仿宋" w:eastAsia="仿宋" w:cs="仿宋"/>
          <w:i w:val="0"/>
          <w:iCs w:val="0"/>
          <w:caps w:val="0"/>
          <w:color w:val="000000"/>
          <w:spacing w:val="0"/>
          <w:sz w:val="24"/>
          <w:szCs w:val="24"/>
          <w:highlight w:val="none"/>
        </w:rPr>
        <w:br w:type="textWrapping"/>
      </w:r>
      <w:r>
        <w:rPr>
          <w:rFonts w:hint="eastAsia" w:ascii="仿宋" w:hAnsi="仿宋" w:eastAsia="仿宋" w:cs="仿宋"/>
          <w:i w:val="0"/>
          <w:iCs w:val="0"/>
          <w:caps w:val="0"/>
          <w:color w:val="000000"/>
          <w:spacing w:val="0"/>
          <w:sz w:val="24"/>
          <w:szCs w:val="24"/>
          <w:highlight w:val="none"/>
        </w:rPr>
        <w:t>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CA问题联系电话（人工）：汇信CA 400-888-4636；天谷CA 400-087-8198。</w:t>
      </w: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7"/>
      <w:r>
        <w:rPr>
          <w:rFonts w:hint="eastAsia" w:asciiTheme="majorEastAsia" w:hAnsiTheme="majorEastAsia" w:eastAsiaTheme="majorEastAsia" w:cstheme="majorEastAsia"/>
          <w:b/>
          <w:color w:val="auto"/>
          <w:sz w:val="36"/>
          <w:szCs w:val="20"/>
          <w:highlight w:val="none"/>
        </w:rPr>
        <w:t xml:space="preserve"> 投标人须知</w:t>
      </w:r>
      <w:bookmarkEnd w:id="8"/>
    </w:p>
    <w:p>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color w:val="auto"/>
                <w:sz w:val="24"/>
                <w:highlight w:val="none"/>
              </w:rPr>
              <w:t>开标一览表（报价表）是报价的唯一载体</w:t>
            </w:r>
            <w:r>
              <w:rPr>
                <w:rFonts w:hint="eastAsia" w:asciiTheme="majorEastAsia" w:hAnsiTheme="majorEastAsia" w:eastAsiaTheme="majorEastAsia" w:cstheme="majorEastAsia"/>
                <w:color w:val="auto"/>
                <w:kern w:val="0"/>
                <w:sz w:val="24"/>
                <w:highlight w:val="none"/>
                <w:lang w:val="zh-CN"/>
              </w:rPr>
              <w:t>。投标文件中道路保洁、县道保洁、公交候车厅保洁、公厕保洁</w:t>
            </w:r>
            <w:r>
              <w:rPr>
                <w:rFonts w:hint="eastAsia" w:asciiTheme="majorEastAsia" w:hAnsiTheme="majorEastAsia" w:eastAsiaTheme="majorEastAsia" w:cstheme="majorEastAsia"/>
                <w:color w:val="auto"/>
                <w:kern w:val="0"/>
                <w:sz w:val="24"/>
                <w:highlight w:val="none"/>
                <w:lang w:val="zh-CN" w:eastAsia="zh-CN"/>
              </w:rPr>
              <w:t>、绿化养护</w:t>
            </w:r>
            <w:r>
              <w:rPr>
                <w:rFonts w:hint="eastAsia" w:asciiTheme="majorEastAsia" w:hAnsiTheme="majorEastAsia" w:eastAsiaTheme="majorEastAsia" w:cstheme="majorEastAsia"/>
                <w:color w:val="auto"/>
                <w:kern w:val="0"/>
                <w:sz w:val="24"/>
                <w:highlight w:val="none"/>
                <w:lang w:val="zh-CN"/>
              </w:rPr>
              <w:t>价格全部采用人民币报价。招标文件未列明，而投标人认为必需的费用也需列入报价。</w:t>
            </w:r>
          </w:p>
          <w:p>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pPr>
              <w:spacing w:line="360" w:lineRule="auto"/>
              <w:ind w:firstLine="241"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 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工作分包。</w:t>
            </w: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 xml:space="preserve"> B</w:t>
            </w:r>
            <w:r>
              <w:rPr>
                <w:rFonts w:hint="eastAsia" w:asciiTheme="majorEastAsia" w:hAnsiTheme="majorEastAsia" w:eastAsiaTheme="majorEastAsia" w:cstheme="majorEastAsia"/>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pP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pPr>
              <w:spacing w:line="360" w:lineRule="auto"/>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kern w:val="0"/>
                <w:sz w:val="24"/>
                <w:highlight w:val="none"/>
              </w:rPr>
              <w:t>☐B组织，</w:t>
            </w: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，联系方式：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B要求提供，</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snapToGrid w:val="0"/>
                <w:color w:val="auto"/>
                <w:kern w:val="28"/>
                <w:sz w:val="24"/>
                <w:highlight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：详见</w:t>
            </w:r>
            <w:r>
              <w:rPr>
                <w:rFonts w:hint="eastAsia" w:asciiTheme="majorEastAsia" w:hAnsiTheme="majorEastAsia" w:eastAsiaTheme="majorEastAsia" w:cstheme="majorEastAsia"/>
                <w:color w:val="auto"/>
                <w:sz w:val="24"/>
                <w:highlight w:val="none"/>
                <w:u w:val="single"/>
              </w:rPr>
              <w:t>评标办法</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否；☐是，检测机构的要求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B组织。</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w:t>
            </w:r>
            <w:r>
              <w:rPr>
                <w:rFonts w:hint="eastAsia" w:asciiTheme="majorEastAsia" w:hAnsiTheme="majorEastAsia" w:eastAsiaTheme="majorEastAsia" w:cstheme="majorEastAsia"/>
                <w:b/>
                <w:bCs/>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本项目不允许采购进口产品。</w:t>
            </w:r>
          </w:p>
          <w:p>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货物类，单一产品或</w:t>
            </w:r>
            <w:r>
              <w:rPr>
                <w:rFonts w:hint="eastAsia" w:asciiTheme="majorEastAsia" w:hAnsiTheme="majorEastAsia" w:eastAsiaTheme="majorEastAsia" w:cstheme="majorEastAsia"/>
                <w:color w:val="auto"/>
                <w:kern w:val="0"/>
                <w:sz w:val="24"/>
                <w:highlight w:val="none"/>
              </w:rPr>
              <w:t>核心产品为：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B</w:t>
            </w:r>
            <w:r>
              <w:rPr>
                <w:rFonts w:hint="eastAsia" w:asciiTheme="majorEastAsia" w:hAnsiTheme="majorEastAsia" w:eastAsiaTheme="majorEastAsia" w:cstheme="maj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color w:val="auto"/>
                <w:kern w:val="0"/>
                <w:sz w:val="24"/>
                <w:highlight w:val="none"/>
                <w:lang w:eastAsia="zh-CN"/>
              </w:rPr>
              <w:t>综合养护</w:t>
            </w:r>
            <w:r>
              <w:rPr>
                <w:rFonts w:hint="eastAsia" w:asciiTheme="majorEastAsia" w:hAnsiTheme="majorEastAsia" w:eastAsiaTheme="majorEastAsia" w:cstheme="majorEastAsia"/>
                <w:color w:val="auto"/>
                <w:kern w:val="0"/>
                <w:sz w:val="24"/>
                <w:highlight w:val="none"/>
              </w:rPr>
              <w:t>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Theme="majorEastAsia" w:hAnsiTheme="majorEastAsia" w:eastAsiaTheme="majorEastAsia" w:cstheme="majorEastAsia"/>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Theme="majorEastAsia" w:hAnsiTheme="majorEastAsia" w:eastAsiaTheme="majorEastAsia" w:cstheme="majorEastAsia"/>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kern w:val="28"/>
                <w:sz w:val="24"/>
                <w:szCs w:val="24"/>
                <w:highlight w:val="none"/>
                <w:lang w:eastAsia="zh-CN"/>
              </w:rPr>
              <w:t>杭州市临平区南苑街道嘉信国际6楼</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sz w:val="24"/>
                <w:highlight w:val="none"/>
                <w:u w:val="single"/>
                <w:lang w:val="en-US" w:eastAsia="zh-CN"/>
              </w:rPr>
              <w:t>13362030720</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eastAsia="仿宋" w:asciiTheme="majorEastAsia" w:hAnsiTheme="majorEastAsia" w:cstheme="majorEastAsia"/>
                <w:snapToGrid w:val="0"/>
                <w:color w:val="auto"/>
                <w:kern w:val="28"/>
                <w:sz w:val="24"/>
                <w:highlight w:val="none"/>
                <w:lang w:eastAsia="zh-CN"/>
              </w:rPr>
            </w:pPr>
            <w:r>
              <w:rPr>
                <w:rFonts w:hint="eastAsia" w:ascii="宋体" w:hAnsi="宋体" w:eastAsia="宋体" w:cs="宋体"/>
                <w:b/>
                <w:snapToGrid w:val="0"/>
                <w:color w:val="auto"/>
                <w:kern w:val="28"/>
                <w:sz w:val="24"/>
                <w:highlight w:val="none"/>
                <w:lang w:eastAsia="zh-CN"/>
              </w:rPr>
              <w:t>本次仓前街道运溪路</w:t>
            </w:r>
            <w:r>
              <w:rPr>
                <w:rFonts w:hint="eastAsia" w:ascii="宋体" w:hAnsi="宋体" w:eastAsia="宋体" w:cs="宋体"/>
                <w:b/>
                <w:snapToGrid w:val="0"/>
                <w:color w:val="auto"/>
                <w:kern w:val="28"/>
                <w:sz w:val="24"/>
                <w:highlight w:val="none"/>
                <w:lang w:val="en-US" w:eastAsia="zh-CN"/>
              </w:rPr>
              <w:t>保洁</w:t>
            </w:r>
            <w:r>
              <w:rPr>
                <w:rFonts w:hint="eastAsia" w:ascii="宋体" w:hAnsi="宋体" w:eastAsia="宋体" w:cs="宋体"/>
                <w:b/>
                <w:snapToGrid w:val="0"/>
                <w:color w:val="auto"/>
                <w:kern w:val="28"/>
                <w:sz w:val="24"/>
                <w:highlight w:val="none"/>
                <w:lang w:eastAsia="zh-CN"/>
              </w:rPr>
              <w:t>招标分</w:t>
            </w:r>
            <w:r>
              <w:rPr>
                <w:rFonts w:hint="eastAsia" w:ascii="宋体" w:hAnsi="宋体" w:eastAsia="宋体" w:cs="宋体"/>
                <w:b/>
                <w:snapToGrid w:val="0"/>
                <w:color w:val="auto"/>
                <w:kern w:val="28"/>
                <w:sz w:val="24"/>
                <w:highlight w:val="none"/>
                <w:lang w:val="en-US" w:eastAsia="zh-CN"/>
              </w:rPr>
              <w:t>二</w:t>
            </w:r>
            <w:r>
              <w:rPr>
                <w:rFonts w:hint="eastAsia" w:ascii="宋体" w:hAnsi="宋体" w:eastAsia="宋体" w:cs="宋体"/>
                <w:b/>
                <w:snapToGrid w:val="0"/>
                <w:color w:val="auto"/>
                <w:kern w:val="28"/>
                <w:sz w:val="24"/>
                <w:highlight w:val="none"/>
                <w:lang w:eastAsia="zh-CN"/>
              </w:rPr>
              <w:t>个项目，供应商可选择其中一个或多个标项进行投标，但只能中其中一个标项，中标顺序按</w:t>
            </w:r>
            <w:r>
              <w:rPr>
                <w:rFonts w:hint="eastAsia" w:ascii="宋体" w:hAnsi="宋体" w:eastAsia="宋体" w:cs="宋体"/>
                <w:b/>
                <w:snapToGrid w:val="0"/>
                <w:color w:val="auto"/>
                <w:kern w:val="28"/>
                <w:sz w:val="24"/>
                <w:highlight w:val="none"/>
                <w:lang w:val="en-US" w:eastAsia="zh-CN"/>
              </w:rPr>
              <w:t>1、</w:t>
            </w:r>
            <w:r>
              <w:rPr>
                <w:rFonts w:hint="eastAsia" w:ascii="宋体" w:hAnsi="宋体" w:eastAsia="宋体" w:cs="宋体"/>
                <w:b/>
                <w:snapToGrid w:val="0"/>
                <w:color w:val="auto"/>
                <w:kern w:val="28"/>
                <w:sz w:val="24"/>
                <w:highlight w:val="none"/>
                <w:lang w:eastAsia="zh-CN"/>
              </w:rPr>
              <w:t>仓前街道运溪路以东区块道路综合养护项目 ；</w:t>
            </w:r>
            <w:r>
              <w:rPr>
                <w:rFonts w:hint="eastAsia" w:ascii="宋体" w:hAnsi="宋体" w:eastAsia="宋体" w:cs="宋体"/>
                <w:b/>
                <w:snapToGrid w:val="0"/>
                <w:color w:val="auto"/>
                <w:kern w:val="28"/>
                <w:sz w:val="24"/>
                <w:highlight w:val="none"/>
                <w:lang w:val="en-US" w:eastAsia="zh-CN"/>
              </w:rPr>
              <w:t>2、</w:t>
            </w:r>
            <w:r>
              <w:rPr>
                <w:rFonts w:hint="eastAsia" w:ascii="宋体" w:hAnsi="宋体" w:cs="宋体"/>
                <w:b/>
                <w:snapToGrid w:val="0"/>
                <w:color w:val="auto"/>
                <w:kern w:val="28"/>
                <w:sz w:val="24"/>
                <w:highlight w:val="none"/>
                <w:lang w:val="en-US" w:eastAsia="zh-CN"/>
              </w:rPr>
              <w:t>仓前街道原区块2022-2024运溪路以西道路综合养护</w:t>
            </w:r>
            <w:r>
              <w:rPr>
                <w:rFonts w:hint="eastAsia" w:ascii="宋体" w:hAnsi="宋体" w:eastAsia="宋体" w:cs="宋体"/>
                <w:b/>
                <w:snapToGrid w:val="0"/>
                <w:color w:val="auto"/>
                <w:kern w:val="28"/>
                <w:sz w:val="24"/>
                <w:highlight w:val="none"/>
                <w:lang w:val="en-US" w:eastAsia="zh-CN"/>
              </w:rPr>
              <w:t>，</w:t>
            </w:r>
            <w:r>
              <w:rPr>
                <w:rFonts w:hint="eastAsia" w:ascii="宋体" w:hAnsi="宋体" w:eastAsia="宋体" w:cs="宋体"/>
                <w:b/>
                <w:snapToGrid w:val="0"/>
                <w:color w:val="auto"/>
                <w:kern w:val="28"/>
                <w:sz w:val="24"/>
                <w:highlight w:val="none"/>
                <w:lang w:eastAsia="zh-CN"/>
              </w:rPr>
              <w:t>如供应商前一个标项已经被确定为该标项的第一中标候选人，则后续标项将不被推荐为中标候选人；例如供应商被确定为仓前街道运溪路以东区块道路综合养护项目的中标候选人，则</w:t>
            </w:r>
            <w:r>
              <w:rPr>
                <w:rFonts w:hint="eastAsia" w:ascii="宋体" w:hAnsi="宋体" w:cs="宋体"/>
                <w:b/>
                <w:snapToGrid w:val="0"/>
                <w:color w:val="auto"/>
                <w:kern w:val="28"/>
                <w:sz w:val="24"/>
                <w:highlight w:val="none"/>
                <w:lang w:eastAsia="zh-CN"/>
              </w:rPr>
              <w:t>仓前街道原区块2022-2024运溪路以西道路综合养护</w:t>
            </w:r>
            <w:r>
              <w:rPr>
                <w:rFonts w:hint="eastAsia" w:ascii="宋体" w:hAnsi="宋体" w:eastAsia="宋体" w:cs="宋体"/>
                <w:b/>
                <w:snapToGrid w:val="0"/>
                <w:color w:val="auto"/>
                <w:kern w:val="28"/>
                <w:sz w:val="24"/>
                <w:highlight w:val="none"/>
                <w:lang w:eastAsia="zh-CN"/>
              </w:rPr>
              <w:t>将不被推荐为中标候选人；以此类推。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color w:val="auto"/>
                <w:sz w:val="24"/>
                <w:highlight w:val="none"/>
              </w:rPr>
              <w:t>供应商以联合体形式投标的：按采购文件要求提供联合协议，联合体投标的联合体各方承担连带责任</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 xml:space="preserve">联合体成 </w:t>
            </w:r>
          </w:p>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员（含联合体牵头人）不得超过 3 个。</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snapToGrid w:val="0"/>
                <w:color w:val="auto"/>
                <w:kern w:val="28"/>
                <w:sz w:val="24"/>
                <w:highlight w:val="none"/>
              </w:rPr>
              <w:t>联合体各方不再单独参加或者与其他供应商另外组成联合体参加同一标项的政府采购活动，否则相关投标均无效。</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宋体" w:hAnsi="宋体" w:eastAsia="宋体" w:cs="宋体"/>
                <w:b/>
                <w:snapToGrid w:val="0"/>
                <w:color w:val="auto"/>
                <w:kern w:val="28"/>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bookmarkStart w:id="10" w:name="第三部分"/>
      <w:bookmarkStart w:id="11" w:name="_Toc164416483"/>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一、总则</w:t>
      </w:r>
    </w:p>
    <w:p>
      <w:pP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“采购机构”系指招标公告中载明的本项目的采购机构。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2.6“电子交易平台”是指本项目政府采购活动所依托的政府采购云平台（https://www.zcygov.cn/）。</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系指实质性要求条款，“★”系产品采购项目中单一产品或核心产品，“</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z w:val="24"/>
          <w:highlight w:val="none"/>
        </w:rPr>
        <w:t>” 系指适用本项目的要求，“</w:t>
      </w: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sz w:val="24"/>
          <w:highlight w:val="none"/>
        </w:rPr>
        <w:t>” 系指不适用本项目的要求。</w:t>
      </w:r>
    </w:p>
    <w:p>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sz w:val="24"/>
          <w:highlight w:val="none"/>
        </w:rPr>
        <w:t>4. 询问、质疑、投诉</w:t>
      </w:r>
    </w:p>
    <w:p>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4.1供应商询问</w:t>
      </w:r>
    </w:p>
    <w:p>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4.2供应商质疑</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4.2</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4.2</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Theme="majorEastAsia" w:hAnsiTheme="majorEastAsia" w:eastAsiaTheme="majorEastAsia" w:cstheme="majorEastAsia"/>
          <w:color w:val="auto"/>
          <w:kern w:val="2"/>
          <w:sz w:val="24"/>
          <w:highlight w:val="none"/>
        </w:rPr>
      </w:pPr>
      <w:r>
        <w:rPr>
          <w:rFonts w:hint="eastAsia" w:asciiTheme="majorEastAsia" w:hAnsiTheme="majorEastAsia" w:eastAsiaTheme="majorEastAsia" w:cstheme="majorEastAsia"/>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4.2.3.2质疑项目的名称、编号；</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4.2.3.4事实依据；</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4.2.3.5必要的法律依据；</w:t>
      </w:r>
    </w:p>
    <w:p>
      <w:pPr>
        <w:pStyle w:val="35"/>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4.2.3.6提出质疑的日期。</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4.2</w:t>
      </w:r>
      <w:r>
        <w:rPr>
          <w:rFonts w:hint="eastAsia" w:asciiTheme="majorEastAsia" w:hAnsiTheme="majorEastAsia" w:eastAsiaTheme="majorEastAsia" w:cstheme="majorEastAsia"/>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4.2</w:t>
      </w:r>
      <w:r>
        <w:rPr>
          <w:rFonts w:hint="eastAsia" w:asciiTheme="majorEastAsia" w:hAnsiTheme="majorEastAsia" w:eastAsiaTheme="majorEastAsia" w:cstheme="majorEastAsia"/>
          <w:color w:val="auto"/>
          <w:highlight w:val="none"/>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4.3供应商投诉</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4.3.5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pPr>
        <w:pStyle w:val="89"/>
        <w:snapToGrid w:val="0"/>
        <w:spacing w:before="0"/>
        <w:ind w:firstLine="360"/>
        <w:rPr>
          <w:rFonts w:hint="eastAsia" w:asciiTheme="majorEastAsia" w:hAnsiTheme="majorEastAsia" w:eastAsiaTheme="majorEastAsia" w:cstheme="majorEastAsia"/>
          <w:color w:val="auto"/>
          <w:sz w:val="18"/>
          <w:szCs w:val="18"/>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 xml:space="preserve">      二、招标文件的构成、澄清、修改</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6.1已获取招标文件的潜在投标人，若有问题需要澄清，应于投标截止时间前，以书面形式向采购机构提出。</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pP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pPr>
        <w:pStyle w:val="8"/>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pP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11.1.2落实政府采购政策需满足的资格要求；</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11.1.3本项目的特定资格要求。</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11.2.3联合协议；</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11.2.4分包意向协议；</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11.2.5符合性审查资料；</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11.2.6评标标准相应的商务技术资料；</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11.3.2报价明细清单；</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中小企业声明函。</w:t>
      </w:r>
    </w:p>
    <w:p>
      <w:pP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pP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pPr>
        <w:pStyle w:val="89"/>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pPr>
        <w:pStyle w:val="89"/>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pPr>
        <w:pStyle w:val="89"/>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pPr>
        <w:pStyle w:val="35"/>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15.5投标人仅提交备份投标文件，没有在电子交易平台传输递交投标文件的，投标无效。</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pPr>
        <w:pStyle w:val="3"/>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highlight w:val="none"/>
        </w:rPr>
        <w:t>第13项规定</w:t>
      </w:r>
      <w:r>
        <w:rPr>
          <w:rFonts w:hint="eastAsia" w:asciiTheme="majorEastAsia" w:hAnsiTheme="majorEastAsia" w:eastAsiaTheme="majorEastAsia" w:cstheme="majorEastAsia"/>
          <w:color w:val="auto"/>
          <w:szCs w:val="21"/>
          <w:highlight w:val="none"/>
        </w:rPr>
        <w:t>的情形之一的，投标无效：</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pP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Theme="majorEastAsia" w:hAnsiTheme="majorEastAsia" w:eastAsiaTheme="majorEastAsia" w:cstheme="majorEastAsia"/>
          <w:b/>
          <w:color w:val="auto"/>
          <w:sz w:val="32"/>
          <w:highlight w:val="none"/>
        </w:rPr>
      </w:pPr>
    </w:p>
    <w:p>
      <w:pPr>
        <w:pStyle w:val="89"/>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pPr>
        <w:pStyle w:val="244"/>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pPr>
        <w:pStyle w:val="244"/>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19.2</w:t>
      </w:r>
      <w:r>
        <w:rPr>
          <w:rFonts w:hint="eastAsia" w:asciiTheme="majorEastAsia" w:hAnsiTheme="majorEastAsia" w:eastAsiaTheme="majorEastAsia" w:cstheme="majorEastAsia"/>
          <w:color w:val="auto"/>
          <w:sz w:val="24"/>
          <w:highlight w:val="none"/>
        </w:rPr>
        <w:t>采购人或采购机构依据法律法规和招标文件的规定，对投标人的基本资格条件、特定资格条件进行审查。</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19.3投标人未按照招标文件要求提供与</w:t>
      </w:r>
      <w:r>
        <w:rPr>
          <w:rFonts w:hint="eastAsia" w:asciiTheme="majorEastAsia" w:hAnsiTheme="majorEastAsia" w:eastAsiaTheme="majorEastAsia" w:cstheme="majorEastAsia"/>
          <w:color w:val="auto"/>
          <w:highlight w:val="none"/>
        </w:rPr>
        <w:t>基本资格条件、特定资格条件相应的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4对未通过资格审查的投标人，采购人或采购机构告知其未通过的原因。</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5合格投标人不足3家的，不再评标。</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pPr>
        <w:pStyle w:val="89"/>
        <w:spacing w:before="0"/>
        <w:ind w:firstLine="0" w:firstLineChars="0"/>
        <w:rPr>
          <w:rFonts w:hint="eastAsia" w:asciiTheme="majorEastAsia" w:hAnsiTheme="majorEastAsia" w:eastAsiaTheme="majorEastAsia" w:cstheme="majorEastAsia"/>
          <w:color w:val="auto"/>
          <w:kern w:val="0"/>
          <w:szCs w:val="24"/>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pPr>
        <w:spacing w:line="360" w:lineRule="auto"/>
        <w:rPr>
          <w:rFonts w:hint="eastAsia" w:asciiTheme="majorEastAsia" w:hAnsiTheme="majorEastAsia" w:eastAsiaTheme="majorEastAsia" w:cstheme="majorEastAsia"/>
          <w:b/>
          <w:color w:val="auto"/>
          <w:sz w:val="24"/>
          <w:highlight w:val="none"/>
        </w:rPr>
      </w:pPr>
      <w:bookmarkStart w:id="12"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pPr>
        <w:spacing w:line="360" w:lineRule="auto"/>
        <w:rPr>
          <w:rFonts w:hint="eastAsia" w:asciiTheme="majorEastAsia" w:hAnsiTheme="majorEastAsia" w:eastAsiaTheme="majorEastAsia" w:cstheme="majorEastAsia"/>
          <w:b/>
          <w:color w:val="auto"/>
          <w:sz w:val="24"/>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pPr>
        <w:pStyle w:val="89"/>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采购人将自收到评审报告之日起5个工作日内通过电子交易平台在评审报告推荐的中标候选人中按顺序确定中标供应商。</w:t>
      </w:r>
    </w:p>
    <w:p>
      <w:pPr>
        <w:pStyle w:val="89"/>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9"/>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pPr>
        <w:tabs>
          <w:tab w:val="left" w:pos="0"/>
        </w:tabs>
        <w:spacing w:line="360" w:lineRule="auto"/>
        <w:ind w:firstLine="482"/>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w:t>
      </w:r>
      <w:r>
        <w:rPr>
          <w:rFonts w:hint="eastAsia" w:asciiTheme="majorEastAsia" w:hAnsiTheme="majorEastAsia" w:eastAsiaTheme="majorEastAsia" w:cstheme="majorEastAsia"/>
          <w:color w:val="auto"/>
          <w:sz w:val="24"/>
          <w:highlight w:val="none"/>
          <w:lang w:val="en-US" w:eastAsia="zh-CN"/>
        </w:rPr>
        <w:t>2.5</w:t>
      </w:r>
      <w:r>
        <w:rPr>
          <w:rFonts w:hint="eastAsia" w:asciiTheme="majorEastAsia" w:hAnsiTheme="majorEastAsia" w:eastAsiaTheme="majorEastAsia" w:cstheme="majorEastAsia"/>
          <w:color w:val="auto"/>
          <w:sz w:val="24"/>
          <w:highlight w:val="none"/>
        </w:rPr>
        <w:t>%。鼓励和支持供应商以银行、保险公司出具的保函形式提供履约保证金。</w:t>
      </w:r>
      <w:r>
        <w:rPr>
          <w:rFonts w:hint="eastAsia" w:asciiTheme="majorEastAsia" w:hAnsiTheme="majorEastAsia" w:eastAsiaTheme="majorEastAsia" w:cstheme="majorEastAsia"/>
          <w:b/>
          <w:color w:val="auto"/>
          <w:sz w:val="24"/>
          <w:highlight w:val="none"/>
        </w:rPr>
        <w:t>采购人不得拒收履约保函。</w:t>
      </w:r>
    </w:p>
    <w:p>
      <w:pPr>
        <w:tabs>
          <w:tab w:val="left" w:pos="0"/>
        </w:tabs>
        <w:spacing w:line="360" w:lineRule="auto"/>
        <w:ind w:firstLine="482"/>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Theme="majorEastAsia" w:hAnsiTheme="majorEastAsia" w:eastAsiaTheme="majorEastAsia" w:cstheme="majorEastAsia"/>
          <w:color w:val="auto"/>
          <w:sz w:val="24"/>
          <w:szCs w:val="20"/>
          <w:highlight w:val="none"/>
          <w:lang w:val="en-US" w:eastAsia="zh-CN"/>
        </w:rPr>
        <w:t>2.5</w:t>
      </w:r>
      <w:r>
        <w:rPr>
          <w:rFonts w:hint="eastAsia" w:asciiTheme="majorEastAsia" w:hAnsiTheme="majorEastAsia" w:eastAsiaTheme="majorEastAsia" w:cstheme="majorEastAsia"/>
          <w:color w:val="auto"/>
          <w:sz w:val="24"/>
          <w:szCs w:val="20"/>
          <w:highlight w:val="none"/>
        </w:rPr>
        <w:t>%。</w:t>
      </w:r>
    </w:p>
    <w:p>
      <w:pPr>
        <w:pStyle w:val="6"/>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pP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pPr>
        <w:pStyle w:val="8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b/>
          <w:color w:val="auto"/>
          <w:szCs w:val="24"/>
          <w:highlight w:val="none"/>
        </w:rPr>
        <w:t>7.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27.1电子交易平台发生故障而无法登录访问的； </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27.2电子交易平台应用或数据库出现错误，不能进行正常操作的；</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27.3电子交易平台发现严重安全漏洞，有潜在泄密危险的；</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27.4病毒发作导致不能进行正常操作的； </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27.5其他无法保证电子交易的公平、公正和安全的情况。</w:t>
      </w:r>
    </w:p>
    <w:p>
      <w:pPr>
        <w:pStyle w:val="8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Theme="majorEastAsia" w:hAnsiTheme="majorEastAsia" w:eastAsiaTheme="majorEastAsia" w:cstheme="majorEastAsia"/>
          <w:color w:val="auto"/>
          <w:sz w:val="24"/>
          <w:highlight w:val="none"/>
        </w:rPr>
      </w:pP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pPr>
        <w:pStyle w:val="3"/>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29.验收</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30295"/>
      <w:bookmarkEnd w:id="13"/>
      <w:bookmarkStart w:id="14" w:name="_Hlt68072998"/>
      <w:bookmarkEnd w:id="14"/>
      <w:bookmarkStart w:id="15" w:name="_Hlt74707468"/>
      <w:bookmarkEnd w:id="15"/>
      <w:bookmarkStart w:id="16" w:name="_Hlt68073093"/>
      <w:bookmarkEnd w:id="16"/>
      <w:bookmarkStart w:id="17" w:name="_Hlt75236290"/>
      <w:bookmarkEnd w:id="17"/>
      <w:bookmarkStart w:id="18" w:name="_Hlt74714665"/>
      <w:bookmarkEnd w:id="18"/>
      <w:bookmarkStart w:id="19" w:name="_Hlt75236011"/>
      <w:bookmarkEnd w:id="19"/>
      <w:bookmarkStart w:id="20" w:name="_Hlt74729768"/>
      <w:bookmarkEnd w:id="20"/>
      <w:bookmarkStart w:id="21" w:name="_Hlt68057669"/>
      <w:bookmarkEnd w:id="21"/>
      <w:bookmarkStart w:id="22" w:name="_Hlt68072990"/>
      <w:bookmarkEnd w:id="22"/>
      <w:bookmarkStart w:id="23" w:name="_Hlt68403820"/>
      <w:bookmarkEnd w:id="23"/>
      <w:bookmarkStart w:id="24" w:name="_Hlt75236101"/>
      <w:bookmarkEnd w:id="24"/>
    </w:p>
    <w:bookmarkEnd w:id="10"/>
    <w:bookmarkEnd w:id="11"/>
    <w:p>
      <w:pPr>
        <w:numPr>
          <w:ilvl w:val="0"/>
          <w:numId w:val="2"/>
        </w:numPr>
        <w:spacing w:line="360" w:lineRule="auto"/>
        <w:jc w:val="center"/>
        <w:outlineLvl w:val="0"/>
        <w:rPr>
          <w:rFonts w:hint="eastAsia" w:asciiTheme="majorEastAsia" w:hAnsiTheme="majorEastAsia" w:eastAsiaTheme="majorEastAsia" w:cstheme="majorEastAsia"/>
          <w:b/>
          <w:color w:val="auto"/>
          <w:sz w:val="36"/>
          <w:szCs w:val="36"/>
          <w:highlight w:val="none"/>
        </w:rPr>
      </w:pPr>
      <w:bookmarkStart w:id="25" w:name="第四部分"/>
      <w:r>
        <w:rPr>
          <w:rFonts w:hint="eastAsia" w:asciiTheme="majorEastAsia" w:hAnsiTheme="majorEastAsia" w:eastAsiaTheme="majorEastAsia" w:cstheme="majorEastAsia"/>
          <w:b/>
          <w:color w:val="auto"/>
          <w:sz w:val="36"/>
          <w:szCs w:val="36"/>
          <w:highlight w:val="none"/>
        </w:rPr>
        <w:t xml:space="preserve">  采购需求</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color w:val="auto"/>
          <w:szCs w:val="24"/>
          <w:highlight w:val="none"/>
          <w:lang w:val="zh-CN" w:eastAsia="zh-CN"/>
        </w:rPr>
      </w:pPr>
      <w:r>
        <w:rPr>
          <w:rFonts w:hint="eastAsia" w:asciiTheme="majorEastAsia" w:hAnsiTheme="majorEastAsia" w:eastAsiaTheme="majorEastAsia" w:cstheme="majorEastAsia"/>
          <w:b/>
          <w:bCs/>
          <w:color w:val="auto"/>
          <w:szCs w:val="24"/>
          <w:highlight w:val="none"/>
          <w:lang w:val="zh-CN" w:eastAsia="zh-CN"/>
        </w:rPr>
        <w:t>一、项目概况</w:t>
      </w:r>
    </w:p>
    <w:p>
      <w:pPr>
        <w:numPr>
          <w:ilvl w:val="0"/>
          <w:numId w:val="0"/>
        </w:numPr>
        <w:wordWrap/>
        <w:adjustRightInd/>
        <w:snapToGrid/>
        <w:spacing w:line="500" w:lineRule="exact"/>
        <w:ind w:left="-420" w:leftChars="-200" w:firstLine="840" w:firstLineChars="35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招标代理费</w:t>
      </w:r>
      <w:r>
        <w:rPr>
          <w:rFonts w:hint="eastAsia" w:asciiTheme="majorEastAsia" w:hAnsiTheme="majorEastAsia" w:eastAsiaTheme="majorEastAsia" w:cstheme="majorEastAsia"/>
          <w:color w:val="auto"/>
          <w:sz w:val="24"/>
          <w:highlight w:val="none"/>
        </w:rPr>
        <w:t>等一切费用</w:t>
      </w:r>
      <w:r>
        <w:rPr>
          <w:rFonts w:hint="eastAsia" w:asciiTheme="majorEastAsia" w:hAnsiTheme="majorEastAsia" w:eastAsiaTheme="majorEastAsia" w:cstheme="majorEastAsia"/>
          <w:color w:val="auto"/>
          <w:sz w:val="24"/>
          <w:highlight w:val="none"/>
          <w:lang w:eastAsia="zh-CN"/>
        </w:rPr>
        <w:t>。</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color w:val="auto"/>
          <w:szCs w:val="24"/>
          <w:highlight w:val="none"/>
        </w:rPr>
      </w:pPr>
      <w:r>
        <w:rPr>
          <w:rFonts w:hint="eastAsia" w:asciiTheme="majorEastAsia" w:hAnsiTheme="majorEastAsia" w:eastAsiaTheme="majorEastAsia" w:cstheme="majorEastAsia"/>
          <w:color w:val="auto"/>
          <w:szCs w:val="24"/>
          <w:highlight w:val="none"/>
        </w:rPr>
        <w:t>二、</w:t>
      </w:r>
      <w:r>
        <w:rPr>
          <w:rFonts w:hint="eastAsia" w:asciiTheme="majorEastAsia" w:hAnsiTheme="majorEastAsia" w:eastAsiaTheme="majorEastAsia" w:cstheme="majorEastAsia"/>
          <w:b/>
          <w:bCs/>
          <w:color w:val="auto"/>
          <w:szCs w:val="24"/>
          <w:highlight w:val="none"/>
        </w:rPr>
        <w:t>服务范围：</w:t>
      </w:r>
    </w:p>
    <w:p>
      <w:pPr>
        <w:numPr>
          <w:ilvl w:val="0"/>
          <w:numId w:val="0"/>
        </w:numPr>
        <w:wordWrap/>
        <w:adjustRightInd/>
        <w:snapToGrid/>
        <w:spacing w:line="500" w:lineRule="exact"/>
        <w:ind w:left="-420" w:leftChars="-200" w:firstLine="840" w:firstLineChars="350"/>
        <w:textAlignment w:val="auto"/>
        <w:rPr>
          <w:rFonts w:hint="eastAsia" w:asciiTheme="majorEastAsia" w:hAnsiTheme="majorEastAsia" w:eastAsiaTheme="majorEastAsia" w:cstheme="majorEastAsia"/>
          <w:b w:val="0"/>
          <w:bCs/>
          <w:color w:val="auto"/>
          <w:sz w:val="24"/>
          <w:highlight w:val="none"/>
          <w:lang w:val="en-US"/>
        </w:rPr>
      </w:pPr>
      <w:r>
        <w:rPr>
          <w:rFonts w:hint="eastAsia" w:asciiTheme="majorEastAsia" w:hAnsiTheme="majorEastAsia" w:eastAsiaTheme="majorEastAsia" w:cstheme="majorEastAsia"/>
          <w:b w:val="0"/>
          <w:bCs/>
          <w:color w:val="auto"/>
          <w:sz w:val="24"/>
          <w:highlight w:val="none"/>
          <w:lang w:val="en-US" w:eastAsia="zh-CN"/>
        </w:rPr>
        <w:t>1、本项目服务范围为</w:t>
      </w:r>
      <w:r>
        <w:rPr>
          <w:rFonts w:hint="eastAsia" w:asciiTheme="majorEastAsia" w:hAnsiTheme="majorEastAsia" w:eastAsiaTheme="majorEastAsia" w:cstheme="majorEastAsia"/>
          <w:b w:val="0"/>
          <w:bCs/>
          <w:color w:val="auto"/>
          <w:sz w:val="24"/>
          <w:highlight w:val="none"/>
        </w:rPr>
        <w:t>运溪路以西区块</w:t>
      </w:r>
      <w:r>
        <w:rPr>
          <w:rFonts w:hint="eastAsia" w:asciiTheme="majorEastAsia" w:hAnsiTheme="majorEastAsia" w:eastAsiaTheme="majorEastAsia" w:cstheme="majorEastAsia"/>
          <w:b w:val="0"/>
          <w:bCs/>
          <w:color w:val="auto"/>
          <w:sz w:val="24"/>
          <w:highlight w:val="none"/>
          <w:lang w:val="en-US" w:eastAsia="zh-CN"/>
        </w:rPr>
        <w:t>，包含：云联路、上仓路、仓兴街（永乐工业园区）、数云路、褚家塘路、</w:t>
      </w:r>
      <w:r>
        <w:rPr>
          <w:rFonts w:hint="eastAsia" w:ascii="宋体" w:hAnsi="宋体" w:eastAsia="宋体" w:cs="宋体"/>
          <w:i w:val="0"/>
          <w:iCs w:val="0"/>
          <w:color w:val="000000"/>
          <w:kern w:val="0"/>
          <w:sz w:val="22"/>
          <w:szCs w:val="22"/>
          <w:highlight w:val="none"/>
          <w:u w:val="none"/>
          <w:lang w:val="en-US" w:eastAsia="zh-CN" w:bidi="ar"/>
        </w:rPr>
        <w:t>长松街（东至数云路西至云联路）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途义路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祥余路（西至云联路东至仓兴街）</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城东路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祥余线（东至云联路西至城东路）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长祥路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蒋家门路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长松街（东至云联路西至城东路）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永乐农居点仓乐雅苑周边道路及人行道</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沙河路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水乡北路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文良路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万金路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第四小学南侧道路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第三初级中学道路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上仓路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林场线公墓停车场</w:t>
      </w:r>
      <w:r>
        <w:rPr>
          <w:rFonts w:hint="eastAsia" w:asciiTheme="majorEastAsia" w:hAnsiTheme="majorEastAsia" w:eastAsiaTheme="majorEastAsia" w:cstheme="majorEastAsia"/>
          <w:b w:val="0"/>
          <w:bCs/>
          <w:color w:val="auto"/>
          <w:sz w:val="24"/>
          <w:highlight w:val="none"/>
          <w:lang w:val="en-US" w:eastAsia="zh-CN"/>
        </w:rPr>
        <w:t>，该区块道保洁面积32.5654万平方米，县道保洁0.39公里，公交候车亭保洁38座，标准公厕保洁 1座，绿化养护面积67304平方米，行道树4256平方米，时花养护876.35平方米。</w:t>
      </w:r>
    </w:p>
    <w:p>
      <w:pPr>
        <w:numPr>
          <w:ilvl w:val="0"/>
          <w:numId w:val="0"/>
        </w:numPr>
        <w:wordWrap/>
        <w:adjustRightInd/>
        <w:snapToGrid/>
        <w:spacing w:line="500" w:lineRule="exact"/>
        <w:ind w:left="-420" w:leftChars="-200" w:firstLine="843" w:firstLineChars="35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b/>
          <w:color w:val="auto"/>
          <w:sz w:val="24"/>
          <w:highlight w:val="none"/>
          <w:lang w:val="en-US" w:eastAsia="zh-CN"/>
        </w:rPr>
        <w:t>2、项目服务内容</w:t>
      </w:r>
      <w:r>
        <w:rPr>
          <w:rFonts w:hint="eastAsia" w:asciiTheme="majorEastAsia" w:hAnsiTheme="majorEastAsia" w:eastAsiaTheme="majorEastAsia" w:cstheme="majorEastAsia"/>
          <w:color w:val="auto"/>
          <w:sz w:val="24"/>
          <w:highlight w:val="none"/>
        </w:rPr>
        <w:t>：仓前街道</w:t>
      </w:r>
      <w:r>
        <w:rPr>
          <w:rFonts w:hint="eastAsia" w:asciiTheme="majorEastAsia" w:hAnsiTheme="majorEastAsia" w:eastAsiaTheme="majorEastAsia" w:cstheme="majorEastAsia"/>
          <w:b w:val="0"/>
          <w:bCs/>
          <w:color w:val="auto"/>
          <w:sz w:val="24"/>
          <w:highlight w:val="none"/>
        </w:rPr>
        <w:t>运溪路以西</w:t>
      </w:r>
      <w:r>
        <w:rPr>
          <w:rFonts w:hint="eastAsia" w:asciiTheme="majorEastAsia" w:hAnsiTheme="majorEastAsia" w:eastAsiaTheme="majorEastAsia" w:cstheme="majorEastAsia"/>
          <w:color w:val="auto"/>
          <w:sz w:val="24"/>
          <w:highlight w:val="none"/>
        </w:rPr>
        <w:t>区块可视范围道路保洁、</w:t>
      </w:r>
      <w:r>
        <w:rPr>
          <w:rFonts w:hint="eastAsia" w:asciiTheme="majorEastAsia" w:hAnsiTheme="majorEastAsia" w:eastAsiaTheme="majorEastAsia" w:cstheme="majorEastAsia"/>
          <w:b w:val="0"/>
          <w:bCs/>
          <w:color w:val="auto"/>
          <w:sz w:val="24"/>
          <w:highlight w:val="none"/>
          <w:lang w:val="en-US" w:eastAsia="zh-CN"/>
        </w:rPr>
        <w:t>县道保洁</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val="0"/>
          <w:bCs/>
          <w:color w:val="auto"/>
          <w:sz w:val="24"/>
          <w:highlight w:val="none"/>
          <w:lang w:val="en-US" w:eastAsia="zh-CN"/>
        </w:rPr>
        <w:t>公交候车亭保洁</w:t>
      </w:r>
      <w:r>
        <w:rPr>
          <w:rFonts w:hint="eastAsia" w:asciiTheme="majorEastAsia" w:hAnsiTheme="majorEastAsia" w:eastAsiaTheme="majorEastAsia" w:cstheme="majorEastAsia"/>
          <w:color w:val="auto"/>
          <w:sz w:val="24"/>
          <w:highlight w:val="none"/>
        </w:rPr>
        <w:t>、公厕保洁</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val="0"/>
          <w:bCs/>
          <w:color w:val="auto"/>
          <w:sz w:val="24"/>
          <w:highlight w:val="none"/>
          <w:lang w:val="en-US" w:eastAsia="zh-CN"/>
        </w:rPr>
        <w:t>绿化养护</w:t>
      </w:r>
      <w:r>
        <w:rPr>
          <w:rFonts w:hint="eastAsia" w:asciiTheme="majorEastAsia" w:hAnsiTheme="majorEastAsia" w:eastAsiaTheme="majorEastAsia" w:cstheme="majorEastAsia"/>
          <w:color w:val="auto"/>
          <w:sz w:val="24"/>
          <w:highlight w:val="none"/>
          <w:lang w:val="en-US" w:eastAsia="zh-CN"/>
        </w:rPr>
        <w:t>等综合服务内容</w:t>
      </w:r>
      <w:r>
        <w:rPr>
          <w:rFonts w:hint="eastAsia" w:asciiTheme="majorEastAsia" w:hAnsiTheme="majorEastAsia" w:eastAsiaTheme="majorEastAsia" w:cstheme="majorEastAsia"/>
          <w:color w:val="auto"/>
          <w:sz w:val="24"/>
          <w:highlight w:val="none"/>
          <w:lang w:eastAsia="zh-CN"/>
        </w:rPr>
        <w:t>。</w:t>
      </w: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3、招标范围及内容：</w:t>
      </w: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lang w:eastAsia="zh-CN"/>
        </w:rPr>
        <w:t>①</w:t>
      </w:r>
      <w:r>
        <w:rPr>
          <w:rFonts w:hint="eastAsia" w:asciiTheme="majorEastAsia" w:hAnsiTheme="majorEastAsia" w:eastAsiaTheme="majorEastAsia" w:cstheme="majorEastAsia"/>
          <w:b/>
          <w:color w:val="auto"/>
          <w:sz w:val="28"/>
          <w:szCs w:val="28"/>
          <w:highlight w:val="none"/>
        </w:rPr>
        <w:t>仓前街道运溪路以西区块道路</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路段名称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云联路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32598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仓兴街（永乐工业园区）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40375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数云路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褚家塘路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长松街（东至数云路西至云联路）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途义路</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祥余路（西至云联路东至仓兴街）</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13646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城东路</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29227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祥余线（东至云联路西至城东路）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长祥路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蒋家门路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长松街（东至云联路西至城东路）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永乐农居点仓乐雅苑周边道路及人行道</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9054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沙河路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水乡北路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40953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文良路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9847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万金路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第四小学南侧道路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第三初级中学道路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林场线公墓停车场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8400"/>
              </w:tabs>
              <w:spacing w:line="440" w:lineRule="exact"/>
              <w:ind w:firstLine="482" w:firstLineChars="2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color w:val="auto"/>
                <w:sz w:val="24"/>
                <w:highlight w:val="none"/>
              </w:rPr>
              <w:t>注</w:t>
            </w:r>
            <w:r>
              <w:rPr>
                <w:rFonts w:hint="eastAsia" w:asciiTheme="majorEastAsia" w:hAnsiTheme="majorEastAsia" w:eastAsiaTheme="majorEastAsia" w:cstheme="majorEastAsia"/>
                <w:b/>
                <w:color w:val="auto"/>
                <w:sz w:val="24"/>
                <w:highlight w:val="none"/>
              </w:rPr>
              <w:t>：</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val="en-US" w:eastAsia="zh-CN"/>
              </w:rPr>
              <w:t>养护</w:t>
            </w:r>
            <w:r>
              <w:rPr>
                <w:rFonts w:hint="eastAsia" w:ascii="宋体" w:hAnsi="宋体" w:eastAsia="宋体" w:cs="宋体"/>
                <w:b/>
                <w:color w:val="auto"/>
                <w:sz w:val="24"/>
                <w:highlight w:val="none"/>
              </w:rPr>
              <w:t>面积为甲方</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tc>
      </w:tr>
    </w:tbl>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8"/>
          <w:szCs w:val="28"/>
          <w:highlight w:val="none"/>
          <w:lang w:val="en-US" w:eastAsia="zh-CN"/>
        </w:rPr>
      </w:pP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②</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县道</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320" w:firstLineChars="6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林场线</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公里</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8"/>
          <w:szCs w:val="28"/>
          <w:highlight w:val="none"/>
          <w:lang w:val="en-US" w:eastAsia="zh-CN"/>
        </w:rPr>
      </w:pP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③</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公交候车亭</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320" w:firstLineChars="6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公交候车亭</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座</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pStyle w:val="2"/>
        <w:ind w:left="0" w:leftChars="0" w:firstLine="0" w:firstLineChars="0"/>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④</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公厕</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540" w:firstLineChars="7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永乐公厕</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座</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1928"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⑤</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eastAsia="zh-CN"/>
        </w:rPr>
        <w:t>绿化养护</w:t>
      </w:r>
      <w:r>
        <w:rPr>
          <w:rFonts w:hint="eastAsia" w:asciiTheme="majorEastAsia" w:hAnsiTheme="majorEastAsia" w:eastAsiaTheme="majorEastAsia" w:cstheme="majorEastAsia"/>
          <w:b/>
          <w:color w:val="auto"/>
          <w:sz w:val="28"/>
          <w:szCs w:val="28"/>
          <w:highlight w:val="none"/>
        </w:rPr>
        <w:t>明细表</w:t>
      </w:r>
    </w:p>
    <w:tbl>
      <w:tblPr>
        <w:tblStyle w:val="64"/>
        <w:tblW w:w="97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3450"/>
        <w:gridCol w:w="1065"/>
        <w:gridCol w:w="1302"/>
        <w:gridCol w:w="145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4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路段名称</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面积</w:t>
            </w:r>
          </w:p>
        </w:tc>
        <w:tc>
          <w:tcPr>
            <w:tcW w:w="13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450"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416"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科技大道</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52190</w:t>
            </w:r>
          </w:p>
        </w:tc>
        <w:tc>
          <w:tcPr>
            <w:tcW w:w="13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科技一路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3786</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后木桥路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金星二路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前木桥路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永乐路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祥余路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城东路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5668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水乡北路</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城东路行道树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780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祥余路行道树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沙河路行道树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112</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长松街行道树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508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水乡北路行道树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756</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文良路树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364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万金路树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740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第四小学南侧树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第三初级中学</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trPr>
        <w:tc>
          <w:tcPr>
            <w:tcW w:w="9703" w:type="dxa"/>
            <w:gridSpan w:val="6"/>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注：1）以上绿化面积含部分还在养护期内的，这部分绿化养护时间按原养护期到期交接之日起计算，费用按中标单价结合实际数量作相应调整。</w:t>
            </w:r>
          </w:p>
          <w:p>
            <w:pPr>
              <w:keepNext w:val="0"/>
              <w:keepLines w:val="0"/>
              <w:widowControl/>
              <w:suppressLineNumbers w:val="0"/>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）以上养护面积为甲方经测量提供的，各投标单位应根据现场实际踏测自行测量，如面积不一致应充分考虑在投标报价内，今后不作调整。</w:t>
            </w:r>
          </w:p>
          <w:p>
            <w:pPr>
              <w:keepNext w:val="0"/>
              <w:keepLines w:val="0"/>
              <w:widowControl/>
              <w:suppressLineNumbers w:val="0"/>
              <w:ind w:firstLine="482" w:firstLineChars="200"/>
              <w:jc w:val="left"/>
              <w:textAlignment w:val="center"/>
              <w:rPr>
                <w:rFonts w:hint="default"/>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）绿化养护期为23个月。</w:t>
            </w:r>
          </w:p>
        </w:tc>
      </w:tr>
    </w:tbl>
    <w:p>
      <w:pPr>
        <w:numPr>
          <w:ilvl w:val="0"/>
          <w:numId w:val="0"/>
        </w:numPr>
        <w:wordWrap/>
        <w:adjustRightInd/>
        <w:snapToGrid/>
        <w:spacing w:line="500" w:lineRule="exact"/>
        <w:ind w:firstLine="1928" w:firstLineChars="800"/>
        <w:jc w:val="both"/>
        <w:textAlignment w:val="auto"/>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eastAsia="zh-CN"/>
        </w:rPr>
        <w:t>⑥</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时花</w:t>
      </w:r>
      <w:r>
        <w:rPr>
          <w:rFonts w:hint="eastAsia" w:asciiTheme="majorEastAsia" w:hAnsiTheme="majorEastAsia" w:eastAsiaTheme="majorEastAsia" w:cstheme="majorEastAsia"/>
          <w:b/>
          <w:color w:val="auto"/>
          <w:sz w:val="28"/>
          <w:szCs w:val="28"/>
          <w:highlight w:val="none"/>
          <w:lang w:eastAsia="zh-CN"/>
        </w:rPr>
        <w:t>养护</w:t>
      </w:r>
      <w:r>
        <w:rPr>
          <w:rFonts w:hint="eastAsia" w:asciiTheme="majorEastAsia" w:hAnsiTheme="majorEastAsia" w:eastAsiaTheme="majorEastAsia" w:cstheme="majorEastAsia"/>
          <w:b/>
          <w:color w:val="auto"/>
          <w:sz w:val="28"/>
          <w:szCs w:val="28"/>
          <w:highlight w:val="none"/>
        </w:rPr>
        <w:t>明细表</w:t>
      </w:r>
    </w:p>
    <w:tbl>
      <w:tblPr>
        <w:tblStyle w:val="64"/>
        <w:tblW w:w="97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3450"/>
        <w:gridCol w:w="1065"/>
        <w:gridCol w:w="1302"/>
        <w:gridCol w:w="145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4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面积</w:t>
            </w:r>
          </w:p>
        </w:tc>
        <w:tc>
          <w:tcPr>
            <w:tcW w:w="13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450"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416"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w:t>
            </w:r>
          </w:p>
        </w:tc>
        <w:tc>
          <w:tcPr>
            <w:tcW w:w="3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科技大道（时花养护）</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876.35</w:t>
            </w:r>
          </w:p>
        </w:tc>
        <w:tc>
          <w:tcPr>
            <w:tcW w:w="13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562" w:firstLineChars="2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eastAsia="zh-CN"/>
        </w:rPr>
        <w:t>⑦</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（其他可能会移交的道路）</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（其他可能会移交的道路）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61031  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eastAsiaTheme="majorEastAsia"/>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注：本项目涉及到后续有可能会移交道路保洁面积约61031</w:t>
            </w: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r>
              <w:rPr>
                <w:rFonts w:hint="eastAsia" w:ascii="宋体" w:hAnsi="宋体" w:cs="宋体"/>
                <w:b/>
                <w:bCs/>
                <w:i w:val="0"/>
                <w:iCs w:val="0"/>
                <w:color w:val="000000"/>
                <w:kern w:val="0"/>
                <w:sz w:val="24"/>
                <w:szCs w:val="24"/>
                <w:highlight w:val="none"/>
                <w:u w:val="none"/>
                <w:vertAlign w:val="superscript"/>
                <w:lang w:val="en-US" w:eastAsia="zh-CN" w:bidi="ar"/>
              </w:rPr>
              <w:t xml:space="preserve"> </w:t>
            </w:r>
            <w:r>
              <w:rPr>
                <w:rFonts w:hint="eastAsia" w:asciiTheme="majorEastAsia" w:hAnsiTheme="majorEastAsia" w:eastAsiaTheme="majorEastAsia" w:cstheme="majorEastAsia"/>
                <w:color w:val="000000"/>
                <w:sz w:val="24"/>
                <w:highlight w:val="none"/>
                <w:lang w:val="en-US" w:eastAsia="zh-CN"/>
              </w:rPr>
              <w:t>，二年总预算价为：1823612元，投标报价时此部分报价不做竞争，未发生则不支付本项养护费，发生后费用结算根据实际移交的道路面积结合中标单价进行结算，若最终结算费用超过预算价则视作投标优惠，甲方不予支付</w:t>
            </w:r>
          </w:p>
        </w:tc>
      </w:tr>
    </w:tbl>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3.1、道路保洁相关要求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1.1本项目</w:t>
      </w:r>
      <w:r>
        <w:rPr>
          <w:rFonts w:hint="eastAsia" w:asciiTheme="majorEastAsia" w:hAnsiTheme="majorEastAsia" w:eastAsiaTheme="majorEastAsia" w:cstheme="majorEastAsia"/>
          <w:color w:val="000000"/>
          <w:sz w:val="24"/>
          <w:highlight w:val="none"/>
          <w:lang w:val="zh-CN"/>
        </w:rPr>
        <w:t>人员要求</w:t>
      </w:r>
      <w:r>
        <w:rPr>
          <w:rFonts w:hint="eastAsia" w:asciiTheme="majorEastAsia" w:hAnsiTheme="majorEastAsia" w:eastAsiaTheme="majorEastAsia" w:cstheme="majorEastAsia"/>
          <w:color w:val="000000"/>
          <w:sz w:val="24"/>
          <w:highlight w:val="none"/>
        </w:rPr>
        <w:t>须符合</w:t>
      </w:r>
      <w:r>
        <w:rPr>
          <w:rFonts w:hint="eastAsia" w:asciiTheme="majorEastAsia" w:hAnsiTheme="majorEastAsia" w:eastAsiaTheme="majorEastAsia" w:cstheme="majorEastAsia"/>
          <w:bCs/>
          <w:color w:val="000000"/>
          <w:sz w:val="24"/>
          <w:highlight w:val="none"/>
        </w:rPr>
        <w:t>专职人员基本岗位数量要求</w:t>
      </w:r>
      <w:r>
        <w:rPr>
          <w:rFonts w:hint="eastAsia" w:asciiTheme="majorEastAsia" w:hAnsiTheme="majorEastAsia" w:eastAsiaTheme="majorEastAsia" w:cstheme="majorEastAsia"/>
          <w:color w:val="000000"/>
          <w:sz w:val="24"/>
          <w:highlight w:val="none"/>
          <w:lang w:val="zh-CN"/>
        </w:rPr>
        <w:t>。</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.1.2除项目负责人和专职保洁人员以外，供应商应根据项目保洁的实际需要配备管理人员、机械车辆驾驶人员、机修人员等，所需费用应考虑在投标总价中。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.1.3保洁人员在岗要求男性年龄在60周岁以下</w:t>
      </w:r>
      <w:r>
        <w:rPr>
          <w:rFonts w:hint="eastAsia" w:asciiTheme="majorEastAsia" w:hAnsiTheme="majorEastAsia" w:eastAsiaTheme="majorEastAsia" w:cstheme="majorEastAsia"/>
          <w:color w:val="000000"/>
          <w:sz w:val="24"/>
          <w:highlight w:val="none"/>
          <w:lang w:val="zh-CN"/>
        </w:rPr>
        <w:t>，女性年龄在55周岁以下，并按采购人要求完成智慧化管理措施、设施配备。大型活动、节假日、重大会议、接访等保障、新作业方式调整或未达到管理标准等情况下</w:t>
      </w:r>
      <w:r>
        <w:rPr>
          <w:rFonts w:hint="eastAsia" w:asciiTheme="majorEastAsia" w:hAnsiTheme="majorEastAsia" w:eastAsiaTheme="majorEastAsia" w:cstheme="majorEastAsia"/>
          <w:color w:val="000000"/>
          <w:sz w:val="24"/>
          <w:highlight w:val="none"/>
        </w:rPr>
        <w:t>应根据实际情况或采购人要求增派保洁人员、保洁设备，以确保清卫保洁质量，</w:t>
      </w:r>
      <w:r>
        <w:rPr>
          <w:rFonts w:hint="eastAsia" w:asciiTheme="majorEastAsia" w:hAnsiTheme="majorEastAsia" w:eastAsiaTheme="majorEastAsia" w:cstheme="majorEastAsia"/>
          <w:color w:val="000000"/>
          <w:sz w:val="24"/>
          <w:highlight w:val="none"/>
          <w:lang w:val="zh-CN"/>
        </w:rPr>
        <w:t>增</w:t>
      </w:r>
      <w:r>
        <w:rPr>
          <w:rFonts w:hint="eastAsia" w:asciiTheme="majorEastAsia" w:hAnsiTheme="majorEastAsia" w:eastAsiaTheme="majorEastAsia" w:cstheme="majorEastAsia"/>
          <w:color w:val="000000"/>
          <w:sz w:val="24"/>
          <w:highlight w:val="none"/>
        </w:rPr>
        <w:t>派人员和设备的费用应考虑在投标总报价中。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.1.6 作业车辆、作业时间应符合属地交警部门要求，并按要求进行报备后实施。</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.1.7 供应商提供的设施设备，根据采购人要求统一外观，标识。</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.2保洁服务内容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2.2</w:t>
      </w:r>
      <w:r>
        <w:rPr>
          <w:rFonts w:hint="eastAsia" w:asciiTheme="majorEastAsia" w:hAnsiTheme="majorEastAsia" w:eastAsiaTheme="majorEastAsia" w:cstheme="majorEastAsia"/>
          <w:bCs/>
          <w:color w:val="000000"/>
          <w:sz w:val="24"/>
          <w:highlight w:val="none"/>
        </w:rPr>
        <w:t>本项目</w:t>
      </w:r>
      <w:r>
        <w:rPr>
          <w:rFonts w:hint="eastAsia" w:asciiTheme="majorEastAsia" w:hAnsiTheme="majorEastAsia" w:eastAsiaTheme="majorEastAsia" w:cstheme="majorEastAsia"/>
          <w:color w:val="000000"/>
          <w:sz w:val="24"/>
          <w:highlight w:val="none"/>
        </w:rPr>
        <w:t>道路中间绿化带含在道路保洁范围内，及道路两侧人行道外建筑物基石边或无建筑物外可视范围内</w:t>
      </w:r>
      <w:r>
        <w:rPr>
          <w:rFonts w:hint="eastAsia" w:asciiTheme="majorEastAsia" w:hAnsiTheme="majorEastAsia" w:eastAsiaTheme="majorEastAsia" w:cstheme="majorEastAsia"/>
          <w:bCs/>
          <w:color w:val="000000"/>
          <w:sz w:val="24"/>
          <w:highlight w:val="none"/>
        </w:rPr>
        <w:t>（不少于3米</w:t>
      </w:r>
      <w:r>
        <w:rPr>
          <w:rFonts w:hint="eastAsia" w:asciiTheme="majorEastAsia" w:hAnsiTheme="majorEastAsia" w:eastAsiaTheme="majorEastAsia" w:cstheme="majorEastAsia"/>
          <w:color w:val="000000"/>
          <w:sz w:val="24"/>
          <w:highlight w:val="none"/>
        </w:rPr>
        <w:t>）均包含在保洁范围内。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w:t>
      </w:r>
      <w:r>
        <w:rPr>
          <w:rFonts w:hint="eastAsia" w:asciiTheme="majorEastAsia" w:hAnsiTheme="majorEastAsia" w:eastAsiaTheme="majorEastAsia" w:cstheme="majorEastAsia"/>
          <w:bCs/>
          <w:color w:val="000000"/>
          <w:sz w:val="24"/>
          <w:highlight w:val="none"/>
        </w:rPr>
        <w:t>.3本项目涵盖地铁站（如有）出入口台阶以下周边范围的保洁含在道路保洁范围内。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w:t>
      </w:r>
      <w:r>
        <w:rPr>
          <w:rFonts w:hint="eastAsia" w:asciiTheme="majorEastAsia" w:hAnsiTheme="majorEastAsia" w:eastAsiaTheme="majorEastAsia" w:cstheme="majorEastAsia"/>
          <w:bCs/>
          <w:color w:val="000000"/>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.2.5</w:t>
      </w:r>
      <w:r>
        <w:rPr>
          <w:rFonts w:hint="eastAsia" w:asciiTheme="majorEastAsia" w:hAnsiTheme="majorEastAsia" w:eastAsiaTheme="majorEastAsia" w:cstheme="majorEastAsia"/>
          <w:sz w:val="24"/>
          <w:highlight w:val="none"/>
        </w:rPr>
        <w:t>牛皮癣清理：范围内道路、围墙、道路沿线设施（含一层建筑立面）等区域的“乱涂”、“乱张贴”等牛皮癣日常清理</w:t>
      </w:r>
      <w:r>
        <w:rPr>
          <w:rFonts w:hint="eastAsia" w:asciiTheme="majorEastAsia" w:hAnsiTheme="majorEastAsia" w:eastAsiaTheme="majorEastAsia" w:cstheme="majorEastAsia"/>
          <w:bCs/>
          <w:color w:val="000000"/>
          <w:sz w:val="24"/>
          <w:highlight w:val="none"/>
        </w:rPr>
        <w:t>均属于本项目保洁范围</w:t>
      </w:r>
      <w:r>
        <w:rPr>
          <w:rFonts w:hint="eastAsia" w:asciiTheme="majorEastAsia" w:hAnsiTheme="majorEastAsia" w:eastAsiaTheme="majorEastAsia" w:cstheme="majorEastAsia"/>
          <w:sz w:val="24"/>
          <w:highlight w:val="none"/>
        </w:rPr>
        <w:t>。</w:t>
      </w:r>
    </w:p>
    <w:p>
      <w:pPr>
        <w:pStyle w:val="2"/>
        <w:ind w:left="0" w:leftChars="0" w:firstLine="480" w:firstLineChars="200"/>
        <w:rPr>
          <w:rFonts w:hint="eastAsia"/>
          <w:highlight w:val="none"/>
        </w:rPr>
      </w:pPr>
      <w:r>
        <w:rPr>
          <w:rFonts w:hint="eastAsia" w:ascii="宋体" w:hAnsi="宋体" w:cs="宋体"/>
          <w:bCs/>
          <w:sz w:val="24"/>
          <w:highlight w:val="none"/>
          <w:lang w:val="en-US" w:eastAsia="zh-CN"/>
        </w:rPr>
        <w:t>2.2.6</w:t>
      </w:r>
      <w:r>
        <w:rPr>
          <w:rFonts w:hint="eastAsia" w:asciiTheme="majorEastAsia" w:hAnsiTheme="majorEastAsia" w:eastAsiaTheme="majorEastAsia" w:cstheme="majorEastAsia"/>
          <w:kern w:val="2"/>
          <w:sz w:val="24"/>
          <w:szCs w:val="24"/>
          <w:highlight w:val="none"/>
          <w:lang w:val="en-US" w:eastAsia="zh-CN" w:bidi="ar-SA"/>
        </w:rPr>
        <w:t>县级道路（主次要道路）保洁。</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.3保洁基本要求</w:t>
      </w:r>
      <w:r>
        <w:rPr>
          <w:rFonts w:hint="eastAsia" w:ascii="宋体" w:hAnsi="宋体" w:eastAsia="宋体" w:cs="宋体"/>
          <w:b/>
          <w:bCs/>
          <w:color w:val="auto"/>
          <w:sz w:val="24"/>
          <w:highlight w:val="none"/>
          <w:lang w:val="en-US" w:eastAsia="zh-CN"/>
        </w:rPr>
        <w:t>标准</w:t>
      </w:r>
    </w:p>
    <w:p>
      <w:pPr>
        <w:pStyle w:val="3"/>
        <w:spacing w:line="360" w:lineRule="auto"/>
        <w:rPr>
          <w:rFonts w:hint="eastAsia" w:asciiTheme="majorEastAsia" w:hAnsiTheme="majorEastAsia" w:eastAsiaTheme="majorEastAsia" w:cstheme="majorEastAsia"/>
          <w:color w:val="000000"/>
          <w:highlight w:val="none"/>
        </w:rPr>
      </w:pPr>
      <w:r>
        <w:rPr>
          <w:rFonts w:hint="eastAsia" w:asciiTheme="majorEastAsia" w:hAnsiTheme="majorEastAsia" w:eastAsiaTheme="majorEastAsia" w:cstheme="majorEastAsia"/>
          <w:b/>
          <w:bCs/>
          <w:color w:val="000000"/>
          <w:highlight w:val="none"/>
          <w:lang w:val="en-US" w:eastAsia="zh-CN"/>
        </w:rPr>
        <w:t>3</w:t>
      </w:r>
      <w:r>
        <w:rPr>
          <w:rFonts w:hint="eastAsia" w:asciiTheme="majorEastAsia" w:hAnsiTheme="majorEastAsia" w:eastAsiaTheme="majorEastAsia" w:cstheme="majorEastAsia"/>
          <w:b/>
          <w:bCs/>
          <w:color w:val="000000"/>
          <w:highlight w:val="none"/>
        </w:rPr>
        <w:t>.3.1</w:t>
      </w:r>
      <w:r>
        <w:rPr>
          <w:rFonts w:hint="eastAsia" w:asciiTheme="majorEastAsia" w:hAnsiTheme="majorEastAsia" w:eastAsiaTheme="majorEastAsia" w:cstheme="majorEastAsia"/>
          <w:b/>
          <w:bCs/>
          <w:color w:val="000000"/>
          <w:highlight w:val="none"/>
          <w:lang w:eastAsia="zh-CN"/>
        </w:rPr>
        <w:t>二</w:t>
      </w:r>
      <w:r>
        <w:rPr>
          <w:rFonts w:hint="eastAsia" w:asciiTheme="majorEastAsia" w:hAnsiTheme="majorEastAsia" w:eastAsiaTheme="majorEastAsia" w:cstheme="majorEastAsia"/>
          <w:b/>
          <w:bCs/>
          <w:color w:val="000000"/>
          <w:highlight w:val="none"/>
        </w:rPr>
        <w:t>级道路</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3.3.1.1保洁时长: 18小时(4:30-22: 30)。</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3.3.1.2快车道保洁:洒水6次1日;高压冲洗2次/日;洗扫吸三合一作业2次/日，普通机扫1次/日，要求单向两边侧石、隔高栏底下全部覆盖。</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3.3.1.3慢车道和人行道保洁:日常普扫吹风机搭配小型慢车道清扫车作业2次/日:洗、扫、吸一体清洗作业2天1次。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3.3.1.4空气抑尘:配置空气抑尘设备，每天1次洒水、抑尘。</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3.3.1.5城市家具:全覆盖擦洗2天1次。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3.3.1.6小广告清除:配备高压冲洗设备，每天清除小广告。</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3.3.1.7道路栏杆:配备栏杆清洗车，每周清洗一次。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3.3.1.8绿化带检拾:配置小型设备，人工配合，每天1次。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.3.1.</w:t>
      </w:r>
      <w:r>
        <w:rPr>
          <w:rFonts w:hint="eastAsia" w:asciiTheme="majorEastAsia" w:hAnsiTheme="majorEastAsia" w:eastAsiaTheme="majorEastAsia" w:cstheme="majorEastAsia"/>
          <w:color w:val="000000"/>
          <w:sz w:val="24"/>
          <w:highlight w:val="none"/>
          <w:lang w:val="en-US" w:eastAsia="zh-CN"/>
        </w:rPr>
        <w:t>9</w:t>
      </w:r>
      <w:r>
        <w:rPr>
          <w:rFonts w:hint="eastAsia" w:asciiTheme="majorEastAsia" w:hAnsiTheme="majorEastAsia" w:eastAsiaTheme="majorEastAsia" w:cstheme="majorEastAsia"/>
          <w:color w:val="000000"/>
          <w:sz w:val="24"/>
          <w:highlight w:val="none"/>
        </w:rPr>
        <w:t>应做到文明、清洁、安全和有序，最大限度地减少对环境的污染和对公众生活的影响。</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rPr>
        <w:t>3.1.</w:t>
      </w:r>
      <w:r>
        <w:rPr>
          <w:rFonts w:hint="eastAsia" w:asciiTheme="majorEastAsia" w:hAnsiTheme="majorEastAsia" w:eastAsiaTheme="majorEastAsia" w:cstheme="majorEastAsia"/>
          <w:color w:val="000000"/>
          <w:sz w:val="24"/>
          <w:highlight w:val="none"/>
          <w:lang w:val="en-US" w:eastAsia="zh-CN"/>
        </w:rPr>
        <w:t>10</w:t>
      </w:r>
      <w:r>
        <w:rPr>
          <w:rFonts w:hint="eastAsia" w:asciiTheme="majorEastAsia" w:hAnsiTheme="majorEastAsia" w:eastAsiaTheme="majorEastAsia" w:cstheme="majorEastAsia"/>
          <w:color w:val="000000"/>
          <w:sz w:val="24"/>
          <w:highlight w:val="none"/>
        </w:rPr>
        <w:t>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1</w:t>
      </w:r>
      <w:r>
        <w:rPr>
          <w:rFonts w:hint="eastAsia" w:asciiTheme="majorEastAsia" w:hAnsiTheme="majorEastAsia" w:eastAsiaTheme="majorEastAsia" w:cstheme="majorEastAsia"/>
          <w:bCs/>
          <w:color w:val="000000"/>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2</w:t>
      </w:r>
      <w:r>
        <w:rPr>
          <w:rFonts w:hint="eastAsia" w:asciiTheme="majorEastAsia" w:hAnsiTheme="majorEastAsia" w:eastAsiaTheme="majorEastAsia" w:cstheme="majorEastAsia"/>
          <w:bCs/>
          <w:color w:val="000000"/>
          <w:sz w:val="24"/>
          <w:highlight w:val="none"/>
        </w:rPr>
        <w:t>日常</w:t>
      </w:r>
      <w:r>
        <w:rPr>
          <w:rFonts w:hint="eastAsia" w:asciiTheme="majorEastAsia" w:hAnsiTheme="majorEastAsia" w:eastAsiaTheme="majorEastAsia" w:cstheme="majorEastAsia"/>
          <w:color w:val="000000"/>
          <w:sz w:val="24"/>
          <w:highlight w:val="none"/>
        </w:rPr>
        <w:t>保洁时间内</w:t>
      </w:r>
      <w:r>
        <w:rPr>
          <w:rFonts w:hint="eastAsia" w:asciiTheme="majorEastAsia" w:hAnsiTheme="majorEastAsia" w:eastAsiaTheme="majorEastAsia" w:cstheme="majorEastAsia"/>
          <w:bCs/>
          <w:color w:val="000000"/>
          <w:sz w:val="24"/>
          <w:highlight w:val="none"/>
        </w:rPr>
        <w:t>保洁单位需确保</w:t>
      </w:r>
      <w:r>
        <w:rPr>
          <w:rFonts w:hint="eastAsia" w:asciiTheme="majorEastAsia" w:hAnsiTheme="majorEastAsia" w:eastAsiaTheme="majorEastAsia" w:cstheme="majorEastAsia"/>
          <w:color w:val="000000"/>
          <w:sz w:val="24"/>
          <w:highlight w:val="none"/>
        </w:rPr>
        <w:t>保洁范围干净，如有无主垃圾或其它垃圾，应加强监管，及时劝导并清理干净。</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13</w:t>
      </w:r>
      <w:r>
        <w:rPr>
          <w:rFonts w:hint="eastAsia" w:asciiTheme="majorEastAsia" w:hAnsiTheme="majorEastAsia" w:eastAsiaTheme="majorEastAsia" w:cstheme="majorEastAsia"/>
          <w:bCs/>
          <w:color w:val="000000"/>
          <w:sz w:val="24"/>
          <w:highlight w:val="none"/>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4</w:t>
      </w:r>
      <w:r>
        <w:rPr>
          <w:rFonts w:hint="eastAsia" w:asciiTheme="majorEastAsia" w:hAnsiTheme="majorEastAsia" w:eastAsiaTheme="majorEastAsia" w:cstheme="majorEastAsia"/>
          <w:bCs/>
          <w:color w:val="000000"/>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5</w:t>
      </w:r>
      <w:r>
        <w:rPr>
          <w:rFonts w:hint="eastAsia" w:asciiTheme="majorEastAsia" w:hAnsiTheme="majorEastAsia" w:eastAsiaTheme="majorEastAsia" w:cstheme="majorEastAsia"/>
          <w:bCs/>
          <w:color w:val="000000"/>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16</w:t>
      </w:r>
      <w:r>
        <w:rPr>
          <w:rFonts w:hint="eastAsia" w:asciiTheme="majorEastAsia" w:hAnsiTheme="majorEastAsia" w:eastAsiaTheme="majorEastAsia" w:cstheme="majorEastAsia"/>
          <w:bCs/>
          <w:color w:val="000000"/>
          <w:sz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17</w:t>
      </w:r>
      <w:r>
        <w:rPr>
          <w:rFonts w:hint="eastAsia" w:asciiTheme="majorEastAsia" w:hAnsiTheme="majorEastAsia" w:eastAsiaTheme="majorEastAsia" w:cstheme="majorEastAsia"/>
          <w:bCs/>
          <w:color w:val="000000"/>
          <w:sz w:val="24"/>
          <w:highlight w:val="none"/>
        </w:rPr>
        <w:t>承诺能及时提供人力、设备、技术等支持。</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 xml:space="preserve">.4保洁作业规范 </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.4.1道路普扫次数和时间</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.4.1.1</w:t>
      </w:r>
      <w:r>
        <w:rPr>
          <w:rFonts w:hint="eastAsia" w:asciiTheme="majorEastAsia" w:hAnsiTheme="majorEastAsia" w:eastAsiaTheme="majorEastAsia" w:cstheme="majorEastAsia"/>
          <w:color w:val="000000"/>
          <w:sz w:val="24"/>
          <w:highlight w:val="none"/>
          <w:lang w:eastAsia="zh-CN"/>
        </w:rPr>
        <w:t>二</w:t>
      </w:r>
      <w:r>
        <w:rPr>
          <w:rFonts w:hint="eastAsia" w:asciiTheme="majorEastAsia" w:hAnsiTheme="majorEastAsia" w:eastAsiaTheme="majorEastAsia" w:cstheme="majorEastAsia"/>
          <w:color w:val="000000"/>
          <w:sz w:val="24"/>
          <w:highlight w:val="none"/>
        </w:rPr>
        <w:t>级道路普扫作业每日不少于</w:t>
      </w:r>
      <w:r>
        <w:rPr>
          <w:rFonts w:hint="eastAsia" w:asciiTheme="majorEastAsia" w:hAnsiTheme="majorEastAsia" w:eastAsiaTheme="majorEastAsia" w:cstheme="majorEastAsia"/>
          <w:color w:val="000000"/>
          <w:sz w:val="24"/>
          <w:highlight w:val="none"/>
          <w:lang w:val="en-US" w:eastAsia="zh-CN"/>
        </w:rPr>
        <w:t>1</w:t>
      </w:r>
      <w:r>
        <w:rPr>
          <w:rFonts w:hint="eastAsia" w:asciiTheme="majorEastAsia" w:hAnsiTheme="majorEastAsia" w:eastAsiaTheme="majorEastAsia" w:cstheme="majorEastAsia"/>
          <w:color w:val="000000"/>
          <w:sz w:val="24"/>
          <w:highlight w:val="none"/>
        </w:rPr>
        <w:t>次。夏季（6月—8月）第一次普扫应在6：30前完成，春、秋、冬季（9月—次年5月）在7：00前完成；</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4.1.2应根据重大活动保障、落叶旺季等因素适时增加每日普扫频次。 </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4.2洒水（清洗）</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.4.2.1</w:t>
      </w:r>
      <w:r>
        <w:rPr>
          <w:rFonts w:hint="eastAsia" w:asciiTheme="majorEastAsia" w:hAnsiTheme="majorEastAsia" w:eastAsiaTheme="majorEastAsia" w:cstheme="majorEastAsia"/>
          <w:color w:val="000000"/>
          <w:sz w:val="24"/>
          <w:highlight w:val="none"/>
          <w:lang w:eastAsia="zh-CN"/>
        </w:rPr>
        <w:t>二</w:t>
      </w:r>
      <w:r>
        <w:rPr>
          <w:rFonts w:hint="eastAsia" w:asciiTheme="majorEastAsia" w:hAnsiTheme="majorEastAsia" w:eastAsiaTheme="majorEastAsia" w:cstheme="majorEastAsia"/>
          <w:color w:val="000000"/>
          <w:sz w:val="24"/>
          <w:highlight w:val="none"/>
        </w:rPr>
        <w:t>级道路作业每日不少于6次，</w:t>
      </w:r>
      <w:r>
        <w:rPr>
          <w:rFonts w:hint="eastAsia" w:asciiTheme="majorEastAsia" w:hAnsiTheme="majorEastAsia" w:eastAsiaTheme="majorEastAsia" w:cstheme="majorEastAsia"/>
          <w:bCs/>
          <w:color w:val="000000"/>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.4.2.2</w:t>
      </w:r>
      <w:r>
        <w:rPr>
          <w:rFonts w:hint="eastAsia" w:asciiTheme="majorEastAsia" w:hAnsiTheme="majorEastAsia" w:eastAsiaTheme="majorEastAsia" w:cstheme="majorEastAsia"/>
          <w:bCs/>
          <w:color w:val="000000"/>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.4.2.3</w:t>
      </w:r>
      <w:r>
        <w:rPr>
          <w:rFonts w:hint="eastAsia" w:asciiTheme="majorEastAsia" w:hAnsiTheme="majorEastAsia" w:eastAsiaTheme="majorEastAsia" w:cstheme="majorEastAsia"/>
          <w:bCs/>
          <w:color w:val="000000"/>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.4.2.4</w:t>
      </w:r>
      <w:r>
        <w:rPr>
          <w:rFonts w:hint="eastAsia" w:asciiTheme="majorEastAsia" w:hAnsiTheme="majorEastAsia" w:eastAsiaTheme="majorEastAsia" w:cstheme="majorEastAsia"/>
          <w:bCs/>
          <w:color w:val="000000"/>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.4.2.5春秋季（3月—5月、9月—11月），每日道路洒水频次作为基准遍次，即</w:t>
      </w:r>
      <w:r>
        <w:rPr>
          <w:rFonts w:hint="eastAsia" w:asciiTheme="majorEastAsia" w:hAnsiTheme="majorEastAsia" w:eastAsiaTheme="majorEastAsia" w:cstheme="majorEastAsia"/>
          <w:bCs/>
          <w:color w:val="000000"/>
          <w:sz w:val="24"/>
          <w:highlight w:val="none"/>
          <w:lang w:eastAsia="zh-CN"/>
        </w:rPr>
        <w:t>二</w:t>
      </w:r>
      <w:r>
        <w:rPr>
          <w:rFonts w:hint="eastAsia" w:asciiTheme="majorEastAsia" w:hAnsiTheme="majorEastAsia" w:eastAsiaTheme="majorEastAsia" w:cstheme="majorEastAsia"/>
          <w:bCs/>
          <w:color w:val="000000"/>
          <w:sz w:val="24"/>
          <w:highlight w:val="none"/>
        </w:rPr>
        <w:t>级道路每日</w:t>
      </w:r>
      <w:r>
        <w:rPr>
          <w:rFonts w:hint="eastAsia" w:asciiTheme="majorEastAsia" w:hAnsiTheme="majorEastAsia" w:eastAsiaTheme="majorEastAsia" w:cstheme="majorEastAsia"/>
          <w:bCs/>
          <w:color w:val="000000"/>
          <w:sz w:val="24"/>
          <w:highlight w:val="none"/>
          <w:lang w:val="en-US" w:eastAsia="zh-CN"/>
        </w:rPr>
        <w:t>6</w:t>
      </w:r>
      <w:r>
        <w:rPr>
          <w:rFonts w:hint="eastAsia" w:asciiTheme="majorEastAsia" w:hAnsiTheme="majorEastAsia" w:eastAsiaTheme="majorEastAsia" w:cstheme="majorEastAsia"/>
          <w:bCs/>
          <w:color w:val="000000"/>
          <w:sz w:val="24"/>
          <w:highlight w:val="none"/>
        </w:rPr>
        <w:t>次；夏季（6月—8月），在基准频次上每日分别增加1次；冬季（12月—2月），在基准频次上每日分别减少1次。</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.4.2.6</w:t>
      </w:r>
      <w:r>
        <w:rPr>
          <w:rFonts w:hint="eastAsia" w:asciiTheme="majorEastAsia" w:hAnsiTheme="majorEastAsia" w:eastAsiaTheme="majorEastAsia" w:cstheme="majorEastAsia"/>
          <w:bCs/>
          <w:color w:val="000000"/>
          <w:sz w:val="24"/>
          <w:highlight w:val="none"/>
        </w:rPr>
        <w:t>气温低于2摄氏度时应停止清洗和洒水。</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.4.2.7</w:t>
      </w:r>
      <w:r>
        <w:rPr>
          <w:rFonts w:hint="eastAsia" w:asciiTheme="majorEastAsia" w:hAnsiTheme="majorEastAsia" w:eastAsiaTheme="majorEastAsia" w:cstheme="majorEastAsia"/>
          <w:bCs/>
          <w:color w:val="000000"/>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.4.3机械化清扫</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.4.3.1</w:t>
      </w:r>
      <w:r>
        <w:rPr>
          <w:rFonts w:hint="eastAsia" w:asciiTheme="majorEastAsia" w:hAnsiTheme="majorEastAsia" w:eastAsiaTheme="majorEastAsia" w:cstheme="majorEastAsia"/>
          <w:bCs/>
          <w:color w:val="000000"/>
          <w:sz w:val="24"/>
          <w:highlight w:val="none"/>
        </w:rPr>
        <w:t>机械化清扫范围主要为机动车道，及便于使用机械化装备清洁机动车道的交通隔离栏。</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.4.3.2</w:t>
      </w:r>
      <w:r>
        <w:rPr>
          <w:rFonts w:hint="eastAsia" w:asciiTheme="majorEastAsia" w:hAnsiTheme="majorEastAsia" w:eastAsiaTheme="majorEastAsia" w:cstheme="majorEastAsia"/>
          <w:bCs/>
          <w:color w:val="000000"/>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.4.3.3</w:t>
      </w:r>
      <w:r>
        <w:rPr>
          <w:rFonts w:hint="eastAsia" w:asciiTheme="majorEastAsia" w:hAnsiTheme="majorEastAsia" w:eastAsiaTheme="majorEastAsia" w:cstheme="majorEastAsia"/>
          <w:bCs/>
          <w:color w:val="000000"/>
          <w:sz w:val="24"/>
          <w:highlight w:val="none"/>
        </w:rPr>
        <w:t>机械化清扫作业时，扫路车或洗扫车车速不得超过10km/h。</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.4.3.4</w:t>
      </w:r>
      <w:r>
        <w:rPr>
          <w:rFonts w:hint="eastAsia" w:asciiTheme="majorEastAsia" w:hAnsiTheme="majorEastAsia" w:eastAsiaTheme="majorEastAsia" w:cstheme="majorEastAsia"/>
          <w:bCs/>
          <w:color w:val="000000"/>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.4.3.5</w:t>
      </w:r>
      <w:r>
        <w:rPr>
          <w:rFonts w:hint="eastAsia" w:asciiTheme="majorEastAsia" w:hAnsiTheme="majorEastAsia" w:eastAsiaTheme="majorEastAsia" w:cstheme="majorEastAsia"/>
          <w:bCs/>
          <w:color w:val="000000"/>
          <w:sz w:val="24"/>
          <w:highlight w:val="none"/>
        </w:rPr>
        <w:t>当日清扫结束后，应在指定地点卸空机械化清扫车辆中的垃圾。</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.4.3.6</w:t>
      </w:r>
      <w:r>
        <w:rPr>
          <w:rFonts w:hint="eastAsia" w:asciiTheme="majorEastAsia" w:hAnsiTheme="majorEastAsia" w:eastAsiaTheme="majorEastAsia" w:cstheme="majorEastAsia"/>
          <w:bCs/>
          <w:color w:val="000000"/>
          <w:sz w:val="24"/>
          <w:highlight w:val="none"/>
        </w:rPr>
        <w:t>机械化清扫车辆所用的扫把丝等消耗品应根据使用状况及时更换。</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.4.4人工普扫</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.4.4.1清扫时，在距清扫点适当位置安全警示标识。</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.4.4.3清扫的街面垃圾、沿街果壳箱中的垃圾应密闭化运至指定地点，运输过程不得抛洒滴漏。</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.4.5人工保洁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.4.5.1普扫结束后，应按照规定的责任保洁区域、保洁时间组织巡回保洁。落实责任保洁区域边界管理，保洁时应向保洁边界以外适当延伸（不少于3米），不留保洁盲区和空白点。</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.4.5.2应定时清运沿街果壳箱中的垃圾，做到垃圾不落地、不积存，日产日清。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.4.5.3突发性环境卫生污染现场清理时，应严格按照应急处置方案进行保洁，及时消除污染物，恢复路面清洁。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.4.5.4环卫电动专用作业车辆应在非机动车道顺向行驶，不得超载，且行驶速度不得超过20Km/h。</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.4.5.5保洁作业结束后，作业工具应在规定地点摆放，不得在道路路面、墙角、绿化带、绿地中存放。</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.5保洁作业质量要求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.5.2三化四分相关要求：</w:t>
      </w:r>
      <w:r>
        <w:rPr>
          <w:rFonts w:hint="eastAsia" w:asciiTheme="majorEastAsia" w:hAnsiTheme="majorEastAsia" w:eastAsiaTheme="majorEastAsia" w:cstheme="majorEastAsia"/>
          <w:color w:val="000000"/>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.5.3其他要求：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（1）遇有窨井盖丢失、破损等，承包方必须及时上报采购人。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（2）遇有重大活动或突发事件，及时组织力量做好清扫保洁保障工作。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.6.管理要求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.6.7如遇渣土抛洒污染路面等情况，中标单位应及时上报采购人，并做好照片资料，同时进行道路冲洗清理。   </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.6.8无新闻媒体曝光，对“12345”市长公开电话和有关受理中心及信访处相关问题，处理、回复及时到位。</w:t>
      </w:r>
      <w:r>
        <w:rPr>
          <w:rFonts w:hint="eastAsia" w:asciiTheme="majorEastAsia" w:hAnsiTheme="majorEastAsia" w:eastAsiaTheme="majorEastAsia" w:cstheme="majorEastAsia"/>
          <w:color w:val="000000"/>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hint="eastAsia" w:asciiTheme="majorEastAsia" w:hAnsiTheme="majorEastAsia" w:eastAsiaTheme="majorEastAsia" w:cstheme="majorEastAsia"/>
          <w:b/>
          <w:bCs/>
          <w:color w:val="000000"/>
          <w:kern w:val="44"/>
          <w:sz w:val="24"/>
          <w:highlight w:val="none"/>
        </w:rPr>
      </w:pPr>
      <w:r>
        <w:rPr>
          <w:rFonts w:hint="eastAsia" w:asciiTheme="majorEastAsia" w:hAnsiTheme="majorEastAsia" w:eastAsiaTheme="majorEastAsia" w:cstheme="majorEastAsia"/>
          <w:b/>
          <w:bCs/>
          <w:color w:val="000000"/>
          <w:kern w:val="44"/>
          <w:sz w:val="24"/>
          <w:highlight w:val="none"/>
          <w:lang w:val="en-US" w:eastAsia="zh-CN"/>
        </w:rPr>
        <w:t>3.7.</w:t>
      </w:r>
      <w:r>
        <w:rPr>
          <w:rFonts w:hint="eastAsia" w:asciiTheme="majorEastAsia" w:hAnsiTheme="majorEastAsia" w:eastAsiaTheme="majorEastAsia" w:cstheme="majorEastAsia"/>
          <w:b/>
          <w:bCs/>
          <w:color w:val="000000"/>
          <w:kern w:val="44"/>
          <w:sz w:val="24"/>
          <w:highlight w:val="none"/>
        </w:rPr>
        <w:t>偷倒垃圾清运要求</w:t>
      </w:r>
    </w:p>
    <w:p>
      <w:pPr>
        <w:tabs>
          <w:tab w:val="left" w:pos="851"/>
          <w:tab w:val="left" w:pos="993"/>
        </w:tabs>
        <w:snapToGrid w:val="0"/>
        <w:spacing w:line="360" w:lineRule="auto"/>
        <w:ind w:firstLine="480" w:firstLineChars="200"/>
        <w:rPr>
          <w:rFonts w:hint="eastAsia" w:asciiTheme="majorEastAsia" w:hAnsiTheme="majorEastAsia" w:eastAsiaTheme="majorEastAsia" w:cstheme="majorEastAsia"/>
          <w:b/>
          <w:bCs/>
          <w:color w:val="000000"/>
          <w:kern w:val="44"/>
          <w:sz w:val="24"/>
          <w:highlight w:val="none"/>
        </w:rPr>
      </w:pPr>
      <w:r>
        <w:rPr>
          <w:rFonts w:hint="eastAsia" w:asciiTheme="majorEastAsia" w:hAnsiTheme="majorEastAsia" w:eastAsiaTheme="majorEastAsia" w:cstheme="majorEastAsia"/>
          <w:bCs/>
          <w:color w:val="000000"/>
          <w:kern w:val="0"/>
          <w:sz w:val="24"/>
          <w:highlight w:val="none"/>
          <w:lang w:val="en-US" w:eastAsia="zh-CN"/>
        </w:rPr>
        <w:t>3</w:t>
      </w:r>
      <w:r>
        <w:rPr>
          <w:rFonts w:hint="eastAsia" w:asciiTheme="majorEastAsia" w:hAnsiTheme="majorEastAsia" w:eastAsiaTheme="majorEastAsia" w:cstheme="majorEastAsia"/>
          <w:bCs/>
          <w:color w:val="000000"/>
          <w:kern w:val="0"/>
          <w:sz w:val="24"/>
          <w:highlight w:val="none"/>
        </w:rPr>
        <w:t>.</w:t>
      </w:r>
      <w:r>
        <w:rPr>
          <w:rFonts w:hint="eastAsia" w:asciiTheme="majorEastAsia" w:hAnsiTheme="majorEastAsia" w:eastAsiaTheme="majorEastAsia" w:cstheme="majorEastAsia"/>
          <w:bCs/>
          <w:color w:val="000000"/>
          <w:kern w:val="0"/>
          <w:sz w:val="24"/>
          <w:highlight w:val="none"/>
          <w:lang w:val="en-US" w:eastAsia="zh-CN"/>
        </w:rPr>
        <w:t>7.</w:t>
      </w:r>
      <w:r>
        <w:rPr>
          <w:rFonts w:hint="eastAsia" w:asciiTheme="majorEastAsia" w:hAnsiTheme="majorEastAsia" w:eastAsiaTheme="majorEastAsia" w:cstheme="majorEastAsia"/>
          <w:bCs/>
          <w:color w:val="000000"/>
          <w:kern w:val="0"/>
          <w:sz w:val="24"/>
          <w:highlight w:val="none"/>
        </w:rPr>
        <w:t>1服务内容：</w:t>
      </w:r>
      <w:r>
        <w:rPr>
          <w:rFonts w:hint="eastAsia" w:asciiTheme="majorEastAsia" w:hAnsiTheme="majorEastAsia" w:eastAsiaTheme="majorEastAsia" w:cstheme="majorEastAsia"/>
          <w:color w:val="000000"/>
          <w:sz w:val="24"/>
          <w:highlight w:val="none"/>
        </w:rPr>
        <w:t>主要为本项目采购人管养范围内偷倒的垃圾清运</w:t>
      </w:r>
      <w:r>
        <w:rPr>
          <w:rFonts w:hint="eastAsia" w:asciiTheme="majorEastAsia" w:hAnsiTheme="majorEastAsia" w:eastAsiaTheme="majorEastAsia" w:cstheme="majorEastAsia"/>
          <w:bCs/>
          <w:color w:val="000000"/>
          <w:sz w:val="24"/>
          <w:highlight w:val="none"/>
        </w:rPr>
        <w:t>工作，垃圾运至</w:t>
      </w:r>
      <w:r>
        <w:rPr>
          <w:rFonts w:hint="eastAsia" w:asciiTheme="majorEastAsia" w:hAnsiTheme="majorEastAsia" w:eastAsiaTheme="majorEastAsia" w:cstheme="majorEastAsia"/>
          <w:bCs/>
          <w:color w:val="000000"/>
          <w:sz w:val="24"/>
          <w:highlight w:val="none"/>
          <w:lang w:eastAsia="zh-CN"/>
        </w:rPr>
        <w:t>仓前街道指</w:t>
      </w:r>
      <w:r>
        <w:rPr>
          <w:rFonts w:hint="eastAsia" w:asciiTheme="majorEastAsia" w:hAnsiTheme="majorEastAsia" w:eastAsiaTheme="majorEastAsia" w:cstheme="majorEastAsia"/>
          <w:bCs/>
          <w:color w:val="000000"/>
          <w:sz w:val="24"/>
          <w:highlight w:val="none"/>
        </w:rPr>
        <w:t>定的消纳处置场所，相关费包含在本次招标内容中。</w:t>
      </w:r>
    </w:p>
    <w:p>
      <w:pPr>
        <w:snapToGrid w:val="0"/>
        <w:spacing w:line="360" w:lineRule="auto"/>
        <w:ind w:firstLine="480" w:firstLineChars="200"/>
        <w:rPr>
          <w:rFonts w:hint="eastAsia" w:asciiTheme="majorEastAsia" w:hAnsiTheme="majorEastAsia" w:eastAsiaTheme="majorEastAsia" w:cstheme="majorEastAsia"/>
          <w:bCs/>
          <w:color w:val="000000"/>
          <w:kern w:val="0"/>
          <w:sz w:val="24"/>
          <w:highlight w:val="none"/>
        </w:rPr>
      </w:pPr>
      <w:r>
        <w:rPr>
          <w:rFonts w:hint="eastAsia" w:asciiTheme="majorEastAsia" w:hAnsiTheme="majorEastAsia" w:eastAsiaTheme="majorEastAsia" w:cstheme="majorEastAsia"/>
          <w:bCs/>
          <w:color w:val="000000"/>
          <w:kern w:val="0"/>
          <w:sz w:val="24"/>
          <w:highlight w:val="none"/>
          <w:lang w:val="en-US" w:eastAsia="zh-CN"/>
        </w:rPr>
        <w:t>3</w:t>
      </w:r>
      <w:r>
        <w:rPr>
          <w:rFonts w:hint="eastAsia" w:asciiTheme="majorEastAsia" w:hAnsiTheme="majorEastAsia" w:eastAsiaTheme="majorEastAsia" w:cstheme="majorEastAsia"/>
          <w:bCs/>
          <w:color w:val="000000"/>
          <w:kern w:val="0"/>
          <w:sz w:val="24"/>
          <w:highlight w:val="none"/>
        </w:rPr>
        <w:t>.</w:t>
      </w:r>
      <w:r>
        <w:rPr>
          <w:rFonts w:hint="eastAsia" w:asciiTheme="majorEastAsia" w:hAnsiTheme="majorEastAsia" w:eastAsiaTheme="majorEastAsia" w:cstheme="majorEastAsia"/>
          <w:bCs/>
          <w:color w:val="000000"/>
          <w:kern w:val="0"/>
          <w:sz w:val="24"/>
          <w:highlight w:val="none"/>
          <w:lang w:val="en-US" w:eastAsia="zh-CN"/>
        </w:rPr>
        <w:t>7.</w:t>
      </w:r>
      <w:r>
        <w:rPr>
          <w:rFonts w:hint="eastAsia" w:asciiTheme="majorEastAsia" w:hAnsiTheme="majorEastAsia" w:eastAsiaTheme="majorEastAsia" w:cstheme="majorEastAsia"/>
          <w:bCs/>
          <w:color w:val="000000"/>
          <w:kern w:val="0"/>
          <w:sz w:val="24"/>
          <w:highlight w:val="none"/>
        </w:rPr>
        <w:t>2具体要求：</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kern w:val="0"/>
          <w:sz w:val="24"/>
          <w:highlight w:val="none"/>
        </w:rPr>
        <w:t>（1）在</w:t>
      </w:r>
      <w:r>
        <w:rPr>
          <w:rFonts w:hint="eastAsia" w:asciiTheme="majorEastAsia" w:hAnsiTheme="majorEastAsia" w:eastAsiaTheme="majorEastAsia" w:cstheme="majorEastAsia"/>
          <w:color w:val="000000"/>
          <w:sz w:val="24"/>
          <w:highlight w:val="none"/>
        </w:rPr>
        <w:t>服务期内，</w:t>
      </w:r>
      <w:r>
        <w:rPr>
          <w:rFonts w:hint="eastAsia" w:asciiTheme="majorEastAsia" w:hAnsiTheme="majorEastAsia" w:eastAsiaTheme="majorEastAsia" w:cstheme="majorEastAsia"/>
          <w:color w:val="000000"/>
          <w:kern w:val="0"/>
          <w:sz w:val="24"/>
          <w:highlight w:val="none"/>
        </w:rPr>
        <w:t>供应商应加强</w:t>
      </w:r>
      <w:r>
        <w:rPr>
          <w:rFonts w:hint="eastAsia" w:asciiTheme="majorEastAsia" w:hAnsiTheme="majorEastAsia" w:eastAsiaTheme="majorEastAsia" w:cstheme="majorEastAsia"/>
          <w:color w:val="000000"/>
          <w:sz w:val="24"/>
          <w:highlight w:val="none"/>
        </w:rPr>
        <w:t>所承包范围内防止垃圾偷倒的管理工作。如在所承包范围内发生偷倒，</w:t>
      </w:r>
      <w:r>
        <w:rPr>
          <w:rFonts w:hint="eastAsia" w:asciiTheme="majorEastAsia" w:hAnsiTheme="majorEastAsia" w:eastAsiaTheme="majorEastAsia" w:cstheme="majorEastAsia"/>
          <w:color w:val="000000"/>
          <w:kern w:val="0"/>
          <w:sz w:val="24"/>
          <w:highlight w:val="none"/>
        </w:rPr>
        <w:t>需完成</w:t>
      </w:r>
      <w:r>
        <w:rPr>
          <w:rFonts w:hint="eastAsia" w:asciiTheme="majorEastAsia" w:hAnsiTheme="majorEastAsia" w:eastAsiaTheme="majorEastAsia" w:cstheme="majorEastAsia"/>
          <w:color w:val="000000"/>
          <w:sz w:val="24"/>
          <w:highlight w:val="none"/>
        </w:rPr>
        <w:t>偷倒的垃圾清运</w:t>
      </w:r>
      <w:r>
        <w:rPr>
          <w:rFonts w:hint="eastAsia" w:asciiTheme="majorEastAsia" w:hAnsiTheme="majorEastAsia" w:eastAsiaTheme="majorEastAsia" w:cstheme="majorEastAsia"/>
          <w:bCs/>
          <w:color w:val="000000"/>
          <w:sz w:val="24"/>
          <w:highlight w:val="none"/>
        </w:rPr>
        <w:t>工作，</w:t>
      </w:r>
      <w:r>
        <w:rPr>
          <w:rFonts w:hint="eastAsia" w:asciiTheme="majorEastAsia" w:hAnsiTheme="majorEastAsia" w:eastAsiaTheme="majorEastAsia" w:cstheme="majorEastAsia"/>
          <w:color w:val="000000"/>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bCs/>
          <w:color w:val="000000"/>
          <w:sz w:val="24"/>
          <w:highlight w:val="none"/>
        </w:rPr>
        <w:t>（3）</w:t>
      </w:r>
      <w:r>
        <w:rPr>
          <w:rFonts w:hint="eastAsia" w:asciiTheme="majorEastAsia" w:hAnsiTheme="majorEastAsia" w:eastAsiaTheme="majorEastAsia" w:cstheme="majorEastAsia"/>
          <w:color w:val="000000"/>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ind w:firstLine="480" w:firstLineChars="200"/>
        <w:jc w:val="left"/>
        <w:rPr>
          <w:rFonts w:hint="eastAsia" w:asciiTheme="majorEastAsia" w:hAnsiTheme="majorEastAsia" w:eastAsiaTheme="majorEastAsia" w:cstheme="majorEastAsia"/>
          <w:sz w:val="21"/>
          <w:szCs w:val="24"/>
          <w:highlight w:val="none"/>
        </w:rPr>
      </w:pPr>
      <w:r>
        <w:rPr>
          <w:rFonts w:hint="eastAsia" w:asciiTheme="majorEastAsia" w:hAnsiTheme="majorEastAsia" w:eastAsiaTheme="majorEastAsia" w:cstheme="majorEastAsia"/>
          <w:color w:val="000000"/>
          <w:kern w:val="0"/>
          <w:sz w:val="24"/>
          <w:highlight w:val="none"/>
        </w:rPr>
        <w:t>（4）清理的时间要求：</w:t>
      </w:r>
      <w:r>
        <w:rPr>
          <w:rFonts w:hint="eastAsia" w:asciiTheme="majorEastAsia" w:hAnsiTheme="majorEastAsia" w:eastAsiaTheme="majorEastAsia" w:cstheme="majorEastAsia"/>
          <w:color w:val="000000"/>
          <w:kern w:val="0"/>
          <w:sz w:val="24"/>
          <w:highlight w:val="none"/>
          <w:u w:val="single"/>
        </w:rPr>
        <w:t>2小时之内清理</w:t>
      </w:r>
      <w:r>
        <w:rPr>
          <w:rFonts w:hint="eastAsia" w:asciiTheme="majorEastAsia" w:hAnsiTheme="majorEastAsia" w:eastAsiaTheme="majorEastAsia" w:cstheme="majorEastAsia"/>
          <w:color w:val="000000"/>
          <w:kern w:val="0"/>
          <w:sz w:val="24"/>
          <w:highlight w:val="none"/>
        </w:rPr>
        <w:t>。</w:t>
      </w:r>
    </w:p>
    <w:p>
      <w:pPr>
        <w:keepLines w:val="0"/>
        <w:pageBreakBefore w:val="0"/>
        <w:kinsoku/>
        <w:wordWrap/>
        <w:overflowPunct/>
        <w:topLinePunct w:val="0"/>
        <w:autoSpaceDE/>
        <w:autoSpaceDN/>
        <w:bidi w:val="0"/>
        <w:adjustRightInd/>
        <w:snapToGrid/>
        <w:spacing w:line="600" w:lineRule="atLeast"/>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3.8</w:t>
      </w:r>
      <w:r>
        <w:rPr>
          <w:rFonts w:hint="eastAsia" w:asciiTheme="majorEastAsia" w:hAnsiTheme="majorEastAsia" w:eastAsiaTheme="majorEastAsia" w:cstheme="majorEastAsia"/>
          <w:b/>
          <w:bCs/>
          <w:color w:val="auto"/>
          <w:sz w:val="24"/>
          <w:szCs w:val="24"/>
          <w:highlight w:val="none"/>
        </w:rPr>
        <w:t>公厕管理质量要求和管理时间</w:t>
      </w:r>
    </w:p>
    <w:p>
      <w:pPr>
        <w:pStyle w:val="82"/>
        <w:rPr>
          <w:rFonts w:hint="eastAsia" w:asciiTheme="majorEastAsia" w:hAnsiTheme="majorEastAsia" w:eastAsiaTheme="majorEastAsia" w:cstheme="majorEastAsia"/>
          <w:highlight w:val="none"/>
        </w:rPr>
      </w:pP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3.8.1、管理人员和开放时间要求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3.8.1.1现有公厕 1座，需配备保洁人员不少于2人。标准公厕1座，16小时保洁，人员不少2人，公厕实行免费开放，不得计费，且公厕内不得出现任何经营性行为；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3.8.1.2公厕内失物应交还失主，未见失主的应交公处理；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3.8.1.3工作人员要尊重游客和上厕人员，不得与其发生冲突；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3.8.1.4公厕的管理制度及保洁制度按规定公示；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3.8.1.5公厕内所产生的垃圾必须每天运到指定的垃圾中转站进行处理。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3.8.2、公厕内设施的维护要求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3.8.2.1公厕内设施出现破坏的，承包方要组织维修人员在2日内完成修复或更换；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3.8.2.2供水、供电、排水、通风等设备完好，有效保证使用，除险问题的必须12小时以内修复；</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3.8.2.3墙壁、地面、隔断板、洗手台、门窗、便器、开关、手柄、门锁等设施损坏的必须要在两天内修复或更换；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3.8.2.4公厕内设置的标志保持清洁、完整、规范如出现破损的，必须在2小时以内修复或更换。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3.8.3、清掏公厕（包括化粪池）要求，每年清理化粪池不少于2次（6月和12月各一次）。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3.8.3.1随时清掏粪便不得外溢；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3.8.3.2清掏时不得泄漏、遗撒；</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3.8.3.3清掏的废物承包方应按照规定运往粪便无害化处理部门进行无害化处理，并向甲方出示有关无害化处理单据证明，不得乱排乱倒。</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3.8.4、公厕保洁要求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3.8.4.1地面保洁无污物，清洗冲刷地面时应设置国家规定的防滑志；</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3.8.4.2墙壁、门窗、隔断板等整洁无乱涂乱画等污迹物；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3.8.4.3便器及时冲刷，无粪迹、尿迹和其他污物；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3.8.4.4定时喷洒灭蚊蝇药物，做到随有随灭；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3.8.4.5纸篓无污迹、无隔夜垃圾；</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3.8.4.6空气流通无臭味；</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3.8.4.7厕所设施和工具摆放有序，干净整洁；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3.8.4.8按照规定时间、地点和方式倾倒废物；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3.8.4.9外墙屋顶及卫生负责区内环境整洁无杂物。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3.8.5、人员要求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3.8.5.1人员必须身体健康、年龄男性须小于60周岁，女性须小于55周岁；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3.8.5.2工作人员上岗前必须经过培训；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3.8.6、机械设备要求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3.8.6.1投标单位自行解决作业工具、设备及保洁用品。车辆产生的养路费、油费、水费、维护费等一切费用由投标单位自理。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3.8.7、台帐资料管理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3.8.7.1中标单位年度、季度、月度有报表、工作计划，年终有总结；</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3.8.7.2中标单位与主管单位有工作联系单制度和工作落实情况记录；</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3.8.7.3中标单位本着以保证环卫保洁管理项目达到优良的标准进行管理，应建立系统、健全的业务管理制度和标准作业规范，加强对作业队伍和作业机械的管理，分工明确，认真落实质量岗位责任制，各项基础设施台帐资料齐全，真实可信，并如实上报；</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3.8.7.4中标单位要建立巡查制度，完善巡查日报，建立月报制度。</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3.8.8、组织管理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3.8.8.1环卫保洁工作由街道环卫所统一管理，保洁经费纳入财政预算。应制定相关管理制度，负责日常监管和年度考核等工作；</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3.8.8.2中标单位应强化内部作业和管理制度，加强对内部人员的安全和责任教育，建立完善的作业和巡查登记制度，强化责任考核和整改制度，自觉接受政府、媒体和社会团体的监督；</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3.8.8.3各社区、企事业和个人对环卫保洁工作负有监管责任。</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3.8.9、具体管理要求：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3.8.9.1、清洁公司责任到人，全日开放，方便群众，优质服务；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3.8.9.2、照明，供水排水设施完好，如有损坏，及时修复，以保证居民正常使用；</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3.8.9.3、工具、物品等摆放整齐；</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3.8.9.4、所有公厕对公民实行免费；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3.8.9.5、公厕指示牌、标志牌等规范齐全；</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3.8.9.6公厕内需有厕纸、垃圾袋、除臭液、清洁用品等易耗品</w:t>
      </w:r>
    </w:p>
    <w:p>
      <w:pPr>
        <w:wordWrap/>
        <w:spacing w:line="500" w:lineRule="exact"/>
        <w:textAlignment w:val="auto"/>
        <w:rPr>
          <w:rFonts w:hint="eastAsia" w:ascii="宋体" w:hAnsi="宋体" w:eastAsia="宋体" w:cs="宋体"/>
          <w:highlight w:val="none"/>
          <w:lang w:val="en-US" w:eastAsia="zh-CN"/>
        </w:rPr>
      </w:pPr>
      <w:r>
        <w:rPr>
          <w:rFonts w:hint="eastAsia" w:ascii="宋体" w:hAnsi="宋体" w:eastAsia="宋体" w:cs="宋体"/>
          <w:b/>
          <w:bCs/>
          <w:color w:val="auto"/>
          <w:sz w:val="24"/>
          <w:highlight w:val="none"/>
          <w:lang w:val="en-US" w:eastAsia="zh-CN"/>
        </w:rPr>
        <w:t>3.9</w:t>
      </w:r>
      <w:r>
        <w:rPr>
          <w:rFonts w:hint="eastAsia" w:ascii="宋体" w:hAnsi="宋体" w:eastAsia="宋体" w:cs="宋体"/>
          <w:b/>
          <w:bCs/>
          <w:color w:val="auto"/>
          <w:sz w:val="24"/>
          <w:highlight w:val="none"/>
        </w:rPr>
        <w:t>、</w:t>
      </w:r>
      <w:r>
        <w:rPr>
          <w:rStyle w:val="968"/>
          <w:rFonts w:hint="eastAsia" w:ascii="宋体" w:hAnsi="宋体" w:eastAsia="宋体" w:cs="宋体"/>
          <w:b/>
          <w:bCs/>
          <w:i w:val="0"/>
          <w:caps w:val="0"/>
          <w:color w:val="auto"/>
          <w:spacing w:val="0"/>
          <w:w w:val="100"/>
          <w:kern w:val="2"/>
          <w:sz w:val="24"/>
          <w:szCs w:val="24"/>
          <w:highlight w:val="none"/>
          <w:lang w:val="en-US" w:eastAsia="zh-CN" w:bidi="ar-SA"/>
        </w:rPr>
        <w:t>绿化养护质量服务标准：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具体服务质量标准根据《杭州市城区绿地养护质量标准》（杭园文[2003]42号）、《余杭区城市化管理范围内市政、绿化、保洁、保序分级分类及考核办法（试行）的通知》（余政办[2013]76号）及杭州市现行城市绿地养护质量标准等文件中规定的作业标准和要求执行，本采购项目按照绿化二级标准进行养护。</w:t>
      </w:r>
    </w:p>
    <w:p>
      <w:pPr>
        <w:snapToGrid/>
        <w:spacing w:before="0" w:beforeAutospacing="0" w:after="0" w:afterAutospacing="0" w:line="400" w:lineRule="atLeast"/>
        <w:ind w:firstLine="470" w:firstLineChars="196"/>
        <w:jc w:val="both"/>
        <w:textAlignment w:val="baseline"/>
        <w:rPr>
          <w:rStyle w:val="968"/>
          <w:rFonts w:hint="eastAsia" w:ascii="宋体" w:hAnsi="宋体" w:eastAsia="宋体" w:cs="宋体"/>
          <w:b/>
          <w:i w:val="0"/>
          <w:caps w:val="0"/>
          <w:color w:val="auto"/>
          <w:spacing w:val="0"/>
          <w:w w:val="100"/>
          <w:kern w:val="2"/>
          <w:sz w:val="24"/>
          <w:szCs w:val="24"/>
          <w:highlight w:val="none"/>
          <w:lang w:val="en-US" w:eastAsia="zh-CN" w:bidi="ar-SA"/>
        </w:rPr>
      </w:pPr>
      <w:r>
        <w:rPr>
          <w:rStyle w:val="968"/>
          <w:rFonts w:hint="eastAsia" w:ascii="宋体" w:hAnsi="宋体" w:eastAsia="宋体" w:cs="宋体"/>
          <w:b w:val="0"/>
          <w:bCs/>
          <w:i w:val="0"/>
          <w:caps w:val="0"/>
          <w:color w:val="auto"/>
          <w:spacing w:val="0"/>
          <w:w w:val="100"/>
          <w:kern w:val="2"/>
          <w:sz w:val="24"/>
          <w:szCs w:val="24"/>
          <w:highlight w:val="none"/>
          <w:lang w:val="en-US" w:eastAsia="zh-CN" w:bidi="ar-SA"/>
        </w:rPr>
        <w:t>3.9.1.道路绿化带养护标准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总体标准：指道路绿化带养护的整体质量，内容有养护质量、树木存活率、设施维护、土肥标准、病虫害防治标准及管理标准。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3.9.1.1.植物养护标准：按道路绿化带的立地条件，对植物进行特殊养护、精心养护，使植物健康生长，具有良好的道路景观。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3.9.1.2.树木种植成活率标准：当年新栽植物成活率达95%以上，保存率98%以上，无缺株、死株。</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3.9.1.4.病虫害防治标准：提倡综合防治，病虫害应控制在以不影响观赏效果的危害程度之内。</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3.9.1.5.道路绿化带的具体养管标准。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（1）道路绿化带景观要求。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（2）采用修剪等特殊手法，控制植物高度，植物高度不得影响交通视线。</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（3）特殊地段的景观应按设计精心养护，形成有特色的植物景观。整形植物必须及时修剪保持形态，悬垂植物生长健壮，及时通过修剪去除枯死枝和调整高度及生长密度，整体效果良好。</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（4）花卉花期整齐，株行距适宜，无空秃、色彩效果好。</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（5）绿带必须无裸地，可种植地被植物或草坪。</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（6）绿带内无枯枝残叶、无杂草，整洁无垃圾；每天冲洗一次以上，植物叶面无积尘。</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（7）辅助设施（包括支撑物和悬挂容器）必须安全、完好、整洁、美观。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（8）道路绿化带及悬垂挂箱冬季浇水应注意不要让水溢出，避免造成路面结冰。</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w:t>
      </w:r>
      <w:r>
        <w:rPr>
          <w:rFonts w:hint="eastAsia" w:ascii="宋体" w:hAnsi="宋体" w:cs="宋体"/>
          <w:bCs/>
          <w:color w:val="000000"/>
          <w:sz w:val="24"/>
          <w:highlight w:val="none"/>
          <w:lang w:val="en-US" w:eastAsia="zh-CN"/>
        </w:rPr>
        <w:t>1</w:t>
      </w:r>
      <w:r>
        <w:rPr>
          <w:rFonts w:hint="eastAsia" w:ascii="宋体" w:hAnsi="宋体" w:eastAsia="宋体" w:cs="宋体"/>
          <w:bCs/>
          <w:color w:val="000000"/>
          <w:sz w:val="24"/>
          <w:highlight w:val="none"/>
          <w:lang w:val="en-US" w:eastAsia="zh-CN"/>
        </w:rPr>
        <w:t>.6.道路绿化带养护作业必须穿着有反光条的工作服，做到文明作业，尽量减少对行车的干扰。</w:t>
      </w:r>
    </w:p>
    <w:p>
      <w:pPr>
        <w:snapToGrid w:val="0"/>
        <w:spacing w:line="360" w:lineRule="auto"/>
        <w:ind w:firstLine="480" w:firstLineChars="200"/>
        <w:jc w:val="left"/>
        <w:rPr>
          <w:rFonts w:hint="eastAsia" w:ascii="宋体" w:hAnsi="宋体" w:eastAsia="宋体" w:cs="宋体"/>
          <w:b w:val="0"/>
          <w:bCs/>
          <w:color w:val="000000"/>
          <w:sz w:val="24"/>
          <w:highlight w:val="none"/>
          <w:lang w:val="en-US" w:eastAsia="zh-CN"/>
        </w:rPr>
      </w:pPr>
      <w:r>
        <w:rPr>
          <w:rFonts w:hint="eastAsia" w:ascii="宋体" w:hAnsi="宋体" w:eastAsia="宋体" w:cs="宋体"/>
          <w:b w:val="0"/>
          <w:bCs/>
          <w:i w:val="0"/>
          <w:caps w:val="0"/>
          <w:color w:val="auto"/>
          <w:spacing w:val="0"/>
          <w:w w:val="100"/>
          <w:kern w:val="2"/>
          <w:sz w:val="24"/>
          <w:szCs w:val="24"/>
          <w:highlight w:val="none"/>
          <w:lang w:val="en-US" w:eastAsia="zh-CN" w:bidi="ar-SA"/>
        </w:rPr>
        <w:t>3.9.2.</w:t>
      </w:r>
      <w:r>
        <w:rPr>
          <w:rFonts w:hint="eastAsia" w:ascii="宋体" w:hAnsi="宋体" w:eastAsia="宋体" w:cs="宋体"/>
          <w:b w:val="0"/>
          <w:bCs/>
          <w:color w:val="000000"/>
          <w:sz w:val="24"/>
          <w:highlight w:val="none"/>
          <w:lang w:val="en-US" w:eastAsia="zh-CN"/>
        </w:rPr>
        <w:t>养护管理其他要求：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（6）道路绿化中标后，应给每一个道路绿化工作人员购买人身意外伤害保险；</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（7）加强绿化养护应急响应管理工作，具体要求参照《杭州市城区绿化防台树木支撑工作方案》。</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①制定灾害性天气应急预案，建立应急救灾队伍，将应急预案和人员名单上报采购人备案。</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②建立应急备货制，备货的内容有：抗旱、抗涝、抗台、抗寒、抗雪等物资（支撑钢管、毛竹、水泵、遮阴网、草包等），快速支撑钢管只能做为一部分应急物资储备，不是唯一的抗台应急物资。</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④做好防台树木支撑工作，在市气象台发出台风预警信号以后，立即做好树木支撑工作。</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（8）中标单位根据采购人通知要求，做好各类“迎检”和“创建”准备工作。</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（9）经过园林绿化管理部门批准的绿地内挖掘及占用绿地时，中标单位应予以积极配合，复种后的绿地应由中标单位负责正常养护。</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（10）绿化养护期内产生的各种的垃圾必须进入垃圾中转站，其处理产生费用由中标单位负责。</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（11）中标单位在养护管理期间，由于养管不力，采购人有权终止合同，并由中标单位承担一切责任。</w:t>
      </w:r>
    </w:p>
    <w:p>
      <w:pPr>
        <w:pStyle w:val="2"/>
        <w:ind w:left="0" w:leftChars="0" w:firstLine="0" w:firstLineChars="0"/>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3.10县级道路（主次要道路）保洁标准：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路面及可视范围无垃圾、无杂物、无积泥，可视范围无明显建筑垃圾、零星垃圾，道路普扫后其余时间巡回保洁，有色垃圾滞留路面时间不得超过25分钟。保洁时间为8小时，每天洒水不少于2次，每天机扫不少于1次，出现道路积泥必须马上清洗。</w:t>
      </w:r>
    </w:p>
    <w:p>
      <w:pPr>
        <w:wordWrap/>
        <w:spacing w:line="500" w:lineRule="exact"/>
        <w:textAlignment w:val="auto"/>
        <w:rPr>
          <w:rFonts w:hint="eastAsia" w:ascii="宋体" w:hAnsi="宋体" w:eastAsia="宋体" w:cs="宋体"/>
          <w:b/>
          <w:bCs/>
          <w:color w:val="auto"/>
          <w:sz w:val="24"/>
          <w:highlight w:val="none"/>
          <w:lang w:val="en-US"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3.11</w:t>
      </w:r>
      <w:r>
        <w:rPr>
          <w:rFonts w:hint="eastAsia" w:ascii="宋体" w:hAnsi="宋体" w:eastAsia="宋体" w:cs="宋体"/>
          <w:b/>
          <w:bCs/>
          <w:color w:val="auto"/>
          <w:sz w:val="24"/>
          <w:highlight w:val="none"/>
          <w:lang w:val="en-US" w:eastAsia="zh-CN"/>
        </w:rPr>
        <w:t>时花花坛的养护标准：</w:t>
      </w:r>
    </w:p>
    <w:p>
      <w:pPr>
        <w:pStyle w:val="82"/>
        <w:rPr>
          <w:rFonts w:hint="eastAsia" w:ascii="宋体" w:hAnsi="宋体" w:eastAsia="宋体" w:cs="宋体"/>
          <w:highlight w:val="none"/>
          <w:lang w:val="en-US" w:eastAsia="zh-CN"/>
        </w:rPr>
      </w:pPr>
    </w:p>
    <w:p>
      <w:pPr>
        <w:snapToGrid w:val="0"/>
        <w:spacing w:line="360" w:lineRule="auto"/>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参照《杭州市城区花坛、花境养护管理规定（试行）》，加强对花卉的养护管理。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（1）布置效果：按设计精心养护，有全年用花计划，做到四季有花，花期整齐，图案美观，布置效果良好。</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（2）花卉生长：花卉植株生长健壮，花色艳丽，始花期方可上花坛种植，株行距适宜，不露底土。无缺株倒伏，无枯枝残花，无杂草垃圾。</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 xml:space="preserve">）时花更换全年至少为六次，在每一次更换时必须要将时花品种、数量（时花种植每平方不得少于49株、中盆）方案事先向招标方报备，由招标方确定种植方案，否则将作无更换时花处理，种后由招标方现场验收签字确定。 </w:t>
      </w:r>
    </w:p>
    <w:p>
      <w:pPr>
        <w:pStyle w:val="2"/>
        <w:ind w:left="0" w:leftChars="0" w:firstLine="0" w:firstLineChars="0"/>
        <w:rPr>
          <w:rFonts w:hint="default" w:asciiTheme="majorEastAsia" w:hAnsiTheme="majorEastAsia" w:eastAsiaTheme="majorEastAsia" w:cstheme="majorEastAsia"/>
          <w:b/>
          <w:bCs/>
          <w:color w:val="auto"/>
          <w:kern w:val="2"/>
          <w:sz w:val="24"/>
          <w:szCs w:val="24"/>
          <w:highlight w:val="none"/>
          <w:lang w:val="en-US" w:eastAsia="zh-CN" w:bidi="ar-SA"/>
        </w:rPr>
      </w:pPr>
    </w:p>
    <w:p>
      <w:pPr>
        <w:wordWrap/>
        <w:spacing w:line="500" w:lineRule="exact"/>
        <w:textAlignment w:val="auto"/>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lang w:eastAsia="zh-CN"/>
        </w:rPr>
        <w:t>三</w:t>
      </w:r>
      <w:r>
        <w:rPr>
          <w:rFonts w:hint="eastAsia" w:asciiTheme="majorEastAsia" w:hAnsiTheme="majorEastAsia" w:eastAsiaTheme="majorEastAsia" w:cstheme="majorEastAsia"/>
          <w:b/>
          <w:color w:val="auto"/>
          <w:kern w:val="0"/>
          <w:sz w:val="24"/>
          <w:highlight w:val="none"/>
        </w:rPr>
        <w:t>、承包期限：</w:t>
      </w:r>
      <w:r>
        <w:rPr>
          <w:rFonts w:hint="eastAsia" w:asciiTheme="majorEastAsia" w:hAnsiTheme="majorEastAsia" w:eastAsiaTheme="majorEastAsia" w:cstheme="majorEastAsia"/>
          <w:snapToGrid w:val="0"/>
          <w:color w:val="auto"/>
          <w:kern w:val="0"/>
          <w:sz w:val="24"/>
          <w:highlight w:val="none"/>
        </w:rPr>
        <w:t>自合同签订日起贰</w:t>
      </w:r>
      <w:r>
        <w:rPr>
          <w:rFonts w:hint="eastAsia" w:asciiTheme="majorEastAsia" w:hAnsiTheme="majorEastAsia" w:eastAsiaTheme="majorEastAsia" w:cstheme="majorEastAsia"/>
          <w:snapToGrid w:val="0"/>
          <w:color w:val="auto"/>
          <w:kern w:val="0"/>
          <w:sz w:val="24"/>
          <w:highlight w:val="none"/>
          <w:lang w:eastAsia="zh-CN"/>
        </w:rPr>
        <w:t>年。</w:t>
      </w:r>
    </w:p>
    <w:p>
      <w:pPr>
        <w:wordWrap/>
        <w:spacing w:line="500" w:lineRule="exact"/>
        <w:textAlignment w:val="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val="en-US" w:eastAsia="zh-CN"/>
        </w:rPr>
        <w:t>1、</w:t>
      </w:r>
      <w:r>
        <w:rPr>
          <w:rFonts w:hint="eastAsia" w:asciiTheme="majorEastAsia" w:hAnsiTheme="majorEastAsia" w:eastAsiaTheme="majorEastAsia" w:cstheme="majorEastAsia"/>
          <w:snapToGrid w:val="0"/>
          <w:color w:val="auto"/>
          <w:kern w:val="0"/>
          <w:sz w:val="24"/>
          <w:highlight w:val="none"/>
        </w:rPr>
        <w:t>若在合同期内乙方有严重违约行为，甲方有权提前终止合同，由此造成的一切后果和损失由乙方承担。</w:t>
      </w:r>
    </w:p>
    <w:p>
      <w:pPr>
        <w:wordWrap/>
        <w:spacing w:line="500" w:lineRule="exact"/>
        <w:textAlignment w:val="auto"/>
        <w:rPr>
          <w:rFonts w:hint="eastAsia" w:asciiTheme="majorEastAsia" w:hAnsiTheme="majorEastAsia" w:eastAsiaTheme="majorEastAsia" w:cstheme="majorEastAsia"/>
          <w:snapToGrid w:val="0"/>
          <w:color w:val="auto"/>
          <w:kern w:val="0"/>
          <w:sz w:val="24"/>
          <w:highlight w:val="none"/>
          <w:lang w:val="en-US" w:eastAsia="zh-CN"/>
        </w:rPr>
      </w:pPr>
      <w:r>
        <w:rPr>
          <w:rFonts w:hint="eastAsia" w:asciiTheme="majorEastAsia" w:hAnsiTheme="majorEastAsia" w:eastAsiaTheme="majorEastAsia" w:cstheme="majorEastAsia"/>
          <w:snapToGrid w:val="0"/>
          <w:color w:val="auto"/>
          <w:kern w:val="0"/>
          <w:sz w:val="24"/>
          <w:highlight w:val="none"/>
          <w:lang w:val="en-US" w:eastAsia="zh-CN"/>
        </w:rPr>
        <w:t>2、</w:t>
      </w:r>
      <w:r>
        <w:rPr>
          <w:rFonts w:hint="eastAsia" w:asciiTheme="majorEastAsia" w:hAnsiTheme="majorEastAsia" w:eastAsiaTheme="majorEastAsia" w:cstheme="majorEastAsia"/>
          <w:snapToGrid w:val="0"/>
          <w:color w:val="auto"/>
          <w:kern w:val="0"/>
          <w:sz w:val="24"/>
          <w:highlight w:val="none"/>
          <w:lang w:eastAsia="zh-CN"/>
        </w:rPr>
        <w:t>本项目不得分包或者转包，一旦发现分包或转包现象，</w:t>
      </w:r>
      <w:r>
        <w:rPr>
          <w:rFonts w:hint="eastAsia" w:asciiTheme="majorEastAsia" w:hAnsiTheme="majorEastAsia" w:eastAsiaTheme="majorEastAsia" w:cstheme="majorEastAsia"/>
          <w:snapToGrid w:val="0"/>
          <w:color w:val="auto"/>
          <w:kern w:val="0"/>
          <w:sz w:val="24"/>
          <w:highlight w:val="none"/>
        </w:rPr>
        <w:t>甲方有权提前终止合同，由此造成的一切后果和损失由乙方承担。</w:t>
      </w:r>
    </w:p>
    <w:p>
      <w:pPr>
        <w:spacing w:line="600" w:lineRule="exact"/>
        <w:outlineLvl w:val="0"/>
        <w:rPr>
          <w:rFonts w:hint="eastAsia" w:ascii="华文仿宋" w:hAnsi="华文仿宋" w:eastAsia="华文仿宋" w:cs="宋体"/>
          <w:b/>
          <w:sz w:val="24"/>
          <w:highlight w:val="none"/>
        </w:rPr>
      </w:pPr>
      <w:r>
        <w:rPr>
          <w:rFonts w:hint="eastAsia" w:asciiTheme="majorEastAsia" w:hAnsiTheme="majorEastAsia" w:eastAsiaTheme="majorEastAsia" w:cstheme="majorEastAsia"/>
          <w:b/>
          <w:bCs/>
          <w:color w:val="auto"/>
          <w:sz w:val="24"/>
          <w:highlight w:val="none"/>
          <w:lang w:val="en-US" w:eastAsia="zh-CN"/>
        </w:rPr>
        <w:t>四</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bCs/>
          <w:color w:val="auto"/>
          <w:sz w:val="24"/>
          <w:highlight w:val="none"/>
        </w:rPr>
        <w:t>拟投入人员、设施配备最低要求配备表</w:t>
      </w:r>
    </w:p>
    <w:p>
      <w:pPr>
        <w:pStyle w:val="82"/>
        <w:spacing w:line="600" w:lineRule="exact"/>
        <w:ind w:firstLine="721" w:firstLineChars="300"/>
        <w:jc w:val="both"/>
        <w:rPr>
          <w:rFonts w:hint="eastAsia" w:asciiTheme="majorEastAsia" w:hAnsiTheme="majorEastAsia" w:eastAsiaTheme="majorEastAsia" w:cstheme="majorEastAsia"/>
          <w:b/>
          <w:bCs/>
          <w:color w:val="auto"/>
          <w:szCs w:val="24"/>
          <w:highlight w:val="none"/>
          <w:lang w:val="en-US"/>
        </w:rPr>
      </w:pPr>
      <w:r>
        <w:rPr>
          <w:rFonts w:hint="eastAsia" w:ascii="华文仿宋" w:hAnsi="华文仿宋" w:eastAsia="华文仿宋" w:cs="宋体"/>
          <w:b/>
          <w:sz w:val="24"/>
          <w:highlight w:val="none"/>
        </w:rPr>
        <w:t>▲</w:t>
      </w:r>
      <w:r>
        <w:rPr>
          <w:rFonts w:hint="eastAsia" w:asciiTheme="majorEastAsia" w:hAnsiTheme="majorEastAsia" w:eastAsiaTheme="majorEastAsia" w:cstheme="majorEastAsia"/>
          <w:b/>
          <w:bCs/>
          <w:color w:val="auto"/>
          <w:szCs w:val="24"/>
          <w:highlight w:val="none"/>
          <w:lang w:val="en-US" w:eastAsia="zh-CN"/>
        </w:rPr>
        <w:t>1、</w:t>
      </w:r>
      <w:r>
        <w:rPr>
          <w:rFonts w:hint="eastAsia" w:asciiTheme="majorEastAsia" w:hAnsiTheme="majorEastAsia" w:eastAsiaTheme="majorEastAsia" w:cstheme="majorEastAsia"/>
          <w:b/>
          <w:bCs/>
          <w:color w:val="auto"/>
          <w:szCs w:val="24"/>
          <w:highlight w:val="none"/>
          <w:lang w:val="en-US"/>
        </w:rPr>
        <w:t>拟投入人员配置表</w:t>
      </w:r>
    </w:p>
    <w:tbl>
      <w:tblPr>
        <w:tblStyle w:val="64"/>
        <w:tblW w:w="9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15"/>
        <w:gridCol w:w="2865"/>
        <w:gridCol w:w="1648"/>
        <w:gridCol w:w="3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2865"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人员配备工种</w:t>
            </w:r>
          </w:p>
        </w:tc>
        <w:tc>
          <w:tcPr>
            <w:tcW w:w="1648"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数量</w:t>
            </w:r>
          </w:p>
        </w:tc>
        <w:tc>
          <w:tcPr>
            <w:tcW w:w="3504"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default" w:asciiTheme="majorEastAsia" w:hAnsiTheme="majorEastAsia" w:eastAsiaTheme="majorEastAsia" w:cstheme="majorEastAsia"/>
                <w:b/>
                <w:bCs/>
                <w:color w:val="auto"/>
                <w:sz w:val="24"/>
                <w:szCs w:val="22"/>
                <w:highlight w:val="none"/>
                <w:lang w:val="en-US"/>
              </w:rPr>
            </w:pPr>
            <w:r>
              <w:rPr>
                <w:rFonts w:hint="eastAsia" w:asciiTheme="majorEastAsia" w:hAnsiTheme="majorEastAsia" w:eastAsiaTheme="majorEastAsia" w:cstheme="majorEastAsia"/>
                <w:b/>
                <w:bCs/>
                <w:color w:val="auto"/>
                <w:sz w:val="24"/>
                <w:highlight w:val="none"/>
                <w:lang w:val="en-US" w:eastAsia="zh-CN"/>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项目负责人</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1人</w:t>
            </w:r>
          </w:p>
        </w:tc>
        <w:tc>
          <w:tcPr>
            <w:tcW w:w="3504" w:type="dxa"/>
            <w:noWrap w:val="0"/>
            <w:vAlign w:val="center"/>
          </w:tcPr>
          <w:p>
            <w:pPr>
              <w:spacing w:line="40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2"/>
                <w:highlight w:val="none"/>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spacing w:line="400" w:lineRule="exact"/>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b/>
                <w:bCs/>
                <w:color w:val="auto"/>
                <w:sz w:val="24"/>
                <w:highlight w:val="none"/>
                <w:lang w:val="en-US" w:eastAsia="zh-CN"/>
              </w:rPr>
              <w:t>道路保洁</w:t>
            </w:r>
            <w:r>
              <w:rPr>
                <w:rFonts w:hint="eastAsia" w:asciiTheme="majorEastAsia" w:hAnsiTheme="majorEastAsia" w:eastAsiaTheme="majorEastAsia" w:cstheme="majorEastAsia"/>
                <w:b/>
                <w:bCs/>
                <w:color w:val="auto"/>
                <w:sz w:val="24"/>
                <w:highlight w:val="none"/>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rPr>
              <w:t>保洁员</w:t>
            </w:r>
            <w:r>
              <w:rPr>
                <w:rFonts w:hint="eastAsia" w:asciiTheme="majorEastAsia" w:hAnsiTheme="majorEastAsia" w:eastAsiaTheme="majorEastAsia" w:cstheme="majorEastAsia"/>
                <w:color w:val="auto"/>
                <w:sz w:val="24"/>
                <w:szCs w:val="22"/>
                <w:highlight w:val="none"/>
                <w:lang w:val="en-US" w:eastAsia="zh-CN"/>
              </w:rPr>
              <w:t>相关人员</w:t>
            </w:r>
          </w:p>
        </w:tc>
        <w:tc>
          <w:tcPr>
            <w:tcW w:w="1648"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81</w:t>
            </w:r>
            <w:r>
              <w:rPr>
                <w:rFonts w:hint="eastAsia" w:asciiTheme="majorEastAsia" w:hAnsiTheme="majorEastAsia" w:eastAsiaTheme="majorEastAsia" w:cstheme="majorEastAsia"/>
                <w:color w:val="auto"/>
                <w:sz w:val="24"/>
                <w:szCs w:val="22"/>
                <w:highlight w:val="none"/>
              </w:rPr>
              <w:t>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b/>
                <w:bCs/>
                <w:color w:val="auto"/>
                <w:sz w:val="24"/>
                <w:highlight w:val="none"/>
                <w:lang w:val="en-US" w:eastAsia="zh-CN"/>
              </w:rPr>
              <w:t>县道保洁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保洁员</w:t>
            </w:r>
            <w:r>
              <w:rPr>
                <w:rFonts w:hint="eastAsia" w:asciiTheme="majorEastAsia" w:hAnsiTheme="majorEastAsia" w:eastAsiaTheme="majorEastAsia" w:cstheme="majorEastAsia"/>
                <w:color w:val="auto"/>
                <w:sz w:val="24"/>
                <w:szCs w:val="22"/>
                <w:highlight w:val="none"/>
                <w:lang w:val="en-US" w:eastAsia="zh-CN"/>
              </w:rPr>
              <w:t>相关人员</w:t>
            </w:r>
          </w:p>
        </w:tc>
        <w:tc>
          <w:tcPr>
            <w:tcW w:w="1648"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lang w:val="en-US" w:eastAsia="zh-CN"/>
              </w:rPr>
              <w:t>10</w:t>
            </w:r>
            <w:r>
              <w:rPr>
                <w:rFonts w:hint="eastAsia" w:asciiTheme="majorEastAsia" w:hAnsiTheme="majorEastAsia" w:eastAsiaTheme="majorEastAsia" w:cstheme="majorEastAsia"/>
                <w:color w:val="auto"/>
                <w:sz w:val="24"/>
                <w:szCs w:val="22"/>
                <w:highlight w:val="none"/>
              </w:rPr>
              <w:t>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b/>
                <w:color w:val="auto"/>
                <w:sz w:val="24"/>
                <w:highlight w:val="none"/>
                <w:lang w:val="en-US" w:eastAsia="zh-CN"/>
              </w:rPr>
              <w:t>公交候车亭保洁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保洁员</w:t>
            </w:r>
            <w:r>
              <w:rPr>
                <w:rFonts w:hint="eastAsia" w:asciiTheme="majorEastAsia" w:hAnsiTheme="majorEastAsia" w:eastAsiaTheme="majorEastAsia" w:cstheme="majorEastAsia"/>
                <w:color w:val="auto"/>
                <w:sz w:val="24"/>
                <w:szCs w:val="22"/>
                <w:highlight w:val="none"/>
                <w:lang w:val="en-US" w:eastAsia="zh-CN"/>
              </w:rPr>
              <w:t>相关人员</w:t>
            </w:r>
          </w:p>
        </w:tc>
        <w:tc>
          <w:tcPr>
            <w:tcW w:w="1648"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lang w:val="en-US" w:eastAsia="zh-CN"/>
              </w:rPr>
              <w:t>8</w:t>
            </w:r>
            <w:r>
              <w:rPr>
                <w:rFonts w:hint="eastAsia" w:asciiTheme="majorEastAsia" w:hAnsiTheme="majorEastAsia" w:eastAsiaTheme="majorEastAsia" w:cstheme="majorEastAsia"/>
                <w:color w:val="auto"/>
                <w:sz w:val="24"/>
                <w:szCs w:val="22"/>
                <w:highlight w:val="none"/>
              </w:rPr>
              <w:t>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公厕保洁人员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rPr>
              <w:t>保洁员</w:t>
            </w:r>
            <w:r>
              <w:rPr>
                <w:rFonts w:hint="eastAsia" w:asciiTheme="majorEastAsia" w:hAnsiTheme="majorEastAsia" w:eastAsiaTheme="majorEastAsia" w:cstheme="majorEastAsia"/>
                <w:color w:val="auto"/>
                <w:sz w:val="24"/>
                <w:szCs w:val="22"/>
                <w:highlight w:val="none"/>
                <w:lang w:val="en-US" w:eastAsia="zh-CN"/>
              </w:rPr>
              <w:t>相关人员</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绿化养护人员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宋体" w:hAnsi="宋体" w:eastAsia="宋体" w:cs="宋体"/>
                <w:color w:val="auto"/>
                <w:sz w:val="24"/>
                <w:szCs w:val="22"/>
                <w:highlight w:val="none"/>
              </w:rPr>
              <w:t>绿化养护员</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14人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3" w:hRule="atLeast"/>
          <w:jc w:val="center"/>
        </w:trPr>
        <w:tc>
          <w:tcPr>
            <w:tcW w:w="9132" w:type="dxa"/>
            <w:gridSpan w:val="4"/>
            <w:noWrap w:val="0"/>
            <w:vAlign w:val="center"/>
          </w:tcPr>
          <w:p>
            <w:pPr>
              <w:pStyle w:val="3"/>
              <w:spacing w:line="360" w:lineRule="auto"/>
              <w:ind w:firstLine="0" w:firstLineChars="0"/>
              <w:rPr>
                <w:rFonts w:hint="eastAsia" w:asciiTheme="majorEastAsia" w:hAnsiTheme="majorEastAsia" w:eastAsiaTheme="majorEastAsia" w:cstheme="majorEastAsia"/>
                <w:color w:val="auto"/>
                <w:kern w:val="2"/>
                <w:sz w:val="24"/>
                <w:szCs w:val="22"/>
                <w:highlight w:val="none"/>
                <w:lang w:val="en-US" w:eastAsia="zh-CN" w:bidi="ar-SA"/>
              </w:rPr>
            </w:pPr>
            <w:r>
              <w:rPr>
                <w:rFonts w:hint="eastAsia" w:asciiTheme="majorEastAsia" w:hAnsiTheme="majorEastAsia" w:eastAsiaTheme="majorEastAsia" w:cstheme="majorEastAsia"/>
                <w:color w:val="auto"/>
                <w:kern w:val="2"/>
                <w:sz w:val="24"/>
                <w:szCs w:val="22"/>
                <w:highlight w:val="none"/>
                <w:lang w:val="en-US" w:eastAsia="zh-CN" w:bidi="ar-SA"/>
              </w:rPr>
              <w:t>注：1、投入的人数不得少于上表要求的人员数量。二级道路保洁时间均不少于18小时，人均清扫保洁面积按9000平方米，每岗清扫人员安排以作业时间8小时计轮班，供应商应根据以上保洁人员数量做好轮班。</w:t>
            </w:r>
          </w:p>
          <w:p>
            <w:pPr>
              <w:pStyle w:val="3"/>
              <w:spacing w:line="360" w:lineRule="auto"/>
              <w:ind w:firstLine="480" w:firstLineChars="200"/>
              <w:rPr>
                <w:rFonts w:hint="eastAsia" w:asciiTheme="majorEastAsia" w:hAnsiTheme="majorEastAsia" w:eastAsiaTheme="majorEastAsia" w:cstheme="majorEastAsia"/>
                <w:color w:val="auto"/>
                <w:kern w:val="2"/>
                <w:sz w:val="24"/>
                <w:szCs w:val="22"/>
                <w:highlight w:val="none"/>
                <w:lang w:val="en-US" w:eastAsia="zh-CN" w:bidi="ar-SA"/>
              </w:rPr>
            </w:pPr>
            <w:r>
              <w:rPr>
                <w:rFonts w:hint="eastAsia" w:asciiTheme="majorEastAsia" w:hAnsiTheme="majorEastAsia" w:eastAsiaTheme="majorEastAsia" w:cstheme="majorEastAsia"/>
                <w:color w:val="auto"/>
                <w:kern w:val="2"/>
                <w:sz w:val="24"/>
                <w:szCs w:val="22"/>
                <w:highlight w:val="none"/>
                <w:lang w:val="en-US" w:eastAsia="zh-CN" w:bidi="ar-SA"/>
              </w:rPr>
              <w:t>2、绿化养护人员不少于2人/万平方米。</w:t>
            </w:r>
          </w:p>
          <w:p>
            <w:pPr>
              <w:pStyle w:val="3"/>
              <w:spacing w:line="360" w:lineRule="auto"/>
              <w:ind w:firstLine="480" w:firstLineChars="200"/>
              <w:rPr>
                <w:rFonts w:hint="eastAsia" w:asciiTheme="majorEastAsia" w:hAnsiTheme="majorEastAsia" w:eastAsiaTheme="majorEastAsia" w:cstheme="majorEastAsia"/>
                <w:bCs/>
                <w:color w:val="auto"/>
                <w:sz w:val="24"/>
                <w:szCs w:val="22"/>
                <w:highlight w:val="none"/>
                <w:lang w:val="en-US" w:eastAsia="zh-CN"/>
              </w:rPr>
            </w:pPr>
            <w:r>
              <w:rPr>
                <w:rFonts w:hint="eastAsia" w:asciiTheme="majorEastAsia" w:hAnsiTheme="majorEastAsia" w:eastAsiaTheme="majorEastAsia" w:cstheme="majorEastAsia"/>
                <w:color w:val="auto"/>
                <w:kern w:val="2"/>
                <w:sz w:val="24"/>
                <w:szCs w:val="22"/>
                <w:highlight w:val="none"/>
                <w:lang w:val="en-US" w:eastAsia="zh-CN" w:bidi="ar-SA"/>
              </w:rPr>
              <w:t>3、所有的人工费用均应考虑在投标总价中。</w:t>
            </w:r>
          </w:p>
        </w:tc>
      </w:tr>
    </w:tbl>
    <w:p>
      <w:pPr>
        <w:pStyle w:val="82"/>
        <w:jc w:val="both"/>
        <w:rPr>
          <w:rFonts w:hint="eastAsia" w:asciiTheme="majorEastAsia" w:hAnsiTheme="majorEastAsia" w:eastAsiaTheme="majorEastAsia" w:cstheme="majorEastAsia"/>
          <w:b/>
          <w:bCs/>
          <w:color w:val="auto"/>
          <w:sz w:val="24"/>
          <w:highlight w:val="none"/>
          <w:lang w:val="zh-CN" w:eastAsia="zh-CN"/>
        </w:rPr>
      </w:pPr>
    </w:p>
    <w:p>
      <w:pPr>
        <w:pStyle w:val="82"/>
        <w:jc w:val="both"/>
        <w:rPr>
          <w:rFonts w:hint="eastAsia" w:asciiTheme="majorEastAsia" w:hAnsiTheme="majorEastAsia" w:eastAsiaTheme="majorEastAsia" w:cstheme="majorEastAsia"/>
          <w:b/>
          <w:bCs/>
          <w:color w:val="auto"/>
          <w:sz w:val="24"/>
          <w:highlight w:val="none"/>
          <w:lang w:val="zh-CN" w:eastAsia="zh-CN"/>
        </w:rPr>
      </w:pPr>
    </w:p>
    <w:p>
      <w:pPr>
        <w:pStyle w:val="82"/>
        <w:jc w:val="both"/>
        <w:rPr>
          <w:rFonts w:hint="eastAsia" w:asciiTheme="majorEastAsia" w:hAnsiTheme="majorEastAsia" w:eastAsiaTheme="majorEastAsia" w:cstheme="majorEastAsia"/>
          <w:b/>
          <w:bCs/>
          <w:color w:val="auto"/>
          <w:sz w:val="24"/>
          <w:highlight w:val="none"/>
          <w:lang w:val="zh-CN" w:eastAsia="zh-CN"/>
        </w:rPr>
      </w:pPr>
    </w:p>
    <w:p>
      <w:pPr>
        <w:pStyle w:val="82"/>
        <w:jc w:val="both"/>
        <w:rPr>
          <w:rFonts w:hint="eastAsia" w:asciiTheme="majorEastAsia" w:hAnsiTheme="majorEastAsia" w:eastAsiaTheme="majorEastAsia" w:cstheme="majorEastAsia"/>
          <w:b/>
          <w:bCs/>
          <w:color w:val="auto"/>
          <w:szCs w:val="24"/>
          <w:highlight w:val="none"/>
          <w:lang w:val="en-US"/>
        </w:rPr>
      </w:pPr>
      <w:r>
        <w:rPr>
          <w:rFonts w:hint="eastAsia" w:ascii="华文仿宋" w:hAnsi="华文仿宋" w:eastAsia="华文仿宋" w:cs="宋体"/>
          <w:b/>
          <w:sz w:val="24"/>
          <w:highlight w:val="none"/>
        </w:rPr>
        <w:t>▲</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供应商拟投入本项目机具基本要求（供应商必须根据要求提供证明材料，不提供或提供不全的，视为不满足，作无效标处理）</w:t>
      </w:r>
    </w:p>
    <w:tbl>
      <w:tblPr>
        <w:tblStyle w:val="64"/>
        <w:tblpPr w:leftFromText="180" w:rightFromText="180" w:vertAnchor="text" w:horzAnchor="page" w:tblpX="1457" w:tblpY="772"/>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8"/>
        <w:gridCol w:w="2550"/>
        <w:gridCol w:w="98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序号</w:t>
            </w:r>
          </w:p>
        </w:tc>
        <w:tc>
          <w:tcPr>
            <w:tcW w:w="2018"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设备名称</w:t>
            </w:r>
          </w:p>
        </w:tc>
        <w:tc>
          <w:tcPr>
            <w:tcW w:w="2550"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规格要求</w:t>
            </w:r>
          </w:p>
        </w:tc>
        <w:tc>
          <w:tcPr>
            <w:tcW w:w="982"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最低数量要求</w:t>
            </w:r>
          </w:p>
        </w:tc>
        <w:tc>
          <w:tcPr>
            <w:tcW w:w="2823" w:type="dxa"/>
            <w:tcBorders>
              <w:left w:val="single" w:color="auto" w:sz="4" w:space="0"/>
              <w:bottom w:val="single" w:color="auto" w:sz="4" w:space="0"/>
            </w:tcBorders>
            <w:noWrap w:val="0"/>
            <w:vAlign w:val="center"/>
          </w:tcPr>
          <w:p>
            <w:pPr>
              <w:pStyle w:val="3"/>
              <w:wordWrap/>
              <w:spacing w:line="500" w:lineRule="exact"/>
              <w:ind w:left="0" w:leftChars="0" w:firstLine="0" w:firstLineChars="0"/>
              <w:jc w:val="center"/>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清洗车(洒水车)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总质量16吨及以上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2辆</w:t>
            </w:r>
          </w:p>
        </w:tc>
        <w:tc>
          <w:tcPr>
            <w:tcW w:w="2823" w:type="dxa"/>
            <w:vMerge w:val="restart"/>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注：1）必须上牌的车辆在投标文件中同时提供车辆行驶证、购车发票、车辆登记证扫描件、清晰带有车牌号的正面、45度斜侧面的照片（其中小型清扫车如为新能源的无需提供车辆行驶证和车辆登记证）；否则不予认可。按国家规定无需上牌的车辆、设备，在投标文件中同时提供购买发票、车辆或设备照片，否则不予认可。</w:t>
            </w:r>
          </w:p>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2）提供车辆、设备仅用于本保洁项目的书面承诺书（格式自拟）。</w:t>
            </w:r>
          </w:p>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3）车辆、设备必须为供应商自有，含分公司自有。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三合一洗扫车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总质量12吨及以上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多功能抑尘车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高压冲洗车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护栏清洗车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240" w:firstLineChars="100"/>
              <w:jc w:val="left"/>
              <w:textAlignment w:val="auto"/>
              <w:rPr>
                <w:rFonts w:hint="eastAsia" w:asciiTheme="majorEastAsia" w:hAnsiTheme="majorEastAsia" w:eastAsiaTheme="majorEastAsia" w:cstheme="majorEastAsia"/>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机械化除雪设备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（除雪车、大型铲车、加装式铲雪板、滚雪装置、加装式除雪板或山猫、凯斯等大型除雪设备）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小型清扫车（用于慢车道作业）</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总质量5吨及以下或新能源</w:t>
            </w: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巡查保障车</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高空作业登高车</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c>
          <w:tcPr>
            <w:tcW w:w="982" w:type="dxa"/>
            <w:tcBorders>
              <w:top w:val="single" w:color="auto" w:sz="4" w:space="0"/>
              <w:left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割灌机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c>
          <w:tcPr>
            <w:tcW w:w="982" w:type="dxa"/>
            <w:tcBorders>
              <w:left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宋体" w:hAnsi="宋体" w:eastAsia="宋体" w:cs="宋体"/>
                <w:color w:val="auto"/>
                <w:sz w:val="24"/>
                <w:highlight w:val="none"/>
                <w:lang w:val="en-US" w:eastAsia="zh-CN"/>
              </w:rPr>
              <w:t>2台</w:t>
            </w:r>
          </w:p>
        </w:tc>
        <w:tc>
          <w:tcPr>
            <w:tcW w:w="2823" w:type="dxa"/>
            <w:vMerge w:val="continue"/>
            <w:tcBorders>
              <w:left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绿篱机（修剪机）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c>
          <w:tcPr>
            <w:tcW w:w="982"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宋体" w:hAnsi="宋体" w:eastAsia="宋体" w:cs="宋体"/>
                <w:color w:val="auto"/>
                <w:sz w:val="24"/>
                <w:highlight w:val="none"/>
                <w:lang w:val="en-US" w:eastAsia="zh-CN"/>
              </w:rPr>
              <w:t>2台</w:t>
            </w:r>
          </w:p>
        </w:tc>
        <w:tc>
          <w:tcPr>
            <w:tcW w:w="2823" w:type="dxa"/>
            <w:vMerge w:val="continue"/>
            <w:tcBorders>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bl>
    <w:p>
      <w:pPr>
        <w:widowControl/>
        <w:numPr>
          <w:ilvl w:val="0"/>
          <w:numId w:val="0"/>
        </w:numPr>
        <w:spacing w:line="600" w:lineRule="exact"/>
        <w:rPr>
          <w:rFonts w:hint="eastAsia" w:asciiTheme="majorEastAsia" w:hAnsiTheme="majorEastAsia" w:eastAsiaTheme="majorEastAsia" w:cstheme="majorEastAsia"/>
          <w:color w:val="auto"/>
          <w:sz w:val="24"/>
          <w:highlight w:val="none"/>
          <w:lang w:val="en-US" w:eastAsia="zh-CN"/>
        </w:rPr>
      </w:pPr>
      <w:r>
        <w:rPr>
          <w:rFonts w:hint="eastAsia" w:ascii="华文仿宋" w:hAnsi="华文仿宋" w:eastAsia="华文仿宋" w:cs="宋体"/>
          <w:b/>
          <w:sz w:val="24"/>
          <w:highlight w:val="none"/>
        </w:rPr>
        <w:t>▲</w:t>
      </w:r>
      <w:r>
        <w:rPr>
          <w:rFonts w:hint="eastAsia" w:asciiTheme="majorEastAsia" w:hAnsiTheme="majorEastAsia" w:eastAsiaTheme="majorEastAsia" w:cstheme="majorEastAsia"/>
          <w:color w:val="auto"/>
          <w:sz w:val="24"/>
          <w:highlight w:val="none"/>
          <w:lang w:val="en-US" w:eastAsia="zh-CN"/>
        </w:rPr>
        <w:t>注：以上设备要求中标单位须在收到中标通知书之日起10天内自行配备到位，并在投标文件中承诺，</w:t>
      </w:r>
      <w:r>
        <w:rPr>
          <w:rFonts w:hint="eastAsia" w:asciiTheme="majorEastAsia" w:hAnsiTheme="majorEastAsia" w:eastAsiaTheme="majorEastAsia" w:cstheme="majorEastAsia"/>
          <w:color w:val="auto"/>
          <w:sz w:val="24"/>
          <w:highlight w:val="none"/>
        </w:rPr>
        <w:t>否则视为不满足</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pStyle w:val="3"/>
        <w:adjustRightInd w:val="0"/>
        <w:spacing w:line="480" w:lineRule="exact"/>
        <w:ind w:firstLine="0"/>
        <w:rPr>
          <w:rFonts w:hint="eastAsia" w:asciiTheme="majorEastAsia" w:hAnsiTheme="majorEastAsia" w:eastAsiaTheme="majorEastAsia" w:cstheme="majorEastAsia"/>
          <w:b/>
          <w:color w:val="auto"/>
          <w:kern w:val="0"/>
          <w:highlight w:val="none"/>
          <w:lang w:val="en-US" w:eastAsia="zh-CN"/>
        </w:rPr>
      </w:pPr>
      <w:r>
        <w:rPr>
          <w:rFonts w:hint="eastAsia" w:asciiTheme="majorEastAsia" w:hAnsiTheme="majorEastAsia" w:eastAsiaTheme="majorEastAsia" w:cstheme="majorEastAsia"/>
          <w:b/>
          <w:color w:val="auto"/>
          <w:kern w:val="0"/>
          <w:highlight w:val="none"/>
          <w:lang w:val="en-US" w:eastAsia="zh-CN"/>
        </w:rPr>
        <w:t>五、检查考核办法及处罚制度</w:t>
      </w:r>
    </w:p>
    <w:p>
      <w:pPr>
        <w:adjustRightInd w:val="0"/>
        <w:snapToGrid w:val="0"/>
        <w:spacing w:line="360" w:lineRule="auto"/>
        <w:ind w:firstLine="482"/>
        <w:rPr>
          <w:rFonts w:hint="eastAsia" w:asciiTheme="majorEastAsia" w:hAnsiTheme="majorEastAsia" w:eastAsiaTheme="majorEastAsia" w:cstheme="majorEastAsia"/>
          <w:b/>
          <w:color w:val="auto"/>
          <w:kern w:val="0"/>
          <w:sz w:val="24"/>
          <w:szCs w:val="24"/>
          <w:highlight w:val="none"/>
        </w:rPr>
      </w:pPr>
    </w:p>
    <w:p>
      <w:pPr>
        <w:adjustRightInd w:val="0"/>
        <w:snapToGrid w:val="0"/>
        <w:spacing w:line="360" w:lineRule="auto"/>
        <w:ind w:firstLine="482"/>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val="en-US" w:eastAsia="zh-CN"/>
        </w:rPr>
        <w:t>1</w:t>
      </w: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color w:val="000000"/>
          <w:sz w:val="24"/>
          <w:highlight w:val="none"/>
        </w:rPr>
        <w:t>采购单位将定期和不定期地对供应商管理服务进行检查和抽查，检查记录和整改时限反馈供应商，并将每</w:t>
      </w:r>
      <w:r>
        <w:rPr>
          <w:rFonts w:hint="eastAsia" w:asciiTheme="majorEastAsia" w:hAnsiTheme="majorEastAsia" w:eastAsiaTheme="majorEastAsia" w:cstheme="majorEastAsia"/>
          <w:color w:val="000000"/>
          <w:sz w:val="24"/>
          <w:highlight w:val="none"/>
          <w:lang w:eastAsia="zh-CN"/>
        </w:rPr>
        <w:t>月</w:t>
      </w:r>
      <w:r>
        <w:rPr>
          <w:rFonts w:hint="eastAsia" w:asciiTheme="majorEastAsia" w:hAnsiTheme="majorEastAsia" w:eastAsiaTheme="majorEastAsia" w:cstheme="majorEastAsia"/>
          <w:color w:val="000000"/>
          <w:sz w:val="24"/>
          <w:highlight w:val="none"/>
        </w:rPr>
        <w:t>考核结果进行反馈。服务方达不到采购单位要求及各项服务承诺，根据附件1、附件2、附件</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的考核细则进行处罚，并且采购单位有权要求其整改，直至扣款或终止合同。</w:t>
      </w:r>
    </w:p>
    <w:p>
      <w:pPr>
        <w:tabs>
          <w:tab w:val="left" w:pos="8400"/>
        </w:tabs>
        <w:spacing w:line="440" w:lineRule="exact"/>
        <w:ind w:firstLine="472" w:firstLineChars="196"/>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val="en-US" w:eastAsia="zh-CN"/>
        </w:rPr>
        <w:t>2</w:t>
      </w: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eastAsia="zh-CN"/>
        </w:rPr>
        <w:t>处罚</w:t>
      </w:r>
      <w:r>
        <w:rPr>
          <w:rFonts w:hint="eastAsia" w:asciiTheme="majorEastAsia" w:hAnsiTheme="majorEastAsia" w:eastAsiaTheme="majorEastAsia" w:cstheme="majorEastAsia"/>
          <w:b/>
          <w:color w:val="auto"/>
          <w:kern w:val="0"/>
          <w:sz w:val="24"/>
          <w:szCs w:val="24"/>
          <w:highlight w:val="none"/>
        </w:rPr>
        <w:t>措施</w:t>
      </w:r>
      <w:r>
        <w:rPr>
          <w:rFonts w:hint="eastAsia" w:asciiTheme="majorEastAsia" w:hAnsiTheme="majorEastAsia" w:eastAsiaTheme="majorEastAsia" w:cstheme="majorEastAsia"/>
          <w:b/>
          <w:color w:val="auto"/>
          <w:kern w:val="0"/>
          <w:sz w:val="24"/>
          <w:szCs w:val="24"/>
          <w:highlight w:val="none"/>
          <w:lang w:eastAsia="zh-CN"/>
        </w:rPr>
        <w:t>：</w:t>
      </w:r>
      <w:r>
        <w:rPr>
          <w:rFonts w:hint="eastAsia" w:asciiTheme="majorEastAsia" w:hAnsiTheme="majorEastAsia" w:eastAsiaTheme="majorEastAsia" w:cstheme="majorEastAsia"/>
          <w:color w:val="auto"/>
          <w:sz w:val="24"/>
          <w:highlight w:val="none"/>
        </w:rPr>
        <w:t>月度考核成绩得分在9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分（含）以上的，全额支付当月</w:t>
      </w:r>
      <w:r>
        <w:rPr>
          <w:rFonts w:hint="eastAsia" w:asciiTheme="majorEastAsia" w:hAnsiTheme="majorEastAsia" w:eastAsiaTheme="majorEastAsia" w:cstheme="majorEastAsia"/>
          <w:color w:val="auto"/>
          <w:sz w:val="24"/>
          <w:highlight w:val="none"/>
          <w:lang w:eastAsia="zh-CN"/>
        </w:rPr>
        <w:t>综合养护</w:t>
      </w:r>
      <w:r>
        <w:rPr>
          <w:rFonts w:hint="eastAsia" w:asciiTheme="majorEastAsia" w:hAnsiTheme="majorEastAsia" w:eastAsiaTheme="majorEastAsia" w:cstheme="majorEastAsia"/>
          <w:color w:val="auto"/>
          <w:sz w:val="24"/>
          <w:highlight w:val="none"/>
        </w:rPr>
        <w:t>经费；月度考核得分在9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分—9</w:t>
      </w:r>
      <w:r>
        <w:rPr>
          <w:rFonts w:hint="eastAsia" w:asciiTheme="majorEastAsia" w:hAnsiTheme="majorEastAsia" w:eastAsiaTheme="majorEastAsia" w:cstheme="majorEastAsia"/>
          <w:color w:val="auto"/>
          <w:sz w:val="24"/>
          <w:highlight w:val="none"/>
          <w:lang w:val="en-US" w:eastAsia="zh-CN"/>
        </w:rPr>
        <w:t>0</w:t>
      </w:r>
      <w:r>
        <w:rPr>
          <w:rFonts w:hint="eastAsia" w:asciiTheme="majorEastAsia" w:hAnsiTheme="majorEastAsia" w:eastAsiaTheme="majorEastAsia" w:cstheme="majorEastAsia"/>
          <w:color w:val="auto"/>
          <w:sz w:val="24"/>
          <w:highlight w:val="none"/>
        </w:rPr>
        <w:t>分（含）的，9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分以下每扣0.1分扣除当月</w:t>
      </w:r>
      <w:r>
        <w:rPr>
          <w:rFonts w:hint="eastAsia" w:asciiTheme="majorEastAsia" w:hAnsiTheme="majorEastAsia" w:eastAsiaTheme="majorEastAsia" w:cstheme="majorEastAsia"/>
          <w:color w:val="auto"/>
          <w:sz w:val="24"/>
          <w:highlight w:val="none"/>
          <w:lang w:eastAsia="zh-CN"/>
        </w:rPr>
        <w:t>综合养护</w:t>
      </w:r>
      <w:r>
        <w:rPr>
          <w:rFonts w:hint="eastAsia" w:asciiTheme="majorEastAsia" w:hAnsiTheme="majorEastAsia" w:eastAsiaTheme="majorEastAsia" w:cstheme="majorEastAsia"/>
          <w:color w:val="auto"/>
          <w:sz w:val="24"/>
          <w:highlight w:val="none"/>
        </w:rPr>
        <w:t>费总额的0.1%，以此类推；月度考核得分90分以下的，除按上述标准扣除外，再加扣90分以下每失0.1分扣除当月</w:t>
      </w:r>
      <w:r>
        <w:rPr>
          <w:rFonts w:hint="eastAsia" w:asciiTheme="majorEastAsia" w:hAnsiTheme="majorEastAsia" w:eastAsiaTheme="majorEastAsia" w:cstheme="majorEastAsia"/>
          <w:color w:val="auto"/>
          <w:sz w:val="24"/>
          <w:highlight w:val="none"/>
          <w:lang w:eastAsia="zh-CN"/>
        </w:rPr>
        <w:t>综合养护</w:t>
      </w:r>
      <w:r>
        <w:rPr>
          <w:rFonts w:hint="eastAsia" w:asciiTheme="majorEastAsia" w:hAnsiTheme="majorEastAsia" w:eastAsiaTheme="majorEastAsia" w:cstheme="majorEastAsia"/>
          <w:color w:val="auto"/>
          <w:sz w:val="24"/>
          <w:highlight w:val="none"/>
        </w:rPr>
        <w:t>费总额的0.2%，</w:t>
      </w:r>
      <w:r>
        <w:rPr>
          <w:rFonts w:hint="eastAsia" w:asciiTheme="majorEastAsia" w:hAnsiTheme="majorEastAsia" w:eastAsiaTheme="majorEastAsia" w:cstheme="majorEastAsia"/>
          <w:color w:val="auto"/>
          <w:sz w:val="24"/>
          <w:highlight w:val="none"/>
          <w:lang w:val="en-US" w:eastAsia="zh-CN"/>
        </w:rPr>
        <w:t>被市级考核发现的问题每项扣款2000元，被区级考核发现的问题每项扣款1000元，被街道考核发现的问题每项扣款500元（上述扣款如低于合同扣款标准的以合同扣款标准为准）</w:t>
      </w:r>
      <w:r>
        <w:rPr>
          <w:rFonts w:hint="eastAsia" w:asciiTheme="majorEastAsia" w:hAnsiTheme="majorEastAsia" w:eastAsiaTheme="majorEastAsia" w:cstheme="majorEastAsia"/>
          <w:color w:val="auto"/>
          <w:sz w:val="24"/>
          <w:highlight w:val="none"/>
        </w:rPr>
        <w:t>以此类推。</w:t>
      </w:r>
      <w:r>
        <w:rPr>
          <w:rFonts w:hint="eastAsia" w:asciiTheme="majorEastAsia" w:hAnsiTheme="majorEastAsia" w:eastAsiaTheme="majorEastAsia" w:cstheme="majorEastAsia"/>
          <w:color w:val="auto"/>
          <w:kern w:val="0"/>
          <w:sz w:val="24"/>
          <w:highlight w:val="none"/>
          <w:lang w:eastAsia="zh-CN"/>
        </w:rPr>
        <w:t>除此之外：</w:t>
      </w:r>
      <w:r>
        <w:rPr>
          <w:rFonts w:hint="eastAsia" w:asciiTheme="majorEastAsia" w:hAnsiTheme="majorEastAsia" w:eastAsiaTheme="majorEastAsia" w:cstheme="majorEastAsia"/>
          <w:color w:val="auto"/>
          <w:kern w:val="0"/>
          <w:sz w:val="24"/>
          <w:highlight w:val="none"/>
          <w:lang w:val="en-US" w:eastAsia="zh-CN"/>
        </w:rPr>
        <w:t>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3、</w:t>
      </w:r>
      <w:r>
        <w:rPr>
          <w:rFonts w:hint="eastAsia" w:asciiTheme="majorEastAsia" w:hAnsiTheme="majorEastAsia" w:eastAsiaTheme="majorEastAsia" w:cstheme="majorEastAsia"/>
          <w:color w:val="auto"/>
          <w:kern w:val="0"/>
          <w:sz w:val="24"/>
          <w:highlight w:val="none"/>
          <w:lang w:eastAsia="zh-CN"/>
        </w:rPr>
        <w:t>因</w:t>
      </w:r>
      <w:r>
        <w:rPr>
          <w:rFonts w:hint="eastAsia" w:asciiTheme="majorEastAsia" w:hAnsiTheme="majorEastAsia" w:eastAsiaTheme="majorEastAsia" w:cstheme="majorEastAsia"/>
          <w:color w:val="auto"/>
          <w:kern w:val="0"/>
          <w:sz w:val="24"/>
          <w:highlight w:val="none"/>
          <w:lang w:val="en-US" w:eastAsia="zh-CN"/>
        </w:rPr>
        <w:t>被上级部门评比为最不清洁城市道路的每条扣款5万元，最不整洁城市公厕的，每座扣款1万元。</w:t>
      </w:r>
    </w:p>
    <w:p>
      <w:pPr>
        <w:widowControl/>
        <w:adjustRightInd w:val="0"/>
        <w:snapToGrid w:val="0"/>
        <w:jc w:val="center"/>
        <w:rPr>
          <w:rFonts w:hint="eastAsia" w:asciiTheme="majorEastAsia" w:hAnsiTheme="majorEastAsia" w:eastAsiaTheme="majorEastAsia" w:cstheme="majorEastAsia"/>
          <w:b/>
          <w:bCs/>
          <w:color w:val="auto"/>
          <w:kern w:val="0"/>
          <w:sz w:val="30"/>
          <w:szCs w:val="30"/>
          <w:highlight w:val="none"/>
        </w:rPr>
      </w:pPr>
    </w:p>
    <w:p>
      <w:pPr>
        <w:widowControl/>
        <w:adjustRightInd w:val="0"/>
        <w:snapToGrid w:val="0"/>
        <w:jc w:val="center"/>
        <w:rPr>
          <w:rFonts w:hint="eastAsia" w:asciiTheme="majorEastAsia" w:hAnsiTheme="majorEastAsia" w:eastAsiaTheme="majorEastAsia" w:cstheme="majorEastAsia"/>
          <w:b/>
          <w:bCs/>
          <w:color w:val="auto"/>
          <w:kern w:val="0"/>
          <w:sz w:val="30"/>
          <w:szCs w:val="30"/>
          <w:highlight w:val="none"/>
        </w:rPr>
      </w:pPr>
    </w:p>
    <w:p>
      <w:pPr>
        <w:pStyle w:val="2"/>
        <w:rPr>
          <w:rFonts w:hint="eastAsia" w:asciiTheme="majorEastAsia" w:hAnsiTheme="majorEastAsia" w:eastAsiaTheme="majorEastAsia" w:cstheme="majorEastAsia"/>
          <w:b/>
          <w:bCs/>
          <w:color w:val="auto"/>
          <w:kern w:val="0"/>
          <w:sz w:val="30"/>
          <w:szCs w:val="30"/>
          <w:highlight w:val="none"/>
        </w:rPr>
      </w:pPr>
    </w:p>
    <w:p>
      <w:pPr>
        <w:widowControl/>
        <w:adjustRightInd w:val="0"/>
        <w:snapToGrid w:val="0"/>
        <w:jc w:val="center"/>
        <w:rPr>
          <w:rFonts w:hint="eastAsia" w:asciiTheme="majorEastAsia" w:hAnsiTheme="majorEastAsia" w:eastAsiaTheme="majorEastAsia" w:cstheme="majorEastAsia"/>
          <w:b/>
          <w:bCs/>
          <w:color w:val="auto"/>
          <w:kern w:val="0"/>
          <w:sz w:val="30"/>
          <w:szCs w:val="30"/>
          <w:highlight w:val="none"/>
        </w:rPr>
      </w:pPr>
    </w:p>
    <w:p>
      <w:pPr>
        <w:widowControl/>
        <w:adjustRightInd w:val="0"/>
        <w:snapToGrid w:val="0"/>
        <w:jc w:val="center"/>
        <w:rPr>
          <w:rFonts w:hint="eastAsia"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附件1、城市道路保洁分类管理考核评分标准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
        <w:gridCol w:w="1085"/>
        <w:gridCol w:w="595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9" w:type="dxa"/>
            <w:gridSpan w:val="2"/>
            <w:noWrap w:val="0"/>
            <w:vAlign w:val="center"/>
          </w:tcPr>
          <w:p>
            <w:pPr>
              <w:spacing w:line="300" w:lineRule="exact"/>
              <w:jc w:val="center"/>
              <w:rPr>
                <w:rFonts w:hint="eastAsia" w:ascii="仿宋_GB2312" w:hAnsi="仿宋" w:eastAsia="仿宋_GB2312" w:cs="仿宋"/>
                <w:b/>
                <w:sz w:val="21"/>
                <w:szCs w:val="21"/>
                <w:highlight w:val="none"/>
              </w:rPr>
            </w:pPr>
            <w:r>
              <w:rPr>
                <w:rFonts w:hint="eastAsia" w:ascii="仿宋_GB2312" w:hAnsi="仿宋" w:eastAsia="仿宋_GB2312" w:cs="仿宋"/>
                <w:b/>
                <w:sz w:val="21"/>
                <w:szCs w:val="21"/>
                <w:highlight w:val="none"/>
              </w:rPr>
              <w:t>考核项目</w:t>
            </w:r>
          </w:p>
        </w:tc>
        <w:tc>
          <w:tcPr>
            <w:tcW w:w="1085" w:type="dxa"/>
            <w:noWrap w:val="0"/>
            <w:vAlign w:val="center"/>
          </w:tcPr>
          <w:p>
            <w:pPr>
              <w:spacing w:line="300" w:lineRule="exact"/>
              <w:jc w:val="center"/>
              <w:rPr>
                <w:rFonts w:hint="eastAsia" w:ascii="仿宋_GB2312" w:hAnsi="仿宋" w:eastAsia="仿宋_GB2312" w:cs="仿宋"/>
                <w:b/>
                <w:sz w:val="21"/>
                <w:szCs w:val="21"/>
                <w:highlight w:val="none"/>
              </w:rPr>
            </w:pPr>
            <w:r>
              <w:rPr>
                <w:rFonts w:hint="eastAsia" w:ascii="仿宋_GB2312" w:hAnsi="仿宋" w:eastAsia="仿宋_GB2312" w:cs="仿宋"/>
                <w:b/>
                <w:sz w:val="21"/>
                <w:szCs w:val="21"/>
                <w:highlight w:val="none"/>
              </w:rPr>
              <w:t>项目内容</w:t>
            </w:r>
          </w:p>
        </w:tc>
        <w:tc>
          <w:tcPr>
            <w:tcW w:w="5953" w:type="dxa"/>
            <w:noWrap w:val="0"/>
            <w:vAlign w:val="center"/>
          </w:tcPr>
          <w:p>
            <w:pPr>
              <w:spacing w:line="300" w:lineRule="exact"/>
              <w:jc w:val="center"/>
              <w:rPr>
                <w:rFonts w:hint="eastAsia" w:ascii="仿宋_GB2312" w:hAnsi="仿宋" w:eastAsia="仿宋_GB2312" w:cs="仿宋"/>
                <w:b/>
                <w:sz w:val="21"/>
                <w:szCs w:val="21"/>
                <w:highlight w:val="none"/>
              </w:rPr>
            </w:pPr>
            <w:r>
              <w:rPr>
                <w:rFonts w:hint="eastAsia" w:ascii="仿宋_GB2312" w:hAnsi="仿宋" w:eastAsia="仿宋_GB2312" w:cs="仿宋"/>
                <w:b/>
                <w:sz w:val="21"/>
                <w:szCs w:val="21"/>
                <w:highlight w:val="none"/>
              </w:rPr>
              <w:t>评分标准</w:t>
            </w:r>
          </w:p>
        </w:tc>
        <w:tc>
          <w:tcPr>
            <w:tcW w:w="818" w:type="dxa"/>
            <w:noWrap w:val="0"/>
            <w:vAlign w:val="center"/>
          </w:tcPr>
          <w:p>
            <w:pPr>
              <w:spacing w:line="300" w:lineRule="exact"/>
              <w:jc w:val="center"/>
              <w:rPr>
                <w:rFonts w:hint="eastAsia" w:ascii="仿宋_GB2312" w:hAnsi="仿宋" w:eastAsia="仿宋_GB2312" w:cs="仿宋"/>
                <w:b/>
                <w:sz w:val="21"/>
                <w:szCs w:val="21"/>
                <w:highlight w:val="none"/>
              </w:rPr>
            </w:pPr>
            <w:r>
              <w:rPr>
                <w:rFonts w:hint="eastAsia" w:ascii="仿宋_GB2312" w:hAnsi="仿宋" w:eastAsia="仿宋_GB2312" w:cs="仿宋"/>
                <w:b/>
                <w:sz w:val="21"/>
                <w:szCs w:val="21"/>
                <w:highlight w:val="none"/>
              </w:rPr>
              <w:t>考核</w:t>
            </w:r>
          </w:p>
          <w:p>
            <w:pPr>
              <w:spacing w:line="300" w:lineRule="exact"/>
              <w:jc w:val="center"/>
              <w:rPr>
                <w:rFonts w:hint="eastAsia" w:ascii="仿宋_GB2312" w:hAnsi="仿宋" w:eastAsia="仿宋_GB2312" w:cs="仿宋"/>
                <w:b/>
                <w:sz w:val="21"/>
                <w:szCs w:val="21"/>
                <w:highlight w:val="none"/>
              </w:rPr>
            </w:pPr>
            <w:r>
              <w:rPr>
                <w:rFonts w:hint="eastAsia" w:ascii="仿宋_GB2312" w:hAnsi="仿宋" w:eastAsia="仿宋_GB2312" w:cs="仿宋"/>
                <w:b/>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道路清扫保洁</w:t>
            </w: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日常保洁</w:t>
            </w:r>
          </w:p>
        </w:tc>
        <w:tc>
          <w:tcPr>
            <w:tcW w:w="5953" w:type="dxa"/>
            <w:shd w:val="clear" w:color="auto" w:fill="FFFFFF"/>
            <w:noWrap w:val="0"/>
            <w:vAlign w:val="center"/>
          </w:tcPr>
          <w:p>
            <w:pPr>
              <w:numPr>
                <w:ilvl w:val="0"/>
                <w:numId w:val="3"/>
              </w:numPr>
              <w:spacing w:line="260" w:lineRule="exact"/>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未在规定时间内普扫的每条扣5分，未全路段普扫的每条扣</w:t>
            </w:r>
            <w:r>
              <w:rPr>
                <w:rFonts w:hint="eastAsia" w:ascii="仿宋_GB2312" w:hAnsi="仿宋" w:eastAsia="仿宋_GB2312" w:cs="仿宋"/>
                <w:sz w:val="21"/>
                <w:szCs w:val="21"/>
                <w:highlight w:val="none"/>
                <w:lang w:val="en-US" w:eastAsia="zh-CN"/>
              </w:rPr>
              <w:t>2</w:t>
            </w:r>
            <w:r>
              <w:rPr>
                <w:rFonts w:hint="eastAsia" w:ascii="仿宋_GB2312" w:hAnsi="仿宋" w:eastAsia="仿宋_GB2312" w:cs="仿宋"/>
                <w:sz w:val="21"/>
                <w:szCs w:val="21"/>
                <w:highlight w:val="none"/>
              </w:rPr>
              <w:t>分，机扫路面后垃圾未吸净而形成条或小堆的或清扫时将垃圾扫入窨井、雨水井、绿地等，扣</w:t>
            </w:r>
            <w:r>
              <w:rPr>
                <w:rFonts w:hint="eastAsia" w:ascii="仿宋_GB2312" w:hAnsi="仿宋" w:eastAsia="仿宋_GB2312" w:cs="仿宋"/>
                <w:sz w:val="21"/>
                <w:szCs w:val="21"/>
                <w:highlight w:val="none"/>
                <w:lang w:val="en-US" w:eastAsia="zh-CN"/>
              </w:rPr>
              <w:t>2</w:t>
            </w:r>
            <w:r>
              <w:rPr>
                <w:rFonts w:hint="eastAsia" w:ascii="仿宋_GB2312" w:hAnsi="仿宋" w:eastAsia="仿宋_GB2312" w:cs="仿宋"/>
                <w:sz w:val="21"/>
                <w:szCs w:val="21"/>
                <w:highlight w:val="none"/>
              </w:rPr>
              <w:t>分；恶劣天气下，应急保障不力的扣3分</w:t>
            </w:r>
            <w:r>
              <w:rPr>
                <w:rFonts w:hint="eastAsia" w:ascii="仿宋_GB2312" w:hAnsi="仿宋" w:eastAsia="仿宋_GB2312" w:cs="仿宋"/>
                <w:sz w:val="21"/>
                <w:szCs w:val="21"/>
                <w:highlight w:val="none"/>
                <w:lang w:eastAsia="zh-CN"/>
              </w:rPr>
              <w:t>，有重要保障任务，应急响应不及时的扣</w:t>
            </w:r>
            <w:r>
              <w:rPr>
                <w:rFonts w:hint="eastAsia" w:ascii="仿宋_GB2312" w:hAnsi="仿宋" w:eastAsia="仿宋_GB2312" w:cs="仿宋"/>
                <w:sz w:val="21"/>
                <w:szCs w:val="21"/>
                <w:highlight w:val="none"/>
                <w:lang w:val="en-US" w:eastAsia="zh-CN"/>
              </w:rPr>
              <w:t>3分</w:t>
            </w:r>
            <w:r>
              <w:rPr>
                <w:rFonts w:hint="eastAsia" w:ascii="仿宋_GB2312" w:hAnsi="仿宋" w:eastAsia="仿宋_GB2312" w:cs="仿宋"/>
                <w:sz w:val="21"/>
                <w:szCs w:val="21"/>
                <w:highlight w:val="none"/>
              </w:rPr>
              <w:t>。2.</w:t>
            </w:r>
            <w:r>
              <w:rPr>
                <w:rFonts w:hint="eastAsia" w:ascii="仿宋_GB2312" w:hAnsi="宋体" w:eastAsia="仿宋_GB2312" w:cs="宋体"/>
                <w:kern w:val="0"/>
                <w:sz w:val="21"/>
                <w:szCs w:val="21"/>
                <w:highlight w:val="none"/>
              </w:rPr>
              <w:t>日常保洁及道路红线外3米范围内</w:t>
            </w:r>
            <w:r>
              <w:rPr>
                <w:rFonts w:hint="eastAsia" w:ascii="仿宋_GB2312" w:hAnsi="仿宋" w:eastAsia="仿宋_GB2312" w:cs="仿宋"/>
                <w:sz w:val="21"/>
                <w:szCs w:val="21"/>
                <w:highlight w:val="none"/>
              </w:rPr>
              <w:t>不符合环卫保洁要求每处扣</w:t>
            </w:r>
            <w:r>
              <w:rPr>
                <w:rFonts w:hint="eastAsia" w:ascii="仿宋_GB2312" w:hAnsi="仿宋" w:eastAsia="仿宋_GB2312" w:cs="仿宋"/>
                <w:sz w:val="21"/>
                <w:szCs w:val="21"/>
                <w:highlight w:val="none"/>
                <w:lang w:val="en-US" w:eastAsia="zh-CN"/>
              </w:rPr>
              <w:t>0.5</w:t>
            </w:r>
            <w:r>
              <w:rPr>
                <w:rFonts w:hint="eastAsia" w:ascii="仿宋_GB2312" w:hAnsi="仿宋" w:eastAsia="仿宋_GB2312" w:cs="仿宋"/>
                <w:sz w:val="21"/>
                <w:szCs w:val="21"/>
                <w:highlight w:val="none"/>
              </w:rPr>
              <w:t>-5分，其中，道路路面、绿化带、树圈等有</w:t>
            </w:r>
            <w:r>
              <w:rPr>
                <w:rFonts w:hint="eastAsia" w:ascii="仿宋_GB2312" w:hAnsi="仿宋" w:eastAsia="仿宋_GB2312" w:cs="仿宋"/>
                <w:sz w:val="21"/>
                <w:szCs w:val="21"/>
                <w:highlight w:val="none"/>
                <w:lang w:eastAsia="zh-CN"/>
              </w:rPr>
              <w:t>白</w:t>
            </w:r>
            <w:r>
              <w:rPr>
                <w:rFonts w:hint="eastAsia" w:ascii="仿宋_GB2312" w:hAnsi="仿宋" w:eastAsia="仿宋_GB2312" w:cs="仿宋"/>
                <w:sz w:val="21"/>
                <w:szCs w:val="21"/>
                <w:highlight w:val="none"/>
              </w:rPr>
              <w:t>色垃圾、烟蒂的，扣</w:t>
            </w:r>
            <w:r>
              <w:rPr>
                <w:rFonts w:hint="eastAsia" w:ascii="仿宋_GB2312" w:hAnsi="仿宋" w:eastAsia="仿宋_GB2312" w:cs="仿宋"/>
                <w:sz w:val="21"/>
                <w:szCs w:val="21"/>
                <w:highlight w:val="none"/>
                <w:lang w:val="en-US" w:eastAsia="zh-CN"/>
              </w:rPr>
              <w:t>0</w:t>
            </w:r>
            <w:r>
              <w:rPr>
                <w:rFonts w:hint="eastAsia" w:ascii="仿宋_GB2312" w:hAnsi="仿宋" w:eastAsia="仿宋_GB2312" w:cs="仿宋"/>
                <w:sz w:val="21"/>
                <w:szCs w:val="21"/>
                <w:highlight w:val="none"/>
              </w:rPr>
              <w:t>.5分；有卫生死角、道路外成堆暴露垃圾未清理每处扣</w:t>
            </w:r>
            <w:r>
              <w:rPr>
                <w:rFonts w:hint="eastAsia" w:ascii="仿宋_GB2312" w:hAnsi="仿宋" w:eastAsia="仿宋_GB2312" w:cs="仿宋"/>
                <w:sz w:val="21"/>
                <w:szCs w:val="21"/>
                <w:highlight w:val="none"/>
                <w:lang w:val="en-US" w:eastAsia="zh-CN"/>
              </w:rPr>
              <w:t>2</w:t>
            </w:r>
            <w:r>
              <w:rPr>
                <w:rFonts w:hint="eastAsia" w:ascii="仿宋_GB2312" w:hAnsi="仿宋" w:eastAsia="仿宋_GB2312" w:cs="仿宋"/>
                <w:sz w:val="21"/>
                <w:szCs w:val="21"/>
                <w:highlight w:val="none"/>
              </w:rPr>
              <w:t>分；路面积泥（砂石）的每处扣</w:t>
            </w:r>
            <w:r>
              <w:rPr>
                <w:rFonts w:hint="eastAsia" w:ascii="仿宋_GB2312" w:hAnsi="仿宋" w:eastAsia="仿宋_GB2312" w:cs="仿宋"/>
                <w:sz w:val="21"/>
                <w:szCs w:val="21"/>
                <w:highlight w:val="none"/>
                <w:lang w:val="en-US" w:eastAsia="zh-CN"/>
              </w:rPr>
              <w:t>1</w:t>
            </w:r>
            <w:r>
              <w:rPr>
                <w:rFonts w:hint="eastAsia" w:ascii="仿宋_GB2312" w:hAnsi="仿宋" w:eastAsia="仿宋_GB2312" w:cs="仿宋"/>
                <w:sz w:val="21"/>
                <w:szCs w:val="21"/>
                <w:highlight w:val="none"/>
              </w:rPr>
              <w:t>分；道路侧石积尘扣</w:t>
            </w:r>
            <w:r>
              <w:rPr>
                <w:rFonts w:hint="eastAsia" w:ascii="仿宋_GB2312" w:hAnsi="仿宋" w:eastAsia="仿宋_GB2312" w:cs="仿宋"/>
                <w:sz w:val="21"/>
                <w:szCs w:val="21"/>
                <w:highlight w:val="none"/>
                <w:lang w:val="en-US" w:eastAsia="zh-CN"/>
              </w:rPr>
              <w:t>0.5</w:t>
            </w:r>
            <w:r>
              <w:rPr>
                <w:rFonts w:hint="eastAsia" w:ascii="仿宋_GB2312" w:hAnsi="仿宋" w:eastAsia="仿宋_GB2312" w:cs="仿宋"/>
                <w:sz w:val="21"/>
                <w:szCs w:val="21"/>
                <w:highlight w:val="none"/>
              </w:rPr>
              <w:t>分，路面污渍、污水每处扣</w:t>
            </w:r>
            <w:r>
              <w:rPr>
                <w:rFonts w:hint="eastAsia" w:ascii="仿宋_GB2312" w:hAnsi="仿宋" w:eastAsia="仿宋_GB2312" w:cs="仿宋"/>
                <w:sz w:val="21"/>
                <w:szCs w:val="21"/>
                <w:highlight w:val="none"/>
                <w:lang w:val="en-US" w:eastAsia="zh-CN"/>
              </w:rPr>
              <w:t>0.5</w:t>
            </w:r>
            <w:r>
              <w:rPr>
                <w:rFonts w:hint="eastAsia" w:ascii="仿宋_GB2312" w:hAnsi="仿宋" w:eastAsia="仿宋_GB2312" w:cs="仿宋"/>
                <w:sz w:val="21"/>
                <w:szCs w:val="21"/>
                <w:highlight w:val="none"/>
              </w:rPr>
              <w:t>分；晴天道路明显积水、路面雨水井沟眼堵塞、有积泥（嵌石）每处扣</w:t>
            </w:r>
            <w:r>
              <w:rPr>
                <w:rFonts w:hint="eastAsia" w:ascii="仿宋_GB2312" w:hAnsi="仿宋" w:eastAsia="仿宋_GB2312" w:cs="仿宋"/>
                <w:sz w:val="21"/>
                <w:szCs w:val="21"/>
                <w:highlight w:val="none"/>
                <w:lang w:val="en-US" w:eastAsia="zh-CN"/>
              </w:rPr>
              <w:t>1</w:t>
            </w:r>
            <w:r>
              <w:rPr>
                <w:rFonts w:hint="eastAsia" w:ascii="仿宋_GB2312" w:hAnsi="仿宋" w:eastAsia="仿宋_GB2312" w:cs="仿宋"/>
                <w:sz w:val="21"/>
                <w:szCs w:val="21"/>
                <w:highlight w:val="none"/>
              </w:rPr>
              <w:t>分；清扫保洁作业不规范导致路面扬尘的扣</w:t>
            </w:r>
            <w:r>
              <w:rPr>
                <w:rFonts w:hint="eastAsia" w:ascii="仿宋_GB2312" w:hAnsi="仿宋" w:eastAsia="仿宋_GB2312" w:cs="仿宋"/>
                <w:sz w:val="21"/>
                <w:szCs w:val="21"/>
                <w:highlight w:val="none"/>
                <w:lang w:val="en-US" w:eastAsia="zh-CN"/>
              </w:rPr>
              <w:t>3</w:t>
            </w:r>
            <w:r>
              <w:rPr>
                <w:rFonts w:hint="eastAsia" w:ascii="仿宋_GB2312" w:hAnsi="仿宋" w:eastAsia="仿宋_GB2312" w:cs="仿宋"/>
                <w:sz w:val="21"/>
                <w:szCs w:val="21"/>
                <w:highlight w:val="none"/>
              </w:rPr>
              <w:t>分；道路两侧有乱涂写、乱张贴的每处扣</w:t>
            </w:r>
            <w:r>
              <w:rPr>
                <w:rFonts w:hint="eastAsia" w:ascii="仿宋_GB2312" w:hAnsi="仿宋" w:eastAsia="仿宋_GB2312" w:cs="仿宋"/>
                <w:sz w:val="21"/>
                <w:szCs w:val="21"/>
                <w:highlight w:val="none"/>
                <w:lang w:val="en-US" w:eastAsia="zh-CN"/>
              </w:rPr>
              <w:t>0.5</w:t>
            </w:r>
            <w:r>
              <w:rPr>
                <w:rFonts w:hint="eastAsia" w:ascii="仿宋_GB2312" w:hAnsi="仿宋" w:eastAsia="仿宋_GB2312" w:cs="仿宋"/>
                <w:sz w:val="21"/>
                <w:szCs w:val="21"/>
                <w:highlight w:val="none"/>
              </w:rPr>
              <w:t>分。</w:t>
            </w:r>
          </w:p>
        </w:tc>
        <w:tc>
          <w:tcPr>
            <w:tcW w:w="818" w:type="dxa"/>
            <w:noWrap w:val="0"/>
            <w:vAlign w:val="center"/>
          </w:tcPr>
          <w:p>
            <w:pPr>
              <w:spacing w:line="300" w:lineRule="exact"/>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highlight w:val="none"/>
              </w:rPr>
            </w:pPr>
          </w:p>
        </w:tc>
        <w:tc>
          <w:tcPr>
            <w:tcW w:w="1085" w:type="dxa"/>
            <w:shd w:val="clear" w:color="auto" w:fill="auto"/>
            <w:noWrap w:val="0"/>
            <w:vAlign w:val="center"/>
          </w:tcPr>
          <w:p>
            <w:pPr>
              <w:spacing w:line="300" w:lineRule="exact"/>
              <w:jc w:val="center"/>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车辆管理</w:t>
            </w:r>
          </w:p>
        </w:tc>
        <w:tc>
          <w:tcPr>
            <w:tcW w:w="5953" w:type="dxa"/>
            <w:shd w:val="clear" w:color="auto" w:fill="FFFFFF"/>
            <w:noWrap w:val="0"/>
            <w:vAlign w:val="center"/>
          </w:tcPr>
          <w:p>
            <w:pPr>
              <w:spacing w:line="300" w:lineRule="exact"/>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未按照规定进行洒水、机扫、清洗的每次扣</w:t>
            </w:r>
            <w:r>
              <w:rPr>
                <w:rFonts w:hint="eastAsia" w:ascii="仿宋_GB2312" w:hAnsi="仿宋" w:eastAsia="仿宋_GB2312" w:cs="仿宋"/>
                <w:sz w:val="21"/>
                <w:szCs w:val="21"/>
                <w:highlight w:val="none"/>
                <w:lang w:val="en-US" w:eastAsia="zh-CN"/>
              </w:rPr>
              <w:t>1</w:t>
            </w:r>
            <w:r>
              <w:rPr>
                <w:rFonts w:hint="eastAsia" w:ascii="仿宋_GB2312" w:hAnsi="仿宋" w:eastAsia="仿宋_GB2312" w:cs="仿宋"/>
                <w:sz w:val="21"/>
                <w:szCs w:val="21"/>
                <w:highlight w:val="none"/>
              </w:rPr>
              <w:t>分；机扫车、洒水车未按规定使用警示灯、提示音每次扣</w:t>
            </w:r>
            <w:r>
              <w:rPr>
                <w:rFonts w:hint="eastAsia" w:ascii="仿宋_GB2312" w:hAnsi="仿宋" w:eastAsia="仿宋_GB2312" w:cs="仿宋"/>
                <w:sz w:val="21"/>
                <w:szCs w:val="21"/>
                <w:highlight w:val="none"/>
                <w:lang w:val="en-US" w:eastAsia="zh-CN"/>
              </w:rPr>
              <w:t>1</w:t>
            </w:r>
            <w:r>
              <w:rPr>
                <w:rFonts w:hint="eastAsia" w:ascii="仿宋_GB2312" w:hAnsi="仿宋" w:eastAsia="仿宋_GB2312" w:cs="仿宋"/>
                <w:sz w:val="21"/>
                <w:szCs w:val="21"/>
                <w:highlight w:val="none"/>
              </w:rPr>
              <w:t>分。</w:t>
            </w:r>
          </w:p>
        </w:tc>
        <w:tc>
          <w:tcPr>
            <w:tcW w:w="818" w:type="dxa"/>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环卫</w:t>
            </w:r>
          </w:p>
          <w:p>
            <w:pPr>
              <w:spacing w:line="300" w:lineRule="exact"/>
              <w:jc w:val="center"/>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设施</w:t>
            </w:r>
          </w:p>
        </w:tc>
        <w:tc>
          <w:tcPr>
            <w:tcW w:w="1085" w:type="dxa"/>
            <w:shd w:val="clear" w:color="auto" w:fill="auto"/>
            <w:noWrap w:val="0"/>
            <w:vAlign w:val="center"/>
          </w:tcPr>
          <w:p>
            <w:pPr>
              <w:spacing w:line="300" w:lineRule="exact"/>
              <w:jc w:val="center"/>
              <w:rPr>
                <w:rFonts w:hint="eastAsia" w:ascii="仿宋_GB2312" w:hAnsi="仿宋" w:eastAsia="仿宋_GB2312" w:cs="仿宋"/>
                <w:spacing w:val="-4"/>
                <w:sz w:val="21"/>
                <w:szCs w:val="21"/>
                <w:highlight w:val="none"/>
              </w:rPr>
            </w:pPr>
            <w:r>
              <w:rPr>
                <w:rFonts w:hint="eastAsia" w:ascii="仿宋_GB2312" w:hAnsi="仿宋" w:eastAsia="仿宋_GB2312" w:cs="仿宋"/>
                <w:color w:val="auto"/>
                <w:spacing w:val="-4"/>
                <w:sz w:val="21"/>
                <w:szCs w:val="21"/>
                <w:highlight w:val="none"/>
              </w:rPr>
              <w:t>垃圾收集设施</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sz w:val="21"/>
                <w:szCs w:val="21"/>
                <w:highlight w:val="none"/>
              </w:rPr>
            </w:pPr>
            <w:r>
              <w:rPr>
                <w:rFonts w:hint="eastAsia" w:ascii="仿宋_GB2312" w:hAnsi="仿宋" w:eastAsia="仿宋_GB2312" w:cs="仿宋"/>
                <w:color w:val="auto"/>
                <w:sz w:val="21"/>
                <w:szCs w:val="21"/>
                <w:highlight w:val="none"/>
              </w:rPr>
              <w:t>垃圾收集设施设置不规范每处扣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分。垃圾收集设施出现内外不洁、满溢等每处扣</w:t>
            </w:r>
            <w:r>
              <w:rPr>
                <w:rFonts w:hint="eastAsia" w:ascii="仿宋_GB2312" w:hAnsi="仿宋" w:eastAsia="仿宋_GB2312" w:cs="仿宋"/>
                <w:color w:val="auto"/>
                <w:sz w:val="21"/>
                <w:szCs w:val="21"/>
                <w:highlight w:val="none"/>
                <w:lang w:val="en-US" w:eastAsia="zh-CN"/>
              </w:rPr>
              <w:t>0</w:t>
            </w:r>
            <w:r>
              <w:rPr>
                <w:rFonts w:hint="eastAsia" w:ascii="仿宋_GB2312" w:hAnsi="仿宋" w:eastAsia="仿宋_GB2312" w:cs="仿宋"/>
                <w:color w:val="auto"/>
                <w:sz w:val="21"/>
                <w:szCs w:val="21"/>
                <w:highlight w:val="none"/>
              </w:rPr>
              <w:t>.5分；垃圾收集设施破损每处扣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highlight w:val="none"/>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z w:val="21"/>
                <w:szCs w:val="21"/>
                <w:highlight w:val="none"/>
                <w:lang w:eastAsia="zh-CN"/>
              </w:rPr>
              <w:t>公厕制度、设施管理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未设置公厕管理制度牌和保洁质量监督牌，扣1.5分/处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标识标牌缺失，扣0.</w:t>
            </w:r>
            <w:r>
              <w:rPr>
                <w:rFonts w:hint="eastAsia" w:ascii="仿宋_GB2312" w:hAnsi="宋体" w:eastAsia="仿宋_GB2312" w:cs="宋体"/>
                <w:color w:val="auto"/>
                <w:kern w:val="0"/>
                <w:sz w:val="21"/>
                <w:szCs w:val="21"/>
                <w:highlight w:val="none"/>
                <w:lang w:val="en-US" w:eastAsia="zh-CN"/>
              </w:rPr>
              <w:t>5</w:t>
            </w:r>
            <w:r>
              <w:rPr>
                <w:rFonts w:hint="eastAsia" w:ascii="仿宋_GB2312" w:hAnsi="宋体" w:eastAsia="仿宋_GB2312" w:cs="宋体"/>
                <w:color w:val="auto"/>
                <w:kern w:val="0"/>
                <w:sz w:val="21"/>
                <w:szCs w:val="21"/>
                <w:highlight w:val="none"/>
              </w:rPr>
              <w:t>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无故关闭第三卫生间、无障碍间、男女厕位，扣3分/处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未免费向公众提供洗手液和手纸服务，扣</w:t>
            </w:r>
            <w:r>
              <w:rPr>
                <w:rFonts w:hint="eastAsia" w:ascii="仿宋_GB2312" w:hAnsi="宋体" w:eastAsia="仿宋_GB2312" w:cs="宋体"/>
                <w:color w:val="auto"/>
                <w:kern w:val="0"/>
                <w:sz w:val="21"/>
                <w:szCs w:val="21"/>
                <w:highlight w:val="none"/>
                <w:lang w:val="en-US" w:eastAsia="zh-CN"/>
              </w:rPr>
              <w:t>1</w:t>
            </w:r>
            <w:r>
              <w:rPr>
                <w:rFonts w:hint="eastAsia" w:ascii="仿宋_GB2312" w:hAnsi="宋体" w:eastAsia="仿宋_GB2312" w:cs="宋体"/>
                <w:color w:val="auto"/>
                <w:kern w:val="0"/>
                <w:sz w:val="21"/>
                <w:szCs w:val="21"/>
                <w:highlight w:val="none"/>
              </w:rPr>
              <w:t>分/处。</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highlight w:val="none"/>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z w:val="21"/>
                <w:szCs w:val="21"/>
                <w:highlight w:val="none"/>
                <w:lang w:eastAsia="zh-CN"/>
              </w:rPr>
              <w:t>公厕保洁管理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内外环境、厕位、墙面、地面和设施设备不洁 ，扣0.5分/处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未设置分类垃圾桶（其他垃圾、可回收物），垃圾桶或纸篓满溢，扣0.5分/处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有明显臭味，扣2分/处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倒粪处以及大、小便器（槽）有水锈、尿垢、积粪，扣0.</w:t>
            </w:r>
            <w:r>
              <w:rPr>
                <w:rFonts w:hint="eastAsia" w:ascii="仿宋_GB2312" w:hAnsi="宋体" w:cs="宋体"/>
                <w:color w:val="auto"/>
                <w:kern w:val="0"/>
                <w:sz w:val="21"/>
                <w:szCs w:val="21"/>
                <w:highlight w:val="none"/>
                <w:lang w:val="en-US" w:eastAsia="zh-CN"/>
              </w:rPr>
              <w:t>5</w:t>
            </w:r>
            <w:r>
              <w:rPr>
                <w:rFonts w:hint="eastAsia" w:ascii="仿宋_GB2312" w:hAnsi="宋体" w:eastAsia="仿宋_GB2312" w:cs="宋体"/>
                <w:color w:val="auto"/>
                <w:kern w:val="0"/>
                <w:sz w:val="21"/>
                <w:szCs w:val="21"/>
                <w:highlight w:val="none"/>
              </w:rPr>
              <w:t>分/处</w:t>
            </w:r>
            <w:r>
              <w:rPr>
                <w:rFonts w:hint="eastAsia" w:ascii="仿宋_GB2312" w:hAnsi="宋体" w:eastAsia="仿宋_GB2312" w:cs="宋体"/>
                <w:color w:val="auto"/>
                <w:kern w:val="0"/>
                <w:sz w:val="21"/>
                <w:szCs w:val="21"/>
                <w:highlight w:val="none"/>
                <w:lang w:eastAsia="zh-CN"/>
              </w:rPr>
              <w:t>。</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highlight w:val="none"/>
                <w:lang w:val="en-US" w:eastAsia="zh-CN"/>
              </w:rPr>
            </w:pPr>
            <w:r>
              <w:rPr>
                <w:rFonts w:hint="eastAsia" w:ascii="仿宋_GB2312" w:eastAsia="仿宋_GB2312"/>
                <w:sz w:val="21"/>
                <w:szCs w:val="21"/>
                <w:highlight w:val="none"/>
              </w:rPr>
              <w:t>安全文明施工</w:t>
            </w:r>
          </w:p>
        </w:tc>
        <w:tc>
          <w:tcPr>
            <w:tcW w:w="1085" w:type="dxa"/>
            <w:shd w:val="clear" w:color="auto" w:fill="auto"/>
            <w:noWrap w:val="0"/>
            <w:vAlign w:val="center"/>
          </w:tcPr>
          <w:p>
            <w:pPr>
              <w:tabs>
                <w:tab w:val="left" w:pos="354"/>
              </w:tabs>
              <w:spacing w:line="300" w:lineRule="exact"/>
              <w:jc w:val="left"/>
              <w:rPr>
                <w:rFonts w:hint="eastAsia" w:ascii="仿宋_GB2312" w:eastAsia="仿宋_GB2312"/>
                <w:color w:val="auto"/>
                <w:sz w:val="21"/>
                <w:szCs w:val="21"/>
                <w:highlight w:val="none"/>
                <w:lang w:eastAsia="zh-CN"/>
              </w:rPr>
            </w:pPr>
            <w:r>
              <w:rPr>
                <w:rFonts w:hint="eastAsia" w:ascii="仿宋_GB2312" w:hAnsi="宋体" w:eastAsia="仿宋_GB2312" w:cs="宋体"/>
                <w:kern w:val="0"/>
                <w:sz w:val="21"/>
                <w:szCs w:val="21"/>
                <w:highlight w:val="none"/>
              </w:rPr>
              <w:t>安全管理</w:t>
            </w:r>
          </w:p>
        </w:tc>
        <w:tc>
          <w:tcPr>
            <w:tcW w:w="5953" w:type="dxa"/>
            <w:shd w:val="clear" w:color="auto" w:fill="FFFFFF"/>
            <w:noWrap w:val="0"/>
            <w:vAlign w:val="center"/>
          </w:tcPr>
          <w:p>
            <w:pPr>
              <w:spacing w:line="300" w:lineRule="exact"/>
              <w:rPr>
                <w:rFonts w:hint="eastAsia" w:ascii="仿宋_GB2312" w:eastAsia="仿宋_GB2312"/>
                <w:color w:val="auto"/>
                <w:sz w:val="21"/>
                <w:szCs w:val="21"/>
                <w:highlight w:val="none"/>
              </w:rPr>
            </w:pPr>
            <w:r>
              <w:rPr>
                <w:rFonts w:hint="eastAsia" w:ascii="仿宋_GB2312" w:hAnsi="宋体" w:eastAsia="仿宋_GB2312" w:cs="宋体"/>
                <w:kern w:val="0"/>
                <w:sz w:val="21"/>
                <w:szCs w:val="21"/>
                <w:highlight w:val="none"/>
              </w:rPr>
              <w:t>环卫工人未按规定着装、不遵守交通规则、未文明规范作业，环卫车辆未设置反光标识每处</w:t>
            </w:r>
            <w:r>
              <w:rPr>
                <w:rFonts w:hint="eastAsia" w:ascii="仿宋_GB2312" w:hAnsi="仿宋" w:eastAsia="仿宋_GB2312" w:cs="仿宋"/>
                <w:sz w:val="21"/>
                <w:szCs w:val="21"/>
                <w:highlight w:val="none"/>
              </w:rPr>
              <w:t>扣2分</w:t>
            </w:r>
            <w:r>
              <w:rPr>
                <w:rFonts w:hint="eastAsia" w:ascii="仿宋_GB2312" w:hAnsi="宋体" w:eastAsia="仿宋_GB2312" w:cs="宋体"/>
                <w:kern w:val="0"/>
                <w:sz w:val="21"/>
                <w:szCs w:val="21"/>
                <w:highlight w:val="none"/>
              </w:rPr>
              <w:t>。</w:t>
            </w:r>
            <w:r>
              <w:rPr>
                <w:rFonts w:hint="eastAsia" w:ascii="仿宋_GB2312" w:hAnsi="仿宋" w:eastAsia="仿宋_GB2312" w:cs="仿宋"/>
                <w:sz w:val="21"/>
                <w:szCs w:val="21"/>
                <w:highlight w:val="none"/>
              </w:rPr>
              <w:t>因上述原因造成安全事故未上报扣2分</w:t>
            </w:r>
          </w:p>
        </w:tc>
        <w:tc>
          <w:tcPr>
            <w:tcW w:w="818" w:type="dxa"/>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highlight w:val="none"/>
                <w:lang w:val="en-US" w:eastAsia="zh-CN"/>
              </w:rPr>
            </w:pPr>
          </w:p>
        </w:tc>
        <w:tc>
          <w:tcPr>
            <w:tcW w:w="1085" w:type="dxa"/>
            <w:vMerge w:val="restart"/>
            <w:shd w:val="clear" w:color="auto" w:fill="auto"/>
            <w:noWrap w:val="0"/>
            <w:vAlign w:val="center"/>
          </w:tcPr>
          <w:p>
            <w:pPr>
              <w:tabs>
                <w:tab w:val="left" w:pos="354"/>
              </w:tabs>
              <w:spacing w:line="300" w:lineRule="exact"/>
              <w:jc w:val="left"/>
              <w:rPr>
                <w:rFonts w:hint="eastAsia" w:ascii="仿宋_GB2312" w:hAnsi="宋体" w:eastAsia="仿宋_GB2312" w:cs="宋体"/>
                <w:kern w:val="0"/>
                <w:sz w:val="21"/>
                <w:szCs w:val="21"/>
                <w:highlight w:val="none"/>
              </w:rPr>
            </w:pPr>
            <w:r>
              <w:rPr>
                <w:rFonts w:hint="eastAsia" w:ascii="仿宋_GB2312" w:eastAsia="仿宋_GB2312"/>
                <w:sz w:val="21"/>
                <w:szCs w:val="21"/>
                <w:highlight w:val="none"/>
              </w:rPr>
              <w:t>养护作业</w:t>
            </w: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kern w:val="0"/>
                <w:sz w:val="21"/>
                <w:szCs w:val="21"/>
                <w:highlight w:val="none"/>
              </w:rPr>
            </w:pPr>
            <w:r>
              <w:rPr>
                <w:rFonts w:hint="eastAsia" w:ascii="仿宋_GB2312" w:eastAsia="仿宋_GB2312"/>
                <w:sz w:val="21"/>
                <w:szCs w:val="21"/>
                <w:highlight w:val="none"/>
              </w:rPr>
              <w:t>发现违章施工每次扣3分，养护不当存在安全隐患的每处扣5分。</w:t>
            </w:r>
          </w:p>
        </w:tc>
        <w:tc>
          <w:tcPr>
            <w:tcW w:w="818" w:type="dxa"/>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highlight w:val="none"/>
                <w:lang w:val="en-US" w:eastAsia="zh-CN"/>
              </w:rPr>
            </w:pPr>
          </w:p>
        </w:tc>
        <w:tc>
          <w:tcPr>
            <w:tcW w:w="1085" w:type="dxa"/>
            <w:vMerge w:val="continue"/>
            <w:shd w:val="clear" w:color="auto" w:fill="auto"/>
            <w:noWrap w:val="0"/>
            <w:vAlign w:val="center"/>
          </w:tcPr>
          <w:p>
            <w:pPr>
              <w:tabs>
                <w:tab w:val="left" w:pos="354"/>
              </w:tabs>
              <w:spacing w:line="300" w:lineRule="exact"/>
              <w:jc w:val="left"/>
              <w:rPr>
                <w:rFonts w:hint="eastAsia" w:ascii="仿宋_GB2312" w:hAnsi="宋体" w:eastAsia="仿宋_GB2312" w:cs="宋体"/>
                <w:kern w:val="0"/>
                <w:sz w:val="21"/>
                <w:szCs w:val="21"/>
                <w:highlight w:val="none"/>
              </w:rPr>
            </w:pP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kern w:val="0"/>
                <w:sz w:val="21"/>
                <w:szCs w:val="21"/>
                <w:highlight w:val="none"/>
              </w:rPr>
            </w:pPr>
            <w:r>
              <w:rPr>
                <w:rFonts w:hint="eastAsia" w:ascii="仿宋_GB2312" w:eastAsia="仿宋_GB2312"/>
                <w:sz w:val="21"/>
                <w:szCs w:val="21"/>
                <w:highlight w:val="none"/>
              </w:rPr>
              <w:t>不文明施工，无围护扣5分、围护不到位扣2分、着装不规范扣2分。</w:t>
            </w:r>
          </w:p>
        </w:tc>
        <w:tc>
          <w:tcPr>
            <w:tcW w:w="818" w:type="dxa"/>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highlight w:val="none"/>
                <w:lang w:val="en-US" w:eastAsia="zh-CN"/>
              </w:rPr>
            </w:pP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highlight w:val="none"/>
              </w:rPr>
            </w:pPr>
            <w:r>
              <w:rPr>
                <w:rFonts w:hint="eastAsia" w:ascii="仿宋_GB2312" w:eastAsia="仿宋_GB2312"/>
                <w:sz w:val="21"/>
                <w:szCs w:val="21"/>
                <w:highlight w:val="none"/>
              </w:rPr>
              <w:t>监督管理</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highlight w:val="none"/>
              </w:rPr>
            </w:pPr>
            <w:r>
              <w:rPr>
                <w:rFonts w:hint="eastAsia" w:ascii="仿宋_GB2312" w:eastAsia="仿宋_GB2312"/>
                <w:sz w:val="21"/>
                <w:szCs w:val="21"/>
                <w:highlight w:val="none"/>
              </w:rPr>
              <w:t>未经审批私自开挖市政道路或未按市政养护规范要求恢复，及管养区域其他市政设施不规范问题等每处扣</w:t>
            </w:r>
            <w:r>
              <w:rPr>
                <w:rFonts w:ascii="仿宋_GB2312" w:eastAsia="仿宋_GB2312"/>
                <w:sz w:val="21"/>
                <w:szCs w:val="21"/>
                <w:highlight w:val="none"/>
              </w:rPr>
              <w:t>2-</w:t>
            </w:r>
            <w:r>
              <w:rPr>
                <w:rFonts w:hint="eastAsia" w:ascii="仿宋_GB2312" w:eastAsia="仿宋_GB2312"/>
                <w:sz w:val="21"/>
                <w:szCs w:val="21"/>
                <w:highlight w:val="none"/>
              </w:rPr>
              <w:t>5分。</w:t>
            </w:r>
          </w:p>
        </w:tc>
        <w:tc>
          <w:tcPr>
            <w:tcW w:w="818" w:type="dxa"/>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92" w:type="dxa"/>
            <w:noWrap w:val="0"/>
            <w:vAlign w:val="center"/>
          </w:tcPr>
          <w:p>
            <w:pPr>
              <w:spacing w:line="300" w:lineRule="exact"/>
              <w:jc w:val="center"/>
              <w:rPr>
                <w:rFonts w:hint="eastAsia" w:ascii="仿宋_GB2312" w:hAnsi="宋体" w:eastAsia="仿宋_GB2312" w:cs="宋体"/>
                <w:kern w:val="0"/>
                <w:sz w:val="21"/>
                <w:szCs w:val="21"/>
                <w:highlight w:val="none"/>
              </w:rPr>
            </w:pPr>
            <w:r>
              <w:rPr>
                <w:rFonts w:hint="eastAsia" w:ascii="仿宋_GB2312" w:hAnsi="仿宋" w:eastAsia="仿宋_GB2312" w:cs="仿宋"/>
                <w:sz w:val="21"/>
                <w:szCs w:val="21"/>
                <w:highlight w:val="none"/>
                <w:lang w:eastAsia="zh-CN"/>
              </w:rPr>
              <w:t>其它事宜</w:t>
            </w:r>
          </w:p>
        </w:tc>
        <w:tc>
          <w:tcPr>
            <w:tcW w:w="7045" w:type="dxa"/>
            <w:gridSpan w:val="3"/>
            <w:noWrap w:val="0"/>
            <w:vAlign w:val="center"/>
          </w:tcPr>
          <w:p>
            <w:pPr>
              <w:spacing w:line="300" w:lineRule="exact"/>
              <w:rPr>
                <w:rFonts w:hint="eastAsia" w:ascii="仿宋_GB2312" w:hAnsi="仿宋" w:eastAsia="仿宋_GB2312" w:cs="仿宋"/>
                <w:sz w:val="21"/>
                <w:szCs w:val="21"/>
                <w:highlight w:val="none"/>
              </w:rPr>
            </w:pPr>
          </w:p>
        </w:tc>
        <w:tc>
          <w:tcPr>
            <w:tcW w:w="818" w:type="dxa"/>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37" w:type="dxa"/>
            <w:gridSpan w:val="4"/>
            <w:noWrap w:val="0"/>
            <w:vAlign w:val="center"/>
          </w:tcPr>
          <w:p>
            <w:pPr>
              <w:spacing w:line="300" w:lineRule="exact"/>
              <w:jc w:val="center"/>
              <w:rPr>
                <w:rFonts w:hint="eastAsia" w:ascii="仿宋_GB2312" w:hAnsi="仿宋" w:eastAsia="仿宋_GB2312" w:cs="仿宋"/>
                <w:sz w:val="21"/>
                <w:szCs w:val="21"/>
                <w:highlight w:val="none"/>
              </w:rPr>
            </w:pPr>
            <w:r>
              <w:rPr>
                <w:rFonts w:hint="eastAsia" w:ascii="仿宋_GB2312" w:hAnsi="宋体" w:eastAsia="仿宋_GB2312" w:cs="宋体"/>
                <w:kern w:val="0"/>
                <w:sz w:val="21"/>
                <w:szCs w:val="21"/>
                <w:highlight w:val="none"/>
              </w:rPr>
              <w:t>评分合计</w:t>
            </w:r>
          </w:p>
        </w:tc>
        <w:tc>
          <w:tcPr>
            <w:tcW w:w="818" w:type="dxa"/>
            <w:noWrap w:val="0"/>
            <w:vAlign w:val="center"/>
          </w:tcPr>
          <w:p>
            <w:pPr>
              <w:spacing w:line="300" w:lineRule="exact"/>
              <w:rPr>
                <w:rFonts w:hint="eastAsia" w:ascii="仿宋_GB2312" w:hAnsi="仿宋" w:eastAsia="仿宋_GB2312"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92" w:type="dxa"/>
            <w:noWrap w:val="0"/>
            <w:vAlign w:val="center"/>
          </w:tcPr>
          <w:p>
            <w:pPr>
              <w:widowControl/>
              <w:spacing w:line="300" w:lineRule="exact"/>
              <w:jc w:val="center"/>
              <w:rPr>
                <w:rFonts w:hint="eastAsia" w:ascii="仿宋_GB2312" w:hAnsi="仿宋" w:eastAsia="仿宋_GB2312" w:cs="仿宋"/>
                <w:sz w:val="21"/>
                <w:szCs w:val="21"/>
                <w:highlight w:val="none"/>
              </w:rPr>
            </w:pPr>
            <w:r>
              <w:rPr>
                <w:rFonts w:hint="eastAsia" w:ascii="仿宋_GB2312" w:hAnsi="仿宋" w:eastAsia="仿宋_GB2312" w:cs="仿宋"/>
                <w:sz w:val="21"/>
                <w:szCs w:val="21"/>
                <w:highlight w:val="none"/>
              </w:rPr>
              <w:t>备注</w:t>
            </w:r>
          </w:p>
        </w:tc>
        <w:tc>
          <w:tcPr>
            <w:tcW w:w="7045" w:type="dxa"/>
            <w:gridSpan w:val="3"/>
            <w:noWrap w:val="0"/>
            <w:vAlign w:val="center"/>
          </w:tcPr>
          <w:p>
            <w:pPr>
              <w:widowControl/>
              <w:spacing w:line="300" w:lineRule="exact"/>
              <w:rPr>
                <w:rFonts w:hint="eastAsia" w:ascii="仿宋_GB2312" w:eastAsia="仿宋_GB2312"/>
                <w:sz w:val="21"/>
                <w:szCs w:val="21"/>
                <w:highlight w:val="none"/>
              </w:rPr>
            </w:pPr>
            <w:r>
              <w:rPr>
                <w:rFonts w:hint="eastAsia" w:ascii="仿宋_GB2312" w:hAnsi="仿宋" w:eastAsia="仿宋_GB2312" w:cs="仿宋"/>
                <w:sz w:val="21"/>
                <w:szCs w:val="21"/>
                <w:highlight w:val="none"/>
              </w:rPr>
              <w:t>1.</w:t>
            </w:r>
            <w:r>
              <w:rPr>
                <w:rFonts w:hint="eastAsia" w:ascii="仿宋_GB2312" w:hAnsi="仿宋" w:eastAsia="仿宋_GB2312" w:cs="仿宋"/>
                <w:sz w:val="21"/>
                <w:szCs w:val="21"/>
                <w:highlight w:val="none"/>
                <w:lang w:eastAsia="zh-CN"/>
              </w:rPr>
              <w:t>其它</w:t>
            </w:r>
            <w:r>
              <w:rPr>
                <w:rFonts w:hint="eastAsia" w:ascii="仿宋_GB2312" w:hAnsi="仿宋" w:eastAsia="仿宋_GB2312" w:cs="仿宋"/>
                <w:sz w:val="21"/>
                <w:szCs w:val="21"/>
                <w:highlight w:val="none"/>
              </w:rPr>
              <w:t>未尽事宜，当月可视情况酌情</w:t>
            </w:r>
            <w:r>
              <w:rPr>
                <w:rFonts w:hint="eastAsia" w:ascii="仿宋_GB2312" w:hAnsi="宋体" w:eastAsia="仿宋_GB2312" w:cs="宋体"/>
                <w:kern w:val="0"/>
                <w:sz w:val="21"/>
                <w:szCs w:val="21"/>
                <w:highlight w:val="none"/>
              </w:rPr>
              <w:t>加、扣1-5分。</w:t>
            </w:r>
          </w:p>
        </w:tc>
        <w:tc>
          <w:tcPr>
            <w:tcW w:w="818" w:type="dxa"/>
            <w:noWrap w:val="0"/>
            <w:vAlign w:val="center"/>
          </w:tcPr>
          <w:p>
            <w:pPr>
              <w:spacing w:line="300" w:lineRule="exact"/>
              <w:rPr>
                <w:rFonts w:hint="eastAsia" w:ascii="仿宋_GB2312" w:hAnsi="仿宋" w:eastAsia="仿宋_GB2312" w:cs="仿宋"/>
                <w:sz w:val="21"/>
                <w:szCs w:val="21"/>
                <w:highlight w:val="none"/>
              </w:rPr>
            </w:pPr>
          </w:p>
        </w:tc>
      </w:tr>
    </w:tbl>
    <w:p>
      <w:pPr>
        <w:adjustRightInd w:val="0"/>
        <w:snapToGrid w:val="0"/>
        <w:rPr>
          <w:rFonts w:hint="eastAsia" w:asciiTheme="majorEastAsia" w:hAnsiTheme="majorEastAsia" w:eastAsiaTheme="majorEastAsia" w:cstheme="majorEastAsia"/>
          <w:color w:val="auto"/>
          <w:kern w:val="0"/>
          <w:sz w:val="24"/>
          <w:highlight w:val="none"/>
        </w:rPr>
      </w:pPr>
    </w:p>
    <w:p>
      <w:pPr>
        <w:adjustRightInd w:val="0"/>
        <w:snapToGrid w:val="0"/>
        <w:rPr>
          <w:rFonts w:hint="eastAsia" w:asciiTheme="majorEastAsia" w:hAnsiTheme="majorEastAsia" w:eastAsiaTheme="majorEastAsia" w:cstheme="majorEastAsia"/>
          <w:b/>
          <w:bCs/>
          <w:color w:val="auto"/>
          <w:kern w:val="0"/>
          <w:sz w:val="30"/>
          <w:szCs w:val="30"/>
          <w:highlight w:val="none"/>
          <w:lang w:val="en-US" w:eastAsia="zh-CN" w:bidi="ar-SA"/>
        </w:rPr>
      </w:pPr>
      <w:r>
        <w:rPr>
          <w:rFonts w:hint="eastAsia" w:asciiTheme="majorEastAsia" w:hAnsiTheme="majorEastAsia" w:eastAsiaTheme="majorEastAsia" w:cstheme="majorEastAsia"/>
          <w:color w:val="auto"/>
          <w:kern w:val="0"/>
          <w:sz w:val="24"/>
          <w:highlight w:val="none"/>
        </w:rPr>
        <w:t>备注：1、未注明从当月清洁度中扣分的项目，均从被检道路中扣分。</w:t>
      </w:r>
    </w:p>
    <w:p>
      <w:pPr>
        <w:spacing w:line="500" w:lineRule="exact"/>
        <w:ind w:firstLine="482" w:firstLineChars="200"/>
        <w:jc w:val="cente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bCs/>
          <w:color w:val="auto"/>
          <w:sz w:val="24"/>
          <w:highlight w:val="none"/>
          <w:lang w:val="en-US" w:eastAsia="zh-CN"/>
        </w:rPr>
        <w:t>附件2、</w:t>
      </w:r>
      <w:r>
        <w:rPr>
          <w:rFonts w:hint="eastAsia" w:asciiTheme="majorEastAsia" w:hAnsiTheme="majorEastAsia" w:eastAsiaTheme="majorEastAsia" w:cstheme="majorEastAsia"/>
          <w:b/>
          <w:color w:val="auto"/>
          <w:sz w:val="30"/>
          <w:szCs w:val="30"/>
          <w:highlight w:val="none"/>
        </w:rPr>
        <w:t>公厕管理现场考核评分标准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32"/>
        <w:gridCol w:w="3628"/>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17"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序号</w:t>
            </w:r>
          </w:p>
        </w:tc>
        <w:tc>
          <w:tcPr>
            <w:tcW w:w="832"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检查</w:t>
            </w:r>
          </w:p>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项目</w:t>
            </w:r>
          </w:p>
        </w:tc>
        <w:tc>
          <w:tcPr>
            <w:tcW w:w="3628"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管理作业标准</w:t>
            </w:r>
          </w:p>
        </w:tc>
        <w:tc>
          <w:tcPr>
            <w:tcW w:w="4050"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1</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管理</w:t>
            </w:r>
          </w:p>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制度（10分）</w:t>
            </w:r>
          </w:p>
        </w:tc>
        <w:tc>
          <w:tcPr>
            <w:tcW w:w="3628" w:type="dxa"/>
            <w:noWrap w:val="0"/>
            <w:vAlign w:val="top"/>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按照统一要求设置公厕管理制度牌,做到制度上墙。</w:t>
            </w:r>
          </w:p>
        </w:tc>
        <w:tc>
          <w:tcPr>
            <w:tcW w:w="4050" w:type="dxa"/>
            <w:noWrap w:val="0"/>
            <w:vAlign w:val="top"/>
          </w:tcPr>
          <w:p>
            <w:pPr>
              <w:numPr>
                <w:ilvl w:val="0"/>
                <w:numId w:val="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未设置公厕管理制度牌的扣5分/次，</w:t>
            </w:r>
          </w:p>
          <w:p>
            <w:pPr>
              <w:numPr>
                <w:ilvl w:val="0"/>
                <w:numId w:val="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制度牌破损、字体不清晰、公示的信息缺项及不准确的扣3分/次。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top"/>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24小时免费开放公厕，无障碍间、厕位正常开放使用，并在保洁时段内落实专人管理。16小时免费开放公厕（6:00—22:00），18小时免费开放公厕（5:00—23:00），按人均保洁厕位的定额要求，落实专职保洁人员。四星级（含）以上公厕实行男、女分设保洁管理。</w:t>
            </w:r>
          </w:p>
        </w:tc>
        <w:tc>
          <w:tcPr>
            <w:tcW w:w="4050" w:type="dxa"/>
            <w:noWrap w:val="0"/>
            <w:vAlign w:val="top"/>
          </w:tcPr>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未经审核同意，无故关闭公厕的扣10分/次，</w:t>
            </w:r>
          </w:p>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无故关闭无障碍间、男女厕位的扣2分/次。</w:t>
            </w:r>
          </w:p>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未落实专职保洁员的扣1分/次，保洁员脱岗的2分/次。</w:t>
            </w:r>
          </w:p>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四星级以上公厕未实行男、女分设保洁管理的，扣2分/次。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2</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作业规范（30分）</w:t>
            </w: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强化作业规范，不发生有责安全事故事件。一旦发生环卫工人伤亡的事故应立即逐级上报，发生环卫工人群体性事件的，严格做到在2小时内上报。</w:t>
            </w:r>
          </w:p>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4050"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1.发生有责死亡安全事故或直接经济损失30万以上的，每起扣1环扣养护得分3分;有责伤人事故或直接经济损失在20万以上的，每发生一次扣2分；有责事故扣养护得分1分。</w:t>
            </w:r>
          </w:p>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2.事故未上报的扣2分，未在2小时内及时上报的扣1分。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sz w:val="24"/>
                <w:szCs w:val="24"/>
                <w:highlight w:val="none"/>
              </w:rPr>
            </w:pPr>
          </w:p>
        </w:tc>
        <w:tc>
          <w:tcPr>
            <w:tcW w:w="832"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强化公厕管理房安全，公厕管理房安全设置100%。</w:t>
            </w:r>
          </w:p>
          <w:p>
            <w:pPr>
              <w:widowControl/>
              <w:spacing w:line="300" w:lineRule="exact"/>
              <w:jc w:val="left"/>
              <w:rPr>
                <w:rFonts w:hint="eastAsia" w:asciiTheme="majorEastAsia" w:hAnsiTheme="majorEastAsia" w:eastAsiaTheme="majorEastAsia" w:cstheme="majorEastAsia"/>
                <w:color w:val="auto"/>
                <w:sz w:val="24"/>
                <w:szCs w:val="24"/>
                <w:highlight w:val="none"/>
              </w:rPr>
            </w:pPr>
          </w:p>
        </w:tc>
        <w:tc>
          <w:tcPr>
            <w:tcW w:w="4050" w:type="dxa"/>
            <w:noWrap w:val="0"/>
            <w:vAlign w:val="center"/>
          </w:tcPr>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管理房内、外私拉电线、乱接插头插座、裸露接线现象每处扣2分；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使用电热毯、电暖炉、热的快等大功率电器设备每处扣2分；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使用蜡烛、煤油炉等明火设施每处扣2分；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存放汽油、酒精等易燃、易爆物品每处扣2分。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在灯具上拴挂蚊帐、晾晒衣物、节日装饰物每处扣2分。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无消防器材配备每座扣3分，保洁员不会使用扣2分。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保洁员应着统一的工作服并佩带上岗证。免费向公众提供洗手液和手纸服务，保持足够用量。保洁作业时需设置警示牌，冲洗厕所地面和雨雪冰冻天气时需铺设防滑垫。保洁作业时主动避让如厕人员。</w:t>
            </w:r>
          </w:p>
        </w:tc>
        <w:tc>
          <w:tcPr>
            <w:tcW w:w="4050" w:type="dxa"/>
            <w:noWrap w:val="0"/>
            <w:vAlign w:val="center"/>
          </w:tcPr>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保洁员工作时间未统一着装或未佩戴上岗证的每项扣3分/次；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未免费向公众提供洗手液和手纸服务的，每发现一次扣2分/次；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作业时未设置警示牌的扣3分/次；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冲洗厕所地面和雨雪冰冻天气时未铺设防滑垫的扣3/次；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保洁作业时未主动避让如厕人员，遇到有责投诉的的扣2分/次。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4050" w:type="dxa"/>
            <w:noWrap w:val="0"/>
            <w:vAlign w:val="center"/>
          </w:tcPr>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公厕内外乱接水管的每项扣2/次；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管理间居住与公厕保洁管理无关人员及逗留与公厕保洁管理无关人员的扣2分/次；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上班时间在管理间内干与公厕保洁管理无关的杂活或睡觉的扣2分/次；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管理间物品摆放杂乱、不洁的扣1分/次；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在管理间内饮酒、吸烟的扣2分/次；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利用公厕从事销售商品、废品回收等经营性活动的扣5分/次；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公厕内饲养宠物的扣2分/次。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粪污水应排入市政污水管网或经吸粪车转运至粪便处理场所处置，公厕化粪池每半年清理、疏通不少于1次，贮粪池内的粪污水应及时转运。化粪池、贮粪池周围场地应保持整洁，地面无粪迹、垃圾、污水、恶臭、蝇蛆。化粪池、贮粪池无满溢问题，若发生满溢问题应在2小时内予以解决。</w:t>
            </w:r>
          </w:p>
        </w:tc>
        <w:tc>
          <w:tcPr>
            <w:tcW w:w="4050" w:type="dxa"/>
            <w:noWrap w:val="0"/>
            <w:vAlign w:val="center"/>
          </w:tcPr>
          <w:p>
            <w:pPr>
              <w:widowControl/>
              <w:numPr>
                <w:ilvl w:val="0"/>
                <w:numId w:val="9"/>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粪污水未按照规定达到规范化处置排放要求的扣10分/次，粪污水、粪便污染周边水体等环境的扣10分/次。</w:t>
            </w:r>
          </w:p>
          <w:p>
            <w:pPr>
              <w:widowControl/>
              <w:numPr>
                <w:ilvl w:val="0"/>
                <w:numId w:val="9"/>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化粪池、贮粪池臭气外溢的扣5分/次，周围地面有粪迹、垃圾、污水、恶臭、蝇蛆的每项扣2分/次，满溢的扣5分/次，发生满溢问题未在规定时间内妥善处理的扣5分/次。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3</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保洁管理（30分）</w:t>
            </w:r>
          </w:p>
          <w:p>
            <w:pPr>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三星以上公厕异味0度以上。</w:t>
            </w:r>
          </w:p>
        </w:tc>
        <w:tc>
          <w:tcPr>
            <w:tcW w:w="4050" w:type="dxa"/>
            <w:noWrap w:val="0"/>
            <w:vAlign w:val="center"/>
          </w:tcPr>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公厕天花板、内外墙面、门窗、洗手池及台面、拖把池、大小便厕位隔断、搁物台、上下水管、镜子等不洁的每项扣1分/次。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垃圾桶或纸篓破损不洁的，以及垃圾量超过容量2/3的扣1分/次，满溢的扣2分/次。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公厕内堆放杂物、厕位内乱堆放作业工具的扣2分/次。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公厕及厕位地面不洁、湿滑积水的每项扣1分/次。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工具间环境不整洁的扣1分/次。公厕有明显臭味的扣2分/次。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17"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倒粪处以及大便器、大便槽清洁，无粪便污垢、无积粪、无堵塞、洁净见底。</w:t>
            </w:r>
          </w:p>
        </w:tc>
        <w:tc>
          <w:tcPr>
            <w:tcW w:w="4050"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倒粪处以及大便器、大便槽污垢不洁的每处扣1分/次，有积粪的扣2分/次，堵塞的扣5分/次。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小便器（槽）清洁无水锈、尿垢、垃圾，沟眼、管道保持畅通。</w:t>
            </w:r>
          </w:p>
        </w:tc>
        <w:tc>
          <w:tcPr>
            <w:tcW w:w="4050"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小便器（槽）有水锈、尿垢、垃圾等不洁的每项扣1分/次，沟眼、管道流水不畅通的每项扣2分/次。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公厕外环境（有绿化带的以绿化带外围为界限，无绿化带的外墙起4米范围内）整洁有序，无垃圾、无粪便、无晾晒衣物、无杂物堆放吊挂、无落叶积留。</w:t>
            </w:r>
          </w:p>
        </w:tc>
        <w:tc>
          <w:tcPr>
            <w:tcW w:w="4050"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公厕外环境不洁，有作业工具乱放，垃圾、粪便、杂物堆放吊挂、晾晒衣物现象的每项扣1分/次。落叶积留不清扫的扣1分/次。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4</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设施管理（30分）</w:t>
            </w: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按要求设置公厕指向牌（各路口方向至少两块）、公厕标识牌、夜间灯光指示牌、厕门男女标识牌、无障碍标识牌、管理间标识牌、工具间标识牌、坐厕位标识牌等。厕所各类标识、标牌设置规范、醒目，无破损、遮挡、残缺、歪斜现象。</w:t>
            </w:r>
          </w:p>
        </w:tc>
        <w:tc>
          <w:tcPr>
            <w:tcW w:w="4050" w:type="dxa"/>
            <w:noWrap w:val="0"/>
            <w:vAlign w:val="center"/>
          </w:tcPr>
          <w:p>
            <w:pPr>
              <w:widowControl/>
              <w:numPr>
                <w:ilvl w:val="0"/>
                <w:numId w:val="11"/>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公厕指向牌、公厕标识牌、夜间灯光指示牌、厕门男女标识牌、无障碍标识牌、管理间标识牌、工具间标识牌、坐厕位标识牌每缺失一块扣2分/次。</w:t>
            </w:r>
          </w:p>
          <w:p>
            <w:pPr>
              <w:widowControl/>
              <w:numPr>
                <w:ilvl w:val="0"/>
                <w:numId w:val="11"/>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公厕各类标牌不规范设置的每项扣1分/次，破损、遮挡、残缺、歪斜的扣1分/次。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4050" w:type="dxa"/>
            <w:noWrap w:val="0"/>
            <w:vAlign w:val="center"/>
          </w:tcPr>
          <w:p>
            <w:pPr>
              <w:widowControl/>
              <w:numPr>
                <w:ilvl w:val="0"/>
                <w:numId w:val="12"/>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公厕内外墙面渗漏、墙面破损、乳胶漆脱落的每处扣2分/次，地面不平整、破损的每项扣2分/次。</w:t>
            </w:r>
          </w:p>
          <w:p>
            <w:pPr>
              <w:widowControl/>
              <w:numPr>
                <w:ilvl w:val="0"/>
                <w:numId w:val="12"/>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天花板、门窗及锁、窗栅、大小便厕位隔断、搁物台及金属扣件、镜子、挂衣钩、洗手池台面及水池、大小便器、水龙头、拖把池、上下水管、水箱、水阀缺失、破损、生锈或不能正常使用的每项扣1分/次。</w:t>
            </w:r>
          </w:p>
          <w:p>
            <w:pPr>
              <w:widowControl/>
              <w:numPr>
                <w:ilvl w:val="0"/>
                <w:numId w:val="12"/>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公厕倒粪处设施破损、上锁的扣1分/次。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417"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供水、供电系统运行正常，无安全隐患。公厕照明、除臭设备应正常使用。按不同星级公厕的要求维护管理洗手液分配器、干手器、手纸架、空调器，保持设施完好，功能正常。干手器应正常使用，空调器在气温30℃以上，5℃以下启用（特殊情况除外）。除臭设施运行良好，通风无臭味。</w:t>
            </w:r>
          </w:p>
        </w:tc>
        <w:tc>
          <w:tcPr>
            <w:tcW w:w="4050" w:type="dxa"/>
            <w:noWrap w:val="0"/>
            <w:vAlign w:val="center"/>
          </w:tcPr>
          <w:p>
            <w:pPr>
              <w:widowControl/>
              <w:numPr>
                <w:ilvl w:val="0"/>
                <w:numId w:val="13"/>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公厕洗手供水过小，造成无法正常洗手的扣1分/次；存在用电安全隐患的扣2分/次；夜间时段公厕照明光线不足的扣1分/次，照明不亮的每处扣5分/次。</w:t>
            </w:r>
          </w:p>
          <w:p>
            <w:pPr>
              <w:widowControl/>
              <w:numPr>
                <w:ilvl w:val="0"/>
                <w:numId w:val="13"/>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灯具、洗手液分配器、干手器、手纸架、空调器、除臭设备破损或不能正常使用的每项扣1分/次，缺失的扣2分/次。</w:t>
            </w:r>
          </w:p>
          <w:p>
            <w:pPr>
              <w:widowControl/>
              <w:numPr>
                <w:ilvl w:val="0"/>
                <w:numId w:val="13"/>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灯具、除臭设备、夜间灯光指示牌、空调未按照规定启用的扣1分/次。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17" w:type="dxa"/>
            <w:vMerge w:val="continue"/>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无障碍通道畅通，扶手（含靠墙厕位扶手）完好、牢固。无障碍间卫生洁具及辅助设施完好。</w:t>
            </w:r>
          </w:p>
        </w:tc>
        <w:tc>
          <w:tcPr>
            <w:tcW w:w="4050" w:type="dxa"/>
            <w:noWrap w:val="0"/>
            <w:vAlign w:val="center"/>
          </w:tcPr>
          <w:p>
            <w:pPr>
              <w:numPr>
                <w:ilvl w:val="0"/>
                <w:numId w:val="1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无障碍通道不能正常使用的扣2分/次，扶手（含靠墙厕位扶手）缺失破损、松动不牢固的每项扣1分/次。</w:t>
            </w:r>
          </w:p>
          <w:p>
            <w:pPr>
              <w:numPr>
                <w:ilvl w:val="0"/>
                <w:numId w:val="1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无障碍间卫生洁具及辅助设施缺失、破损的扣1分/次。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17" w:type="dxa"/>
            <w:vMerge w:val="continue"/>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给水和排污管道完好，保持畅通，闸阀严密，无破损。</w:t>
            </w:r>
          </w:p>
        </w:tc>
        <w:tc>
          <w:tcPr>
            <w:tcW w:w="4050"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给水、排污管道堵塞、破损的扣2分/次。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7" w:type="dxa"/>
            <w:vMerge w:val="continue"/>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化粪池、贮粪池密闭性能良好，粪池盖密闭，无缺失、破损、松动现象。</w:t>
            </w:r>
          </w:p>
        </w:tc>
        <w:tc>
          <w:tcPr>
            <w:tcW w:w="4050"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化粪池、贮粪池、公厕粪池盖不密闭、缺失、破损、松动的扣2分/次。</w:t>
            </w:r>
          </w:p>
        </w:tc>
      </w:tr>
    </w:tbl>
    <w:p>
      <w:pPr>
        <w:jc w:val="center"/>
        <w:rPr>
          <w:rFonts w:hint="eastAsia" w:asciiTheme="majorEastAsia" w:hAnsiTheme="majorEastAsia" w:eastAsiaTheme="majorEastAsia" w:cstheme="majorEastAsia"/>
          <w:b/>
          <w:bCs/>
          <w:color w:val="auto"/>
          <w:sz w:val="24"/>
          <w:highlight w:val="none"/>
          <w:lang w:val="en-US" w:eastAsia="zh-CN"/>
        </w:rPr>
      </w:pPr>
    </w:p>
    <w:p>
      <w:pPr>
        <w:pStyle w:val="6"/>
        <w:tabs>
          <w:tab w:val="left" w:pos="1110"/>
          <w:tab w:val="clear" w:pos="432"/>
        </w:tabs>
        <w:ind w:left="0" w:leftChars="0" w:firstLine="0" w:firstLineChars="0"/>
        <w:jc w:val="both"/>
        <w:rPr>
          <w:rFonts w:hint="eastAsia" w:ascii="宋体" w:hAnsi="宋体" w:eastAsia="宋体" w:cs="宋体"/>
          <w:b/>
          <w:bCs/>
          <w:color w:val="auto"/>
          <w:kern w:val="0"/>
          <w:sz w:val="30"/>
          <w:szCs w:val="30"/>
          <w:highlight w:val="none"/>
          <w:lang w:val="en-US" w:eastAsia="zh-CN" w:bidi="ar-SA"/>
        </w:rPr>
      </w:pPr>
    </w:p>
    <w:p>
      <w:pPr>
        <w:pStyle w:val="6"/>
        <w:tabs>
          <w:tab w:val="left" w:pos="1110"/>
          <w:tab w:val="clear" w:pos="432"/>
        </w:tabs>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附件3、园林绿化养护管理考核评分细则</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highlight w:val="none"/>
              </w:rPr>
            </w:pPr>
            <w:r>
              <w:rPr>
                <w:rFonts w:hint="eastAsia" w:ascii="仿宋_GB2312" w:eastAsia="仿宋_GB2312" w:cs="宋体"/>
                <w:b/>
                <w:kern w:val="0"/>
                <w:sz w:val="21"/>
                <w:szCs w:val="21"/>
                <w:highlight w:val="none"/>
              </w:rPr>
              <w:t>考核</w:t>
            </w:r>
          </w:p>
          <w:p>
            <w:pPr>
              <w:spacing w:line="320" w:lineRule="exact"/>
              <w:jc w:val="center"/>
              <w:rPr>
                <w:rFonts w:ascii="仿宋_GB2312" w:eastAsia="仿宋_GB2312" w:cs="宋体"/>
                <w:b/>
                <w:kern w:val="0"/>
                <w:sz w:val="21"/>
                <w:szCs w:val="21"/>
                <w:highlight w:val="none"/>
              </w:rPr>
            </w:pPr>
            <w:r>
              <w:rPr>
                <w:rFonts w:hint="eastAsia" w:ascii="仿宋_GB2312" w:eastAsia="仿宋_GB2312" w:cs="宋体"/>
                <w:b/>
                <w:kern w:val="0"/>
                <w:sz w:val="21"/>
                <w:szCs w:val="21"/>
                <w:highlight w:val="none"/>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cs="宋体"/>
                <w:b/>
                <w:kern w:val="0"/>
                <w:sz w:val="21"/>
                <w:szCs w:val="21"/>
                <w:highlight w:val="none"/>
              </w:rPr>
            </w:pPr>
            <w:r>
              <w:rPr>
                <w:rFonts w:hint="eastAsia" w:ascii="仿宋_GB2312" w:eastAsia="仿宋_GB2312" w:cs="宋体"/>
                <w:b/>
                <w:kern w:val="0"/>
                <w:sz w:val="21"/>
                <w:szCs w:val="21"/>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highlight w:val="none"/>
              </w:rPr>
            </w:pPr>
            <w:r>
              <w:rPr>
                <w:rFonts w:hint="eastAsia" w:ascii="仿宋_GB2312" w:eastAsia="仿宋_GB2312" w:cs="宋体"/>
                <w:b/>
                <w:kern w:val="0"/>
                <w:sz w:val="21"/>
                <w:szCs w:val="21"/>
                <w:highlight w:val="none"/>
              </w:rPr>
              <w:t>考核</w:t>
            </w:r>
          </w:p>
          <w:p>
            <w:pPr>
              <w:spacing w:line="320" w:lineRule="exact"/>
              <w:jc w:val="center"/>
              <w:rPr>
                <w:rFonts w:ascii="仿宋_GB2312" w:eastAsia="仿宋_GB2312" w:cs="宋体"/>
                <w:b/>
                <w:kern w:val="0"/>
                <w:sz w:val="21"/>
                <w:szCs w:val="21"/>
                <w:highlight w:val="none"/>
              </w:rPr>
            </w:pPr>
            <w:r>
              <w:rPr>
                <w:rFonts w:hint="eastAsia" w:ascii="仿宋_GB2312" w:eastAsia="仿宋_GB2312" w:cs="宋体"/>
                <w:b/>
                <w:kern w:val="0"/>
                <w:sz w:val="21"/>
                <w:szCs w:val="21"/>
                <w:highlight w:val="none"/>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植</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物</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基</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本</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养</w:t>
            </w:r>
          </w:p>
          <w:p>
            <w:pPr>
              <w:spacing w:line="400" w:lineRule="exact"/>
              <w:jc w:val="center"/>
              <w:rPr>
                <w:rFonts w:hint="eastAsia" w:ascii="仿宋_GB2312" w:eastAsia="仿宋_GB2312" w:cs="宋体"/>
                <w:strike/>
                <w:kern w:val="0"/>
                <w:sz w:val="21"/>
                <w:szCs w:val="21"/>
                <w:highlight w:val="none"/>
              </w:rPr>
            </w:pPr>
            <w:r>
              <w:rPr>
                <w:rFonts w:hint="eastAsia" w:ascii="仿宋_GB2312" w:eastAsia="仿宋_GB2312" w:cs="宋体"/>
                <w:kern w:val="0"/>
                <w:sz w:val="21"/>
                <w:szCs w:val="21"/>
                <w:highlight w:val="none"/>
              </w:rPr>
              <w:t>护</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行道树和乔木死株、缺株，每处扣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w:t>
            </w:r>
            <w:r>
              <w:rPr>
                <w:rFonts w:hint="eastAsia" w:ascii="仿宋_GB2312" w:cs="宋体"/>
                <w:kern w:val="0"/>
                <w:sz w:val="21"/>
                <w:szCs w:val="21"/>
                <w:highlight w:val="none"/>
                <w:lang w:val="en-US" w:eastAsia="zh-CN"/>
              </w:rPr>
              <w:t>3</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cs="宋体"/>
                <w:kern w:val="0"/>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行道树和乔木支撑不规范、支撑架倒塌、断桩、坏桩、树木倾斜严重，每处扣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行道树和乔木病虫枝、枯枝、伤损枝、徒长枝超过养护标准的，未疏枝、树皮开裂、孔洞未及时填补，每处扣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分；修剪不规范造成树木严重受损的，每处扣</w:t>
            </w:r>
            <w:r>
              <w:rPr>
                <w:rFonts w:hint="eastAsia" w:ascii="仿宋_GB2312" w:eastAsia="仿宋_GB2312" w:cs="宋体"/>
                <w:kern w:val="0"/>
                <w:sz w:val="21"/>
                <w:szCs w:val="21"/>
                <w:highlight w:val="none"/>
                <w:lang w:val="en-US" w:eastAsia="zh-CN"/>
              </w:rPr>
              <w:t>1</w:t>
            </w:r>
            <w:r>
              <w:rPr>
                <w:rFonts w:hint="eastAsia" w:ascii="仿宋_GB2312" w:eastAsia="仿宋_GB2312" w:cs="宋体"/>
                <w:kern w:val="0"/>
                <w:sz w:val="21"/>
                <w:szCs w:val="21"/>
                <w:highlight w:val="none"/>
              </w:rPr>
              <w:t>分，沿线出现严重修剪问题每次扣</w:t>
            </w:r>
            <w:r>
              <w:rPr>
                <w:rFonts w:hint="eastAsia" w:ascii="仿宋_GB2312" w:eastAsia="仿宋_GB2312" w:cs="宋体"/>
                <w:kern w:val="0"/>
                <w:sz w:val="21"/>
                <w:szCs w:val="21"/>
                <w:highlight w:val="none"/>
                <w:lang w:val="en-US" w:eastAsia="zh-CN"/>
              </w:rPr>
              <w:t>2</w:t>
            </w:r>
            <w:r>
              <w:rPr>
                <w:rFonts w:hint="eastAsia" w:ascii="仿宋_GB2312" w:eastAsia="仿宋_GB2312" w:cs="宋体"/>
                <w:kern w:val="0"/>
                <w:sz w:val="21"/>
                <w:szCs w:val="21"/>
                <w:highlight w:val="none"/>
              </w:rPr>
              <w:t>-</w:t>
            </w:r>
            <w:r>
              <w:rPr>
                <w:rFonts w:hint="eastAsia" w:ascii="仿宋_GB2312" w:cs="宋体"/>
                <w:kern w:val="0"/>
                <w:sz w:val="21"/>
                <w:szCs w:val="21"/>
                <w:highlight w:val="none"/>
                <w:lang w:val="en-US" w:eastAsia="zh-CN"/>
              </w:rPr>
              <w:t>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行道树和乔木长势不佳、偏冠严重、无冠幅，每处扣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分；树木长势较弱，黄叶、焦叶、落叶株数较多，每处扣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树穴土壤高于侧石、板结、填充物缺失，每处扣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分；0.5平方米以内树穴裸露扣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分，超出0.5平方米每处扣</w:t>
            </w:r>
            <w:r>
              <w:rPr>
                <w:rFonts w:hint="eastAsia" w:ascii="仿宋_GB2312" w:cs="宋体"/>
                <w:kern w:val="0"/>
                <w:sz w:val="21"/>
                <w:szCs w:val="21"/>
                <w:highlight w:val="none"/>
                <w:lang w:val="en-US" w:eastAsia="zh-CN"/>
              </w:rPr>
              <w:t>2</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lang w:val="en-US" w:eastAsia="zh-CN"/>
              </w:rPr>
            </w:pPr>
            <w:r>
              <w:rPr>
                <w:rFonts w:hint="eastAsia" w:ascii="仿宋_GB2312" w:eastAsia="仿宋_GB2312"/>
                <w:spacing w:val="-8"/>
                <w:sz w:val="21"/>
                <w:szCs w:val="21"/>
                <w:highlight w:val="none"/>
                <w:lang w:val="en-US" w:eastAsia="zh-CN"/>
              </w:rPr>
              <w:t xml:space="preserve">  </w:t>
            </w: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绿篱和灌木出现死株、缺株、混种、小道、杂株返祖的、绿植倒伏，每处</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分；0.5平方米以内黄土裸露每处扣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分，超出0.5平方米每处扣</w:t>
            </w:r>
            <w:r>
              <w:rPr>
                <w:rFonts w:hint="eastAsia" w:ascii="仿宋_GB2312" w:eastAsia="仿宋_GB2312" w:cs="宋体"/>
                <w:kern w:val="0"/>
                <w:sz w:val="21"/>
                <w:szCs w:val="21"/>
                <w:highlight w:val="none"/>
                <w:lang w:val="en-US" w:eastAsia="zh-CN"/>
              </w:rPr>
              <w:t>1.5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绿篱和灌木修剪不规范、不平整、窜条、高度影响交通视线的，每处扣2分。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草坪高度超出养护标准、草坪边缘不清淅、草坪空秃、草坪覆盖率低的，每处扣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分，0.5平方米以内黄土裸露的，每处扣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分，超出0.5平方米每处扣</w:t>
            </w:r>
            <w:r>
              <w:rPr>
                <w:rFonts w:hint="eastAsia" w:ascii="仿宋_GB2312" w:eastAsia="仿宋_GB2312" w:cs="宋体"/>
                <w:kern w:val="0"/>
                <w:sz w:val="21"/>
                <w:szCs w:val="21"/>
                <w:highlight w:val="none"/>
                <w:lang w:val="en-US" w:eastAsia="zh-CN"/>
              </w:rPr>
              <w:t>1.5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绿地内杂草超过养护标准的，每处扣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r>
              <w:rPr>
                <w:rFonts w:ascii="仿宋_GB2312" w:eastAsia="仿宋_GB2312" w:cs="宋体"/>
                <w:kern w:val="0"/>
                <w:sz w:val="21"/>
                <w:szCs w:val="21"/>
                <w:highlight w:val="none"/>
              </w:rPr>
              <w:t xml:space="preserve"> </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花坛花箱内时花缺株、倒伏、枯枝残花、杂草垃圾等每处扣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绿化补种不规范、以及绿地养护出现其他问题的每处扣</w:t>
            </w:r>
            <w:r>
              <w:rPr>
                <w:rFonts w:hint="eastAsia" w:ascii="仿宋_GB2312" w:cs="宋体"/>
                <w:kern w:val="0"/>
                <w:sz w:val="21"/>
                <w:szCs w:val="21"/>
                <w:highlight w:val="none"/>
                <w:lang w:val="en-US" w:eastAsia="zh-CN"/>
              </w:rPr>
              <w:t>1</w:t>
            </w:r>
            <w:r>
              <w:rPr>
                <w:rFonts w:hint="eastAsia" w:ascii="仿宋_GB2312" w:eastAsia="仿宋_GB2312" w:cs="宋体"/>
                <w:kern w:val="0"/>
                <w:sz w:val="21"/>
                <w:szCs w:val="21"/>
                <w:highlight w:val="none"/>
              </w:rPr>
              <w:t>分;管养区域内绿地失管每处扣</w:t>
            </w:r>
            <w:r>
              <w:rPr>
                <w:rFonts w:hint="eastAsia" w:ascii="仿宋_GB2312" w:eastAsia="仿宋_GB2312" w:cs="宋体"/>
                <w:kern w:val="0"/>
                <w:sz w:val="21"/>
                <w:szCs w:val="21"/>
                <w:highlight w:val="none"/>
                <w:lang w:val="en-US" w:eastAsia="zh-CN"/>
              </w:rPr>
              <w:t>3</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病</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虫</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害</w:t>
            </w:r>
          </w:p>
          <w:p>
            <w:pPr>
              <w:spacing w:line="40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防</w:t>
            </w:r>
          </w:p>
          <w:p>
            <w:pPr>
              <w:spacing w:line="400" w:lineRule="exact"/>
              <w:jc w:val="center"/>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治</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发生病虫害每处扣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r>
              <w:rPr>
                <w:rFonts w:hint="eastAsia" w:ascii="仿宋_GB2312" w:eastAsia="仿宋_GB2312" w:cs="宋体"/>
                <w:b/>
                <w:bCs/>
                <w:kern w:val="0"/>
                <w:sz w:val="21"/>
                <w:szCs w:val="21"/>
                <w:highlight w:val="none"/>
              </w:rPr>
              <w:t>，</w:t>
            </w:r>
            <w:r>
              <w:rPr>
                <w:rFonts w:hint="eastAsia" w:ascii="仿宋_GB2312" w:eastAsia="仿宋_GB2312" w:cs="宋体"/>
                <w:kern w:val="0"/>
                <w:sz w:val="21"/>
                <w:szCs w:val="21"/>
                <w:highlight w:val="none"/>
              </w:rPr>
              <w:t>大面积爆发扣</w:t>
            </w:r>
            <w:r>
              <w:rPr>
                <w:rFonts w:hint="eastAsia" w:ascii="仿宋_GB2312" w:eastAsia="仿宋_GB2312" w:cs="宋体"/>
                <w:kern w:val="0"/>
                <w:sz w:val="21"/>
                <w:szCs w:val="21"/>
                <w:highlight w:val="none"/>
                <w:lang w:val="en-US" w:eastAsia="zh-CN"/>
              </w:rPr>
              <w:t>3</w:t>
            </w:r>
            <w:r>
              <w:rPr>
                <w:rFonts w:hint="eastAsia" w:ascii="仿宋_GB2312" w:eastAsia="仿宋_GB2312" w:cs="宋体"/>
                <w:kern w:val="0"/>
                <w:sz w:val="21"/>
                <w:szCs w:val="21"/>
                <w:highlight w:val="none"/>
              </w:rPr>
              <w:t>分</w:t>
            </w:r>
            <w:r>
              <w:rPr>
                <w:rFonts w:hint="eastAsia" w:ascii="仿宋_GB2312" w:eastAsia="仿宋_GB2312" w:cs="宋体"/>
                <w:b/>
                <w:bCs/>
                <w:kern w:val="0"/>
                <w:sz w:val="21"/>
                <w:szCs w:val="21"/>
                <w:highlight w:val="none"/>
              </w:rPr>
              <w:t>。</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发现病虫害未及时进行防治措施的每处扣</w:t>
            </w:r>
            <w:r>
              <w:rPr>
                <w:rFonts w:hint="eastAsia" w:ascii="仿宋_GB2312" w:eastAsia="仿宋_GB2312" w:cs="宋体"/>
                <w:kern w:val="0"/>
                <w:sz w:val="21"/>
                <w:szCs w:val="21"/>
                <w:highlight w:val="none"/>
                <w:lang w:val="en-US" w:eastAsia="zh-CN"/>
              </w:rPr>
              <w:t>1</w:t>
            </w:r>
            <w:r>
              <w:rPr>
                <w:rFonts w:hint="eastAsia" w:ascii="仿宋_GB2312" w:eastAsia="仿宋_GB2312" w:cs="宋体"/>
                <w:kern w:val="0"/>
                <w:sz w:val="21"/>
                <w:szCs w:val="21"/>
                <w:highlight w:val="none"/>
              </w:rPr>
              <w:t>分。病虫害防治措施不到位的每处扣</w:t>
            </w:r>
            <w:r>
              <w:rPr>
                <w:rFonts w:hint="eastAsia" w:ascii="仿宋_GB2312" w:eastAsia="仿宋_GB2312" w:cs="宋体"/>
                <w:kern w:val="0"/>
                <w:sz w:val="21"/>
                <w:szCs w:val="21"/>
                <w:highlight w:val="none"/>
                <w:lang w:val="en-US" w:eastAsia="zh-CN"/>
              </w:rPr>
              <w:t>1</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食叶性害虫危害树木，每处扣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hint="eastAsia" w:ascii="仿宋" w:hAnsi="仿宋" w:eastAsia="仿宋" w:cs="仿宋"/>
                <w:kern w:val="0"/>
                <w:sz w:val="21"/>
                <w:szCs w:val="21"/>
                <w:highlight w:val="none"/>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highlight w:val="none"/>
              </w:rPr>
            </w:pPr>
            <w:r>
              <w:rPr>
                <w:rFonts w:hint="eastAsia" w:ascii="仿宋_GB2312" w:eastAsia="仿宋_GB2312" w:cs="宋体"/>
                <w:kern w:val="0"/>
                <w:sz w:val="21"/>
                <w:szCs w:val="21"/>
                <w:highlight w:val="none"/>
              </w:rPr>
              <w:t>发现活蛀虫和活卵，每处扣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绿化</w:t>
            </w:r>
          </w:p>
          <w:p>
            <w:pPr>
              <w:spacing w:line="420" w:lineRule="exact"/>
              <w:jc w:val="center"/>
              <w:rPr>
                <w:rFonts w:hint="eastAsia" w:ascii="仿宋_GB2312" w:eastAsia="仿宋_GB2312" w:cs="宋体"/>
                <w:strike/>
                <w:kern w:val="0"/>
                <w:sz w:val="21"/>
                <w:szCs w:val="21"/>
                <w:highlight w:val="none"/>
              </w:rPr>
            </w:pPr>
            <w:r>
              <w:rPr>
                <w:rFonts w:hint="eastAsia" w:ascii="仿宋_GB2312" w:eastAsia="仿宋_GB2312" w:cs="宋体"/>
                <w:kern w:val="0"/>
                <w:sz w:val="21"/>
                <w:szCs w:val="21"/>
                <w:highlight w:val="none"/>
              </w:rPr>
              <w:t>设施</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花箱、花坛、树穴破损、缺失扣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分，其他设施缺失扣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公园及绿地内果壳箱有污迹、破损，箱内垃圾未日产日清的，每处扣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设施有污迹、破损，金属构件设施有锈斑，油漆剥落等现象的每处扣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分，公园设施存在明显安全隐患，未采取安全措施的，每处扣</w:t>
            </w:r>
            <w:r>
              <w:rPr>
                <w:rFonts w:hint="eastAsia" w:ascii="仿宋_GB2312" w:cs="宋体"/>
                <w:kern w:val="0"/>
                <w:sz w:val="21"/>
                <w:szCs w:val="21"/>
                <w:highlight w:val="none"/>
                <w:lang w:val="en-US" w:eastAsia="zh-CN"/>
              </w:rPr>
              <w:t>2</w:t>
            </w:r>
            <w:r>
              <w:rPr>
                <w:rFonts w:hint="eastAsia" w:ascii="仿宋_GB2312" w:eastAsia="仿宋_GB2312" w:cs="宋体"/>
                <w:kern w:val="0"/>
                <w:sz w:val="21"/>
                <w:szCs w:val="21"/>
                <w:highlight w:val="none"/>
              </w:rPr>
              <w:t>分。</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p>
          <w:p>
            <w:pPr>
              <w:spacing w:line="42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卫生及</w:t>
            </w:r>
          </w:p>
          <w:p>
            <w:pPr>
              <w:spacing w:line="420" w:lineRule="exact"/>
              <w:jc w:val="center"/>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管理</w:t>
            </w:r>
          </w:p>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树上及绿带内有垃圾袋、零乱草绳、钉子、扎缚铁丝、电线、挂晾晒衣物、堆物、</w:t>
            </w:r>
            <w:r>
              <w:rPr>
                <w:rFonts w:hint="eastAsia" w:ascii="仿宋_GB2312" w:eastAsia="仿宋_GB2312" w:cs="宋体"/>
                <w:kern w:val="0"/>
                <w:sz w:val="21"/>
                <w:szCs w:val="21"/>
                <w:highlight w:val="none"/>
                <w:lang w:eastAsia="zh-CN"/>
              </w:rPr>
              <w:t>渣土积泥</w:t>
            </w:r>
            <w:r>
              <w:rPr>
                <w:rFonts w:hint="eastAsia" w:ascii="仿宋_GB2312" w:eastAsia="仿宋_GB2312" w:cs="宋体"/>
                <w:kern w:val="0"/>
                <w:sz w:val="21"/>
                <w:szCs w:val="21"/>
                <w:highlight w:val="none"/>
              </w:rPr>
              <w:t>等，每处扣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绿地内有明显枯叶堆积、白色垃圾、石块、果壳等杂物的每处扣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highlight w:val="none"/>
              </w:rPr>
            </w:pPr>
            <w:r>
              <w:rPr>
                <w:rFonts w:hint="eastAsia" w:ascii="仿宋_GB2312" w:eastAsia="仿宋_GB2312" w:cs="宋体"/>
                <w:kern w:val="0"/>
                <w:sz w:val="21"/>
                <w:szCs w:val="21"/>
                <w:highlight w:val="none"/>
              </w:rPr>
              <w:t>乔木及绿带积尘明显每处扣</w:t>
            </w:r>
            <w:r>
              <w:rPr>
                <w:rFonts w:hint="eastAsia" w:ascii="仿宋_GB2312" w:eastAsia="仿宋_GB2312" w:cs="宋体"/>
                <w:kern w:val="0"/>
                <w:sz w:val="21"/>
                <w:szCs w:val="21"/>
                <w:highlight w:val="none"/>
                <w:lang w:val="en-US" w:eastAsia="zh-CN"/>
              </w:rPr>
              <w:t>0.5</w:t>
            </w:r>
            <w:r>
              <w:rPr>
                <w:rFonts w:hint="eastAsia" w:ascii="仿宋_GB2312" w:eastAsia="仿宋_GB2312" w:cs="宋体"/>
                <w:kern w:val="0"/>
                <w:sz w:val="21"/>
                <w:szCs w:val="21"/>
                <w:highlight w:val="none"/>
              </w:rPr>
              <w:t>分，沿线绿带色块叶面积灰严重的每处扣</w:t>
            </w:r>
            <w:r>
              <w:rPr>
                <w:rFonts w:hint="eastAsia" w:ascii="仿宋_GB2312" w:eastAsia="仿宋_GB2312" w:cs="宋体"/>
                <w:kern w:val="0"/>
                <w:sz w:val="21"/>
                <w:szCs w:val="21"/>
                <w:highlight w:val="none"/>
                <w:lang w:val="en-US" w:eastAsia="zh-CN"/>
              </w:rPr>
              <w:t>2</w:t>
            </w:r>
            <w:r>
              <w:rPr>
                <w:rFonts w:hint="eastAsia" w:ascii="仿宋_GB2312" w:eastAsia="仿宋_GB2312" w:cs="宋体"/>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highlight w:val="none"/>
              </w:rPr>
            </w:pPr>
            <w:r>
              <w:rPr>
                <w:rFonts w:hint="eastAsia" w:ascii="仿宋_GB2312" w:eastAsia="仿宋_GB2312"/>
                <w:sz w:val="21"/>
                <w:szCs w:val="21"/>
                <w:highlight w:val="none"/>
              </w:rPr>
              <w:t>未经审批私自开挖绿地或未按绿化养护规范要求恢复等每处扣</w:t>
            </w:r>
            <w:r>
              <w:rPr>
                <w:rFonts w:hint="eastAsia" w:ascii="仿宋_GB2312"/>
                <w:sz w:val="21"/>
                <w:szCs w:val="21"/>
                <w:highlight w:val="none"/>
                <w:lang w:val="en-US" w:eastAsia="zh-CN"/>
              </w:rPr>
              <w:t>2</w:t>
            </w:r>
            <w:r>
              <w:rPr>
                <w:rFonts w:hint="eastAsia" w:ascii="仿宋_GB2312" w:eastAsia="仿宋_GB2312"/>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河道</w:t>
            </w:r>
          </w:p>
          <w:p>
            <w:pPr>
              <w:spacing w:line="420" w:lineRule="exact"/>
              <w:jc w:val="center"/>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管理</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highlight w:val="none"/>
              </w:rPr>
            </w:pPr>
            <w:r>
              <w:rPr>
                <w:rFonts w:hint="eastAsia" w:ascii="仿宋_GB2312" w:hAnsi="宋体" w:eastAsia="仿宋_GB2312"/>
                <w:sz w:val="21"/>
                <w:szCs w:val="21"/>
                <w:highlight w:val="none"/>
              </w:rPr>
              <w:t>每</w:t>
            </w:r>
            <w:r>
              <w:rPr>
                <w:rFonts w:hint="eastAsia" w:ascii="仿宋_GB2312" w:hAnsi="宋体" w:eastAsia="仿宋_GB2312"/>
                <w:sz w:val="21"/>
                <w:szCs w:val="21"/>
                <w:highlight w:val="none"/>
                <w:lang w:eastAsia="zh-CN"/>
              </w:rPr>
              <w:t>50米内河道漂浮物（除固定圈养的水草）超过3处或单处漂浮物面积超过</w:t>
            </w:r>
            <w:r>
              <w:rPr>
                <w:rFonts w:hint="eastAsia" w:ascii="仿宋_GB2312" w:hAnsi="宋体" w:eastAsia="仿宋_GB2312"/>
                <w:sz w:val="21"/>
                <w:szCs w:val="21"/>
                <w:highlight w:val="none"/>
                <w:lang w:val="en-US" w:eastAsia="zh-CN"/>
              </w:rPr>
              <w:t>0.5个平方</w:t>
            </w:r>
            <w:r>
              <w:rPr>
                <w:rFonts w:hint="eastAsia" w:ascii="仿宋_GB2312" w:hAnsi="宋体" w:eastAsia="仿宋_GB2312"/>
                <w:sz w:val="21"/>
                <w:szCs w:val="21"/>
                <w:highlight w:val="none"/>
                <w:lang w:eastAsia="zh-CN"/>
              </w:rPr>
              <w:t>及以上的每段扣</w:t>
            </w:r>
            <w:r>
              <w:rPr>
                <w:rFonts w:hint="eastAsia" w:ascii="仿宋_GB2312" w:hAnsi="宋体"/>
                <w:sz w:val="21"/>
                <w:szCs w:val="21"/>
                <w:highlight w:val="none"/>
                <w:lang w:val="en-US" w:eastAsia="zh-CN"/>
              </w:rPr>
              <w:t>2</w:t>
            </w:r>
            <w:r>
              <w:rPr>
                <w:rFonts w:hint="eastAsia" w:ascii="仿宋_GB2312" w:hAnsi="宋体" w:eastAsia="仿宋_GB2312"/>
                <w:sz w:val="21"/>
                <w:szCs w:val="21"/>
                <w:highlight w:val="none"/>
                <w:lang w:eastAsia="zh-CN"/>
              </w:rPr>
              <w:t>分；每发现一处河道内渔网渔具的扣1分；河岸</w:t>
            </w:r>
            <w:r>
              <w:rPr>
                <w:rFonts w:hint="eastAsia" w:ascii="仿宋_GB2312" w:hAnsi="宋体" w:eastAsia="仿宋_GB2312"/>
                <w:sz w:val="21"/>
                <w:szCs w:val="21"/>
                <w:highlight w:val="none"/>
                <w:lang w:val="en-US" w:eastAsia="zh-CN"/>
              </w:rPr>
              <w:t>10米范围内</w:t>
            </w:r>
            <w:r>
              <w:rPr>
                <w:rFonts w:hint="eastAsia" w:ascii="仿宋_GB2312" w:hAnsi="宋体" w:eastAsia="仿宋_GB2312"/>
                <w:sz w:val="21"/>
                <w:szCs w:val="21"/>
                <w:highlight w:val="none"/>
                <w:lang w:eastAsia="zh-CN"/>
              </w:rPr>
              <w:t>滩地、岸坡上有新增建筑垃圾倾倒和生活垃圾、枯枝杂树堆放未及时清理的，每处扣</w:t>
            </w:r>
            <w:r>
              <w:rPr>
                <w:rFonts w:hint="eastAsia" w:ascii="仿宋_GB2312" w:hAnsi="宋体" w:eastAsia="仿宋_GB2312"/>
                <w:sz w:val="21"/>
                <w:szCs w:val="21"/>
                <w:highlight w:val="none"/>
                <w:lang w:val="en-US" w:eastAsia="zh-CN"/>
              </w:rPr>
              <w:t>2分；</w:t>
            </w:r>
            <w:r>
              <w:rPr>
                <w:rFonts w:hint="eastAsia" w:ascii="仿宋_GB2312" w:hAnsi="宋体" w:eastAsia="仿宋_GB2312"/>
                <w:sz w:val="21"/>
                <w:szCs w:val="21"/>
                <w:highlight w:val="none"/>
                <w:lang w:eastAsia="zh-CN"/>
              </w:rPr>
              <w:t>如发现用草甘膦等污染水体的药剂处理的每次扣</w:t>
            </w:r>
            <w:r>
              <w:rPr>
                <w:rFonts w:hint="eastAsia" w:ascii="仿宋_GB2312" w:hAnsi="宋体" w:eastAsia="仿宋_GB2312"/>
                <w:sz w:val="21"/>
                <w:szCs w:val="21"/>
                <w:highlight w:val="none"/>
                <w:lang w:val="en-US" w:eastAsia="zh-CN"/>
              </w:rPr>
              <w:t>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highlight w:val="none"/>
                <w:lang w:eastAsia="zh-CN"/>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lang w:val="en-US" w:eastAsia="zh-CN"/>
              </w:rPr>
              <w:t>保洁人员须两人一船，单独作业的每次扣1分；工作时间不穿着救生衣的每次扣1分；未及时发现</w:t>
            </w:r>
            <w:r>
              <w:rPr>
                <w:rFonts w:hint="eastAsia" w:ascii="仿宋" w:hAnsi="仿宋" w:eastAsia="仿宋" w:cs="仿宋"/>
                <w:sz w:val="21"/>
                <w:szCs w:val="21"/>
                <w:highlight w:val="none"/>
              </w:rPr>
              <w:t>电捕网捕等行为</w:t>
            </w:r>
            <w:r>
              <w:rPr>
                <w:rFonts w:hint="eastAsia" w:ascii="仿宋" w:hAnsi="仿宋" w:eastAsia="仿宋" w:cs="仿宋"/>
                <w:sz w:val="21"/>
                <w:szCs w:val="21"/>
                <w:highlight w:val="none"/>
                <w:lang w:eastAsia="zh-CN"/>
              </w:rPr>
              <w:t>及新增晴天排污口</w:t>
            </w:r>
            <w:r>
              <w:rPr>
                <w:rFonts w:hint="eastAsia" w:ascii="仿宋" w:hAnsi="仿宋" w:eastAsia="仿宋" w:cs="仿宋"/>
                <w:sz w:val="21"/>
                <w:szCs w:val="21"/>
                <w:highlight w:val="none"/>
              </w:rPr>
              <w:t>的每起扣</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highlight w:val="none"/>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lang w:eastAsia="zh-CN"/>
              </w:rPr>
            </w:pPr>
            <w:r>
              <w:rPr>
                <w:rFonts w:hint="eastAsia" w:ascii="仿宋_GB2312" w:eastAsia="仿宋_GB2312" w:cs="宋体"/>
                <w:kern w:val="0"/>
                <w:sz w:val="21"/>
                <w:szCs w:val="21"/>
                <w:highlight w:val="none"/>
                <w:lang w:eastAsia="zh-CN"/>
              </w:rPr>
              <w:t>其它</w:t>
            </w:r>
            <w:r>
              <w:rPr>
                <w:rFonts w:hint="eastAsia" w:ascii="仿宋_GB2312" w:eastAsia="仿宋_GB2312" w:cs="宋体"/>
                <w:kern w:val="0"/>
                <w:sz w:val="21"/>
                <w:szCs w:val="21"/>
                <w:highlight w:val="none"/>
                <w:lang w:val="en-US" w:eastAsia="zh-CN"/>
              </w:rPr>
              <w:t xml:space="preserve"> </w:t>
            </w:r>
            <w:r>
              <w:rPr>
                <w:rFonts w:hint="eastAsia" w:ascii="仿宋_GB2312" w:eastAsia="仿宋_GB2312" w:cs="宋体"/>
                <w:kern w:val="0"/>
                <w:sz w:val="21"/>
                <w:szCs w:val="21"/>
                <w:highlight w:val="none"/>
                <w:lang w:eastAsia="zh-CN"/>
              </w:rPr>
              <w:t>事宜</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_GB2312" w:eastAsia="仿宋_GB2312" w:cs="宋体"/>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spacing w:val="-8"/>
                <w:sz w:val="21"/>
                <w:szCs w:val="21"/>
                <w:highlight w:val="none"/>
              </w:rPr>
            </w:pPr>
          </w:p>
        </w:tc>
      </w:tr>
      <w:tr>
        <w:tblPrEx>
          <w:tblCellMar>
            <w:top w:w="0" w:type="dxa"/>
            <w:left w:w="108" w:type="dxa"/>
            <w:bottom w:w="0" w:type="dxa"/>
            <w:right w:w="108" w:type="dxa"/>
          </w:tblCellMar>
        </w:tblPrEx>
        <w:trPr>
          <w:trHeight w:val="495" w:hRule="atLeast"/>
        </w:trPr>
        <w:tc>
          <w:tcPr>
            <w:tcW w:w="7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cs="宋体"/>
                <w:kern w:val="0"/>
                <w:sz w:val="21"/>
                <w:szCs w:val="21"/>
                <w:highlight w:val="none"/>
              </w:rPr>
            </w:pPr>
            <w:r>
              <w:rPr>
                <w:rFonts w:hint="eastAsia" w:ascii="仿宋_GB2312" w:eastAsia="仿宋_GB2312"/>
                <w:sz w:val="21"/>
                <w:szCs w:val="21"/>
                <w:highlight w:val="none"/>
              </w:rPr>
              <w:t>评分合计</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highlight w:val="none"/>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highlight w:val="none"/>
              </w:rPr>
            </w:pPr>
            <w:r>
              <w:rPr>
                <w:rFonts w:hint="eastAsia" w:ascii="仿宋_GB2312" w:eastAsia="仿宋_GB2312" w:cs="宋体"/>
                <w:kern w:val="0"/>
                <w:sz w:val="21"/>
                <w:szCs w:val="21"/>
                <w:highlight w:val="none"/>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_GB2312" w:eastAsia="仿宋_GB2312"/>
                <w:spacing w:val="-8"/>
                <w:sz w:val="21"/>
                <w:szCs w:val="21"/>
                <w:highlight w:val="none"/>
              </w:rPr>
            </w:pPr>
            <w:r>
              <w:rPr>
                <w:rFonts w:hint="eastAsia" w:ascii="仿宋_GB2312" w:eastAsia="仿宋_GB2312"/>
                <w:spacing w:val="-8"/>
                <w:sz w:val="21"/>
                <w:szCs w:val="21"/>
                <w:highlight w:val="none"/>
              </w:rPr>
              <w:t>1、</w:t>
            </w:r>
            <w:r>
              <w:rPr>
                <w:rFonts w:hint="eastAsia" w:ascii="仿宋_GB2312" w:eastAsia="仿宋_GB2312"/>
                <w:spacing w:val="-8"/>
                <w:sz w:val="21"/>
                <w:szCs w:val="21"/>
                <w:highlight w:val="none"/>
                <w:lang w:eastAsia="zh-CN"/>
              </w:rPr>
              <w:t>其它</w:t>
            </w:r>
            <w:r>
              <w:rPr>
                <w:rFonts w:hint="eastAsia" w:ascii="仿宋_GB2312" w:eastAsia="仿宋_GB2312"/>
                <w:spacing w:val="-8"/>
                <w:sz w:val="21"/>
                <w:szCs w:val="21"/>
                <w:highlight w:val="none"/>
              </w:rPr>
              <w:t>未尽事宜（如市“绿化双最”评比等市、区相关绿化工作），考核视情况加或扣1-5分。</w:t>
            </w:r>
          </w:p>
        </w:tc>
      </w:tr>
    </w:tbl>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六</w:t>
      </w:r>
      <w:r>
        <w:rPr>
          <w:rFonts w:hint="eastAsia" w:asciiTheme="majorEastAsia" w:hAnsiTheme="majorEastAsia" w:eastAsiaTheme="majorEastAsia" w:cstheme="majorEastAsia"/>
          <w:b/>
          <w:bCs/>
          <w:color w:val="auto"/>
          <w:sz w:val="24"/>
          <w:highlight w:val="none"/>
        </w:rPr>
        <w:t>、履约保证金：</w:t>
      </w:r>
    </w:p>
    <w:p>
      <w:pPr>
        <w:widowControl/>
        <w:autoSpaceDE w:val="0"/>
        <w:autoSpaceDN w:val="0"/>
        <w:adjustRightInd w:val="0"/>
        <w:spacing w:line="360" w:lineRule="auto"/>
        <w:ind w:firstLine="480" w:firstLineChars="200"/>
        <w:textAlignment w:val="bottom"/>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b/>
          <w:color w:val="auto"/>
          <w:sz w:val="24"/>
          <w:highlight w:val="none"/>
        </w:rPr>
        <w:t>中标单位在签订合同</w:t>
      </w:r>
      <w:r>
        <w:rPr>
          <w:rFonts w:hint="eastAsia" w:asciiTheme="majorEastAsia" w:hAnsiTheme="majorEastAsia" w:eastAsiaTheme="majorEastAsia" w:cstheme="majorEastAsia"/>
          <w:b/>
          <w:color w:val="auto"/>
          <w:sz w:val="24"/>
          <w:highlight w:val="none"/>
          <w:lang w:val="en-US" w:eastAsia="zh-CN"/>
        </w:rPr>
        <w:t>前</w:t>
      </w:r>
      <w:r>
        <w:rPr>
          <w:rFonts w:hint="eastAsia" w:asciiTheme="majorEastAsia" w:hAnsiTheme="majorEastAsia" w:eastAsiaTheme="majorEastAsia" w:cstheme="majorEastAsia"/>
          <w:b/>
          <w:color w:val="auto"/>
          <w:sz w:val="24"/>
          <w:highlight w:val="none"/>
        </w:rPr>
        <w:t>向招标人交纳中标价的</w:t>
      </w:r>
      <w:r>
        <w:rPr>
          <w:rFonts w:hint="eastAsia" w:asciiTheme="majorEastAsia" w:hAnsiTheme="majorEastAsia" w:eastAsiaTheme="majorEastAsia" w:cstheme="majorEastAsia"/>
          <w:b/>
          <w:color w:val="auto"/>
          <w:sz w:val="24"/>
          <w:highlight w:val="none"/>
          <w:lang w:val="en-US" w:eastAsia="zh-CN"/>
        </w:rPr>
        <w:t>2.5</w:t>
      </w:r>
      <w:r>
        <w:rPr>
          <w:rFonts w:hint="eastAsia" w:asciiTheme="majorEastAsia" w:hAnsiTheme="majorEastAsia" w:eastAsiaTheme="majorEastAsia" w:cstheme="majorEastAsia"/>
          <w:b/>
          <w:color w:val="auto"/>
          <w:sz w:val="24"/>
          <w:highlight w:val="none"/>
        </w:rPr>
        <w:t>%作为履约保证金。</w:t>
      </w:r>
    </w:p>
    <w:p>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、其他要求及说明</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1.1、绿化养护报价要求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eastAsia="宋体" w:cs="宋体"/>
          <w:color w:val="auto"/>
          <w:sz w:val="24"/>
          <w:highlight w:val="none"/>
        </w:rPr>
        <w:t>根据招标要求，招标绿</w:t>
      </w:r>
      <w:r>
        <w:rPr>
          <w:rFonts w:hint="eastAsia" w:ascii="宋体" w:hAnsi="宋体" w:eastAsia="宋体" w:cs="宋体"/>
          <w:color w:val="auto"/>
          <w:sz w:val="24"/>
          <w:highlight w:val="none"/>
          <w:lang w:val="en-US" w:eastAsia="zh-CN"/>
        </w:rPr>
        <w:t>化</w:t>
      </w:r>
      <w:r>
        <w:rPr>
          <w:rFonts w:hint="eastAsia" w:ascii="宋体" w:hAnsi="宋体" w:eastAsia="宋体" w:cs="宋体"/>
          <w:color w:val="auto"/>
          <w:sz w:val="24"/>
          <w:highlight w:val="none"/>
        </w:rPr>
        <w:t>养护款的70%属于日常养护费、30%作为招标绿地的苗木调整、土壤改良等绿地提升改造费用。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日常绿化养护费包括：绿化养护人工工资、绿化施肥费、绿化浇水费、绿化防病防虫用药费、绿化零星补植费、防台抗雪等应急物资储备费、其他费用；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w:t>
      </w:r>
      <w:r>
        <w:rPr>
          <w:rFonts w:hint="eastAsia" w:ascii="宋体" w:hAnsi="宋体" w:eastAsia="宋体" w:cs="宋体"/>
          <w:color w:val="auto"/>
          <w:sz w:val="24"/>
          <w:highlight w:val="none"/>
        </w:rPr>
        <w:t>绿化养护人员不少于2人/万平方米，养护人员工资不得低于杭州市最低工资标准（根据《</w:t>
      </w:r>
      <w:r>
        <w:rPr>
          <w:rFonts w:hint="eastAsia" w:ascii="宋体" w:hAnsi="宋体" w:eastAsia="宋体" w:cs="宋体"/>
          <w:color w:val="auto"/>
          <w:sz w:val="24"/>
          <w:highlight w:val="none"/>
          <w:lang w:val="en-US" w:eastAsia="zh-CN"/>
        </w:rPr>
        <w:t>浙江省</w:t>
      </w:r>
      <w:r>
        <w:rPr>
          <w:rFonts w:hint="eastAsia" w:ascii="宋体" w:hAnsi="宋体" w:eastAsia="宋体" w:cs="宋体"/>
          <w:color w:val="auto"/>
          <w:sz w:val="24"/>
          <w:highlight w:val="none"/>
        </w:rPr>
        <w:t>人民政府关于调整</w:t>
      </w:r>
      <w:r>
        <w:rPr>
          <w:rFonts w:hint="eastAsia" w:ascii="宋体" w:hAnsi="宋体" w:eastAsia="宋体" w:cs="宋体"/>
          <w:color w:val="auto"/>
          <w:sz w:val="24"/>
          <w:highlight w:val="none"/>
          <w:lang w:val="en-US" w:eastAsia="zh-CN"/>
        </w:rPr>
        <w:t>全省</w:t>
      </w:r>
      <w:r>
        <w:rPr>
          <w:rFonts w:hint="eastAsia" w:ascii="宋体" w:hAnsi="宋体" w:eastAsia="宋体" w:cs="宋体"/>
          <w:color w:val="auto"/>
          <w:sz w:val="24"/>
          <w:highlight w:val="none"/>
        </w:rPr>
        <w:t>最低工资标准的通知》（</w:t>
      </w:r>
      <w:r>
        <w:rPr>
          <w:rFonts w:hint="eastAsia" w:ascii="宋体" w:hAnsi="宋体" w:eastAsia="宋体" w:cs="宋体"/>
          <w:color w:val="auto"/>
          <w:sz w:val="24"/>
          <w:highlight w:val="none"/>
          <w:lang w:val="en-US" w:eastAsia="zh-CN"/>
        </w:rPr>
        <w:t>浙政发</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号）精神执行，合同期内如遇工作人员的最低工资调整等其他因素，产生的费用由投标单位承担）。人工工资主要包括基本工资、社会保障五险、高温补助、意外伤害险等，人员配备必须附本企业最近一季度交纳的养老保险为依据。养护人员主要做好绿地养护中各类养护工作，其中包括服从采购人派遣任务、绿化施肥、浇水、植物修剪、绿地保洁、除草、设施维修、补种、喷洒农药、应急响应等养护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1.1.4</w:t>
      </w:r>
      <w:r>
        <w:rPr>
          <w:rFonts w:hint="eastAsia" w:ascii="宋体" w:hAnsi="宋体" w:eastAsia="宋体" w:cs="宋体"/>
          <w:color w:val="auto"/>
          <w:sz w:val="24"/>
          <w:highlight w:val="none"/>
        </w:rPr>
        <w:t>绿化施肥费：每年施肥不少于2次，平日应及时追肥，确保绿化生长所必需的养分，用有机肥或复合肥0.5kg／㎡，该项费用最少不低于日常绿化养护费的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1.1.5</w:t>
      </w:r>
      <w:r>
        <w:rPr>
          <w:rFonts w:hint="eastAsia" w:ascii="宋体" w:hAnsi="宋体" w:eastAsia="宋体" w:cs="宋体"/>
          <w:color w:val="auto"/>
          <w:sz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1.1.6</w:t>
      </w:r>
      <w:r>
        <w:rPr>
          <w:rFonts w:hint="eastAsia" w:ascii="宋体" w:hAnsi="宋体" w:eastAsia="宋体" w:cs="宋体"/>
          <w:color w:val="auto"/>
          <w:sz w:val="24"/>
          <w:highlight w:val="none"/>
        </w:rPr>
        <w:t>绿化防病防虫用药费：要求综合防治，以防为主。病虫害危害应控制在以不影响观赏效果的范围之内，其中食叶性害虫危害的叶片，每株不超过</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%；刺吸性害虫危害的叶片，每株不超过10%；无蛀干性害虫的活虫、活卵，该项费用最少不低于日常绿化养护费的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1.1.7</w:t>
      </w:r>
      <w:r>
        <w:rPr>
          <w:rFonts w:hint="eastAsia" w:ascii="宋体" w:hAnsi="宋体" w:eastAsia="宋体" w:cs="宋体"/>
          <w:color w:val="auto"/>
          <w:sz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1.1.8</w:t>
      </w:r>
      <w:r>
        <w:rPr>
          <w:rFonts w:hint="eastAsia" w:ascii="宋体" w:hAnsi="宋体" w:eastAsia="宋体" w:cs="宋体"/>
          <w:color w:val="auto"/>
          <w:sz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1.1.9</w:t>
      </w:r>
      <w:r>
        <w:rPr>
          <w:rFonts w:hint="eastAsia" w:ascii="宋体" w:hAnsi="宋体" w:eastAsia="宋体" w:cs="宋体"/>
          <w:color w:val="auto"/>
          <w:sz w:val="24"/>
          <w:highlight w:val="none"/>
        </w:rPr>
        <w:t>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1.2、绿化更新改造费：</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①每一期改造竣工验收后，由</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送审计部门进行审计，并按最终审计价支付。若更新改造费尾款低于2万以内，</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可以通过双方签订零星改造协议、并经</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验收合格后，按照决算价下浮20%后进行支付。</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②若改造工程中涉及到基本审计费，经</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审核同意后支付。</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③超出综合养护中的更新改造费以及超出部分审计产生的审计费，由</w:t>
      </w:r>
      <w:r>
        <w:rPr>
          <w:rFonts w:hint="eastAsia" w:ascii="宋体" w:hAnsi="宋体" w:eastAsia="宋体" w:cs="宋体"/>
          <w:color w:val="auto"/>
          <w:spacing w:val="4"/>
          <w:kern w:val="0"/>
          <w:sz w:val="24"/>
          <w:szCs w:val="24"/>
          <w:highlight w:val="none"/>
          <w:lang w:val="en-US" w:eastAsia="zh-CN"/>
        </w:rPr>
        <w:t>乙方</w:t>
      </w:r>
      <w:r>
        <w:rPr>
          <w:rFonts w:hint="eastAsia" w:ascii="宋体" w:hAnsi="宋体" w:eastAsia="宋体" w:cs="宋体"/>
          <w:color w:val="auto"/>
          <w:spacing w:val="4"/>
          <w:kern w:val="0"/>
          <w:sz w:val="24"/>
          <w:szCs w:val="24"/>
          <w:highlight w:val="none"/>
        </w:rPr>
        <w:t>承担。</w:t>
      </w:r>
    </w:p>
    <w:p>
      <w:pPr>
        <w:snapToGrid w:val="0"/>
        <w:spacing w:before="0" w:beforeAutospacing="0" w:after="0" w:afterAutospacing="0" w:line="400" w:lineRule="atLeast"/>
        <w:ind w:firstLine="486" w:firstLineChars="196"/>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pacing w:val="4"/>
          <w:kern w:val="0"/>
          <w:sz w:val="24"/>
          <w:szCs w:val="24"/>
          <w:highlight w:val="none"/>
        </w:rPr>
        <w:t>④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pPr>
        <w:snapToGrid w:val="0"/>
        <w:spacing w:line="360" w:lineRule="auto"/>
        <w:ind w:firstLine="480" w:firstLineChars="200"/>
        <w:jc w:val="both"/>
        <w:rPr>
          <w:rFonts w:hint="eastAsia" w:asciiTheme="majorEastAsia" w:hAnsiTheme="majorEastAsia" w:eastAsiaTheme="majorEastAsia" w:cstheme="majorEastAsia"/>
          <w:b/>
          <w:color w:val="auto"/>
          <w:sz w:val="36"/>
          <w:szCs w:val="36"/>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时花更换费：</w:t>
      </w:r>
      <w:r>
        <w:rPr>
          <w:rFonts w:hint="eastAsia" w:ascii="宋体" w:hAnsi="宋体" w:eastAsia="宋体" w:cs="宋体"/>
          <w:color w:val="auto"/>
          <w:sz w:val="24"/>
          <w:highlight w:val="none"/>
          <w:lang w:val="en-US" w:eastAsia="zh-CN"/>
        </w:rPr>
        <w:t>时花更换</w:t>
      </w:r>
      <w:r>
        <w:rPr>
          <w:rFonts w:hint="eastAsia" w:ascii="宋体" w:hAnsi="宋体" w:eastAsia="宋体" w:cs="宋体"/>
          <w:color w:val="auto"/>
          <w:sz w:val="24"/>
          <w:highlight w:val="none"/>
        </w:rPr>
        <w:t>主要用于一年不少于六次的时花更换，根据招标方要求，在养护期限内，由中标方提出时花更换方案，经招标方论证同意后方可实施，时花更换按时花投标报价（除时花种植面积增加或减少外，投标单</w:t>
      </w:r>
      <w:r>
        <w:rPr>
          <w:rFonts w:hint="eastAsia" w:ascii="宋体" w:hAnsi="宋体" w:eastAsia="宋体" w:cs="宋体"/>
          <w:color w:val="auto"/>
          <w:sz w:val="24"/>
          <w:highlight w:val="none"/>
          <w:lang w:val="en-US" w:eastAsia="zh-CN"/>
        </w:rPr>
        <w:t>价</w:t>
      </w:r>
      <w:r>
        <w:rPr>
          <w:rFonts w:hint="eastAsia" w:ascii="宋体" w:hAnsi="宋体" w:eastAsia="宋体" w:cs="宋体"/>
          <w:color w:val="auto"/>
          <w:sz w:val="24"/>
          <w:highlight w:val="none"/>
        </w:rPr>
        <w:t>不变，工程量按实计取）。中标单位在合同期限内有意不实施且阻挠工程改造的，情节严重的，招标方有权中止合同。</w:t>
      </w:r>
    </w:p>
    <w:p>
      <w:pPr>
        <w:snapToGrid w:val="0"/>
        <w:spacing w:line="360" w:lineRule="auto"/>
        <w:jc w:val="both"/>
        <w:rPr>
          <w:rFonts w:hint="eastAsia" w:asciiTheme="majorEastAsia" w:hAnsiTheme="majorEastAsia" w:eastAsiaTheme="majorEastAsia" w:cstheme="majorEastAsia"/>
          <w:b/>
          <w:color w:val="auto"/>
          <w:sz w:val="36"/>
          <w:szCs w:val="36"/>
          <w:highlight w:val="none"/>
        </w:rPr>
      </w:pPr>
    </w:p>
    <w:p>
      <w:pPr>
        <w:snapToGrid w:val="0"/>
        <w:spacing w:line="360" w:lineRule="auto"/>
        <w:jc w:val="both"/>
        <w:rPr>
          <w:rFonts w:hint="eastAsia" w:asciiTheme="majorEastAsia" w:hAnsiTheme="majorEastAsia" w:eastAsiaTheme="majorEastAsia" w:cstheme="majorEastAsia"/>
          <w:b/>
          <w:color w:val="auto"/>
          <w:sz w:val="36"/>
          <w:szCs w:val="36"/>
          <w:highlight w:val="none"/>
        </w:rPr>
      </w:pPr>
    </w:p>
    <w:p>
      <w:pPr>
        <w:snapToGrid w:val="0"/>
        <w:spacing w:line="360" w:lineRule="auto"/>
        <w:ind w:firstLine="3253" w:firstLineChars="900"/>
        <w:jc w:val="both"/>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第四部分   </w:t>
      </w:r>
      <w:bookmarkStart w:id="26" w:name="_Toc184312072"/>
      <w:bookmarkEnd w:id="26"/>
      <w:bookmarkStart w:id="27" w:name="_Toc184314436"/>
      <w:bookmarkEnd w:id="27"/>
      <w:bookmarkStart w:id="28" w:name="_Toc184314415"/>
      <w:bookmarkEnd w:id="28"/>
      <w:bookmarkStart w:id="29" w:name="_Toc184314428"/>
      <w:bookmarkEnd w:id="29"/>
      <w:bookmarkStart w:id="30" w:name="_Toc184314449"/>
      <w:bookmarkEnd w:id="30"/>
      <w:bookmarkStart w:id="31" w:name="_Toc184313269"/>
      <w:bookmarkEnd w:id="31"/>
      <w:bookmarkStart w:id="32" w:name="_Toc184314413"/>
      <w:bookmarkEnd w:id="32"/>
      <w:bookmarkStart w:id="33" w:name="_Toc184314425"/>
      <w:bookmarkEnd w:id="33"/>
      <w:bookmarkStart w:id="34" w:name="_Toc184308101"/>
      <w:bookmarkEnd w:id="34"/>
      <w:bookmarkStart w:id="35" w:name="_Toc184314459"/>
      <w:bookmarkEnd w:id="35"/>
      <w:bookmarkStart w:id="36" w:name="_Toc184314446"/>
      <w:bookmarkEnd w:id="36"/>
      <w:bookmarkStart w:id="37" w:name="_Toc184314481"/>
      <w:bookmarkEnd w:id="37"/>
      <w:bookmarkStart w:id="38" w:name="_Toc184308105"/>
      <w:bookmarkEnd w:id="38"/>
      <w:bookmarkStart w:id="39" w:name="_Toc184312083"/>
      <w:bookmarkEnd w:id="39"/>
      <w:bookmarkStart w:id="40" w:name="_Toc184312076"/>
      <w:bookmarkEnd w:id="40"/>
      <w:bookmarkStart w:id="41" w:name="_Toc184314448"/>
      <w:bookmarkEnd w:id="41"/>
      <w:bookmarkStart w:id="42" w:name="_Toc184310288"/>
      <w:bookmarkEnd w:id="42"/>
      <w:bookmarkStart w:id="43" w:name="_Toc184312103"/>
      <w:bookmarkEnd w:id="43"/>
      <w:bookmarkStart w:id="44" w:name="_Toc184313297"/>
      <w:bookmarkEnd w:id="44"/>
      <w:bookmarkStart w:id="45" w:name="_Toc184314472"/>
      <w:bookmarkEnd w:id="45"/>
      <w:bookmarkStart w:id="46" w:name="_Toc184312114"/>
      <w:bookmarkEnd w:id="46"/>
      <w:bookmarkStart w:id="47" w:name="_Toc184314473"/>
      <w:bookmarkEnd w:id="47"/>
      <w:bookmarkStart w:id="48" w:name="_Toc184308056"/>
      <w:bookmarkEnd w:id="48"/>
      <w:bookmarkStart w:id="49" w:name="_Toc184310287"/>
      <w:bookmarkEnd w:id="49"/>
      <w:bookmarkStart w:id="50" w:name="_Toc184314474"/>
      <w:bookmarkEnd w:id="50"/>
      <w:bookmarkStart w:id="51" w:name="_Toc184308067"/>
      <w:bookmarkEnd w:id="51"/>
      <w:bookmarkStart w:id="52" w:name="_Toc184308064"/>
      <w:bookmarkEnd w:id="52"/>
      <w:bookmarkStart w:id="53" w:name="_Toc184313266"/>
      <w:bookmarkEnd w:id="53"/>
      <w:bookmarkStart w:id="54" w:name="_Toc184310315"/>
      <w:bookmarkEnd w:id="54"/>
      <w:bookmarkStart w:id="55" w:name="_Toc184312130"/>
      <w:bookmarkEnd w:id="55"/>
      <w:bookmarkStart w:id="56" w:name="_Toc184313306"/>
      <w:bookmarkEnd w:id="56"/>
      <w:bookmarkStart w:id="57" w:name="_Toc184310275"/>
      <w:bookmarkEnd w:id="57"/>
      <w:bookmarkStart w:id="58" w:name="_Toc184312119"/>
      <w:bookmarkEnd w:id="58"/>
      <w:bookmarkStart w:id="59" w:name="_Toc184312070"/>
      <w:bookmarkEnd w:id="59"/>
      <w:bookmarkStart w:id="60" w:name="_Toc184312067"/>
      <w:bookmarkEnd w:id="60"/>
      <w:bookmarkStart w:id="61" w:name="_Toc184312128"/>
      <w:bookmarkEnd w:id="61"/>
      <w:bookmarkStart w:id="62" w:name="_Toc184312069"/>
      <w:bookmarkEnd w:id="62"/>
      <w:bookmarkStart w:id="63" w:name="_Toc184308055"/>
      <w:bookmarkEnd w:id="63"/>
      <w:bookmarkStart w:id="64" w:name="_Toc184308044"/>
      <w:bookmarkEnd w:id="64"/>
      <w:bookmarkStart w:id="65" w:name="_Toc184310291"/>
      <w:bookmarkEnd w:id="65"/>
      <w:bookmarkStart w:id="66" w:name="_Toc184313308"/>
      <w:bookmarkEnd w:id="66"/>
      <w:bookmarkStart w:id="67" w:name="_Toc184310297"/>
      <w:bookmarkEnd w:id="67"/>
      <w:bookmarkStart w:id="68" w:name="_Toc184312086"/>
      <w:bookmarkEnd w:id="68"/>
      <w:bookmarkStart w:id="69" w:name="_Toc184310341"/>
      <w:bookmarkEnd w:id="69"/>
      <w:bookmarkStart w:id="70" w:name="_Toc184308108"/>
      <w:bookmarkEnd w:id="70"/>
      <w:bookmarkStart w:id="71" w:name="_Toc184314429"/>
      <w:bookmarkEnd w:id="71"/>
      <w:bookmarkStart w:id="72" w:name="_Toc184313271"/>
      <w:bookmarkEnd w:id="72"/>
      <w:bookmarkStart w:id="73" w:name="_Toc184313286"/>
      <w:bookmarkEnd w:id="73"/>
      <w:bookmarkStart w:id="74" w:name="_Toc184314434"/>
      <w:bookmarkEnd w:id="74"/>
      <w:bookmarkStart w:id="75" w:name="_Toc184314414"/>
      <w:bookmarkEnd w:id="75"/>
      <w:bookmarkStart w:id="76" w:name="_Toc184312109"/>
      <w:bookmarkEnd w:id="76"/>
      <w:bookmarkStart w:id="77" w:name="_Toc184314475"/>
      <w:bookmarkEnd w:id="77"/>
      <w:bookmarkStart w:id="78" w:name="_Toc184314416"/>
      <w:bookmarkEnd w:id="78"/>
      <w:bookmarkStart w:id="79" w:name="_Toc184308087"/>
      <w:bookmarkEnd w:id="79"/>
      <w:bookmarkStart w:id="80" w:name="_Toc184312121"/>
      <w:bookmarkEnd w:id="80"/>
      <w:bookmarkStart w:id="81" w:name="_Toc184313245"/>
      <w:bookmarkEnd w:id="81"/>
      <w:bookmarkStart w:id="82" w:name="_Toc184310281"/>
      <w:bookmarkEnd w:id="82"/>
      <w:bookmarkStart w:id="83" w:name="_Toc184313244"/>
      <w:bookmarkEnd w:id="83"/>
      <w:bookmarkStart w:id="84" w:name="_Toc184312071"/>
      <w:bookmarkEnd w:id="84"/>
      <w:bookmarkStart w:id="85" w:name="_Toc184312085"/>
      <w:bookmarkEnd w:id="85"/>
      <w:bookmarkStart w:id="86" w:name="_Toc184313293"/>
      <w:bookmarkEnd w:id="86"/>
      <w:bookmarkStart w:id="87" w:name="_Toc184312113"/>
      <w:bookmarkEnd w:id="87"/>
      <w:bookmarkStart w:id="88" w:name="_Toc184310313"/>
      <w:bookmarkEnd w:id="88"/>
      <w:bookmarkStart w:id="89" w:name="_Toc184313283"/>
      <w:bookmarkEnd w:id="89"/>
      <w:bookmarkStart w:id="90" w:name="_Toc184313267"/>
      <w:bookmarkEnd w:id="90"/>
      <w:bookmarkStart w:id="91" w:name="_Toc184308086"/>
      <w:bookmarkEnd w:id="91"/>
      <w:bookmarkStart w:id="92" w:name="_Toc184313281"/>
      <w:bookmarkEnd w:id="92"/>
      <w:bookmarkStart w:id="93" w:name="_Toc184314410"/>
      <w:bookmarkEnd w:id="93"/>
      <w:bookmarkStart w:id="94" w:name="_Toc184310286"/>
      <w:bookmarkEnd w:id="94"/>
      <w:bookmarkStart w:id="95" w:name="_Toc184310292"/>
      <w:bookmarkEnd w:id="95"/>
      <w:bookmarkStart w:id="96" w:name="_Toc184312096"/>
      <w:bookmarkEnd w:id="96"/>
      <w:bookmarkStart w:id="97" w:name="_Toc184313258"/>
      <w:bookmarkEnd w:id="97"/>
      <w:bookmarkStart w:id="98" w:name="_Toc184310303"/>
      <w:bookmarkEnd w:id="98"/>
      <w:bookmarkStart w:id="99" w:name="_Toc184308048"/>
      <w:bookmarkEnd w:id="99"/>
      <w:bookmarkStart w:id="100" w:name="_Toc184313250"/>
      <w:bookmarkEnd w:id="100"/>
      <w:bookmarkStart w:id="101" w:name="_Toc184312124"/>
      <w:bookmarkEnd w:id="101"/>
      <w:bookmarkStart w:id="102" w:name="_Toc184312132"/>
      <w:bookmarkEnd w:id="102"/>
      <w:bookmarkStart w:id="103" w:name="_Toc184313248"/>
      <w:bookmarkEnd w:id="103"/>
      <w:bookmarkStart w:id="104" w:name="_Toc184308085"/>
      <w:bookmarkEnd w:id="104"/>
      <w:bookmarkStart w:id="105" w:name="_Toc184312127"/>
      <w:bookmarkEnd w:id="105"/>
      <w:bookmarkStart w:id="106" w:name="_Toc184313249"/>
      <w:bookmarkEnd w:id="106"/>
      <w:bookmarkStart w:id="107" w:name="_Toc184313241"/>
      <w:bookmarkEnd w:id="107"/>
      <w:bookmarkStart w:id="108" w:name="_Toc184314442"/>
      <w:bookmarkEnd w:id="108"/>
      <w:bookmarkStart w:id="109" w:name="_Toc184312116"/>
      <w:bookmarkEnd w:id="109"/>
      <w:bookmarkStart w:id="110" w:name="_Toc184308089"/>
      <w:bookmarkEnd w:id="110"/>
      <w:bookmarkStart w:id="111" w:name="_Toc184313301"/>
      <w:bookmarkEnd w:id="111"/>
      <w:bookmarkStart w:id="112" w:name="_Toc184308088"/>
      <w:bookmarkEnd w:id="112"/>
      <w:bookmarkStart w:id="113" w:name="_Toc184308078"/>
      <w:bookmarkEnd w:id="113"/>
      <w:bookmarkStart w:id="114" w:name="_Toc184314465"/>
      <w:bookmarkEnd w:id="114"/>
      <w:bookmarkStart w:id="115" w:name="_Toc184308091"/>
      <w:bookmarkEnd w:id="115"/>
      <w:bookmarkStart w:id="116" w:name="_Toc184312101"/>
      <w:bookmarkEnd w:id="116"/>
      <w:bookmarkStart w:id="117" w:name="_Toc184313274"/>
      <w:bookmarkEnd w:id="117"/>
      <w:bookmarkStart w:id="118" w:name="_Toc184310330"/>
      <w:bookmarkEnd w:id="118"/>
      <w:bookmarkStart w:id="119" w:name="_Toc184314424"/>
      <w:bookmarkEnd w:id="119"/>
      <w:bookmarkStart w:id="120" w:name="_Toc184308038"/>
      <w:bookmarkEnd w:id="120"/>
      <w:bookmarkStart w:id="121" w:name="_Toc184313277"/>
      <w:bookmarkEnd w:id="121"/>
      <w:bookmarkStart w:id="122" w:name="_Toc184314412"/>
      <w:bookmarkEnd w:id="122"/>
      <w:bookmarkStart w:id="123" w:name="_Toc184313292"/>
      <w:bookmarkEnd w:id="123"/>
      <w:bookmarkStart w:id="124" w:name="_Toc184308092"/>
      <w:bookmarkEnd w:id="124"/>
      <w:bookmarkStart w:id="125" w:name="_Toc184312138"/>
      <w:bookmarkEnd w:id="125"/>
      <w:bookmarkStart w:id="126" w:name="_Toc184313257"/>
      <w:bookmarkEnd w:id="126"/>
      <w:bookmarkStart w:id="127" w:name="_Toc184314420"/>
      <w:bookmarkEnd w:id="127"/>
      <w:bookmarkStart w:id="128" w:name="_Toc184308090"/>
      <w:bookmarkEnd w:id="128"/>
      <w:bookmarkStart w:id="129" w:name="_Toc184313264"/>
      <w:bookmarkEnd w:id="129"/>
      <w:bookmarkStart w:id="130" w:name="_Toc184308063"/>
      <w:bookmarkEnd w:id="130"/>
      <w:bookmarkStart w:id="131" w:name="_Toc184308073"/>
      <w:bookmarkEnd w:id="131"/>
      <w:bookmarkStart w:id="132" w:name="_Toc184314431"/>
      <w:bookmarkEnd w:id="132"/>
      <w:bookmarkStart w:id="133" w:name="_Toc184308059"/>
      <w:bookmarkEnd w:id="133"/>
      <w:bookmarkStart w:id="134" w:name="_Toc184308103"/>
      <w:bookmarkEnd w:id="134"/>
      <w:bookmarkStart w:id="135" w:name="_Toc184314466"/>
      <w:bookmarkEnd w:id="135"/>
      <w:bookmarkStart w:id="136" w:name="_Toc184314467"/>
      <w:bookmarkEnd w:id="136"/>
      <w:bookmarkStart w:id="137" w:name="_Toc184312123"/>
      <w:bookmarkEnd w:id="137"/>
      <w:bookmarkStart w:id="138" w:name="_Toc184310335"/>
      <w:bookmarkEnd w:id="138"/>
      <w:bookmarkStart w:id="139" w:name="_Toc184310328"/>
      <w:bookmarkEnd w:id="139"/>
      <w:bookmarkStart w:id="140" w:name="_Toc184312125"/>
      <w:bookmarkEnd w:id="140"/>
      <w:bookmarkStart w:id="141" w:name="_Toc184312110"/>
      <w:bookmarkEnd w:id="141"/>
      <w:bookmarkStart w:id="142" w:name="_Toc184314427"/>
      <w:bookmarkEnd w:id="142"/>
      <w:bookmarkStart w:id="143" w:name="_Toc184308099"/>
      <w:bookmarkEnd w:id="143"/>
      <w:bookmarkStart w:id="144" w:name="_Toc184314430"/>
      <w:bookmarkEnd w:id="144"/>
      <w:bookmarkStart w:id="145" w:name="_Toc184314443"/>
      <w:bookmarkEnd w:id="145"/>
      <w:bookmarkStart w:id="146" w:name="_Toc184308077"/>
      <w:bookmarkEnd w:id="146"/>
      <w:bookmarkStart w:id="147" w:name="_Toc184308037"/>
      <w:bookmarkEnd w:id="147"/>
      <w:bookmarkStart w:id="148" w:name="_Toc184312094"/>
      <w:bookmarkEnd w:id="148"/>
      <w:bookmarkStart w:id="149" w:name="_Toc184310272"/>
      <w:bookmarkEnd w:id="149"/>
      <w:bookmarkStart w:id="150" w:name="_Toc184314482"/>
      <w:bookmarkEnd w:id="150"/>
      <w:bookmarkStart w:id="151" w:name="_Toc184314471"/>
      <w:bookmarkEnd w:id="151"/>
      <w:bookmarkStart w:id="152" w:name="_Toc184312115"/>
      <w:bookmarkEnd w:id="152"/>
      <w:bookmarkStart w:id="153" w:name="_Toc184308050"/>
      <w:bookmarkEnd w:id="153"/>
      <w:bookmarkStart w:id="154" w:name="_Toc184310340"/>
      <w:bookmarkEnd w:id="154"/>
      <w:bookmarkStart w:id="155" w:name="_Toc184313239"/>
      <w:bookmarkEnd w:id="155"/>
      <w:bookmarkStart w:id="156" w:name="_Toc184310305"/>
      <w:bookmarkEnd w:id="156"/>
      <w:bookmarkStart w:id="157" w:name="_Toc184308104"/>
      <w:bookmarkEnd w:id="157"/>
      <w:bookmarkStart w:id="158" w:name="_Toc184312112"/>
      <w:bookmarkEnd w:id="158"/>
      <w:bookmarkStart w:id="159" w:name="_Toc184313268"/>
      <w:bookmarkEnd w:id="159"/>
      <w:bookmarkStart w:id="160" w:name="_Toc184313254"/>
      <w:bookmarkEnd w:id="160"/>
      <w:bookmarkStart w:id="161" w:name="_Toc184308062"/>
      <w:bookmarkEnd w:id="161"/>
      <w:bookmarkStart w:id="162" w:name="_Toc184310327"/>
      <w:bookmarkEnd w:id="162"/>
      <w:bookmarkStart w:id="163" w:name="_Toc184313265"/>
      <w:bookmarkEnd w:id="163"/>
      <w:bookmarkStart w:id="164" w:name="_Toc184308058"/>
      <w:bookmarkEnd w:id="164"/>
      <w:bookmarkStart w:id="165" w:name="_Toc184310280"/>
      <w:bookmarkEnd w:id="165"/>
      <w:bookmarkStart w:id="166" w:name="_Toc184308041"/>
      <w:bookmarkEnd w:id="166"/>
      <w:bookmarkStart w:id="167" w:name="_Toc184310294"/>
      <w:bookmarkEnd w:id="167"/>
      <w:bookmarkStart w:id="168" w:name="_Toc184314423"/>
      <w:bookmarkEnd w:id="168"/>
      <w:bookmarkStart w:id="169" w:name="_Toc184310342"/>
      <w:bookmarkEnd w:id="169"/>
      <w:bookmarkStart w:id="170" w:name="_Toc184312093"/>
      <w:bookmarkEnd w:id="170"/>
      <w:bookmarkStart w:id="171" w:name="_Toc184310301"/>
      <w:bookmarkEnd w:id="171"/>
      <w:bookmarkStart w:id="172" w:name="_Toc184310339"/>
      <w:bookmarkEnd w:id="172"/>
      <w:bookmarkStart w:id="173" w:name="_Toc184312111"/>
      <w:bookmarkEnd w:id="173"/>
      <w:bookmarkStart w:id="174" w:name="_Toc184308036"/>
      <w:bookmarkEnd w:id="174"/>
      <w:bookmarkStart w:id="175" w:name="_Toc184314470"/>
      <w:bookmarkEnd w:id="175"/>
      <w:bookmarkStart w:id="176" w:name="_Toc184314462"/>
      <w:bookmarkEnd w:id="176"/>
      <w:bookmarkStart w:id="177" w:name="_Toc184310285"/>
      <w:bookmarkEnd w:id="177"/>
      <w:bookmarkStart w:id="178" w:name="_Toc184312131"/>
      <w:bookmarkEnd w:id="178"/>
      <w:bookmarkStart w:id="179" w:name="_Toc184313246"/>
      <w:bookmarkEnd w:id="179"/>
      <w:bookmarkStart w:id="180" w:name="_Toc184308039"/>
      <w:bookmarkEnd w:id="180"/>
      <w:bookmarkStart w:id="181" w:name="_Toc184312074"/>
      <w:bookmarkEnd w:id="181"/>
      <w:bookmarkStart w:id="182" w:name="_Toc184308042"/>
      <w:bookmarkEnd w:id="182"/>
      <w:bookmarkStart w:id="183" w:name="_Toc184314480"/>
      <w:bookmarkEnd w:id="183"/>
      <w:bookmarkStart w:id="184" w:name="_Toc184310276"/>
      <w:bookmarkEnd w:id="184"/>
      <w:bookmarkStart w:id="185" w:name="_Toc184314450"/>
      <w:bookmarkEnd w:id="185"/>
      <w:bookmarkStart w:id="186" w:name="_Toc184313284"/>
      <w:bookmarkEnd w:id="186"/>
      <w:bookmarkStart w:id="187" w:name="_Toc184310316"/>
      <w:bookmarkEnd w:id="187"/>
      <w:bookmarkStart w:id="188" w:name="_Toc184313255"/>
      <w:bookmarkEnd w:id="188"/>
      <w:bookmarkStart w:id="189" w:name="_Toc184308049"/>
      <w:bookmarkEnd w:id="189"/>
      <w:bookmarkStart w:id="190" w:name="_Toc184313273"/>
      <w:bookmarkEnd w:id="190"/>
      <w:bookmarkStart w:id="191" w:name="_Toc184310299"/>
      <w:bookmarkEnd w:id="191"/>
      <w:bookmarkStart w:id="192" w:name="_Toc184313259"/>
      <w:bookmarkEnd w:id="192"/>
      <w:bookmarkStart w:id="193" w:name="_Toc184310300"/>
      <w:bookmarkEnd w:id="193"/>
      <w:bookmarkStart w:id="194" w:name="_Toc184314478"/>
      <w:bookmarkEnd w:id="194"/>
      <w:bookmarkStart w:id="195" w:name="_Toc184313260"/>
      <w:bookmarkEnd w:id="195"/>
      <w:bookmarkStart w:id="196" w:name="_Toc184310311"/>
      <w:bookmarkEnd w:id="196"/>
      <w:bookmarkStart w:id="197" w:name="_Toc184314417"/>
      <w:bookmarkEnd w:id="197"/>
      <w:bookmarkStart w:id="198" w:name="_Toc184313275"/>
      <w:bookmarkEnd w:id="198"/>
      <w:bookmarkStart w:id="199" w:name="_Toc184308096"/>
      <w:bookmarkEnd w:id="199"/>
      <w:bookmarkStart w:id="200" w:name="_Toc184310334"/>
      <w:bookmarkEnd w:id="200"/>
      <w:bookmarkStart w:id="201" w:name="_Toc184310274"/>
      <w:bookmarkEnd w:id="201"/>
      <w:bookmarkStart w:id="202" w:name="_Toc184310290"/>
      <w:bookmarkEnd w:id="202"/>
      <w:bookmarkStart w:id="203" w:name="_Toc184308043"/>
      <w:bookmarkEnd w:id="203"/>
      <w:bookmarkStart w:id="204" w:name="_Toc184312098"/>
      <w:bookmarkEnd w:id="204"/>
      <w:bookmarkStart w:id="205" w:name="_Toc184310295"/>
      <w:bookmarkEnd w:id="205"/>
      <w:bookmarkStart w:id="206" w:name="_Toc184308061"/>
      <w:bookmarkEnd w:id="206"/>
      <w:bookmarkStart w:id="207" w:name="_Toc184312097"/>
      <w:bookmarkEnd w:id="207"/>
      <w:bookmarkStart w:id="208" w:name="_Toc184312090"/>
      <w:bookmarkEnd w:id="208"/>
      <w:bookmarkStart w:id="209" w:name="_Toc184313287"/>
      <w:bookmarkEnd w:id="209"/>
      <w:bookmarkStart w:id="210" w:name="_Toc184313291"/>
      <w:bookmarkEnd w:id="210"/>
      <w:bookmarkStart w:id="211" w:name="_Toc184308066"/>
      <w:bookmarkEnd w:id="211"/>
      <w:bookmarkStart w:id="212" w:name="_Toc184312122"/>
      <w:bookmarkEnd w:id="212"/>
      <w:bookmarkStart w:id="213" w:name="_Toc184308075"/>
      <w:bookmarkEnd w:id="213"/>
      <w:bookmarkStart w:id="214" w:name="_Toc184310273"/>
      <w:bookmarkEnd w:id="214"/>
      <w:bookmarkStart w:id="215" w:name="_Toc184310310"/>
      <w:bookmarkEnd w:id="215"/>
      <w:bookmarkStart w:id="216" w:name="_Toc184313240"/>
      <w:bookmarkEnd w:id="216"/>
      <w:bookmarkStart w:id="217" w:name="_Toc184308071"/>
      <w:bookmarkEnd w:id="217"/>
      <w:bookmarkStart w:id="218" w:name="_Toc184308065"/>
      <w:bookmarkEnd w:id="218"/>
      <w:bookmarkStart w:id="219" w:name="_Toc184314457"/>
      <w:bookmarkEnd w:id="219"/>
      <w:bookmarkStart w:id="220" w:name="_Toc184314433"/>
      <w:bookmarkEnd w:id="220"/>
      <w:bookmarkStart w:id="221" w:name="_Toc184308040"/>
      <w:bookmarkEnd w:id="221"/>
      <w:bookmarkStart w:id="222" w:name="_Toc184312100"/>
      <w:bookmarkEnd w:id="222"/>
      <w:bookmarkStart w:id="223" w:name="_Toc184314437"/>
      <w:bookmarkEnd w:id="223"/>
      <w:bookmarkStart w:id="224" w:name="_Toc184310282"/>
      <w:bookmarkEnd w:id="224"/>
      <w:bookmarkStart w:id="225" w:name="_Toc184314432"/>
      <w:bookmarkEnd w:id="225"/>
      <w:bookmarkStart w:id="226" w:name="_Toc184313288"/>
      <w:bookmarkEnd w:id="226"/>
      <w:bookmarkStart w:id="227" w:name="_Toc184310337"/>
      <w:bookmarkEnd w:id="227"/>
      <w:bookmarkStart w:id="228" w:name="_Toc184312088"/>
      <w:bookmarkEnd w:id="228"/>
      <w:bookmarkStart w:id="229" w:name="_Toc184308052"/>
      <w:bookmarkEnd w:id="229"/>
      <w:bookmarkStart w:id="230" w:name="_Toc184314455"/>
      <w:bookmarkEnd w:id="230"/>
      <w:bookmarkStart w:id="231" w:name="_Toc184310322"/>
      <w:bookmarkEnd w:id="231"/>
      <w:bookmarkStart w:id="232" w:name="_Toc184310312"/>
      <w:bookmarkEnd w:id="232"/>
      <w:bookmarkStart w:id="233" w:name="_Toc184308069"/>
      <w:bookmarkEnd w:id="233"/>
      <w:bookmarkStart w:id="234" w:name="_Toc184314418"/>
      <w:bookmarkEnd w:id="234"/>
      <w:bookmarkStart w:id="235" w:name="_Toc184310317"/>
      <w:bookmarkEnd w:id="235"/>
      <w:bookmarkStart w:id="236" w:name="_Toc184312135"/>
      <w:bookmarkEnd w:id="236"/>
      <w:bookmarkStart w:id="237" w:name="_Toc184310279"/>
      <w:bookmarkEnd w:id="237"/>
      <w:bookmarkStart w:id="238" w:name="_Toc184314439"/>
      <w:bookmarkEnd w:id="238"/>
      <w:bookmarkStart w:id="239" w:name="_Toc184314426"/>
      <w:bookmarkEnd w:id="239"/>
      <w:bookmarkStart w:id="240" w:name="_Toc184313253"/>
      <w:bookmarkEnd w:id="240"/>
      <w:bookmarkStart w:id="241" w:name="_Toc184308081"/>
      <w:bookmarkEnd w:id="241"/>
      <w:bookmarkStart w:id="242" w:name="_Toc184312095"/>
      <w:bookmarkEnd w:id="242"/>
      <w:bookmarkStart w:id="243" w:name="_Toc184312106"/>
      <w:bookmarkEnd w:id="243"/>
      <w:bookmarkStart w:id="244" w:name="_Toc184308083"/>
      <w:bookmarkEnd w:id="244"/>
      <w:bookmarkStart w:id="245" w:name="_Toc184308057"/>
      <w:bookmarkEnd w:id="245"/>
      <w:bookmarkStart w:id="246" w:name="_Toc184313307"/>
      <w:bookmarkEnd w:id="246"/>
      <w:bookmarkStart w:id="247" w:name="_Toc184314440"/>
      <w:bookmarkEnd w:id="247"/>
      <w:bookmarkStart w:id="248" w:name="_Toc184308084"/>
      <w:bookmarkEnd w:id="248"/>
      <w:bookmarkStart w:id="249" w:name="_Toc184312117"/>
      <w:bookmarkEnd w:id="249"/>
      <w:bookmarkStart w:id="250" w:name="_Toc184313289"/>
      <w:bookmarkEnd w:id="250"/>
      <w:bookmarkStart w:id="251" w:name="_Toc184312075"/>
      <w:bookmarkEnd w:id="251"/>
      <w:bookmarkStart w:id="252" w:name="_Toc184314453"/>
      <w:bookmarkEnd w:id="252"/>
      <w:bookmarkStart w:id="253" w:name="_Toc184308053"/>
      <w:bookmarkEnd w:id="253"/>
      <w:bookmarkStart w:id="254" w:name="_Toc184310343"/>
      <w:bookmarkEnd w:id="254"/>
      <w:bookmarkStart w:id="255" w:name="_Toc184312087"/>
      <w:bookmarkEnd w:id="255"/>
      <w:bookmarkStart w:id="256" w:name="_Toc184313262"/>
      <w:bookmarkEnd w:id="256"/>
      <w:bookmarkStart w:id="257" w:name="_Toc184314411"/>
      <w:bookmarkEnd w:id="257"/>
      <w:bookmarkStart w:id="258" w:name="_Toc184313251"/>
      <w:bookmarkEnd w:id="258"/>
      <w:bookmarkStart w:id="259" w:name="_Toc184313270"/>
      <w:bookmarkEnd w:id="259"/>
      <w:bookmarkStart w:id="260" w:name="_Toc184310336"/>
      <w:bookmarkEnd w:id="260"/>
      <w:bookmarkStart w:id="261" w:name="_Toc184314441"/>
      <w:bookmarkEnd w:id="261"/>
      <w:bookmarkStart w:id="262" w:name="_Toc184310293"/>
      <w:bookmarkEnd w:id="262"/>
      <w:bookmarkStart w:id="263" w:name="_Toc184308097"/>
      <w:bookmarkEnd w:id="263"/>
      <w:bookmarkStart w:id="264" w:name="_Toc184310344"/>
      <w:bookmarkEnd w:id="264"/>
      <w:bookmarkStart w:id="265" w:name="_Toc184313290"/>
      <w:bookmarkEnd w:id="265"/>
      <w:bookmarkStart w:id="266" w:name="_Toc184310302"/>
      <w:bookmarkEnd w:id="266"/>
      <w:bookmarkStart w:id="267" w:name="_Toc184314460"/>
      <w:bookmarkEnd w:id="267"/>
      <w:bookmarkStart w:id="268" w:name="_Toc184310308"/>
      <w:bookmarkEnd w:id="268"/>
      <w:bookmarkStart w:id="269" w:name="_Toc184308046"/>
      <w:bookmarkEnd w:id="269"/>
      <w:bookmarkStart w:id="270" w:name="_Toc184314464"/>
      <w:bookmarkEnd w:id="270"/>
      <w:bookmarkStart w:id="271" w:name="_Toc184313238"/>
      <w:bookmarkEnd w:id="271"/>
      <w:bookmarkStart w:id="272" w:name="_Toc184310298"/>
      <w:bookmarkEnd w:id="272"/>
      <w:bookmarkStart w:id="273" w:name="_Toc184312118"/>
      <w:bookmarkEnd w:id="273"/>
      <w:bookmarkStart w:id="274" w:name="_Toc184308082"/>
      <w:bookmarkEnd w:id="274"/>
      <w:bookmarkStart w:id="275" w:name="_Toc184314458"/>
      <w:bookmarkEnd w:id="275"/>
      <w:bookmarkStart w:id="276" w:name="_Toc184310306"/>
      <w:bookmarkEnd w:id="276"/>
      <w:bookmarkStart w:id="277" w:name="_Toc184310325"/>
      <w:bookmarkEnd w:id="277"/>
      <w:bookmarkStart w:id="278" w:name="_Toc184313280"/>
      <w:bookmarkEnd w:id="278"/>
      <w:bookmarkStart w:id="279" w:name="_Toc184308072"/>
      <w:bookmarkEnd w:id="279"/>
      <w:bookmarkStart w:id="280" w:name="_Toc184314422"/>
      <w:bookmarkEnd w:id="280"/>
      <w:bookmarkStart w:id="281" w:name="_Toc184312068"/>
      <w:bookmarkEnd w:id="281"/>
      <w:bookmarkStart w:id="282" w:name="_Toc184310289"/>
      <w:bookmarkEnd w:id="282"/>
      <w:bookmarkStart w:id="283" w:name="_Toc184314469"/>
      <w:bookmarkEnd w:id="283"/>
      <w:bookmarkStart w:id="284" w:name="_Toc184308070"/>
      <w:bookmarkEnd w:id="284"/>
      <w:bookmarkStart w:id="285" w:name="_Toc184312078"/>
      <w:bookmarkEnd w:id="285"/>
      <w:bookmarkStart w:id="286" w:name="_Toc184312105"/>
      <w:bookmarkEnd w:id="286"/>
      <w:bookmarkStart w:id="287" w:name="_Toc184310314"/>
      <w:bookmarkEnd w:id="287"/>
      <w:bookmarkStart w:id="288" w:name="_Toc184313247"/>
      <w:bookmarkEnd w:id="288"/>
      <w:bookmarkStart w:id="289" w:name="_Toc184313252"/>
      <w:bookmarkEnd w:id="289"/>
      <w:bookmarkStart w:id="290" w:name="_Toc184313294"/>
      <w:bookmarkEnd w:id="290"/>
      <w:bookmarkStart w:id="291" w:name="_Toc184312079"/>
      <w:bookmarkEnd w:id="291"/>
      <w:bookmarkStart w:id="292" w:name="_Toc184310296"/>
      <w:bookmarkEnd w:id="292"/>
      <w:bookmarkStart w:id="293" w:name="_Toc184314438"/>
      <w:bookmarkEnd w:id="293"/>
      <w:bookmarkStart w:id="294" w:name="_Toc184312084"/>
      <w:bookmarkEnd w:id="294"/>
      <w:bookmarkStart w:id="295" w:name="_Toc184313303"/>
      <w:bookmarkEnd w:id="295"/>
      <w:bookmarkStart w:id="296" w:name="_Toc184312099"/>
      <w:bookmarkEnd w:id="296"/>
      <w:bookmarkStart w:id="297" w:name="_Toc184313285"/>
      <w:bookmarkEnd w:id="297"/>
      <w:bookmarkStart w:id="298" w:name="_Toc184314445"/>
      <w:bookmarkEnd w:id="298"/>
      <w:bookmarkStart w:id="299" w:name="_Toc184308095"/>
      <w:bookmarkEnd w:id="299"/>
      <w:bookmarkStart w:id="300" w:name="_Toc184314454"/>
      <w:bookmarkEnd w:id="300"/>
      <w:bookmarkStart w:id="301" w:name="_Toc184310333"/>
      <w:bookmarkEnd w:id="301"/>
      <w:bookmarkStart w:id="302" w:name="_Toc184310283"/>
      <w:bookmarkEnd w:id="302"/>
      <w:bookmarkStart w:id="303" w:name="_Toc184308047"/>
      <w:bookmarkEnd w:id="303"/>
      <w:bookmarkStart w:id="304" w:name="_Toc184314447"/>
      <w:bookmarkEnd w:id="304"/>
      <w:bookmarkStart w:id="305" w:name="_Toc184308107"/>
      <w:bookmarkEnd w:id="305"/>
      <w:bookmarkStart w:id="306" w:name="_Toc184313263"/>
      <w:bookmarkEnd w:id="306"/>
      <w:bookmarkStart w:id="307" w:name="_Toc184314461"/>
      <w:bookmarkEnd w:id="307"/>
      <w:bookmarkStart w:id="308" w:name="_Toc184310304"/>
      <w:bookmarkEnd w:id="308"/>
      <w:bookmarkStart w:id="309" w:name="_Toc184312089"/>
      <w:bookmarkEnd w:id="309"/>
      <w:bookmarkStart w:id="310" w:name="_Toc184312073"/>
      <w:bookmarkEnd w:id="310"/>
      <w:bookmarkStart w:id="311" w:name="_Toc184308051"/>
      <w:bookmarkEnd w:id="311"/>
      <w:bookmarkStart w:id="312" w:name="_Toc184313282"/>
      <w:bookmarkEnd w:id="312"/>
      <w:bookmarkStart w:id="313" w:name="_Toc184314444"/>
      <w:bookmarkEnd w:id="313"/>
      <w:bookmarkStart w:id="314" w:name="_Toc184312092"/>
      <w:bookmarkEnd w:id="314"/>
      <w:bookmarkStart w:id="315" w:name="_Toc184313279"/>
      <w:bookmarkEnd w:id="315"/>
      <w:bookmarkStart w:id="316" w:name="_Toc184314463"/>
      <w:bookmarkEnd w:id="316"/>
      <w:bookmarkStart w:id="317" w:name="_Toc184308054"/>
      <w:bookmarkEnd w:id="317"/>
      <w:bookmarkStart w:id="318" w:name="_Toc184314419"/>
      <w:bookmarkEnd w:id="318"/>
      <w:bookmarkStart w:id="319" w:name="_Toc184308079"/>
      <w:bookmarkEnd w:id="319"/>
      <w:bookmarkStart w:id="320" w:name="_Toc184313276"/>
      <w:bookmarkEnd w:id="320"/>
      <w:bookmarkStart w:id="321" w:name="_Toc184312081"/>
      <w:bookmarkEnd w:id="321"/>
      <w:bookmarkStart w:id="322" w:name="_Toc184310320"/>
      <w:bookmarkEnd w:id="322"/>
      <w:bookmarkStart w:id="323" w:name="_Toc184308076"/>
      <w:bookmarkEnd w:id="323"/>
      <w:bookmarkStart w:id="324" w:name="_Toc184310324"/>
      <w:bookmarkEnd w:id="324"/>
      <w:bookmarkStart w:id="325" w:name="_Toc184310321"/>
      <w:bookmarkEnd w:id="325"/>
      <w:bookmarkStart w:id="326" w:name="_Toc184312133"/>
      <w:bookmarkEnd w:id="326"/>
      <w:bookmarkStart w:id="327" w:name="_Toc184313310"/>
      <w:bookmarkEnd w:id="327"/>
      <w:bookmarkStart w:id="328" w:name="_Toc184308068"/>
      <w:bookmarkEnd w:id="328"/>
      <w:bookmarkStart w:id="329" w:name="_Toc184308074"/>
      <w:bookmarkEnd w:id="329"/>
      <w:bookmarkStart w:id="330" w:name="_Toc184312080"/>
      <w:bookmarkEnd w:id="330"/>
      <w:bookmarkStart w:id="331" w:name="_Toc184312139"/>
      <w:bookmarkEnd w:id="331"/>
      <w:bookmarkStart w:id="332" w:name="_Toc184313295"/>
      <w:bookmarkEnd w:id="332"/>
      <w:bookmarkStart w:id="333" w:name="_Toc184313298"/>
      <w:bookmarkEnd w:id="333"/>
      <w:bookmarkStart w:id="334" w:name="_Toc184313296"/>
      <w:bookmarkEnd w:id="334"/>
      <w:bookmarkStart w:id="335" w:name="_Toc184313256"/>
      <w:bookmarkEnd w:id="335"/>
      <w:bookmarkStart w:id="336" w:name="_Toc184310284"/>
      <w:bookmarkEnd w:id="336"/>
      <w:bookmarkStart w:id="337" w:name="_Toc184312107"/>
      <w:bookmarkEnd w:id="337"/>
      <w:bookmarkStart w:id="338" w:name="_Toc184312136"/>
      <w:bookmarkEnd w:id="338"/>
      <w:bookmarkStart w:id="339" w:name="_Toc184314479"/>
      <w:bookmarkEnd w:id="339"/>
      <w:bookmarkStart w:id="340" w:name="_Toc184312077"/>
      <w:bookmarkEnd w:id="340"/>
      <w:bookmarkStart w:id="341" w:name="_Toc184314476"/>
      <w:bookmarkEnd w:id="341"/>
      <w:bookmarkStart w:id="342" w:name="_Toc184310332"/>
      <w:bookmarkEnd w:id="342"/>
      <w:bookmarkStart w:id="343" w:name="_Toc184314477"/>
      <w:bookmarkEnd w:id="343"/>
      <w:bookmarkStart w:id="344" w:name="_Toc184313272"/>
      <w:bookmarkEnd w:id="344"/>
      <w:bookmarkStart w:id="345" w:name="_Toc184312120"/>
      <w:bookmarkEnd w:id="345"/>
      <w:bookmarkStart w:id="346" w:name="_Toc184314451"/>
      <w:bookmarkEnd w:id="346"/>
      <w:bookmarkStart w:id="347" w:name="_Toc184313242"/>
      <w:bookmarkEnd w:id="347"/>
      <w:bookmarkStart w:id="348" w:name="_Toc184314435"/>
      <w:bookmarkEnd w:id="348"/>
      <w:bookmarkStart w:id="349" w:name="_Toc184310331"/>
      <w:bookmarkEnd w:id="349"/>
      <w:bookmarkStart w:id="350" w:name="_Toc184313300"/>
      <w:bookmarkEnd w:id="350"/>
      <w:bookmarkStart w:id="351" w:name="_Toc184310318"/>
      <w:bookmarkEnd w:id="351"/>
      <w:bookmarkStart w:id="352" w:name="_Toc184308094"/>
      <w:bookmarkEnd w:id="352"/>
      <w:bookmarkStart w:id="353" w:name="_Toc184312134"/>
      <w:bookmarkEnd w:id="353"/>
      <w:bookmarkStart w:id="354" w:name="_Toc184313302"/>
      <w:bookmarkEnd w:id="354"/>
      <w:bookmarkStart w:id="355" w:name="_Toc184308106"/>
      <w:bookmarkEnd w:id="355"/>
      <w:bookmarkStart w:id="356" w:name="_Toc184313278"/>
      <w:bookmarkEnd w:id="356"/>
      <w:bookmarkStart w:id="357" w:name="_Toc184312126"/>
      <w:bookmarkEnd w:id="357"/>
      <w:bookmarkStart w:id="358" w:name="_Toc184312108"/>
      <w:bookmarkEnd w:id="358"/>
      <w:bookmarkStart w:id="359" w:name="_Toc184313309"/>
      <w:bookmarkEnd w:id="359"/>
      <w:bookmarkStart w:id="360" w:name="_Toc184308102"/>
      <w:bookmarkEnd w:id="360"/>
      <w:bookmarkStart w:id="361" w:name="_Toc184308100"/>
      <w:bookmarkEnd w:id="361"/>
      <w:bookmarkStart w:id="362" w:name="_Toc184312137"/>
      <w:bookmarkEnd w:id="362"/>
      <w:bookmarkStart w:id="363" w:name="_Toc184310278"/>
      <w:bookmarkEnd w:id="363"/>
      <w:bookmarkStart w:id="364" w:name="_Toc184312082"/>
      <w:bookmarkEnd w:id="364"/>
      <w:bookmarkStart w:id="365" w:name="_Toc184310338"/>
      <w:bookmarkEnd w:id="365"/>
      <w:bookmarkStart w:id="366" w:name="_Toc184314421"/>
      <w:bookmarkEnd w:id="366"/>
      <w:bookmarkStart w:id="367" w:name="_Toc184312104"/>
      <w:bookmarkEnd w:id="367"/>
      <w:bookmarkStart w:id="368" w:name="_Toc184314452"/>
      <w:bookmarkEnd w:id="368"/>
      <w:bookmarkStart w:id="369" w:name="_Toc184310307"/>
      <w:bookmarkEnd w:id="369"/>
      <w:bookmarkStart w:id="370" w:name="_Toc184312129"/>
      <w:bookmarkEnd w:id="370"/>
      <w:bookmarkStart w:id="371" w:name="_Toc184310329"/>
      <w:bookmarkEnd w:id="371"/>
      <w:bookmarkStart w:id="372" w:name="_Toc184308060"/>
      <w:bookmarkEnd w:id="372"/>
      <w:bookmarkStart w:id="373" w:name="_Toc184310323"/>
      <w:bookmarkEnd w:id="373"/>
      <w:bookmarkStart w:id="374" w:name="_Toc184308093"/>
      <w:bookmarkEnd w:id="374"/>
      <w:bookmarkStart w:id="375" w:name="_Toc184310309"/>
      <w:bookmarkEnd w:id="375"/>
      <w:bookmarkStart w:id="376" w:name="_Toc184308045"/>
      <w:bookmarkEnd w:id="376"/>
      <w:bookmarkStart w:id="377" w:name="_Toc184310277"/>
      <w:bookmarkEnd w:id="377"/>
      <w:bookmarkStart w:id="378" w:name="_Toc184313243"/>
      <w:bookmarkEnd w:id="378"/>
      <w:bookmarkStart w:id="379" w:name="_Toc184310326"/>
      <w:bookmarkEnd w:id="379"/>
      <w:bookmarkStart w:id="380" w:name="_Toc184313261"/>
      <w:bookmarkEnd w:id="380"/>
      <w:bookmarkStart w:id="381" w:name="_Toc184313305"/>
      <w:bookmarkEnd w:id="381"/>
      <w:bookmarkStart w:id="382" w:name="_Toc184314468"/>
      <w:bookmarkEnd w:id="382"/>
      <w:bookmarkStart w:id="383" w:name="_Toc184308080"/>
      <w:bookmarkEnd w:id="383"/>
      <w:bookmarkStart w:id="384" w:name="_Toc184310319"/>
      <w:bookmarkEnd w:id="384"/>
      <w:bookmarkStart w:id="385" w:name="_Toc184308098"/>
      <w:bookmarkEnd w:id="385"/>
      <w:bookmarkStart w:id="386" w:name="_Toc184313304"/>
      <w:bookmarkEnd w:id="386"/>
      <w:bookmarkStart w:id="387" w:name="_Toc184312091"/>
      <w:bookmarkEnd w:id="387"/>
      <w:bookmarkStart w:id="388" w:name="_Toc184313299"/>
      <w:bookmarkEnd w:id="388"/>
      <w:bookmarkStart w:id="389" w:name="_Toc184314456"/>
      <w:bookmarkEnd w:id="389"/>
      <w:bookmarkStart w:id="390" w:name="_Toc184312102"/>
      <w:bookmarkEnd w:id="390"/>
      <w:r>
        <w:rPr>
          <w:rFonts w:hint="eastAsia" w:asciiTheme="majorEastAsia" w:hAnsiTheme="majorEastAsia" w:eastAsiaTheme="majorEastAsia" w:cstheme="majorEastAsia"/>
          <w:b/>
          <w:color w:val="auto"/>
          <w:sz w:val="36"/>
          <w:szCs w:val="36"/>
          <w:highlight w:val="none"/>
        </w:rPr>
        <w:t>评标办法</w:t>
      </w:r>
    </w:p>
    <w:p>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p>
      <w:pPr>
        <w:pStyle w:val="89"/>
        <w:spacing w:before="0"/>
        <w:ind w:firstLine="602" w:firstLineChars="250"/>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b/>
          <w:szCs w:val="24"/>
          <w:highlight w:val="none"/>
        </w:rPr>
        <w:t>1、本次评标采用综合评分法，总分为100分。</w:t>
      </w:r>
      <w:r>
        <w:rPr>
          <w:rFonts w:hint="eastAsia" w:asciiTheme="majorEastAsia" w:hAnsiTheme="majorEastAsia" w:eastAsiaTheme="majorEastAsia" w:cstheme="majorEastAsia"/>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pacing w:before="0"/>
        <w:ind w:firstLine="600" w:firstLineChars="250"/>
        <w:rPr>
          <w:rFonts w:hint="eastAsia" w:asciiTheme="majorEastAsia" w:hAnsiTheme="majorEastAsia" w:eastAsiaTheme="majorEastAsia" w:cstheme="majorEastAsia"/>
          <w:bCs/>
          <w:szCs w:val="24"/>
          <w:highlight w:val="none"/>
        </w:rPr>
      </w:pPr>
      <w:r>
        <w:rPr>
          <w:rFonts w:hint="eastAsia" w:asciiTheme="majorEastAsia" w:hAnsiTheme="majorEastAsia" w:eastAsiaTheme="majorEastAsia" w:cstheme="majorEastAsia"/>
          <w:bCs/>
          <w:szCs w:val="24"/>
          <w:highlight w:val="none"/>
        </w:rPr>
        <w:t>各投标人的综合得分为：投标价格得分+技术商务得分之和，总和为100分，其中：投标价格得分</w:t>
      </w:r>
      <w:r>
        <w:rPr>
          <w:rFonts w:hint="eastAsia" w:asciiTheme="majorEastAsia" w:hAnsiTheme="majorEastAsia" w:eastAsiaTheme="majorEastAsia" w:cstheme="majorEastAsia"/>
          <w:bCs/>
          <w:szCs w:val="24"/>
          <w:highlight w:val="none"/>
          <w:lang w:val="en-US" w:eastAsia="zh-CN"/>
        </w:rPr>
        <w:t>10</w:t>
      </w:r>
      <w:r>
        <w:rPr>
          <w:rFonts w:hint="eastAsia" w:asciiTheme="majorEastAsia" w:hAnsiTheme="majorEastAsia" w:eastAsiaTheme="majorEastAsia" w:cstheme="majorEastAsia"/>
          <w:bCs/>
          <w:szCs w:val="24"/>
          <w:highlight w:val="none"/>
        </w:rPr>
        <w:t>分，商务技术得分</w:t>
      </w:r>
      <w:r>
        <w:rPr>
          <w:rFonts w:hint="eastAsia" w:asciiTheme="majorEastAsia" w:hAnsiTheme="majorEastAsia" w:eastAsiaTheme="majorEastAsia" w:cstheme="majorEastAsia"/>
          <w:bCs/>
          <w:szCs w:val="24"/>
          <w:highlight w:val="none"/>
          <w:lang w:val="en-US" w:eastAsia="zh-CN"/>
        </w:rPr>
        <w:t>90</w:t>
      </w:r>
      <w:r>
        <w:rPr>
          <w:rFonts w:hint="eastAsia" w:asciiTheme="majorEastAsia" w:hAnsiTheme="majorEastAsia" w:eastAsiaTheme="majorEastAsia" w:cstheme="majorEastAsia"/>
          <w:bCs/>
          <w:szCs w:val="24"/>
          <w:highlight w:val="none"/>
        </w:rPr>
        <w:t>分。</w:t>
      </w:r>
    </w:p>
    <w:p>
      <w:pPr>
        <w:numPr>
          <w:ilvl w:val="0"/>
          <w:numId w:val="15"/>
        </w:numPr>
        <w:snapToGrid w:val="0"/>
        <w:spacing w:line="360" w:lineRule="auto"/>
        <w:ind w:firstLine="480" w:firstLineChars="200"/>
        <w:rPr>
          <w:rFonts w:hint="eastAsia" w:ascii="宋体" w:hAnsi="宋体" w:eastAsia="宋体" w:cs="宋体"/>
          <w:highlight w:val="none"/>
        </w:rPr>
      </w:pPr>
      <w:r>
        <w:rPr>
          <w:rFonts w:hint="eastAsia" w:asciiTheme="majorEastAsia" w:hAnsiTheme="majorEastAsia" w:eastAsiaTheme="majorEastAsia" w:cstheme="majorEastAsia"/>
          <w:sz w:val="24"/>
          <w:highlight w:val="none"/>
        </w:rPr>
        <w:t>商务、技术评标细则（</w:t>
      </w:r>
      <w:r>
        <w:rPr>
          <w:rFonts w:hint="eastAsia" w:asciiTheme="majorEastAsia" w:hAnsiTheme="majorEastAsia" w:eastAsiaTheme="majorEastAsia" w:cstheme="majorEastAsia"/>
          <w:sz w:val="24"/>
          <w:highlight w:val="none"/>
          <w:lang w:val="en-US" w:eastAsia="zh-CN"/>
        </w:rPr>
        <w:t>9</w:t>
      </w:r>
      <w:r>
        <w:rPr>
          <w:rFonts w:hint="eastAsia" w:asciiTheme="majorEastAsia" w:hAnsiTheme="majorEastAsia" w:eastAsiaTheme="majorEastAsia" w:cstheme="majorEastAsia"/>
          <w:sz w:val="24"/>
          <w:highlight w:val="none"/>
        </w:rPr>
        <w:t>0分）</w:t>
      </w:r>
    </w:p>
    <w:tbl>
      <w:tblPr>
        <w:tblStyle w:val="64"/>
        <w:tblW w:w="10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890"/>
        <w:gridCol w:w="7525"/>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9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5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技术分（80分）</w:t>
            </w: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5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供应商对现有综合养护现状了解全面、存在问题的分析到位，符合实际，对本项目养护难点、要点等问题进行调查剖析，调查剖析到位、科学得5分，投标人对现有综合养护现状了解较为全面、存在问题的分析较为到位，对本项目养护难点、要点等问题进行调查剖析，调查剖析较为到位、科学得3分，投标人对现有综合养护现状了解一般、存在问题的分析一般，对本项目养护难点、要点等问题进行调查剖析，调查剖析一般得1分，方案不合理或未提供方案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供应商针对本项目养护内容提出克服难点和要点的技术措施，技术措施、对策科学、合理、可操作性强得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分，投标人针对本项目养护内容提出克服难点和要点的技术措施，技术措施对策较为科学、合理、可操作性较好得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分，投标人针对本项目养护内容提出克服难点和要点的技术措施，技术措施对策科学性、合理性、可操作性一般得1分，方案不合理或未提供方案不得分。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道路保洁组织方案切合本项目采购需求，</w:t>
            </w:r>
            <w:r>
              <w:rPr>
                <w:rFonts w:hint="eastAsia" w:ascii="宋体" w:hAnsi="宋体" w:eastAsia="宋体" w:cs="宋体"/>
                <w:color w:val="auto"/>
                <w:sz w:val="24"/>
                <w:highlight w:val="none"/>
                <w:lang w:val="en-US" w:eastAsia="zh-CN"/>
              </w:rPr>
              <w:t>拟投入的清扫保洁人员、机具设备</w:t>
            </w:r>
            <w:r>
              <w:rPr>
                <w:rFonts w:hint="eastAsia" w:ascii="宋体" w:hAnsi="宋体" w:eastAsia="宋体" w:cs="宋体"/>
                <w:color w:val="auto"/>
                <w:sz w:val="24"/>
                <w:highlight w:val="none"/>
                <w:lang w:val="zh-CN" w:eastAsia="zh-CN"/>
              </w:rPr>
              <w:t>安排科学合理，制定</w:t>
            </w:r>
            <w:r>
              <w:rPr>
                <w:rFonts w:hint="eastAsia" w:ascii="宋体" w:hAnsi="宋体" w:eastAsia="宋体" w:cs="宋体"/>
                <w:color w:val="auto"/>
                <w:sz w:val="24"/>
                <w:highlight w:val="none"/>
                <w:lang w:val="en-US" w:eastAsia="zh-CN"/>
              </w:rPr>
              <w:t>时间安排计划方案、不同类别道路的清扫解决</w:t>
            </w:r>
            <w:r>
              <w:rPr>
                <w:rFonts w:hint="eastAsia" w:ascii="宋体" w:hAnsi="宋体" w:eastAsia="宋体" w:cs="宋体"/>
                <w:color w:val="auto"/>
                <w:sz w:val="24"/>
                <w:highlight w:val="none"/>
                <w:lang w:val="zh-CN" w:eastAsia="zh-CN"/>
              </w:rPr>
              <w:t>方案，针对性、操作性强的得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分，道路保洁组织方案较为切合本项目采购需求，</w:t>
            </w:r>
            <w:r>
              <w:rPr>
                <w:rFonts w:hint="eastAsia" w:ascii="宋体" w:hAnsi="宋体" w:eastAsia="宋体" w:cs="宋体"/>
                <w:color w:val="auto"/>
                <w:sz w:val="24"/>
                <w:highlight w:val="none"/>
                <w:lang w:val="en-US" w:eastAsia="zh-CN"/>
              </w:rPr>
              <w:t>拟投入的清扫保洁人员、机具设备</w:t>
            </w:r>
            <w:r>
              <w:rPr>
                <w:rFonts w:hint="eastAsia" w:ascii="宋体" w:hAnsi="宋体" w:eastAsia="宋体" w:cs="宋体"/>
                <w:color w:val="auto"/>
                <w:sz w:val="24"/>
                <w:highlight w:val="none"/>
                <w:lang w:val="zh-CN" w:eastAsia="zh-CN"/>
              </w:rPr>
              <w:t>安排较为科学合理，制定</w:t>
            </w:r>
            <w:r>
              <w:rPr>
                <w:rFonts w:hint="eastAsia" w:ascii="宋体" w:hAnsi="宋体" w:eastAsia="宋体" w:cs="宋体"/>
                <w:color w:val="auto"/>
                <w:sz w:val="24"/>
                <w:highlight w:val="none"/>
                <w:lang w:val="en-US" w:eastAsia="zh-CN"/>
              </w:rPr>
              <w:t>时间安排计划方案、不同类别道路的清扫解决</w:t>
            </w:r>
            <w:r>
              <w:rPr>
                <w:rFonts w:hint="eastAsia" w:ascii="宋体" w:hAnsi="宋体" w:eastAsia="宋体" w:cs="宋体"/>
                <w:color w:val="auto"/>
                <w:sz w:val="24"/>
                <w:highlight w:val="none"/>
                <w:lang w:val="zh-CN" w:eastAsia="zh-CN"/>
              </w:rPr>
              <w:t>方案，针对性、操作性较强的得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分，道路保洁组织方案与本项目采购需求切合度一般，</w:t>
            </w:r>
            <w:r>
              <w:rPr>
                <w:rFonts w:hint="eastAsia" w:ascii="宋体" w:hAnsi="宋体" w:eastAsia="宋体" w:cs="宋体"/>
                <w:color w:val="auto"/>
                <w:sz w:val="24"/>
                <w:highlight w:val="none"/>
                <w:lang w:val="en-US" w:eastAsia="zh-CN"/>
              </w:rPr>
              <w:t>拟投入的清扫保洁人员、机具设备</w:t>
            </w:r>
            <w:r>
              <w:rPr>
                <w:rFonts w:hint="eastAsia" w:ascii="宋体" w:hAnsi="宋体" w:eastAsia="宋体" w:cs="宋体"/>
                <w:color w:val="auto"/>
                <w:sz w:val="24"/>
                <w:highlight w:val="none"/>
                <w:lang w:val="zh-CN" w:eastAsia="zh-CN"/>
              </w:rPr>
              <w:t>安排一般，制定</w:t>
            </w:r>
            <w:r>
              <w:rPr>
                <w:rFonts w:hint="eastAsia" w:ascii="宋体" w:hAnsi="宋体" w:eastAsia="宋体" w:cs="宋体"/>
                <w:color w:val="auto"/>
                <w:sz w:val="24"/>
                <w:highlight w:val="none"/>
                <w:lang w:val="en-US" w:eastAsia="zh-CN"/>
              </w:rPr>
              <w:t>时间安排计划方案、不同类别道路的清扫解决</w:t>
            </w:r>
            <w:r>
              <w:rPr>
                <w:rFonts w:hint="eastAsia" w:ascii="宋体" w:hAnsi="宋体" w:eastAsia="宋体" w:cs="宋体"/>
                <w:color w:val="auto"/>
                <w:sz w:val="24"/>
                <w:highlight w:val="none"/>
                <w:lang w:val="zh-CN" w:eastAsia="zh-CN"/>
              </w:rPr>
              <w:t>方案，针对性、操作性一般的得1分，方案不合理或未提供方案不得分。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好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eastAsia="zh-CN"/>
              </w:rPr>
              <w:t>分，方案针对本项目的实际情况进行具体制定，较为全面、详细、合理，针对性较好得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分，方案与本项目的实际情况针对性一般，重点要点表述一般得1分，方案有缺项或不合理或未提供方案不得分。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根据投标人质量保证体系及质量保证措施方案，文明</w:t>
            </w:r>
            <w:r>
              <w:rPr>
                <w:rFonts w:hint="eastAsia" w:ascii="宋体" w:hAnsi="宋体" w:eastAsia="宋体" w:cs="宋体"/>
                <w:color w:val="auto"/>
                <w:sz w:val="24"/>
                <w:highlight w:val="none"/>
              </w:rPr>
              <w:t>安全保证体系和安全保证措施</w:t>
            </w:r>
            <w:r>
              <w:rPr>
                <w:rFonts w:hint="eastAsia" w:ascii="宋体" w:hAnsi="宋体" w:eastAsia="宋体" w:cs="宋体"/>
                <w:color w:val="auto"/>
                <w:sz w:val="24"/>
                <w:highlight w:val="none"/>
                <w:lang w:val="en-US" w:eastAsia="zh-CN"/>
              </w:rPr>
              <w:t>方案</w:t>
            </w:r>
            <w:r>
              <w:rPr>
                <w:rFonts w:hint="eastAsia" w:ascii="宋体" w:hAnsi="宋体" w:cs="宋体"/>
                <w:color w:val="auto"/>
                <w:sz w:val="24"/>
                <w:highlight w:val="none"/>
                <w:lang w:val="en-US" w:eastAsia="zh-CN"/>
              </w:rPr>
              <w:t>，</w:t>
            </w:r>
            <w:r>
              <w:rPr>
                <w:rFonts w:hint="eastAsia" w:ascii="宋体" w:hAnsi="宋体" w:cs="宋体"/>
                <w:color w:val="auto"/>
                <w:kern w:val="0"/>
                <w:sz w:val="24"/>
                <w:szCs w:val="24"/>
                <w:highlight w:val="none"/>
              </w:rPr>
              <w:t>方案</w:t>
            </w:r>
            <w:r>
              <w:rPr>
                <w:rFonts w:hint="eastAsia" w:ascii="宋体" w:hAnsi="宋体" w:eastAsia="宋体" w:cs="宋体"/>
                <w:color w:val="auto"/>
                <w:sz w:val="24"/>
                <w:highlight w:val="none"/>
                <w:lang w:val="zh-CN" w:eastAsia="zh-CN"/>
              </w:rPr>
              <w:t>全面、详细、合理的得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分</w:t>
            </w:r>
            <w:r>
              <w:rPr>
                <w:rFonts w:hint="eastAsia" w:ascii="宋体" w:hAnsi="宋体" w:cs="宋体"/>
                <w:color w:val="auto"/>
                <w:sz w:val="24"/>
                <w:highlight w:val="none"/>
                <w:lang w:val="zh-CN" w:eastAsia="zh-CN"/>
              </w:rPr>
              <w:t>，</w:t>
            </w:r>
            <w:r>
              <w:rPr>
                <w:rFonts w:hint="eastAsia" w:ascii="宋体" w:hAnsi="宋体" w:eastAsia="宋体" w:cs="宋体"/>
                <w:color w:val="auto"/>
                <w:sz w:val="24"/>
                <w:highlight w:val="none"/>
                <w:lang w:val="zh-CN" w:eastAsia="zh-CN"/>
              </w:rPr>
              <w:t>较为全面、详细、合理</w:t>
            </w:r>
            <w:r>
              <w:rPr>
                <w:rFonts w:hint="eastAsia" w:ascii="宋体" w:hAnsi="宋体" w:cs="宋体"/>
                <w:color w:val="auto"/>
                <w:sz w:val="24"/>
                <w:highlight w:val="none"/>
                <w:lang w:val="zh-CN" w:eastAsia="zh-CN"/>
              </w:rPr>
              <w:t>的</w:t>
            </w:r>
            <w:r>
              <w:rPr>
                <w:rFonts w:hint="eastAsia" w:ascii="宋体" w:hAnsi="宋体" w:eastAsia="宋体" w:cs="宋体"/>
                <w:color w:val="auto"/>
                <w:sz w:val="24"/>
                <w:highlight w:val="none"/>
                <w:lang w:val="zh-CN" w:eastAsia="zh-CN"/>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r>
              <w:rPr>
                <w:rFonts w:hint="eastAsia" w:ascii="宋体" w:hAnsi="宋体" w:cs="宋体"/>
                <w:color w:val="auto"/>
                <w:kern w:val="0"/>
                <w:sz w:val="24"/>
                <w:szCs w:val="24"/>
                <w:highlight w:val="none"/>
              </w:rPr>
              <w:t>方案</w:t>
            </w:r>
            <w:r>
              <w:rPr>
                <w:rFonts w:hint="eastAsia" w:ascii="宋体" w:hAnsi="宋体" w:cs="宋体"/>
                <w:color w:val="auto"/>
                <w:kern w:val="0"/>
                <w:sz w:val="24"/>
                <w:szCs w:val="24"/>
                <w:highlight w:val="none"/>
                <w:lang w:eastAsia="zh-CN"/>
              </w:rPr>
              <w:t>一般的得</w:t>
            </w:r>
            <w:r>
              <w:rPr>
                <w:rFonts w:hint="eastAsia" w:ascii="宋体" w:hAnsi="宋体" w:cs="宋体"/>
                <w:color w:val="auto"/>
                <w:kern w:val="0"/>
                <w:sz w:val="24"/>
                <w:szCs w:val="24"/>
                <w:highlight w:val="none"/>
                <w:lang w:val="en-US" w:eastAsia="zh-CN"/>
              </w:rPr>
              <w:t>1分</w:t>
            </w:r>
            <w:r>
              <w:rPr>
                <w:rFonts w:hint="eastAsia" w:ascii="宋体" w:hAnsi="宋体" w:eastAsia="宋体" w:cs="宋体"/>
                <w:color w:val="auto"/>
                <w:sz w:val="24"/>
                <w:highlight w:val="none"/>
                <w:lang w:val="zh-CN" w:eastAsia="zh-CN"/>
              </w:rPr>
              <w:t>，方案有缺项或不合理或未提供方案不得分。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针对人员管理、车辆管理、设施管理、环卫事件管理，供应商针对本项目的智慧环卫（需纳入采购人智慧平台等）实施方案，符合的得5分，部分符合的得3分，</w:t>
            </w:r>
            <w:r>
              <w:rPr>
                <w:rFonts w:hint="eastAsia" w:ascii="宋体" w:hAnsi="宋体" w:eastAsia="宋体" w:cs="宋体"/>
                <w:color w:val="auto"/>
                <w:sz w:val="24"/>
                <w:highlight w:val="none"/>
                <w:lang w:val="zh-CN" w:eastAsia="zh-CN"/>
              </w:rPr>
              <w:t>方案有缺项或不合理或未提供方案不得分。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完善的应急管理方案，能及时响应城市应急（气象灾害、防汛抗台、抗雪防冻）和项目实施过程中各类应急保障任务，有固定应急物资仓储及应急设施设备存放场地，具有丰富的应急管理经验情况，符合的得5分，部分符合的得3分，</w:t>
            </w:r>
            <w:r>
              <w:rPr>
                <w:rFonts w:hint="eastAsia" w:ascii="宋体" w:hAnsi="宋体" w:eastAsia="宋体" w:cs="宋体"/>
                <w:color w:val="auto"/>
                <w:sz w:val="24"/>
                <w:highlight w:val="none"/>
                <w:lang w:val="zh-CN" w:eastAsia="zh-CN"/>
              </w:rPr>
              <w:t>方案有缺项或不合理或未提供方案不得分。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分，有较为完善的重大活动保障方案，方案较为科学合理，针对性及可操作性较好，能较为圆满完成大型活动、节庆假日、创优评优等重大活动保障任务情况的得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分，重大活动保障方案一般，针对性及可操作性一般，对大型活动、节庆假日、创优评优等重大活动保障任务保障的可靠性一般得</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投标人拥有政府有关部门颁发的生活垃圾经营性清扫服务许可证且在有效期内的得2分。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600" w:lineRule="exact"/>
              <w:jc w:val="left"/>
              <w:textAlignment w:val="auto"/>
              <w:rPr>
                <w:rFonts w:hint="eastAsia" w:ascii="宋体" w:hAnsi="宋体" w:eastAsia="宋体" w:cs="宋体"/>
                <w:highlight w:val="none"/>
                <w:lang w:eastAsia="zh-CN"/>
              </w:rPr>
            </w:pPr>
            <w:r>
              <w:rPr>
                <w:rFonts w:hint="eastAsia" w:ascii="宋体" w:hAnsi="宋体" w:eastAsia="宋体" w:cs="宋体"/>
                <w:color w:val="auto"/>
                <w:sz w:val="24"/>
                <w:szCs w:val="24"/>
                <w:highlight w:val="none"/>
              </w:rPr>
              <w:t>投标人技术人员力量情况：须提供以下相关人员（人员不能重复，若有重复只能按一人次计）：</w:t>
            </w:r>
          </w:p>
          <w:p>
            <w:pPr>
              <w:widowControl w:val="0"/>
              <w:numPr>
                <w:ilvl w:val="0"/>
                <w:numId w:val="0"/>
              </w:numPr>
              <w:wordWrap/>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）项目保洁作业负责人同时具有大专及以上学历及环卫项目经理证证书的得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分，没有不得分，本项最高得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spacing w:line="6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项目绿化养护作业负责人</w:t>
            </w:r>
            <w:r>
              <w:rPr>
                <w:rFonts w:hint="eastAsia" w:ascii="宋体" w:hAnsi="宋体" w:eastAsia="宋体" w:cs="宋体"/>
                <w:b w:val="0"/>
                <w:bCs w:val="0"/>
                <w:color w:val="auto"/>
                <w:kern w:val="2"/>
                <w:sz w:val="24"/>
                <w:szCs w:val="24"/>
                <w:highlight w:val="none"/>
                <w:lang w:val="en-US" w:eastAsia="zh-CN" w:bidi="ar-SA"/>
              </w:rPr>
              <w:t>有</w:t>
            </w:r>
            <w:r>
              <w:rPr>
                <w:rFonts w:hint="eastAsia" w:ascii="宋体" w:hAnsi="宋体" w:eastAsia="宋体" w:cs="宋体"/>
                <w:color w:val="auto"/>
                <w:kern w:val="2"/>
                <w:sz w:val="24"/>
                <w:szCs w:val="24"/>
                <w:highlight w:val="none"/>
                <w:lang w:val="en-US" w:eastAsia="zh-CN" w:bidi="ar-SA"/>
              </w:rPr>
              <w:t>园林绿化或园林专业工程师中级及以上职称证书的得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分，没有不得分，本项最高得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pPr>
              <w:widowControl w:val="0"/>
              <w:wordWrap/>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项目组成人员中有</w:t>
            </w:r>
            <w:r>
              <w:rPr>
                <w:rFonts w:hint="eastAsia" w:ascii="宋体" w:hAnsi="宋体" w:eastAsia="宋体" w:cs="宋体"/>
                <w:color w:val="auto"/>
                <w:sz w:val="24"/>
                <w:szCs w:val="24"/>
                <w:highlight w:val="none"/>
                <w:lang w:val="en-US" w:eastAsia="zh-CN"/>
              </w:rPr>
              <w:t>项目专职安全管理员同时具有大专及以上学历及安全员证证书的每人得0.5分，没有不得分，</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6"/>
              <w:numPr>
                <w:ilvl w:val="0"/>
                <w:numId w:val="0"/>
              </w:numPr>
              <w:tabs>
                <w:tab w:val="left" w:pos="706"/>
                <w:tab w:val="clear" w:pos="432"/>
              </w:tabs>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4）项目组成人员中有绿化工证书，每一人得0.5分，没有不得分，本项最高得1分；</w:t>
            </w:r>
          </w:p>
          <w:p>
            <w:pPr>
              <w:widowControl w:val="0"/>
              <w:wordWrap/>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人员不能重复</w:t>
            </w:r>
            <w:r>
              <w:rPr>
                <w:rFonts w:hint="eastAsia" w:ascii="宋体" w:hAnsi="宋体" w:eastAsia="宋体" w:cs="宋体"/>
                <w:color w:val="auto"/>
                <w:sz w:val="24"/>
                <w:szCs w:val="24"/>
                <w:highlight w:val="none"/>
                <w:lang w:val="en-US" w:eastAsia="zh-CN"/>
              </w:rPr>
              <w:t>计分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sz w:val="24"/>
                <w:highlight w:val="none"/>
              </w:rPr>
              <w:t>注：投标文件中提供拟派人员证书</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毕业证</w:t>
            </w:r>
            <w:r>
              <w:rPr>
                <w:rFonts w:hint="eastAsia" w:ascii="宋体" w:hAnsi="宋体" w:eastAsia="宋体" w:cs="宋体"/>
                <w:b/>
                <w:sz w:val="24"/>
                <w:highlight w:val="none"/>
              </w:rPr>
              <w:t>及</w:t>
            </w:r>
            <w:r>
              <w:rPr>
                <w:rFonts w:hint="eastAsia" w:ascii="宋体" w:hAnsi="宋体" w:eastAsia="宋体" w:cs="宋体"/>
                <w:b/>
                <w:bCs/>
                <w:color w:val="auto"/>
                <w:sz w:val="24"/>
                <w:szCs w:val="24"/>
                <w:highlight w:val="none"/>
                <w:lang w:val="en-US" w:eastAsia="zh-CN"/>
              </w:rPr>
              <w:t>本人在本单位近</w:t>
            </w:r>
            <w:r>
              <w:rPr>
                <w:rFonts w:hint="eastAsia" w:ascii="宋体" w:hAnsi="宋体" w:eastAsia="宋体" w:cs="宋体"/>
                <w:b/>
                <w:bCs/>
                <w:color w:val="auto"/>
                <w:sz w:val="24"/>
                <w:szCs w:val="24"/>
                <w:highlight w:val="none"/>
              </w:rPr>
              <w:t>6个月</w:t>
            </w:r>
            <w:r>
              <w:rPr>
                <w:rFonts w:hint="eastAsia" w:ascii="宋体" w:hAnsi="宋体" w:eastAsia="宋体" w:cs="宋体"/>
                <w:b/>
                <w:bCs/>
                <w:color w:val="auto"/>
                <w:sz w:val="24"/>
                <w:szCs w:val="24"/>
                <w:highlight w:val="none"/>
                <w:lang w:val="en-US" w:eastAsia="zh-CN"/>
              </w:rPr>
              <w:t>社保缴纳证明复印件</w:t>
            </w:r>
            <w:r>
              <w:rPr>
                <w:rFonts w:hint="eastAsia" w:ascii="宋体" w:hAnsi="宋体" w:eastAsia="宋体" w:cs="宋体"/>
                <w:b/>
                <w:sz w:val="24"/>
                <w:highlight w:val="none"/>
              </w:rPr>
              <w:t>，否则不得分。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投标人自有作业设备用于本项目情况：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保洁设备：</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能够提供总质量16吨及以上清洗车(洒水车)不少于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总质量12吨及以上三合一洗扫车不少于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总质量15吨及以上多功能抑尘车不少于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总质量15吨及以上高压冲洗车不少于2辆；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护栏清洗车不少于1辆；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机械化除雪设备不少于2台（除雪车、大型铲车、加装式铲雪板、滚雪装置、加装式除雪板或山猫、凯斯等大型除雪设备）；</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总质量5吨及以下或新能源小型清扫车（用于慢车道作业）不少于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巡查保障车不少于1辆；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全部满足得16分，不满足一项扣2分，扣完为止；以上清洗车(洒水车)或高压冲洗车或三合一洗扫车中为纯电动新能源车或天然气清洁能源车辆的每辆加2分，最多加6分，没有不得分。本项最高得22分；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绿化养护设备：</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能够提供专项高空作业登高车不少于1辆；</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割灌机不少于2台；</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绿篱机（修剪机）不少于2台；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全部满足</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6分，不满足一项扣2分，扣完为止。本项最高得6分；</w:t>
            </w:r>
          </w:p>
          <w:p>
            <w:pPr>
              <w:pStyle w:val="3"/>
              <w:wordWrap/>
              <w:spacing w:line="500" w:lineRule="exact"/>
              <w:ind w:left="0" w:leftChars="0"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highlight w:val="none"/>
                <w:lang w:val="en-US" w:eastAsia="zh-CN"/>
              </w:rPr>
              <w:t>1）必须上牌的车辆在投标文件中同时提供车辆行驶证、购车发票、车辆登记证扫描件、清晰带有车牌号的正面、45度斜侧面的照片</w:t>
            </w:r>
            <w:r>
              <w:rPr>
                <w:rFonts w:hint="eastAsia" w:ascii="宋体" w:hAnsi="宋体" w:eastAsia="宋体" w:cs="宋体"/>
                <w:b/>
                <w:bCs/>
                <w:color w:val="auto"/>
                <w:sz w:val="24"/>
                <w:szCs w:val="24"/>
                <w:highlight w:val="none"/>
                <w:lang w:val="en-US" w:eastAsia="zh-CN"/>
              </w:rPr>
              <w:t>（其中小型清扫车如为新能源的无需提供车辆行驶证和车辆登记证）</w:t>
            </w:r>
            <w:r>
              <w:rPr>
                <w:rFonts w:hint="eastAsia" w:ascii="宋体" w:hAnsi="宋体" w:eastAsia="宋体" w:cs="宋体"/>
                <w:b/>
                <w:bCs/>
                <w:color w:val="auto"/>
                <w:sz w:val="24"/>
                <w:highlight w:val="none"/>
                <w:lang w:val="en-US" w:eastAsia="zh-CN"/>
              </w:rPr>
              <w:t>；否则不予认可。按国家规定无需上牌的车辆、设备，在投标文件中同时提供购买发票、车辆或设备照片，否则不予认可。</w:t>
            </w:r>
          </w:p>
          <w:p>
            <w:pPr>
              <w:pStyle w:val="3"/>
              <w:wordWrap/>
              <w:spacing w:line="500" w:lineRule="exact"/>
              <w:ind w:left="0" w:leftChars="0"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2）提供车辆、设备仅用于本保洁项目的书面承诺书（格式自拟）。</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lang w:val="en-US" w:eastAsia="zh-CN"/>
              </w:rPr>
              <w:t>3）车辆、设备必须为供应商自有，含分公司自有。</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rPr>
              <w:t>承诺中标后根据项目实际工作要求，配备足额的样式统一的电动</w:t>
            </w:r>
            <w:r>
              <w:rPr>
                <w:rFonts w:hint="eastAsia" w:ascii="宋体" w:hAnsi="宋体" w:eastAsia="宋体" w:cs="宋体"/>
                <w:color w:val="auto"/>
                <w:sz w:val="24"/>
                <w:szCs w:val="24"/>
                <w:highlight w:val="none"/>
                <w:lang w:eastAsia="zh-CN"/>
              </w:rPr>
              <w:t>三轮</w:t>
            </w:r>
            <w:r>
              <w:rPr>
                <w:rFonts w:hint="eastAsia" w:ascii="宋体" w:hAnsi="宋体" w:eastAsia="宋体" w:cs="宋体"/>
                <w:color w:val="auto"/>
                <w:sz w:val="24"/>
                <w:szCs w:val="24"/>
                <w:highlight w:val="none"/>
              </w:rPr>
              <w:t>环卫车辆和人行道除雪设备，提供承诺书（格式自拟）得2分，否则不得分。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投标人具有效的环境管理体系认证、职业健康安全管理体系认证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val="en-US" w:eastAsia="zh-CN"/>
              </w:rPr>
              <w:t>证书，每</w:t>
            </w:r>
            <w:r>
              <w:rPr>
                <w:rFonts w:hint="eastAsia" w:ascii="宋体" w:hAnsi="宋体" w:eastAsia="宋体" w:cs="宋体"/>
                <w:color w:val="auto"/>
                <w:sz w:val="24"/>
                <w:szCs w:val="24"/>
                <w:highlight w:val="none"/>
                <w:lang w:eastAsia="zh-CN"/>
              </w:rPr>
              <w:t>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sz w:val="24"/>
                <w:highlight w:val="none"/>
              </w:rPr>
              <w:t>注：投标文件中提供有效期内的证书扫描件及全国认证认可信息公共服务平台网站（http://www.cnca.gov.cn/）查询页面截图，否则不得分。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养护的项目（绿化养护或道路保洁或市政养护）自2019年1月1日以来（以获奖证书或获奖文件时间为准）获得过省级及以上行业主管部门表彰荣誉的，每个得3分；地市级及以上行业主管部门表彰荣誉的，每个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区</w:t>
            </w:r>
            <w:r>
              <w:rPr>
                <w:rFonts w:hint="eastAsia" w:ascii="宋体" w:hAnsi="宋体" w:eastAsia="宋体" w:cs="宋体"/>
                <w:color w:val="auto"/>
                <w:sz w:val="24"/>
                <w:szCs w:val="24"/>
                <w:highlight w:val="none"/>
                <w:lang w:val="en-US" w:eastAsia="zh-CN"/>
              </w:rPr>
              <w:t>及以上行业主管部门表彰荣誉的，每个得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分；本项最高得3分。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注：投标文件中提供获奖证明扫描件，时间以获奖证明落款为准</w:t>
            </w:r>
            <w:r>
              <w:rPr>
                <w:rFonts w:hint="eastAsia" w:ascii="宋体" w:hAnsi="宋体" w:cs="宋体"/>
                <w:color w:val="auto"/>
                <w:sz w:val="24"/>
                <w:szCs w:val="24"/>
                <w:highlight w:val="none"/>
                <w:lang w:val="en-US" w:eastAsia="zh-CN"/>
              </w:rPr>
              <w:t>，单个荣誉可叠加得分</w:t>
            </w:r>
            <w:r>
              <w:rPr>
                <w:rFonts w:hint="eastAsia" w:ascii="宋体" w:hAnsi="宋体" w:eastAsia="宋体" w:cs="宋体"/>
                <w:color w:val="auto"/>
                <w:sz w:val="24"/>
                <w:szCs w:val="24"/>
                <w:highlight w:val="none"/>
                <w:lang w:val="en-US" w:eastAsia="zh-CN"/>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pStyle w:val="22"/>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投标人类似业绩：</w:t>
            </w:r>
          </w:p>
          <w:p>
            <w:pPr>
              <w:pStyle w:val="22"/>
              <w:spacing w:line="6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投标人自201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年1月1日以来（时间以合同签订时间为准）承担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类似业绩</w:t>
            </w:r>
            <w:r>
              <w:rPr>
                <w:rFonts w:hint="eastAsia" w:ascii="宋体" w:hAnsi="宋体" w:eastAsia="宋体" w:cs="宋体"/>
                <w:color w:val="auto"/>
                <w:sz w:val="24"/>
                <w:highlight w:val="none"/>
              </w:rPr>
              <w:t>（合同内容包括道路保洁</w:t>
            </w:r>
            <w:r>
              <w:rPr>
                <w:rFonts w:hint="eastAsia" w:ascii="宋体" w:hAnsi="宋体" w:eastAsia="宋体" w:cs="宋体"/>
                <w:color w:val="auto"/>
                <w:sz w:val="24"/>
                <w:highlight w:val="none"/>
                <w:lang w:val="en-US" w:eastAsia="zh-CN"/>
              </w:rPr>
              <w:t>或</w:t>
            </w:r>
            <w:r>
              <w:rPr>
                <w:rFonts w:hint="eastAsia" w:ascii="宋体" w:hAnsi="宋体" w:cs="宋体"/>
                <w:color w:val="auto"/>
                <w:sz w:val="24"/>
                <w:highlight w:val="none"/>
                <w:lang w:val="en-US" w:eastAsia="zh-CN"/>
              </w:rPr>
              <w:t>绿化</w:t>
            </w:r>
            <w:r>
              <w:rPr>
                <w:rFonts w:hint="eastAsia" w:ascii="宋体" w:hAnsi="宋体" w:eastAsia="宋体" w:cs="宋体"/>
                <w:color w:val="auto"/>
                <w:sz w:val="24"/>
                <w:highlight w:val="none"/>
                <w:lang w:val="en-US" w:eastAsia="zh-CN"/>
              </w:rPr>
              <w:t>养护</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本项</w:t>
            </w:r>
            <w:r>
              <w:rPr>
                <w:rFonts w:hint="eastAsia" w:ascii="宋体" w:hAnsi="宋体" w:eastAsia="宋体" w:cs="宋体"/>
                <w:color w:val="auto"/>
                <w:sz w:val="24"/>
                <w:szCs w:val="24"/>
                <w:highlight w:val="none"/>
                <w:lang w:val="en-US" w:eastAsia="zh-CN"/>
              </w:rPr>
              <w:t>最高得1分；</w:t>
            </w:r>
          </w:p>
          <w:p>
            <w:pPr>
              <w:pStyle w:val="22"/>
              <w:spacing w:line="60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注：投标文件中提供合同扫描件，否则不得分。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bl>
    <w:p>
      <w:pPr>
        <w:pStyle w:val="966"/>
        <w:rPr>
          <w:rFonts w:hint="eastAsia" w:asciiTheme="majorEastAsia" w:hAnsiTheme="majorEastAsia" w:eastAsiaTheme="majorEastAsia" w:cstheme="majorEastAsia"/>
          <w:highlight w:val="none"/>
        </w:rPr>
      </w:pPr>
    </w:p>
    <w:p>
      <w:pPr>
        <w:snapToGrid w:val="0"/>
        <w:spacing w:line="360" w:lineRule="auto"/>
        <w:ind w:firstLine="482" w:firstLineChars="200"/>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3、商务分+技术分=评标委员会所有成员评分合计数/评标委员会组成人员数</w:t>
      </w:r>
    </w:p>
    <w:p>
      <w:pPr>
        <w:snapToGrid w:val="0"/>
        <w:spacing w:line="36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w:t>
      </w:r>
      <w:r>
        <w:rPr>
          <w:rFonts w:hint="eastAsia" w:asciiTheme="majorEastAsia" w:hAnsiTheme="majorEastAsia" w:eastAsiaTheme="majorEastAsia" w:cstheme="majorEastAsia"/>
          <w:b/>
          <w:bCs/>
          <w:sz w:val="24"/>
          <w:highlight w:val="none"/>
        </w:rPr>
        <w:t>价格分（</w:t>
      </w:r>
      <w:r>
        <w:rPr>
          <w:rFonts w:hint="eastAsia" w:asciiTheme="majorEastAsia" w:hAnsiTheme="majorEastAsia" w:eastAsiaTheme="majorEastAsia" w:cstheme="majorEastAsia"/>
          <w:b/>
          <w:bCs/>
          <w:sz w:val="24"/>
          <w:highlight w:val="none"/>
          <w:lang w:val="en-US" w:eastAsia="zh-CN"/>
        </w:rPr>
        <w:t>1</w:t>
      </w:r>
      <w:r>
        <w:rPr>
          <w:rFonts w:hint="eastAsia" w:asciiTheme="majorEastAsia" w:hAnsiTheme="majorEastAsia" w:eastAsiaTheme="majorEastAsia" w:cstheme="majorEastAsia"/>
          <w:b/>
          <w:bCs/>
          <w:sz w:val="24"/>
          <w:highlight w:val="none"/>
        </w:rPr>
        <w:t>0分）</w:t>
      </w:r>
      <w:r>
        <w:rPr>
          <w:rFonts w:hint="eastAsia" w:asciiTheme="majorEastAsia" w:hAnsiTheme="majorEastAsia" w:eastAsiaTheme="majorEastAsia" w:cstheme="majorEastAsia"/>
          <w:sz w:val="24"/>
          <w:highlight w:val="none"/>
        </w:rPr>
        <w:t>采用低价优先法计算，即满足招标文件要求且投标价格最低的投标报价为评标基准价，其他投标人的价格分按照下列公式计算：</w:t>
      </w:r>
    </w:p>
    <w:p>
      <w:pPr>
        <w:widowControl/>
        <w:shd w:val="clear" w:color="auto" w:fill="FFFFFF"/>
        <w:adjustRightInd/>
        <w:spacing w:after="225" w:line="315" w:lineRule="atLeast"/>
        <w:ind w:firstLine="720" w:firstLineChars="300"/>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价格分=（评标基准价/投标报价）×10%×100；</w:t>
      </w:r>
    </w:p>
    <w:p>
      <w:pPr>
        <w:widowControl/>
        <w:shd w:val="clear" w:color="auto" w:fill="FFFFFF"/>
        <w:adjustRightInd/>
        <w:spacing w:after="225" w:line="315" w:lineRule="atLeast"/>
        <w:ind w:firstLine="720" w:firstLineChars="300"/>
        <w:jc w:val="left"/>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color w:val="auto"/>
          <w:kern w:val="2"/>
          <w:sz w:val="24"/>
          <w:szCs w:val="24"/>
          <w:highlight w:val="none"/>
          <w:lang w:val="en-US" w:eastAsia="zh-CN" w:bidi="ar-SA"/>
        </w:rPr>
        <w:t>评标过程中，不得去掉报价中的最高报价和最低报价。</w:t>
      </w:r>
    </w:p>
    <w:p>
      <w:pPr>
        <w:snapToGrid w:val="0"/>
        <w:spacing w:line="360" w:lineRule="auto"/>
        <w:ind w:firstLine="482" w:firstLineChars="200"/>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5、投标人评标综合得分=价格分+商务分+技术分</w:t>
      </w:r>
    </w:p>
    <w:p>
      <w:pPr>
        <w:pStyle w:val="967"/>
        <w:snapToGrid w:val="0"/>
        <w:ind w:left="480" w:firstLine="0" w:firstLineChars="0"/>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注：以上所涉及的证明材料，需提供扫描件制作进投标响应文件内，未提供的不得分。</w:t>
      </w:r>
    </w:p>
    <w:p>
      <w:pPr>
        <w:snapToGrid w:val="0"/>
        <w:spacing w:line="360" w:lineRule="auto"/>
        <w:ind w:firstLine="472" w:firstLineChars="196"/>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报价是中标的一个重要因素，但最低报价不是中标的唯一依据。</w:t>
      </w:r>
    </w:p>
    <w:p>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pP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pP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pP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pPr>
        <w:pStyle w:val="89"/>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pPr>
        <w:pStyle w:val="89"/>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有下列情况之一的，投标无效：</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pP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4.2.12投标人仅提交备份投标文件，没有在电子交易平台传输递交投标文件的，投标无效；</w:t>
      </w:r>
    </w:p>
    <w:p>
      <w:pPr>
        <w:pStyle w:val="6"/>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废标后，采购机构应当将废标理由通知所有投标人。</w:t>
      </w:r>
    </w:p>
    <w:p>
      <w:pPr>
        <w:pStyle w:val="3"/>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w:t>
      </w:r>
      <w:r>
        <w:rPr>
          <w:rFonts w:hint="eastAsia" w:asciiTheme="majorEastAsia" w:hAnsiTheme="majorEastAsia" w:eastAsiaTheme="majorEastAsia" w:cstheme="majorEastAsia"/>
          <w:color w:val="auto"/>
          <w:kern w:val="0"/>
          <w:highlight w:val="none"/>
        </w:rPr>
        <w:t>或者政府采购法实施条例等法律法规规定</w:t>
      </w:r>
      <w:r>
        <w:rPr>
          <w:rFonts w:hint="eastAsia" w:asciiTheme="majorEastAsia" w:hAnsiTheme="majorEastAsia" w:eastAsiaTheme="majorEastAsia" w:cstheme="majorEastAsia"/>
          <w:color w:val="auto"/>
          <w:highlight w:val="none"/>
        </w:rPr>
        <w:t>的行为，经改正后仍然影响或者可能影响中标、成交结果或者依法被认定为中标、成交无效的，依照7.1-7.4规定处理。</w:t>
      </w:r>
    </w:p>
    <w:bookmarkEnd w:id="25"/>
    <w:p>
      <w:pPr>
        <w:rPr>
          <w:rFonts w:hint="eastAsia" w:asciiTheme="majorEastAsia" w:hAnsiTheme="majorEastAsia" w:eastAsiaTheme="majorEastAsia" w:cstheme="majorEastAsia"/>
          <w:highlight w:val="none"/>
        </w:rPr>
      </w:pPr>
      <w:bookmarkStart w:id="391" w:name="第五部分"/>
      <w:bookmarkStart w:id="392" w:name="_Toc86217003"/>
    </w:p>
    <w:p>
      <w:pPr>
        <w:pStyle w:val="83"/>
        <w:ind w:left="0" w:leftChars="0" w:firstLine="0" w:firstLineChars="0"/>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合同编号：</w:t>
      </w:r>
    </w:p>
    <w:p>
      <w:pPr>
        <w:spacing w:line="480" w:lineRule="auto"/>
        <w:jc w:val="center"/>
        <w:rPr>
          <w:rFonts w:hint="eastAsia" w:asciiTheme="majorEastAsia" w:hAnsiTheme="majorEastAsia" w:eastAsiaTheme="majorEastAsia" w:cstheme="majorEastAsia"/>
          <w:b/>
          <w:color w:val="auto"/>
          <w:sz w:val="28"/>
          <w:szCs w:val="28"/>
          <w:highlight w:val="none"/>
        </w:rPr>
      </w:pPr>
    </w:p>
    <w:p>
      <w:pPr>
        <w:pStyle w:val="83"/>
        <w:rPr>
          <w:rFonts w:hint="eastAsia" w:asciiTheme="majorEastAsia" w:hAnsiTheme="majorEastAsia" w:eastAsiaTheme="majorEastAsia" w:cstheme="majorEastAsia"/>
          <w:b/>
          <w:color w:val="auto"/>
          <w:sz w:val="28"/>
          <w:szCs w:val="28"/>
          <w:highlight w:val="none"/>
        </w:rPr>
      </w:pPr>
    </w:p>
    <w:p>
      <w:pPr>
        <w:pStyle w:val="83"/>
        <w:rPr>
          <w:rFonts w:hint="eastAsia" w:asciiTheme="majorEastAsia" w:hAnsiTheme="majorEastAsia" w:eastAsiaTheme="majorEastAsia" w:cstheme="majorEastAsia"/>
          <w:color w:val="auto"/>
          <w:highlight w:val="none"/>
        </w:rPr>
      </w:pPr>
    </w:p>
    <w:p>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政府采购合同参考范本（以实际签订为准）</w:t>
      </w:r>
    </w:p>
    <w:p>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（服务类）</w:t>
      </w: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spacing w:line="480" w:lineRule="auto"/>
        <w:jc w:val="center"/>
        <w:rPr>
          <w:rFonts w:hint="eastAsia" w:asciiTheme="majorEastAsia" w:hAnsiTheme="majorEastAsia" w:eastAsiaTheme="majorEastAsia" w:cstheme="majorEastAsia"/>
          <w:b/>
          <w:color w:val="auto"/>
          <w:szCs w:val="24"/>
          <w:highlight w:val="none"/>
        </w:rPr>
      </w:pPr>
    </w:p>
    <w:p>
      <w:pPr>
        <w:pStyle w:val="83"/>
        <w:rPr>
          <w:rFonts w:hint="eastAsia" w:asciiTheme="majorEastAsia" w:hAnsiTheme="majorEastAsia" w:eastAsiaTheme="majorEastAsia" w:cstheme="majorEastAsia"/>
          <w:highlight w:val="none"/>
        </w:rPr>
      </w:pPr>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bookmarkStart w:id="393" w:name="_Toc295465365"/>
      <w:bookmarkEnd w:id="393"/>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（本合同为合同样稿，最终稿由双方协商后确定）</w:t>
      </w:r>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pPr>
        <w:spacing w:line="360" w:lineRule="auto"/>
        <w:ind w:firstLine="480" w:firstLineChars="200"/>
        <w:rPr>
          <w:rFonts w:hint="eastAsia" w:ascii="华文仿宋" w:hAnsi="华文仿宋" w:eastAsia="华文仿宋"/>
          <w:sz w:val="24"/>
          <w:highlight w:val="none"/>
        </w:rPr>
      </w:pPr>
    </w:p>
    <w:p>
      <w:pPr>
        <w:spacing w:line="360" w:lineRule="auto"/>
        <w:ind w:firstLine="480" w:firstLineChars="200"/>
        <w:rPr>
          <w:rFonts w:ascii="华文仿宋" w:hAnsi="华文仿宋" w:eastAsia="华文仿宋"/>
          <w:sz w:val="24"/>
          <w:highlight w:val="none"/>
        </w:rPr>
      </w:pPr>
      <w:r>
        <w:rPr>
          <w:rFonts w:hint="eastAsia" w:ascii="华文仿宋" w:hAnsi="华文仿宋" w:eastAsia="华文仿宋"/>
          <w:sz w:val="24"/>
          <w:highlight w:val="none"/>
        </w:rPr>
        <w:t>合同编号：</w:t>
      </w:r>
    </w:p>
    <w:p>
      <w:pPr>
        <w:autoSpaceDE w:val="0"/>
        <w:autoSpaceDN w:val="0"/>
        <w:snapToGrid w:val="0"/>
        <w:spacing w:line="360" w:lineRule="auto"/>
        <w:ind w:firstLine="436" w:firstLineChars="182"/>
        <w:rPr>
          <w:rFonts w:ascii="华文仿宋" w:hAnsi="华文仿宋" w:eastAsia="华文仿宋"/>
          <w:sz w:val="24"/>
          <w:highlight w:val="none"/>
        </w:rPr>
      </w:pPr>
      <w:r>
        <w:rPr>
          <w:rFonts w:ascii="华文仿宋" w:hAnsi="华文仿宋" w:eastAsia="华文仿宋"/>
          <w:sz w:val="24"/>
          <w:highlight w:val="none"/>
        </w:rPr>
        <w:t>项目名称：</w:t>
      </w:r>
    </w:p>
    <w:p>
      <w:pPr>
        <w:pStyle w:val="35"/>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招标编号：</w:t>
      </w:r>
    </w:p>
    <w:p>
      <w:pPr>
        <w:pStyle w:val="35"/>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甲方：</w:t>
      </w:r>
    </w:p>
    <w:p>
      <w:pPr>
        <w:snapToGrid w:val="0"/>
        <w:spacing w:line="360" w:lineRule="auto"/>
        <w:ind w:firstLine="480" w:firstLineChars="200"/>
        <w:jc w:val="left"/>
        <w:rPr>
          <w:rFonts w:ascii="华文仿宋" w:hAnsi="华文仿宋" w:eastAsia="华文仿宋"/>
          <w:sz w:val="24"/>
          <w:highlight w:val="none"/>
        </w:rPr>
      </w:pPr>
      <w:r>
        <w:rPr>
          <w:rFonts w:ascii="华文仿宋" w:hAnsi="华文仿宋" w:eastAsia="华文仿宋"/>
          <w:sz w:val="24"/>
          <w:highlight w:val="none"/>
        </w:rPr>
        <w:t>乙方：</w:t>
      </w:r>
    </w:p>
    <w:p>
      <w:pPr>
        <w:pStyle w:val="90"/>
        <w:snapToGrid w:val="0"/>
        <w:spacing w:line="360" w:lineRule="auto"/>
        <w:ind w:firstLine="480" w:firstLineChars="200"/>
        <w:rPr>
          <w:rFonts w:ascii="华文仿宋" w:hAnsi="华文仿宋" w:eastAsia="华文仿宋"/>
          <w:sz w:val="24"/>
          <w:szCs w:val="24"/>
          <w:highlight w:val="none"/>
        </w:rPr>
      </w:pPr>
      <w:r>
        <w:rPr>
          <w:rFonts w:ascii="华文仿宋" w:hAnsi="华文仿宋" w:eastAsia="华文仿宋"/>
          <w:sz w:val="24"/>
          <w:szCs w:val="24"/>
          <w:highlight w:val="none"/>
        </w:rPr>
        <w:t>甲、乙双方根据</w:t>
      </w:r>
      <w:r>
        <w:rPr>
          <w:rFonts w:hint="eastAsia" w:ascii="华文仿宋" w:hAnsi="华文仿宋" w:eastAsia="华文仿宋"/>
          <w:sz w:val="24"/>
          <w:szCs w:val="24"/>
          <w:highlight w:val="none"/>
        </w:rPr>
        <w:t>政府采购</w:t>
      </w:r>
      <w:r>
        <w:rPr>
          <w:rFonts w:ascii="华文仿宋" w:hAnsi="华文仿宋" w:eastAsia="华文仿宋"/>
          <w:sz w:val="24"/>
          <w:szCs w:val="24"/>
          <w:highlight w:val="none"/>
        </w:rPr>
        <w:t>公开招标的结果，</w:t>
      </w:r>
      <w:r>
        <w:rPr>
          <w:rFonts w:hint="eastAsia" w:ascii="华文仿宋" w:hAnsi="华文仿宋" w:eastAsia="华文仿宋"/>
          <w:sz w:val="24"/>
          <w:szCs w:val="24"/>
          <w:highlight w:val="none"/>
        </w:rPr>
        <w:t>依照《中华人民共和国民法典》及其他有关法律、法规，遵循平等、自愿、公平和诚实信用的原则，双方就本项目事项协商一致，订立本合同。</w:t>
      </w:r>
    </w:p>
    <w:p>
      <w:pPr>
        <w:pStyle w:val="90"/>
        <w:snapToGrid w:val="0"/>
        <w:spacing w:line="360" w:lineRule="auto"/>
        <w:ind w:firstLine="480" w:firstLineChars="200"/>
        <w:rPr>
          <w:rFonts w:ascii="华文仿宋" w:hAnsi="华文仿宋" w:eastAsia="华文仿宋"/>
          <w:b/>
          <w:sz w:val="24"/>
          <w:szCs w:val="24"/>
          <w:highlight w:val="none"/>
        </w:rPr>
      </w:pPr>
      <w:r>
        <w:rPr>
          <w:rFonts w:hint="eastAsia" w:ascii="华文仿宋" w:hAnsi="华文仿宋" w:eastAsia="华文仿宋"/>
          <w:b/>
          <w:sz w:val="24"/>
          <w:szCs w:val="24"/>
          <w:highlight w:val="none"/>
        </w:rPr>
        <w:t>一、服务内容</w:t>
      </w:r>
    </w:p>
    <w:p>
      <w:pPr>
        <w:snapToGrid w:val="0"/>
        <w:spacing w:line="360" w:lineRule="auto"/>
        <w:ind w:firstLine="471" w:firstLineChars="196"/>
        <w:rPr>
          <w:rFonts w:hint="eastAsia" w:ascii="华文仿宋" w:hAnsi="华文仿宋" w:eastAsia="华文仿宋"/>
          <w:b/>
          <w:sz w:val="24"/>
          <w:highlight w:val="none"/>
        </w:rPr>
      </w:pPr>
      <w:r>
        <w:rPr>
          <w:rFonts w:hint="eastAsia" w:ascii="华文仿宋" w:hAnsi="华文仿宋" w:eastAsia="华文仿宋"/>
          <w:b/>
          <w:sz w:val="24"/>
          <w:highlight w:val="none"/>
        </w:rPr>
        <w:t>1.项目需求：</w:t>
      </w: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lang w:eastAsia="zh-CN"/>
        </w:rPr>
        <w:t>①</w:t>
      </w:r>
      <w:r>
        <w:rPr>
          <w:rFonts w:hint="eastAsia" w:asciiTheme="majorEastAsia" w:hAnsiTheme="majorEastAsia" w:eastAsiaTheme="majorEastAsia" w:cstheme="majorEastAsia"/>
          <w:b/>
          <w:color w:val="auto"/>
          <w:sz w:val="28"/>
          <w:szCs w:val="28"/>
          <w:highlight w:val="none"/>
        </w:rPr>
        <w:t>仓前街道运溪路以西区块道路</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路段名称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云联路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32598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仓兴街（永乐工业园区）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40375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数云路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23312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褚家塘路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长松街（东至数云路西至云联路）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途义路</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祥余路（西至云联路东至仓兴街）</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13646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城东路</w:t>
            </w:r>
          </w:p>
        </w:tc>
        <w:tc>
          <w:tcPr>
            <w:tcW w:w="1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29227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祥余线（东至云联路西至城东路）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长祥路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蒋家门路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长松街（东至云联路西至城东路）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永乐农居点仓乐雅苑周边道路及人行道</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9054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沙河路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水乡北路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40953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文良路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9847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万金路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第四小学南侧道路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第三初级中学道路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林场线公墓停车场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8400"/>
              </w:tabs>
              <w:spacing w:line="440" w:lineRule="exact"/>
              <w:ind w:firstLine="482" w:firstLineChars="2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color w:val="auto"/>
                <w:sz w:val="24"/>
                <w:highlight w:val="none"/>
              </w:rPr>
              <w:t>注</w:t>
            </w:r>
            <w:r>
              <w:rPr>
                <w:rFonts w:hint="eastAsia" w:asciiTheme="majorEastAsia" w:hAnsiTheme="majorEastAsia" w:eastAsiaTheme="majorEastAsia" w:cstheme="majorEastAsia"/>
                <w:b/>
                <w:color w:val="auto"/>
                <w:sz w:val="24"/>
                <w:highlight w:val="none"/>
              </w:rPr>
              <w:t>：</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val="en-US" w:eastAsia="zh-CN"/>
              </w:rPr>
              <w:t>养护</w:t>
            </w:r>
            <w:r>
              <w:rPr>
                <w:rFonts w:hint="eastAsia" w:ascii="宋体" w:hAnsi="宋体" w:eastAsia="宋体" w:cs="宋体"/>
                <w:b/>
                <w:color w:val="auto"/>
                <w:sz w:val="24"/>
                <w:highlight w:val="none"/>
              </w:rPr>
              <w:t>面积为甲方</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tc>
      </w:tr>
    </w:tbl>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②</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县道</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320" w:firstLineChars="6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林场线</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公里</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numPr>
          <w:ilvl w:val="0"/>
          <w:numId w:val="0"/>
        </w:numPr>
        <w:wordWrap/>
        <w:adjustRightInd/>
        <w:snapToGrid/>
        <w:spacing w:line="500" w:lineRule="exact"/>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③</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公交候车亭</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320" w:firstLineChars="6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公交候车亭</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座</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pStyle w:val="2"/>
        <w:ind w:left="0" w:leftChars="0" w:firstLine="0" w:firstLineChars="0"/>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2249"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val="en-US" w:eastAsia="zh-CN"/>
        </w:rPr>
        <w:t>④</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公厕</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540" w:firstLineChars="7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永乐公厕</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座</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1928"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⑤</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eastAsia="zh-CN"/>
        </w:rPr>
        <w:t>绿化养护</w:t>
      </w:r>
      <w:r>
        <w:rPr>
          <w:rFonts w:hint="eastAsia" w:asciiTheme="majorEastAsia" w:hAnsiTheme="majorEastAsia" w:eastAsiaTheme="majorEastAsia" w:cstheme="majorEastAsia"/>
          <w:b/>
          <w:color w:val="auto"/>
          <w:sz w:val="28"/>
          <w:szCs w:val="28"/>
          <w:highlight w:val="none"/>
        </w:rPr>
        <w:t>明细表</w:t>
      </w:r>
    </w:p>
    <w:tbl>
      <w:tblPr>
        <w:tblStyle w:val="64"/>
        <w:tblW w:w="97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3450"/>
        <w:gridCol w:w="1065"/>
        <w:gridCol w:w="1302"/>
        <w:gridCol w:w="145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4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路段名称</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面积</w:t>
            </w:r>
          </w:p>
        </w:tc>
        <w:tc>
          <w:tcPr>
            <w:tcW w:w="13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450"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416"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科技大道</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52190</w:t>
            </w:r>
          </w:p>
        </w:tc>
        <w:tc>
          <w:tcPr>
            <w:tcW w:w="13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科技一路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3786</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后木桥路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金星二路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前木桥路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永乐路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祥余路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城东路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5668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水乡北路</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城东路行道树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780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祥余路行道树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沙河路行道树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112</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长松街行道树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508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水乡北路行道树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756</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文良路树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364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万金路树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740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第四小学南侧树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244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第三初级中学</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228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trPr>
        <w:tc>
          <w:tcPr>
            <w:tcW w:w="9703" w:type="dxa"/>
            <w:gridSpan w:val="6"/>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注：1）以上绿化面积含部分还在养护期内的，这部分绿化养护时间按原养护期到期交接之日起计算，费用按中标单价结合实际数量作相应调整。</w:t>
            </w:r>
          </w:p>
          <w:p>
            <w:pPr>
              <w:keepNext w:val="0"/>
              <w:keepLines w:val="0"/>
              <w:widowControl/>
              <w:suppressLineNumbers w:val="0"/>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）以上养护面积为甲方经测量提供的，各投标单位应根据现场实际踏测自行测量，如面积不一致应充分考虑在投标报价内，今后不作调整。</w:t>
            </w:r>
          </w:p>
          <w:p>
            <w:pPr>
              <w:keepNext w:val="0"/>
              <w:keepLines w:val="0"/>
              <w:widowControl/>
              <w:suppressLineNumbers w:val="0"/>
              <w:ind w:firstLine="482" w:firstLineChars="200"/>
              <w:jc w:val="left"/>
              <w:textAlignment w:val="center"/>
              <w:rPr>
                <w:rFonts w:hint="default"/>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）绿化养护期为23个月。</w:t>
            </w:r>
          </w:p>
        </w:tc>
      </w:tr>
    </w:tbl>
    <w:p>
      <w:pPr>
        <w:numPr>
          <w:ilvl w:val="0"/>
          <w:numId w:val="0"/>
        </w:numPr>
        <w:wordWrap/>
        <w:adjustRightInd/>
        <w:snapToGrid/>
        <w:spacing w:line="500" w:lineRule="exact"/>
        <w:ind w:firstLine="1928" w:firstLineChars="800"/>
        <w:jc w:val="both"/>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1928" w:firstLineChars="8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⑥</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时花</w:t>
      </w:r>
      <w:r>
        <w:rPr>
          <w:rFonts w:hint="eastAsia" w:asciiTheme="majorEastAsia" w:hAnsiTheme="majorEastAsia" w:eastAsiaTheme="majorEastAsia" w:cstheme="majorEastAsia"/>
          <w:b/>
          <w:color w:val="auto"/>
          <w:sz w:val="28"/>
          <w:szCs w:val="28"/>
          <w:highlight w:val="none"/>
          <w:lang w:eastAsia="zh-CN"/>
        </w:rPr>
        <w:t>养护</w:t>
      </w:r>
      <w:r>
        <w:rPr>
          <w:rFonts w:hint="eastAsia" w:asciiTheme="majorEastAsia" w:hAnsiTheme="majorEastAsia" w:eastAsiaTheme="majorEastAsia" w:cstheme="majorEastAsia"/>
          <w:b/>
          <w:color w:val="auto"/>
          <w:sz w:val="28"/>
          <w:szCs w:val="28"/>
          <w:highlight w:val="none"/>
        </w:rPr>
        <w:t>明细表</w:t>
      </w:r>
    </w:p>
    <w:tbl>
      <w:tblPr>
        <w:tblStyle w:val="64"/>
        <w:tblW w:w="97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3450"/>
        <w:gridCol w:w="1065"/>
        <w:gridCol w:w="1302"/>
        <w:gridCol w:w="145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4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路段名称</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面积</w:t>
            </w:r>
          </w:p>
        </w:tc>
        <w:tc>
          <w:tcPr>
            <w:tcW w:w="13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450"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416"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w:t>
            </w:r>
          </w:p>
        </w:tc>
        <w:tc>
          <w:tcPr>
            <w:tcW w:w="3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科技大道（时花养护）</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876.35</w:t>
            </w:r>
          </w:p>
        </w:tc>
        <w:tc>
          <w:tcPr>
            <w:tcW w:w="13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p>
    <w:p>
      <w:pPr>
        <w:numPr>
          <w:ilvl w:val="0"/>
          <w:numId w:val="0"/>
        </w:numPr>
        <w:wordWrap/>
        <w:adjustRightInd/>
        <w:snapToGrid/>
        <w:spacing w:line="500" w:lineRule="exact"/>
        <w:ind w:firstLine="562" w:firstLineChars="200"/>
        <w:jc w:val="both"/>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8"/>
          <w:szCs w:val="28"/>
          <w:highlight w:val="none"/>
          <w:lang w:eastAsia="zh-CN"/>
        </w:rPr>
        <w:t>⑦</w:t>
      </w:r>
      <w:r>
        <w:rPr>
          <w:rFonts w:hint="eastAsia" w:asciiTheme="majorEastAsia" w:hAnsiTheme="majorEastAsia" w:eastAsiaTheme="majorEastAsia" w:cstheme="majorEastAsia"/>
          <w:b/>
          <w:color w:val="auto"/>
          <w:sz w:val="28"/>
          <w:szCs w:val="28"/>
          <w:highlight w:val="none"/>
        </w:rPr>
        <w:t>仓前街道运溪路以西区块</w:t>
      </w:r>
      <w:r>
        <w:rPr>
          <w:rFonts w:hint="eastAsia" w:asciiTheme="majorEastAsia" w:hAnsiTheme="majorEastAsia" w:eastAsiaTheme="majorEastAsia" w:cstheme="majorEastAsia"/>
          <w:b/>
          <w:color w:val="auto"/>
          <w:sz w:val="28"/>
          <w:szCs w:val="28"/>
          <w:highlight w:val="none"/>
          <w:lang w:val="en-US" w:eastAsia="zh-CN"/>
        </w:rPr>
        <w:t>（其他可能会移交的道路）</w:t>
      </w:r>
      <w:r>
        <w:rPr>
          <w:rFonts w:hint="eastAsia" w:asciiTheme="majorEastAsia" w:hAnsiTheme="majorEastAsia" w:eastAsiaTheme="majorEastAsia" w:cstheme="majorEastAsia"/>
          <w:b/>
          <w:color w:val="auto"/>
          <w:sz w:val="28"/>
          <w:szCs w:val="28"/>
          <w:highlight w:val="none"/>
          <w:lang w:eastAsia="zh-CN"/>
        </w:rPr>
        <w:t>保洁</w:t>
      </w:r>
      <w:r>
        <w:rPr>
          <w:rFonts w:hint="eastAsia" w:asciiTheme="majorEastAsia" w:hAnsiTheme="majorEastAsia" w:eastAsiaTheme="majorEastAsia" w:cstheme="majorEastAsia"/>
          <w:b/>
          <w:color w:val="auto"/>
          <w:sz w:val="28"/>
          <w:szCs w:val="28"/>
          <w:highlight w:val="none"/>
        </w:rPr>
        <w:t>明细表</w:t>
      </w:r>
    </w:p>
    <w:tbl>
      <w:tblPr>
        <w:tblStyle w:val="64"/>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（其他可能会移交的道路）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61031  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eastAsiaTheme="majorEastAsia"/>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注：本项目涉及到后续有可能会移交道路保洁面积约61031</w:t>
            </w: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r>
              <w:rPr>
                <w:rFonts w:hint="eastAsia" w:ascii="宋体" w:hAnsi="宋体" w:cs="宋体"/>
                <w:b/>
                <w:bCs/>
                <w:i w:val="0"/>
                <w:iCs w:val="0"/>
                <w:color w:val="000000"/>
                <w:kern w:val="0"/>
                <w:sz w:val="24"/>
                <w:szCs w:val="24"/>
                <w:highlight w:val="none"/>
                <w:u w:val="none"/>
                <w:vertAlign w:val="superscript"/>
                <w:lang w:val="en-US" w:eastAsia="zh-CN" w:bidi="ar"/>
              </w:rPr>
              <w:t xml:space="preserve"> </w:t>
            </w:r>
            <w:r>
              <w:rPr>
                <w:rFonts w:hint="eastAsia" w:asciiTheme="majorEastAsia" w:hAnsiTheme="majorEastAsia" w:eastAsiaTheme="majorEastAsia" w:cstheme="majorEastAsia"/>
                <w:color w:val="000000"/>
                <w:sz w:val="24"/>
                <w:highlight w:val="none"/>
                <w:lang w:val="en-US" w:eastAsia="zh-CN"/>
              </w:rPr>
              <w:t>，二年总预算价为：1823612元，投标报价时此部分报价不做竞争，未发生则不支付本项养护费，发生后费用结算根据实际移交的道路面积结合中标单价进行结算，若最终结算费用超过预算价则视作投标优惠，甲方不予支付。</w:t>
            </w:r>
          </w:p>
        </w:tc>
      </w:tr>
    </w:tbl>
    <w:p>
      <w:pPr>
        <w:pStyle w:val="2"/>
        <w:rPr>
          <w:rFonts w:hint="eastAsia"/>
          <w:highlight w:val="none"/>
          <w:lang w:val="en-US" w:eastAsia="zh-CN"/>
        </w:rPr>
      </w:pPr>
    </w:p>
    <w:p>
      <w:pPr>
        <w:snapToGrid w:val="0"/>
        <w:spacing w:line="360" w:lineRule="auto"/>
        <w:ind w:firstLine="471" w:firstLineChars="196"/>
        <w:rPr>
          <w:rFonts w:ascii="华文仿宋" w:hAnsi="华文仿宋" w:eastAsia="华文仿宋"/>
          <w:b/>
          <w:sz w:val="24"/>
          <w:highlight w:val="none"/>
        </w:rPr>
      </w:pPr>
      <w:r>
        <w:rPr>
          <w:rFonts w:hint="eastAsia" w:ascii="华文仿宋" w:hAnsi="华文仿宋" w:eastAsia="华文仿宋"/>
          <w:b/>
          <w:sz w:val="24"/>
          <w:highlight w:val="none"/>
        </w:rPr>
        <w:t>2.项目范围：</w:t>
      </w:r>
    </w:p>
    <w:p>
      <w:pPr>
        <w:pStyle w:val="90"/>
        <w:snapToGrid w:val="0"/>
        <w:spacing w:line="360" w:lineRule="auto"/>
        <w:ind w:firstLine="480" w:firstLineChars="200"/>
        <w:rPr>
          <w:rFonts w:hint="eastAsia" w:asciiTheme="minorEastAsia" w:hAnsiTheme="minorEastAsia" w:eastAsiaTheme="minorEastAsia" w:cstheme="minorEastAsia"/>
          <w:bCs/>
          <w:sz w:val="24"/>
          <w:szCs w:val="24"/>
          <w:highlight w:val="none"/>
          <w:shd w:val="clear" w:color="auto" w:fill="FFFFFF"/>
          <w:lang w:val="en-US" w:eastAsia="zh-CN"/>
        </w:rPr>
      </w:pPr>
      <w:r>
        <w:rPr>
          <w:rFonts w:hint="eastAsia" w:asciiTheme="minorEastAsia" w:hAnsiTheme="minorEastAsia" w:eastAsiaTheme="minorEastAsia" w:cstheme="minorEastAsia"/>
          <w:bCs/>
          <w:sz w:val="24"/>
          <w:szCs w:val="24"/>
          <w:highlight w:val="none"/>
          <w:shd w:val="clear" w:color="auto" w:fill="FFFFFF"/>
          <w:lang w:val="en-US" w:eastAsia="zh-CN"/>
        </w:rPr>
        <w:t>本项目服务范围为运溪路以西区块，包含：云联路、上仓路、仓兴街（永乐工业园区）、数云路、褚家塘路、长松街（东至数云路西至云联路）、途义路、祥余路（西至云联路东至仓兴街）、城东路、祥余线（东至云联路西至城东路）、长祥路、蒋家门路、长松街（东至云联路西至城东路）、永乐农居点仓乐雅苑周边道路及人行道、沙河路、水乡北路、文良路、万金路、第四小学南侧道路、第三初级中学道路、上仓路、林场线公墓停车场，该区块道保洁面积32.5654平方米，县道保洁0.39公里，公交候车亭保洁38座，标准公厕保洁 1座，绿化养护面积67304平方米，行道树4256平方米，时花养护876.35平方米。</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二、项目技术规范和服务要求</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《杭城管局[2019]49号文件所附《杭州市清洁度评价实施办法（2019年度）》、杭城管局[2021]138号《关于发布2021年版杭州市道路保洁经费定额的通知》等执行。</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根据《杭州市城区绿地养护质量标准》（杭园文[2003]42号）、《余杭区城市化管理范围内市政、绿化、保洁、保序分级分类及考核办法（试行）的通知》（余政办[2013]76号）及杭州市现行城市绿地养护质量标准等文件中规定的作业标准和要求执行。</w:t>
      </w:r>
    </w:p>
    <w:p>
      <w:pPr>
        <w:pStyle w:val="90"/>
        <w:snapToGrid w:val="0"/>
        <w:spacing w:line="360" w:lineRule="auto"/>
        <w:ind w:firstLine="480" w:firstLineChars="200"/>
        <w:rPr>
          <w:rFonts w:ascii="华文仿宋" w:hAnsi="华文仿宋" w:eastAsia="华文仿宋"/>
          <w:b/>
          <w:bCs/>
          <w:sz w:val="24"/>
          <w:szCs w:val="24"/>
          <w:highlight w:val="none"/>
        </w:rPr>
      </w:pPr>
      <w:r>
        <w:rPr>
          <w:rFonts w:hint="eastAsia" w:ascii="华文仿宋" w:hAnsi="华文仿宋" w:eastAsia="华文仿宋"/>
          <w:b/>
          <w:bCs/>
          <w:sz w:val="24"/>
          <w:szCs w:val="24"/>
          <w:highlight w:val="none"/>
          <w:lang w:val="en-US" w:eastAsia="zh-CN"/>
        </w:rPr>
        <w:t>3</w:t>
      </w:r>
      <w:r>
        <w:rPr>
          <w:rFonts w:hint="eastAsia" w:ascii="华文仿宋" w:hAnsi="华文仿宋" w:eastAsia="华文仿宋"/>
          <w:b/>
          <w:bCs/>
          <w:sz w:val="24"/>
          <w:szCs w:val="24"/>
          <w:highlight w:val="none"/>
        </w:rPr>
        <w:t>.</w:t>
      </w:r>
      <w:r>
        <w:rPr>
          <w:rFonts w:hint="eastAsia" w:ascii="华文仿宋" w:hAnsi="华文仿宋" w:eastAsia="华文仿宋"/>
          <w:b/>
          <w:bCs/>
          <w:sz w:val="24"/>
          <w:szCs w:val="24"/>
          <w:highlight w:val="none"/>
          <w:lang w:val="en-US" w:eastAsia="zh-CN"/>
        </w:rPr>
        <w:t>道路保洁</w:t>
      </w:r>
      <w:r>
        <w:rPr>
          <w:rFonts w:hint="eastAsia" w:ascii="华文仿宋" w:hAnsi="华文仿宋" w:eastAsia="华文仿宋"/>
          <w:b/>
          <w:bCs/>
          <w:sz w:val="24"/>
          <w:szCs w:val="24"/>
          <w:highlight w:val="none"/>
        </w:rPr>
        <w:t>作业内容：</w:t>
      </w: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3.1、道路保洁相关要求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1.1本项目</w:t>
      </w:r>
      <w:r>
        <w:rPr>
          <w:rFonts w:hint="eastAsia" w:asciiTheme="majorEastAsia" w:hAnsiTheme="majorEastAsia" w:eastAsiaTheme="majorEastAsia" w:cstheme="majorEastAsia"/>
          <w:color w:val="000000"/>
          <w:sz w:val="24"/>
          <w:highlight w:val="none"/>
          <w:lang w:val="zh-CN"/>
        </w:rPr>
        <w:t>人员要求</w:t>
      </w:r>
      <w:r>
        <w:rPr>
          <w:rFonts w:hint="eastAsia" w:asciiTheme="majorEastAsia" w:hAnsiTheme="majorEastAsia" w:eastAsiaTheme="majorEastAsia" w:cstheme="majorEastAsia"/>
          <w:color w:val="000000"/>
          <w:sz w:val="24"/>
          <w:highlight w:val="none"/>
        </w:rPr>
        <w:t>须符合</w:t>
      </w:r>
      <w:r>
        <w:rPr>
          <w:rFonts w:hint="eastAsia" w:asciiTheme="majorEastAsia" w:hAnsiTheme="majorEastAsia" w:eastAsiaTheme="majorEastAsia" w:cstheme="majorEastAsia"/>
          <w:bCs/>
          <w:color w:val="000000"/>
          <w:sz w:val="24"/>
          <w:highlight w:val="none"/>
        </w:rPr>
        <w:t>专职人员基本岗位数量要求</w:t>
      </w:r>
      <w:r>
        <w:rPr>
          <w:rFonts w:hint="eastAsia" w:asciiTheme="majorEastAsia" w:hAnsiTheme="majorEastAsia" w:eastAsiaTheme="majorEastAsia" w:cstheme="majorEastAsia"/>
          <w:color w:val="000000"/>
          <w:sz w:val="24"/>
          <w:highlight w:val="none"/>
          <w:lang w:val="zh-CN"/>
        </w:rPr>
        <w:t>。</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.1.2除项目负责人和专职保洁人员以外，供应商应根据项目保洁的实际需要配备管理人员、机械车辆驾驶人员、机修人员等，所需费用应考虑在投标总价中。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.1.3保洁人员在岗要求男性年龄在60周岁以下</w:t>
      </w:r>
      <w:r>
        <w:rPr>
          <w:rFonts w:hint="eastAsia" w:asciiTheme="majorEastAsia" w:hAnsiTheme="majorEastAsia" w:eastAsiaTheme="majorEastAsia" w:cstheme="majorEastAsia"/>
          <w:color w:val="000000"/>
          <w:sz w:val="24"/>
          <w:highlight w:val="none"/>
          <w:lang w:val="zh-CN"/>
        </w:rPr>
        <w:t>，女性年龄在55周岁以下，并按采购人要求完成智慧化管理措施、设施配备。大型活动、节假日、重大会议、接访等保障、新作业方式调整或未达到管理标准等情况下</w:t>
      </w:r>
      <w:r>
        <w:rPr>
          <w:rFonts w:hint="eastAsia" w:asciiTheme="majorEastAsia" w:hAnsiTheme="majorEastAsia" w:eastAsiaTheme="majorEastAsia" w:cstheme="majorEastAsia"/>
          <w:color w:val="000000"/>
          <w:sz w:val="24"/>
          <w:highlight w:val="none"/>
        </w:rPr>
        <w:t>应根据实际情况或采购人要求增派保洁人员、保洁设备，以确保清卫保洁质量，</w:t>
      </w:r>
      <w:r>
        <w:rPr>
          <w:rFonts w:hint="eastAsia" w:asciiTheme="majorEastAsia" w:hAnsiTheme="majorEastAsia" w:eastAsiaTheme="majorEastAsia" w:cstheme="majorEastAsia"/>
          <w:color w:val="000000"/>
          <w:sz w:val="24"/>
          <w:highlight w:val="none"/>
          <w:lang w:val="zh-CN"/>
        </w:rPr>
        <w:t>增</w:t>
      </w:r>
      <w:r>
        <w:rPr>
          <w:rFonts w:hint="eastAsia" w:asciiTheme="majorEastAsia" w:hAnsiTheme="majorEastAsia" w:eastAsiaTheme="majorEastAsia" w:cstheme="majorEastAsia"/>
          <w:color w:val="000000"/>
          <w:sz w:val="24"/>
          <w:highlight w:val="none"/>
        </w:rPr>
        <w:t>派人员和设备的费用应考虑在投标总报价中。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.1.6 作业车辆、作业时间应符合属地交警部门要求，并按要求进行报备后实施。</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.1.7 供应商提供的设施设备，根据采购人要求统一外观，标识。</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.2保洁服务内容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2.2</w:t>
      </w:r>
      <w:r>
        <w:rPr>
          <w:rFonts w:hint="eastAsia" w:asciiTheme="majorEastAsia" w:hAnsiTheme="majorEastAsia" w:eastAsiaTheme="majorEastAsia" w:cstheme="majorEastAsia"/>
          <w:bCs/>
          <w:color w:val="000000"/>
          <w:sz w:val="24"/>
          <w:highlight w:val="none"/>
        </w:rPr>
        <w:t>本项目</w:t>
      </w:r>
      <w:r>
        <w:rPr>
          <w:rFonts w:hint="eastAsia" w:asciiTheme="majorEastAsia" w:hAnsiTheme="majorEastAsia" w:eastAsiaTheme="majorEastAsia" w:cstheme="majorEastAsia"/>
          <w:color w:val="000000"/>
          <w:sz w:val="24"/>
          <w:highlight w:val="none"/>
        </w:rPr>
        <w:t>道路中间绿化带含在道路保洁范围内，及道路两侧人行道外建筑物基石边或无建筑物外可视范围内</w:t>
      </w:r>
      <w:r>
        <w:rPr>
          <w:rFonts w:hint="eastAsia" w:asciiTheme="majorEastAsia" w:hAnsiTheme="majorEastAsia" w:eastAsiaTheme="majorEastAsia" w:cstheme="majorEastAsia"/>
          <w:bCs/>
          <w:color w:val="000000"/>
          <w:sz w:val="24"/>
          <w:highlight w:val="none"/>
        </w:rPr>
        <w:t>（不少于3米</w:t>
      </w:r>
      <w:r>
        <w:rPr>
          <w:rFonts w:hint="eastAsia" w:asciiTheme="majorEastAsia" w:hAnsiTheme="majorEastAsia" w:eastAsiaTheme="majorEastAsia" w:cstheme="majorEastAsia"/>
          <w:color w:val="000000"/>
          <w:sz w:val="24"/>
          <w:highlight w:val="none"/>
        </w:rPr>
        <w:t>）均包含在保洁范围内。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w:t>
      </w:r>
      <w:r>
        <w:rPr>
          <w:rFonts w:hint="eastAsia" w:asciiTheme="majorEastAsia" w:hAnsiTheme="majorEastAsia" w:eastAsiaTheme="majorEastAsia" w:cstheme="majorEastAsia"/>
          <w:bCs/>
          <w:color w:val="000000"/>
          <w:sz w:val="24"/>
          <w:highlight w:val="none"/>
        </w:rPr>
        <w:t>.3本项目涵盖地铁站（如有）出入口台阶以下周边范围的保洁含在道路保洁范围内。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w:t>
      </w:r>
      <w:r>
        <w:rPr>
          <w:rFonts w:hint="eastAsia" w:asciiTheme="majorEastAsia" w:hAnsiTheme="majorEastAsia" w:eastAsiaTheme="majorEastAsia" w:cstheme="majorEastAsia"/>
          <w:bCs/>
          <w:color w:val="000000"/>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.2.5</w:t>
      </w:r>
      <w:r>
        <w:rPr>
          <w:rFonts w:hint="eastAsia" w:asciiTheme="majorEastAsia" w:hAnsiTheme="majorEastAsia" w:eastAsiaTheme="majorEastAsia" w:cstheme="majorEastAsia"/>
          <w:sz w:val="24"/>
          <w:highlight w:val="none"/>
        </w:rPr>
        <w:t>牛皮癣清理：范围内道路、围墙、道路沿线设施（含一层建筑立面）等区域的“乱涂”、“乱张贴”等牛皮癣日常清理</w:t>
      </w:r>
      <w:r>
        <w:rPr>
          <w:rFonts w:hint="eastAsia" w:asciiTheme="majorEastAsia" w:hAnsiTheme="majorEastAsia" w:eastAsiaTheme="majorEastAsia" w:cstheme="majorEastAsia"/>
          <w:bCs/>
          <w:color w:val="000000"/>
          <w:sz w:val="24"/>
          <w:highlight w:val="none"/>
        </w:rPr>
        <w:t>均属于本项目保洁范围</w:t>
      </w:r>
      <w:r>
        <w:rPr>
          <w:rFonts w:hint="eastAsia" w:asciiTheme="majorEastAsia" w:hAnsiTheme="majorEastAsia" w:eastAsiaTheme="majorEastAsia" w:cstheme="majorEastAsia"/>
          <w:sz w:val="24"/>
          <w:highlight w:val="none"/>
        </w:rPr>
        <w:t>。</w:t>
      </w:r>
    </w:p>
    <w:p>
      <w:pPr>
        <w:pStyle w:val="2"/>
        <w:ind w:left="0" w:leftChars="0" w:firstLine="480" w:firstLineChars="200"/>
        <w:rPr>
          <w:rFonts w:hint="eastAsia"/>
          <w:highlight w:val="none"/>
        </w:rPr>
      </w:pPr>
      <w:r>
        <w:rPr>
          <w:rFonts w:hint="eastAsia" w:ascii="宋体" w:hAnsi="宋体" w:cs="宋体"/>
          <w:bCs/>
          <w:sz w:val="24"/>
          <w:highlight w:val="none"/>
          <w:lang w:val="en-US" w:eastAsia="zh-CN"/>
        </w:rPr>
        <w:t>2.2.6</w:t>
      </w:r>
      <w:r>
        <w:rPr>
          <w:rFonts w:hint="eastAsia" w:asciiTheme="majorEastAsia" w:hAnsiTheme="majorEastAsia" w:eastAsiaTheme="majorEastAsia" w:cstheme="majorEastAsia"/>
          <w:kern w:val="2"/>
          <w:sz w:val="24"/>
          <w:szCs w:val="24"/>
          <w:highlight w:val="none"/>
          <w:lang w:val="en-US" w:eastAsia="zh-CN" w:bidi="ar-SA"/>
        </w:rPr>
        <w:t>县级道路（主次要道路）保洁。</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.3保洁基本要求</w:t>
      </w:r>
      <w:r>
        <w:rPr>
          <w:rFonts w:hint="eastAsia" w:ascii="宋体" w:hAnsi="宋体" w:eastAsia="宋体" w:cs="宋体"/>
          <w:b/>
          <w:bCs/>
          <w:color w:val="auto"/>
          <w:sz w:val="24"/>
          <w:highlight w:val="none"/>
          <w:lang w:val="en-US" w:eastAsia="zh-CN"/>
        </w:rPr>
        <w:t>标准</w:t>
      </w:r>
    </w:p>
    <w:p>
      <w:pPr>
        <w:pStyle w:val="3"/>
        <w:spacing w:line="360" w:lineRule="auto"/>
        <w:rPr>
          <w:rFonts w:hint="eastAsia" w:asciiTheme="majorEastAsia" w:hAnsiTheme="majorEastAsia" w:eastAsiaTheme="majorEastAsia" w:cstheme="majorEastAsia"/>
          <w:color w:val="000000"/>
          <w:highlight w:val="none"/>
        </w:rPr>
      </w:pPr>
      <w:r>
        <w:rPr>
          <w:rFonts w:hint="eastAsia" w:asciiTheme="majorEastAsia" w:hAnsiTheme="majorEastAsia" w:eastAsiaTheme="majorEastAsia" w:cstheme="majorEastAsia"/>
          <w:b/>
          <w:bCs/>
          <w:color w:val="000000"/>
          <w:highlight w:val="none"/>
          <w:lang w:val="en-US" w:eastAsia="zh-CN"/>
        </w:rPr>
        <w:t>3</w:t>
      </w:r>
      <w:r>
        <w:rPr>
          <w:rFonts w:hint="eastAsia" w:asciiTheme="majorEastAsia" w:hAnsiTheme="majorEastAsia" w:eastAsiaTheme="majorEastAsia" w:cstheme="majorEastAsia"/>
          <w:b/>
          <w:bCs/>
          <w:color w:val="000000"/>
          <w:highlight w:val="none"/>
        </w:rPr>
        <w:t>.3.1</w:t>
      </w:r>
      <w:r>
        <w:rPr>
          <w:rFonts w:hint="eastAsia" w:asciiTheme="majorEastAsia" w:hAnsiTheme="majorEastAsia" w:eastAsiaTheme="majorEastAsia" w:cstheme="majorEastAsia"/>
          <w:b/>
          <w:bCs/>
          <w:color w:val="000000"/>
          <w:highlight w:val="none"/>
          <w:lang w:eastAsia="zh-CN"/>
        </w:rPr>
        <w:t>二</w:t>
      </w:r>
      <w:r>
        <w:rPr>
          <w:rFonts w:hint="eastAsia" w:asciiTheme="majorEastAsia" w:hAnsiTheme="majorEastAsia" w:eastAsiaTheme="majorEastAsia" w:cstheme="majorEastAsia"/>
          <w:b/>
          <w:bCs/>
          <w:color w:val="000000"/>
          <w:highlight w:val="none"/>
        </w:rPr>
        <w:t>级道路</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3.3.1.1保洁时长: 18小时(4:30-22: 30)。</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3.3.1.2快车道保洁:洒水6次1日;高压冲洗2次/日;洗扫吸三合一作业2次/日，普通机扫1次/日，要求单向两边侧石、隔高栏底下全部覆盖。</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3.3.1.3慢车道和人行道保洁:日常普扫吹风机搭配小型慢车道清扫车作业2次/日:洗、扫、吸一体清洗作业2天1次。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3.3.1.4空气抑尘:配置空气抑尘设备，每天1次洒水、抑尘。</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3.3.1.5城市家具:全覆盖擦洗2天1次。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3.3.1.6小广告清除:配备高压冲洗设备，每天清除小广告。</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3.3.1.7道路栏杆:配备栏杆清洗车，每周清洗一次。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3.3.1.8绿化带检拾:配置小型设备，人工配合，每天1次。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.3.1.</w:t>
      </w:r>
      <w:r>
        <w:rPr>
          <w:rFonts w:hint="eastAsia" w:asciiTheme="majorEastAsia" w:hAnsiTheme="majorEastAsia" w:eastAsiaTheme="majorEastAsia" w:cstheme="majorEastAsia"/>
          <w:color w:val="000000"/>
          <w:sz w:val="24"/>
          <w:highlight w:val="none"/>
          <w:lang w:val="en-US" w:eastAsia="zh-CN"/>
        </w:rPr>
        <w:t>9</w:t>
      </w:r>
      <w:r>
        <w:rPr>
          <w:rFonts w:hint="eastAsia" w:asciiTheme="majorEastAsia" w:hAnsiTheme="majorEastAsia" w:eastAsiaTheme="majorEastAsia" w:cstheme="majorEastAsia"/>
          <w:color w:val="000000"/>
          <w:sz w:val="24"/>
          <w:highlight w:val="none"/>
        </w:rPr>
        <w:t>应做到文明、清洁、安全和有序，最大限度地减少对环境的污染和对公众生活的影响。</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rPr>
        <w:t>3.1.</w:t>
      </w:r>
      <w:r>
        <w:rPr>
          <w:rFonts w:hint="eastAsia" w:asciiTheme="majorEastAsia" w:hAnsiTheme="majorEastAsia" w:eastAsiaTheme="majorEastAsia" w:cstheme="majorEastAsia"/>
          <w:color w:val="000000"/>
          <w:sz w:val="24"/>
          <w:highlight w:val="none"/>
          <w:lang w:val="en-US" w:eastAsia="zh-CN"/>
        </w:rPr>
        <w:t>10</w:t>
      </w:r>
      <w:r>
        <w:rPr>
          <w:rFonts w:hint="eastAsia" w:asciiTheme="majorEastAsia" w:hAnsiTheme="majorEastAsia" w:eastAsiaTheme="majorEastAsia" w:cstheme="majorEastAsia"/>
          <w:color w:val="000000"/>
          <w:sz w:val="24"/>
          <w:highlight w:val="none"/>
        </w:rPr>
        <w:t>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1</w:t>
      </w:r>
      <w:r>
        <w:rPr>
          <w:rFonts w:hint="eastAsia" w:asciiTheme="majorEastAsia" w:hAnsiTheme="majorEastAsia" w:eastAsiaTheme="majorEastAsia" w:cstheme="majorEastAsia"/>
          <w:bCs/>
          <w:color w:val="000000"/>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2</w:t>
      </w:r>
      <w:r>
        <w:rPr>
          <w:rFonts w:hint="eastAsia" w:asciiTheme="majorEastAsia" w:hAnsiTheme="majorEastAsia" w:eastAsiaTheme="majorEastAsia" w:cstheme="majorEastAsia"/>
          <w:bCs/>
          <w:color w:val="000000"/>
          <w:sz w:val="24"/>
          <w:highlight w:val="none"/>
        </w:rPr>
        <w:t>日常</w:t>
      </w:r>
      <w:r>
        <w:rPr>
          <w:rFonts w:hint="eastAsia" w:asciiTheme="majorEastAsia" w:hAnsiTheme="majorEastAsia" w:eastAsiaTheme="majorEastAsia" w:cstheme="majorEastAsia"/>
          <w:color w:val="000000"/>
          <w:sz w:val="24"/>
          <w:highlight w:val="none"/>
        </w:rPr>
        <w:t>保洁时间内</w:t>
      </w:r>
      <w:r>
        <w:rPr>
          <w:rFonts w:hint="eastAsia" w:asciiTheme="majorEastAsia" w:hAnsiTheme="majorEastAsia" w:eastAsiaTheme="majorEastAsia" w:cstheme="majorEastAsia"/>
          <w:bCs/>
          <w:color w:val="000000"/>
          <w:sz w:val="24"/>
          <w:highlight w:val="none"/>
        </w:rPr>
        <w:t>保洁单位需确保</w:t>
      </w:r>
      <w:r>
        <w:rPr>
          <w:rFonts w:hint="eastAsia" w:asciiTheme="majorEastAsia" w:hAnsiTheme="majorEastAsia" w:eastAsiaTheme="majorEastAsia" w:cstheme="majorEastAsia"/>
          <w:color w:val="000000"/>
          <w:sz w:val="24"/>
          <w:highlight w:val="none"/>
        </w:rPr>
        <w:t>保洁范围干净，如有无主垃圾或其它垃圾，应加强监管，及时劝导并清理干净。</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13</w:t>
      </w:r>
      <w:r>
        <w:rPr>
          <w:rFonts w:hint="eastAsia" w:asciiTheme="majorEastAsia" w:hAnsiTheme="majorEastAsia" w:eastAsiaTheme="majorEastAsia" w:cstheme="majorEastAsia"/>
          <w:bCs/>
          <w:color w:val="000000"/>
          <w:sz w:val="24"/>
          <w:highlight w:val="none"/>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4</w:t>
      </w:r>
      <w:r>
        <w:rPr>
          <w:rFonts w:hint="eastAsia" w:asciiTheme="majorEastAsia" w:hAnsiTheme="majorEastAsia" w:eastAsiaTheme="majorEastAsia" w:cstheme="majorEastAsia"/>
          <w:bCs/>
          <w:color w:val="000000"/>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5</w:t>
      </w:r>
      <w:r>
        <w:rPr>
          <w:rFonts w:hint="eastAsia" w:asciiTheme="majorEastAsia" w:hAnsiTheme="majorEastAsia" w:eastAsiaTheme="majorEastAsia" w:cstheme="majorEastAsia"/>
          <w:bCs/>
          <w:color w:val="000000"/>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16</w:t>
      </w:r>
      <w:r>
        <w:rPr>
          <w:rFonts w:hint="eastAsia" w:asciiTheme="majorEastAsia" w:hAnsiTheme="majorEastAsia" w:eastAsiaTheme="majorEastAsia" w:cstheme="majorEastAsia"/>
          <w:bCs/>
          <w:color w:val="000000"/>
          <w:sz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17</w:t>
      </w:r>
      <w:r>
        <w:rPr>
          <w:rFonts w:hint="eastAsia" w:asciiTheme="majorEastAsia" w:hAnsiTheme="majorEastAsia" w:eastAsiaTheme="majorEastAsia" w:cstheme="majorEastAsia"/>
          <w:bCs/>
          <w:color w:val="000000"/>
          <w:sz w:val="24"/>
          <w:highlight w:val="none"/>
        </w:rPr>
        <w:t>承诺能及时提供人力、设备、技术等支持。</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 xml:space="preserve">.4保洁作业规范 </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.4.1道路普扫次数和时间</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.4.1.1</w:t>
      </w:r>
      <w:r>
        <w:rPr>
          <w:rFonts w:hint="eastAsia" w:asciiTheme="majorEastAsia" w:hAnsiTheme="majorEastAsia" w:eastAsiaTheme="majorEastAsia" w:cstheme="majorEastAsia"/>
          <w:color w:val="000000"/>
          <w:sz w:val="24"/>
          <w:highlight w:val="none"/>
          <w:lang w:eastAsia="zh-CN"/>
        </w:rPr>
        <w:t>二</w:t>
      </w:r>
      <w:r>
        <w:rPr>
          <w:rFonts w:hint="eastAsia" w:asciiTheme="majorEastAsia" w:hAnsiTheme="majorEastAsia" w:eastAsiaTheme="majorEastAsia" w:cstheme="majorEastAsia"/>
          <w:color w:val="000000"/>
          <w:sz w:val="24"/>
          <w:highlight w:val="none"/>
        </w:rPr>
        <w:t>级道路普扫作业每日不少于</w:t>
      </w:r>
      <w:r>
        <w:rPr>
          <w:rFonts w:hint="eastAsia" w:asciiTheme="majorEastAsia" w:hAnsiTheme="majorEastAsia" w:eastAsiaTheme="majorEastAsia" w:cstheme="majorEastAsia"/>
          <w:color w:val="000000"/>
          <w:sz w:val="24"/>
          <w:highlight w:val="none"/>
          <w:lang w:val="en-US" w:eastAsia="zh-CN"/>
        </w:rPr>
        <w:t>1</w:t>
      </w:r>
      <w:r>
        <w:rPr>
          <w:rFonts w:hint="eastAsia" w:asciiTheme="majorEastAsia" w:hAnsiTheme="majorEastAsia" w:eastAsiaTheme="majorEastAsia" w:cstheme="majorEastAsia"/>
          <w:color w:val="000000"/>
          <w:sz w:val="24"/>
          <w:highlight w:val="none"/>
        </w:rPr>
        <w:t>次。夏季（6月—8月）第一次普扫应在6：30前完成，春、秋、冬季（9月—次年5月）在7：00前完成；</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4.1.2应根据重大活动保障、落叶旺季等因素适时增加每日普扫频次。 </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4.2洒水（清洗）</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.4.2.1</w:t>
      </w:r>
      <w:r>
        <w:rPr>
          <w:rFonts w:hint="eastAsia" w:asciiTheme="majorEastAsia" w:hAnsiTheme="majorEastAsia" w:eastAsiaTheme="majorEastAsia" w:cstheme="majorEastAsia"/>
          <w:color w:val="000000"/>
          <w:sz w:val="24"/>
          <w:highlight w:val="none"/>
          <w:lang w:eastAsia="zh-CN"/>
        </w:rPr>
        <w:t>二</w:t>
      </w:r>
      <w:r>
        <w:rPr>
          <w:rFonts w:hint="eastAsia" w:asciiTheme="majorEastAsia" w:hAnsiTheme="majorEastAsia" w:eastAsiaTheme="majorEastAsia" w:cstheme="majorEastAsia"/>
          <w:color w:val="000000"/>
          <w:sz w:val="24"/>
          <w:highlight w:val="none"/>
        </w:rPr>
        <w:t>级道路作业每日不少于6次，</w:t>
      </w:r>
      <w:r>
        <w:rPr>
          <w:rFonts w:hint="eastAsia" w:asciiTheme="majorEastAsia" w:hAnsiTheme="majorEastAsia" w:eastAsiaTheme="majorEastAsia" w:cstheme="majorEastAsia"/>
          <w:bCs/>
          <w:color w:val="000000"/>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.4.2.2</w:t>
      </w:r>
      <w:r>
        <w:rPr>
          <w:rFonts w:hint="eastAsia" w:asciiTheme="majorEastAsia" w:hAnsiTheme="majorEastAsia" w:eastAsiaTheme="majorEastAsia" w:cstheme="majorEastAsia"/>
          <w:bCs/>
          <w:color w:val="000000"/>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.4.2.3</w:t>
      </w:r>
      <w:r>
        <w:rPr>
          <w:rFonts w:hint="eastAsia" w:asciiTheme="majorEastAsia" w:hAnsiTheme="majorEastAsia" w:eastAsiaTheme="majorEastAsia" w:cstheme="majorEastAsia"/>
          <w:bCs/>
          <w:color w:val="000000"/>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.4.2.4</w:t>
      </w:r>
      <w:r>
        <w:rPr>
          <w:rFonts w:hint="eastAsia" w:asciiTheme="majorEastAsia" w:hAnsiTheme="majorEastAsia" w:eastAsiaTheme="majorEastAsia" w:cstheme="majorEastAsia"/>
          <w:bCs/>
          <w:color w:val="000000"/>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.4.2.5春秋季（3月—5月、9月—11月），每日道路洒水频次作为基准遍次，即</w:t>
      </w:r>
      <w:r>
        <w:rPr>
          <w:rFonts w:hint="eastAsia" w:asciiTheme="majorEastAsia" w:hAnsiTheme="majorEastAsia" w:eastAsiaTheme="majorEastAsia" w:cstheme="majorEastAsia"/>
          <w:bCs/>
          <w:color w:val="000000"/>
          <w:sz w:val="24"/>
          <w:highlight w:val="none"/>
          <w:lang w:eastAsia="zh-CN"/>
        </w:rPr>
        <w:t>二</w:t>
      </w:r>
      <w:r>
        <w:rPr>
          <w:rFonts w:hint="eastAsia" w:asciiTheme="majorEastAsia" w:hAnsiTheme="majorEastAsia" w:eastAsiaTheme="majorEastAsia" w:cstheme="majorEastAsia"/>
          <w:bCs/>
          <w:color w:val="000000"/>
          <w:sz w:val="24"/>
          <w:highlight w:val="none"/>
        </w:rPr>
        <w:t>级道路每日</w:t>
      </w:r>
      <w:r>
        <w:rPr>
          <w:rFonts w:hint="eastAsia" w:asciiTheme="majorEastAsia" w:hAnsiTheme="majorEastAsia" w:eastAsiaTheme="majorEastAsia" w:cstheme="majorEastAsia"/>
          <w:bCs/>
          <w:color w:val="000000"/>
          <w:sz w:val="24"/>
          <w:highlight w:val="none"/>
          <w:lang w:val="en-US" w:eastAsia="zh-CN"/>
        </w:rPr>
        <w:t>6</w:t>
      </w:r>
      <w:r>
        <w:rPr>
          <w:rFonts w:hint="eastAsia" w:asciiTheme="majorEastAsia" w:hAnsiTheme="majorEastAsia" w:eastAsiaTheme="majorEastAsia" w:cstheme="majorEastAsia"/>
          <w:bCs/>
          <w:color w:val="000000"/>
          <w:sz w:val="24"/>
          <w:highlight w:val="none"/>
        </w:rPr>
        <w:t>次；夏季（6月—8月），在基准频次上每日分别增加1次；冬季（12月—2月），在基准频次上每日分别减少1次。</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.4.2.6</w:t>
      </w:r>
      <w:r>
        <w:rPr>
          <w:rFonts w:hint="eastAsia" w:asciiTheme="majorEastAsia" w:hAnsiTheme="majorEastAsia" w:eastAsiaTheme="majorEastAsia" w:cstheme="majorEastAsia"/>
          <w:bCs/>
          <w:color w:val="000000"/>
          <w:sz w:val="24"/>
          <w:highlight w:val="none"/>
        </w:rPr>
        <w:t>气温低于2摄氏度时应停止清洗和洒水。</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.4.2.7</w:t>
      </w:r>
      <w:r>
        <w:rPr>
          <w:rFonts w:hint="eastAsia" w:asciiTheme="majorEastAsia" w:hAnsiTheme="majorEastAsia" w:eastAsiaTheme="majorEastAsia" w:cstheme="majorEastAsia"/>
          <w:bCs/>
          <w:color w:val="000000"/>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.4.3机械化清扫</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.4.3.1</w:t>
      </w:r>
      <w:r>
        <w:rPr>
          <w:rFonts w:hint="eastAsia" w:asciiTheme="majorEastAsia" w:hAnsiTheme="majorEastAsia" w:eastAsiaTheme="majorEastAsia" w:cstheme="majorEastAsia"/>
          <w:bCs/>
          <w:color w:val="000000"/>
          <w:sz w:val="24"/>
          <w:highlight w:val="none"/>
        </w:rPr>
        <w:t>机械化清扫范围主要为机动车道，及便于使用机械化装备清洁机动车道的交通隔离栏。</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.4.3.2</w:t>
      </w:r>
      <w:r>
        <w:rPr>
          <w:rFonts w:hint="eastAsia" w:asciiTheme="majorEastAsia" w:hAnsiTheme="majorEastAsia" w:eastAsiaTheme="majorEastAsia" w:cstheme="majorEastAsia"/>
          <w:bCs/>
          <w:color w:val="000000"/>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.4.3.3</w:t>
      </w:r>
      <w:r>
        <w:rPr>
          <w:rFonts w:hint="eastAsia" w:asciiTheme="majorEastAsia" w:hAnsiTheme="majorEastAsia" w:eastAsiaTheme="majorEastAsia" w:cstheme="majorEastAsia"/>
          <w:bCs/>
          <w:color w:val="000000"/>
          <w:sz w:val="24"/>
          <w:highlight w:val="none"/>
        </w:rPr>
        <w:t>机械化清扫作业时，扫路车或洗扫车车速不得超过10km/h。</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.4.3.4</w:t>
      </w:r>
      <w:r>
        <w:rPr>
          <w:rFonts w:hint="eastAsia" w:asciiTheme="majorEastAsia" w:hAnsiTheme="majorEastAsia" w:eastAsiaTheme="majorEastAsia" w:cstheme="majorEastAsia"/>
          <w:bCs/>
          <w:color w:val="000000"/>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.4.3.5</w:t>
      </w:r>
      <w:r>
        <w:rPr>
          <w:rFonts w:hint="eastAsia" w:asciiTheme="majorEastAsia" w:hAnsiTheme="majorEastAsia" w:eastAsiaTheme="majorEastAsia" w:cstheme="majorEastAsia"/>
          <w:bCs/>
          <w:color w:val="000000"/>
          <w:sz w:val="24"/>
          <w:highlight w:val="none"/>
        </w:rPr>
        <w:t>当日清扫结束后，应在指定地点卸空机械化清扫车辆中的垃圾。</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.4.3.6</w:t>
      </w:r>
      <w:r>
        <w:rPr>
          <w:rFonts w:hint="eastAsia" w:asciiTheme="majorEastAsia" w:hAnsiTheme="majorEastAsia" w:eastAsiaTheme="majorEastAsia" w:cstheme="majorEastAsia"/>
          <w:bCs/>
          <w:color w:val="000000"/>
          <w:sz w:val="24"/>
          <w:highlight w:val="none"/>
        </w:rPr>
        <w:t>机械化清扫车辆所用的扫把丝等消耗品应根据使用状况及时更换。</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.4.4人工普扫</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.4.4.1清扫时，在距清扫点适当位置安全警示标识。</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.4.4.3清扫的街面垃圾、沿街果壳箱中的垃圾应密闭化运至指定地点，运输过程不得抛洒滴漏。</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.4.5人工保洁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.4.5.1普扫结束后，应按照规定的责任保洁区域、保洁时间组织巡回保洁。落实责任保洁区域边界管理，保洁时应向保洁边界以外适当延伸（不少于3米），不留保洁盲区和空白点。</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.4.5.2应定时清运沿街果壳箱中的垃圾，做到垃圾不落地、不积存，日产日清。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.4.5.3突发性环境卫生污染现场清理时，应严格按照应急处置方案进行保洁，及时消除污染物，恢复路面清洁。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.4.5.4环卫电动专用作业车辆应在非机动车道顺向行驶，不得超载，且行驶速度不得超过20Km/h。</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.4.5.5保洁作业结束后，作业工具应在规定地点摆放，不得在道路路面、墙角、绿化带、绿地中存放。</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.5保洁作业质量要求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.5.2三化四分相关要求：</w:t>
      </w:r>
      <w:r>
        <w:rPr>
          <w:rFonts w:hint="eastAsia" w:asciiTheme="majorEastAsia" w:hAnsiTheme="majorEastAsia" w:eastAsiaTheme="majorEastAsia" w:cstheme="majorEastAsia"/>
          <w:color w:val="000000"/>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.5.3其他要求：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（1）遇有窨井盖丢失、破损等，承包方必须及时上报采购人。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（2）遇有重大活动或突发事件，及时组织力量做好清扫保洁保障工作。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.6.管理要求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.6.7如遇渣土抛洒污染路面等情况，中标单位应及时上报采购人，并做好照片资料，同时进行道路冲洗清理。   </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.6.8无新闻媒体曝光，对“12345”市长公开电话和有关受理中心及信访处相关问题，处理、回复及时到位。</w:t>
      </w:r>
      <w:r>
        <w:rPr>
          <w:rFonts w:hint="eastAsia" w:asciiTheme="majorEastAsia" w:hAnsiTheme="majorEastAsia" w:eastAsiaTheme="majorEastAsia" w:cstheme="majorEastAsia"/>
          <w:color w:val="000000"/>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hint="eastAsia" w:asciiTheme="majorEastAsia" w:hAnsiTheme="majorEastAsia" w:eastAsiaTheme="majorEastAsia" w:cstheme="majorEastAsia"/>
          <w:b/>
          <w:bCs/>
          <w:color w:val="000000"/>
          <w:kern w:val="44"/>
          <w:sz w:val="24"/>
          <w:highlight w:val="none"/>
        </w:rPr>
      </w:pPr>
      <w:r>
        <w:rPr>
          <w:rFonts w:hint="eastAsia" w:asciiTheme="majorEastAsia" w:hAnsiTheme="majorEastAsia" w:eastAsiaTheme="majorEastAsia" w:cstheme="majorEastAsia"/>
          <w:b/>
          <w:bCs/>
          <w:color w:val="000000"/>
          <w:kern w:val="44"/>
          <w:sz w:val="24"/>
          <w:highlight w:val="none"/>
          <w:lang w:val="en-US" w:eastAsia="zh-CN"/>
        </w:rPr>
        <w:t>3.7.</w:t>
      </w:r>
      <w:r>
        <w:rPr>
          <w:rFonts w:hint="eastAsia" w:asciiTheme="majorEastAsia" w:hAnsiTheme="majorEastAsia" w:eastAsiaTheme="majorEastAsia" w:cstheme="majorEastAsia"/>
          <w:b/>
          <w:bCs/>
          <w:color w:val="000000"/>
          <w:kern w:val="44"/>
          <w:sz w:val="24"/>
          <w:highlight w:val="none"/>
        </w:rPr>
        <w:t>偷倒垃圾清运要求</w:t>
      </w:r>
    </w:p>
    <w:p>
      <w:pPr>
        <w:tabs>
          <w:tab w:val="left" w:pos="851"/>
          <w:tab w:val="left" w:pos="993"/>
        </w:tabs>
        <w:snapToGrid w:val="0"/>
        <w:spacing w:line="360" w:lineRule="auto"/>
        <w:ind w:firstLine="480" w:firstLineChars="200"/>
        <w:rPr>
          <w:rFonts w:hint="eastAsia" w:asciiTheme="majorEastAsia" w:hAnsiTheme="majorEastAsia" w:eastAsiaTheme="majorEastAsia" w:cstheme="majorEastAsia"/>
          <w:b/>
          <w:bCs/>
          <w:color w:val="000000"/>
          <w:kern w:val="44"/>
          <w:sz w:val="24"/>
          <w:highlight w:val="none"/>
        </w:rPr>
      </w:pPr>
      <w:r>
        <w:rPr>
          <w:rFonts w:hint="eastAsia" w:asciiTheme="majorEastAsia" w:hAnsiTheme="majorEastAsia" w:eastAsiaTheme="majorEastAsia" w:cstheme="majorEastAsia"/>
          <w:bCs/>
          <w:color w:val="000000"/>
          <w:kern w:val="0"/>
          <w:sz w:val="24"/>
          <w:highlight w:val="none"/>
          <w:lang w:val="en-US" w:eastAsia="zh-CN"/>
        </w:rPr>
        <w:t>3</w:t>
      </w:r>
      <w:r>
        <w:rPr>
          <w:rFonts w:hint="eastAsia" w:asciiTheme="majorEastAsia" w:hAnsiTheme="majorEastAsia" w:eastAsiaTheme="majorEastAsia" w:cstheme="majorEastAsia"/>
          <w:bCs/>
          <w:color w:val="000000"/>
          <w:kern w:val="0"/>
          <w:sz w:val="24"/>
          <w:highlight w:val="none"/>
        </w:rPr>
        <w:t>.</w:t>
      </w:r>
      <w:r>
        <w:rPr>
          <w:rFonts w:hint="eastAsia" w:asciiTheme="majorEastAsia" w:hAnsiTheme="majorEastAsia" w:eastAsiaTheme="majorEastAsia" w:cstheme="majorEastAsia"/>
          <w:bCs/>
          <w:color w:val="000000"/>
          <w:kern w:val="0"/>
          <w:sz w:val="24"/>
          <w:highlight w:val="none"/>
          <w:lang w:val="en-US" w:eastAsia="zh-CN"/>
        </w:rPr>
        <w:t>7.</w:t>
      </w:r>
      <w:r>
        <w:rPr>
          <w:rFonts w:hint="eastAsia" w:asciiTheme="majorEastAsia" w:hAnsiTheme="majorEastAsia" w:eastAsiaTheme="majorEastAsia" w:cstheme="majorEastAsia"/>
          <w:bCs/>
          <w:color w:val="000000"/>
          <w:kern w:val="0"/>
          <w:sz w:val="24"/>
          <w:highlight w:val="none"/>
        </w:rPr>
        <w:t>1服务内容：</w:t>
      </w:r>
      <w:r>
        <w:rPr>
          <w:rFonts w:hint="eastAsia" w:asciiTheme="majorEastAsia" w:hAnsiTheme="majorEastAsia" w:eastAsiaTheme="majorEastAsia" w:cstheme="majorEastAsia"/>
          <w:color w:val="000000"/>
          <w:sz w:val="24"/>
          <w:highlight w:val="none"/>
        </w:rPr>
        <w:t>主要为本项目采购人管养范围内偷倒的垃圾清运</w:t>
      </w:r>
      <w:r>
        <w:rPr>
          <w:rFonts w:hint="eastAsia" w:asciiTheme="majorEastAsia" w:hAnsiTheme="majorEastAsia" w:eastAsiaTheme="majorEastAsia" w:cstheme="majorEastAsia"/>
          <w:bCs/>
          <w:color w:val="000000"/>
          <w:sz w:val="24"/>
          <w:highlight w:val="none"/>
        </w:rPr>
        <w:t>工作，垃圾运至</w:t>
      </w:r>
      <w:r>
        <w:rPr>
          <w:rFonts w:hint="eastAsia" w:asciiTheme="majorEastAsia" w:hAnsiTheme="majorEastAsia" w:eastAsiaTheme="majorEastAsia" w:cstheme="majorEastAsia"/>
          <w:bCs/>
          <w:color w:val="000000"/>
          <w:sz w:val="24"/>
          <w:highlight w:val="none"/>
          <w:lang w:eastAsia="zh-CN"/>
        </w:rPr>
        <w:t>仓前街道指</w:t>
      </w:r>
      <w:r>
        <w:rPr>
          <w:rFonts w:hint="eastAsia" w:asciiTheme="majorEastAsia" w:hAnsiTheme="majorEastAsia" w:eastAsiaTheme="majorEastAsia" w:cstheme="majorEastAsia"/>
          <w:bCs/>
          <w:color w:val="000000"/>
          <w:sz w:val="24"/>
          <w:highlight w:val="none"/>
        </w:rPr>
        <w:t>定的消纳处置场所，相关费包含在本次招标内容中。</w:t>
      </w:r>
    </w:p>
    <w:p>
      <w:pPr>
        <w:snapToGrid w:val="0"/>
        <w:spacing w:line="360" w:lineRule="auto"/>
        <w:ind w:firstLine="480" w:firstLineChars="200"/>
        <w:rPr>
          <w:rFonts w:hint="eastAsia" w:asciiTheme="majorEastAsia" w:hAnsiTheme="majorEastAsia" w:eastAsiaTheme="majorEastAsia" w:cstheme="majorEastAsia"/>
          <w:bCs/>
          <w:color w:val="000000"/>
          <w:kern w:val="0"/>
          <w:sz w:val="24"/>
          <w:highlight w:val="none"/>
        </w:rPr>
      </w:pPr>
      <w:r>
        <w:rPr>
          <w:rFonts w:hint="eastAsia" w:asciiTheme="majorEastAsia" w:hAnsiTheme="majorEastAsia" w:eastAsiaTheme="majorEastAsia" w:cstheme="majorEastAsia"/>
          <w:bCs/>
          <w:color w:val="000000"/>
          <w:kern w:val="0"/>
          <w:sz w:val="24"/>
          <w:highlight w:val="none"/>
          <w:lang w:val="en-US" w:eastAsia="zh-CN"/>
        </w:rPr>
        <w:t>3</w:t>
      </w:r>
      <w:r>
        <w:rPr>
          <w:rFonts w:hint="eastAsia" w:asciiTheme="majorEastAsia" w:hAnsiTheme="majorEastAsia" w:eastAsiaTheme="majorEastAsia" w:cstheme="majorEastAsia"/>
          <w:bCs/>
          <w:color w:val="000000"/>
          <w:kern w:val="0"/>
          <w:sz w:val="24"/>
          <w:highlight w:val="none"/>
        </w:rPr>
        <w:t>.</w:t>
      </w:r>
      <w:r>
        <w:rPr>
          <w:rFonts w:hint="eastAsia" w:asciiTheme="majorEastAsia" w:hAnsiTheme="majorEastAsia" w:eastAsiaTheme="majorEastAsia" w:cstheme="majorEastAsia"/>
          <w:bCs/>
          <w:color w:val="000000"/>
          <w:kern w:val="0"/>
          <w:sz w:val="24"/>
          <w:highlight w:val="none"/>
          <w:lang w:val="en-US" w:eastAsia="zh-CN"/>
        </w:rPr>
        <w:t>7.</w:t>
      </w:r>
      <w:r>
        <w:rPr>
          <w:rFonts w:hint="eastAsia" w:asciiTheme="majorEastAsia" w:hAnsiTheme="majorEastAsia" w:eastAsiaTheme="majorEastAsia" w:cstheme="majorEastAsia"/>
          <w:bCs/>
          <w:color w:val="000000"/>
          <w:kern w:val="0"/>
          <w:sz w:val="24"/>
          <w:highlight w:val="none"/>
        </w:rPr>
        <w:t>2具体要求：</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kern w:val="0"/>
          <w:sz w:val="24"/>
          <w:highlight w:val="none"/>
        </w:rPr>
        <w:t>（1）在</w:t>
      </w:r>
      <w:r>
        <w:rPr>
          <w:rFonts w:hint="eastAsia" w:asciiTheme="majorEastAsia" w:hAnsiTheme="majorEastAsia" w:eastAsiaTheme="majorEastAsia" w:cstheme="majorEastAsia"/>
          <w:color w:val="000000"/>
          <w:sz w:val="24"/>
          <w:highlight w:val="none"/>
        </w:rPr>
        <w:t>服务期内，</w:t>
      </w:r>
      <w:r>
        <w:rPr>
          <w:rFonts w:hint="eastAsia" w:asciiTheme="majorEastAsia" w:hAnsiTheme="majorEastAsia" w:eastAsiaTheme="majorEastAsia" w:cstheme="majorEastAsia"/>
          <w:color w:val="000000"/>
          <w:kern w:val="0"/>
          <w:sz w:val="24"/>
          <w:highlight w:val="none"/>
        </w:rPr>
        <w:t>供应商应加强</w:t>
      </w:r>
      <w:r>
        <w:rPr>
          <w:rFonts w:hint="eastAsia" w:asciiTheme="majorEastAsia" w:hAnsiTheme="majorEastAsia" w:eastAsiaTheme="majorEastAsia" w:cstheme="majorEastAsia"/>
          <w:color w:val="000000"/>
          <w:sz w:val="24"/>
          <w:highlight w:val="none"/>
        </w:rPr>
        <w:t>所承包范围内防止垃圾偷倒的管理工作。如在所承包范围内发生偷倒，</w:t>
      </w:r>
      <w:r>
        <w:rPr>
          <w:rFonts w:hint="eastAsia" w:asciiTheme="majorEastAsia" w:hAnsiTheme="majorEastAsia" w:eastAsiaTheme="majorEastAsia" w:cstheme="majorEastAsia"/>
          <w:color w:val="000000"/>
          <w:kern w:val="0"/>
          <w:sz w:val="24"/>
          <w:highlight w:val="none"/>
        </w:rPr>
        <w:t>需完成</w:t>
      </w:r>
      <w:r>
        <w:rPr>
          <w:rFonts w:hint="eastAsia" w:asciiTheme="majorEastAsia" w:hAnsiTheme="majorEastAsia" w:eastAsiaTheme="majorEastAsia" w:cstheme="majorEastAsia"/>
          <w:color w:val="000000"/>
          <w:sz w:val="24"/>
          <w:highlight w:val="none"/>
        </w:rPr>
        <w:t>偷倒的垃圾清运</w:t>
      </w:r>
      <w:r>
        <w:rPr>
          <w:rFonts w:hint="eastAsia" w:asciiTheme="majorEastAsia" w:hAnsiTheme="majorEastAsia" w:eastAsiaTheme="majorEastAsia" w:cstheme="majorEastAsia"/>
          <w:bCs/>
          <w:color w:val="000000"/>
          <w:sz w:val="24"/>
          <w:highlight w:val="none"/>
        </w:rPr>
        <w:t>工作，</w:t>
      </w:r>
      <w:r>
        <w:rPr>
          <w:rFonts w:hint="eastAsia" w:asciiTheme="majorEastAsia" w:hAnsiTheme="majorEastAsia" w:eastAsiaTheme="majorEastAsia" w:cstheme="majorEastAsia"/>
          <w:color w:val="000000"/>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bCs/>
          <w:color w:val="000000"/>
          <w:sz w:val="24"/>
          <w:highlight w:val="none"/>
        </w:rPr>
        <w:t>（3）</w:t>
      </w:r>
      <w:r>
        <w:rPr>
          <w:rFonts w:hint="eastAsia" w:asciiTheme="majorEastAsia" w:hAnsiTheme="majorEastAsia" w:eastAsiaTheme="majorEastAsia" w:cstheme="majorEastAsia"/>
          <w:color w:val="000000"/>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ind w:firstLine="480" w:firstLineChars="200"/>
        <w:jc w:val="left"/>
        <w:rPr>
          <w:rFonts w:hint="eastAsia" w:asciiTheme="majorEastAsia" w:hAnsiTheme="majorEastAsia" w:eastAsiaTheme="majorEastAsia" w:cstheme="majorEastAsia"/>
          <w:sz w:val="21"/>
          <w:szCs w:val="24"/>
          <w:highlight w:val="none"/>
        </w:rPr>
      </w:pPr>
      <w:r>
        <w:rPr>
          <w:rFonts w:hint="eastAsia" w:asciiTheme="majorEastAsia" w:hAnsiTheme="majorEastAsia" w:eastAsiaTheme="majorEastAsia" w:cstheme="majorEastAsia"/>
          <w:color w:val="000000"/>
          <w:kern w:val="0"/>
          <w:sz w:val="24"/>
          <w:highlight w:val="none"/>
        </w:rPr>
        <w:t>（4）清理的时间要求：</w:t>
      </w:r>
      <w:r>
        <w:rPr>
          <w:rFonts w:hint="eastAsia" w:asciiTheme="majorEastAsia" w:hAnsiTheme="majorEastAsia" w:eastAsiaTheme="majorEastAsia" w:cstheme="majorEastAsia"/>
          <w:color w:val="000000"/>
          <w:kern w:val="0"/>
          <w:sz w:val="24"/>
          <w:highlight w:val="none"/>
          <w:u w:val="single"/>
        </w:rPr>
        <w:t>2小时之内清理</w:t>
      </w:r>
      <w:r>
        <w:rPr>
          <w:rFonts w:hint="eastAsia" w:asciiTheme="majorEastAsia" w:hAnsiTheme="majorEastAsia" w:eastAsiaTheme="majorEastAsia" w:cstheme="majorEastAsia"/>
          <w:color w:val="000000"/>
          <w:kern w:val="0"/>
          <w:sz w:val="24"/>
          <w:highlight w:val="none"/>
        </w:rPr>
        <w:t>。</w:t>
      </w:r>
    </w:p>
    <w:p>
      <w:pPr>
        <w:keepLines w:val="0"/>
        <w:pageBreakBefore w:val="0"/>
        <w:kinsoku/>
        <w:wordWrap/>
        <w:overflowPunct/>
        <w:topLinePunct w:val="0"/>
        <w:autoSpaceDE/>
        <w:autoSpaceDN/>
        <w:bidi w:val="0"/>
        <w:adjustRightInd/>
        <w:snapToGrid/>
        <w:spacing w:line="600" w:lineRule="atLeast"/>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3.8</w:t>
      </w:r>
      <w:r>
        <w:rPr>
          <w:rFonts w:hint="eastAsia" w:asciiTheme="majorEastAsia" w:hAnsiTheme="majorEastAsia" w:eastAsiaTheme="majorEastAsia" w:cstheme="majorEastAsia"/>
          <w:b/>
          <w:bCs/>
          <w:color w:val="auto"/>
          <w:sz w:val="24"/>
          <w:szCs w:val="24"/>
          <w:highlight w:val="none"/>
        </w:rPr>
        <w:t>公厕管理质量要求和管理时间</w:t>
      </w:r>
    </w:p>
    <w:p>
      <w:pPr>
        <w:pStyle w:val="82"/>
        <w:rPr>
          <w:rFonts w:hint="eastAsia" w:asciiTheme="majorEastAsia" w:hAnsiTheme="majorEastAsia" w:eastAsiaTheme="majorEastAsia" w:cstheme="majorEastAsia"/>
          <w:highlight w:val="none"/>
        </w:rPr>
      </w:pP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3.8.1、管理人员和开放时间要求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3.8.1.1现有公厕 4座，需配备保洁人员不少于8人。标准公厕4座，16小时保洁，人员不少8人，公厕实行免费开放，不得计费，且公厕内不得出现任何经营性行为；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3.8.1.2公厕内失物应交还失主，未见失主的应交公处理；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3.8.1.3工作人员要尊重游客和上厕人员，不得与其发生冲突；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3.8.1.4公厕的管理制度及保洁制度按规定公示；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3.8.1.5公厕内所产生的垃圾必须每天运到指定的垃圾中转站进行处理。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3.8.2、公厕内设施的维护要求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3.8.2.1公厕内设施出现破坏的，承包方要组织维修人员在2日内完成修复或更换；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3.8.2.2供水、供电、排水、通风等设备完好，有效保证使用，除险问题的必须12小时以内修复；</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3.8.2.3墙壁、地面、隔断板、洗手台、门窗、便器、开关、手柄、门锁等设施损坏的必须要在两天内修复或更换；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3.8.2.4公厕内设置的标志保持清洁、完整、规范如出现破损的，必须在2小时以内修复或更换。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3.8.3、清掏公厕（包括化粪池）要求，每年清理化粪池不少于2次（6月和12月各一次）。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3.8.3.1随时清掏粪便不得外溢；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3.8.3.2清掏时不得泄漏、遗撒；</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3.8.3.3清掏的废物承包方应按照规定运往粪便无害化处理部门进行无害化处理，并向甲方出示有关无害化处理单据证明，不得乱排乱倒。</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3.8.4、公厕保洁要求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3.8.4.1地面保洁无污物，清洗冲刷地面时应设置国家规定的防滑志；</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3.8.4.2墙壁、门窗、隔断板等整洁无乱涂乱画等污迹物；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3.8.4.3便器及时冲刷，无粪迹、尿迹和其他污物；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3.8.4.4定时喷洒灭蚊蝇药物，做到随有随灭；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3.8.4.5纸篓无污迹、无隔夜垃圾；</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3.8.4.6空气流通无臭味；</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3.8.4.7厕所设施和工具摆放有序，干净整洁；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3.8.4.8按照规定时间、地点和方式倾倒废物；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3.8.4.9外墙屋顶及卫生负责区内环境整洁无杂物。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3.8.5、人员要求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3.8.5.1人员必须身体健康、年龄男性须小于60周岁，女性须小于55周岁；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3.8.5.2工作人员上岗前必须经过培训；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3.8.6、机械设备要求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3.8.6.1投标单位自行解决作业工具、设备及保洁用品。车辆产生的养路费、油费、水费、维护费等一切费用由投标单位自理。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3.8.7、台帐资料管理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3.8.7.1中标单位年度、季度、月度有报表、工作计划，年终有总结；</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3.8.7.2中标单位与主管单位有工作联系单制度和工作落实情况记录；</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3.8.7.3中标单位本着以保证环卫保洁管理项目达到优良的标准进行管理，应建立系统、健全的业务管理制度和标准作业规范，加强对作业队伍和作业机械的管理，分工明确，认真落实质量岗位责任制，各项基础设施台帐资料齐全，真实可信，并如实上报；</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3.8.7.4中标单位要建立巡查制度，完善巡查日报，建立月报制度。</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3.8.8、组织管理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3.8.8.1环卫保洁工作由街道环卫所统一管理，保洁经费纳入财政预算。应制定相关管理制度，负责日常监管和年度考核等工作；</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3.8.8.2中标单位应强化内部作业和管理制度，加强对内部人员的安全和责任教育，建立完善的作业和巡查登记制度，强化责任考核和整改制度，自觉接受政府、媒体和社会团体的监督；</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3.8.8.3各社区、企事业和个人对环卫保洁工作负有监管责任。</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3.8.9、具体管理要求：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3.8.9.1、清洁公司责任到人，全日开放，方便群众，优质服务；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3.8.9.2、照明，供水排水设施完好，如有损坏，及时修复，以保证居民正常使用；</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3.8.9.3、工具、物品等摆放整齐；</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3.8.9.4、所有公厕对公民实行免费；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3.8.9.5、公厕指示牌、标志牌等规范齐全；</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3.8.9.6公厕内需有厕纸、垃圾袋、除臭液、清洁用品等易耗品</w:t>
      </w:r>
    </w:p>
    <w:p>
      <w:pPr>
        <w:wordWrap/>
        <w:spacing w:line="500" w:lineRule="exact"/>
        <w:textAlignment w:val="auto"/>
        <w:rPr>
          <w:rFonts w:hint="eastAsia" w:ascii="宋体" w:hAnsi="宋体" w:eastAsia="宋体" w:cs="宋体"/>
          <w:highlight w:val="none"/>
          <w:lang w:val="en-US" w:eastAsia="zh-CN"/>
        </w:rPr>
      </w:pPr>
      <w:r>
        <w:rPr>
          <w:rFonts w:hint="eastAsia" w:ascii="宋体" w:hAnsi="宋体" w:eastAsia="宋体" w:cs="宋体"/>
          <w:b/>
          <w:bCs/>
          <w:color w:val="auto"/>
          <w:sz w:val="24"/>
          <w:highlight w:val="none"/>
          <w:lang w:val="en-US" w:eastAsia="zh-CN"/>
        </w:rPr>
        <w:t>3.9</w:t>
      </w:r>
      <w:r>
        <w:rPr>
          <w:rFonts w:hint="eastAsia" w:ascii="宋体" w:hAnsi="宋体" w:eastAsia="宋体" w:cs="宋体"/>
          <w:b/>
          <w:bCs/>
          <w:color w:val="auto"/>
          <w:sz w:val="24"/>
          <w:highlight w:val="none"/>
        </w:rPr>
        <w:t>、</w:t>
      </w:r>
      <w:r>
        <w:rPr>
          <w:rStyle w:val="968"/>
          <w:rFonts w:hint="eastAsia" w:ascii="宋体" w:hAnsi="宋体" w:eastAsia="宋体" w:cs="宋体"/>
          <w:b/>
          <w:bCs/>
          <w:i w:val="0"/>
          <w:caps w:val="0"/>
          <w:color w:val="auto"/>
          <w:spacing w:val="0"/>
          <w:w w:val="100"/>
          <w:kern w:val="2"/>
          <w:sz w:val="24"/>
          <w:szCs w:val="24"/>
          <w:highlight w:val="none"/>
          <w:lang w:val="en-US" w:eastAsia="zh-CN" w:bidi="ar-SA"/>
        </w:rPr>
        <w:t>绿化养护质量服务标准：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具体服务质量标准根据《杭州市城区绿地养护质量标准》（杭园文[2003]42号）、《余杭区城市化管理范围内市政、绿化、保洁、保序分级分类及考核办法（试行）的通知》（余政办[2013]76号）及杭州市现行城市绿地养护质量标准等文件中规定的作业标准和要求执行，本采购项目按照绿化二级标准进行养护。</w:t>
      </w:r>
    </w:p>
    <w:p>
      <w:pPr>
        <w:snapToGrid/>
        <w:spacing w:before="0" w:beforeAutospacing="0" w:after="0" w:afterAutospacing="0" w:line="400" w:lineRule="atLeast"/>
        <w:ind w:firstLine="470" w:firstLineChars="196"/>
        <w:jc w:val="both"/>
        <w:textAlignment w:val="baseline"/>
        <w:rPr>
          <w:rStyle w:val="968"/>
          <w:rFonts w:hint="eastAsia" w:ascii="宋体" w:hAnsi="宋体" w:eastAsia="宋体" w:cs="宋体"/>
          <w:b/>
          <w:i w:val="0"/>
          <w:caps w:val="0"/>
          <w:color w:val="auto"/>
          <w:spacing w:val="0"/>
          <w:w w:val="100"/>
          <w:kern w:val="2"/>
          <w:sz w:val="24"/>
          <w:szCs w:val="24"/>
          <w:highlight w:val="none"/>
          <w:lang w:val="en-US" w:eastAsia="zh-CN" w:bidi="ar-SA"/>
        </w:rPr>
      </w:pPr>
      <w:r>
        <w:rPr>
          <w:rStyle w:val="968"/>
          <w:rFonts w:hint="eastAsia" w:ascii="宋体" w:hAnsi="宋体" w:eastAsia="宋体" w:cs="宋体"/>
          <w:b w:val="0"/>
          <w:bCs/>
          <w:i w:val="0"/>
          <w:caps w:val="0"/>
          <w:color w:val="auto"/>
          <w:spacing w:val="0"/>
          <w:w w:val="100"/>
          <w:kern w:val="2"/>
          <w:sz w:val="24"/>
          <w:szCs w:val="24"/>
          <w:highlight w:val="none"/>
          <w:lang w:val="en-US" w:eastAsia="zh-CN" w:bidi="ar-SA"/>
        </w:rPr>
        <w:t>3.9.1.道路绿化带养护标准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总体标准：指道路绿化带养护的整体质量，内容有养护质量、树木存活率、设施维护、土肥标准、病虫害防治标准及管理标准。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3.9.1.1.植物养护标准：按道路绿化带的立地条件，对植物进行特殊养护、精心养护，使植物健康生长，具有良好的道路景观。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3.9.1.2.树木种植成活率标准：当年新栽植物成活率达95%以上，保存率98%以上，无缺株、死株。</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3.9.1.4.病虫害防治标准：提倡综合防治，病虫害应控制在以不影响观赏效果的危害程度之内。</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3.9.1.5.道路绿化带的具体养管标准。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（1）道路绿化带景观要求。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（2）采用修剪等特殊手法，控制植物高度，植物高度不得影响交通视线。</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（3）特殊地段的景观应按设计精心养护，形成有特色的植物景观。整形植物必须及时修剪保持形态，悬垂植物生长健壮，及时通过修剪去除枯死枝和调整高度及生长密度，整体效果良好。</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（4）花卉花期整齐，株行距适宜，无空秃、色彩效果好。</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（5）绿带必须无裸地，可种植地被植物或草坪。</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（6）绿带内无枯枝残叶、无杂草，整洁无垃圾；每天冲洗一次以上，植物叶面无积尘。</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（7）辅助设施（包括支撑物和悬挂容器）必须安全、完好、整洁、美观。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（8）道路绿化带及悬垂挂箱冬季浇水应注意不要让水溢出，避免造成路面结冰。</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w:t>
      </w:r>
      <w:r>
        <w:rPr>
          <w:rFonts w:hint="eastAsia" w:ascii="宋体" w:hAnsi="宋体" w:cs="宋体"/>
          <w:bCs/>
          <w:color w:val="000000"/>
          <w:sz w:val="24"/>
          <w:highlight w:val="none"/>
          <w:lang w:val="en-US" w:eastAsia="zh-CN"/>
        </w:rPr>
        <w:t>1</w:t>
      </w:r>
      <w:r>
        <w:rPr>
          <w:rFonts w:hint="eastAsia" w:ascii="宋体" w:hAnsi="宋体" w:eastAsia="宋体" w:cs="宋体"/>
          <w:bCs/>
          <w:color w:val="000000"/>
          <w:sz w:val="24"/>
          <w:highlight w:val="none"/>
          <w:lang w:val="en-US" w:eastAsia="zh-CN"/>
        </w:rPr>
        <w:t>.6.道路绿化带养护作业必须穿着有反光条的工作服，做到文明作业，尽量减少对行车的干扰。</w:t>
      </w:r>
    </w:p>
    <w:p>
      <w:pPr>
        <w:snapToGrid w:val="0"/>
        <w:spacing w:line="360" w:lineRule="auto"/>
        <w:ind w:firstLine="480" w:firstLineChars="200"/>
        <w:jc w:val="left"/>
        <w:rPr>
          <w:rFonts w:hint="eastAsia" w:ascii="宋体" w:hAnsi="宋体" w:eastAsia="宋体" w:cs="宋体"/>
          <w:b w:val="0"/>
          <w:bCs/>
          <w:color w:val="000000"/>
          <w:sz w:val="24"/>
          <w:highlight w:val="none"/>
          <w:lang w:val="en-US" w:eastAsia="zh-CN"/>
        </w:rPr>
      </w:pPr>
      <w:r>
        <w:rPr>
          <w:rFonts w:hint="eastAsia" w:ascii="宋体" w:hAnsi="宋体" w:eastAsia="宋体" w:cs="宋体"/>
          <w:b w:val="0"/>
          <w:bCs/>
          <w:i w:val="0"/>
          <w:caps w:val="0"/>
          <w:color w:val="auto"/>
          <w:spacing w:val="0"/>
          <w:w w:val="100"/>
          <w:kern w:val="2"/>
          <w:sz w:val="24"/>
          <w:szCs w:val="24"/>
          <w:highlight w:val="none"/>
          <w:lang w:val="en-US" w:eastAsia="zh-CN" w:bidi="ar-SA"/>
        </w:rPr>
        <w:t>3.9.2.</w:t>
      </w:r>
      <w:r>
        <w:rPr>
          <w:rFonts w:hint="eastAsia" w:ascii="宋体" w:hAnsi="宋体" w:eastAsia="宋体" w:cs="宋体"/>
          <w:b w:val="0"/>
          <w:bCs/>
          <w:color w:val="000000"/>
          <w:sz w:val="24"/>
          <w:highlight w:val="none"/>
          <w:lang w:val="en-US" w:eastAsia="zh-CN"/>
        </w:rPr>
        <w:t>养护管理其他要求：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（6）道路绿化中标后，应给每一个道路绿化工作人员购买人身意外伤害保险；</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（7）加强绿化养护应急响应管理工作，具体要求参照《杭州市城区绿化防台树木支撑工作方案》。</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①制定灾害性天气应急预案，建立应急救灾队伍，将应急预案和人员名单上报采购人备案。</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②建立应急备货制，备货的内容有：抗旱、抗涝、抗台、抗寒、抗雪等物资（支撑钢管、毛竹、水泵、遮阴网、草包等），快速支撑钢管只能做为一部分应急物资储备，不是唯一的抗台应急物资。</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④做好防台树木支撑工作，在市气象台发出台风预警信号以后，立即做好树木支撑工作。</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（8）中标单位根据采购人通知要求，做好各类“迎检”和“创建”准备工作。</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（9）经过园林绿化管理部门批准的绿地内挖掘及占用绿地时，中标单位应予以积极配合，复种后的绿地应由中标单位负责正常养护。</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（10）绿化养护期内产生的各种的垃圾必须进入垃圾中转站，其处理产生费用由中标单位负责。</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（11）中标单位在养护管理期间，由于养管不力，采购人有权终止合同，并由中标单位承担一切责任。</w:t>
      </w:r>
    </w:p>
    <w:p>
      <w:pPr>
        <w:pStyle w:val="2"/>
        <w:ind w:left="0" w:leftChars="0" w:firstLine="0" w:firstLineChars="0"/>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3.10县级道路（主次要道路）保洁标准：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路面及可视范围无垃圾、无杂物、无积泥，可视范围无明显建筑垃圾、零星垃圾，道路普扫后其余时间巡回保洁，有色垃圾滞留路面时间不得超过25分钟。保洁时间为8小时，每天洒水不少于2次，每天机扫不少于1次，出现道路积泥必须马上清洗。</w:t>
      </w:r>
    </w:p>
    <w:p>
      <w:pPr>
        <w:wordWrap/>
        <w:spacing w:line="500" w:lineRule="exact"/>
        <w:textAlignment w:val="auto"/>
        <w:rPr>
          <w:rFonts w:hint="eastAsia" w:ascii="宋体" w:hAnsi="宋体" w:eastAsia="宋体" w:cs="宋体"/>
          <w:b/>
          <w:bCs/>
          <w:color w:val="auto"/>
          <w:sz w:val="24"/>
          <w:highlight w:val="none"/>
          <w:lang w:val="en-US"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3.11</w:t>
      </w:r>
      <w:r>
        <w:rPr>
          <w:rFonts w:hint="eastAsia" w:ascii="宋体" w:hAnsi="宋体" w:eastAsia="宋体" w:cs="宋体"/>
          <w:b/>
          <w:bCs/>
          <w:color w:val="auto"/>
          <w:sz w:val="24"/>
          <w:highlight w:val="none"/>
          <w:lang w:val="en-US" w:eastAsia="zh-CN"/>
        </w:rPr>
        <w:t>时花花坛的养护标准：</w:t>
      </w:r>
    </w:p>
    <w:p>
      <w:pPr>
        <w:pStyle w:val="82"/>
        <w:rPr>
          <w:rFonts w:hint="eastAsia" w:ascii="宋体" w:hAnsi="宋体" w:eastAsia="宋体" w:cs="宋体"/>
          <w:highlight w:val="none"/>
          <w:lang w:val="en-US" w:eastAsia="zh-CN"/>
        </w:rPr>
      </w:pPr>
    </w:p>
    <w:p>
      <w:pPr>
        <w:snapToGrid w:val="0"/>
        <w:spacing w:line="360" w:lineRule="auto"/>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参照《杭州市城区花坛、花境养护管理规定（试行）》，加强对花卉的养护管理。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（1）布置效果：按设计精心养护，有全年用花计划，做到四季有花，花期整齐，图案美观，布置效果良好。</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（2）花卉生长：花卉植株生长健壮，花色艳丽，始花期方可上花坛种植，株行距适宜，不露底土。无缺株倒伏，无枯枝残花，无杂草垃圾。</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 xml:space="preserve">）时花更换全年至少为六次，在每一次更换时必须要将时花品种、数量（时花种植每平方不得少于49株、中盆）方案事先向招标方报备，由招标方确定种植方案，否则将作无更换时花处理，种后由招标方现场验收签字确定。 </w:t>
      </w:r>
    </w:p>
    <w:p>
      <w:pPr>
        <w:pStyle w:val="2"/>
        <w:ind w:left="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二、服务时间要求</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本项目承包期限为贰年，具体自2022年月日起至2024年月日止。若在合同期内乙方有严重违约行为，甲方有权提前终止合同，由此造成的一切后果和损失由乙方承担。</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三、合同金额</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标项合同金额为（大写） 元，（￥ 元）人民币</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四、技术资料</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1、乙方应按招标文件规定的时间向甲方提供有关技术资料。</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3、乙方应履行保密义务，对于所有与甲方有关的资料和信息，乙方均应作为秘密信息对待。除非甲方事先通知许可，双方均承诺不将对方取得的信息披露或透露给无关人员。</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4、乙方应按规定与队员订立书面劳动合同，并为队员统一缴纳社保。</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五、知识产权</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乙方应保证提供服务过程中不会侵犯任何第三方的知识产权。</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六、履约保证金</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合同签订前乙方需向甲方提交中标总额2.5的履约保证金，在服务期满后三十天内退还（不计息）。</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七、转包或分包</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1、本合同范围的服务，应由乙方直接供应，不得转让他人供应；</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2、除非得到甲方的书面同意，乙方不得将本合同范围的服务全部或部分分包给他人供应；</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3、如有转让和未经甲方同意的分包行为，甲方有权解除合同，没收履约保证金并追究乙方的违约责任。</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八、合同履行时间、履行方式及履行地点</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1、履行时间：（2022年月日-2024年月日）；</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2、履行地点：</w:t>
      </w:r>
    </w:p>
    <w:p>
      <w:pPr>
        <w:pStyle w:val="90"/>
        <w:snapToGrid w:val="0"/>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九、款项支付</w:t>
      </w:r>
      <w:r>
        <w:rPr>
          <w:rFonts w:hint="eastAsia" w:asciiTheme="minorEastAsia" w:hAnsiTheme="minorEastAsia" w:eastAsiaTheme="minorEastAsia" w:cstheme="minorEastAsia"/>
          <w:b/>
          <w:bCs/>
          <w:sz w:val="24"/>
          <w:szCs w:val="24"/>
          <w:highlight w:val="none"/>
          <w:lang w:eastAsia="zh-CN"/>
        </w:rPr>
        <w:t>：</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付款方式：采用先作业后拨付的方式，根据街道对中标人每季度的考核结果按照处罚措施的约定于次月15日前支付上季度款项。甲方付款前，乙方应提供正式发票交甲方审核。因甲方支付上述款项须报财政审批，乙方同意在甲方通过财政审批且取得相应款项后支付，具体审批付款流程按仓前街道办事处规定执行</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十、税费</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本合同执行中相关的一切税费均由乙方负担。</w:t>
      </w:r>
    </w:p>
    <w:p>
      <w:pPr>
        <w:pStyle w:val="9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十一、</w:t>
      </w:r>
      <w:r>
        <w:rPr>
          <w:rFonts w:hint="eastAsia" w:asciiTheme="minorEastAsia" w:hAnsiTheme="minorEastAsia" w:eastAsiaTheme="minorEastAsia" w:cstheme="minorEastAsia"/>
          <w:b/>
          <w:bCs/>
          <w:sz w:val="24"/>
          <w:szCs w:val="24"/>
          <w:highlight w:val="none"/>
        </w:rPr>
        <w:t>保险</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（1）第三者责任保险</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乙方应对乙方人员以及第三方全权责任（如乙方应投保第三责任险），在乙方的责任区内由于乙方原因导致自己员工或者第三方的事故由乙方负责，甲方不承担任何责任。</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（2）员工人身意外</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在承包期内，乙方所有人员的事故由乙方自行全权负责（如乙方应对其员工投保人身意外险），以保证甲方在乙方工作人员索赔时不受任何责任的约束。</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（3）其他保险及费用</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乙方须按劳动合同法和政府有关各部门规定为全体服务人员交纳所有相关的社会保险及其他相关费用，乙方对此全权负责。</w:t>
      </w:r>
    </w:p>
    <w:p>
      <w:pPr>
        <w:pStyle w:val="90"/>
        <w:snapToGrid w:val="0"/>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十二、质量保证及后续服务</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1、乙方应按招标文件规定向甲方提供服务。</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2、乙方提供的服务成果在服务质量保证期内发生故障，乙方应负责免费提供后续服务。对达不到要求者，根据实际情况，经双方协商，可按以下办法处理：</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（1）重做：由乙方承担所发生的全部费用。</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（2）解除合同。</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3、在服务质量保证期内，乙方应对出现的质量及安全问题负责处理解决并承担一切费用。</w:t>
      </w:r>
    </w:p>
    <w:p>
      <w:pPr>
        <w:pStyle w:val="90"/>
        <w:snapToGrid w:val="0"/>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十三、违约责任</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1、甲方无正当理由拒收接受服务的，甲方向乙方偿付合同款项百分之五作为违约金。</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0"/>
        <w:snapToGrid w:val="0"/>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十四、不可抗力事件处理</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1、在合同有效期内，任何一方因不可抗力事件导致不能履行合同，则合同履行期可延长，其延长期与不可抗力影响期相同。</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2、不可抗力事件发生后，应立即通知对方，并寄送有关权威机构出具的证明。</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3、不可抗力事件延续120天以上，双方应通过友好协商，确定是否继续履行合同。</w:t>
      </w:r>
    </w:p>
    <w:p>
      <w:pPr>
        <w:pStyle w:val="90"/>
        <w:snapToGrid w:val="0"/>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十五、诉讼</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双方在执行合同中所发生的一切争议，应通过协商解决。如协商不成，可向甲方所在地法院起诉。</w:t>
      </w:r>
    </w:p>
    <w:p>
      <w:pPr>
        <w:pStyle w:val="90"/>
        <w:snapToGrid w:val="0"/>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十六、合同生效及其它</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1、合同经双方法定代表人或授权代表签字并加盖单位公章后生效。</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2、合同执行中涉及采购资金和采购内容修改或补充的，须经财政部门审批，并签书面补充协议报政府采购监督管理部门备案，方可作为主合同不可分割的一部分。</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3、招标文件、投标文件及评标过程中形成的文字资料、询标纪要均作为本合同的组成部分，具有同等效力。本合同未尽事宜，遵照《合同法》有关条文执行。</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4、本合同一式肆份，具有同等法律效力，甲乙双方各执两份。</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甲方（盖章）：                             乙方（盖章）：        </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                              法定代表人：    </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或受委托人（签字）：                       或受委托人（签字）：  </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                                  联系人：</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地址： </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                                    电话：</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                                    传真：</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开户银行：                                开户银行： </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帐号：                                    帐号：</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签订时间：                                签订时间：</w:t>
      </w:r>
    </w:p>
    <w:p>
      <w:pPr>
        <w:pStyle w:val="9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签订地点：</w:t>
      </w: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pPr>
        <w:pStyle w:val="82"/>
        <w:rPr>
          <w:rFonts w:hint="eastAsia" w:asciiTheme="minorEastAsia" w:hAnsiTheme="minorEastAsia" w:eastAsiaTheme="minorEastAsia" w:cstheme="minorEastAsia"/>
          <w:highlight w:val="none"/>
        </w:rPr>
      </w:pPr>
    </w:p>
    <w:p>
      <w:pPr>
        <w:pStyle w:val="82"/>
        <w:rPr>
          <w:rFonts w:hint="eastAsia" w:asciiTheme="minorEastAsia" w:hAnsiTheme="minorEastAsia" w:eastAsiaTheme="minorEastAsia" w:cstheme="minorEastAsia"/>
          <w:highlight w:val="none"/>
        </w:rPr>
      </w:pP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391"/>
      <w:r>
        <w:rPr>
          <w:rFonts w:hint="eastAsia" w:asciiTheme="majorEastAsia" w:hAnsiTheme="majorEastAsia" w:eastAsiaTheme="majorEastAsia" w:cstheme="majorEastAsia"/>
          <w:b/>
          <w:color w:val="auto"/>
          <w:sz w:val="36"/>
          <w:szCs w:val="20"/>
          <w:highlight w:val="none"/>
        </w:rPr>
        <w:t xml:space="preserve"> </w:t>
      </w:r>
      <w:bookmarkEnd w:id="392"/>
      <w:r>
        <w:rPr>
          <w:rFonts w:hint="eastAsia" w:asciiTheme="majorEastAsia" w:hAnsiTheme="majorEastAsia" w:eastAsiaTheme="majorEastAsia" w:cstheme="majorEastAsia"/>
          <w:b/>
          <w:color w:val="auto"/>
          <w:sz w:val="36"/>
          <w:szCs w:val="20"/>
          <w:highlight w:val="none"/>
        </w:rPr>
        <w:t>应提交的有关格式范例</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（2）落实政府采购政策需满足的资格要求………………………………（页码）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（3）本项目的特定资格要求………………………………………………（页码）</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我方参与（项目名称）【招标编号：（采购编号）】政府采购活动，郑重承诺：</w:t>
      </w:r>
    </w:p>
    <w:p>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二、落实政府采购政策需满足的资格要求</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Theme="majorEastAsia" w:hAnsiTheme="majorEastAsia" w:eastAsiaTheme="majorEastAsia" w:cstheme="majorEastAsia"/>
          <w:color w:val="auto"/>
          <w:sz w:val="24"/>
          <w:highlight w:val="none"/>
        </w:rPr>
      </w:pPr>
    </w:p>
    <w:p>
      <w:pPr>
        <w:widowControl/>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
          <w:color w:val="auto"/>
          <w:kern w:val="0"/>
          <w:sz w:val="32"/>
          <w:szCs w:val="32"/>
          <w:highlight w:val="none"/>
          <w:lang w:val="zh-CN"/>
        </w:rPr>
        <w:t>联合协议</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w:t>
      </w:r>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分包意向协议</w:t>
      </w:r>
    </w:p>
    <w:p>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pPr>
        <w:pStyle w:val="6"/>
        <w:ind w:left="664" w:leftChars="316" w:firstLine="229" w:firstLineChars="9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二、分包工作履行期限、地点、方式</w:t>
      </w:r>
    </w:p>
    <w:p>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三、质量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四、价款或者报酬</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五、违约责任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六、争议解决的办法</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七、其他</w:t>
      </w:r>
    </w:p>
    <w:p>
      <w:pP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  。                                           投标人名称(电子签名)：</w:t>
      </w:r>
    </w:p>
    <w:p>
      <w:pPr>
        <w:snapToGrid w:val="0"/>
        <w:spacing w:line="360" w:lineRule="auto"/>
        <w:ind w:firstLine="5640" w:firstLineChars="23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三、本项目的特定资格要求</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pPr>
        <w:rPr>
          <w:rFonts w:hint="eastAsia" w:asciiTheme="majorEastAsia" w:hAnsiTheme="majorEastAsia" w:eastAsiaTheme="majorEastAsia" w:cstheme="majorEastAsia"/>
          <w:color w:val="auto"/>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pPr>
        <w:spacing w:line="360" w:lineRule="auto"/>
        <w:jc w:val="center"/>
        <w:outlineLvl w:val="0"/>
        <w:rPr>
          <w:rFonts w:hint="eastAsia" w:asciiTheme="majorEastAsia" w:hAnsiTheme="majorEastAsia" w:eastAsiaTheme="majorEastAsia" w:cstheme="majorEastAsia"/>
          <w:b/>
          <w:color w:val="auto"/>
          <w:kern w:val="0"/>
          <w:sz w:val="24"/>
          <w:highlight w:val="none"/>
        </w:rPr>
      </w:pPr>
    </w:p>
    <w:p>
      <w:pP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（3）联合协议</w:t>
      </w:r>
      <w:r>
        <w:rPr>
          <w:rFonts w:hint="eastAsia" w:asciiTheme="majorEastAsia" w:hAnsiTheme="majorEastAsia" w:eastAsiaTheme="majorEastAsia" w:cstheme="majorEastAsia"/>
          <w:color w:val="auto"/>
          <w:highlight w:val="none"/>
        </w:rPr>
        <w:t>………………………………………………………………………………（页码）</w:t>
      </w:r>
    </w:p>
    <w:p>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（4）分包意向协议</w:t>
      </w:r>
      <w:r>
        <w:rPr>
          <w:rFonts w:hint="eastAsia" w:asciiTheme="majorEastAsia" w:hAnsiTheme="majorEastAsia" w:eastAsiaTheme="majorEastAsia" w:cstheme="majorEastAsia"/>
          <w:color w:val="auto"/>
          <w:highlight w:val="none"/>
        </w:rPr>
        <w:t>…………………………………………………………………………（页码）</w:t>
      </w:r>
    </w:p>
    <w:p>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（5）符合性审查资料</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（6）评标标准相应的商务技术资料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2.1.2落实政府采购政策需满足的资格要求（如果有）；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2.1.3本项目的特定资格要求（如果有）。</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2.2.3联合协议（如果有）；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2.2.4分包意向协议（如果有）；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2.2.5符合性审查资料；</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2.2.6评标标准相应的商务技术资料；</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2.3.2中小企业声明函（如果有）。</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pPr>
        <w:spacing w:line="360" w:lineRule="auto"/>
        <w:ind w:firstLine="3600" w:firstLineChars="15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pPr>
        <w:snapToGrid w:val="0"/>
        <w:spacing w:line="360" w:lineRule="auto"/>
        <w:ind w:left="420" w:leftChars="200" w:firstLine="4200" w:firstLineChars="1750"/>
        <w:rPr>
          <w:rFonts w:hint="eastAsia" w:asciiTheme="majorEastAsia" w:hAnsiTheme="majorEastAsia" w:eastAsiaTheme="majorEastAsia" w:cstheme="majorEastAsia"/>
          <w:color w:val="auto"/>
          <w:kern w:val="0"/>
          <w:sz w:val="24"/>
          <w:highlight w:val="none"/>
          <w:u w:val="singl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rPr>
          <w:rFonts w:hint="eastAsia" w:asciiTheme="majorEastAsia" w:hAnsiTheme="majorEastAsia" w:eastAsiaTheme="majorEastAsia" w:cstheme="majorEastAsia"/>
          <w:color w:val="auto"/>
          <w:sz w:val="24"/>
          <w:highlight w:val="none"/>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pPr>
        <w:snapToGrid w:val="0"/>
        <w:spacing w:line="360" w:lineRule="auto"/>
        <w:ind w:firstLine="2872" w:firstLineChars="894"/>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r>
        <w:rPr>
          <w:rFonts w:hint="eastAsia" w:asciiTheme="majorEastAsia" w:hAnsiTheme="majorEastAsia" w:eastAsiaTheme="majorEastAsia" w:cstheme="majorEastAsia"/>
          <w:color w:val="auto"/>
          <w:highlight w:val="none"/>
        </w:rPr>
        <w:t xml:space="preserve">                               </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sz w:val="24"/>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lang w:val="zh-CN"/>
        </w:rPr>
        <w:t xml:space="preserve">      </w:t>
      </w:r>
      <w:r>
        <w:rPr>
          <w:rFonts w:hint="eastAsia" w:asciiTheme="majorEastAsia" w:hAnsiTheme="majorEastAsia" w:eastAsiaTheme="majorEastAsia" w:cstheme="majorEastAsia"/>
          <w:b/>
          <w:color w:val="auto"/>
          <w:kern w:val="0"/>
          <w:sz w:val="32"/>
          <w:szCs w:val="32"/>
          <w:highlight w:val="none"/>
        </w:rPr>
        <w:t xml:space="preserve"> </w:t>
      </w: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pPr>
        <w:pStyle w:val="91"/>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pPr>
              <w:pStyle w:val="91"/>
              <w:adjustRightInd w:val="0"/>
              <w:spacing w:line="360" w:lineRule="auto"/>
              <w:rPr>
                <w:rFonts w:hint="eastAsia" w:asciiTheme="majorEastAsia" w:hAnsiTheme="majorEastAsia" w:eastAsiaTheme="majorEastAsia" w:cstheme="majorEastAsia"/>
                <w:bCs/>
                <w:color w:val="auto"/>
                <w:sz w:val="24"/>
                <w:highlight w:val="none"/>
              </w:rPr>
            </w:pPr>
          </w:p>
        </w:tc>
      </w:tr>
    </w:tbl>
    <w:p>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rPr>
        <w:t>三、</w:t>
      </w:r>
      <w:r>
        <w:rPr>
          <w:rFonts w:hint="eastAsia" w:asciiTheme="majorEastAsia" w:hAnsiTheme="majorEastAsia" w:eastAsiaTheme="majorEastAsia" w:cstheme="majorEastAsia"/>
          <w:b/>
          <w:color w:val="auto"/>
          <w:kern w:val="0"/>
          <w:sz w:val="32"/>
          <w:szCs w:val="32"/>
          <w:highlight w:val="none"/>
          <w:lang w:val="zh-CN"/>
        </w:rPr>
        <w:t>联合协议</w:t>
      </w:r>
    </w:p>
    <w:p>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snapToGrid w:val="0"/>
        <w:spacing w:line="360" w:lineRule="auto"/>
        <w:ind w:right="480"/>
        <w:rPr>
          <w:rFonts w:hint="eastAsia" w:asciiTheme="majorEastAsia" w:hAnsiTheme="majorEastAsia" w:eastAsiaTheme="majorEastAsia" w:cstheme="majorEastAsia"/>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四、分包意向协议</w:t>
      </w:r>
    </w:p>
    <w:p>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pPr>
        <w:pStyle w:val="6"/>
        <w:ind w:left="664" w:leftChars="316" w:firstLine="229" w:firstLineChars="9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二、分包工作履行期限、地点、方式</w:t>
      </w:r>
    </w:p>
    <w:p>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三、质量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四、价款或者报酬</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五、违约责任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六、争议解决的办法</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七、其他</w:t>
      </w:r>
    </w:p>
    <w:p>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（分包供应商名称）提供的货物全部由小微企业制造，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pPr>
        <w:snapToGrid w:val="0"/>
        <w:spacing w:line="360" w:lineRule="auto"/>
        <w:ind w:firstLine="5640" w:firstLineChars="23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五、符合性审查资料</w:t>
      </w:r>
    </w:p>
    <w:p>
      <w:pPr>
        <w:jc w:val="center"/>
        <w:rPr>
          <w:rFonts w:hint="eastAsia" w:asciiTheme="majorEastAsia" w:hAnsiTheme="majorEastAsia" w:eastAsiaTheme="majorEastAsia" w:cstheme="maj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vAlign w:val="top"/>
          </w:tcPr>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pPr>
              <w:pStyle w:val="6"/>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sz w:val="24"/>
                <w:szCs w:val="24"/>
                <w:highlight w:val="none"/>
                <w:lang w:val="en-US"/>
              </w:rPr>
              <w:t>第</w:t>
            </w:r>
            <w:r>
              <w:rPr>
                <w:rFonts w:hint="eastAsia" w:asciiTheme="majorEastAsia" w:hAnsiTheme="majorEastAsia" w:eastAsiaTheme="majorEastAsia" w:cstheme="majorEastAsia"/>
                <w:b w:val="0"/>
                <w:bCs w:val="0"/>
                <w:color w:val="auto"/>
                <w:sz w:val="24"/>
                <w:szCs w:val="24"/>
                <w:highlight w:val="none"/>
                <w:u w:val="single"/>
                <w:lang w:val="en-US"/>
              </w:rPr>
              <w:t xml:space="preserve">  </w:t>
            </w:r>
            <w:r>
              <w:rPr>
                <w:rFonts w:hint="eastAsia" w:asciiTheme="majorEastAsia" w:hAnsiTheme="majorEastAsia" w:eastAsiaTheme="majorEastAsia" w:cstheme="majorEastAsia"/>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vAlign w:val="top"/>
          </w:tcPr>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投标文件满足招标文件的其它实质性要求。</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六、评标标准相应的商务技术资料</w:t>
      </w:r>
    </w:p>
    <w:p>
      <w:pP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bl>
    <w:p>
      <w:pP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八、</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pP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pPr>
        <w:spacing w:line="360" w:lineRule="auto"/>
        <w:jc w:val="center"/>
        <w:rPr>
          <w:rFonts w:hint="eastAsia" w:asciiTheme="majorEastAsia" w:hAnsiTheme="majorEastAsia" w:eastAsiaTheme="majorEastAsia" w:cstheme="majorEastAsia"/>
          <w:b/>
          <w:bCs/>
          <w:color w:val="auto"/>
          <w:sz w:val="24"/>
          <w:highlight w:val="none"/>
        </w:rPr>
      </w:pPr>
    </w:p>
    <w:p>
      <w:pPr>
        <w:spacing w:line="360" w:lineRule="auto"/>
        <w:jc w:val="center"/>
        <w:rPr>
          <w:rFonts w:hint="eastAsia" w:asciiTheme="majorEastAsia" w:hAnsiTheme="majorEastAsia" w:eastAsiaTheme="majorEastAsia" w:cstheme="maj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numPr>
          <w:ilvl w:val="0"/>
          <w:numId w:val="18"/>
        </w:num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开标一览表（报价表）………………………………………………………（页码）</w:t>
      </w:r>
    </w:p>
    <w:p>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auto"/>
          <w:sz w:val="24"/>
          <w:highlight w:val="none"/>
          <w:lang w:val="en-US" w:eastAsia="zh-CN"/>
        </w:rPr>
        <w:t>（2）报价明细清单</w:t>
      </w:r>
      <w:r>
        <w:rPr>
          <w:rFonts w:hint="eastAsia" w:asciiTheme="majorEastAsia" w:hAnsiTheme="majorEastAsia" w:eastAsiaTheme="majorEastAsia" w:cstheme="majorEastAsia"/>
          <w:color w:val="auto"/>
          <w:sz w:val="24"/>
          <w:highlight w:val="none"/>
        </w:rPr>
        <w:t>………………………………………………………………（页码）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）中小企业声明函………………………………………………………………（页码）</w:t>
      </w: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pStyle w:val="38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rPr>
        <w:t>（采购编号）】的实施</w:t>
      </w:r>
      <w:r>
        <w:rPr>
          <w:rFonts w:hint="eastAsia" w:asciiTheme="majorEastAsia" w:hAnsiTheme="majorEastAsia" w:eastAsiaTheme="majorEastAsia" w:cstheme="majorEastAsia"/>
          <w:color w:val="auto"/>
          <w:kern w:val="0"/>
          <w:sz w:val="24"/>
          <w:highlight w:val="none"/>
          <w:lang w:val="zh-CN"/>
        </w:rPr>
        <w:t>。</w:t>
      </w:r>
    </w:p>
    <w:p>
      <w:pPr>
        <w:numPr>
          <w:ilvl w:val="0"/>
          <w:numId w:val="19"/>
        </w:numPr>
        <w:spacing w:line="360" w:lineRule="auto"/>
        <w:ind w:left="5250" w:leftChars="0" w:firstLineChars="0"/>
        <w:jc w:val="center"/>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b/>
          <w:color w:val="auto"/>
          <w:kern w:val="0"/>
          <w:sz w:val="24"/>
          <w:highlight w:val="none"/>
          <w:lang w:val="zh-CN"/>
        </w:rPr>
        <w:t>开标一览表(单位均为人民币元及</w:t>
      </w:r>
      <w:r>
        <w:rPr>
          <w:rFonts w:hint="eastAsia" w:asciiTheme="majorEastAsia" w:hAnsiTheme="majorEastAsia" w:eastAsiaTheme="majorEastAsia" w:cstheme="majorEastAsia"/>
          <w:b/>
          <w:color w:val="auto"/>
          <w:kern w:val="0"/>
          <w:sz w:val="24"/>
          <w:highlight w:val="none"/>
          <w:lang w:val="en-US" w:eastAsia="zh-CN"/>
        </w:rPr>
        <w:t>%</w:t>
      </w:r>
      <w:r>
        <w:rPr>
          <w:rFonts w:hint="eastAsia" w:asciiTheme="majorEastAsia" w:hAnsiTheme="majorEastAsia" w:eastAsiaTheme="majorEastAsia" w:cstheme="majorEastAsia"/>
          <w:b/>
          <w:color w:val="auto"/>
          <w:kern w:val="0"/>
          <w:sz w:val="24"/>
          <w:highlight w:val="none"/>
          <w:lang w:val="zh-CN"/>
        </w:rPr>
        <w:t>)</w:t>
      </w:r>
    </w:p>
    <w:tbl>
      <w:tblPr>
        <w:tblStyle w:val="64"/>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39"/>
        <w:gridCol w:w="2905"/>
        <w:gridCol w:w="638"/>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项目</w:t>
            </w:r>
          </w:p>
        </w:tc>
        <w:tc>
          <w:tcPr>
            <w:tcW w:w="638"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单位</w:t>
            </w:r>
          </w:p>
        </w:tc>
        <w:tc>
          <w:tcPr>
            <w:tcW w:w="543"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数量</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合计（元）</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6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eastAsia="zh-CN"/>
              </w:rPr>
            </w:pPr>
            <w:bookmarkStart w:id="401" w:name="_GoBack" w:colFirst="2" w:colLast="2"/>
            <w:r>
              <w:rPr>
                <w:rFonts w:hint="eastAsia" w:asciiTheme="majorEastAsia" w:hAnsiTheme="majorEastAsia" w:eastAsiaTheme="majorEastAsia" w:cstheme="majorEastAsia"/>
                <w:color w:val="auto"/>
                <w:kern w:val="2"/>
                <w:sz w:val="18"/>
                <w:szCs w:val="18"/>
                <w:highlight w:val="none"/>
                <w:lang w:val="en-US" w:eastAsia="zh-CN"/>
              </w:rPr>
              <w:t>1</w:t>
            </w:r>
          </w:p>
        </w:tc>
        <w:tc>
          <w:tcPr>
            <w:tcW w:w="1239" w:type="dxa"/>
            <w:vMerge w:val="restart"/>
            <w:tcBorders>
              <w:top w:val="single" w:color="000000" w:sz="4" w:space="0"/>
              <w:left w:val="single" w:color="000000"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en-US"/>
              </w:rPr>
            </w:pPr>
            <w:r>
              <w:rPr>
                <w:rFonts w:hint="eastAsia" w:asciiTheme="majorEastAsia" w:hAnsiTheme="majorEastAsia" w:eastAsiaTheme="majorEastAsia" w:cstheme="majorEastAsia"/>
                <w:color w:val="auto"/>
                <w:kern w:val="2"/>
                <w:sz w:val="18"/>
                <w:szCs w:val="18"/>
                <w:highlight w:val="none"/>
                <w:lang w:val="zh-CN" w:eastAsia="zh-CN"/>
              </w:rPr>
              <w:t>道路保洁</w:t>
            </w:r>
            <w:r>
              <w:rPr>
                <w:rFonts w:hint="eastAsia" w:asciiTheme="majorEastAsia" w:hAnsiTheme="majorEastAsia" w:eastAsiaTheme="majorEastAsia" w:cstheme="majorEastAsia"/>
                <w:color w:val="auto"/>
                <w:kern w:val="2"/>
                <w:sz w:val="18"/>
                <w:szCs w:val="18"/>
                <w:highlight w:val="none"/>
                <w:lang w:val="en-US" w:eastAsia="zh-CN"/>
              </w:rPr>
              <w:t>费</w:t>
            </w:r>
          </w:p>
        </w:tc>
        <w:tc>
          <w:tcPr>
            <w:tcW w:w="2905" w:type="dxa"/>
            <w:tcBorders>
              <w:top w:val="single" w:color="000000" w:sz="4" w:space="0"/>
              <w:left w:val="single" w:color="auto"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保洁人员工资</w:t>
            </w:r>
          </w:p>
        </w:tc>
        <w:tc>
          <w:tcPr>
            <w:tcW w:w="638" w:type="dxa"/>
            <w:tcBorders>
              <w:top w:val="single" w:color="000000" w:sz="4" w:space="0"/>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0" w:hRule="atLeast"/>
        </w:trPr>
        <w:tc>
          <w:tcPr>
            <w:tcW w:w="600" w:type="dxa"/>
            <w:vMerge w:val="continue"/>
            <w:tcBorders>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eastAsia="zh-CN"/>
              </w:rPr>
            </w:pPr>
          </w:p>
        </w:tc>
        <w:tc>
          <w:tcPr>
            <w:tcW w:w="2905" w:type="dxa"/>
            <w:tcBorders>
              <w:top w:val="single" w:color="000000" w:sz="4" w:space="0"/>
              <w:left w:val="single" w:color="auto"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设备投入费用</w:t>
            </w:r>
          </w:p>
        </w:tc>
        <w:tc>
          <w:tcPr>
            <w:tcW w:w="638" w:type="dxa"/>
            <w:tcBorders>
              <w:top w:val="single" w:color="000000" w:sz="4" w:space="0"/>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3" w:hRule="atLeast"/>
        </w:trPr>
        <w:tc>
          <w:tcPr>
            <w:tcW w:w="600" w:type="dxa"/>
            <w:vMerge w:val="restart"/>
            <w:tcBorders>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2</w:t>
            </w:r>
          </w:p>
        </w:tc>
        <w:tc>
          <w:tcPr>
            <w:tcW w:w="1239" w:type="dxa"/>
            <w:vMerge w:val="restart"/>
            <w:tcBorders>
              <w:left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en-US"/>
              </w:rPr>
            </w:pPr>
            <w:r>
              <w:rPr>
                <w:rFonts w:hint="eastAsia" w:asciiTheme="majorEastAsia" w:hAnsiTheme="majorEastAsia" w:eastAsiaTheme="majorEastAsia" w:cstheme="majorEastAsia"/>
                <w:color w:val="auto"/>
                <w:kern w:val="2"/>
                <w:sz w:val="18"/>
                <w:szCs w:val="18"/>
                <w:highlight w:val="none"/>
                <w:lang w:val="en-US"/>
              </w:rPr>
              <w:t>县道保洁</w:t>
            </w:r>
            <w:r>
              <w:rPr>
                <w:rFonts w:hint="eastAsia" w:asciiTheme="majorEastAsia" w:hAnsiTheme="majorEastAsia" w:eastAsiaTheme="majorEastAsia" w:cstheme="majorEastAsia"/>
                <w:color w:val="auto"/>
                <w:kern w:val="2"/>
                <w:sz w:val="18"/>
                <w:szCs w:val="18"/>
                <w:highlight w:val="none"/>
                <w:lang w:val="en-US" w:eastAsia="zh-CN"/>
              </w:rPr>
              <w:t>费</w:t>
            </w:r>
          </w:p>
        </w:tc>
        <w:tc>
          <w:tcPr>
            <w:tcW w:w="2905" w:type="dxa"/>
            <w:tcBorders>
              <w:left w:val="single" w:color="auto"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保洁人员工资</w:t>
            </w:r>
          </w:p>
        </w:tc>
        <w:tc>
          <w:tcPr>
            <w:tcW w:w="638" w:type="dxa"/>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trPr>
        <w:tc>
          <w:tcPr>
            <w:tcW w:w="600" w:type="dxa"/>
            <w:vMerge w:val="continue"/>
            <w:tcBorders>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zh-CN" w:eastAsia="zh-CN"/>
              </w:rPr>
            </w:pPr>
          </w:p>
        </w:tc>
        <w:tc>
          <w:tcPr>
            <w:tcW w:w="2905" w:type="dxa"/>
            <w:tcBorders>
              <w:left w:val="single" w:color="auto"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设备投入费用</w:t>
            </w:r>
          </w:p>
        </w:tc>
        <w:tc>
          <w:tcPr>
            <w:tcW w:w="638" w:type="dxa"/>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3</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both"/>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zh-CN" w:eastAsia="zh-CN"/>
              </w:rPr>
              <w:t>公交候车亭</w:t>
            </w:r>
            <w:r>
              <w:rPr>
                <w:rFonts w:hint="eastAsia" w:asciiTheme="majorEastAsia" w:hAnsiTheme="majorEastAsia" w:eastAsiaTheme="majorEastAsia" w:cstheme="majorEastAsia"/>
                <w:color w:val="auto"/>
                <w:kern w:val="2"/>
                <w:sz w:val="18"/>
                <w:szCs w:val="18"/>
                <w:highlight w:val="none"/>
                <w:lang w:val="en-US"/>
              </w:rPr>
              <w:t>保洁</w:t>
            </w:r>
            <w:r>
              <w:rPr>
                <w:rFonts w:hint="eastAsia" w:asciiTheme="majorEastAsia" w:hAnsiTheme="majorEastAsia" w:eastAsiaTheme="majorEastAsia" w:cstheme="majorEastAsia"/>
                <w:color w:val="auto"/>
                <w:kern w:val="2"/>
                <w:sz w:val="18"/>
                <w:szCs w:val="18"/>
                <w:highlight w:val="none"/>
                <w:lang w:val="en-US" w:eastAsia="zh-CN"/>
              </w:rPr>
              <w:t>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4</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both"/>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公厕保洁费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 w:hRule="atLeast"/>
        </w:trPr>
        <w:tc>
          <w:tcPr>
            <w:tcW w:w="600" w:type="dxa"/>
            <w:vMerge w:val="restart"/>
            <w:tcBorders>
              <w:left w:val="single" w:color="000000" w:sz="4" w:space="0"/>
              <w:right w:val="single" w:color="000000" w:sz="4" w:space="0"/>
            </w:tcBorders>
            <w:noWrap w:val="0"/>
            <w:vAlign w:val="center"/>
          </w:tcPr>
          <w:p>
            <w:pPr>
              <w:spacing w:line="240" w:lineRule="auto"/>
              <w:jc w:val="center"/>
              <w:rPr>
                <w:rFonts w:hint="default"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5</w:t>
            </w:r>
          </w:p>
        </w:tc>
        <w:tc>
          <w:tcPr>
            <w:tcW w:w="1239" w:type="dxa"/>
            <w:vMerge w:val="restart"/>
            <w:tcBorders>
              <w:left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绿化养护费</w:t>
            </w:r>
          </w:p>
        </w:tc>
        <w:tc>
          <w:tcPr>
            <w:tcW w:w="2905" w:type="dxa"/>
            <w:tcBorders>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宋体" w:hAnsi="宋体" w:eastAsia="宋体" w:cs="宋体"/>
                <w:color w:val="auto"/>
                <w:sz w:val="18"/>
                <w:szCs w:val="18"/>
                <w:highlight w:val="none"/>
              </w:rPr>
              <w:t>日常养护费 （绿化养护费的70%</w:t>
            </w:r>
            <w:r>
              <w:rPr>
                <w:rFonts w:hint="eastAsia" w:ascii="宋体" w:hAnsi="宋体" w:eastAsia="宋体" w:cs="宋体"/>
                <w:color w:val="auto"/>
                <w:sz w:val="18"/>
                <w:szCs w:val="18"/>
                <w:highlight w:val="none"/>
                <w:lang w:eastAsia="zh-CN"/>
              </w:rPr>
              <w:t>）</w:t>
            </w:r>
          </w:p>
        </w:tc>
        <w:tc>
          <w:tcPr>
            <w:tcW w:w="638" w:type="dxa"/>
            <w:vMerge w:val="restart"/>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vMerge w:val="restart"/>
            <w:tcBorders>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9" w:hRule="atLeast"/>
        </w:trPr>
        <w:tc>
          <w:tcPr>
            <w:tcW w:w="600"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p>
        </w:tc>
        <w:tc>
          <w:tcPr>
            <w:tcW w:w="1239" w:type="dxa"/>
            <w:vMerge w:val="continue"/>
            <w:tcBorders>
              <w:left w:val="single" w:color="000000" w:sz="4" w:space="0"/>
              <w:bottom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en-US" w:eastAsia="zh-CN"/>
              </w:rPr>
            </w:pPr>
          </w:p>
        </w:tc>
        <w:tc>
          <w:tcPr>
            <w:tcW w:w="2905" w:type="dxa"/>
            <w:tcBorders>
              <w:top w:val="single" w:color="auto" w:sz="4" w:space="0"/>
              <w:left w:val="single" w:color="auto" w:sz="4" w:space="0"/>
              <w:bottom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宋体" w:hAnsi="宋体" w:eastAsia="宋体" w:cs="宋体"/>
                <w:color w:val="auto"/>
                <w:sz w:val="18"/>
                <w:szCs w:val="18"/>
                <w:highlight w:val="none"/>
                <w:lang w:val="en-US" w:eastAsia="zh-CN"/>
              </w:rPr>
              <w:t>更</w:t>
            </w:r>
            <w:r>
              <w:rPr>
                <w:rFonts w:hint="eastAsia" w:ascii="宋体" w:hAnsi="宋体" w:eastAsia="宋体" w:cs="宋体"/>
                <w:color w:val="auto"/>
                <w:sz w:val="18"/>
                <w:szCs w:val="18"/>
                <w:highlight w:val="none"/>
              </w:rPr>
              <w:t>新改造费 （绿化养护费的30%）</w:t>
            </w:r>
          </w:p>
        </w:tc>
        <w:tc>
          <w:tcPr>
            <w:tcW w:w="638" w:type="dxa"/>
            <w:vMerge w:val="continue"/>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p>
        </w:tc>
        <w:tc>
          <w:tcPr>
            <w:tcW w:w="543" w:type="dxa"/>
            <w:vMerge w:val="continue"/>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p>
        </w:tc>
        <w:tc>
          <w:tcPr>
            <w:tcW w:w="1144"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bookmarkEnd w:id="40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6</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both"/>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时花养护费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7</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both"/>
              <w:rPr>
                <w:rFonts w:hint="eastAsia" w:asciiTheme="majorEastAsia" w:hAnsiTheme="majorEastAsia" w:eastAsiaTheme="majorEastAsia" w:cstheme="majorEastAsia"/>
                <w:color w:val="auto"/>
                <w:kern w:val="2"/>
                <w:sz w:val="18"/>
                <w:szCs w:val="18"/>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（其他可能会移交的道路）</w:t>
            </w:r>
            <w:r>
              <w:rPr>
                <w:rFonts w:hint="eastAsia" w:asciiTheme="majorEastAsia" w:hAnsiTheme="majorEastAsia" w:eastAsiaTheme="majorEastAsia" w:cstheme="majorEastAsia"/>
                <w:color w:val="auto"/>
                <w:kern w:val="2"/>
                <w:sz w:val="18"/>
                <w:szCs w:val="18"/>
                <w:highlight w:val="none"/>
                <w:lang w:val="en-US" w:eastAsia="zh-CN"/>
              </w:rPr>
              <w:t>养护费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r>
              <w:rPr>
                <w:rFonts w:hint="eastAsia" w:ascii="宋体" w:hAnsi="宋体" w:cs="宋体"/>
                <w:i w:val="0"/>
                <w:iCs w:val="0"/>
                <w:color w:val="000000"/>
                <w:kern w:val="0"/>
                <w:sz w:val="22"/>
                <w:szCs w:val="22"/>
                <w:highlight w:val="none"/>
                <w:u w:val="none"/>
                <w:lang w:val="en-US" w:eastAsia="zh-CN" w:bidi="ar"/>
              </w:rPr>
              <w:t>1823612</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firstLine="180" w:firstLineChars="100"/>
              <w:jc w:val="left"/>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费用</w:t>
            </w:r>
            <w:r>
              <w:rPr>
                <w:rFonts w:hint="eastAsia" w:asciiTheme="majorEastAsia" w:hAnsiTheme="majorEastAsia" w:eastAsiaTheme="majorEastAsia" w:cstheme="majorEastAsia"/>
                <w:color w:val="auto"/>
                <w:kern w:val="2"/>
                <w:sz w:val="18"/>
                <w:szCs w:val="18"/>
                <w:highlight w:val="none"/>
                <w:lang w:val="en-US" w:eastAsia="zh-CN"/>
              </w:rPr>
              <w:t>一</w:t>
            </w:r>
            <w:r>
              <w:rPr>
                <w:rFonts w:hint="eastAsia" w:asciiTheme="majorEastAsia" w:hAnsiTheme="majorEastAsia" w:eastAsiaTheme="majorEastAsia" w:cstheme="majorEastAsia"/>
                <w:color w:val="auto"/>
                <w:kern w:val="2"/>
                <w:sz w:val="18"/>
                <w:szCs w:val="18"/>
                <w:highlight w:val="none"/>
                <w:lang w:val="zh-CN"/>
              </w:rPr>
              <w:t>合计总价（1+2+3</w:t>
            </w:r>
            <w:r>
              <w:rPr>
                <w:rFonts w:hint="eastAsia" w:asciiTheme="majorEastAsia" w:hAnsiTheme="majorEastAsia" w:eastAsiaTheme="majorEastAsia" w:cstheme="majorEastAsia"/>
                <w:color w:val="auto"/>
                <w:kern w:val="2"/>
                <w:sz w:val="18"/>
                <w:szCs w:val="18"/>
                <w:highlight w:val="none"/>
                <w:lang w:val="en-US" w:eastAsia="zh-CN"/>
              </w:rPr>
              <w:t>+4+5+6+7</w:t>
            </w:r>
            <w:r>
              <w:rPr>
                <w:rFonts w:hint="eastAsia" w:asciiTheme="majorEastAsia" w:hAnsiTheme="majorEastAsia" w:eastAsiaTheme="majorEastAsia" w:cstheme="majorEastAsia"/>
                <w:color w:val="auto"/>
                <w:kern w:val="2"/>
                <w:sz w:val="18"/>
                <w:szCs w:val="18"/>
                <w:highlight w:val="none"/>
                <w:lang w:val="zh-CN"/>
              </w:rPr>
              <w:t>）</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小写（元）</w:t>
            </w:r>
          </w:p>
        </w:tc>
        <w:tc>
          <w:tcPr>
            <w:tcW w:w="7125"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大写（元）</w:t>
            </w:r>
          </w:p>
        </w:tc>
        <w:tc>
          <w:tcPr>
            <w:tcW w:w="7125" w:type="dxa"/>
            <w:tcBorders>
              <w:top w:val="single" w:color="auto" w:sz="4" w:space="0"/>
              <w:left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p>
        </w:tc>
      </w:tr>
    </w:tbl>
    <w:p>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pPr>
        <w:spacing w:line="360" w:lineRule="auto"/>
        <w:ind w:left="-2"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1、投标人需按本表格式填写，不得自行更改。</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投标文件含有采购人不能接受的附加条件的，投标无效</w:t>
      </w:r>
      <w:r>
        <w:rPr>
          <w:rFonts w:hint="eastAsia" w:asciiTheme="majorEastAsia" w:hAnsiTheme="majorEastAsia" w:eastAsiaTheme="majorEastAsia" w:cstheme="majorEastAsia"/>
          <w:b/>
          <w:color w:val="auto"/>
          <w:kern w:val="0"/>
          <w:sz w:val="24"/>
          <w:highlight w:val="none"/>
          <w:lang w:val="zh-CN"/>
        </w:rPr>
        <w:t>。</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5、</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382"/>
        <w:snapToGrid w:val="0"/>
        <w:spacing w:before="120" w:after="120"/>
        <w:ind w:firstLine="0"/>
        <w:outlineLvl w:val="9"/>
        <w:rPr>
          <w:rFonts w:hint="eastAsia" w:asciiTheme="majorEastAsia" w:hAnsiTheme="majorEastAsia" w:eastAsiaTheme="majorEastAsia" w:cstheme="majorEastAsia"/>
          <w:color w:val="auto"/>
          <w:highlight w:val="none"/>
        </w:rPr>
      </w:pP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独立投标：投标人名称(电子签名)：</w:t>
      </w: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或</w:t>
      </w: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采用联合体投标：联合体牵头人名称(电子签名/盖章)：</w:t>
      </w:r>
    </w:p>
    <w:p>
      <w:pPr>
        <w:pStyle w:val="382"/>
        <w:snapToGrid w:val="0"/>
        <w:spacing w:before="120" w:after="120"/>
        <w:ind w:firstLine="0"/>
        <w:jc w:val="right"/>
        <w:outlineLvl w:val="9"/>
        <w:rPr>
          <w:rFonts w:hint="eastAsia" w:asciiTheme="majorEastAsia" w:hAnsiTheme="majorEastAsia" w:eastAsiaTheme="majorEastAsia" w:cs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asciiTheme="majorEastAsia" w:hAnsiTheme="majorEastAsia" w:eastAsiaTheme="majorEastAsia" w:cstheme="majorEastAsia"/>
          <w:color w:val="auto"/>
          <w:sz w:val="24"/>
          <w:highlight w:val="none"/>
        </w:rPr>
        <w:t xml:space="preserve">   日期：  年   月 </w:t>
      </w:r>
    </w:p>
    <w:p>
      <w:pPr>
        <w:pStyle w:val="82"/>
        <w:numPr>
          <w:ilvl w:val="0"/>
          <w:numId w:val="19"/>
        </w:numPr>
        <w:ind w:left="525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道路保洁报价明细清单1</w:t>
      </w:r>
    </w:p>
    <w:tbl>
      <w:tblPr>
        <w:tblStyle w:val="64"/>
        <w:tblW w:w="14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900"/>
        <w:gridCol w:w="1320"/>
        <w:gridCol w:w="1185"/>
        <w:gridCol w:w="825"/>
        <w:gridCol w:w="2132"/>
        <w:gridCol w:w="2407"/>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路段名称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最高限价（元/年）</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综合单价 </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（元/年） </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云联路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仓兴街（永乐工业园区）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40375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数云路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23312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褚家塘路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长松街（东至数云路西至云联路）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途义路</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祥余路（西至云联路东至仓兴街）</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城东路</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29227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祥余线（东至云联路西至城东路）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长祥路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蒋家门路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长松街（东至云联路西至城东路）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永乐农居点仓乐雅苑周边道路及人行道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沙河路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水乡北路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40953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文良路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万金路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26862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第四小学南侧道路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第三初级中学道路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林场线公墓停车场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二类</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14.94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3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pStyle w:val="82"/>
        <w:numPr>
          <w:ilvl w:val="0"/>
          <w:numId w:val="0"/>
        </w:numPr>
        <w:ind w:leftChars="0"/>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19"/>
        </w:numPr>
        <w:ind w:left="525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县道保洁报价明细清单2</w:t>
      </w:r>
    </w:p>
    <w:tbl>
      <w:tblPr>
        <w:tblStyle w:val="64"/>
        <w:tblW w:w="14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320"/>
        <w:gridCol w:w="2070"/>
        <w:gridCol w:w="1185"/>
        <w:gridCol w:w="2488"/>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县道名称</w:t>
            </w: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20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最高限价（元/年）</w:t>
            </w:r>
          </w:p>
        </w:tc>
        <w:tc>
          <w:tcPr>
            <w:tcW w:w="11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4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综合单价 </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（元/年） </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c>
          <w:tcPr>
            <w:tcW w:w="21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林场线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公里</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4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4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bl>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19"/>
        </w:numPr>
        <w:ind w:left="5250" w:leftChars="0" w:firstLine="0" w:firstLineChars="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公交候车亭洁报价明细清单3</w:t>
      </w:r>
    </w:p>
    <w:tbl>
      <w:tblPr>
        <w:tblStyle w:val="64"/>
        <w:tblW w:w="14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320"/>
        <w:gridCol w:w="2070"/>
        <w:gridCol w:w="1185"/>
        <w:gridCol w:w="2488"/>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3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20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ottom"/>
              <w:rPr>
                <w:rFonts w:hint="eastAsia" w:asciiTheme="majorEastAsia" w:hAnsiTheme="majorEastAsia" w:eastAsiaTheme="majorEastAsia" w:cstheme="majorEastAsia"/>
                <w:b/>
                <w:bCs/>
                <w:color w:val="auto"/>
                <w:kern w:val="0"/>
                <w:sz w:val="24"/>
                <w:szCs w:val="24"/>
                <w:highlight w:val="none"/>
                <w:lang w:eastAsia="zh-CN"/>
              </w:rPr>
            </w:pPr>
            <w:r>
              <w:rPr>
                <w:rFonts w:hint="eastAsia" w:asciiTheme="majorEastAsia" w:hAnsiTheme="majorEastAsia" w:eastAsiaTheme="majorEastAsia" w:cstheme="majorEastAsia"/>
                <w:b/>
                <w:bCs/>
                <w:color w:val="auto"/>
                <w:kern w:val="0"/>
                <w:sz w:val="24"/>
                <w:szCs w:val="24"/>
                <w:highlight w:val="none"/>
                <w:lang w:eastAsia="zh-CN"/>
              </w:rPr>
              <w:t>最高限价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Theme="majorEastAsia" w:hAnsiTheme="majorEastAsia" w:eastAsiaTheme="majorEastAsia" w:cstheme="majorEastAsia"/>
                <w:b/>
                <w:bCs/>
                <w:color w:val="auto"/>
                <w:kern w:val="0"/>
                <w:sz w:val="24"/>
                <w:szCs w:val="24"/>
                <w:highlight w:val="none"/>
              </w:rPr>
              <w:t>(元/年)</w:t>
            </w:r>
          </w:p>
        </w:tc>
        <w:tc>
          <w:tcPr>
            <w:tcW w:w="11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48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(元/年)</w:t>
            </w:r>
          </w:p>
        </w:tc>
        <w:tc>
          <w:tcPr>
            <w:tcW w:w="2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90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公交候车亭</w:t>
            </w:r>
          </w:p>
        </w:tc>
        <w:tc>
          <w:tcPr>
            <w:tcW w:w="132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07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3650</w:t>
            </w:r>
          </w:p>
        </w:tc>
        <w:tc>
          <w:tcPr>
            <w:tcW w:w="118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座</w:t>
            </w:r>
          </w:p>
        </w:tc>
        <w:tc>
          <w:tcPr>
            <w:tcW w:w="2488"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2119"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5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beforeLines="0" w:afterLine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4607"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5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beforeLines="0" w:afterLine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4607"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pStyle w:val="82"/>
        <w:numPr>
          <w:ilvl w:val="0"/>
          <w:numId w:val="0"/>
        </w:numPr>
        <w:ind w:leftChars="0"/>
        <w:jc w:val="both"/>
        <w:rPr>
          <w:rFonts w:hint="eastAsia" w:asciiTheme="majorEastAsia" w:hAnsiTheme="majorEastAsia" w:eastAsiaTheme="majorEastAsia" w:cstheme="majorEastAsia"/>
          <w:color w:val="auto"/>
          <w:sz w:val="24"/>
          <w:szCs w:val="24"/>
          <w:highlight w:val="none"/>
          <w:lang w:val="en-US" w:eastAsia="zh-CN"/>
        </w:rPr>
      </w:pPr>
    </w:p>
    <w:p>
      <w:pPr>
        <w:pStyle w:val="82"/>
        <w:numPr>
          <w:ilvl w:val="0"/>
          <w:numId w:val="19"/>
        </w:numPr>
        <w:ind w:left="5250" w:leftChars="0" w:firstLine="0" w:firstLineChars="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公厕保洁报价明细清单4</w:t>
      </w:r>
    </w:p>
    <w:tbl>
      <w:tblPr>
        <w:tblStyle w:val="64"/>
        <w:tblpPr w:leftFromText="180" w:rightFromText="180" w:vertAnchor="text" w:horzAnchor="page" w:tblpX="1404" w:tblpY="259"/>
        <w:tblOverlap w:val="never"/>
        <w:tblW w:w="14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023"/>
        <w:gridCol w:w="1950"/>
        <w:gridCol w:w="2400"/>
        <w:gridCol w:w="283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序号</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公厕名称</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类别</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60" w:lineRule="auto"/>
              <w:jc w:val="center"/>
              <w:textAlignment w:val="bottom"/>
              <w:rPr>
                <w:rFonts w:hint="eastAsia" w:asciiTheme="majorEastAsia" w:hAnsiTheme="majorEastAsia" w:eastAsiaTheme="majorEastAsia" w:cstheme="majorEastAsia"/>
                <w:b/>
                <w:bCs/>
                <w:color w:val="auto"/>
                <w:kern w:val="0"/>
                <w:sz w:val="24"/>
                <w:szCs w:val="24"/>
                <w:highlight w:val="none"/>
                <w:lang w:eastAsia="zh-CN"/>
              </w:rPr>
            </w:pPr>
            <w:r>
              <w:rPr>
                <w:rFonts w:hint="eastAsia" w:asciiTheme="majorEastAsia" w:hAnsiTheme="majorEastAsia" w:eastAsiaTheme="majorEastAsia" w:cstheme="majorEastAsia"/>
                <w:b/>
                <w:bCs/>
                <w:color w:val="auto"/>
                <w:kern w:val="0"/>
                <w:sz w:val="24"/>
                <w:szCs w:val="24"/>
                <w:highlight w:val="none"/>
                <w:lang w:eastAsia="zh-CN"/>
              </w:rPr>
              <w:t>最高限价</w:t>
            </w:r>
          </w:p>
          <w:p>
            <w:pPr>
              <w:widowControl/>
              <w:spacing w:line="360" w:lineRule="auto"/>
              <w:jc w:val="center"/>
              <w:textAlignment w:val="bottom"/>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color w:val="auto"/>
                <w:kern w:val="0"/>
                <w:sz w:val="24"/>
                <w:szCs w:val="24"/>
                <w:highlight w:val="none"/>
              </w:rPr>
              <w:t>(元/年)</w:t>
            </w:r>
          </w:p>
        </w:tc>
        <w:tc>
          <w:tcPr>
            <w:tcW w:w="28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(元/年)</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二年合计（元）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永乐公厕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sz w:val="24"/>
                <w:szCs w:val="24"/>
                <w:highlight w:val="none"/>
              </w:rPr>
              <w:t>15</w:t>
            </w:r>
            <w:r>
              <w:rPr>
                <w:rFonts w:hint="eastAsia" w:asciiTheme="majorEastAsia" w:hAnsiTheme="majorEastAsia" w:eastAsiaTheme="majorEastAsia" w:cstheme="majorEastAsia"/>
                <w:sz w:val="24"/>
                <w:szCs w:val="24"/>
                <w:highlight w:val="none"/>
                <w:lang w:val="en-US" w:eastAsia="zh-CN"/>
              </w:rPr>
              <w:t>0000</w:t>
            </w:r>
          </w:p>
        </w:tc>
        <w:tc>
          <w:tcPr>
            <w:tcW w:w="28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ajorEastAsia" w:hAnsiTheme="majorEastAsia" w:eastAsiaTheme="majorEastAsia" w:cstheme="majorEastAsia"/>
                <w:color w:val="auto"/>
                <w:sz w:val="24"/>
                <w:szCs w:val="24"/>
                <w:highlight w:val="none"/>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二年总计投标报价（小写）</w:t>
            </w:r>
          </w:p>
        </w:tc>
        <w:tc>
          <w:tcPr>
            <w:tcW w:w="73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二年总计投标报价（大写）</w:t>
            </w:r>
          </w:p>
        </w:tc>
        <w:tc>
          <w:tcPr>
            <w:tcW w:w="73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r>
    </w:tbl>
    <w:p>
      <w:pPr>
        <w:pStyle w:val="82"/>
        <w:numPr>
          <w:ilvl w:val="0"/>
          <w:numId w:val="19"/>
        </w:numPr>
        <w:ind w:left="5250" w:leftChars="0" w:firstLine="0" w:firstLineChars="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绿化养护报价明细清单5</w:t>
      </w: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tbl>
      <w:tblPr>
        <w:tblStyle w:val="64"/>
        <w:tblW w:w="141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3450"/>
        <w:gridCol w:w="1065"/>
        <w:gridCol w:w="1302"/>
        <w:gridCol w:w="1450"/>
        <w:gridCol w:w="2154"/>
        <w:gridCol w:w="2400"/>
        <w:gridCol w:w="131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4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路段名称</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面积</w:t>
            </w:r>
          </w:p>
        </w:tc>
        <w:tc>
          <w:tcPr>
            <w:tcW w:w="13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450" w:type="dxa"/>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2154" w:type="dxa"/>
            <w:tcBorders>
              <w:top w:val="single" w:color="auto" w:sz="4" w:space="0"/>
              <w:left w:val="single" w:color="000000" w:sz="4" w:space="0"/>
              <w:bottom w:val="single" w:color="auto" w:sz="4" w:space="0"/>
              <w:right w:val="nil"/>
            </w:tcBorders>
            <w:shd w:val="clear" w:color="auto" w:fill="auto"/>
            <w:vAlign w:val="center"/>
          </w:tcPr>
          <w:p>
            <w:pPr>
              <w:widowControl/>
              <w:spacing w:line="360" w:lineRule="auto"/>
              <w:jc w:val="center"/>
              <w:textAlignment w:val="bottom"/>
              <w:rPr>
                <w:rFonts w:hint="eastAsia" w:asciiTheme="majorEastAsia" w:hAnsiTheme="majorEastAsia" w:eastAsiaTheme="majorEastAsia" w:cstheme="majorEastAsia"/>
                <w:b/>
                <w:bCs/>
                <w:color w:val="auto"/>
                <w:kern w:val="0"/>
                <w:sz w:val="24"/>
                <w:szCs w:val="24"/>
                <w:highlight w:val="none"/>
                <w:lang w:eastAsia="zh-CN"/>
              </w:rPr>
            </w:pPr>
            <w:r>
              <w:rPr>
                <w:rFonts w:hint="eastAsia" w:asciiTheme="majorEastAsia" w:hAnsiTheme="majorEastAsia" w:eastAsiaTheme="majorEastAsia" w:cstheme="majorEastAsia"/>
                <w:b/>
                <w:bCs/>
                <w:color w:val="auto"/>
                <w:kern w:val="0"/>
                <w:sz w:val="24"/>
                <w:szCs w:val="24"/>
                <w:highlight w:val="none"/>
                <w:lang w:eastAsia="zh-CN"/>
              </w:rPr>
              <w:t>最高限价</w:t>
            </w:r>
          </w:p>
          <w:p>
            <w:pPr>
              <w:widowControl/>
              <w:spacing w:line="360" w:lineRule="auto"/>
              <w:jc w:val="center"/>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Theme="majorEastAsia" w:hAnsiTheme="majorEastAsia" w:eastAsiaTheme="majorEastAsia" w:cstheme="majorEastAsia"/>
                <w:b/>
                <w:bCs/>
                <w:color w:val="auto"/>
                <w:kern w:val="0"/>
                <w:sz w:val="24"/>
                <w:szCs w:val="24"/>
                <w:highlight w:val="none"/>
              </w:rPr>
              <w:t>(元/年)</w:t>
            </w:r>
          </w:p>
        </w:tc>
        <w:tc>
          <w:tcPr>
            <w:tcW w:w="240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(元/年)</w:t>
            </w:r>
          </w:p>
        </w:tc>
        <w:tc>
          <w:tcPr>
            <w:tcW w:w="13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科技大道</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52190</w:t>
            </w:r>
          </w:p>
        </w:tc>
        <w:tc>
          <w:tcPr>
            <w:tcW w:w="13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科技一路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3786</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后木桥路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金星二路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前木桥路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永乐路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祥余路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城东路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5668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水乡北路</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城东路行道树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780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祥余路行道树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沙河路行道树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112</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nil"/>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长松街行道树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508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水乡北路行道树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756</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文良路树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364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万金路树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740</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第四小学南侧树</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244</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4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第三初级中学</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228</w:t>
            </w:r>
          </w:p>
        </w:tc>
        <w:tc>
          <w:tcPr>
            <w:tcW w:w="130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vertAlign w:val="superscript"/>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9.16</w:t>
            </w:r>
          </w:p>
        </w:tc>
        <w:tc>
          <w:tcPr>
            <w:tcW w:w="24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1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88" w:hRule="atLeast"/>
        </w:trPr>
        <w:tc>
          <w:tcPr>
            <w:tcW w:w="10441" w:type="dxa"/>
            <w:gridSpan w:val="6"/>
            <w:tcBorders>
              <w:top w:val="single" w:color="auto" w:sz="4" w:space="0"/>
              <w:left w:val="single" w:color="auto" w:sz="4" w:space="0"/>
              <w:bottom w:val="single" w:color="auto" w:sz="4" w:space="0"/>
              <w:right w:val="nil"/>
            </w:tcBorders>
            <w:shd w:val="clear" w:color="auto" w:fill="FFFFFF"/>
            <w:noWrap/>
            <w:vAlign w:val="center"/>
          </w:tcPr>
          <w:p>
            <w:pPr>
              <w:widowControl/>
              <w:spacing w:beforeLines="0" w:afterLines="0"/>
              <w:jc w:val="center"/>
              <w:textAlignment w:val="center"/>
              <w:rPr>
                <w:rFonts w:hint="eastAsia" w:ascii="宋体" w:hAnsi="宋体" w:eastAsia="宋体" w:cs="宋体"/>
                <w:i w:val="0"/>
                <w:iCs w:val="0"/>
                <w:color w:val="000000"/>
                <w:sz w:val="24"/>
                <w:szCs w:val="24"/>
                <w:highlight w:val="none"/>
                <w:u w:val="none"/>
              </w:rPr>
            </w:pPr>
            <w:r>
              <w:rPr>
                <w:rFonts w:hint="eastAsia" w:asciiTheme="majorEastAsia" w:hAnsiTheme="majorEastAsia" w:eastAsiaTheme="majorEastAsia" w:cstheme="majorEastAsia"/>
                <w:color w:val="auto"/>
                <w:kern w:val="0"/>
                <w:sz w:val="24"/>
                <w:szCs w:val="24"/>
                <w:highlight w:val="none"/>
                <w:lang w:val="en-US" w:eastAsia="zh-CN"/>
              </w:rPr>
              <w:t>二年总计投标报价（小写）</w:t>
            </w:r>
          </w:p>
        </w:tc>
        <w:tc>
          <w:tcPr>
            <w:tcW w:w="3711" w:type="dxa"/>
            <w:gridSpan w:val="2"/>
            <w:tcBorders>
              <w:top w:val="single" w:color="auto" w:sz="4" w:space="0"/>
              <w:left w:val="single" w:color="000000"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60" w:hRule="atLeast"/>
        </w:trPr>
        <w:tc>
          <w:tcPr>
            <w:tcW w:w="10441" w:type="dxa"/>
            <w:gridSpan w:val="6"/>
            <w:tcBorders>
              <w:top w:val="single" w:color="auto" w:sz="4" w:space="0"/>
              <w:left w:val="single" w:color="auto" w:sz="4" w:space="0"/>
              <w:bottom w:val="single" w:color="auto" w:sz="4" w:space="0"/>
              <w:right w:val="nil"/>
            </w:tcBorders>
            <w:shd w:val="clear" w:color="auto" w:fill="FFFFFF"/>
            <w:noWrap/>
            <w:vAlign w:val="center"/>
          </w:tcPr>
          <w:p>
            <w:pPr>
              <w:widowControl/>
              <w:spacing w:beforeLines="0" w:afterLines="0"/>
              <w:jc w:val="center"/>
              <w:textAlignment w:val="center"/>
              <w:rPr>
                <w:rFonts w:hint="eastAsia" w:ascii="宋体" w:hAnsi="宋体" w:eastAsia="宋体" w:cs="宋体"/>
                <w:i w:val="0"/>
                <w:iCs w:val="0"/>
                <w:color w:val="000000"/>
                <w:sz w:val="24"/>
                <w:szCs w:val="24"/>
                <w:highlight w:val="none"/>
                <w:u w:val="none"/>
              </w:rPr>
            </w:pPr>
            <w:r>
              <w:rPr>
                <w:rFonts w:hint="eastAsia" w:asciiTheme="majorEastAsia" w:hAnsiTheme="majorEastAsia" w:eastAsiaTheme="majorEastAsia" w:cstheme="majorEastAsia"/>
                <w:color w:val="auto"/>
                <w:kern w:val="0"/>
                <w:sz w:val="24"/>
                <w:szCs w:val="24"/>
                <w:highlight w:val="none"/>
                <w:lang w:val="en-US" w:eastAsia="zh-CN"/>
              </w:rPr>
              <w:t>二年总计投标报价（大写）</w:t>
            </w:r>
          </w:p>
        </w:tc>
        <w:tc>
          <w:tcPr>
            <w:tcW w:w="3711" w:type="dxa"/>
            <w:gridSpan w:val="2"/>
            <w:tcBorders>
              <w:top w:val="single" w:color="auto" w:sz="4" w:space="0"/>
              <w:left w:val="single" w:color="000000"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bl>
    <w:p>
      <w:pPr>
        <w:pStyle w:val="2"/>
        <w:rPr>
          <w:rFonts w:hint="eastAsia"/>
          <w:highlight w:val="none"/>
          <w:lang w:val="zh-CN"/>
        </w:rPr>
      </w:pPr>
    </w:p>
    <w:p>
      <w:pPr>
        <w:pStyle w:val="82"/>
        <w:numPr>
          <w:ilvl w:val="0"/>
          <w:numId w:val="19"/>
        </w:numPr>
        <w:ind w:left="5250" w:leftChars="0" w:firstLine="0" w:firstLineChars="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时花化养护报价明细清单6</w:t>
      </w:r>
    </w:p>
    <w:p>
      <w:pPr>
        <w:snapToGrid w:val="0"/>
        <w:spacing w:line="360" w:lineRule="auto"/>
        <w:jc w:val="both"/>
        <w:rPr>
          <w:rFonts w:hint="eastAsia" w:asciiTheme="minorEastAsia" w:hAnsiTheme="minorEastAsia" w:eastAsiaTheme="minorEastAsia" w:cstheme="minorEastAsia"/>
          <w:color w:val="auto"/>
          <w:kern w:val="0"/>
          <w:sz w:val="24"/>
          <w:szCs w:val="24"/>
          <w:highlight w:val="none"/>
          <w:lang w:val="zh-CN"/>
        </w:rPr>
      </w:pPr>
    </w:p>
    <w:tbl>
      <w:tblPr>
        <w:tblStyle w:val="64"/>
        <w:tblW w:w="14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320"/>
        <w:gridCol w:w="2070"/>
        <w:gridCol w:w="1185"/>
        <w:gridCol w:w="2488"/>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3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面积</w:t>
            </w:r>
          </w:p>
        </w:tc>
        <w:tc>
          <w:tcPr>
            <w:tcW w:w="20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bottom"/>
              <w:rPr>
                <w:rFonts w:hint="eastAsia" w:asciiTheme="majorEastAsia" w:hAnsiTheme="majorEastAsia" w:eastAsiaTheme="majorEastAsia" w:cstheme="majorEastAsia"/>
                <w:b/>
                <w:bCs/>
                <w:color w:val="auto"/>
                <w:kern w:val="0"/>
                <w:sz w:val="24"/>
                <w:szCs w:val="24"/>
                <w:highlight w:val="none"/>
                <w:lang w:eastAsia="zh-CN"/>
              </w:rPr>
            </w:pPr>
            <w:r>
              <w:rPr>
                <w:rFonts w:hint="eastAsia" w:asciiTheme="majorEastAsia" w:hAnsiTheme="majorEastAsia" w:eastAsiaTheme="majorEastAsia" w:cstheme="majorEastAsia"/>
                <w:b/>
                <w:bCs/>
                <w:color w:val="auto"/>
                <w:kern w:val="0"/>
                <w:sz w:val="24"/>
                <w:szCs w:val="24"/>
                <w:highlight w:val="none"/>
                <w:lang w:eastAsia="zh-CN"/>
              </w:rPr>
              <w:t>最高限价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Theme="majorEastAsia" w:hAnsiTheme="majorEastAsia" w:eastAsiaTheme="majorEastAsia" w:cstheme="majorEastAsia"/>
                <w:b/>
                <w:bCs/>
                <w:color w:val="auto"/>
                <w:kern w:val="0"/>
                <w:sz w:val="24"/>
                <w:szCs w:val="24"/>
                <w:highlight w:val="none"/>
              </w:rPr>
              <w:t>(元/年)</w:t>
            </w:r>
          </w:p>
        </w:tc>
        <w:tc>
          <w:tcPr>
            <w:tcW w:w="11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48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(元/年)</w:t>
            </w:r>
          </w:p>
        </w:tc>
        <w:tc>
          <w:tcPr>
            <w:tcW w:w="2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90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 xml:space="preserve"> 科技大道（时花养护）</w:t>
            </w:r>
          </w:p>
        </w:tc>
        <w:tc>
          <w:tcPr>
            <w:tcW w:w="132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876.35</w:t>
            </w:r>
          </w:p>
        </w:tc>
        <w:tc>
          <w:tcPr>
            <w:tcW w:w="207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330</w:t>
            </w:r>
          </w:p>
        </w:tc>
        <w:tc>
          <w:tcPr>
            <w:tcW w:w="118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2488"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2119"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55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beforeLines="0" w:afterLine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4607"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5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beforeLines="0" w:afterLine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4607"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独立投标：投标人名称(电子签名)：</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或</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采用联合体投标：联合体牵头人名称(电子签名/盖章)：</w:t>
      </w:r>
    </w:p>
    <w:p>
      <w:pPr>
        <w:numPr>
          <w:ilvl w:val="0"/>
          <w:numId w:val="0"/>
        </w:numPr>
        <w:wordWrap/>
        <w:adjustRightInd/>
        <w:snapToGrid/>
        <w:spacing w:line="5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日期：  年   月   日</w:t>
      </w:r>
      <w:r>
        <w:rPr>
          <w:rFonts w:hint="eastAsia" w:asciiTheme="minorEastAsia" w:hAnsiTheme="minorEastAsia" w:eastAsiaTheme="minorEastAsia" w:cstheme="minorEastAsia"/>
          <w:color w:val="auto"/>
          <w:sz w:val="24"/>
          <w:szCs w:val="24"/>
          <w:highlight w:val="none"/>
          <w:lang w:val="en-US" w:eastAsia="zh-CN"/>
        </w:rPr>
        <w:t xml:space="preserve"> </w:t>
      </w:r>
    </w:p>
    <w:p>
      <w:pPr>
        <w:pStyle w:val="2"/>
        <w:rPr>
          <w:rFonts w:hint="eastAsia" w:asciiTheme="minorEastAsia" w:hAnsiTheme="minorEastAsia" w:eastAsiaTheme="minorEastAsia" w:cstheme="minorEastAsia"/>
          <w:color w:val="auto"/>
          <w:sz w:val="24"/>
          <w:szCs w:val="24"/>
          <w:highlight w:val="none"/>
          <w:lang w:val="en-US" w:eastAsia="zh-CN"/>
        </w:rPr>
      </w:pPr>
    </w:p>
    <w:p>
      <w:pPr>
        <w:pStyle w:val="2"/>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19"/>
        </w:numPr>
        <w:ind w:left="5250" w:leftChars="0" w:firstLine="0" w:firstLineChars="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其他可能会移交的道路养护报价明细清单7</w:t>
      </w:r>
    </w:p>
    <w:p>
      <w:pPr>
        <w:pStyle w:val="2"/>
        <w:rPr>
          <w:rFonts w:hint="eastAsia" w:asciiTheme="minorEastAsia" w:hAnsiTheme="minorEastAsia" w:eastAsiaTheme="minorEastAsia" w:cstheme="minorEastAsia"/>
          <w:color w:val="auto"/>
          <w:sz w:val="24"/>
          <w:szCs w:val="24"/>
          <w:highlight w:val="none"/>
          <w:lang w:val="en-US" w:eastAsia="zh-CN"/>
        </w:rPr>
      </w:pPr>
    </w:p>
    <w:tbl>
      <w:tblPr>
        <w:tblStyle w:val="64"/>
        <w:tblW w:w="11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00"/>
        <w:gridCol w:w="1868"/>
        <w:gridCol w:w="1443"/>
        <w:gridCol w:w="1388"/>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（其他可能会移交的道路）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61031  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1823612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11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注：本项目涉及到后续有可能会移交道路保洁面积约61031</w:t>
            </w:r>
            <w:r>
              <w:rPr>
                <w:rFonts w:hint="eastAsia" w:ascii="宋体" w:hAnsi="宋体" w:eastAsia="宋体" w:cs="宋体"/>
                <w:b/>
                <w:bCs/>
                <w:i w:val="0"/>
                <w:iCs w:val="0"/>
                <w:color w:val="000000"/>
                <w:kern w:val="0"/>
                <w:sz w:val="24"/>
                <w:szCs w:val="24"/>
                <w:highlight w:val="none"/>
                <w:u w:val="none"/>
                <w:lang w:val="en-US" w:eastAsia="zh-CN" w:bidi="ar"/>
              </w:rPr>
              <w:t>M</w:t>
            </w:r>
            <w:r>
              <w:rPr>
                <w:rFonts w:hint="eastAsia" w:ascii="宋体" w:hAnsi="宋体" w:eastAsia="宋体" w:cs="宋体"/>
                <w:b/>
                <w:bCs/>
                <w:i w:val="0"/>
                <w:iCs w:val="0"/>
                <w:color w:val="000000"/>
                <w:kern w:val="0"/>
                <w:sz w:val="24"/>
                <w:szCs w:val="24"/>
                <w:highlight w:val="none"/>
                <w:u w:val="none"/>
                <w:vertAlign w:val="superscript"/>
                <w:lang w:val="en-US" w:eastAsia="zh-CN" w:bidi="ar"/>
              </w:rPr>
              <w:t>2</w:t>
            </w:r>
            <w:r>
              <w:rPr>
                <w:rFonts w:hint="eastAsia" w:ascii="宋体" w:hAnsi="宋体" w:cs="宋体"/>
                <w:b/>
                <w:bCs/>
                <w:i w:val="0"/>
                <w:iCs w:val="0"/>
                <w:color w:val="000000"/>
                <w:kern w:val="0"/>
                <w:sz w:val="24"/>
                <w:szCs w:val="24"/>
                <w:highlight w:val="none"/>
                <w:u w:val="none"/>
                <w:vertAlign w:val="superscript"/>
                <w:lang w:val="en-US" w:eastAsia="zh-CN" w:bidi="ar"/>
              </w:rPr>
              <w:t xml:space="preserve"> </w:t>
            </w:r>
            <w:r>
              <w:rPr>
                <w:rFonts w:hint="eastAsia" w:asciiTheme="majorEastAsia" w:hAnsiTheme="majorEastAsia" w:eastAsiaTheme="majorEastAsia" w:cstheme="majorEastAsia"/>
                <w:color w:val="000000"/>
                <w:sz w:val="24"/>
                <w:highlight w:val="none"/>
                <w:lang w:val="en-US" w:eastAsia="zh-CN"/>
              </w:rPr>
              <w:t>，二年总预算价为：1823612元，投标报价时此部分报价不做竞争，未发生则不支付本项养护费，发生后费用结算根据实际移交的道路面积结合中标单价进行结算，若最终结算费用超过预算价则视作投标优惠，甲方不予支付</w:t>
            </w:r>
          </w:p>
        </w:tc>
      </w:tr>
    </w:tbl>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独立投标：投标人名称(电子签名)：</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或</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采用联合体投标：联合体牵头人名称(电子签名/盖章)：</w:t>
      </w:r>
    </w:p>
    <w:p>
      <w:pPr>
        <w:numPr>
          <w:ilvl w:val="0"/>
          <w:numId w:val="0"/>
        </w:numPr>
        <w:wordWrap/>
        <w:adjustRightInd/>
        <w:snapToGrid/>
        <w:spacing w:line="5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  年   月   日</w:t>
      </w:r>
      <w:r>
        <w:rPr>
          <w:rFonts w:hint="eastAsia" w:asciiTheme="minorEastAsia" w:hAnsiTheme="minorEastAsia" w:eastAsiaTheme="minorEastAsia" w:cstheme="minorEastAsia"/>
          <w:color w:val="auto"/>
          <w:sz w:val="24"/>
          <w:szCs w:val="24"/>
          <w:highlight w:val="none"/>
          <w:lang w:val="en-US" w:eastAsia="zh-CN"/>
        </w:rPr>
        <w:t xml:space="preserve"> </w:t>
      </w:r>
    </w:p>
    <w:p>
      <w:pPr>
        <w:pStyle w:val="382"/>
        <w:wordWrap w:val="0"/>
        <w:snapToGrid w:val="0"/>
        <w:spacing w:before="120" w:after="120"/>
        <w:ind w:firstLine="0"/>
        <w:jc w:val="right"/>
        <w:outlineLvl w:val="9"/>
        <w:rPr>
          <w:rFonts w:hint="eastAsia" w:asciiTheme="majorEastAsia" w:hAnsiTheme="majorEastAsia" w:eastAsiaTheme="majorEastAsia" w:cstheme="majorEastAsia"/>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3534" w:firstLineChars="1100"/>
        <w:jc w:val="both"/>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w:t>
      </w:r>
    </w:p>
    <w:p>
      <w:pPr>
        <w:widowControl/>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政府采购支持中小企业信用融资相关事项通知</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一、适用对象</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二、相关信息获取方式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三、　政府采购信用融资操作流程：</w:t>
      </w:r>
    </w:p>
    <w:p>
      <w:pPr>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（一）线上融资模式：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1.供应商根据合作银行提供的方案，自行选择金融产品，并办理开户等手续；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2.供应商中标后，可通过杭州市政府采购网或“浙里办”测算授信额度；</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3.采购合同签订后，供应商在杭州市政府采购网或“浙里办”向合作银行发出融资申请；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4.审批通过后，在线办理放贷手续。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（二）线下融资模式：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2.采购合同签订后，供应商在杭州市政府采购网或“浙里办”向合作银行发出融资申请；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4.审批通过后，合作银行应按照合作备忘录中约定的审批放款期限和优惠利率及时予以放款。</w:t>
      </w:r>
    </w:p>
    <w:p>
      <w:pPr>
        <w:pStyle w:val="6"/>
        <w:numPr>
          <w:ilvl w:val="0"/>
          <w:numId w:val="0"/>
        </w:numPr>
        <w:ind w:firstLine="960" w:firstLineChars="400"/>
        <w:rPr>
          <w:rFonts w:hint="eastAsia" w:asciiTheme="majorEastAsia" w:hAnsiTheme="majorEastAsia" w:eastAsiaTheme="majorEastAsia" w:cstheme="majorEastAsia"/>
          <w:b w:val="0"/>
          <w:bCs w:val="0"/>
          <w:color w:val="auto"/>
          <w:sz w:val="24"/>
          <w:szCs w:val="24"/>
          <w:highlight w:val="none"/>
          <w:lang w:val="en-US"/>
        </w:rPr>
      </w:pPr>
      <w:r>
        <w:rPr>
          <w:rFonts w:hint="eastAsia" w:asciiTheme="majorEastAsia" w:hAnsiTheme="majorEastAsia" w:eastAsiaTheme="majorEastAsia" w:cstheme="majorEastAsia"/>
          <w:b w:val="0"/>
          <w:bCs w:val="0"/>
          <w:color w:val="auto"/>
          <w:sz w:val="24"/>
          <w:szCs w:val="24"/>
          <w:highlight w:val="none"/>
          <w:lang w:val="en-US"/>
        </w:rPr>
        <w:t>（三）杭州e融平台申请融资</w:t>
      </w:r>
    </w:p>
    <w:p>
      <w:pPr>
        <w:pStyle w:val="6"/>
        <w:numPr>
          <w:ilvl w:val="0"/>
          <w:numId w:val="0"/>
        </w:numPr>
        <w:ind w:firstLine="960" w:firstLineChars="400"/>
        <w:rPr>
          <w:rFonts w:hint="eastAsia" w:asciiTheme="majorEastAsia" w:hAnsiTheme="majorEastAsia" w:eastAsiaTheme="majorEastAsia" w:cstheme="majorEastAsia"/>
          <w:b w:val="0"/>
          <w:bCs w:val="0"/>
          <w:color w:val="auto"/>
          <w:sz w:val="24"/>
          <w:szCs w:val="24"/>
          <w:highlight w:val="none"/>
          <w:lang w:val="en-US"/>
        </w:rPr>
      </w:pPr>
      <w:r>
        <w:rPr>
          <w:rFonts w:hint="eastAsia" w:asciiTheme="majorEastAsia" w:hAnsiTheme="majorEastAsia" w:eastAsiaTheme="majorEastAsia" w:cstheme="majorEastAsia"/>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四、注意事项</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Theme="majorEastAsia" w:hAnsiTheme="majorEastAsia" w:eastAsiaTheme="majorEastAsia" w:cstheme="majorEastAsia"/>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bookmarkStart w:id="394" w:name="_Toc465665161"/>
      <w:r>
        <w:rPr>
          <w:rFonts w:hint="eastAsia" w:asciiTheme="majorEastAsia" w:hAnsiTheme="majorEastAsia" w:eastAsiaTheme="majorEastAsia" w:cstheme="majorEastAsia"/>
          <w:color w:val="auto"/>
          <w:highlight w:val="none"/>
        </w:rPr>
        <w:t>附件</w:t>
      </w:r>
      <w:bookmarkEnd w:id="394"/>
    </w:p>
    <w:p>
      <w:pP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pP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395" w:name="OLE_LINK14"/>
      <w:bookmarkStart w:id="396" w:name="OLE_LINK13"/>
      <w:r>
        <w:rPr>
          <w:rFonts w:hint="eastAsia" w:asciiTheme="majorEastAsia" w:hAnsiTheme="majorEastAsia" w:eastAsiaTheme="majorEastAsia" w:cstheme="majorEastAsia"/>
          <w:b/>
          <w:color w:val="auto"/>
          <w:spacing w:val="6"/>
          <w:sz w:val="32"/>
          <w:szCs w:val="32"/>
          <w:highlight w:val="none"/>
        </w:rPr>
        <w:t>残疾人福利性单位声明函</w:t>
      </w:r>
    </w:p>
    <w:bookmarkEnd w:id="395"/>
    <w:bookmarkEnd w:id="396"/>
    <w:p>
      <w:pPr>
        <w:spacing w:line="360" w:lineRule="auto"/>
        <w:rPr>
          <w:rFonts w:hint="eastAsia" w:asciiTheme="majorEastAsia" w:hAnsiTheme="majorEastAsia" w:eastAsiaTheme="majorEastAsia" w:cstheme="majorEastAsia"/>
          <w:b/>
          <w:color w:val="auto"/>
          <w:spacing w:val="6"/>
          <w:sz w:val="30"/>
          <w:szCs w:val="30"/>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p>
    <w:p>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pP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pPr>
        <w:spacing w:line="360" w:lineRule="auto"/>
        <w:jc w:val="center"/>
        <w:rPr>
          <w:rFonts w:hint="eastAsia" w:asciiTheme="majorEastAsia" w:hAnsiTheme="majorEastAsia" w:eastAsiaTheme="majorEastAsia" w:cstheme="majorEastAsia"/>
          <w:b/>
          <w:bCs/>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pPr>
        <w:spacing w:line="360" w:lineRule="auto"/>
        <w:jc w:val="center"/>
        <w:rPr>
          <w:rFonts w:hint="eastAsia" w:asciiTheme="majorEastAsia" w:hAnsiTheme="majorEastAsia" w:eastAsiaTheme="majorEastAsia" w:cstheme="majorEastAsia"/>
          <w:b/>
          <w:color w:val="auto"/>
          <w:sz w:val="24"/>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pP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pPr>
        <w:widowControl/>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ajorEastAsia" w:hAnsiTheme="majorEastAsia" w:eastAsiaTheme="majorEastAsia" w:cstheme="majorEastAsia"/>
          <w:b/>
          <w:color w:val="auto"/>
          <w:sz w:val="24"/>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（采购人）、（采购代理机构）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你方组织的（项目名称）项目【招标编号：（采购编号）】</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pP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Theme="majorEastAsia" w:hAnsiTheme="majorEastAsia" w:eastAsiaTheme="majorEastAsia" w:cstheme="majorEastAsia"/>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附件5：</w:t>
      </w:r>
      <w:r>
        <w:rPr>
          <w:rFonts w:hint="eastAsia" w:asciiTheme="majorEastAsia" w:hAnsiTheme="majorEastAsia" w:eastAsiaTheme="majorEastAsia" w:cstheme="majorEastAsia"/>
          <w:b/>
          <w:color w:val="auto"/>
          <w:sz w:val="32"/>
          <w:szCs w:val="32"/>
          <w:highlight w:val="none"/>
        </w:rPr>
        <w:t>中小企业声明函</w:t>
      </w:r>
    </w:p>
    <w:p>
      <w:pPr>
        <w:spacing w:line="360" w:lineRule="auto"/>
        <w:jc w:val="center"/>
        <w:rPr>
          <w:rFonts w:hint="eastAsia" w:asciiTheme="majorEastAsia" w:hAnsiTheme="majorEastAsia" w:eastAsiaTheme="majorEastAsia" w:cstheme="majorEastAsia"/>
          <w:color w:val="auto"/>
          <w:sz w:val="24"/>
          <w:highlight w:val="none"/>
          <w:u w:val="single"/>
        </w:rPr>
      </w:pPr>
    </w:p>
    <w:p>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中小企业声明函（货物）</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 ，属于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行业 ；制造商为</w:t>
      </w:r>
      <w:r>
        <w:rPr>
          <w:rFonts w:hint="eastAsia" w:asciiTheme="majorEastAsia" w:hAnsiTheme="majorEastAsia" w:eastAsiaTheme="majorEastAsia" w:cstheme="majorEastAsia"/>
          <w:color w:val="auto"/>
          <w:sz w:val="24"/>
          <w:highlight w:val="none"/>
          <w:u w:val="single"/>
        </w:rPr>
        <w:t xml:space="preserve"> （企业名称）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w:t>
      </w:r>
      <w:r>
        <w:rPr>
          <w:rFonts w:hint="eastAsia" w:asciiTheme="majorEastAsia" w:hAnsiTheme="majorEastAsia" w:eastAsiaTheme="majorEastAsia" w:cstheme="majorEastAsia"/>
          <w:color w:val="auto"/>
          <w:sz w:val="24"/>
          <w:highlight w:val="none"/>
        </w:rPr>
        <w:t xml:space="preserve"> ；</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pPr>
        <w:spacing w:line="36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p>
    <w:p>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中小企业声明函（工程、服务）</w:t>
      </w:r>
    </w:p>
    <w:p>
      <w:pPr>
        <w:spacing w:line="360" w:lineRule="auto"/>
        <w:rPr>
          <w:rFonts w:hint="eastAsia" w:asciiTheme="majorEastAsia" w:hAnsiTheme="majorEastAsia" w:eastAsiaTheme="majorEastAsia" w:cstheme="majorEastAsia"/>
          <w:color w:val="auto"/>
          <w:highlight w:val="none"/>
        </w:rPr>
      </w:pPr>
    </w:p>
    <w:p>
      <w:pPr>
        <w:spacing w:line="360" w:lineRule="auto"/>
        <w:ind w:firstLine="360" w:firstLineChars="1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 xml:space="preserve"> ；承建（承接）企业为 </w:t>
      </w:r>
      <w:r>
        <w:rPr>
          <w:rFonts w:hint="eastAsia" w:asciiTheme="majorEastAsia" w:hAnsiTheme="majorEastAsia" w:eastAsiaTheme="majorEastAsia" w:cstheme="majorEastAsia"/>
          <w:color w:val="auto"/>
          <w:sz w:val="24"/>
          <w:highlight w:val="none"/>
          <w:u w:val="single"/>
        </w:rPr>
        <w:t>（企业名称）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 </w:t>
      </w:r>
      <w:r>
        <w:rPr>
          <w:rFonts w:hint="eastAsia" w:asciiTheme="majorEastAsia" w:hAnsiTheme="majorEastAsia" w:eastAsiaTheme="majorEastAsia" w:cstheme="majorEastAsia"/>
          <w:color w:val="auto"/>
          <w:sz w:val="24"/>
          <w:highlight w:val="none"/>
        </w:rPr>
        <w:t>；</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，属于 </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 xml:space="preserve"> ；承建（承接）企业为 </w:t>
      </w:r>
      <w:r>
        <w:rPr>
          <w:rFonts w:hint="eastAsia" w:asciiTheme="majorEastAsia" w:hAnsiTheme="majorEastAsia" w:eastAsiaTheme="majorEastAsia" w:cstheme="majorEastAsia"/>
          <w:color w:val="auto"/>
          <w:sz w:val="24"/>
          <w:highlight w:val="none"/>
          <w:u w:val="single"/>
        </w:rPr>
        <w:t>（企业名称）</w:t>
      </w:r>
      <w:r>
        <w:rPr>
          <w:rFonts w:hint="eastAsia" w:asciiTheme="majorEastAsia" w:hAnsiTheme="majorEastAsia" w:eastAsiaTheme="majorEastAsia" w:cstheme="majorEastAsia"/>
          <w:color w:val="auto"/>
          <w:sz w:val="24"/>
          <w:highlight w:val="none"/>
        </w:rPr>
        <w:t xml:space="preserve"> ，从业人员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 xml:space="preserve"> （中型企业、小型企业、微型企业） </w:t>
      </w:r>
      <w:r>
        <w:rPr>
          <w:rFonts w:hint="eastAsia" w:asciiTheme="majorEastAsia" w:hAnsiTheme="majorEastAsia" w:eastAsiaTheme="majorEastAsia" w:cstheme="majorEastAsia"/>
          <w:color w:val="auto"/>
          <w:sz w:val="24"/>
          <w:highlight w:val="none"/>
        </w:rPr>
        <w:t>；</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pPr>
        <w:spacing w:line="360" w:lineRule="auto"/>
        <w:ind w:right="1760"/>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投标人名称（电子签名）：</w:t>
      </w:r>
    </w:p>
    <w:p>
      <w:pPr>
        <w:spacing w:line="360" w:lineRule="auto"/>
        <w:ind w:right="1120" w:firstLine="4680" w:firstLineChars="19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w:t>
      </w:r>
    </w:p>
    <w:p>
      <w:pPr>
        <w:spacing w:line="360" w:lineRule="auto"/>
        <w:ind w:firstLine="310" w:firstLineChars="147"/>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从业人员、营业收入、资产总额填报上一年度数据，无上一年度数据的新成立企业可不填报。</w:t>
      </w:r>
    </w:p>
    <w:p>
      <w:pPr>
        <w:spacing w:line="360" w:lineRule="auto"/>
        <w:ind w:right="420"/>
        <w:rPr>
          <w:rFonts w:hint="eastAsia" w:asciiTheme="majorEastAsia" w:hAnsiTheme="majorEastAsia" w:eastAsiaTheme="majorEastAsia" w:cstheme="majorEastAsia"/>
          <w:color w:val="auto"/>
          <w:sz w:val="24"/>
          <w:highlight w:val="none"/>
        </w:rPr>
      </w:pPr>
    </w:p>
    <w:p>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Theme="majorEastAsia" w:hAnsiTheme="majorEastAsia" w:eastAsiaTheme="majorEastAsia" w:cstheme="majorEastAsia"/>
          <w:color w:val="auto"/>
          <w:highlight w:val="none"/>
          <w:lang w:val="en-US"/>
        </w:rPr>
      </w:pPr>
    </w:p>
    <w:p>
      <w:pPr>
        <w:spacing w:line="360" w:lineRule="auto"/>
        <w:ind w:right="420"/>
        <w:rPr>
          <w:rFonts w:hint="eastAsia" w:asciiTheme="majorEastAsia" w:hAnsiTheme="majorEastAsia" w:eastAsiaTheme="majorEastAsia" w:cstheme="majorEastAsia"/>
          <w:color w:val="auto"/>
          <w:highlight w:val="none"/>
        </w:rPr>
      </w:pPr>
    </w:p>
    <w:p>
      <w:pPr>
        <w:spacing w:line="360" w:lineRule="auto"/>
        <w:rPr>
          <w:rFonts w:hint="eastAsia" w:asciiTheme="majorEastAsia" w:hAnsiTheme="majorEastAsia" w:eastAsiaTheme="majorEastAsia" w:cstheme="majorEastAsia"/>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36110187"/>
    <w:bookmarkStart w:id="398" w:name="_Toc91899912"/>
    <w:bookmarkStart w:id="399" w:name="_Toc164085800"/>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845A9"/>
    <w:multiLevelType w:val="singleLevel"/>
    <w:tmpl w:val="865845A9"/>
    <w:lvl w:ilvl="0" w:tentative="0">
      <w:start w:val="1"/>
      <w:numFmt w:val="decimal"/>
      <w:suff w:val="nothing"/>
      <w:lvlText w:val="%1）"/>
      <w:lvlJc w:val="left"/>
    </w:lvl>
  </w:abstractNum>
  <w:abstractNum w:abstractNumId="1">
    <w:nsid w:val="A8F4E69B"/>
    <w:multiLevelType w:val="singleLevel"/>
    <w:tmpl w:val="A8F4E69B"/>
    <w:lvl w:ilvl="0" w:tentative="0">
      <w:start w:val="1"/>
      <w:numFmt w:val="chineseCounting"/>
      <w:suff w:val="space"/>
      <w:lvlText w:val="第%1部分"/>
      <w:lvlJc w:val="left"/>
      <w:rPr>
        <w:rFonts w:hint="eastAsia"/>
      </w:rPr>
    </w:lvl>
  </w:abstractNum>
  <w:abstractNum w:abstractNumId="2">
    <w:nsid w:val="F335B78A"/>
    <w:multiLevelType w:val="singleLevel"/>
    <w:tmpl w:val="F335B78A"/>
    <w:lvl w:ilvl="0" w:tentative="0">
      <w:start w:val="1"/>
      <w:numFmt w:val="decimal"/>
      <w:suff w:val="nothing"/>
      <w:lvlText w:val="%1）"/>
      <w:lvlJc w:val="left"/>
    </w:lvl>
  </w:abstractNum>
  <w:abstractNum w:abstractNumId="3">
    <w:nsid w:val="F59D58E8"/>
    <w:multiLevelType w:val="singleLevel"/>
    <w:tmpl w:val="F59D58E8"/>
    <w:lvl w:ilvl="0" w:tentative="0">
      <w:start w:val="1"/>
      <w:numFmt w:val="decimal"/>
      <w:suff w:val="nothing"/>
      <w:lvlText w:val="（%1）"/>
      <w:lvlJc w:val="left"/>
    </w:lvl>
  </w:abstractNum>
  <w:abstractNum w:abstractNumId="4">
    <w:nsid w:val="59BF248F"/>
    <w:multiLevelType w:val="singleLevel"/>
    <w:tmpl w:val="59BF248F"/>
    <w:lvl w:ilvl="0" w:tentative="0">
      <w:start w:val="1"/>
      <w:numFmt w:val="decimal"/>
      <w:suff w:val="nothing"/>
      <w:lvlText w:val="%1."/>
      <w:lvlJc w:val="left"/>
    </w:lvl>
  </w:abstractNum>
  <w:abstractNum w:abstractNumId="5">
    <w:nsid w:val="59BF24C6"/>
    <w:multiLevelType w:val="singleLevel"/>
    <w:tmpl w:val="59BF24C6"/>
    <w:lvl w:ilvl="0" w:tentative="0">
      <w:start w:val="1"/>
      <w:numFmt w:val="decimal"/>
      <w:suff w:val="nothing"/>
      <w:lvlText w:val="%1."/>
      <w:lvlJc w:val="left"/>
    </w:lvl>
  </w:abstractNum>
  <w:abstractNum w:abstractNumId="6">
    <w:nsid w:val="59BF2569"/>
    <w:multiLevelType w:val="singleLevel"/>
    <w:tmpl w:val="59BF2569"/>
    <w:lvl w:ilvl="0" w:tentative="0">
      <w:start w:val="1"/>
      <w:numFmt w:val="decimal"/>
      <w:suff w:val="nothing"/>
      <w:lvlText w:val="%1."/>
      <w:lvlJc w:val="left"/>
    </w:lvl>
  </w:abstractNum>
  <w:abstractNum w:abstractNumId="7">
    <w:nsid w:val="59BF25A1"/>
    <w:multiLevelType w:val="singleLevel"/>
    <w:tmpl w:val="59BF25A1"/>
    <w:lvl w:ilvl="0" w:tentative="0">
      <w:start w:val="1"/>
      <w:numFmt w:val="decimal"/>
      <w:suff w:val="nothing"/>
      <w:lvlText w:val="%1."/>
      <w:lvlJc w:val="left"/>
    </w:lvl>
  </w:abstractNum>
  <w:abstractNum w:abstractNumId="8">
    <w:nsid w:val="59BF25FA"/>
    <w:multiLevelType w:val="singleLevel"/>
    <w:tmpl w:val="59BF25FA"/>
    <w:lvl w:ilvl="0" w:tentative="0">
      <w:start w:val="1"/>
      <w:numFmt w:val="decimal"/>
      <w:suff w:val="nothing"/>
      <w:lvlText w:val="%1."/>
      <w:lvlJc w:val="left"/>
    </w:lvl>
  </w:abstractNum>
  <w:abstractNum w:abstractNumId="9">
    <w:nsid w:val="59BF2713"/>
    <w:multiLevelType w:val="singleLevel"/>
    <w:tmpl w:val="59BF2713"/>
    <w:lvl w:ilvl="0" w:tentative="0">
      <w:start w:val="1"/>
      <w:numFmt w:val="decimal"/>
      <w:suff w:val="nothing"/>
      <w:lvlText w:val="%1."/>
      <w:lvlJc w:val="left"/>
    </w:lvl>
  </w:abstractNum>
  <w:abstractNum w:abstractNumId="10">
    <w:nsid w:val="59BF2736"/>
    <w:multiLevelType w:val="singleLevel"/>
    <w:tmpl w:val="59BF2736"/>
    <w:lvl w:ilvl="0" w:tentative="0">
      <w:start w:val="1"/>
      <w:numFmt w:val="decimal"/>
      <w:suff w:val="nothing"/>
      <w:lvlText w:val="%1."/>
      <w:lvlJc w:val="left"/>
    </w:lvl>
  </w:abstractNum>
  <w:abstractNum w:abstractNumId="11">
    <w:nsid w:val="59BF275F"/>
    <w:multiLevelType w:val="singleLevel"/>
    <w:tmpl w:val="59BF275F"/>
    <w:lvl w:ilvl="0" w:tentative="0">
      <w:start w:val="1"/>
      <w:numFmt w:val="decimal"/>
      <w:suff w:val="nothing"/>
      <w:lvlText w:val="%1."/>
      <w:lvlJc w:val="left"/>
    </w:lvl>
  </w:abstractNum>
  <w:abstractNum w:abstractNumId="12">
    <w:nsid w:val="59BF2777"/>
    <w:multiLevelType w:val="singleLevel"/>
    <w:tmpl w:val="59BF2777"/>
    <w:lvl w:ilvl="0" w:tentative="0">
      <w:start w:val="1"/>
      <w:numFmt w:val="decimal"/>
      <w:suff w:val="nothing"/>
      <w:lvlText w:val="%1."/>
      <w:lvlJc w:val="left"/>
    </w:lvl>
  </w:abstractNum>
  <w:abstractNum w:abstractNumId="13">
    <w:nsid w:val="59BF279C"/>
    <w:multiLevelType w:val="singleLevel"/>
    <w:tmpl w:val="59BF279C"/>
    <w:lvl w:ilvl="0" w:tentative="0">
      <w:start w:val="1"/>
      <w:numFmt w:val="decimal"/>
      <w:suff w:val="nothing"/>
      <w:lvlText w:val="%1."/>
      <w:lvlJc w:val="left"/>
    </w:lvl>
  </w:abstractNum>
  <w:abstractNum w:abstractNumId="14">
    <w:nsid w:val="59BF27B9"/>
    <w:multiLevelType w:val="singleLevel"/>
    <w:tmpl w:val="59BF27B9"/>
    <w:lvl w:ilvl="0" w:tentative="0">
      <w:start w:val="1"/>
      <w:numFmt w:val="decimal"/>
      <w:suff w:val="nothing"/>
      <w:lvlText w:val="%1."/>
      <w:lvlJc w:val="left"/>
    </w:lvl>
  </w:abstractNum>
  <w:abstractNum w:abstractNumId="15">
    <w:nsid w:val="5E7C160A"/>
    <w:multiLevelType w:val="singleLevel"/>
    <w:tmpl w:val="5E7C160A"/>
    <w:lvl w:ilvl="0" w:tentative="0">
      <w:start w:val="1"/>
      <w:numFmt w:val="decimal"/>
      <w:suff w:val="nothing"/>
      <w:lvlText w:val="%1."/>
      <w:lvlJc w:val="left"/>
    </w:lvl>
  </w:abstractNum>
  <w:abstractNum w:abstractNumId="16">
    <w:nsid w:val="601AB719"/>
    <w:multiLevelType w:val="singleLevel"/>
    <w:tmpl w:val="601AB719"/>
    <w:lvl w:ilvl="0" w:tentative="0">
      <w:start w:val="2"/>
      <w:numFmt w:val="decimal"/>
      <w:suff w:val="nothing"/>
      <w:lvlText w:val="%1、"/>
      <w:lvlJc w:val="left"/>
    </w:lvl>
  </w:abstractNum>
  <w:abstractNum w:abstractNumId="17">
    <w:nsid w:val="63F824D2"/>
    <w:multiLevelType w:val="singleLevel"/>
    <w:tmpl w:val="63F824D2"/>
    <w:lvl w:ilvl="0" w:tentative="0">
      <w:start w:val="3"/>
      <w:numFmt w:val="chineseCounting"/>
      <w:suff w:val="space"/>
      <w:lvlText w:val="第%1部分"/>
      <w:lvlJc w:val="left"/>
      <w:rPr>
        <w:rFonts w:hint="eastAsia"/>
      </w:rPr>
    </w:lvl>
  </w:abstractNum>
  <w:abstractNum w:abstractNumId="18">
    <w:nsid w:val="7AC06AF6"/>
    <w:multiLevelType w:val="singleLevel"/>
    <w:tmpl w:val="7AC06AF6"/>
    <w:lvl w:ilvl="0" w:tentative="0">
      <w:start w:val="1"/>
      <w:numFmt w:val="chineseCounting"/>
      <w:suff w:val="nothing"/>
      <w:lvlText w:val="（%1）"/>
      <w:lvlJc w:val="left"/>
      <w:pPr>
        <w:ind w:left="5250"/>
      </w:pPr>
      <w:rPr>
        <w:rFonts w:hint="eastAsia"/>
      </w:rPr>
    </w:lvl>
  </w:abstractNum>
  <w:num w:numId="1">
    <w:abstractNumId w:val="1"/>
  </w:num>
  <w:num w:numId="2">
    <w:abstractNumId w:val="17"/>
  </w:num>
  <w:num w:numId="3">
    <w:abstractNumId w:val="15"/>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2"/>
  </w:num>
  <w:num w:numId="17">
    <w:abstractNumId w:val="0"/>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E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61E"/>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6361"/>
    <w:rsid w:val="011F6449"/>
    <w:rsid w:val="01236AFB"/>
    <w:rsid w:val="019F7441"/>
    <w:rsid w:val="01B37585"/>
    <w:rsid w:val="01BA1319"/>
    <w:rsid w:val="01D55165"/>
    <w:rsid w:val="01DF6BF8"/>
    <w:rsid w:val="01E15354"/>
    <w:rsid w:val="01EC2C57"/>
    <w:rsid w:val="026B2E25"/>
    <w:rsid w:val="02824D4D"/>
    <w:rsid w:val="02BD75DA"/>
    <w:rsid w:val="02DB3AA3"/>
    <w:rsid w:val="02DC4B10"/>
    <w:rsid w:val="02DD76CE"/>
    <w:rsid w:val="02DF39F5"/>
    <w:rsid w:val="02F36323"/>
    <w:rsid w:val="02F5619C"/>
    <w:rsid w:val="02F92D08"/>
    <w:rsid w:val="0326446A"/>
    <w:rsid w:val="032D5555"/>
    <w:rsid w:val="032F0852"/>
    <w:rsid w:val="036634D2"/>
    <w:rsid w:val="03DD35E4"/>
    <w:rsid w:val="04076900"/>
    <w:rsid w:val="041A5A3B"/>
    <w:rsid w:val="042311BA"/>
    <w:rsid w:val="042B157A"/>
    <w:rsid w:val="048F763B"/>
    <w:rsid w:val="049F330E"/>
    <w:rsid w:val="04AA775C"/>
    <w:rsid w:val="04AF1889"/>
    <w:rsid w:val="04F66F48"/>
    <w:rsid w:val="05251E14"/>
    <w:rsid w:val="05620EF4"/>
    <w:rsid w:val="05A16594"/>
    <w:rsid w:val="05A7762D"/>
    <w:rsid w:val="05E36894"/>
    <w:rsid w:val="060E5941"/>
    <w:rsid w:val="06110FAF"/>
    <w:rsid w:val="06493CA7"/>
    <w:rsid w:val="065169B7"/>
    <w:rsid w:val="065A6178"/>
    <w:rsid w:val="066F1CF3"/>
    <w:rsid w:val="06930BB8"/>
    <w:rsid w:val="06DB3866"/>
    <w:rsid w:val="07245D42"/>
    <w:rsid w:val="07264C62"/>
    <w:rsid w:val="0779354C"/>
    <w:rsid w:val="07846919"/>
    <w:rsid w:val="078B67AD"/>
    <w:rsid w:val="08061376"/>
    <w:rsid w:val="08400A92"/>
    <w:rsid w:val="08452D77"/>
    <w:rsid w:val="086401F8"/>
    <w:rsid w:val="08751CAA"/>
    <w:rsid w:val="087E4C40"/>
    <w:rsid w:val="08D66AD6"/>
    <w:rsid w:val="08DA33A3"/>
    <w:rsid w:val="08E11701"/>
    <w:rsid w:val="08E80F13"/>
    <w:rsid w:val="09012EFA"/>
    <w:rsid w:val="091348B6"/>
    <w:rsid w:val="09335624"/>
    <w:rsid w:val="093B4612"/>
    <w:rsid w:val="0944690F"/>
    <w:rsid w:val="09535675"/>
    <w:rsid w:val="095F057D"/>
    <w:rsid w:val="09642282"/>
    <w:rsid w:val="09733572"/>
    <w:rsid w:val="09772C16"/>
    <w:rsid w:val="097A0F86"/>
    <w:rsid w:val="097C01EF"/>
    <w:rsid w:val="098353B5"/>
    <w:rsid w:val="09A92330"/>
    <w:rsid w:val="09B06B87"/>
    <w:rsid w:val="09C13146"/>
    <w:rsid w:val="09C556F2"/>
    <w:rsid w:val="09E04166"/>
    <w:rsid w:val="09F935EE"/>
    <w:rsid w:val="0A0F4BBF"/>
    <w:rsid w:val="0A1C0718"/>
    <w:rsid w:val="0A3E7710"/>
    <w:rsid w:val="0A5B7E63"/>
    <w:rsid w:val="0A642BB8"/>
    <w:rsid w:val="0AA374A5"/>
    <w:rsid w:val="0AAB7649"/>
    <w:rsid w:val="0ABC5606"/>
    <w:rsid w:val="0ACF1EBF"/>
    <w:rsid w:val="0B30404E"/>
    <w:rsid w:val="0B4C6C14"/>
    <w:rsid w:val="0B631A88"/>
    <w:rsid w:val="0B683D45"/>
    <w:rsid w:val="0B7F3F11"/>
    <w:rsid w:val="0B884417"/>
    <w:rsid w:val="0B923CFA"/>
    <w:rsid w:val="0BB13844"/>
    <w:rsid w:val="0BD04822"/>
    <w:rsid w:val="0BF6188C"/>
    <w:rsid w:val="0BF73C91"/>
    <w:rsid w:val="0C170175"/>
    <w:rsid w:val="0C252E47"/>
    <w:rsid w:val="0C571A41"/>
    <w:rsid w:val="0C5C1171"/>
    <w:rsid w:val="0C5E1CBC"/>
    <w:rsid w:val="0C615B50"/>
    <w:rsid w:val="0C807FF6"/>
    <w:rsid w:val="0C8445DA"/>
    <w:rsid w:val="0C87121B"/>
    <w:rsid w:val="0C985340"/>
    <w:rsid w:val="0CAA0FAC"/>
    <w:rsid w:val="0CC007F7"/>
    <w:rsid w:val="0CC62AA3"/>
    <w:rsid w:val="0CFE707A"/>
    <w:rsid w:val="0D063BDA"/>
    <w:rsid w:val="0D08375F"/>
    <w:rsid w:val="0D184CFB"/>
    <w:rsid w:val="0D4A7419"/>
    <w:rsid w:val="0D6D32A0"/>
    <w:rsid w:val="0D827401"/>
    <w:rsid w:val="0D84094E"/>
    <w:rsid w:val="0D8A00E9"/>
    <w:rsid w:val="0D8D589E"/>
    <w:rsid w:val="0DA01C73"/>
    <w:rsid w:val="0DA25967"/>
    <w:rsid w:val="0DA815B3"/>
    <w:rsid w:val="0DAB667D"/>
    <w:rsid w:val="0DD2300E"/>
    <w:rsid w:val="0DD63300"/>
    <w:rsid w:val="0DF50604"/>
    <w:rsid w:val="0DF702FE"/>
    <w:rsid w:val="0E060E51"/>
    <w:rsid w:val="0E5604B2"/>
    <w:rsid w:val="0E6D5D79"/>
    <w:rsid w:val="0E72396F"/>
    <w:rsid w:val="0E9D0089"/>
    <w:rsid w:val="0EB803EE"/>
    <w:rsid w:val="0EE815E2"/>
    <w:rsid w:val="0EF94D4B"/>
    <w:rsid w:val="0F4958DC"/>
    <w:rsid w:val="0F515DF7"/>
    <w:rsid w:val="0F596BA8"/>
    <w:rsid w:val="0F6248D2"/>
    <w:rsid w:val="0F693536"/>
    <w:rsid w:val="0F7B0511"/>
    <w:rsid w:val="0F7B76D9"/>
    <w:rsid w:val="0F816ACD"/>
    <w:rsid w:val="0F9832DB"/>
    <w:rsid w:val="0F9C6EF5"/>
    <w:rsid w:val="0FBF3FD2"/>
    <w:rsid w:val="0FBF7FF3"/>
    <w:rsid w:val="101822F4"/>
    <w:rsid w:val="10646583"/>
    <w:rsid w:val="107D4B15"/>
    <w:rsid w:val="108A3C80"/>
    <w:rsid w:val="109F0AC7"/>
    <w:rsid w:val="10C0384F"/>
    <w:rsid w:val="10C26171"/>
    <w:rsid w:val="10F33360"/>
    <w:rsid w:val="10FC16EA"/>
    <w:rsid w:val="110F1D40"/>
    <w:rsid w:val="11266F33"/>
    <w:rsid w:val="118963A1"/>
    <w:rsid w:val="11A55E09"/>
    <w:rsid w:val="11C6522A"/>
    <w:rsid w:val="11E104CC"/>
    <w:rsid w:val="11E20309"/>
    <w:rsid w:val="12255233"/>
    <w:rsid w:val="12435D4E"/>
    <w:rsid w:val="12530213"/>
    <w:rsid w:val="127723A9"/>
    <w:rsid w:val="12862074"/>
    <w:rsid w:val="12883966"/>
    <w:rsid w:val="129E45B4"/>
    <w:rsid w:val="12D81596"/>
    <w:rsid w:val="13072A44"/>
    <w:rsid w:val="133E0F80"/>
    <w:rsid w:val="13474ECD"/>
    <w:rsid w:val="135F4BE2"/>
    <w:rsid w:val="138928C9"/>
    <w:rsid w:val="139B1A0A"/>
    <w:rsid w:val="139D25C7"/>
    <w:rsid w:val="13B823B7"/>
    <w:rsid w:val="13BF3CE4"/>
    <w:rsid w:val="141008D8"/>
    <w:rsid w:val="14125FE6"/>
    <w:rsid w:val="141F6008"/>
    <w:rsid w:val="14654093"/>
    <w:rsid w:val="146D271E"/>
    <w:rsid w:val="14924F7E"/>
    <w:rsid w:val="14982588"/>
    <w:rsid w:val="149A5AD9"/>
    <w:rsid w:val="14A7619D"/>
    <w:rsid w:val="150536C3"/>
    <w:rsid w:val="150C1963"/>
    <w:rsid w:val="151447A0"/>
    <w:rsid w:val="154A6454"/>
    <w:rsid w:val="15604521"/>
    <w:rsid w:val="15762120"/>
    <w:rsid w:val="15C95C2D"/>
    <w:rsid w:val="15D46A7C"/>
    <w:rsid w:val="1663076D"/>
    <w:rsid w:val="1675224E"/>
    <w:rsid w:val="16A8729C"/>
    <w:rsid w:val="16B33777"/>
    <w:rsid w:val="16BC70A7"/>
    <w:rsid w:val="16C6339E"/>
    <w:rsid w:val="172F2D79"/>
    <w:rsid w:val="17557BEF"/>
    <w:rsid w:val="17AC2EC2"/>
    <w:rsid w:val="17BF5F86"/>
    <w:rsid w:val="17CA37BF"/>
    <w:rsid w:val="17D349C1"/>
    <w:rsid w:val="1830729E"/>
    <w:rsid w:val="185D743E"/>
    <w:rsid w:val="1870062C"/>
    <w:rsid w:val="18800CE3"/>
    <w:rsid w:val="18817102"/>
    <w:rsid w:val="18830A15"/>
    <w:rsid w:val="18852B28"/>
    <w:rsid w:val="188B5321"/>
    <w:rsid w:val="19932372"/>
    <w:rsid w:val="19A20DD5"/>
    <w:rsid w:val="19AE03F1"/>
    <w:rsid w:val="19DF5B4E"/>
    <w:rsid w:val="19F56E07"/>
    <w:rsid w:val="1A023DF9"/>
    <w:rsid w:val="1A071A03"/>
    <w:rsid w:val="1A1F16AE"/>
    <w:rsid w:val="1A3B5C77"/>
    <w:rsid w:val="1A7C093C"/>
    <w:rsid w:val="1A984BAD"/>
    <w:rsid w:val="1AB8220E"/>
    <w:rsid w:val="1ABF0FF7"/>
    <w:rsid w:val="1AD35795"/>
    <w:rsid w:val="1AE4166C"/>
    <w:rsid w:val="1AF06CFB"/>
    <w:rsid w:val="1AF11B8D"/>
    <w:rsid w:val="1B11359C"/>
    <w:rsid w:val="1B2A271F"/>
    <w:rsid w:val="1B530544"/>
    <w:rsid w:val="1B713184"/>
    <w:rsid w:val="1B9779D3"/>
    <w:rsid w:val="1BA209CF"/>
    <w:rsid w:val="1BB4777D"/>
    <w:rsid w:val="1BD51732"/>
    <w:rsid w:val="1BD75AB8"/>
    <w:rsid w:val="1C0459C2"/>
    <w:rsid w:val="1C1B3B4A"/>
    <w:rsid w:val="1C88086E"/>
    <w:rsid w:val="1CFC403F"/>
    <w:rsid w:val="1D266CE1"/>
    <w:rsid w:val="1D3963AF"/>
    <w:rsid w:val="1D4074BD"/>
    <w:rsid w:val="1D6A673C"/>
    <w:rsid w:val="1D7F1058"/>
    <w:rsid w:val="1D816151"/>
    <w:rsid w:val="1D9247AE"/>
    <w:rsid w:val="1DB567EC"/>
    <w:rsid w:val="1DF51A98"/>
    <w:rsid w:val="1E3D060F"/>
    <w:rsid w:val="1E3F7D2E"/>
    <w:rsid w:val="1E4134E4"/>
    <w:rsid w:val="1E5062B3"/>
    <w:rsid w:val="1E517971"/>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0BB1436"/>
    <w:rsid w:val="210E3338"/>
    <w:rsid w:val="211116EB"/>
    <w:rsid w:val="211641D5"/>
    <w:rsid w:val="216133FC"/>
    <w:rsid w:val="21821B57"/>
    <w:rsid w:val="21CE589C"/>
    <w:rsid w:val="21D56769"/>
    <w:rsid w:val="21E52EF3"/>
    <w:rsid w:val="21FB5D7B"/>
    <w:rsid w:val="220B1C3D"/>
    <w:rsid w:val="22146DBF"/>
    <w:rsid w:val="221D1D20"/>
    <w:rsid w:val="22334A87"/>
    <w:rsid w:val="229E0D7F"/>
    <w:rsid w:val="22BE6801"/>
    <w:rsid w:val="233500BF"/>
    <w:rsid w:val="23377FF7"/>
    <w:rsid w:val="236B425F"/>
    <w:rsid w:val="236F588D"/>
    <w:rsid w:val="23763856"/>
    <w:rsid w:val="23836192"/>
    <w:rsid w:val="23901F29"/>
    <w:rsid w:val="239C0061"/>
    <w:rsid w:val="23A240EF"/>
    <w:rsid w:val="23B908A4"/>
    <w:rsid w:val="23CC66C9"/>
    <w:rsid w:val="23E95BEF"/>
    <w:rsid w:val="23FD0064"/>
    <w:rsid w:val="242B03F0"/>
    <w:rsid w:val="245375B0"/>
    <w:rsid w:val="24642C0A"/>
    <w:rsid w:val="24A11016"/>
    <w:rsid w:val="24B22173"/>
    <w:rsid w:val="24B32A04"/>
    <w:rsid w:val="24B95AD9"/>
    <w:rsid w:val="24BE24DA"/>
    <w:rsid w:val="24CF5825"/>
    <w:rsid w:val="24D15C6C"/>
    <w:rsid w:val="24D663E6"/>
    <w:rsid w:val="24D77F2B"/>
    <w:rsid w:val="24FB0160"/>
    <w:rsid w:val="258B00E2"/>
    <w:rsid w:val="259B3353"/>
    <w:rsid w:val="25A917A6"/>
    <w:rsid w:val="25BE27CC"/>
    <w:rsid w:val="25F74A5C"/>
    <w:rsid w:val="2628662C"/>
    <w:rsid w:val="262D45DE"/>
    <w:rsid w:val="26581D4F"/>
    <w:rsid w:val="26A53EF9"/>
    <w:rsid w:val="26A94201"/>
    <w:rsid w:val="26AC274F"/>
    <w:rsid w:val="26F337F7"/>
    <w:rsid w:val="27044A29"/>
    <w:rsid w:val="271D34C8"/>
    <w:rsid w:val="276142BF"/>
    <w:rsid w:val="27783712"/>
    <w:rsid w:val="278B7FF6"/>
    <w:rsid w:val="27907362"/>
    <w:rsid w:val="27E92A9C"/>
    <w:rsid w:val="282025DE"/>
    <w:rsid w:val="28333E1D"/>
    <w:rsid w:val="28454BD6"/>
    <w:rsid w:val="28455253"/>
    <w:rsid w:val="28551971"/>
    <w:rsid w:val="285B1C53"/>
    <w:rsid w:val="289F7086"/>
    <w:rsid w:val="28C32028"/>
    <w:rsid w:val="28CC490F"/>
    <w:rsid w:val="28DE40AA"/>
    <w:rsid w:val="28ED3C59"/>
    <w:rsid w:val="29345E77"/>
    <w:rsid w:val="29406BFB"/>
    <w:rsid w:val="294C65AD"/>
    <w:rsid w:val="29806583"/>
    <w:rsid w:val="298B3C4C"/>
    <w:rsid w:val="29995DFC"/>
    <w:rsid w:val="29F26D24"/>
    <w:rsid w:val="29F41FB8"/>
    <w:rsid w:val="2A15033F"/>
    <w:rsid w:val="2A1662C1"/>
    <w:rsid w:val="2A167548"/>
    <w:rsid w:val="2A1C7367"/>
    <w:rsid w:val="2A2815FA"/>
    <w:rsid w:val="2A2C0A1E"/>
    <w:rsid w:val="2A6D6092"/>
    <w:rsid w:val="2A7D76B4"/>
    <w:rsid w:val="2A870020"/>
    <w:rsid w:val="2B437463"/>
    <w:rsid w:val="2B7807EE"/>
    <w:rsid w:val="2BBF00EC"/>
    <w:rsid w:val="2BC37CFD"/>
    <w:rsid w:val="2BD5237F"/>
    <w:rsid w:val="2BE536CE"/>
    <w:rsid w:val="2BE758D9"/>
    <w:rsid w:val="2BFF1D8B"/>
    <w:rsid w:val="2C09049E"/>
    <w:rsid w:val="2C0A653C"/>
    <w:rsid w:val="2C191F85"/>
    <w:rsid w:val="2C49746E"/>
    <w:rsid w:val="2CE82D6F"/>
    <w:rsid w:val="2D343236"/>
    <w:rsid w:val="2DD15014"/>
    <w:rsid w:val="2DF72DE4"/>
    <w:rsid w:val="2E0220AF"/>
    <w:rsid w:val="2E4B082A"/>
    <w:rsid w:val="2E4B710B"/>
    <w:rsid w:val="2E5D4E86"/>
    <w:rsid w:val="2E5D790B"/>
    <w:rsid w:val="2E9A3C18"/>
    <w:rsid w:val="2EAD4823"/>
    <w:rsid w:val="2EBB0FEE"/>
    <w:rsid w:val="2EC4755A"/>
    <w:rsid w:val="2EC63002"/>
    <w:rsid w:val="2F0A6B38"/>
    <w:rsid w:val="2F156FA6"/>
    <w:rsid w:val="2F7B4CD7"/>
    <w:rsid w:val="2F946CCB"/>
    <w:rsid w:val="2FBB6BC1"/>
    <w:rsid w:val="2FD25781"/>
    <w:rsid w:val="2FFD7934"/>
    <w:rsid w:val="30733ACD"/>
    <w:rsid w:val="308C3862"/>
    <w:rsid w:val="309379D8"/>
    <w:rsid w:val="309D4424"/>
    <w:rsid w:val="30A270F7"/>
    <w:rsid w:val="30DF1478"/>
    <w:rsid w:val="30EC586F"/>
    <w:rsid w:val="30F5600E"/>
    <w:rsid w:val="319C6071"/>
    <w:rsid w:val="31AC537E"/>
    <w:rsid w:val="31E3679B"/>
    <w:rsid w:val="31E732FD"/>
    <w:rsid w:val="32517576"/>
    <w:rsid w:val="32537490"/>
    <w:rsid w:val="32AC57D7"/>
    <w:rsid w:val="32BE5C2C"/>
    <w:rsid w:val="32CC29DF"/>
    <w:rsid w:val="32E66F9F"/>
    <w:rsid w:val="32FB6478"/>
    <w:rsid w:val="33263B3F"/>
    <w:rsid w:val="336963EB"/>
    <w:rsid w:val="33816EEB"/>
    <w:rsid w:val="33AB6E04"/>
    <w:rsid w:val="33DC7D6A"/>
    <w:rsid w:val="33EB55CD"/>
    <w:rsid w:val="33EC4C02"/>
    <w:rsid w:val="340D2360"/>
    <w:rsid w:val="3410665D"/>
    <w:rsid w:val="34211214"/>
    <w:rsid w:val="342E63AB"/>
    <w:rsid w:val="34303663"/>
    <w:rsid w:val="346A286F"/>
    <w:rsid w:val="348F1EE3"/>
    <w:rsid w:val="34950E68"/>
    <w:rsid w:val="34986E94"/>
    <w:rsid w:val="34A14B01"/>
    <w:rsid w:val="34AF62C9"/>
    <w:rsid w:val="34CB4388"/>
    <w:rsid w:val="34FA6E12"/>
    <w:rsid w:val="35016021"/>
    <w:rsid w:val="351D171E"/>
    <w:rsid w:val="358D5588"/>
    <w:rsid w:val="363A3B40"/>
    <w:rsid w:val="365302AE"/>
    <w:rsid w:val="36607A0A"/>
    <w:rsid w:val="366E227C"/>
    <w:rsid w:val="366F2E0D"/>
    <w:rsid w:val="367B6A5C"/>
    <w:rsid w:val="368C79E1"/>
    <w:rsid w:val="36A74ADA"/>
    <w:rsid w:val="36AD60D5"/>
    <w:rsid w:val="36B224F9"/>
    <w:rsid w:val="36EC0CC9"/>
    <w:rsid w:val="373701D7"/>
    <w:rsid w:val="373F410B"/>
    <w:rsid w:val="375F52A8"/>
    <w:rsid w:val="379320DC"/>
    <w:rsid w:val="37E67A3D"/>
    <w:rsid w:val="37EE7094"/>
    <w:rsid w:val="37F85DAF"/>
    <w:rsid w:val="37FC5ED4"/>
    <w:rsid w:val="38296C89"/>
    <w:rsid w:val="383002EB"/>
    <w:rsid w:val="38586797"/>
    <w:rsid w:val="38BC0149"/>
    <w:rsid w:val="38D87D1C"/>
    <w:rsid w:val="393E3B4B"/>
    <w:rsid w:val="394F6A60"/>
    <w:rsid w:val="39636459"/>
    <w:rsid w:val="396B7F6C"/>
    <w:rsid w:val="396C0E37"/>
    <w:rsid w:val="399218BB"/>
    <w:rsid w:val="39B417A9"/>
    <w:rsid w:val="39F94DC1"/>
    <w:rsid w:val="39FC5695"/>
    <w:rsid w:val="3A006D8E"/>
    <w:rsid w:val="3A3651E5"/>
    <w:rsid w:val="3A744481"/>
    <w:rsid w:val="3A8947DC"/>
    <w:rsid w:val="3A8C7BEF"/>
    <w:rsid w:val="3A906246"/>
    <w:rsid w:val="3ADB0022"/>
    <w:rsid w:val="3B2349B7"/>
    <w:rsid w:val="3B616CFF"/>
    <w:rsid w:val="3B6259F6"/>
    <w:rsid w:val="3B7B3259"/>
    <w:rsid w:val="3B976654"/>
    <w:rsid w:val="3BC01EFC"/>
    <w:rsid w:val="3BCA786A"/>
    <w:rsid w:val="3BD31E2F"/>
    <w:rsid w:val="3BE65D9C"/>
    <w:rsid w:val="3BF15831"/>
    <w:rsid w:val="3C105946"/>
    <w:rsid w:val="3C471448"/>
    <w:rsid w:val="3C4D352D"/>
    <w:rsid w:val="3C5F759A"/>
    <w:rsid w:val="3C6C525A"/>
    <w:rsid w:val="3C9C15DA"/>
    <w:rsid w:val="3CCE23CB"/>
    <w:rsid w:val="3CD17D17"/>
    <w:rsid w:val="3D3C7F39"/>
    <w:rsid w:val="3D440F09"/>
    <w:rsid w:val="3D4504A0"/>
    <w:rsid w:val="3D8734BB"/>
    <w:rsid w:val="3D9A11D4"/>
    <w:rsid w:val="3DA16D89"/>
    <w:rsid w:val="3DA364BE"/>
    <w:rsid w:val="3DD0408A"/>
    <w:rsid w:val="3DE041CB"/>
    <w:rsid w:val="3E0D4036"/>
    <w:rsid w:val="3E0D48F6"/>
    <w:rsid w:val="3E173A67"/>
    <w:rsid w:val="3E1868B4"/>
    <w:rsid w:val="3E377251"/>
    <w:rsid w:val="3E42664B"/>
    <w:rsid w:val="3E46434D"/>
    <w:rsid w:val="3E5A7334"/>
    <w:rsid w:val="3E7B5D6B"/>
    <w:rsid w:val="3E843E66"/>
    <w:rsid w:val="3E8F51FE"/>
    <w:rsid w:val="3E926F87"/>
    <w:rsid w:val="3E9A59DE"/>
    <w:rsid w:val="3EAF4836"/>
    <w:rsid w:val="3EC040FF"/>
    <w:rsid w:val="3EC33DFA"/>
    <w:rsid w:val="3F060E16"/>
    <w:rsid w:val="3F1D1096"/>
    <w:rsid w:val="3F2F0234"/>
    <w:rsid w:val="3F6363FE"/>
    <w:rsid w:val="3F756B8F"/>
    <w:rsid w:val="3F782E10"/>
    <w:rsid w:val="3F7B6278"/>
    <w:rsid w:val="3F95482B"/>
    <w:rsid w:val="3F9D6D5C"/>
    <w:rsid w:val="3FBB0422"/>
    <w:rsid w:val="40117F7B"/>
    <w:rsid w:val="4019356B"/>
    <w:rsid w:val="40592157"/>
    <w:rsid w:val="405A7C3B"/>
    <w:rsid w:val="406E1CAE"/>
    <w:rsid w:val="40A0133A"/>
    <w:rsid w:val="40A36D5D"/>
    <w:rsid w:val="40C31A53"/>
    <w:rsid w:val="40FF545D"/>
    <w:rsid w:val="410067C8"/>
    <w:rsid w:val="411B561D"/>
    <w:rsid w:val="41344CBB"/>
    <w:rsid w:val="418F0D2A"/>
    <w:rsid w:val="41D01505"/>
    <w:rsid w:val="42474939"/>
    <w:rsid w:val="424C3C57"/>
    <w:rsid w:val="426134B9"/>
    <w:rsid w:val="42613FF3"/>
    <w:rsid w:val="42660D96"/>
    <w:rsid w:val="428241A5"/>
    <w:rsid w:val="428611BC"/>
    <w:rsid w:val="428667D2"/>
    <w:rsid w:val="42880503"/>
    <w:rsid w:val="42986C86"/>
    <w:rsid w:val="42BB4B2C"/>
    <w:rsid w:val="42CD1CE0"/>
    <w:rsid w:val="42E1381E"/>
    <w:rsid w:val="42ED6459"/>
    <w:rsid w:val="42FE58DD"/>
    <w:rsid w:val="43170510"/>
    <w:rsid w:val="43174B3D"/>
    <w:rsid w:val="434B790E"/>
    <w:rsid w:val="4360274F"/>
    <w:rsid w:val="43977AB6"/>
    <w:rsid w:val="43A3342B"/>
    <w:rsid w:val="43AB7FD0"/>
    <w:rsid w:val="43C77C27"/>
    <w:rsid w:val="43C83170"/>
    <w:rsid w:val="43DE09EE"/>
    <w:rsid w:val="44002FAD"/>
    <w:rsid w:val="449101DD"/>
    <w:rsid w:val="44DE1391"/>
    <w:rsid w:val="44E34ECB"/>
    <w:rsid w:val="451B225C"/>
    <w:rsid w:val="452410C9"/>
    <w:rsid w:val="45317DFB"/>
    <w:rsid w:val="456D3CE4"/>
    <w:rsid w:val="4579042C"/>
    <w:rsid w:val="457F0571"/>
    <w:rsid w:val="45851176"/>
    <w:rsid w:val="45B9767E"/>
    <w:rsid w:val="45C63B94"/>
    <w:rsid w:val="45F11042"/>
    <w:rsid w:val="460E7DA5"/>
    <w:rsid w:val="46422483"/>
    <w:rsid w:val="4659254A"/>
    <w:rsid w:val="465B0637"/>
    <w:rsid w:val="465E3F0D"/>
    <w:rsid w:val="46695FAC"/>
    <w:rsid w:val="466A16E6"/>
    <w:rsid w:val="46893F2B"/>
    <w:rsid w:val="46C4686E"/>
    <w:rsid w:val="47121270"/>
    <w:rsid w:val="477B778F"/>
    <w:rsid w:val="478203EC"/>
    <w:rsid w:val="47B025FA"/>
    <w:rsid w:val="4809698F"/>
    <w:rsid w:val="4811697D"/>
    <w:rsid w:val="487A3E25"/>
    <w:rsid w:val="488B5503"/>
    <w:rsid w:val="48937E21"/>
    <w:rsid w:val="489A0361"/>
    <w:rsid w:val="48B94FF3"/>
    <w:rsid w:val="48E37AAB"/>
    <w:rsid w:val="48E72288"/>
    <w:rsid w:val="48F5337B"/>
    <w:rsid w:val="48FD4B4C"/>
    <w:rsid w:val="490A68E0"/>
    <w:rsid w:val="491055FE"/>
    <w:rsid w:val="492E6109"/>
    <w:rsid w:val="495F5B3E"/>
    <w:rsid w:val="496F77D7"/>
    <w:rsid w:val="497654FD"/>
    <w:rsid w:val="49B64211"/>
    <w:rsid w:val="49F6167F"/>
    <w:rsid w:val="4A064FA0"/>
    <w:rsid w:val="4A16118F"/>
    <w:rsid w:val="4A16615C"/>
    <w:rsid w:val="4A2B3938"/>
    <w:rsid w:val="4A4424D7"/>
    <w:rsid w:val="4AB82D0F"/>
    <w:rsid w:val="4AD4683C"/>
    <w:rsid w:val="4AEB7664"/>
    <w:rsid w:val="4AFD7C19"/>
    <w:rsid w:val="4B0567D1"/>
    <w:rsid w:val="4B1B18ED"/>
    <w:rsid w:val="4B1C7EBB"/>
    <w:rsid w:val="4B236AAE"/>
    <w:rsid w:val="4B2C0426"/>
    <w:rsid w:val="4B576B84"/>
    <w:rsid w:val="4B707271"/>
    <w:rsid w:val="4B9739F7"/>
    <w:rsid w:val="4B9C1A50"/>
    <w:rsid w:val="4BEE2503"/>
    <w:rsid w:val="4C245A30"/>
    <w:rsid w:val="4C4C733F"/>
    <w:rsid w:val="4C863306"/>
    <w:rsid w:val="4C9A2AE8"/>
    <w:rsid w:val="4CB6685F"/>
    <w:rsid w:val="4CC367FE"/>
    <w:rsid w:val="4D077F3C"/>
    <w:rsid w:val="4D123355"/>
    <w:rsid w:val="4D260D93"/>
    <w:rsid w:val="4D2A3B31"/>
    <w:rsid w:val="4D312C52"/>
    <w:rsid w:val="4D3161C8"/>
    <w:rsid w:val="4D905305"/>
    <w:rsid w:val="4D964A72"/>
    <w:rsid w:val="4D9C1254"/>
    <w:rsid w:val="4E202374"/>
    <w:rsid w:val="4E5B4098"/>
    <w:rsid w:val="4E661EA1"/>
    <w:rsid w:val="4E6D66C7"/>
    <w:rsid w:val="4E793892"/>
    <w:rsid w:val="4E7D2BC1"/>
    <w:rsid w:val="4E800872"/>
    <w:rsid w:val="4EC569ED"/>
    <w:rsid w:val="4ED50EA1"/>
    <w:rsid w:val="4EEC050C"/>
    <w:rsid w:val="4F104EC3"/>
    <w:rsid w:val="4F231B40"/>
    <w:rsid w:val="4F47354A"/>
    <w:rsid w:val="4F911C54"/>
    <w:rsid w:val="4FC7250D"/>
    <w:rsid w:val="4FE625E0"/>
    <w:rsid w:val="5021480F"/>
    <w:rsid w:val="503724AD"/>
    <w:rsid w:val="5060304C"/>
    <w:rsid w:val="50750E8F"/>
    <w:rsid w:val="50962ECB"/>
    <w:rsid w:val="50A12755"/>
    <w:rsid w:val="50A42E38"/>
    <w:rsid w:val="50A4577F"/>
    <w:rsid w:val="50AC3365"/>
    <w:rsid w:val="50B73D1F"/>
    <w:rsid w:val="50BC224C"/>
    <w:rsid w:val="50BD5BC9"/>
    <w:rsid w:val="50C11EEE"/>
    <w:rsid w:val="50E97CFC"/>
    <w:rsid w:val="50FA4028"/>
    <w:rsid w:val="510D65B7"/>
    <w:rsid w:val="511157AB"/>
    <w:rsid w:val="513A6339"/>
    <w:rsid w:val="5142540C"/>
    <w:rsid w:val="518832C8"/>
    <w:rsid w:val="51966964"/>
    <w:rsid w:val="51A0432A"/>
    <w:rsid w:val="51A86090"/>
    <w:rsid w:val="51B7396D"/>
    <w:rsid w:val="522E4CC3"/>
    <w:rsid w:val="5244713B"/>
    <w:rsid w:val="524B7D2C"/>
    <w:rsid w:val="52615633"/>
    <w:rsid w:val="52977FD4"/>
    <w:rsid w:val="52A20C63"/>
    <w:rsid w:val="52A25790"/>
    <w:rsid w:val="52A96B6F"/>
    <w:rsid w:val="52B45975"/>
    <w:rsid w:val="52D94AA4"/>
    <w:rsid w:val="52EA3A62"/>
    <w:rsid w:val="52F50BB8"/>
    <w:rsid w:val="53097272"/>
    <w:rsid w:val="53544462"/>
    <w:rsid w:val="5397158E"/>
    <w:rsid w:val="53BA3890"/>
    <w:rsid w:val="54013861"/>
    <w:rsid w:val="54487265"/>
    <w:rsid w:val="544D6070"/>
    <w:rsid w:val="54605E1E"/>
    <w:rsid w:val="54B020C8"/>
    <w:rsid w:val="54B3506A"/>
    <w:rsid w:val="54CA0D16"/>
    <w:rsid w:val="54DD4057"/>
    <w:rsid w:val="54E7490F"/>
    <w:rsid w:val="550764A4"/>
    <w:rsid w:val="550B2BF6"/>
    <w:rsid w:val="551B5793"/>
    <w:rsid w:val="55202DAA"/>
    <w:rsid w:val="55214EB5"/>
    <w:rsid w:val="55364EFD"/>
    <w:rsid w:val="555D4828"/>
    <w:rsid w:val="556E0802"/>
    <w:rsid w:val="557A4C8B"/>
    <w:rsid w:val="558931E1"/>
    <w:rsid w:val="55923347"/>
    <w:rsid w:val="55925180"/>
    <w:rsid w:val="55983B1B"/>
    <w:rsid w:val="55A8376B"/>
    <w:rsid w:val="55AA3C5E"/>
    <w:rsid w:val="55BE2D74"/>
    <w:rsid w:val="55D96717"/>
    <w:rsid w:val="55DC29B6"/>
    <w:rsid w:val="55DD4241"/>
    <w:rsid w:val="55F81F79"/>
    <w:rsid w:val="5646331D"/>
    <w:rsid w:val="566B6D1E"/>
    <w:rsid w:val="56BB7F28"/>
    <w:rsid w:val="57032A2C"/>
    <w:rsid w:val="570F4B25"/>
    <w:rsid w:val="570F5219"/>
    <w:rsid w:val="5739354E"/>
    <w:rsid w:val="575D12B5"/>
    <w:rsid w:val="57610A87"/>
    <w:rsid w:val="577B1140"/>
    <w:rsid w:val="577B7F21"/>
    <w:rsid w:val="577F181B"/>
    <w:rsid w:val="57921984"/>
    <w:rsid w:val="579737F0"/>
    <w:rsid w:val="57AB7B30"/>
    <w:rsid w:val="57AF5251"/>
    <w:rsid w:val="57B26373"/>
    <w:rsid w:val="57B63F04"/>
    <w:rsid w:val="57CD20C2"/>
    <w:rsid w:val="57CF372B"/>
    <w:rsid w:val="57D675AB"/>
    <w:rsid w:val="57D95FDD"/>
    <w:rsid w:val="58917D2F"/>
    <w:rsid w:val="5894085C"/>
    <w:rsid w:val="58AE4F0C"/>
    <w:rsid w:val="58B253F0"/>
    <w:rsid w:val="58B85899"/>
    <w:rsid w:val="58E363A9"/>
    <w:rsid w:val="59282B75"/>
    <w:rsid w:val="595079D6"/>
    <w:rsid w:val="595E1678"/>
    <w:rsid w:val="596D5BD4"/>
    <w:rsid w:val="597E3DD8"/>
    <w:rsid w:val="597F36B6"/>
    <w:rsid w:val="599206EC"/>
    <w:rsid w:val="599F73C0"/>
    <w:rsid w:val="59DF024A"/>
    <w:rsid w:val="59EE603A"/>
    <w:rsid w:val="59F80043"/>
    <w:rsid w:val="5A09252F"/>
    <w:rsid w:val="5A0B2778"/>
    <w:rsid w:val="5A101373"/>
    <w:rsid w:val="5A2A7C7B"/>
    <w:rsid w:val="5A3E2560"/>
    <w:rsid w:val="5A5D3B6E"/>
    <w:rsid w:val="5A637A76"/>
    <w:rsid w:val="5A6D33BA"/>
    <w:rsid w:val="5A792B1F"/>
    <w:rsid w:val="5A874767"/>
    <w:rsid w:val="5AAD6F28"/>
    <w:rsid w:val="5AD50114"/>
    <w:rsid w:val="5AD63A24"/>
    <w:rsid w:val="5AFB544B"/>
    <w:rsid w:val="5B2E1A1D"/>
    <w:rsid w:val="5B843A1C"/>
    <w:rsid w:val="5B863B83"/>
    <w:rsid w:val="5B873E3F"/>
    <w:rsid w:val="5BC235A5"/>
    <w:rsid w:val="5BFD1995"/>
    <w:rsid w:val="5C02690E"/>
    <w:rsid w:val="5C196DA7"/>
    <w:rsid w:val="5C2A048C"/>
    <w:rsid w:val="5C80234E"/>
    <w:rsid w:val="5C8A680C"/>
    <w:rsid w:val="5CA75CC0"/>
    <w:rsid w:val="5CC72CB8"/>
    <w:rsid w:val="5D0C4701"/>
    <w:rsid w:val="5D0F0395"/>
    <w:rsid w:val="5D221076"/>
    <w:rsid w:val="5D397964"/>
    <w:rsid w:val="5D5740D7"/>
    <w:rsid w:val="5D5A391C"/>
    <w:rsid w:val="5D5F10C0"/>
    <w:rsid w:val="5D891B7B"/>
    <w:rsid w:val="5DAD38EE"/>
    <w:rsid w:val="5E006862"/>
    <w:rsid w:val="5E0207B9"/>
    <w:rsid w:val="5E1834A1"/>
    <w:rsid w:val="5E261785"/>
    <w:rsid w:val="5E4A7017"/>
    <w:rsid w:val="5E552BBA"/>
    <w:rsid w:val="5E611C10"/>
    <w:rsid w:val="5EA41754"/>
    <w:rsid w:val="5ECB1EC7"/>
    <w:rsid w:val="5EFC7377"/>
    <w:rsid w:val="5F06174D"/>
    <w:rsid w:val="5F3A3602"/>
    <w:rsid w:val="5F6277C6"/>
    <w:rsid w:val="5F6D0B1D"/>
    <w:rsid w:val="5F8D0B82"/>
    <w:rsid w:val="5FCC5339"/>
    <w:rsid w:val="5FE34A5B"/>
    <w:rsid w:val="5FF2089A"/>
    <w:rsid w:val="5FFE1E36"/>
    <w:rsid w:val="60232584"/>
    <w:rsid w:val="607330CE"/>
    <w:rsid w:val="60825176"/>
    <w:rsid w:val="609F2AC4"/>
    <w:rsid w:val="60FA2EE8"/>
    <w:rsid w:val="61054A27"/>
    <w:rsid w:val="610A52BC"/>
    <w:rsid w:val="611D2366"/>
    <w:rsid w:val="61421856"/>
    <w:rsid w:val="615227C4"/>
    <w:rsid w:val="616103A3"/>
    <w:rsid w:val="61654E3F"/>
    <w:rsid w:val="6182292A"/>
    <w:rsid w:val="619F7F92"/>
    <w:rsid w:val="61F94C26"/>
    <w:rsid w:val="62000E56"/>
    <w:rsid w:val="620152D8"/>
    <w:rsid w:val="623B1697"/>
    <w:rsid w:val="624F3E49"/>
    <w:rsid w:val="62632286"/>
    <w:rsid w:val="626D1BCA"/>
    <w:rsid w:val="627829E6"/>
    <w:rsid w:val="628250A4"/>
    <w:rsid w:val="62885958"/>
    <w:rsid w:val="62F40B65"/>
    <w:rsid w:val="62FC2CFE"/>
    <w:rsid w:val="63024505"/>
    <w:rsid w:val="630F7A96"/>
    <w:rsid w:val="631A4E87"/>
    <w:rsid w:val="63501431"/>
    <w:rsid w:val="635B1DB5"/>
    <w:rsid w:val="63711FED"/>
    <w:rsid w:val="63880DDC"/>
    <w:rsid w:val="638D750D"/>
    <w:rsid w:val="63A51893"/>
    <w:rsid w:val="63AC6CC0"/>
    <w:rsid w:val="64055776"/>
    <w:rsid w:val="64240056"/>
    <w:rsid w:val="642A68A2"/>
    <w:rsid w:val="642E4DE1"/>
    <w:rsid w:val="643E143A"/>
    <w:rsid w:val="64475114"/>
    <w:rsid w:val="648B6EEF"/>
    <w:rsid w:val="64C158BF"/>
    <w:rsid w:val="64CE2EAA"/>
    <w:rsid w:val="64F24911"/>
    <w:rsid w:val="653B6707"/>
    <w:rsid w:val="653C3090"/>
    <w:rsid w:val="65854376"/>
    <w:rsid w:val="658767BE"/>
    <w:rsid w:val="65892531"/>
    <w:rsid w:val="65C56262"/>
    <w:rsid w:val="66014531"/>
    <w:rsid w:val="66195831"/>
    <w:rsid w:val="662E75B1"/>
    <w:rsid w:val="66342C2E"/>
    <w:rsid w:val="663E784C"/>
    <w:rsid w:val="668B6A45"/>
    <w:rsid w:val="66C37A39"/>
    <w:rsid w:val="66D734E4"/>
    <w:rsid w:val="66DB4D83"/>
    <w:rsid w:val="66ED146C"/>
    <w:rsid w:val="672229B1"/>
    <w:rsid w:val="672F3F24"/>
    <w:rsid w:val="673E055F"/>
    <w:rsid w:val="67551CE3"/>
    <w:rsid w:val="67A22552"/>
    <w:rsid w:val="67B22DCC"/>
    <w:rsid w:val="67BE71AA"/>
    <w:rsid w:val="67D90273"/>
    <w:rsid w:val="67DE5875"/>
    <w:rsid w:val="67E55852"/>
    <w:rsid w:val="67EB1AB4"/>
    <w:rsid w:val="67FA1285"/>
    <w:rsid w:val="68345480"/>
    <w:rsid w:val="68551F4F"/>
    <w:rsid w:val="687C10C9"/>
    <w:rsid w:val="68840C16"/>
    <w:rsid w:val="68876EFB"/>
    <w:rsid w:val="68884654"/>
    <w:rsid w:val="689F444F"/>
    <w:rsid w:val="68B96DBB"/>
    <w:rsid w:val="68C76B21"/>
    <w:rsid w:val="68CA2805"/>
    <w:rsid w:val="68E937A3"/>
    <w:rsid w:val="6929752C"/>
    <w:rsid w:val="693E15D3"/>
    <w:rsid w:val="694640D8"/>
    <w:rsid w:val="69627681"/>
    <w:rsid w:val="69710F03"/>
    <w:rsid w:val="6977531D"/>
    <w:rsid w:val="69A31AC2"/>
    <w:rsid w:val="69CC2BFF"/>
    <w:rsid w:val="69FD55B8"/>
    <w:rsid w:val="6A0905B5"/>
    <w:rsid w:val="6A0B1C62"/>
    <w:rsid w:val="6A2406C8"/>
    <w:rsid w:val="6A4A6F79"/>
    <w:rsid w:val="6A7B4289"/>
    <w:rsid w:val="6ADE0BD1"/>
    <w:rsid w:val="6AE96859"/>
    <w:rsid w:val="6B147746"/>
    <w:rsid w:val="6B24787C"/>
    <w:rsid w:val="6B386B35"/>
    <w:rsid w:val="6B573233"/>
    <w:rsid w:val="6B5B6274"/>
    <w:rsid w:val="6B7E3DC3"/>
    <w:rsid w:val="6B935D53"/>
    <w:rsid w:val="6C053E3A"/>
    <w:rsid w:val="6C196F71"/>
    <w:rsid w:val="6C226FCB"/>
    <w:rsid w:val="6C31226F"/>
    <w:rsid w:val="6C552F0B"/>
    <w:rsid w:val="6C8C67B7"/>
    <w:rsid w:val="6C9D744C"/>
    <w:rsid w:val="6D056FFD"/>
    <w:rsid w:val="6D167928"/>
    <w:rsid w:val="6D26299B"/>
    <w:rsid w:val="6D4772EC"/>
    <w:rsid w:val="6D9078AF"/>
    <w:rsid w:val="6DAA3FEF"/>
    <w:rsid w:val="6DC0172B"/>
    <w:rsid w:val="6DCB690C"/>
    <w:rsid w:val="6DD41A5B"/>
    <w:rsid w:val="6DF43C2E"/>
    <w:rsid w:val="6DF51CA3"/>
    <w:rsid w:val="6E8335BD"/>
    <w:rsid w:val="6E891568"/>
    <w:rsid w:val="6E8E12EF"/>
    <w:rsid w:val="6E972936"/>
    <w:rsid w:val="6EC65CD1"/>
    <w:rsid w:val="6ED446C5"/>
    <w:rsid w:val="6F2A7D94"/>
    <w:rsid w:val="6F354CD2"/>
    <w:rsid w:val="6F392F8E"/>
    <w:rsid w:val="6F8331F1"/>
    <w:rsid w:val="6FAE1A09"/>
    <w:rsid w:val="6FB915D7"/>
    <w:rsid w:val="6FD75BF8"/>
    <w:rsid w:val="6FE340ED"/>
    <w:rsid w:val="707723D0"/>
    <w:rsid w:val="70F5661B"/>
    <w:rsid w:val="71260E18"/>
    <w:rsid w:val="71360107"/>
    <w:rsid w:val="713B688E"/>
    <w:rsid w:val="71D43752"/>
    <w:rsid w:val="71F1796A"/>
    <w:rsid w:val="72014099"/>
    <w:rsid w:val="72154626"/>
    <w:rsid w:val="72262B5D"/>
    <w:rsid w:val="72283FF7"/>
    <w:rsid w:val="722E7212"/>
    <w:rsid w:val="723A0474"/>
    <w:rsid w:val="725923E4"/>
    <w:rsid w:val="72864BF7"/>
    <w:rsid w:val="729023FC"/>
    <w:rsid w:val="72A116D3"/>
    <w:rsid w:val="72C9287B"/>
    <w:rsid w:val="73336088"/>
    <w:rsid w:val="73C0646E"/>
    <w:rsid w:val="74037328"/>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42C63"/>
    <w:rsid w:val="76C375E1"/>
    <w:rsid w:val="76C87133"/>
    <w:rsid w:val="76CD08D5"/>
    <w:rsid w:val="76DB4B92"/>
    <w:rsid w:val="7701216C"/>
    <w:rsid w:val="77052AA4"/>
    <w:rsid w:val="77136511"/>
    <w:rsid w:val="77200E1D"/>
    <w:rsid w:val="772063B7"/>
    <w:rsid w:val="77340A39"/>
    <w:rsid w:val="77351FD0"/>
    <w:rsid w:val="77472422"/>
    <w:rsid w:val="774A3380"/>
    <w:rsid w:val="77576FFD"/>
    <w:rsid w:val="777F31F2"/>
    <w:rsid w:val="77A411C1"/>
    <w:rsid w:val="77D1700D"/>
    <w:rsid w:val="77EC04CC"/>
    <w:rsid w:val="780879A1"/>
    <w:rsid w:val="78225227"/>
    <w:rsid w:val="78775729"/>
    <w:rsid w:val="78A42DB0"/>
    <w:rsid w:val="78A656AB"/>
    <w:rsid w:val="78B2245C"/>
    <w:rsid w:val="78E172CC"/>
    <w:rsid w:val="78EA1D1F"/>
    <w:rsid w:val="78EB5563"/>
    <w:rsid w:val="7904172F"/>
    <w:rsid w:val="790F7E27"/>
    <w:rsid w:val="792A231A"/>
    <w:rsid w:val="79316829"/>
    <w:rsid w:val="797E66A9"/>
    <w:rsid w:val="79960FDD"/>
    <w:rsid w:val="79A97383"/>
    <w:rsid w:val="79E27E8B"/>
    <w:rsid w:val="79F850CE"/>
    <w:rsid w:val="79FD443C"/>
    <w:rsid w:val="7A1D1975"/>
    <w:rsid w:val="7A3E5150"/>
    <w:rsid w:val="7A45663C"/>
    <w:rsid w:val="7A4670D6"/>
    <w:rsid w:val="7A534B63"/>
    <w:rsid w:val="7A615382"/>
    <w:rsid w:val="7A67303B"/>
    <w:rsid w:val="7A76240F"/>
    <w:rsid w:val="7A9E0F53"/>
    <w:rsid w:val="7AAB1D04"/>
    <w:rsid w:val="7ABA4368"/>
    <w:rsid w:val="7AD05746"/>
    <w:rsid w:val="7B257FFD"/>
    <w:rsid w:val="7B2F3404"/>
    <w:rsid w:val="7B343476"/>
    <w:rsid w:val="7B4A207F"/>
    <w:rsid w:val="7B5A2978"/>
    <w:rsid w:val="7B5A7E4C"/>
    <w:rsid w:val="7B667AF9"/>
    <w:rsid w:val="7B7468F8"/>
    <w:rsid w:val="7B777538"/>
    <w:rsid w:val="7BAD6ADF"/>
    <w:rsid w:val="7BEE0103"/>
    <w:rsid w:val="7C0A0FE4"/>
    <w:rsid w:val="7C1045B2"/>
    <w:rsid w:val="7C254906"/>
    <w:rsid w:val="7C590818"/>
    <w:rsid w:val="7C7C10F6"/>
    <w:rsid w:val="7C853BEA"/>
    <w:rsid w:val="7C881368"/>
    <w:rsid w:val="7CA624A5"/>
    <w:rsid w:val="7CAD556F"/>
    <w:rsid w:val="7CCF6CE0"/>
    <w:rsid w:val="7CE0713F"/>
    <w:rsid w:val="7CE27788"/>
    <w:rsid w:val="7D0C32F1"/>
    <w:rsid w:val="7D0F408D"/>
    <w:rsid w:val="7D1D18EE"/>
    <w:rsid w:val="7D491C6C"/>
    <w:rsid w:val="7D5429C0"/>
    <w:rsid w:val="7D6E6D43"/>
    <w:rsid w:val="7D7F2866"/>
    <w:rsid w:val="7DA57A41"/>
    <w:rsid w:val="7DB57A34"/>
    <w:rsid w:val="7DE60973"/>
    <w:rsid w:val="7DEF0916"/>
    <w:rsid w:val="7E1E5218"/>
    <w:rsid w:val="7E8B6C36"/>
    <w:rsid w:val="7E9A4E1F"/>
    <w:rsid w:val="7EA7723A"/>
    <w:rsid w:val="7EF56FBB"/>
    <w:rsid w:val="7F004651"/>
    <w:rsid w:val="7F0768EB"/>
    <w:rsid w:val="7F143BEC"/>
    <w:rsid w:val="7F715AF2"/>
    <w:rsid w:val="7F886E69"/>
    <w:rsid w:val="7FA119FC"/>
    <w:rsid w:val="7FEE6F06"/>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55"/>
    <w:qFormat/>
    <w:uiPriority w:val="0"/>
    <w:pPr>
      <w:adjustRightInd/>
      <w:spacing w:after="120" w:line="240" w:lineRule="auto"/>
      <w:ind w:left="420" w:leftChars="200" w:firstLine="210"/>
    </w:pPr>
    <w:rPr>
      <w:sz w:val="21"/>
    </w:rPr>
  </w:style>
  <w:style w:type="paragraph" w:styleId="3">
    <w:name w:val="Body Text Indent"/>
    <w:basedOn w:val="1"/>
    <w:next w:val="4"/>
    <w:link w:val="783"/>
    <w:qFormat/>
    <w:uiPriority w:val="0"/>
    <w:pPr>
      <w:spacing w:line="480" w:lineRule="exact"/>
      <w:ind w:firstLine="480" w:firstLineChars="200"/>
    </w:pPr>
    <w:rPr>
      <w:rFonts w:ascii="宋体" w:hAnsi="宋体"/>
      <w:sz w:val="24"/>
    </w:rPr>
  </w:style>
  <w:style w:type="paragraph" w:customStyle="1" w:styleId="4">
    <w:name w:val="正文文本首行缩进 2"/>
    <w:basedOn w:val="3"/>
    <w:qFormat/>
    <w:uiPriority w:val="99"/>
    <w:pPr>
      <w:spacing w:line="200" w:lineRule="atLeast"/>
      <w:ind w:firstLine="420"/>
    </w:pPr>
    <w:rPr>
      <w:rFonts w:ascii="宋体" w:hAnsi="Courier New"/>
      <w:spacing w:val="-4"/>
      <w:sz w:val="18"/>
    </w:rPr>
  </w:style>
  <w:style w:type="paragraph" w:styleId="8">
    <w:name w:val="Normal Indent"/>
    <w:basedOn w:val="1"/>
    <w:next w:val="3"/>
    <w:link w:val="72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32"/>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834"/>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2"/>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9"/>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9"/>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9"/>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7"/>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0"/>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7"/>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9"/>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5"/>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9"/>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7"/>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6"/>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1"/>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0"/>
    <w:next w:val="1"/>
    <w:qFormat/>
    <w:uiPriority w:val="0"/>
    <w:pPr>
      <w:tabs>
        <w:tab w:val="left" w:pos="1080"/>
        <w:tab w:val="clear" w:pos="1008"/>
      </w:tabs>
      <w:ind w:left="1080" w:hanging="1080"/>
    </w:pPr>
  </w:style>
  <w:style w:type="paragraph" w:customStyle="1" w:styleId="583">
    <w:name w:val="数字标题1"/>
    <w:basedOn w:val="5"/>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1"/>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4"/>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3"/>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0"/>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2"/>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7"/>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9"/>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2"/>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3"/>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
    <w:basedOn w:val="3"/>
    <w:qFormat/>
    <w:uiPriority w:val="99"/>
    <w:pPr>
      <w:spacing w:line="200" w:lineRule="atLeast"/>
      <w:ind w:firstLine="420"/>
    </w:pPr>
    <w:rPr>
      <w:rFonts w:ascii="宋体"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0">
    <w:name w:val="UserStyle_460"/>
    <w:basedOn w:val="96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109</Pages>
  <Words>59059</Words>
  <Characters>63480</Characters>
  <Lines>287</Lines>
  <Paragraphs>81</Paragraphs>
  <TotalTime>24</TotalTime>
  <ScaleCrop>false</ScaleCrop>
  <LinksUpToDate>false</LinksUpToDate>
  <CharactersWithSpaces>69251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2021-12-27T03:06:00Z</cp:lastPrinted>
  <dcterms:modified xsi:type="dcterms:W3CDTF">2022-06-02T02:40:49Z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6D39573A3F074C61860993CEF4419578</vt:lpwstr>
  </property>
  <property fmtid="{D5CDD505-2E9C-101B-9397-08002B2CF9AE}" pid="5" name="commondata">
    <vt:lpwstr>eyJoZGlkIjoiMmE3NTc1MTljMDA0ZWI0ZjljNTEwZjI5MzUwYjAxOTgifQ==</vt:lpwstr>
  </property>
</Properties>
</file>