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_GB2312"/>
          <w:color w:val="auto"/>
          <w:sz w:val="48"/>
          <w:szCs w:val="48"/>
          <w:highlight w:val="none"/>
        </w:rPr>
      </w:pPr>
    </w:p>
    <w:p>
      <w:pPr>
        <w:adjustRightInd/>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仓前街道2022-2024年河道及滨河绿化养护</w:t>
      </w: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（电子招投标）</w:t>
      </w:r>
    </w:p>
    <w:p>
      <w:pPr>
        <w:snapToGrid w:val="0"/>
        <w:spacing w:line="360" w:lineRule="auto"/>
        <w:jc w:val="center"/>
        <w:rPr>
          <w:rFonts w:hint="default" w:ascii="仿宋" w:hAnsi="仿宋" w:eastAsia="仿宋" w:cs="仿宋_GB2312"/>
          <w:color w:val="auto"/>
          <w:sz w:val="30"/>
          <w:szCs w:val="30"/>
          <w:highlight w:val="none"/>
          <w:lang w:val="en-US" w:eastAsia="zh-CN"/>
        </w:rPr>
      </w:pPr>
      <w:r>
        <w:rPr>
          <w:rFonts w:hint="eastAsia" w:ascii="仿宋" w:hAnsi="仿宋" w:eastAsia="仿宋" w:cs="仿宋_GB2312"/>
          <w:color w:val="auto"/>
          <w:sz w:val="32"/>
          <w:szCs w:val="32"/>
          <w:highlight w:val="none"/>
        </w:rPr>
        <w:t>编号</w:t>
      </w:r>
      <w:r>
        <w:rPr>
          <w:rFonts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val="en-US" w:eastAsia="zh-CN"/>
        </w:rPr>
        <w:t>ZJDL-2022-013</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hint="eastAsia" w:ascii="宋体" w:hAnsi="宋体" w:cs="宋体"/>
          <w:b/>
          <w:bCs/>
          <w:color w:val="auto"/>
          <w:sz w:val="32"/>
          <w:szCs w:val="32"/>
          <w:highlight w:val="none"/>
          <w:lang w:eastAsia="zh-CN"/>
        </w:rPr>
      </w:pPr>
    </w:p>
    <w:p>
      <w:pPr>
        <w:snapToGrid w:val="0"/>
        <w:spacing w:line="360" w:lineRule="auto"/>
        <w:jc w:val="center"/>
        <w:rPr>
          <w:rFonts w:hint="eastAsia" w:ascii="仿宋" w:hAnsi="仿宋" w:eastAsia="仿宋" w:cs="仿宋_GB2312"/>
          <w:color w:val="auto"/>
          <w:sz w:val="32"/>
          <w:szCs w:val="32"/>
          <w:highlight w:val="none"/>
          <w:lang w:eastAsia="zh-CN"/>
        </w:rPr>
      </w:pPr>
    </w:p>
    <w:p>
      <w:pPr>
        <w:pStyle w:val="6"/>
        <w:rPr>
          <w:rFonts w:hint="eastAsia" w:ascii="仿宋" w:hAnsi="仿宋" w:eastAsia="仿宋" w:cs="仿宋_GB2312"/>
          <w:color w:val="auto"/>
          <w:sz w:val="32"/>
          <w:szCs w:val="32"/>
          <w:highlight w:val="none"/>
          <w:lang w:eastAsia="zh-CN"/>
        </w:rPr>
      </w:pPr>
    </w:p>
    <w:p>
      <w:pPr>
        <w:rPr>
          <w:rFonts w:hint="eastAsia" w:ascii="仿宋" w:hAnsi="仿宋" w:eastAsia="仿宋" w:cs="仿宋_GB2312"/>
          <w:color w:val="auto"/>
          <w:sz w:val="32"/>
          <w:szCs w:val="32"/>
          <w:highlight w:val="none"/>
          <w:lang w:eastAsia="zh-CN"/>
        </w:rPr>
      </w:pPr>
    </w:p>
    <w:p>
      <w:pPr>
        <w:pStyle w:val="6"/>
        <w:rPr>
          <w:rFonts w:hint="eastAsia"/>
          <w:highlight w:val="none"/>
          <w:lang w:eastAsia="zh-CN"/>
        </w:rPr>
      </w:pPr>
    </w:p>
    <w:p>
      <w:pPr>
        <w:snapToGrid w:val="0"/>
        <w:spacing w:line="360" w:lineRule="auto"/>
        <w:jc w:val="center"/>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r>
        <w:rPr>
          <w:rFonts w:hint="eastAsia" w:ascii="仿宋" w:hAnsi="仿宋" w:eastAsia="仿宋" w:cs="仿宋_GB2312"/>
          <w:color w:val="auto"/>
          <w:sz w:val="32"/>
          <w:szCs w:val="32"/>
          <w:highlight w:val="none"/>
          <w:lang w:eastAsia="zh-CN"/>
        </w:rPr>
        <w:t>：杭州市余杭区人民政府仓前街道办事处</w:t>
      </w:r>
    </w:p>
    <w:p>
      <w:pPr>
        <w:snapToGrid w:val="0"/>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采购代理机构</w:t>
      </w:r>
      <w:r>
        <w:rPr>
          <w:rFonts w:hint="eastAsia" w:ascii="仿宋" w:hAnsi="仿宋" w:eastAsia="仿宋" w:cs="仿宋_GB2312"/>
          <w:color w:val="auto"/>
          <w:sz w:val="32"/>
          <w:szCs w:val="32"/>
          <w:highlight w:val="none"/>
          <w:lang w:eastAsia="zh-CN"/>
        </w:rPr>
        <w:t>：浙江中际工程项目管理有限公司</w:t>
      </w:r>
    </w:p>
    <w:p>
      <w:pPr>
        <w:snapToGrid w:val="0"/>
        <w:spacing w:line="360" w:lineRule="auto"/>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w:t>
      </w:r>
      <w:r>
        <w:rPr>
          <w:rFonts w:hint="eastAsia" w:ascii="宋体" w:hAnsi="宋体" w:cs="宋体"/>
          <w:b w:val="0"/>
          <w:bCs w:val="0"/>
          <w:color w:val="auto"/>
          <w:sz w:val="32"/>
          <w:szCs w:val="32"/>
          <w:highlight w:val="none"/>
        </w:rPr>
        <w:t>〇</w:t>
      </w:r>
      <w:r>
        <w:rPr>
          <w:rFonts w:hint="eastAsia" w:ascii="仿宋_GB2312" w:hAnsi="仿宋_GB2312" w:eastAsia="仿宋_GB2312" w:cs="仿宋_GB2312"/>
          <w:b w:val="0"/>
          <w:bCs w:val="0"/>
          <w:color w:val="auto"/>
          <w:sz w:val="32"/>
          <w:szCs w:val="32"/>
          <w:highlight w:val="none"/>
        </w:rPr>
        <w:t>二</w:t>
      </w:r>
      <w:r>
        <w:rPr>
          <w:rFonts w:hint="eastAsia" w:ascii="宋体" w:hAnsi="宋体" w:eastAsia="仿宋_GB2312" w:cs="宋体"/>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日</w:t>
      </w:r>
    </w:p>
    <w:p>
      <w:pPr>
        <w:spacing w:line="360" w:lineRule="auto"/>
        <w:jc w:val="center"/>
        <w:rPr>
          <w:rFonts w:hint="eastAsia" w:ascii="仿宋" w:hAnsi="仿宋" w:eastAsia="仿宋" w:cs="仿宋_GB2312"/>
          <w:b/>
          <w:color w:val="auto"/>
          <w:sz w:val="48"/>
          <w:szCs w:val="48"/>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pStyle w:val="61"/>
        <w:keepNext w:val="0"/>
        <w:keepLines w:val="0"/>
        <w:widowControl/>
        <w:numPr>
          <w:ilvl w:val="0"/>
          <w:numId w:val="1"/>
        </w:numPr>
        <w:suppressLineNumbers w:val="0"/>
        <w:spacing w:before="75" w:beforeAutospacing="0" w:after="75" w:afterAutospacing="0"/>
        <w:ind w:left="0" w:right="0"/>
        <w:jc w:val="center"/>
        <w:rPr>
          <w:rFonts w:hint="eastAsia" w:ascii="仿宋_GB2312" w:hAnsi="仿宋" w:eastAsia="仿宋_GB2312" w:cs="仿宋_GB2312"/>
          <w:b/>
          <w:color w:val="auto"/>
          <w:sz w:val="36"/>
          <w:szCs w:val="20"/>
          <w:highlight w:val="none"/>
        </w:rPr>
      </w:pPr>
      <w:bookmarkStart w:id="2" w:name="第一部分"/>
      <w:r>
        <w:rPr>
          <w:rFonts w:ascii="仿宋" w:hAnsi="仿宋" w:eastAsia="仿宋" w:cs="仿宋_GB2312"/>
          <w:b/>
          <w:color w:val="auto"/>
          <w:sz w:val="36"/>
          <w:szCs w:val="36"/>
          <w:highlight w:val="none"/>
        </w:rPr>
        <w:br w:type="page"/>
      </w:r>
      <w:bookmarkEnd w:id="1"/>
      <w:bookmarkEnd w:id="2"/>
      <w:bookmarkStart w:id="3" w:name="_Hlt74649545"/>
      <w:bookmarkEnd w:id="3"/>
      <w:bookmarkStart w:id="4" w:name="_Hlt74707423"/>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_GB2312" w:hAnsi="仿宋" w:eastAsia="仿宋_GB2312" w:cs="仿宋_GB2312"/>
          <w:b/>
          <w:color w:val="auto"/>
          <w:sz w:val="36"/>
          <w:szCs w:val="20"/>
          <w:highlight w:val="none"/>
        </w:rPr>
        <w:t>招标公告</w:t>
      </w:r>
    </w:p>
    <w:p>
      <w:pPr>
        <w:pStyle w:val="61"/>
        <w:keepNext w:val="0"/>
        <w:keepLines w:val="0"/>
        <w:widowControl/>
        <w:numPr>
          <w:numId w:val="0"/>
        </w:numPr>
        <w:suppressLineNumbers w:val="0"/>
        <w:spacing w:before="75" w:beforeAutospacing="0" w:after="75" w:afterAutospacing="0"/>
        <w:ind w:right="0" w:rightChars="0"/>
      </w:pPr>
      <w:r>
        <w:rPr>
          <w:rFonts w:ascii="仿宋" w:hAnsi="仿宋" w:eastAsia="仿宋" w:cs="仿宋"/>
          <w:sz w:val="27"/>
          <w:szCs w:val="27"/>
        </w:rPr>
        <w:t>项目概况</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firstLine="270" w:firstLineChars="100"/>
        <w:rPr>
          <w:rFonts w:hint="eastAsia" w:ascii="仿宋" w:hAnsi="仿宋" w:eastAsia="仿宋" w:cs="仿宋"/>
          <w:sz w:val="27"/>
          <w:szCs w:val="27"/>
          <w:lang w:val="en-US" w:eastAsia="zh-CN"/>
        </w:rPr>
      </w:pPr>
      <w:r>
        <w:rPr>
          <w:rFonts w:hint="eastAsia" w:ascii="仿宋" w:hAnsi="仿宋" w:eastAsia="仿宋" w:cs="仿宋"/>
          <w:sz w:val="27"/>
          <w:szCs w:val="27"/>
        </w:rPr>
        <w:t>仓前街道2022-2024年河道及滨河绿化养护招标项目的潜在投标人应在</w:t>
      </w:r>
      <w:r>
        <w:rPr>
          <w:rFonts w:hint="eastAsia" w:ascii="仿宋" w:hAnsi="仿宋" w:eastAsia="仿宋" w:cs="仿宋"/>
          <w:sz w:val="27"/>
          <w:szCs w:val="27"/>
          <w:u w:val="none"/>
        </w:rPr>
        <w:t>政采云平台（http://zfcg.czt.zj.gov.cn）获取（下载）招标文件，并于 2022年03月29日 09:30（北京时间）前递交（上传）投标文</w:t>
      </w:r>
      <w:r>
        <w:rPr>
          <w:rFonts w:hint="eastAsia" w:ascii="仿宋" w:hAnsi="仿宋" w:eastAsia="仿宋" w:cs="仿宋"/>
          <w:sz w:val="27"/>
          <w:szCs w:val="27"/>
          <w:u w:val="none"/>
          <w:lang w:eastAsia="zh-CN"/>
        </w:rPr>
        <w:t>件。</w:t>
      </w:r>
    </w:p>
    <w:p>
      <w:pPr>
        <w:pStyle w:val="61"/>
        <w:keepNext w:val="0"/>
        <w:keepLines w:val="0"/>
        <w:widowControl/>
        <w:suppressLineNumbers w:val="0"/>
        <w:spacing w:before="75" w:beforeAutospacing="0" w:after="75" w:afterAutospacing="0" w:line="300" w:lineRule="atLeast"/>
        <w:ind w:right="0"/>
        <w:rPr>
          <w:rStyle w:val="72"/>
          <w:rFonts w:ascii="黑体" w:hAnsi="宋体" w:eastAsia="黑体" w:cs="黑体"/>
          <w:sz w:val="27"/>
          <w:szCs w:val="27"/>
        </w:rPr>
      </w:pPr>
    </w:p>
    <w:p>
      <w:pPr>
        <w:pStyle w:val="61"/>
        <w:keepNext w:val="0"/>
        <w:keepLines w:val="0"/>
        <w:widowControl/>
        <w:suppressLineNumbers w:val="0"/>
        <w:spacing w:before="75" w:beforeAutospacing="0" w:after="75" w:afterAutospacing="0" w:line="300" w:lineRule="atLeast"/>
        <w:ind w:right="0"/>
        <w:rPr>
          <w:rFonts w:ascii="黑体" w:hAnsi="宋体" w:eastAsia="黑体" w:cs="黑体"/>
          <w:sz w:val="27"/>
          <w:szCs w:val="27"/>
        </w:rPr>
      </w:pPr>
      <w:r>
        <w:rPr>
          <w:rStyle w:val="72"/>
          <w:rFonts w:ascii="黑体" w:hAnsi="宋体" w:eastAsia="黑体" w:cs="黑体"/>
          <w:sz w:val="27"/>
          <w:szCs w:val="27"/>
        </w:rPr>
        <w:t>项目基本情况</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项目编号：ZJDL-2022-013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项目名称：仓前街道2022-2024年河道及滨河绿化养护</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预算金额（元）：14480000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最高限价（元）：14480000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r>
        <w:rPr>
          <w:rFonts w:hint="eastAsia" w:ascii="仿宋" w:hAnsi="仿宋" w:eastAsia="仿宋" w:cs="仿宋"/>
          <w:sz w:val="27"/>
          <w:szCs w:val="27"/>
        </w:rPr>
        <w:br w:type="textWrapping"/>
      </w:r>
      <w:r>
        <w:rPr>
          <w:rFonts w:hint="eastAsia" w:ascii="仿宋" w:hAnsi="仿宋" w:eastAsia="仿宋" w:cs="仿宋"/>
          <w:sz w:val="27"/>
          <w:szCs w:val="27"/>
        </w:rPr>
        <w:t>    标项名称: 仓前街道2022-2024年河道及滨河绿化养护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14480000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简要规格描述或项目基本概况介绍、用途：仓前街道2022-2024年河道及滨河绿化养护，主要内容：详见招标文件第三部分采购需求。 </w:t>
      </w:r>
      <w:r>
        <w:rPr>
          <w:rFonts w:hint="eastAsia" w:ascii="仿宋" w:hAnsi="仿宋" w:eastAsia="仿宋" w:cs="仿宋"/>
          <w:sz w:val="27"/>
          <w:szCs w:val="27"/>
        </w:rPr>
        <w:br w:type="textWrapping"/>
      </w:r>
      <w:r>
        <w:rPr>
          <w:rFonts w:hint="eastAsia" w:ascii="仿宋" w:hAnsi="仿宋" w:eastAsia="仿宋" w:cs="仿宋"/>
          <w:sz w:val="27"/>
          <w:szCs w:val="27"/>
        </w:rPr>
        <w:t>    备注：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1，2年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61"/>
        <w:keepNext w:val="0"/>
        <w:keepLines w:val="0"/>
        <w:widowControl/>
        <w:suppressLineNumbers w:val="0"/>
        <w:spacing w:before="225" w:beforeAutospacing="0" w:after="225" w:afterAutospacing="0" w:line="300" w:lineRule="atLeast"/>
        <w:ind w:left="0" w:right="0"/>
      </w:pPr>
      <w:r>
        <w:rPr>
          <w:rStyle w:val="72"/>
          <w:rFonts w:ascii="黑体" w:hAnsi="宋体" w:eastAsia="黑体" w:cs="黑体"/>
          <w:sz w:val="27"/>
          <w:szCs w:val="27"/>
        </w:rPr>
        <w:t>二、申请人的资格要求：</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2.落实政府采购政策需满足的资格要求：无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三、获取招标文件</w:t>
      </w:r>
      <w:r>
        <w:rPr>
          <w:rFonts w:ascii="黑体" w:hAnsi="宋体" w:eastAsia="黑体" w:cs="黑体"/>
          <w:sz w:val="27"/>
          <w:szCs w:val="27"/>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时间：/至2022年03月29日 ，每天上午00:00至12:00 ，下午12:00至23:59（北京时间，线上获取法定节假日均可，线下获取文件法定节假日除外）</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地点（网址）：政采云平台（http://zfcg.czt.zj.gov.cn）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四、提交投标文件截止时间、开标时间和地点</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提交投标文件截止时间：2022年03月29日 09:30（北京时间）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投标地点（网址）：通过“政府采购云平台（www.zcygov.cn）”实行在线投标响应（电子投标）；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开标时间：2022年03月29日 09:30</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开标地点（网址）：政采云平台（https://www.zcygov.cn/）</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五、采购意向公开链接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1"/>
          <w:rFonts w:hint="eastAsia" w:ascii="仿宋" w:hAnsi="仿宋" w:eastAsia="仿宋" w:cs="仿宋"/>
          <w:sz w:val="27"/>
          <w:szCs w:val="27"/>
        </w:rPr>
        <w:t>https://zfcg.czt.zj.gov.cn/innerUsed_noticeDetails/index.html?noticeId=8523836&amp;utm=web-government-front.2e418808.0.0.68fedae09f7711ecbd9d2dd7b3fe601c</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六、公告期限</w:t>
      </w:r>
      <w:r>
        <w:rPr>
          <w:rFonts w:ascii="黑体" w:hAnsi="宋体" w:eastAsia="黑体" w:cs="黑体"/>
          <w:sz w:val="31"/>
          <w:szCs w:val="31"/>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七、其他补充事宜</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w:t>
      </w:r>
      <w:bookmarkStart w:id="401" w:name="_GoBack"/>
      <w:bookmarkEnd w:id="401"/>
      <w:r>
        <w:rPr>
          <w:rFonts w:hint="eastAsia" w:ascii="仿宋" w:hAnsi="仿宋" w:eastAsia="仿宋" w:cs="仿宋"/>
          <w:sz w:val="27"/>
          <w:szCs w:val="27"/>
        </w:rPr>
        <w:t>行。</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  </w:t>
      </w:r>
    </w:p>
    <w:p>
      <w:pPr>
        <w:pStyle w:val="61"/>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2"/>
          <w:rFonts w:ascii="黑体" w:hAnsi="宋体" w:eastAsia="黑体" w:cs="黑体"/>
          <w:sz w:val="27"/>
          <w:szCs w:val="27"/>
        </w:rPr>
        <w:t>八、对本次采购提出询问、质疑、投诉，请按以下方式联系</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称：杭州市余杭区人民政府仓前街道办事处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址：仓前街道向往街1008号乐富海邦园18幢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项目联系人（询问）：陈文钟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项目联系方式（询问）：0571-88611800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质疑联系人：周国平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质疑联系方式：13777592253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址：杭州市临平区南苑街道嘉信国际6楼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项目联系方式（询问）：13362030720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址：杭州市余杭区五常街道溪沁路8号中国电信浙江创新园1号楼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61"/>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pStyle w:val="61"/>
        <w:keepNext w:val="0"/>
        <w:keepLines w:val="0"/>
        <w:widowControl/>
        <w:suppressLineNumbers w:val="0"/>
        <w:spacing w:before="75" w:beforeAutospacing="0" w:after="75"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61"/>
        <w:keepNext w:val="0"/>
        <w:keepLines w:val="0"/>
        <w:widowControl/>
        <w:suppressLineNumbers w:val="0"/>
        <w:spacing w:before="75" w:beforeAutospacing="0" w:after="75" w:afterAutospacing="0"/>
        <w:ind w:left="0" w:right="0"/>
      </w:pPr>
    </w:p>
    <w:p>
      <w:pPr>
        <w:pStyle w:val="61"/>
        <w:keepNext w:val="0"/>
        <w:keepLines w:val="0"/>
        <w:widowControl/>
        <w:suppressLineNumbers w:val="0"/>
        <w:spacing w:before="75" w:beforeAutospacing="0" w:after="75" w:afterAutospacing="0"/>
        <w:ind w:left="0" w:right="0"/>
      </w:pPr>
    </w:p>
    <w:p>
      <w:pPr>
        <w:spacing w:line="360" w:lineRule="auto"/>
        <w:ind w:firstLine="480" w:firstLineChars="200"/>
        <w:rPr>
          <w:rFonts w:ascii="仿宋_GB2312" w:hAnsi="仿宋" w:eastAsia="仿宋_GB2312"/>
          <w:color w:val="auto"/>
          <w:sz w:val="24"/>
          <w:highlight w:val="none"/>
        </w:rPr>
      </w:pPr>
    </w:p>
    <w:p>
      <w:pPr>
        <w:adjustRightInd/>
        <w:spacing w:line="360" w:lineRule="auto"/>
        <w:jc w:val="center"/>
        <w:outlineLvl w:val="0"/>
        <w:rPr>
          <w:rFonts w:ascii="仿宋" w:hAnsi="仿宋" w:eastAsia="仿宋" w:cs="仿宋_GB2312"/>
          <w:b/>
          <w:color w:val="auto"/>
          <w:sz w:val="36"/>
          <w:szCs w:val="20"/>
          <w:highlight w:val="none"/>
        </w:rPr>
      </w:pP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7"/>
      <w:r>
        <w:rPr>
          <w:rFonts w:ascii="仿宋" w:hAnsi="仿宋" w:eastAsia="仿宋" w:cs="仿宋_GB2312"/>
          <w:b/>
          <w:color w:val="auto"/>
          <w:sz w:val="36"/>
          <w:szCs w:val="20"/>
          <w:highlight w:val="none"/>
        </w:rPr>
        <w:t xml:space="preserve"> 投标人须知</w:t>
      </w:r>
      <w:bookmarkEnd w:id="8"/>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lang w:val="zh-CN"/>
              </w:rPr>
              <w:t>有关本项目实施所需的所有费用（含税费）均计入报价。</w:t>
            </w:r>
            <w:r>
              <w:rPr>
                <w:rFonts w:hint="eastAsia" w:ascii="仿宋_GB2312" w:hAnsi="仿宋" w:eastAsia="仿宋_GB2312" w:cs="仿宋_GB2312"/>
                <w:color w:val="auto"/>
                <w:sz w:val="24"/>
                <w:highlight w:val="none"/>
              </w:rPr>
              <w:t>开标一览表（报价表）</w:t>
            </w:r>
            <w:r>
              <w:rPr>
                <w:rFonts w:hint="eastAsia" w:ascii="仿宋_GB2312" w:hAnsi="仿宋" w:eastAsia="仿宋_GB2312"/>
                <w:color w:val="auto"/>
                <w:sz w:val="24"/>
                <w:highlight w:val="none"/>
              </w:rPr>
              <w:t>是报价的唯一载体</w:t>
            </w:r>
            <w:r>
              <w:rPr>
                <w:rFonts w:hint="eastAsia" w:ascii="仿宋_GB2312" w:hAnsi="仿宋" w:eastAsia="仿宋_GB2312" w:cs="仿宋_GB2312"/>
                <w:color w:val="auto"/>
                <w:kern w:val="0"/>
                <w:sz w:val="24"/>
                <w:highlight w:val="none"/>
                <w:lang w:val="zh-CN"/>
              </w:rPr>
              <w:t>。投标文件中绿化养护、</w:t>
            </w:r>
            <w:r>
              <w:rPr>
                <w:rFonts w:hint="eastAsia" w:ascii="仿宋_GB2312" w:hAnsi="仿宋" w:eastAsia="仿宋_GB2312" w:cs="仿宋_GB2312"/>
                <w:color w:val="auto"/>
                <w:kern w:val="0"/>
                <w:sz w:val="24"/>
                <w:highlight w:val="none"/>
                <w:lang w:val="zh-CN" w:eastAsia="zh-CN"/>
              </w:rPr>
              <w:t>河道</w:t>
            </w:r>
            <w:r>
              <w:rPr>
                <w:rFonts w:hint="eastAsia" w:ascii="仿宋_GB2312" w:hAnsi="仿宋" w:eastAsia="仿宋_GB2312" w:cs="仿宋_GB2312"/>
                <w:color w:val="auto"/>
                <w:kern w:val="0"/>
                <w:sz w:val="24"/>
                <w:highlight w:val="none"/>
                <w:lang w:val="zh-CN"/>
              </w:rPr>
              <w:t>保洁价格全部采用人民币报价。招标文件未列明，而投标人认为必需的费用也需列入报价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spacing w:line="360" w:lineRule="auto"/>
              <w:ind w:firstLine="241" w:firstLineChars="100"/>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spacing w:line="360" w:lineRule="auto"/>
              <w:ind w:firstLine="241" w:firstLineChars="100"/>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highlight w:val="none"/>
              </w:rPr>
            </w:pPr>
            <w:r>
              <w:rPr>
                <w:rFonts w:ascii="MS Gothic" w:hAnsi="MS Gothic" w:eastAsia="MS Gothic" w:cs="Arial"/>
                <w:color w:val="auto"/>
                <w:kern w:val="0"/>
                <w:sz w:val="24"/>
                <w:highlight w:val="none"/>
              </w:rPr>
              <w:t>☐</w:t>
            </w:r>
            <w:r>
              <w:rPr>
                <w:rFonts w:ascii="仿宋_GB2312" w:hAnsi="仿宋" w:eastAsia="仿宋_GB2312" w:cs="Arial"/>
                <w:color w:val="auto"/>
                <w:kern w:val="0"/>
                <w:sz w:val="24"/>
                <w:highlight w:val="none"/>
              </w:rPr>
              <w:t xml:space="preserve"> A</w:t>
            </w:r>
            <w:r>
              <w:rPr>
                <w:rFonts w:hint="eastAsia" w:ascii="仿宋_GB2312" w:hAnsi="仿宋" w:eastAsia="仿宋_GB2312"/>
                <w:color w:val="auto"/>
                <w:sz w:val="24"/>
                <w:highlight w:val="none"/>
              </w:rPr>
              <w:t>同意将非主体、非关键性的</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工作分包。</w:t>
            </w: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 xml:space="preserve"> B</w:t>
            </w:r>
            <w:r>
              <w:rPr>
                <w:rFonts w:hint="eastAsia" w:ascii="仿宋_GB2312" w:hAnsi="仿宋" w:eastAsia="仿宋_GB2312"/>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spacing w:line="360" w:lineRule="auto"/>
              <w:rPr>
                <w:rFonts w:ascii="Arial" w:hAnsi="Arial" w:eastAsia="黑体" w:cs="Arial"/>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sz w:val="24"/>
                <w:szCs w:val="20"/>
                <w:highlight w:val="none"/>
              </w:rPr>
            </w:pPr>
            <w:r>
              <w:rPr>
                <w:rFonts w:ascii="MS Gothic" w:hAnsi="MS Gothic" w:eastAsia="MS Gothic" w:cs="Arial"/>
                <w:color w:val="auto"/>
                <w:kern w:val="0"/>
                <w:sz w:val="24"/>
                <w:highlight w:val="none"/>
              </w:rPr>
              <w:t>☐</w:t>
            </w:r>
            <w:r>
              <w:rPr>
                <w:rFonts w:ascii="仿宋_GB2312" w:hAnsi="仿宋" w:eastAsia="仿宋_GB2312"/>
                <w:color w:val="auto"/>
                <w:kern w:val="0"/>
                <w:sz w:val="24"/>
                <w:highlight w:val="none"/>
              </w:rPr>
              <w:t>B组织，</w:t>
            </w:r>
            <w:r>
              <w:rPr>
                <w:rFonts w:hint="eastAsia" w:ascii="仿宋_GB2312" w:hAnsi="仿宋" w:eastAsia="仿宋_GB2312"/>
                <w:color w:val="auto"/>
                <w:sz w:val="24"/>
                <w:highlight w:val="none"/>
              </w:rPr>
              <w:t>时间：</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,地点：</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，联系方式：</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仿宋_GB2312" w:hAnsi="仿宋" w:eastAsia="仿宋_GB2312"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不要求提供。</w:t>
            </w:r>
          </w:p>
          <w:p>
            <w:pPr>
              <w:spacing w:line="360" w:lineRule="auto"/>
              <w:rPr>
                <w:rFonts w:ascii="仿宋_GB2312" w:hAnsi="仿宋" w:eastAsia="仿宋_GB2312"/>
                <w:color w:val="auto"/>
                <w:kern w:val="0"/>
                <w:sz w:val="24"/>
                <w:highlight w:val="none"/>
              </w:rPr>
            </w:pPr>
            <w:r>
              <w:rPr>
                <w:rFonts w:ascii="MS Gothic" w:hAnsi="MS Gothic" w:eastAsia="MS Gothic" w:cs="Arial"/>
                <w:color w:val="auto"/>
                <w:kern w:val="0"/>
                <w:sz w:val="24"/>
                <w:highlight w:val="none"/>
              </w:rPr>
              <w:sym w:font="Wingdings" w:char="00A8"/>
            </w:r>
            <w:r>
              <w:rPr>
                <w:rFonts w:ascii="仿宋_GB2312" w:hAnsi="仿宋" w:eastAsia="仿宋_GB2312"/>
                <w:color w:val="auto"/>
                <w:kern w:val="0"/>
                <w:sz w:val="24"/>
                <w:highlight w:val="none"/>
              </w:rPr>
              <w:t>B</w:t>
            </w:r>
            <w:r>
              <w:rPr>
                <w:rFonts w:hint="eastAsia" w:ascii="仿宋_GB2312" w:hAnsi="仿宋" w:eastAsia="仿宋_GB2312"/>
                <w:color w:val="auto"/>
                <w:kern w:val="0"/>
                <w:sz w:val="24"/>
                <w:highlight w:val="none"/>
              </w:rPr>
              <w:t>要求提供，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w:t>
            </w:r>
            <w:r>
              <w:rPr>
                <w:rFonts w:hint="eastAsia" w:ascii="仿宋" w:hAnsi="仿宋" w:eastAsia="仿宋"/>
                <w:snapToGrid w:val="0"/>
                <w:color w:val="auto"/>
                <w:kern w:val="28"/>
                <w:sz w:val="24"/>
                <w:highlight w:val="none"/>
              </w:rPr>
              <w:t>样品：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w:t>
            </w:r>
            <w:r>
              <w:rPr>
                <w:rFonts w:hint="eastAsia" w:ascii="仿宋" w:hAnsi="仿宋" w:eastAsia="仿宋"/>
                <w:snapToGrid w:val="0"/>
                <w:color w:val="auto"/>
                <w:kern w:val="28"/>
                <w:sz w:val="24"/>
                <w:highlight w:val="none"/>
              </w:rPr>
              <w:t>样品制作的标准和要求：</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3）样品的评审方法以及评审标准</w:t>
            </w:r>
            <w:r>
              <w:rPr>
                <w:rFonts w:hint="eastAsia" w:ascii="仿宋" w:hAnsi="仿宋" w:eastAsia="仿宋"/>
                <w:snapToGrid w:val="0"/>
                <w:color w:val="auto"/>
                <w:kern w:val="28"/>
                <w:sz w:val="24"/>
                <w:highlight w:val="none"/>
              </w:rPr>
              <w:t>：详见</w:t>
            </w:r>
            <w:r>
              <w:rPr>
                <w:rFonts w:hint="eastAsia" w:ascii="仿宋_GB2312" w:hAnsi="仿宋" w:eastAsia="仿宋_GB2312"/>
                <w:color w:val="auto"/>
                <w:sz w:val="24"/>
                <w:highlight w:val="none"/>
                <w:u w:val="single"/>
              </w:rPr>
              <w:t>评标办法</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4）是否需要随样品提交检测报告</w:t>
            </w:r>
            <w:r>
              <w:rPr>
                <w:rFonts w:hint="eastAsia" w:ascii="仿宋_GB2312" w:hAnsi="仿宋" w:eastAsia="仿宋_GB2312"/>
                <w:color w:val="auto"/>
                <w:kern w:val="0"/>
                <w:sz w:val="24"/>
                <w:highlight w:val="none"/>
              </w:rPr>
              <w:t>：</w:t>
            </w:r>
            <w:r>
              <w:rPr>
                <w:rFonts w:ascii="MS Gothic" w:hAnsi="MS Gothic" w:eastAsia="仿宋_GB2312" w:cs="Arial"/>
                <w:color w:val="auto"/>
                <w:kern w:val="0"/>
                <w:sz w:val="24"/>
                <w:highlight w:val="none"/>
              </w:rPr>
              <w:sym w:font="Wingdings" w:char="F0FE"/>
            </w:r>
            <w:r>
              <w:rPr>
                <w:rFonts w:ascii="仿宋_GB2312" w:hAnsi="仿宋" w:eastAsia="仿宋_GB2312"/>
                <w:color w:val="auto"/>
                <w:kern w:val="0"/>
                <w:sz w:val="24"/>
                <w:highlight w:val="none"/>
              </w:rPr>
              <w:t>否；</w:t>
            </w:r>
            <w:r>
              <w:rPr>
                <w:rFonts w:ascii="MS Gothic" w:hAnsi="MS Gothic" w:eastAsia="仿宋_GB2312" w:cs="Arial"/>
                <w:color w:val="auto"/>
                <w:kern w:val="0"/>
                <w:sz w:val="24"/>
                <w:highlight w:val="none"/>
              </w:rPr>
              <w:t>☐</w:t>
            </w:r>
            <w:r>
              <w:rPr>
                <w:rFonts w:ascii="仿宋_GB2312" w:hAnsi="仿宋" w:eastAsia="仿宋_GB2312"/>
                <w:color w:val="auto"/>
                <w:kern w:val="0"/>
                <w:sz w:val="24"/>
                <w:highlight w:val="none"/>
              </w:rPr>
              <w:t>是，检测机构的要求</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；检测内容</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5）提供样品的时间：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kern w:val="0"/>
                <w:sz w:val="24"/>
                <w:highlight w:val="none"/>
              </w:rPr>
              <w:t>；联系人</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r>
              <w:rPr>
                <w:rFonts w:hint="eastAsia" w:ascii="仿宋_GB2312" w:hAnsi="仿宋" w:eastAsia="仿宋_GB2312"/>
                <w:color w:val="auto"/>
                <w:kern w:val="28"/>
                <w:sz w:val="24"/>
                <w:highlight w:val="none"/>
              </w:rPr>
              <w:t>联系电话：</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(6)采购活动结束后，对于未中标人提供的样品，</w:t>
            </w:r>
            <w:r>
              <w:rPr>
                <w:rFonts w:hint="eastAsia" w:ascii="仿宋_GB2312" w:hAnsi="仿宋" w:eastAsia="仿宋_GB2312"/>
                <w:color w:val="auto"/>
                <w:sz w:val="24"/>
                <w:highlight w:val="none"/>
              </w:rPr>
              <w:t>采购人、采购机构将通知</w:t>
            </w:r>
            <w:r>
              <w:rPr>
                <w:rFonts w:ascii="仿宋_GB2312" w:hAnsi="仿宋" w:eastAsia="仿宋_GB2312"/>
                <w:color w:val="auto"/>
                <w:sz w:val="24"/>
                <w:highlight w:val="none"/>
              </w:rPr>
              <w:t>未中标人</w:t>
            </w:r>
            <w:r>
              <w:rPr>
                <w:rFonts w:hint="eastAsia" w:ascii="仿宋_GB2312" w:hAnsi="仿宋" w:eastAsia="仿宋_GB2312"/>
                <w:color w:val="auto"/>
                <w:sz w:val="24"/>
                <w:highlight w:val="none"/>
              </w:rPr>
              <w:t>在规定的时间内取回，逾期未取回的，采购人、采购机构不负保管义务</w:t>
            </w:r>
            <w:r>
              <w:rPr>
                <w:rFonts w:ascii="仿宋_GB2312" w:hAnsi="仿宋" w:eastAsia="仿宋_GB2312"/>
                <w:color w:val="auto"/>
                <w:sz w:val="24"/>
                <w:highlight w:val="none"/>
              </w:rPr>
              <w:t>；对于中标人提供的样品，</w:t>
            </w:r>
            <w:r>
              <w:rPr>
                <w:rFonts w:hint="eastAsia" w:ascii="仿宋_GB2312" w:hAnsi="仿宋" w:eastAsia="仿宋_GB2312"/>
                <w:color w:val="auto"/>
                <w:sz w:val="24"/>
                <w:highlight w:val="none"/>
              </w:rPr>
              <w:t>采购人将进</w:t>
            </w:r>
            <w:r>
              <w:rPr>
                <w:rFonts w:ascii="仿宋_GB2312" w:hAnsi="仿宋" w:eastAsia="仿宋_GB2312"/>
                <w:color w:val="auto"/>
                <w:sz w:val="24"/>
                <w:highlight w:val="none"/>
              </w:rPr>
              <w:t>行保管、封存，并作为履约验收的参考。</w:t>
            </w:r>
          </w:p>
          <w:p>
            <w:pPr>
              <w:spacing w:line="360" w:lineRule="auto"/>
              <w:rPr>
                <w:rFonts w:ascii="仿宋_GB2312" w:hAnsi="仿宋" w:eastAsia="仿宋_GB2312"/>
                <w:b/>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FE"/>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不组织。</w:t>
            </w:r>
          </w:p>
          <w:p>
            <w:pPr>
              <w:spacing w:line="360" w:lineRule="auto"/>
              <w:rPr>
                <w:rFonts w:ascii="仿宋_GB2312" w:hAnsi="仿宋" w:eastAsia="仿宋_GB2312"/>
                <w:color w:val="auto"/>
                <w:kern w:val="0"/>
                <w:sz w:val="24"/>
                <w:highlight w:val="none"/>
              </w:rPr>
            </w:pPr>
            <w:r>
              <w:rPr>
                <w:rFonts w:ascii="Wingdings" w:hAnsi="Wingdings" w:eastAsia="仿宋_GB2312" w:cs="Arial"/>
                <w:color w:val="auto"/>
                <w:kern w:val="0"/>
                <w:sz w:val="24"/>
                <w:highlight w:val="none"/>
              </w:rPr>
              <w:sym w:font="Wingdings" w:char="00A8"/>
            </w:r>
            <w:r>
              <w:rPr>
                <w:rFonts w:ascii="仿宋_GB2312" w:hAnsi="仿宋" w:eastAsia="仿宋_GB2312"/>
                <w:color w:val="auto"/>
                <w:kern w:val="0"/>
                <w:sz w:val="24"/>
                <w:highlight w:val="none"/>
              </w:rPr>
              <w:t>B组织。</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w:t>
            </w:r>
            <w:r>
              <w:rPr>
                <w:rFonts w:ascii="仿宋_GB2312" w:hAnsi="仿宋" w:eastAsia="仿宋_GB2312"/>
                <w:color w:val="auto"/>
                <w:kern w:val="0"/>
                <w:sz w:val="24"/>
                <w:highlight w:val="none"/>
              </w:rPr>
              <w:t>2）方案讲解演示可选择</w:t>
            </w:r>
            <w:r>
              <w:rPr>
                <w:rFonts w:hint="eastAsia" w:ascii="仿宋_GB2312" w:hAnsi="仿宋" w:eastAsia="仿宋_GB2312"/>
                <w:color w:val="auto"/>
                <w:kern w:val="0"/>
                <w:sz w:val="24"/>
                <w:highlight w:val="none"/>
              </w:rPr>
              <w:t>以下其中一种方式：</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方式二：交易中心现场讲解演示。现场讲解地点</w:t>
            </w:r>
            <w:r>
              <w:rPr>
                <w:rFonts w:hint="eastAsia" w:ascii="仿宋_GB2312" w:hAnsi="仿宋" w:eastAsia="仿宋_GB2312"/>
                <w:b/>
                <w:bCs/>
                <w:color w:val="auto"/>
                <w:kern w:val="0"/>
                <w:sz w:val="24"/>
                <w:highlight w:val="none"/>
                <w:u w:val="single"/>
                <w:lang w:val="en-US" w:eastAsia="zh-CN"/>
              </w:rPr>
              <w:t xml:space="preserve">       </w:t>
            </w:r>
            <w:r>
              <w:rPr>
                <w:rFonts w:hint="eastAsia" w:ascii="仿宋_GB2312" w:hAnsi="仿宋" w:eastAsia="仿宋_GB2312"/>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sym w:font="Wingdings" w:char="F0FE"/>
            </w:r>
            <w:r>
              <w:rPr>
                <w:rFonts w:hint="eastAsia" w:ascii="仿宋_GB2312" w:hAnsi="仿宋" w:eastAsia="仿宋_GB2312" w:cs="Arial"/>
                <w:color w:val="auto"/>
                <w:kern w:val="0"/>
                <w:sz w:val="24"/>
                <w:highlight w:val="none"/>
              </w:rPr>
              <w:t>本项目不允许采购进口产品。</w:t>
            </w:r>
          </w:p>
          <w:p>
            <w:pPr>
              <w:spacing w:line="360" w:lineRule="auto"/>
              <w:rPr>
                <w:color w:val="auto"/>
                <w:highlight w:val="none"/>
              </w:rPr>
            </w:pPr>
            <w:r>
              <w:rPr>
                <w:rFonts w:ascii="MS Gothic" w:hAnsi="MS Gothic" w:eastAsia="MS Gothic" w:cs="Arial"/>
                <w:color w:val="auto"/>
                <w:kern w:val="0"/>
                <w:sz w:val="24"/>
                <w:highlight w:val="none"/>
              </w:rPr>
              <w:t>☐</w:t>
            </w:r>
            <w:r>
              <w:rPr>
                <w:rFonts w:hint="eastAsia" w:ascii="仿宋_GB2312" w:hAnsi="仿宋" w:eastAsia="仿宋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sym w:font="Wingdings" w:char="00A8"/>
            </w:r>
            <w:r>
              <w:rPr>
                <w:rFonts w:ascii="仿宋_GB2312" w:hAnsi="仿宋" w:eastAsia="仿宋_GB2312" w:cs="Arial"/>
                <w:color w:val="auto"/>
                <w:kern w:val="0"/>
                <w:sz w:val="24"/>
                <w:highlight w:val="none"/>
              </w:rPr>
              <w:t>A</w:t>
            </w:r>
            <w:r>
              <w:rPr>
                <w:rFonts w:hint="eastAsia" w:ascii="仿宋_GB2312" w:hAnsi="仿宋" w:eastAsia="仿宋_GB2312"/>
                <w:color w:val="auto"/>
                <w:sz w:val="24"/>
                <w:highlight w:val="none"/>
              </w:rPr>
              <w:t>货物类，单一产品或</w:t>
            </w:r>
            <w:r>
              <w:rPr>
                <w:rFonts w:hint="eastAsia" w:ascii="仿宋_GB2312" w:hAnsi="仿宋" w:eastAsia="仿宋_GB2312"/>
                <w:color w:val="auto"/>
                <w:kern w:val="0"/>
                <w:sz w:val="24"/>
                <w:highlight w:val="none"/>
              </w:rPr>
              <w:t>核心产品为：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ascii="Wingdings" w:hAnsi="Wingdings" w:eastAsia="仿宋_GB2312" w:cs="Arial"/>
                <w:color w:val="auto"/>
                <w:kern w:val="0"/>
                <w:sz w:val="24"/>
                <w:highlight w:val="none"/>
              </w:rPr>
              <w:t></w:t>
            </w:r>
            <w:r>
              <w:rPr>
                <w:rFonts w:ascii="仿宋_GB2312" w:hAnsi="仿宋" w:eastAsia="仿宋_GB2312" w:cs="Arial"/>
                <w:color w:val="auto"/>
                <w:kern w:val="0"/>
                <w:sz w:val="24"/>
                <w:highlight w:val="none"/>
              </w:rPr>
              <w:t>B</w:t>
            </w: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highlight w:val="none"/>
                <w:lang w:val="en-US"/>
              </w:rPr>
            </w:pPr>
            <w:r>
              <w:rPr>
                <w:rFonts w:hint="eastAsia" w:ascii="仿宋_GB2312" w:hAnsi="仿宋" w:eastAsia="仿宋_GB2312" w:cs="Arial"/>
                <w:color w:val="auto"/>
                <w:kern w:val="0"/>
                <w:sz w:val="24"/>
                <w:highlight w:val="none"/>
              </w:rPr>
              <w:t>（</w:t>
            </w:r>
            <w:r>
              <w:rPr>
                <w:rFonts w:ascii="仿宋_GB2312" w:hAnsi="仿宋" w:eastAsia="仿宋_GB2312" w:cs="Arial"/>
                <w:color w:val="auto"/>
                <w:kern w:val="0"/>
                <w:sz w:val="24"/>
                <w:highlight w:val="none"/>
              </w:rPr>
              <w:t>1</w:t>
            </w:r>
            <w:r>
              <w:rPr>
                <w:rFonts w:hint="eastAsia" w:ascii="仿宋_GB2312" w:hAnsi="仿宋" w:eastAsia="仿宋_GB2312" w:cs="Arial"/>
                <w:color w:val="auto"/>
                <w:kern w:val="0"/>
                <w:sz w:val="24"/>
                <w:highlight w:val="none"/>
              </w:rPr>
              <w:t>）标的：</w:t>
            </w:r>
            <w:r>
              <w:rPr>
                <w:rFonts w:hint="eastAsia" w:ascii="仿宋_GB2312" w:hAnsi="仿宋" w:eastAsia="仿宋_GB2312" w:cs="Arial"/>
                <w:color w:val="auto"/>
                <w:kern w:val="0"/>
                <w:sz w:val="24"/>
                <w:highlight w:val="none"/>
                <w:lang w:eastAsia="zh-CN"/>
              </w:rPr>
              <w:t>综合养护</w:t>
            </w:r>
            <w:r>
              <w:rPr>
                <w:rFonts w:hint="eastAsia" w:ascii="仿宋_GB2312" w:hAnsi="仿宋" w:eastAsia="仿宋_GB2312" w:cs="Arial"/>
                <w:color w:val="auto"/>
                <w:kern w:val="0"/>
                <w:sz w:val="24"/>
                <w:highlight w:val="none"/>
              </w:rPr>
              <w:t>服务，属于其他未列明行业；</w:t>
            </w:r>
            <w:r>
              <w:rPr>
                <w:rFonts w:hint="eastAsia" w:ascii="仿宋" w:hAnsi="仿宋" w:eastAsia="仿宋" w:cs="仿宋"/>
                <w:color w:val="auto"/>
                <w:kern w:val="0"/>
                <w:sz w:val="24"/>
                <w:highlight w:val="none"/>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highlight w:val="none"/>
              </w:rPr>
            </w:pPr>
            <w:r>
              <w:rPr>
                <w:rFonts w:hint="eastAsia" w:ascii="仿宋_GB2312" w:hAnsi="仿宋" w:eastAsia="仿宋_GB2312"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备份投标文件送达地点和签收人员</w:t>
            </w:r>
            <w:r>
              <w:rPr>
                <w:rFonts w:ascii="仿宋_GB2312" w:hAnsi="仿宋" w:eastAsia="仿宋_GB2312"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color w:val="auto"/>
                <w:kern w:val="28"/>
                <w:sz w:val="24"/>
                <w:highlight w:val="none"/>
              </w:rPr>
            </w:pPr>
            <w:r>
              <w:rPr>
                <w:rFonts w:hint="eastAsia" w:ascii="仿宋_GB2312" w:hAnsi="仿宋" w:eastAsia="仿宋_GB2312" w:cs="Times New Roman"/>
                <w:color w:val="auto"/>
                <w:kern w:val="28"/>
                <w:sz w:val="24"/>
                <w:szCs w:val="24"/>
                <w:highlight w:val="none"/>
              </w:rPr>
              <w:t>备份投标文件送达地点：</w:t>
            </w:r>
            <w:r>
              <w:rPr>
                <w:rFonts w:hint="eastAsia" w:ascii="仿宋_GB2312" w:hAnsi="仿宋" w:eastAsia="仿宋_GB2312" w:cs="Times New Roman"/>
                <w:color w:val="auto"/>
                <w:kern w:val="28"/>
                <w:sz w:val="24"/>
                <w:szCs w:val="24"/>
                <w:highlight w:val="none"/>
                <w:lang w:eastAsia="zh-CN"/>
              </w:rPr>
              <w:t>杭州市临平区南苑街道嘉信国际6楼</w:t>
            </w:r>
            <w:r>
              <w:rPr>
                <w:rFonts w:hint="eastAsia" w:ascii="仿宋_GB2312" w:hAnsi="仿宋" w:eastAsia="仿宋_GB2312" w:cs="Times New Roman"/>
                <w:color w:val="auto"/>
                <w:kern w:val="28"/>
                <w:sz w:val="24"/>
                <w:szCs w:val="24"/>
                <w:highlight w:val="none"/>
              </w:rPr>
              <w:t>；备份投标文件签收人员联系电话：</w:t>
            </w:r>
            <w:r>
              <w:rPr>
                <w:rFonts w:hint="eastAsia" w:ascii="仿宋_GB2312" w:hAnsi="仿宋" w:eastAsia="仿宋_GB2312"/>
                <w:color w:val="auto"/>
                <w:sz w:val="24"/>
                <w:highlight w:val="none"/>
                <w:u w:val="single"/>
                <w:lang w:val="en-US" w:eastAsia="zh-CN"/>
              </w:rPr>
              <w:t>13362030720</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
                <w:snapToGrid w:val="0"/>
                <w:color w:val="auto"/>
                <w:kern w:val="28"/>
                <w:sz w:val="24"/>
                <w:highlight w:val="none"/>
                <w:lang w:eastAsia="zh-CN"/>
              </w:rPr>
            </w:pPr>
            <w:r>
              <w:rPr>
                <w:rFonts w:hint="eastAsia" w:ascii="宋体" w:hAnsi="宋体" w:eastAsia="宋体" w:cs="宋体"/>
                <w:b/>
                <w:snapToGrid w:val="0"/>
                <w:color w:val="auto"/>
                <w:kern w:val="28"/>
                <w:sz w:val="24"/>
                <w:highlight w:val="none"/>
                <w:lang w:eastAsia="zh-CN"/>
              </w:rPr>
              <w:t>本次仓前街道保洁养护招标分三个项目，</w:t>
            </w:r>
            <w:r>
              <w:rPr>
                <w:rFonts w:hint="eastAsia" w:ascii="宋体" w:hAnsi="宋体" w:eastAsia="宋体" w:cs="宋体"/>
                <w:b/>
                <w:snapToGrid w:val="0"/>
                <w:color w:val="auto"/>
                <w:kern w:val="28"/>
                <w:sz w:val="24"/>
                <w:highlight w:val="none"/>
              </w:rPr>
              <w:t>供应商可选择其中一个或多个标项进行投标，但只能中其中一个标项，中标顺序按</w:t>
            </w:r>
            <w:r>
              <w:rPr>
                <w:rFonts w:hint="eastAsia" w:ascii="宋体" w:hAnsi="宋体" w:eastAsia="宋体" w:cs="宋体"/>
                <w:b/>
                <w:snapToGrid w:val="0"/>
                <w:color w:val="auto"/>
                <w:kern w:val="28"/>
                <w:sz w:val="24"/>
                <w:highlight w:val="none"/>
                <w:lang w:val="en-US" w:eastAsia="zh-CN"/>
              </w:rPr>
              <w:t>1、</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bCs/>
                <w:i w:val="0"/>
                <w:iCs w:val="0"/>
                <w:caps w:val="0"/>
                <w:color w:val="000000"/>
                <w:spacing w:val="0"/>
                <w:sz w:val="27"/>
                <w:szCs w:val="27"/>
                <w:highlight w:val="none"/>
                <w:lang w:val="en-US" w:eastAsia="zh-CN"/>
              </w:rPr>
              <w:t>2、</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bCs/>
                <w:i w:val="0"/>
                <w:iCs w:val="0"/>
                <w:caps w:val="0"/>
                <w:color w:val="000000"/>
                <w:spacing w:val="0"/>
                <w:sz w:val="27"/>
                <w:szCs w:val="27"/>
                <w:highlight w:val="none"/>
                <w:lang w:eastAsia="zh-CN"/>
              </w:rPr>
              <w:t>；</w:t>
            </w:r>
            <w:r>
              <w:rPr>
                <w:rFonts w:hint="eastAsia" w:ascii="宋体" w:hAnsi="宋体" w:eastAsia="宋体" w:cs="宋体"/>
                <w:b/>
                <w:bCs/>
                <w:i w:val="0"/>
                <w:iCs w:val="0"/>
                <w:caps w:val="0"/>
                <w:color w:val="000000"/>
                <w:spacing w:val="0"/>
                <w:sz w:val="27"/>
                <w:szCs w:val="27"/>
                <w:highlight w:val="none"/>
                <w:lang w:val="en-US" w:eastAsia="zh-CN"/>
              </w:rPr>
              <w:t>3、</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bCs/>
                <w:i w:val="0"/>
                <w:iCs w:val="0"/>
                <w:caps w:val="0"/>
                <w:color w:val="000000"/>
                <w:spacing w:val="0"/>
                <w:sz w:val="27"/>
                <w:szCs w:val="27"/>
                <w:highlight w:val="none"/>
                <w:lang w:eastAsia="zh-CN"/>
              </w:rPr>
              <w:t>进行确认：</w:t>
            </w:r>
            <w:r>
              <w:rPr>
                <w:rFonts w:hint="eastAsia" w:ascii="宋体" w:hAnsi="宋体" w:eastAsia="宋体" w:cs="宋体"/>
                <w:b/>
                <w:snapToGrid w:val="0"/>
                <w:color w:val="auto"/>
                <w:kern w:val="28"/>
                <w:sz w:val="24"/>
                <w:highlight w:val="none"/>
              </w:rPr>
              <w:t>如供应商前一个标项已经被确定为该标项的第一中标候选人，则后续标项将不被推荐为中标候选人；例如供应商被确定为</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snapToGrid w:val="0"/>
                <w:color w:val="auto"/>
                <w:kern w:val="28"/>
                <w:sz w:val="24"/>
                <w:highlight w:val="none"/>
              </w:rPr>
              <w:t>的中标候选人，则</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snapToGrid w:val="0"/>
                <w:color w:val="auto"/>
                <w:kern w:val="28"/>
                <w:sz w:val="24"/>
                <w:highlight w:val="none"/>
              </w:rPr>
              <w:t>、</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snapToGrid w:val="0"/>
                <w:color w:val="auto"/>
                <w:kern w:val="28"/>
                <w:sz w:val="24"/>
                <w:highlight w:val="none"/>
              </w:rPr>
              <w:t>将不被推荐为中标候选人；以此类推。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eastAsia" w:ascii="仿宋_GB2312" w:hAnsi="仿宋" w:eastAsia="仿宋_GB2312" w:cs="仿宋_GB2312"/>
                <w:color w:val="auto"/>
                <w:sz w:val="24"/>
                <w:highlight w:val="none"/>
                <w:lang w:val="en-US" w:eastAsia="zh-CN"/>
              </w:rPr>
            </w:pPr>
          </w:p>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highlight w:val="none"/>
                <w:lang w:eastAsia="zh-CN"/>
              </w:rPr>
            </w:pPr>
            <w:r>
              <w:rPr>
                <w:rFonts w:hint="eastAsia" w:ascii="仿宋_GB2312" w:hAnsi="仿宋" w:eastAsia="仿宋_GB2312" w:cs="仿宋_GB2312"/>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olor w:val="auto"/>
                <w:sz w:val="24"/>
                <w:highlight w:val="none"/>
                <w:lang w:eastAsia="zh-CN"/>
              </w:rPr>
            </w:pPr>
            <w:r>
              <w:rPr>
                <w:rFonts w:hint="eastAsia" w:ascii="华文仿宋" w:hAnsi="华文仿宋" w:eastAsia="华文仿宋" w:cs="宋体"/>
                <w:b/>
                <w:color w:val="auto"/>
                <w:sz w:val="24"/>
                <w:highlight w:val="none"/>
              </w:rPr>
              <w:t>▲</w:t>
            </w:r>
            <w:r>
              <w:rPr>
                <w:rFonts w:hint="eastAsia" w:ascii="仿宋" w:hAnsi="仿宋" w:eastAsia="仿宋"/>
                <w:color w:val="auto"/>
                <w:sz w:val="24"/>
                <w:highlight w:val="none"/>
              </w:rPr>
              <w:t>供应商以联合体形式投标的：按采购文件要求提供联合协议，联合体投标的联合体各方承担连带责任</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 xml:space="preserve">联合体成 </w:t>
            </w:r>
          </w:p>
          <w:p>
            <w:pPr>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员（含联合体牵头人）不得超过 3 个。</w:t>
            </w:r>
          </w:p>
          <w:p>
            <w:pPr>
              <w:spacing w:line="360" w:lineRule="auto"/>
              <w:rPr>
                <w:rFonts w:ascii="仿宋_GB2312" w:hAnsi="仿宋" w:eastAsia="仿宋_GB2312"/>
                <w:snapToGrid w:val="0"/>
                <w:color w:val="auto"/>
                <w:kern w:val="28"/>
                <w:sz w:val="24"/>
                <w:highlight w:val="none"/>
              </w:rPr>
            </w:pPr>
            <w:r>
              <w:rPr>
                <w:rFonts w:hint="eastAsia" w:ascii="华文仿宋" w:hAnsi="华文仿宋" w:eastAsia="华文仿宋" w:cs="宋体"/>
                <w:b/>
                <w:color w:val="auto"/>
                <w:sz w:val="24"/>
                <w:highlight w:val="none"/>
              </w:rPr>
              <w:t>▲</w:t>
            </w:r>
            <w:r>
              <w:rPr>
                <w:rFonts w:hint="eastAsia" w:ascii="仿宋_GB2312" w:hAnsi="仿宋" w:eastAsia="仿宋_GB2312"/>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ascii="仿宋_GB2312" w:hAnsi="仿宋" w:eastAsia="仿宋_GB2312"/>
                <w:snapToGrid w:val="0"/>
                <w:color w:val="auto"/>
                <w:kern w:val="28"/>
                <w:sz w:val="24"/>
                <w:highlight w:val="none"/>
              </w:rPr>
            </w:pPr>
            <w:r>
              <w:rPr>
                <w:rFonts w:hint="eastAsia" w:ascii="华文仿宋" w:hAnsi="华文仿宋" w:eastAsia="华文仿宋" w:cs="宋体"/>
                <w:b/>
                <w:color w:val="auto"/>
                <w:sz w:val="24"/>
                <w:highlight w:val="none"/>
              </w:rPr>
              <w:t>▲</w:t>
            </w:r>
            <w:r>
              <w:rPr>
                <w:rFonts w:hint="eastAsia" w:ascii="仿宋_GB2312" w:hAnsi="仿宋" w:eastAsia="仿宋_GB2312"/>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_GB2312" w:hAnsi="仿宋" w:eastAsia="仿宋_GB2312"/>
                <w:snapToGrid w:val="0"/>
                <w:color w:val="auto"/>
                <w:kern w:val="28"/>
                <w:sz w:val="24"/>
                <w:highlight w:val="none"/>
              </w:rPr>
            </w:pPr>
            <w:r>
              <w:rPr>
                <w:rFonts w:hint="eastAsia" w:ascii="仿宋_GB2312" w:hAnsi="仿宋" w:eastAsia="仿宋_GB2312"/>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color w:val="auto"/>
                <w:kern w:val="28"/>
                <w:sz w:val="24"/>
                <w:highlight w:val="none"/>
              </w:rPr>
            </w:pPr>
            <w:r>
              <w:rPr>
                <w:rFonts w:hint="eastAsia" w:ascii="仿宋" w:hAnsi="仿宋" w:eastAsia="仿宋" w:cs="仿宋"/>
                <w:b/>
                <w:bCs/>
                <w:color w:val="auto"/>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0" w:name="_Toc164416483"/>
      <w:bookmarkStart w:id="11" w:name="第三部分"/>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 xml:space="preserve">1. </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r>
        <w:rPr>
          <w:rFonts w:ascii="Wingdings" w:hAnsi="Wingdings" w:eastAsia="仿宋_GB2312" w:cs="Arial"/>
          <w:color w:val="auto"/>
          <w:kern w:val="0"/>
          <w:sz w:val="24"/>
          <w:highlight w:val="none"/>
        </w:rPr>
        <w:t></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r>
        <w:rPr>
          <w:rFonts w:ascii="Wingdings" w:hAnsi="Wingdings" w:eastAsia="仿宋_GB2312" w:cs="Arial"/>
          <w:color w:val="auto"/>
          <w:kern w:val="0"/>
          <w:sz w:val="24"/>
          <w:highlight w:val="none"/>
        </w:rPr>
        <w:sym w:font="Wingdings" w:char="00A8"/>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ind w:firstLine="241" w:firstLineChars="100"/>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highlight w:val="none"/>
        </w:rPr>
        <w:t>登录</w:t>
      </w:r>
      <w:r>
        <w:rPr>
          <w:rFonts w:ascii="仿宋_GB2312" w:hAnsi="仿宋" w:eastAsia="仿宋_GB2312"/>
          <w:color w:val="auto"/>
          <w:sz w:val="24"/>
          <w:highlight w:val="none"/>
        </w:rPr>
        <w:t>杭州市政府采购网“中小企业信用融资”模块，查看信用融资政策文件及各相关银行服务方案。</w:t>
      </w:r>
      <w:r>
        <w:rPr>
          <w:rFonts w:ascii="仿宋_GB2312" w:hAnsi="仿宋" w:eastAsia="仿宋_GB2312"/>
          <w:color w:val="auto"/>
          <w:sz w:val="24"/>
          <w:highlight w:val="none"/>
        </w:rPr>
        <w:cr/>
      </w:r>
      <w:r>
        <w:rPr>
          <w:rFonts w:ascii="仿宋_GB2312" w:hAnsi="仿宋" w:eastAsia="仿宋_GB2312"/>
          <w:b/>
          <w:color w:val="auto"/>
          <w:sz w:val="24"/>
          <w:highlight w:val="none"/>
        </w:rPr>
        <w:t xml:space="preserve">4. </w:t>
      </w:r>
      <w:r>
        <w:rPr>
          <w:rFonts w:hint="eastAsia" w:ascii="仿宋_GB2312" w:hAnsi="仿宋" w:eastAsia="仿宋_GB2312"/>
          <w:b/>
          <w:color w:val="auto"/>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5"/>
        <w:spacing w:line="360" w:lineRule="auto"/>
        <w:ind w:firstLine="480" w:firstLineChars="200"/>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　　</w:t>
      </w: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5"/>
        <w:spacing w:line="360" w:lineRule="auto"/>
        <w:ind w:firstLine="960" w:firstLineChars="4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w:t>
      </w:r>
      <w:r>
        <w:rPr>
          <w:rFonts w:ascii="仿宋_GB2312" w:hAnsi="仿宋" w:eastAsia="仿宋_GB2312"/>
          <w:color w:val="auto"/>
          <w:highlight w:val="none"/>
        </w:rPr>
        <w:t>2。</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.4</w:t>
      </w:r>
      <w:r>
        <w:rPr>
          <w:rFonts w:hint="eastAsia" w:ascii="仿宋_GB2312" w:hAnsi="仿宋" w:eastAsia="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highlight w:val="none"/>
        </w:rPr>
        <w:t>2021〕17号）,</w:t>
      </w:r>
      <w:r>
        <w:rPr>
          <w:rFonts w:hint="eastAsia" w:ascii="仿宋_GB2312" w:hAnsi="仿宋" w:eastAsia="仿宋_GB2312"/>
          <w:color w:val="auto"/>
          <w:highlight w:val="none"/>
        </w:rPr>
        <w:t>采购人或者采购机构在质疑回复后</w:t>
      </w:r>
      <w:r>
        <w:rPr>
          <w:rFonts w:ascii="仿宋_GB2312" w:hAnsi="仿宋" w:eastAsia="仿宋_GB2312"/>
          <w:color w:val="auto"/>
          <w:highlight w:val="none"/>
        </w:rPr>
        <w:t>5个工作日内，在浙江政府采购网的“其他公告”栏目公开质疑答复，答复内容应当完整。质疑</w:t>
      </w:r>
      <w:r>
        <w:rPr>
          <w:rFonts w:hint="eastAsia" w:ascii="仿宋_GB2312" w:hAnsi="仿宋" w:eastAsia="仿宋_GB2312"/>
          <w:color w:val="auto"/>
          <w:highlight w:val="none"/>
        </w:rPr>
        <w:t>函作为附件上传。</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s="微软雅黑"/>
          <w:color w:val="auto"/>
          <w:highlight w:val="none"/>
          <w:lang w:val="zh-CN"/>
        </w:rPr>
        <w:t>4.2</w:t>
      </w:r>
      <w:r>
        <w:rPr>
          <w:rFonts w:ascii="仿宋_GB2312" w:hAnsi="仿宋" w:eastAsia="仿宋_GB2312"/>
          <w:color w:val="auto"/>
          <w:highlight w:val="none"/>
        </w:rPr>
        <w:t>.5询问或者质疑事项可能影响采购结果的，采购人应当暂停签订合同，已经签订合同的，应当中止履行合同。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ascii="仿宋_GB2312" w:hAnsi="仿宋" w:eastAsia="仿宋_GB2312" w:cs="微软雅黑"/>
          <w:color w:val="auto"/>
          <w:highlight w:val="none"/>
          <w:lang w:val="zh-CN"/>
        </w:rPr>
      </w:pPr>
      <w:r>
        <w:rPr>
          <w:rFonts w:ascii="仿宋_GB2312" w:hAnsi="仿宋" w:eastAsia="仿宋_GB2312" w:cs="微软雅黑"/>
          <w:color w:val="auto"/>
          <w:highlight w:val="none"/>
          <w:lang w:val="zh-CN"/>
        </w:rPr>
        <w:t>4.3供应商投诉</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4.3.1质疑供应商对采购人、采购机构的答复不满意或者采购人、采购机构未在规定的时间内</w:t>
      </w:r>
      <w:r>
        <w:rPr>
          <w:rFonts w:hint="eastAsia" w:ascii="仿宋_GB2312" w:hAnsi="仿宋" w:eastAsia="仿宋_GB2312"/>
          <w:color w:val="auto"/>
          <w:highlight w:val="none"/>
        </w:rPr>
        <w:t>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w:t>
      </w:r>
      <w:r>
        <w:rPr>
          <w:rFonts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4.3.3供应</w:t>
      </w:r>
      <w:r>
        <w:rPr>
          <w:rFonts w:hint="eastAsia" w:ascii="仿宋_GB2312" w:hAnsi="仿宋" w:eastAsia="仿宋_GB2312"/>
          <w:color w:val="auto"/>
          <w:highlight w:val="none"/>
        </w:rPr>
        <w:t>商投诉应当有明确的请求和必要的证明材料。</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ascii="仿宋_GB2312" w:hAnsi="仿宋" w:eastAsia="仿宋_GB2312"/>
          <w:color w:val="auto"/>
          <w:highlight w:val="none"/>
        </w:rPr>
        <w:t xml:space="preserve">4.3.5 </w:t>
      </w:r>
      <w:r>
        <w:rPr>
          <w:rFonts w:hint="eastAsia" w:ascii="仿宋_GB2312" w:hAnsi="仿宋" w:eastAsia="仿宋_GB2312"/>
          <w:color w:val="auto"/>
          <w:highlight w:val="none"/>
        </w:rPr>
        <w:t>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w:t>
      </w:r>
      <w:r>
        <w:rPr>
          <w:rFonts w:ascii="仿宋_GB2312" w:hAnsi="仿宋" w:eastAsia="仿宋_GB2312"/>
          <w:color w:val="auto"/>
          <w:highlight w:val="none"/>
        </w:rPr>
        <w:t>3。</w:t>
      </w:r>
    </w:p>
    <w:p>
      <w:pPr>
        <w:pStyle w:val="90"/>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 xml:space="preserve">      二、招标文件的构成、澄清、修改</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5"/>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6. </w:t>
      </w:r>
      <w:r>
        <w:rPr>
          <w:rFonts w:hint="eastAsia" w:ascii="仿宋_GB2312" w:hAnsi="仿宋" w:eastAsia="仿宋_GB2312" w:cs="仿宋_GB2312"/>
          <w:b/>
          <w:color w:val="auto"/>
          <w:sz w:val="24"/>
          <w:szCs w:val="24"/>
          <w:highlight w:val="none"/>
        </w:rPr>
        <w:t>招标文件的澄清、修改</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90"/>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ascii="仿宋_GB2312" w:hAnsi="仿宋" w:eastAsia="仿宋_GB2312" w:cs="仿宋_GB2312"/>
          <w:color w:val="auto"/>
          <w:sz w:val="18"/>
          <w:szCs w:val="18"/>
          <w:highlight w:val="none"/>
          <w:lang w:val="en-US"/>
        </w:rPr>
      </w:pPr>
      <w:r>
        <w:rPr>
          <w:rFonts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7. </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5"/>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8"/>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10. </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11. </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11.1.3本项目的特定资格要求。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11.2.1投标函；</w:t>
      </w:r>
      <w:r>
        <w:rPr>
          <w:rFonts w:ascii="仿宋_GB2312" w:hAnsi="仿宋" w:eastAsia="仿宋_GB2312" w:cs="仿宋_GB2312"/>
          <w:color w:val="auto"/>
          <w:sz w:val="24"/>
          <w:highlight w:val="none"/>
          <w:lang w:val="zh-CN"/>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11.2.3联合协议；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11.2.4分包意向协议；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11.2.5符合性审查资料；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11.2.6评标标准相应的商务技术资料；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11.2.7商务技术偏离表；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r>
        <w:rPr>
          <w:rFonts w:ascii="仿宋_GB2312" w:hAnsi="仿宋" w:eastAsia="仿宋_GB2312" w:cs="仿宋_GB2312"/>
          <w:color w:val="auto"/>
          <w:sz w:val="24"/>
          <w:highlight w:val="none"/>
        </w:rPr>
        <w:t xml:space="preserve">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11.3.1开标一览表（报价表）；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11.3.2</w:t>
      </w:r>
      <w:r>
        <w:rPr>
          <w:rFonts w:hint="eastAsia" w:ascii="仿宋_GB2312" w:hAnsi="仿宋" w:eastAsia="仿宋_GB2312" w:cs="仿宋_GB2312"/>
          <w:color w:val="auto"/>
          <w:sz w:val="24"/>
          <w:highlight w:val="none"/>
        </w:rPr>
        <w:t>报价明细清单；</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中小企业声明函。</w:t>
      </w:r>
    </w:p>
    <w:p>
      <w:pPr>
        <w:spacing w:line="360" w:lineRule="auto"/>
        <w:ind w:firstLine="723" w:firstLineChars="3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90"/>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90"/>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14. </w:t>
      </w:r>
      <w:r>
        <w:rPr>
          <w:rFonts w:hint="eastAsia" w:ascii="仿宋_GB2312" w:hAnsi="仿宋" w:eastAsia="仿宋_GB2312" w:cs="仿宋_GB2312"/>
          <w:b/>
          <w:color w:val="auto"/>
          <w:szCs w:val="24"/>
          <w:highlight w:val="none"/>
        </w:rPr>
        <w:t>投标文件的提交、补充、修改、撤回</w:t>
      </w:r>
    </w:p>
    <w:p>
      <w:pPr>
        <w:pStyle w:val="9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 xml:space="preserve">14.1 </w:t>
      </w:r>
      <w:r>
        <w:rPr>
          <w:rFonts w:hint="eastAsia" w:ascii="仿宋_GB2312" w:hAnsi="仿宋" w:eastAsia="仿宋_GB2312"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5"/>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pStyle w:val="3"/>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ascii="仿宋_GB2312" w:hAnsi="仿宋" w:eastAsia="仿宋_GB2312"/>
          <w:color w:val="auto"/>
          <w:highlight w:val="none"/>
        </w:rPr>
        <w:t>13项规定</w:t>
      </w:r>
      <w:r>
        <w:rPr>
          <w:rFonts w:hint="eastAsia" w:ascii="仿宋_GB2312" w:hAnsi="仿宋" w:eastAsia="仿宋_GB2312" w:cs="仿宋_GB2312"/>
          <w:color w:val="auto"/>
          <w:szCs w:val="21"/>
          <w:highlight w:val="none"/>
        </w:rPr>
        <w:t>的情形之一的，投标无效：</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9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ascii="仿宋_GB2312" w:hAnsi="仿宋" w:eastAsia="仿宋_GB2312" w:cs="仿宋_GB2312"/>
          <w:b/>
          <w:color w:val="auto"/>
          <w:sz w:val="32"/>
          <w:highlight w:val="none"/>
        </w:rPr>
      </w:pPr>
    </w:p>
    <w:p>
      <w:pPr>
        <w:pStyle w:val="90"/>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245"/>
        <w:spacing w:before="0" w:line="360" w:lineRule="auto"/>
        <w:ind w:left="0" w:firstLine="241" w:firstLineChars="10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245"/>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245"/>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45"/>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w:t>
      </w:r>
      <w:r>
        <w:rPr>
          <w:rFonts w:ascii="仿宋_GB2312" w:hAnsi="仿宋" w:eastAsia="仿宋_GB2312" w:cs="仿宋_GB2312"/>
          <w:b/>
          <w:color w:val="auto"/>
          <w:sz w:val="24"/>
          <w:szCs w:val="20"/>
          <w:highlight w:val="none"/>
        </w:rPr>
        <w:t>19、资格审查</w:t>
      </w:r>
    </w:p>
    <w:p>
      <w:pPr>
        <w:pStyle w:val="90"/>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9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90"/>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spacing w:line="360" w:lineRule="auto"/>
        <w:rPr>
          <w:rFonts w:ascii="仿宋_GB2312" w:hAnsi="仿宋" w:eastAsia="仿宋_GB2312" w:cs="仿宋_GB2312"/>
          <w:b/>
          <w:color w:val="auto"/>
          <w:sz w:val="24"/>
          <w:highlight w:val="none"/>
        </w:rPr>
      </w:pPr>
      <w:bookmarkStart w:id="12" w:name="_Toc91899903"/>
      <w:r>
        <w:rPr>
          <w:rFonts w:ascii="仿宋_GB2312" w:hAnsi="仿宋" w:eastAsia="仿宋_GB2312" w:cs="仿宋_GB2312"/>
          <w:b/>
          <w:color w:val="auto"/>
          <w:sz w:val="24"/>
          <w:highlight w:val="none"/>
        </w:rPr>
        <w:t>21.</w:t>
      </w:r>
      <w:r>
        <w:rPr>
          <w:rFonts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3"/>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22. </w:t>
      </w:r>
      <w:r>
        <w:rPr>
          <w:rFonts w:hint="eastAsia" w:ascii="仿宋_GB2312" w:hAnsi="仿宋" w:eastAsia="仿宋_GB2312" w:cs="仿宋_GB2312"/>
          <w:b/>
          <w:color w:val="auto"/>
          <w:highlight w:val="none"/>
        </w:rPr>
        <w:t>确定中标供应商</w:t>
      </w:r>
    </w:p>
    <w:p>
      <w:pPr>
        <w:pStyle w:val="90"/>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90"/>
        <w:snapToGrid w:val="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 xml:space="preserve">23. </w:t>
      </w:r>
      <w:r>
        <w:rPr>
          <w:rFonts w:hint="eastAsia" w:ascii="仿宋_GB2312" w:hAnsi="仿宋" w:eastAsia="仿宋_GB2312" w:cs="仿宋_GB2312"/>
          <w:b/>
          <w:color w:val="auto"/>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23.1自中标人确定之日起2个工作日内，采购机构通过电子交易平台向中标人发出中标通知书，</w:t>
      </w:r>
      <w:r>
        <w:rPr>
          <w:rFonts w:hint="eastAsia" w:ascii="仿宋_GB2312" w:hAnsi="仿宋" w:eastAsia="仿宋_GB2312" w:cs="仿宋_GB2312"/>
          <w:color w:val="auto"/>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3"/>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3"/>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25. </w:t>
      </w:r>
      <w:r>
        <w:rPr>
          <w:rFonts w:hint="eastAsia" w:ascii="仿宋_GB2312" w:hAnsi="仿宋" w:eastAsia="仿宋_GB2312" w:cs="仿宋_GB2312"/>
          <w:b/>
          <w:color w:val="auto"/>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ascii="仿宋_GB2312" w:hAnsi="仿宋" w:eastAsia="仿宋_GB2312" w:cs="仿宋_GB2312"/>
          <w:color w:val="auto"/>
          <w:sz w:val="24"/>
          <w:highlight w:val="none"/>
        </w:rPr>
        <w:t>25.1</w:t>
      </w:r>
      <w:r>
        <w:rPr>
          <w:rFonts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color w:val="auto"/>
          <w:kern w:val="0"/>
          <w:sz w:val="24"/>
          <w:highlight w:val="none"/>
        </w:rPr>
        <w:t>合同签订之日起2个工作日</w:t>
      </w:r>
      <w:r>
        <w:rPr>
          <w:rFonts w:ascii="仿宋_GB2312" w:hAnsi="仿宋" w:eastAsia="仿宋_GB2312" w:cs="Arial"/>
          <w:color w:val="auto"/>
          <w:kern w:val="0"/>
          <w:sz w:val="24"/>
          <w:highlight w:val="none"/>
        </w:rPr>
        <w:t>内依法发布合同公告。</w:t>
      </w:r>
    </w:p>
    <w:p>
      <w:pPr>
        <w:pStyle w:val="90"/>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3"/>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highlight w:val="none"/>
        </w:rPr>
        <w:t xml:space="preserve">26. </w:t>
      </w:r>
      <w:r>
        <w:rPr>
          <w:rFonts w:hint="eastAsia" w:ascii="仿宋_GB2312" w:hAnsi="仿宋" w:eastAsia="仿宋_GB2312" w:cs="仿宋_GB2312"/>
          <w:b/>
          <w:color w:val="auto"/>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w:t>
      </w:r>
      <w:r>
        <w:rPr>
          <w:rFonts w:hint="eastAsia" w:ascii="仿宋_GB2312" w:hAnsi="仿宋" w:eastAsia="仿宋_GB2312"/>
          <w:color w:val="auto"/>
          <w:sz w:val="24"/>
          <w:highlight w:val="none"/>
          <w:lang w:val="en-US" w:eastAsia="zh-CN"/>
        </w:rPr>
        <w:t>2.5</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auto"/>
          <w:sz w:val="24"/>
          <w:szCs w:val="20"/>
          <w:highlight w:val="none"/>
          <w:lang w:val="en-US" w:eastAsia="zh-CN"/>
        </w:rPr>
        <w:t>2.5</w:t>
      </w:r>
      <w:r>
        <w:rPr>
          <w:rFonts w:hint="eastAsia" w:ascii="仿宋_GB2312" w:hAnsi="仿宋" w:eastAsia="仿宋_GB2312" w:cs="仿宋_GB2312"/>
          <w:color w:val="auto"/>
          <w:sz w:val="24"/>
          <w:szCs w:val="20"/>
          <w:highlight w:val="none"/>
        </w:rPr>
        <w:t>%。</w:t>
      </w:r>
    </w:p>
    <w:p>
      <w:pPr>
        <w:pStyle w:val="6"/>
        <w:ind w:left="0" w:firstLine="480" w:firstLineChars="200"/>
        <w:rPr>
          <w:color w:val="auto"/>
          <w:highlight w:val="none"/>
          <w:lang w:val="en-US"/>
        </w:rPr>
      </w:pPr>
      <w:r>
        <w:rPr>
          <w:rFonts w:hint="eastAsia"/>
          <w:b w:val="0"/>
          <w:bCs w:val="0"/>
          <w:snapToGrid w:val="0"/>
          <w:color w:val="auto"/>
          <w:kern w:val="28"/>
          <w:sz w:val="24"/>
          <w:highlight w:val="none"/>
        </w:rPr>
        <w:t>供应商</w:t>
      </w:r>
      <w:r>
        <w:rPr>
          <w:rFonts w:hint="eastAsia"/>
          <w:b w:val="0"/>
          <w:bCs w:val="0"/>
          <w:snapToGrid w:val="0"/>
          <w:color w:val="auto"/>
          <w:kern w:val="28"/>
          <w:sz w:val="24"/>
          <w:highlight w:val="none"/>
          <w:lang w:val="en-US"/>
        </w:rPr>
        <w:t>可</w:t>
      </w:r>
      <w:r>
        <w:rPr>
          <w:rFonts w:hint="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color w:val="auto"/>
          <w:sz w:val="32"/>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 xml:space="preserve">7. </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9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9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3"/>
        <w:spacing w:line="360" w:lineRule="auto"/>
        <w:ind w:firstLine="0" w:firstLineChars="0"/>
        <w:rPr>
          <w:rFonts w:ascii="仿宋_GB2312" w:hAnsi="仿宋" w:eastAsia="仿宋_GB2312" w:cs="仿宋_GB2312"/>
          <w:b/>
          <w:color w:val="auto"/>
          <w:highlight w:val="none"/>
        </w:rPr>
      </w:pPr>
      <w:r>
        <w:rPr>
          <w:rFonts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07468"/>
      <w:bookmarkEnd w:id="13"/>
      <w:bookmarkStart w:id="14" w:name="_Hlt75236290"/>
      <w:bookmarkEnd w:id="14"/>
      <w:bookmarkStart w:id="15" w:name="_Hlt74729768"/>
      <w:bookmarkEnd w:id="15"/>
      <w:bookmarkStart w:id="16" w:name="_Hlt74730295"/>
      <w:bookmarkEnd w:id="16"/>
      <w:bookmarkStart w:id="17" w:name="_Hlt75236101"/>
      <w:bookmarkEnd w:id="17"/>
      <w:bookmarkStart w:id="18" w:name="_Hlt68403820"/>
      <w:bookmarkEnd w:id="18"/>
      <w:bookmarkStart w:id="19" w:name="_Hlt74714665"/>
      <w:bookmarkEnd w:id="19"/>
      <w:bookmarkStart w:id="20" w:name="_Hlt68072998"/>
      <w:bookmarkEnd w:id="20"/>
      <w:bookmarkStart w:id="21" w:name="_Hlt68072990"/>
      <w:bookmarkEnd w:id="21"/>
      <w:bookmarkStart w:id="22" w:name="_Hlt75236011"/>
      <w:bookmarkEnd w:id="22"/>
      <w:bookmarkStart w:id="23" w:name="_Hlt68073093"/>
      <w:bookmarkEnd w:id="23"/>
      <w:bookmarkStart w:id="24" w:name="_Hlt68057669"/>
      <w:bookmarkEnd w:id="24"/>
    </w:p>
    <w:bookmarkEnd w:id="10"/>
    <w:bookmarkEnd w:id="11"/>
    <w:p>
      <w:pPr>
        <w:numPr>
          <w:ilvl w:val="0"/>
          <w:numId w:val="2"/>
        </w:numPr>
        <w:spacing w:line="360" w:lineRule="auto"/>
        <w:jc w:val="center"/>
        <w:outlineLvl w:val="0"/>
        <w:rPr>
          <w:rFonts w:hint="eastAsia" w:ascii="仿宋" w:hAnsi="仿宋" w:eastAsia="仿宋" w:cs="仿宋_GB2312"/>
          <w:b/>
          <w:color w:val="auto"/>
          <w:sz w:val="36"/>
          <w:szCs w:val="36"/>
          <w:highlight w:val="none"/>
        </w:rPr>
      </w:pPr>
      <w:bookmarkStart w:id="25" w:name="第四部分"/>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shd w:val="clear" w:color="auto" w:fill="FFFFFF"/>
        <w:snapToGrid w:val="0"/>
        <w:spacing w:line="336"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rPr>
        <w:t>一、项目概况：</w:t>
      </w:r>
    </w:p>
    <w:p>
      <w:pPr>
        <w:shd w:val="clear" w:color="auto" w:fill="FFFFFF"/>
        <w:snapToGrid w:val="0"/>
        <w:spacing w:line="336" w:lineRule="auto"/>
        <w:ind w:firstLine="720" w:firstLineChars="300"/>
        <w:rPr>
          <w:rFonts w:hint="eastAsia" w:ascii="宋体" w:hAnsi="宋体" w:eastAsia="宋体" w:cs="宋体"/>
          <w:color w:val="auto"/>
          <w:sz w:val="24"/>
          <w:highlight w:val="none"/>
          <w:lang w:val="en-US" w:eastAsia="zh-CN"/>
        </w:rPr>
      </w:pPr>
      <w:r>
        <w:rPr>
          <w:rFonts w:hint="eastAsia" w:ascii="宋体" w:hAnsi="宋体" w:cs="宋体"/>
          <w:color w:val="000000"/>
          <w:sz w:val="24"/>
          <w:highlight w:val="none"/>
        </w:rPr>
        <w:t>本项目采购内容为</w:t>
      </w:r>
      <w:r>
        <w:rPr>
          <w:rFonts w:hint="eastAsia" w:ascii="宋体" w:hAnsi="宋体" w:cs="宋体"/>
          <w:color w:val="000000"/>
          <w:sz w:val="24"/>
          <w:highlight w:val="none"/>
          <w:lang w:eastAsia="zh-CN"/>
        </w:rPr>
        <w:t>仓前</w:t>
      </w:r>
      <w:r>
        <w:rPr>
          <w:rFonts w:hint="eastAsia" w:ascii="宋体" w:hAnsi="宋体" w:cs="宋体"/>
          <w:color w:val="000000"/>
          <w:sz w:val="24"/>
          <w:highlight w:val="none"/>
        </w:rPr>
        <w:t>街道河道日常</w:t>
      </w:r>
      <w:r>
        <w:rPr>
          <w:rFonts w:hint="eastAsia" w:ascii="宋体" w:hAnsi="宋体" w:cs="宋体"/>
          <w:color w:val="000000"/>
          <w:sz w:val="24"/>
          <w:highlight w:val="none"/>
          <w:lang w:eastAsia="zh-CN"/>
        </w:rPr>
        <w:t>河道</w:t>
      </w:r>
      <w:r>
        <w:rPr>
          <w:rFonts w:hint="eastAsia" w:ascii="宋体" w:hAnsi="宋体" w:cs="宋体"/>
          <w:color w:val="000000"/>
          <w:sz w:val="24"/>
          <w:highlight w:val="none"/>
        </w:rPr>
        <w:t>保洁</w:t>
      </w:r>
      <w:r>
        <w:rPr>
          <w:rFonts w:hint="eastAsia" w:ascii="宋体" w:hAnsi="宋体" w:cs="宋体"/>
          <w:color w:val="000000"/>
          <w:sz w:val="24"/>
          <w:highlight w:val="none"/>
          <w:lang w:eastAsia="zh-CN"/>
        </w:rPr>
        <w:t>及绿化养护</w:t>
      </w:r>
      <w:r>
        <w:rPr>
          <w:rFonts w:hint="eastAsia" w:ascii="宋体" w:hAnsi="宋体" w:cs="宋体"/>
          <w:color w:val="000000"/>
          <w:sz w:val="24"/>
          <w:highlight w:val="none"/>
        </w:rPr>
        <w:t>，内容包括河道总长度为</w:t>
      </w:r>
      <w:r>
        <w:rPr>
          <w:rFonts w:hint="eastAsia" w:ascii="宋体" w:hAnsi="宋体" w:eastAsia="宋体" w:cs="宋体"/>
          <w:i w:val="0"/>
          <w:color w:val="000000"/>
          <w:spacing w:val="-6"/>
          <w:kern w:val="0"/>
          <w:sz w:val="24"/>
          <w:szCs w:val="24"/>
          <w:u w:val="none"/>
          <w:lang w:val="en-US" w:eastAsia="zh-CN" w:bidi="ar-SA"/>
        </w:rPr>
        <w:fldChar w:fldCharType="begin"/>
      </w:r>
      <w:r>
        <w:rPr>
          <w:rFonts w:hint="eastAsia" w:ascii="宋体" w:hAnsi="宋体" w:eastAsia="宋体" w:cs="宋体"/>
          <w:i w:val="0"/>
          <w:color w:val="000000"/>
          <w:spacing w:val="-6"/>
          <w:kern w:val="0"/>
          <w:sz w:val="24"/>
          <w:szCs w:val="24"/>
          <w:u w:val="none"/>
          <w:lang w:val="en-US" w:eastAsia="zh-CN" w:bidi="ar-SA"/>
        </w:rPr>
        <w:instrText xml:space="preserve"> = sum(D3:D9) \* MERGEFORMAT </w:instrText>
      </w:r>
      <w:r>
        <w:rPr>
          <w:rFonts w:hint="eastAsia" w:ascii="宋体" w:hAnsi="宋体" w:eastAsia="宋体" w:cs="宋体"/>
          <w:i w:val="0"/>
          <w:color w:val="000000"/>
          <w:spacing w:val="-6"/>
          <w:kern w:val="0"/>
          <w:sz w:val="24"/>
          <w:szCs w:val="24"/>
          <w:u w:val="none"/>
          <w:lang w:val="en-US" w:eastAsia="zh-CN" w:bidi="ar-SA"/>
        </w:rPr>
        <w:fldChar w:fldCharType="separate"/>
      </w:r>
      <w:r>
        <w:rPr>
          <w:rFonts w:hint="eastAsia" w:ascii="宋体" w:hAnsi="宋体" w:eastAsia="宋体" w:cs="宋体"/>
          <w:i w:val="0"/>
          <w:color w:val="000000"/>
          <w:spacing w:val="-6"/>
          <w:kern w:val="0"/>
          <w:sz w:val="24"/>
          <w:szCs w:val="24"/>
          <w:u w:val="none"/>
          <w:lang w:val="en-US" w:eastAsia="zh-CN" w:bidi="ar-SA"/>
        </w:rPr>
        <w:t>13720</w:t>
      </w:r>
      <w:r>
        <w:rPr>
          <w:rFonts w:hint="eastAsia" w:ascii="宋体" w:hAnsi="宋体" w:eastAsia="宋体" w:cs="宋体"/>
          <w:i w:val="0"/>
          <w:color w:val="000000"/>
          <w:spacing w:val="-6"/>
          <w:kern w:val="0"/>
          <w:sz w:val="24"/>
          <w:szCs w:val="24"/>
          <w:u w:val="none"/>
          <w:lang w:val="en-US" w:eastAsia="zh-CN" w:bidi="ar-SA"/>
        </w:rPr>
        <w:fldChar w:fldCharType="end"/>
      </w:r>
      <w:r>
        <w:rPr>
          <w:rFonts w:hint="eastAsia" w:ascii="宋体" w:hAnsi="宋体" w:cs="宋体"/>
          <w:color w:val="000000"/>
          <w:sz w:val="24"/>
          <w:highlight w:val="none"/>
        </w:rPr>
        <w:t>m，共计</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条河的河面保</w:t>
      </w:r>
      <w:r>
        <w:rPr>
          <w:rFonts w:hint="eastAsia" w:ascii="宋体" w:hAnsi="宋体" w:cs="宋体"/>
          <w:color w:val="auto"/>
          <w:sz w:val="24"/>
          <w:highlight w:val="none"/>
        </w:rPr>
        <w:t>洁（以常水位为界限）</w:t>
      </w:r>
      <w:r>
        <w:rPr>
          <w:rFonts w:hint="eastAsia" w:ascii="宋体" w:hAnsi="宋体" w:cs="宋体"/>
          <w:color w:val="auto"/>
          <w:sz w:val="24"/>
          <w:highlight w:val="none"/>
          <w:lang w:eastAsia="zh-CN"/>
        </w:rPr>
        <w:t>，绿化养护面积</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 sum(E3:E9) \* MERGEFORMAT </w:instrText>
      </w:r>
      <w:r>
        <w:rPr>
          <w:rFonts w:hint="eastAsia" w:ascii="宋体" w:hAnsi="宋体" w:cs="宋体"/>
          <w:color w:val="auto"/>
          <w:sz w:val="24"/>
          <w:highlight w:val="none"/>
          <w:lang w:val="en-US" w:eastAsia="zh-CN"/>
        </w:rPr>
        <w:fldChar w:fldCharType="separate"/>
      </w:r>
      <w:r>
        <w:rPr>
          <w:rFonts w:hint="eastAsia" w:ascii="宋体" w:hAnsi="宋体" w:cs="宋体"/>
          <w:color w:val="auto"/>
          <w:sz w:val="24"/>
          <w:highlight w:val="none"/>
          <w:lang w:val="en-US" w:eastAsia="zh-CN"/>
        </w:rPr>
        <w:t>628000</w:t>
      </w:r>
      <w:r>
        <w:rPr>
          <w:rFonts w:hint="eastAsia" w:ascii="宋体" w:hAnsi="宋体" w:cs="宋体"/>
          <w:color w:val="auto"/>
          <w:sz w:val="24"/>
          <w:highlight w:val="none"/>
          <w:lang w:val="en-US" w:eastAsia="zh-CN"/>
        </w:rPr>
        <w:fldChar w:fldCharType="end"/>
      </w:r>
      <w:r>
        <w:rPr>
          <w:rFonts w:hint="eastAsia" w:ascii="宋体" w:hAnsi="宋体" w:cs="宋体"/>
          <w:color w:val="auto"/>
          <w:szCs w:val="21"/>
          <w:highlight w:val="none"/>
        </w:rPr>
        <w:t>㎡</w:t>
      </w:r>
      <w:r>
        <w:rPr>
          <w:rFonts w:hint="eastAsia" w:ascii="宋体" w:hAnsi="宋体" w:cs="宋体"/>
          <w:color w:val="auto"/>
          <w:szCs w:val="21"/>
          <w:highlight w:val="none"/>
          <w:lang w:eastAsia="zh-CN"/>
        </w:rPr>
        <w:t>。</w:t>
      </w:r>
    </w:p>
    <w:p>
      <w:pPr>
        <w:shd w:val="clear" w:color="auto" w:fill="FFFFFF"/>
        <w:snapToGrid w:val="0"/>
        <w:spacing w:line="336"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二、具体服务内容、要求等：</w:t>
      </w:r>
    </w:p>
    <w:p>
      <w:pPr>
        <w:shd w:val="clear" w:color="auto" w:fill="FFFFFF"/>
        <w:snapToGrid w:val="0"/>
        <w:spacing w:line="336" w:lineRule="auto"/>
        <w:ind w:firstLine="480" w:firstLineChars="200"/>
        <w:jc w:val="cente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仓前街道2022-202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年河道养护</w:t>
      </w:r>
      <w:r>
        <w:rPr>
          <w:rFonts w:hint="eastAsia" w:ascii="宋体" w:hAnsi="宋体" w:cs="宋体"/>
          <w:color w:val="auto"/>
          <w:sz w:val="24"/>
          <w:highlight w:val="none"/>
        </w:rPr>
        <w:t>明细表</w:t>
      </w:r>
    </w:p>
    <w:tbl>
      <w:tblPr>
        <w:tblStyle w:val="64"/>
        <w:tblW w:w="8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1203"/>
        <w:gridCol w:w="1259"/>
        <w:gridCol w:w="925"/>
        <w:gridCol w:w="103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河道名称</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起点</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终点</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长度（米）</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平均宽度（米）</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面积</w:t>
            </w:r>
            <w:r>
              <w:rPr>
                <w:rFonts w:hint="eastAsia" w:ascii="宋体" w:hAnsi="宋体" w:eastAsia="宋体" w:cs="宋体"/>
                <w:i w:val="0"/>
                <w:color w:val="000000"/>
                <w:spacing w:val="-6"/>
                <w:kern w:val="0"/>
                <w:sz w:val="24"/>
                <w:szCs w:val="24"/>
                <w:u w:val="none"/>
                <w:lang w:val="en-US" w:eastAsia="zh-CN" w:bidi="ar-SA"/>
              </w:rPr>
              <w:br w:type="textWrapping"/>
            </w:r>
            <w:r>
              <w:rPr>
                <w:rFonts w:hint="eastAsia" w:ascii="宋体" w:hAnsi="宋体" w:eastAsia="宋体" w:cs="宋体"/>
                <w:i w:val="0"/>
                <w:color w:val="000000"/>
                <w:spacing w:val="-6"/>
                <w:kern w:val="0"/>
                <w:sz w:val="24"/>
                <w:szCs w:val="24"/>
                <w:u w:val="none"/>
                <w:lang w:val="en-US" w:eastAsia="zh-CN" w:bidi="ar-SA"/>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3073</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67534.99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朱庙港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1196</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125765.50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汪桥港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2252</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43455.89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800</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23037.14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2480</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28</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46063.25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2371</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76061.23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1548</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40</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49916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合计</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fldChar w:fldCharType="begin"/>
            </w:r>
            <w:r>
              <w:rPr>
                <w:rFonts w:hint="eastAsia" w:ascii="宋体" w:hAnsi="宋体" w:eastAsia="宋体" w:cs="宋体"/>
                <w:i w:val="0"/>
                <w:color w:val="000000"/>
                <w:spacing w:val="-6"/>
                <w:kern w:val="0"/>
                <w:sz w:val="24"/>
                <w:szCs w:val="24"/>
                <w:u w:val="none"/>
                <w:lang w:val="en-US" w:eastAsia="zh-CN" w:bidi="ar-SA"/>
              </w:rPr>
              <w:instrText xml:space="preserve"> = sum(D3:D9) \* MERGEFORMAT </w:instrText>
            </w:r>
            <w:r>
              <w:rPr>
                <w:rFonts w:hint="eastAsia" w:ascii="宋体" w:hAnsi="宋体" w:eastAsia="宋体" w:cs="宋体"/>
                <w:i w:val="0"/>
                <w:color w:val="000000"/>
                <w:spacing w:val="-6"/>
                <w:kern w:val="0"/>
                <w:sz w:val="24"/>
                <w:szCs w:val="24"/>
                <w:u w:val="none"/>
                <w:lang w:val="en-US" w:eastAsia="zh-CN" w:bidi="ar-SA"/>
              </w:rPr>
              <w:fldChar w:fldCharType="separate"/>
            </w:r>
            <w:r>
              <w:rPr>
                <w:rFonts w:hint="eastAsia" w:ascii="宋体" w:hAnsi="宋体" w:eastAsia="宋体" w:cs="宋体"/>
                <w:i w:val="0"/>
                <w:color w:val="000000"/>
                <w:spacing w:val="-6"/>
                <w:kern w:val="0"/>
                <w:sz w:val="24"/>
                <w:szCs w:val="24"/>
                <w:u w:val="none"/>
                <w:lang w:val="en-US" w:eastAsia="zh-CN" w:bidi="ar-SA"/>
              </w:rPr>
              <w:t>13720</w:t>
            </w:r>
            <w:r>
              <w:rPr>
                <w:rFonts w:hint="eastAsia" w:ascii="宋体" w:hAnsi="宋体" w:eastAsia="宋体" w:cs="宋体"/>
                <w:i w:val="0"/>
                <w:color w:val="000000"/>
                <w:spacing w:val="-6"/>
                <w:kern w:val="0"/>
                <w:sz w:val="24"/>
                <w:szCs w:val="24"/>
                <w:u w:val="none"/>
                <w:lang w:val="en-US" w:eastAsia="zh-CN" w:bidi="ar-SA"/>
              </w:rPr>
              <w:fldChar w:fldCharType="end"/>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fldChar w:fldCharType="begin"/>
            </w:r>
            <w:r>
              <w:rPr>
                <w:rFonts w:hint="eastAsia" w:ascii="宋体" w:hAnsi="宋体" w:eastAsia="宋体" w:cs="宋体"/>
                <w:i w:val="0"/>
                <w:color w:val="000000"/>
                <w:spacing w:val="-6"/>
                <w:kern w:val="0"/>
                <w:sz w:val="24"/>
                <w:szCs w:val="24"/>
                <w:u w:val="none"/>
                <w:lang w:val="en-US" w:eastAsia="zh-CN" w:bidi="ar-SA"/>
              </w:rPr>
              <w:instrText xml:space="preserve"> = sum(F3:F9) \* MERGEFORMAT </w:instrText>
            </w:r>
            <w:r>
              <w:rPr>
                <w:rFonts w:hint="eastAsia" w:ascii="宋体" w:hAnsi="宋体" w:eastAsia="宋体" w:cs="宋体"/>
                <w:i w:val="0"/>
                <w:color w:val="000000"/>
                <w:spacing w:val="-6"/>
                <w:kern w:val="0"/>
                <w:sz w:val="24"/>
                <w:szCs w:val="24"/>
                <w:u w:val="none"/>
                <w:lang w:val="en-US" w:eastAsia="zh-CN" w:bidi="ar-SA"/>
              </w:rPr>
              <w:fldChar w:fldCharType="separate"/>
            </w:r>
            <w:r>
              <w:rPr>
                <w:rFonts w:hint="eastAsia" w:ascii="宋体" w:hAnsi="宋体" w:eastAsia="宋体" w:cs="宋体"/>
                <w:i w:val="0"/>
                <w:color w:val="000000"/>
                <w:spacing w:val="-6"/>
                <w:kern w:val="0"/>
                <w:sz w:val="24"/>
                <w:szCs w:val="24"/>
                <w:u w:val="none"/>
                <w:lang w:val="en-US" w:eastAsia="zh-CN" w:bidi="ar-SA"/>
              </w:rPr>
              <w:t>431834</w:t>
            </w:r>
            <w:r>
              <w:rPr>
                <w:rFonts w:hint="eastAsia" w:ascii="宋体" w:hAnsi="宋体" w:eastAsia="宋体" w:cs="宋体"/>
                <w:i w:val="0"/>
                <w:color w:val="000000"/>
                <w:spacing w:val="-6"/>
                <w:kern w:val="0"/>
                <w:sz w:val="24"/>
                <w:szCs w:val="24"/>
                <w:u w:val="none"/>
                <w:lang w:val="en-US" w:eastAsia="zh-CN" w:bidi="ar-SA"/>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19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color w:val="000000"/>
                <w:kern w:val="0"/>
                <w:sz w:val="22"/>
                <w:szCs w:val="22"/>
                <w:highlight w:val="none"/>
                <w:lang w:bidi="ar"/>
              </w:rPr>
              <w:t>注：河道宽度为平均宽度，包含河道沿岸两侧3米范围内（与道路界限分明且属于道路保洁范围内的河岸除外）。最终河道起止点以现场踏勘确定卫星定位的点为准</w:t>
            </w:r>
          </w:p>
        </w:tc>
      </w:tr>
    </w:tbl>
    <w:p>
      <w:pPr>
        <w:pStyle w:val="2"/>
        <w:rPr>
          <w:rFonts w:hint="eastAsia"/>
          <w:lang w:eastAsia="zh-CN"/>
        </w:rPr>
      </w:pPr>
    </w:p>
    <w:p>
      <w:pPr>
        <w:snapToGrid w:val="0"/>
        <w:spacing w:line="336" w:lineRule="auto"/>
        <w:ind w:firstLine="482" w:firstLineChars="200"/>
        <w:jc w:val="left"/>
        <w:rPr>
          <w:rFonts w:hint="eastAsia" w:ascii="宋体" w:hAnsi="宋体" w:cs="宋体"/>
          <w:color w:val="000000"/>
          <w:sz w:val="24"/>
          <w:highlight w:val="none"/>
        </w:rPr>
      </w:pPr>
      <w:r>
        <w:rPr>
          <w:rFonts w:hint="eastAsia" w:ascii="宋体" w:hAnsi="宋体" w:cs="宋体"/>
          <w:b/>
          <w:bCs/>
          <w:color w:val="000000"/>
          <w:sz w:val="24"/>
          <w:highlight w:val="none"/>
        </w:rPr>
        <w:t>（一）河道保洁作业要求：</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、保洁服务期内，中标人必须按</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条河道河面及河岸的保洁配备：要求：保洁作业时作业人员须穿着反光救生衣，保洁时间实行每天保洁制，河道保洁根据时间变化、保洁要求等条件7︰00—17︰00内自行调节。河道保洁每天要求不间断来回保洁；</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、投标人中标后，对所有服务人员购买人身意外保险，在保洁服务期间所发生的任何安全事故一律由承包人负责，招标人不承担任何责任；</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打捞河道水面漂浮物、水草、杂草、杂枝等垃圾，福寿螺及卵的清理、定置网具清理等，垃圾必须在7︰00—17︰00内就近运至垃圾中转站，做到日产日清，死牲畜及时报告街道进行无害化消毒处理。对沿途企业单位和个人是否向河道排放污水情况，是否有违法建设行为进行巡查，一旦发现及时向招标人汇报；</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、河道内违章倾到废土、建筑垃圾、生活垃圾、搭建的违章建筑有责任予以制止，并及时上报街道相关职能部门；</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、中标单位的河道保洁工作人员严禁放置网具捕捞水产品，一旦发现中止合同并扣除履约保证金；</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、中标单位在合同期内遇上级检查或在各项创建活动中须加大巡查保洁力度，无条件服从发包人安排和调度；</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、对沿途企业单位和个人，加强环保、水法规的宣传，河道内及两岸岸坡的“清洁、明亮、生态、安全”，顺利完成上级的检查和验收；</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及时掌握河道沿线排水口设施（包括标识）完好情况、晴天出水情况。对有晴天出水现象的，要分时段（上午、中午、下午）检查出水情况，评估记录出水水频次（间歇性或常出水），并查看该排水口上下游河道水质感官，做好信息登记并第一时间上报，同时做好与截污部门的对接；</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9</w:t>
      </w:r>
      <w:r>
        <w:rPr>
          <w:rFonts w:hint="eastAsia" w:ascii="宋体" w:hAnsi="宋体" w:cs="宋体"/>
          <w:color w:val="000000"/>
          <w:sz w:val="24"/>
          <w:highlight w:val="none"/>
        </w:rPr>
        <w:t>、及时了解河道水质状况，包括水体感官与颜色等。遇死鱼、蓝藻等突发情况应及时上报；</w:t>
      </w:r>
    </w:p>
    <w:p>
      <w:pPr>
        <w:snapToGrid w:val="0"/>
        <w:spacing w:line="336"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sz w:val="24"/>
          <w:highlight w:val="none"/>
          <w:lang w:val="en-US" w:eastAsia="zh-CN"/>
        </w:rPr>
        <w:t>0</w:t>
      </w:r>
      <w:r>
        <w:rPr>
          <w:rFonts w:hint="eastAsia" w:ascii="宋体" w:hAnsi="宋体" w:cs="宋体"/>
          <w:color w:val="000000"/>
          <w:sz w:val="24"/>
          <w:highlight w:val="none"/>
        </w:rPr>
        <w:t>、中标单位不得将本项目违法分包和转包，否则招标人有权责令其停止作业并终止承包合同，所造成的损失由中标单位负责；</w:t>
      </w:r>
    </w:p>
    <w:p>
      <w:pPr>
        <w:pStyle w:val="82"/>
        <w:rPr>
          <w:rFonts w:hint="eastAsia" w:ascii="宋体" w:hAnsi="宋体" w:cs="宋体"/>
          <w:color w:val="auto"/>
          <w:sz w:val="24"/>
          <w:highlight w:val="none"/>
          <w:lang w:eastAsia="zh-CN"/>
        </w:rPr>
      </w:pPr>
    </w:p>
    <w:p>
      <w:pPr>
        <w:pStyle w:val="82"/>
        <w:rPr>
          <w:rFonts w:hint="eastAsia" w:ascii="宋体" w:hAnsi="宋体" w:cs="宋体"/>
          <w:color w:val="auto"/>
          <w:sz w:val="24"/>
          <w:highlight w:val="none"/>
          <w:lang w:eastAsia="zh-CN"/>
        </w:rPr>
      </w:pPr>
    </w:p>
    <w:p>
      <w:pPr>
        <w:shd w:val="clear" w:color="auto" w:fill="FFFFFF"/>
        <w:snapToGrid w:val="0"/>
        <w:spacing w:line="336" w:lineRule="auto"/>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lang w:eastAsia="zh-CN"/>
        </w:rPr>
        <w:t>仓前街道2022-202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年滨河绿化养护</w:t>
      </w:r>
      <w:r>
        <w:rPr>
          <w:rFonts w:hint="eastAsia" w:ascii="宋体" w:hAnsi="宋体" w:cs="宋体"/>
          <w:color w:val="auto"/>
          <w:sz w:val="24"/>
          <w:highlight w:val="none"/>
        </w:rPr>
        <w:t>明细表</w:t>
      </w:r>
    </w:p>
    <w:tbl>
      <w:tblPr>
        <w:tblStyle w:val="6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1203"/>
        <w:gridCol w:w="1259"/>
        <w:gridCol w:w="127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范围</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起点</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终点</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绿化等级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面积</w:t>
            </w:r>
            <w:r>
              <w:rPr>
                <w:rFonts w:hint="eastAsia" w:ascii="宋体" w:hAnsi="宋体" w:eastAsia="宋体" w:cs="宋体"/>
                <w:i w:val="0"/>
                <w:color w:val="000000"/>
                <w:spacing w:val="-6"/>
                <w:kern w:val="0"/>
                <w:sz w:val="24"/>
                <w:szCs w:val="24"/>
                <w:u w:val="none"/>
                <w:lang w:val="en-US" w:eastAsia="zh-CN" w:bidi="ar-SA"/>
              </w:rPr>
              <w:br w:type="textWrapping"/>
            </w:r>
            <w:r>
              <w:rPr>
                <w:rFonts w:hint="eastAsia" w:ascii="宋体" w:hAnsi="宋体" w:eastAsia="宋体" w:cs="宋体"/>
                <w:i w:val="0"/>
                <w:color w:val="000000"/>
                <w:spacing w:val="-6"/>
                <w:kern w:val="0"/>
                <w:sz w:val="24"/>
                <w:szCs w:val="24"/>
                <w:u w:val="none"/>
                <w:lang w:val="en-US" w:eastAsia="zh-CN" w:bidi="ar-SA"/>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94809.30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28372.28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朱庙港 </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92787.15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36731.62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汪桥港 </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56803.11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254938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63558.54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b/>
                <w:bCs/>
                <w:i w:val="0"/>
                <w:color w:val="000000"/>
                <w:spacing w:val="-6"/>
                <w:kern w:val="0"/>
                <w:sz w:val="24"/>
                <w:szCs w:val="24"/>
                <w:u w:val="none"/>
                <w:lang w:val="en-US" w:eastAsia="zh-CN" w:bidi="ar-SA"/>
              </w:rPr>
              <w:t>合计</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000000"/>
                <w:spacing w:val="-6"/>
                <w:kern w:val="0"/>
                <w:sz w:val="24"/>
                <w:szCs w:val="24"/>
                <w:u w:val="none"/>
                <w:lang w:val="en-US" w:eastAsia="zh-CN" w:bidi="ar-SA"/>
              </w:rPr>
            </w:pPr>
            <w:r>
              <w:rPr>
                <w:rFonts w:hint="eastAsia" w:ascii="宋体" w:hAnsi="宋体" w:eastAsia="宋体" w:cs="宋体"/>
                <w:b/>
                <w:bCs w:val="0"/>
                <w:i w:val="0"/>
                <w:color w:val="000000"/>
                <w:spacing w:val="-6"/>
                <w:kern w:val="0"/>
                <w:sz w:val="24"/>
                <w:szCs w:val="24"/>
                <w:u w:val="none"/>
                <w:lang w:val="en-US" w:eastAsia="zh-CN" w:bidi="ar-SA"/>
              </w:rPr>
              <w:fldChar w:fldCharType="begin"/>
            </w:r>
            <w:r>
              <w:rPr>
                <w:rFonts w:hint="eastAsia" w:ascii="宋体" w:hAnsi="宋体" w:eastAsia="宋体" w:cs="宋体"/>
                <w:b/>
                <w:bCs w:val="0"/>
                <w:i w:val="0"/>
                <w:color w:val="000000"/>
                <w:spacing w:val="-6"/>
                <w:kern w:val="0"/>
                <w:sz w:val="24"/>
                <w:szCs w:val="24"/>
                <w:u w:val="none"/>
                <w:lang w:val="en-US" w:eastAsia="zh-CN" w:bidi="ar-SA"/>
              </w:rPr>
              <w:instrText xml:space="preserve"> = sum(E3:E9) \* MERGEFORMAT </w:instrText>
            </w:r>
            <w:r>
              <w:rPr>
                <w:rFonts w:hint="eastAsia" w:ascii="宋体" w:hAnsi="宋体" w:eastAsia="宋体" w:cs="宋体"/>
                <w:b/>
                <w:bCs w:val="0"/>
                <w:i w:val="0"/>
                <w:color w:val="000000"/>
                <w:spacing w:val="-6"/>
                <w:kern w:val="0"/>
                <w:sz w:val="24"/>
                <w:szCs w:val="24"/>
                <w:u w:val="none"/>
                <w:lang w:val="en-US" w:eastAsia="zh-CN" w:bidi="ar-SA"/>
              </w:rPr>
              <w:fldChar w:fldCharType="separate"/>
            </w:r>
            <w:r>
              <w:rPr>
                <w:rFonts w:hint="eastAsia" w:ascii="宋体" w:hAnsi="宋体" w:eastAsia="宋体" w:cs="宋体"/>
                <w:b/>
                <w:bCs w:val="0"/>
                <w:i w:val="0"/>
                <w:color w:val="000000"/>
                <w:spacing w:val="-6"/>
                <w:kern w:val="0"/>
                <w:sz w:val="24"/>
                <w:szCs w:val="24"/>
                <w:u w:val="none"/>
                <w:lang w:val="en-US" w:eastAsia="zh-CN" w:bidi="ar-SA"/>
              </w:rPr>
              <w:t>628000</w:t>
            </w:r>
            <w:r>
              <w:rPr>
                <w:rFonts w:hint="eastAsia" w:ascii="宋体" w:hAnsi="宋体" w:eastAsia="宋体" w:cs="宋体"/>
                <w:b/>
                <w:bCs w:val="0"/>
                <w:i w:val="0"/>
                <w:color w:val="000000"/>
                <w:spacing w:val="-6"/>
                <w:kern w:val="0"/>
                <w:sz w:val="24"/>
                <w:szCs w:val="24"/>
                <w:u w:val="none"/>
                <w:lang w:val="en-US" w:eastAsia="zh-CN" w:bidi="ar-SA"/>
              </w:rPr>
              <w:fldChar w:fldCharType="end"/>
            </w:r>
          </w:p>
        </w:tc>
      </w:tr>
    </w:tbl>
    <w:p>
      <w:pPr>
        <w:pStyle w:val="2"/>
        <w:rPr>
          <w:rFonts w:hint="eastAsia"/>
        </w:rPr>
      </w:pPr>
    </w:p>
    <w:p>
      <w:pPr>
        <w:numPr>
          <w:ilvl w:val="0"/>
          <w:numId w:val="0"/>
        </w:numPr>
        <w:wordWrap/>
        <w:spacing w:line="500" w:lineRule="exact"/>
        <w:ind w:left="210" w:leftChars="0"/>
        <w:textAlignment w:val="auto"/>
        <w:rPr>
          <w:rStyle w:val="969"/>
          <w:rFonts w:ascii="等线" w:hAnsi="等线" w:eastAsia="宋体" w:cs="Times New Roman"/>
          <w:b/>
          <w:bCs/>
          <w:i w:val="0"/>
          <w:caps w:val="0"/>
          <w:color w:val="auto"/>
          <w:spacing w:val="0"/>
          <w:w w:val="100"/>
          <w:kern w:val="2"/>
          <w:sz w:val="24"/>
          <w:szCs w:val="24"/>
          <w:highlight w:val="none"/>
          <w:lang w:val="en-US" w:eastAsia="zh-CN" w:bidi="ar-SA"/>
        </w:rPr>
      </w:pPr>
      <w:r>
        <w:rPr>
          <w:rStyle w:val="969"/>
          <w:rFonts w:hint="eastAsia" w:ascii="等线" w:hAnsi="等线" w:cs="Times New Roman"/>
          <w:b/>
          <w:bCs/>
          <w:i w:val="0"/>
          <w:caps w:val="0"/>
          <w:color w:val="auto"/>
          <w:spacing w:val="0"/>
          <w:w w:val="100"/>
          <w:kern w:val="2"/>
          <w:sz w:val="24"/>
          <w:szCs w:val="24"/>
          <w:highlight w:val="none"/>
          <w:lang w:val="en-US" w:eastAsia="zh-CN" w:bidi="ar-SA"/>
        </w:rPr>
        <w:t>(二)、</w:t>
      </w:r>
      <w:r>
        <w:rPr>
          <w:rStyle w:val="969"/>
          <w:rFonts w:ascii="等线" w:hAnsi="等线" w:eastAsia="宋体" w:cs="Times New Roman"/>
          <w:b/>
          <w:bCs/>
          <w:i w:val="0"/>
          <w:caps w:val="0"/>
          <w:color w:val="auto"/>
          <w:spacing w:val="0"/>
          <w:w w:val="100"/>
          <w:kern w:val="2"/>
          <w:sz w:val="24"/>
          <w:szCs w:val="24"/>
          <w:highlight w:val="none"/>
          <w:lang w:val="en-US" w:eastAsia="zh-CN" w:bidi="ar-SA"/>
        </w:rPr>
        <w:t>绿化养护质量服务标准：</w:t>
      </w:r>
    </w:p>
    <w:p>
      <w:pPr>
        <w:pStyle w:val="82"/>
        <w:numPr>
          <w:ilvl w:val="0"/>
          <w:numId w:val="0"/>
        </w:numPr>
        <w:rPr>
          <w:rFonts w:hint="default"/>
          <w:highlight w:val="none"/>
          <w:lang w:val="en-US" w:eastAsia="zh-CN"/>
        </w:rPr>
      </w:pPr>
    </w:p>
    <w:p>
      <w:pPr>
        <w:snapToGrid w:val="0"/>
        <w:spacing w:line="336" w:lineRule="auto"/>
        <w:ind w:firstLine="720" w:firstLineChars="3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具体服务质量标准根据《杭州市城区绿地养护质量标准》（杭园文[2003]42号）、《余杭区城市化管理范围内市政、绿化、保洁、保序分级分类及考核办法（试行）的通知》（余政办[2013]76号）及杭州市现行城市绿地养护质量标准等文件中规定的作业标准和要求执行，本采购项目按照绿化二级标准进行养护。</w:t>
      </w:r>
    </w:p>
    <w:p>
      <w:pPr>
        <w:numPr>
          <w:ilvl w:val="0"/>
          <w:numId w:val="3"/>
        </w:numPr>
        <w:snapToGrid/>
        <w:spacing w:before="0" w:beforeAutospacing="0" w:after="0" w:afterAutospacing="0" w:line="400" w:lineRule="atLeast"/>
        <w:ind w:left="360" w:leftChars="0" w:firstLine="0" w:firstLineChars="0"/>
        <w:jc w:val="left"/>
        <w:textAlignment w:val="baseline"/>
        <w:rPr>
          <w:highlight w:val="none"/>
          <w:lang w:val="en-US" w:eastAsia="zh-CN"/>
        </w:rPr>
      </w:pPr>
      <w:r>
        <w:rPr>
          <w:rStyle w:val="969"/>
          <w:rFonts w:ascii="等线" w:hAnsi="等线" w:eastAsia="宋体"/>
          <w:b/>
          <w:i w:val="0"/>
          <w:caps w:val="0"/>
          <w:color w:val="auto"/>
          <w:spacing w:val="0"/>
          <w:w w:val="100"/>
          <w:kern w:val="2"/>
          <w:sz w:val="24"/>
          <w:szCs w:val="24"/>
          <w:highlight w:val="none"/>
          <w:lang w:val="en-US" w:eastAsia="zh-CN" w:bidi="ar-SA"/>
        </w:rPr>
        <w:t>道路绿化带养护标准</w:t>
      </w:r>
    </w:p>
    <w:p>
      <w:pPr>
        <w:pStyle w:val="82"/>
        <w:rPr>
          <w:highlight w:val="none"/>
          <w:lang w:val="en-US" w:eastAsia="zh-CN"/>
        </w:rPr>
      </w:pP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总体标准：指道路绿化带养护的整体质量，内容有养护质量、树木存活率、设施维护、土肥标准、病虫害防治标准及管理标准。</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1.1.植物养护标准：按道路绿化带的立地条件，对植物进行特殊养护、精心养护，使植物健康生长，具有良好的道路景观。</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1.2.树木种植成活率标准：当年新栽植物成活率达95%以上，保存率98%以上，无缺株、死株。</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1.4.病虫害防治标准：提倡综合防治，病虫害应控制在以不影响观赏效果的危害程度之内。</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1.5.道路绿化带的具体养管标准。</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（1）道路绿化带景观要求。</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（2）采用修剪等特殊手法，控制植物高度，植物高度不得影响交通视线。</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（3）特殊地段的景观应按设计精心养护，形成有特色的植物景观。整形植物必须及时修剪保持形态，悬垂植物生长健壮，及时通过修剪去除枯死枝和调整高度及生长密度，整体效果良好。</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（4）花卉花期整齐，株行距适宜，无空秃、色彩效果好。</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（5）绿带必须无裸地，可种植地被植物或草坪。</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（6）绿带内无枯枝残叶、无杂草，整洁无垃圾；每天冲洗一次以上，植物叶面无积尘。</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（7）辅助设施（包括支撑物和悬挂容器）必须安全、完好、整洁、美观。</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（8）道路绿化带及悬垂挂箱冬季浇水应注意不要让水溢出，避免造成路面结冰。</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1.6道路绿化带养护作业必须穿着有反光条的工作服，做到文明作业，尽量减少对行车的干扰。</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2.养护管理其他要求：</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（2）规范管理、文明作业、自觉接受采购人及其上级各部门领导的检查和社会监督，对出现的问题要及时整改。</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（6）道路绿化中标后，应给每一个道路绿化工作人员购买人身意外伤害保险；</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（7）加强绿化养护应急响应管理工作，具体要求参照《杭州市城区绿化防台树木支撑工作方案》。</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①制定灾害性天气应急预案，建立应急救灾队伍，将应急预案和人员名单上报采购人备案。</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②建立应急备货制，备货的内容有：抗旱、抗涝、抗台、抗寒、抗雪等物资（支撑钢管、毛竹、水泵、遮阴网、草包等），快速支撑钢管只能做为一部分应急物资储备，不是唯一的抗台应急物资。</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 xml:space="preserve">③遇灾害性天气，听从采购人统一指挥，及时组织人员夏季抗旱、抗台，冬季遇积雪必须及时组织人员进行抗雪。遇到树木斜倒时，根据采购人要求，做好清障扶正工作。 </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④做好防台树木支撑工作，在市气象台发出台风预警信号以后，立即做好树木支撑工作。</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（8）中标单位根据采购人通知要求，做好各类“迎检”和“创建”准备工作。</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（9）经过园林绿化管理部门批准的绿地内挖掘及占用绿地时，中标单位应予以积极配合，复种后的绿地应由中标单位负责正常养护。</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（10）绿化养护期内产生的各种的垃圾必须进入垃圾中转站，其处理产生费用由中标单位负责。</w:t>
      </w:r>
    </w:p>
    <w:p>
      <w:pPr>
        <w:snapToGrid w:val="0"/>
        <w:spacing w:line="336" w:lineRule="auto"/>
        <w:ind w:firstLine="480" w:firstLineChars="200"/>
        <w:jc w:val="left"/>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（11）中标单位在养护管理期间，由于养管不力，采购人有权终止合同，并由中标单位承担一切责任。</w:t>
      </w:r>
    </w:p>
    <w:p>
      <w:pPr>
        <w:snapToGrid w:val="0"/>
        <w:spacing w:line="336" w:lineRule="auto"/>
        <w:ind w:firstLine="480" w:firstLineChars="200"/>
        <w:jc w:val="left"/>
        <w:rPr>
          <w:rFonts w:hint="eastAsia" w:ascii="宋体" w:hAnsi="宋体" w:cs="宋体"/>
          <w:b/>
          <w:bCs/>
          <w:color w:val="000000"/>
          <w:sz w:val="24"/>
          <w:highlight w:val="none"/>
        </w:rPr>
      </w:pPr>
      <w:r>
        <w:rPr>
          <w:rFonts w:hint="eastAsia" w:ascii="宋体" w:hAnsi="宋体" w:eastAsia="宋体" w:cs="宋体"/>
          <w:snapToGrid w:val="0"/>
          <w:color w:val="auto"/>
          <w:kern w:val="0"/>
          <w:sz w:val="24"/>
          <w:highlight w:val="none"/>
          <w:lang w:val="en-US" w:eastAsia="zh-CN"/>
        </w:rPr>
        <w:t>三、</w:t>
      </w:r>
      <w:r>
        <w:rPr>
          <w:rFonts w:hint="eastAsia" w:ascii="宋体" w:hAnsi="宋体" w:eastAsia="宋体" w:cs="宋体"/>
          <w:snapToGrid w:val="0"/>
          <w:color w:val="auto"/>
          <w:kern w:val="0"/>
          <w:sz w:val="24"/>
          <w:highlight w:val="none"/>
        </w:rPr>
        <w:t>▲拟</w:t>
      </w:r>
      <w:r>
        <w:rPr>
          <w:rFonts w:hint="eastAsia" w:asciiTheme="majorEastAsia" w:hAnsiTheme="majorEastAsia" w:eastAsiaTheme="majorEastAsia" w:cstheme="majorEastAsia"/>
          <w:b/>
          <w:bCs/>
          <w:color w:val="auto"/>
          <w:sz w:val="24"/>
          <w:highlight w:val="none"/>
        </w:rPr>
        <w:t>投入人员最低要求配备表</w:t>
      </w:r>
    </w:p>
    <w:tbl>
      <w:tblPr>
        <w:tblStyle w:val="64"/>
        <w:tblW w:w="0" w:type="auto"/>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1439"/>
        <w:gridCol w:w="2071"/>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人员组成</w:t>
            </w:r>
          </w:p>
        </w:tc>
        <w:tc>
          <w:tcPr>
            <w:tcW w:w="1439"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人数要求</w:t>
            </w:r>
          </w:p>
        </w:tc>
        <w:tc>
          <w:tcPr>
            <w:tcW w:w="2071"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要求</w:t>
            </w: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养护负责人及管理人员</w:t>
            </w:r>
          </w:p>
        </w:tc>
        <w:tc>
          <w:tcPr>
            <w:tcW w:w="1439"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项目负责人1名</w:t>
            </w:r>
          </w:p>
          <w:p>
            <w:pPr>
              <w:spacing w:line="440" w:lineRule="exact"/>
              <w:jc w:val="center"/>
              <w:rPr>
                <w:rFonts w:hint="eastAsia"/>
                <w:highlight w:val="none"/>
              </w:rPr>
            </w:pPr>
            <w:r>
              <w:rPr>
                <w:rFonts w:hint="eastAsia" w:ascii="宋体" w:hAnsi="宋体" w:cs="宋体"/>
                <w:bCs/>
                <w:sz w:val="24"/>
                <w:highlight w:val="none"/>
              </w:rPr>
              <w:t>项目管理</w:t>
            </w:r>
            <w:r>
              <w:rPr>
                <w:rFonts w:hint="eastAsia" w:ascii="宋体" w:hAnsi="宋体" w:cs="宋体"/>
                <w:bCs/>
                <w:sz w:val="24"/>
                <w:highlight w:val="none"/>
                <w:lang w:eastAsia="zh-CN"/>
              </w:rPr>
              <w:t>员</w:t>
            </w:r>
            <w:r>
              <w:rPr>
                <w:rFonts w:hint="eastAsia" w:ascii="宋体" w:hAnsi="宋体" w:cs="宋体"/>
                <w:bCs/>
                <w:sz w:val="24"/>
                <w:highlight w:val="none"/>
              </w:rPr>
              <w:t>2名</w:t>
            </w:r>
          </w:p>
        </w:tc>
        <w:tc>
          <w:tcPr>
            <w:tcW w:w="2071"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具备一年以上同类项目负责经验</w:t>
            </w: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垃圾清运加工兼福寿螺清理工</w:t>
            </w:r>
          </w:p>
        </w:tc>
        <w:tc>
          <w:tcPr>
            <w:tcW w:w="1439"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2名</w:t>
            </w:r>
          </w:p>
        </w:tc>
        <w:tc>
          <w:tcPr>
            <w:tcW w:w="2071" w:type="dxa"/>
            <w:noWrap w:val="0"/>
            <w:vAlign w:val="center"/>
          </w:tcPr>
          <w:p>
            <w:pPr>
              <w:spacing w:line="440" w:lineRule="exact"/>
              <w:jc w:val="right"/>
              <w:rPr>
                <w:rFonts w:hint="eastAsia" w:ascii="宋体" w:hAnsi="宋体" w:cs="宋体"/>
                <w:bCs/>
                <w:sz w:val="24"/>
                <w:highlight w:val="none"/>
              </w:rPr>
            </w:pPr>
            <w:r>
              <w:rPr>
                <w:rFonts w:hint="eastAsia" w:ascii="宋体" w:hAnsi="宋体" w:cs="宋体"/>
                <w:bCs/>
                <w:sz w:val="24"/>
                <w:highlight w:val="none"/>
              </w:rPr>
              <w:t>有机动车驾驶证，会游泳，熟悉水性</w:t>
            </w: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河岸保洁工人</w:t>
            </w:r>
          </w:p>
        </w:tc>
        <w:tc>
          <w:tcPr>
            <w:tcW w:w="1439"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3名</w:t>
            </w:r>
          </w:p>
        </w:tc>
        <w:tc>
          <w:tcPr>
            <w:tcW w:w="2071" w:type="dxa"/>
            <w:noWrap w:val="0"/>
            <w:vAlign w:val="center"/>
          </w:tcPr>
          <w:p>
            <w:pPr>
              <w:spacing w:line="440" w:lineRule="exact"/>
              <w:jc w:val="right"/>
              <w:rPr>
                <w:rFonts w:hint="eastAsia" w:ascii="宋体" w:hAnsi="宋体" w:cs="宋体"/>
                <w:bCs/>
                <w:sz w:val="24"/>
                <w:highlight w:val="none"/>
              </w:rPr>
            </w:pPr>
            <w:r>
              <w:rPr>
                <w:rFonts w:hint="eastAsia" w:ascii="宋体" w:hAnsi="宋体" w:cs="宋体"/>
                <w:bCs/>
                <w:sz w:val="24"/>
                <w:highlight w:val="none"/>
              </w:rPr>
              <w:t>会游泳，熟悉水性</w:t>
            </w: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河道保洁人员</w:t>
            </w:r>
          </w:p>
        </w:tc>
        <w:tc>
          <w:tcPr>
            <w:tcW w:w="1439"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lang w:val="en-US" w:eastAsia="zh-CN"/>
              </w:rPr>
              <w:t>12</w:t>
            </w:r>
            <w:r>
              <w:rPr>
                <w:rFonts w:hint="eastAsia" w:ascii="宋体" w:hAnsi="宋体" w:cs="宋体"/>
                <w:bCs/>
                <w:sz w:val="24"/>
                <w:highlight w:val="none"/>
              </w:rPr>
              <w:t>名</w:t>
            </w:r>
          </w:p>
        </w:tc>
        <w:tc>
          <w:tcPr>
            <w:tcW w:w="2071" w:type="dxa"/>
            <w:noWrap w:val="0"/>
            <w:vAlign w:val="center"/>
          </w:tcPr>
          <w:p>
            <w:pPr>
              <w:spacing w:line="440" w:lineRule="exact"/>
              <w:jc w:val="right"/>
              <w:rPr>
                <w:rFonts w:hint="eastAsia" w:ascii="宋体" w:hAnsi="宋体" w:cs="宋体"/>
                <w:bCs/>
                <w:sz w:val="24"/>
                <w:highlight w:val="none"/>
              </w:rPr>
            </w:pPr>
            <w:r>
              <w:rPr>
                <w:rFonts w:hint="eastAsia" w:ascii="宋体" w:hAnsi="宋体" w:cs="宋体"/>
                <w:bCs/>
                <w:sz w:val="24"/>
                <w:highlight w:val="none"/>
              </w:rPr>
              <w:t>会游泳，熟悉水性</w:t>
            </w: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3" w:type="dxa"/>
            <w:noWrap w:val="0"/>
            <w:vAlign w:val="center"/>
          </w:tcPr>
          <w:p>
            <w:pPr>
              <w:spacing w:line="440" w:lineRule="exact"/>
              <w:jc w:val="center"/>
              <w:rPr>
                <w:rFonts w:hint="eastAsia" w:ascii="宋体" w:hAnsi="宋体" w:cs="宋体"/>
                <w:bCs/>
                <w:sz w:val="24"/>
                <w:highlight w:val="none"/>
              </w:rPr>
            </w:pPr>
            <w:r>
              <w:rPr>
                <w:rFonts w:hint="eastAsia" w:ascii="宋体" w:hAnsi="宋体" w:cs="宋体"/>
                <w:color w:val="auto"/>
                <w:sz w:val="24"/>
                <w:szCs w:val="22"/>
                <w:highlight w:val="none"/>
              </w:rPr>
              <w:t>绿化养护员</w:t>
            </w:r>
          </w:p>
        </w:tc>
        <w:tc>
          <w:tcPr>
            <w:tcW w:w="1439" w:type="dxa"/>
            <w:noWrap w:val="0"/>
            <w:vAlign w:val="center"/>
          </w:tcPr>
          <w:p>
            <w:pPr>
              <w:spacing w:line="440" w:lineRule="exact"/>
              <w:jc w:val="center"/>
              <w:rPr>
                <w:rFonts w:hint="default" w:ascii="宋体" w:hAnsi="宋体" w:cs="宋体"/>
                <w:bCs/>
                <w:sz w:val="24"/>
                <w:highlight w:val="none"/>
                <w:lang w:val="en-US" w:eastAsia="zh-CN"/>
              </w:rPr>
            </w:pPr>
            <w:r>
              <w:rPr>
                <w:rFonts w:hint="eastAsia" w:ascii="宋体" w:hAnsi="宋体" w:cs="宋体"/>
                <w:bCs/>
                <w:sz w:val="24"/>
                <w:highlight w:val="none"/>
                <w:lang w:val="en-US" w:eastAsia="zh-CN"/>
              </w:rPr>
              <w:t>126人</w:t>
            </w:r>
          </w:p>
        </w:tc>
        <w:tc>
          <w:tcPr>
            <w:tcW w:w="2071" w:type="dxa"/>
            <w:noWrap w:val="0"/>
            <w:vAlign w:val="center"/>
          </w:tcPr>
          <w:p>
            <w:pPr>
              <w:spacing w:line="440" w:lineRule="exact"/>
              <w:jc w:val="right"/>
              <w:rPr>
                <w:rFonts w:hint="eastAsia" w:ascii="宋体" w:hAnsi="宋体" w:cs="宋体"/>
                <w:bCs/>
                <w:sz w:val="24"/>
                <w:highlight w:val="none"/>
              </w:rPr>
            </w:pPr>
          </w:p>
        </w:tc>
        <w:tc>
          <w:tcPr>
            <w:tcW w:w="2950" w:type="dxa"/>
            <w:noWrap w:val="0"/>
            <w:vAlign w:val="center"/>
          </w:tcPr>
          <w:p>
            <w:pPr>
              <w:spacing w:line="440" w:lineRule="exact"/>
              <w:jc w:val="center"/>
              <w:rPr>
                <w:rFonts w:hint="eastAsia" w:ascii="宋体" w:hAnsi="宋体" w:cs="宋体"/>
                <w:bCs/>
                <w:sz w:val="24"/>
                <w:highlight w:val="none"/>
              </w:rPr>
            </w:pPr>
            <w:r>
              <w:rPr>
                <w:rFonts w:hint="eastAsia" w:asciiTheme="majorEastAsia" w:hAnsiTheme="majorEastAsia" w:eastAsiaTheme="majorEastAsia" w:cstheme="majorEastAsia"/>
                <w:color w:val="auto"/>
                <w:sz w:val="24"/>
                <w:szCs w:val="22"/>
                <w:highlight w:val="none"/>
                <w:lang w:val="en-US" w:eastAsia="zh-CN"/>
              </w:rPr>
              <w:t>男性年龄在60周岁以下</w:t>
            </w:r>
            <w:r>
              <w:rPr>
                <w:rFonts w:hint="eastAsia" w:asciiTheme="majorEastAsia" w:hAnsiTheme="majorEastAsia" w:eastAsiaTheme="majorEastAsia" w:cstheme="majorEastAsia"/>
                <w:color w:val="auto"/>
                <w:sz w:val="24"/>
                <w:szCs w:val="22"/>
                <w:highlight w:val="none"/>
                <w:lang w:val="zh-CN" w:eastAsia="zh-CN"/>
              </w:rPr>
              <w:t>，女性年龄在55周岁以下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3" w:type="dxa"/>
            <w:gridSpan w:val="4"/>
            <w:noWrap w:val="0"/>
            <w:vAlign w:val="center"/>
          </w:tcPr>
          <w:p>
            <w:pPr>
              <w:spacing w:line="440" w:lineRule="exact"/>
              <w:jc w:val="center"/>
              <w:rPr>
                <w:rFonts w:hint="eastAsia" w:ascii="宋体" w:hAnsi="宋体" w:cs="宋体"/>
                <w:bCs/>
                <w:sz w:val="24"/>
                <w:highlight w:val="none"/>
              </w:rPr>
            </w:pPr>
            <w:r>
              <w:rPr>
                <w:rFonts w:hint="eastAsia" w:ascii="宋体" w:hAnsi="宋体" w:cs="宋体"/>
                <w:bCs/>
                <w:sz w:val="24"/>
                <w:highlight w:val="none"/>
              </w:rPr>
              <w:t>遇有重大活动或雪灾、水灾等抗灾活动必须再增加应急工人不少于5人</w:t>
            </w:r>
          </w:p>
          <w:p>
            <w:pPr>
              <w:spacing w:line="440" w:lineRule="exact"/>
              <w:jc w:val="center"/>
              <w:rPr>
                <w:rFonts w:hint="eastAsia" w:ascii="宋体" w:hAnsi="宋体" w:cs="宋体"/>
                <w:bCs/>
                <w:sz w:val="24"/>
                <w:highlight w:val="none"/>
              </w:rPr>
            </w:pPr>
            <w:r>
              <w:rPr>
                <w:rFonts w:hint="eastAsia" w:ascii="宋体" w:hAnsi="宋体" w:cs="宋体"/>
                <w:bCs/>
                <w:sz w:val="24"/>
                <w:highlight w:val="none"/>
              </w:rPr>
              <w:t>（无需常驻，应急临时聘用）</w:t>
            </w:r>
          </w:p>
        </w:tc>
      </w:tr>
    </w:tbl>
    <w:p>
      <w:pPr>
        <w:pStyle w:val="82"/>
        <w:numPr>
          <w:ilvl w:val="0"/>
          <w:numId w:val="0"/>
        </w:numPr>
        <w:ind w:firstLine="480" w:firstLineChars="200"/>
        <w:rPr>
          <w:rFonts w:hint="eastAsia" w:ascii="华文仿宋" w:hAnsi="华文仿宋" w:eastAsia="华文仿宋" w:cs="宋体"/>
          <w:b/>
          <w:sz w:val="24"/>
          <w:highlight w:val="none"/>
        </w:rPr>
      </w:pPr>
    </w:p>
    <w:p>
      <w:pPr>
        <w:pStyle w:val="82"/>
        <w:numPr>
          <w:ilvl w:val="0"/>
          <w:numId w:val="0"/>
        </w:numPr>
        <w:ind w:firstLine="482" w:firstLineChars="200"/>
        <w:rPr>
          <w:rFonts w:hint="eastAsia"/>
          <w:highlight w:val="none"/>
          <w:lang w:val="en-US" w:eastAsia="zh-CN"/>
        </w:rPr>
      </w:pPr>
      <w:r>
        <w:rPr>
          <w:rFonts w:hint="eastAsia" w:ascii="宋体" w:hAnsi="宋体" w:eastAsia="宋体" w:cs="宋体"/>
          <w:b/>
          <w:color w:val="auto"/>
          <w:kern w:val="0"/>
          <w:sz w:val="24"/>
          <w:szCs w:val="24"/>
          <w:highlight w:val="none"/>
          <w:lang w:val="en-US" w:eastAsia="zh-CN" w:bidi="ar-SA"/>
        </w:rPr>
        <w:t>四</w:t>
      </w:r>
      <w:r>
        <w:rPr>
          <w:rFonts w:hint="eastAsia" w:ascii="宋体" w:hAnsi="宋体" w:cs="宋体"/>
          <w:b/>
          <w:color w:val="auto"/>
          <w:kern w:val="0"/>
          <w:sz w:val="24"/>
          <w:highlight w:val="none"/>
        </w:rPr>
        <w:t>、</w:t>
      </w:r>
      <w:r>
        <w:rPr>
          <w:rFonts w:hint="eastAsia" w:ascii="宋体" w:hAnsi="宋体" w:eastAsia="宋体" w:cs="宋体"/>
          <w:b/>
          <w:color w:val="auto"/>
          <w:kern w:val="0"/>
          <w:sz w:val="24"/>
          <w:szCs w:val="24"/>
          <w:highlight w:val="none"/>
          <w:lang w:val="en-US" w:eastAsia="zh-CN" w:bidi="ar-SA"/>
        </w:rPr>
        <w:t>▲拟投入</w:t>
      </w:r>
      <w:r>
        <w:rPr>
          <w:rFonts w:hint="eastAsia" w:asciiTheme="majorEastAsia" w:hAnsiTheme="majorEastAsia" w:eastAsiaTheme="majorEastAsia" w:cstheme="majorEastAsia"/>
          <w:b/>
          <w:bCs/>
          <w:color w:val="auto"/>
          <w:sz w:val="24"/>
          <w:highlight w:val="none"/>
        </w:rPr>
        <w:t>设施配备最低要求配备表</w:t>
      </w:r>
    </w:p>
    <w:tbl>
      <w:tblPr>
        <w:tblStyle w:val="64"/>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550"/>
        <w:gridCol w:w="982"/>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设备名称</w:t>
            </w:r>
          </w:p>
        </w:tc>
        <w:tc>
          <w:tcPr>
            <w:tcW w:w="2550"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规格要求</w:t>
            </w:r>
          </w:p>
        </w:tc>
        <w:tc>
          <w:tcPr>
            <w:tcW w:w="982"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最低数量要求</w:t>
            </w:r>
          </w:p>
        </w:tc>
        <w:tc>
          <w:tcPr>
            <w:tcW w:w="2823" w:type="dxa"/>
            <w:tcBorders>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szCs w:val="24"/>
                <w:highlight w:val="none"/>
                <w:lang w:val="en-US" w:eastAsia="zh-CN"/>
              </w:rPr>
              <w:t>清洗</w:t>
            </w:r>
            <w:r>
              <w:rPr>
                <w:rFonts w:hint="eastAsia" w:ascii="宋体" w:hAnsi="宋体" w:eastAsia="宋体" w:cs="宋体"/>
                <w:color w:val="auto"/>
                <w:sz w:val="24"/>
                <w:szCs w:val="24"/>
                <w:highlight w:val="none"/>
                <w:lang w:val="en-US" w:eastAsia="zh-CN"/>
              </w:rPr>
              <w:t>车</w:t>
            </w:r>
            <w:r>
              <w:rPr>
                <w:rFonts w:hint="eastAsia" w:ascii="宋体" w:hAnsi="宋体" w:cs="宋体"/>
                <w:color w:val="auto"/>
                <w:sz w:val="24"/>
                <w:szCs w:val="24"/>
                <w:highlight w:val="none"/>
                <w:lang w:val="en-US" w:eastAsia="zh-CN"/>
              </w:rPr>
              <w:t>(洒水车)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总质量1</w:t>
            </w:r>
            <w:r>
              <w:rPr>
                <w:rFonts w:hint="eastAsia" w:cs="宋体"/>
                <w:color w:val="auto"/>
                <w:sz w:val="24"/>
                <w:highlight w:val="none"/>
                <w:lang w:val="en-US" w:eastAsia="zh-CN"/>
              </w:rPr>
              <w:t>8</w:t>
            </w:r>
            <w:r>
              <w:rPr>
                <w:rFonts w:hint="eastAsia" w:ascii="宋体" w:hAnsi="宋体" w:eastAsia="宋体" w:cs="宋体"/>
                <w:color w:val="auto"/>
                <w:sz w:val="24"/>
                <w:highlight w:val="none"/>
                <w:lang w:val="en-US" w:eastAsia="zh-CN"/>
              </w:rPr>
              <w:t>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2</w:t>
            </w:r>
            <w:r>
              <w:rPr>
                <w:rFonts w:hint="eastAsia" w:ascii="宋体" w:hAnsi="宋体" w:eastAsia="宋体" w:cs="宋体"/>
                <w:color w:val="auto"/>
                <w:sz w:val="24"/>
                <w:highlight w:val="none"/>
                <w:lang w:val="en-US" w:eastAsia="zh-CN"/>
              </w:rPr>
              <w:t>辆</w:t>
            </w:r>
          </w:p>
        </w:tc>
        <w:tc>
          <w:tcPr>
            <w:tcW w:w="2823" w:type="dxa"/>
            <w:vMerge w:val="restart"/>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（1）必须上牌的车辆在投标文件中提供车辆行驶证</w:t>
            </w:r>
            <w:r>
              <w:rPr>
                <w:rFonts w:hint="eastAsia" w:ascii="宋体" w:hAnsi="宋体" w:cs="宋体"/>
                <w:sz w:val="24"/>
                <w:szCs w:val="24"/>
                <w:highlight w:val="none"/>
                <w:vertAlign w:val="baseline"/>
                <w:lang w:eastAsia="zh-CN"/>
              </w:rPr>
              <w:t>复印件</w:t>
            </w:r>
            <w:r>
              <w:rPr>
                <w:rFonts w:hint="eastAsia" w:ascii="宋体" w:hAnsi="宋体" w:eastAsia="宋体" w:cs="宋体"/>
                <w:color w:val="auto"/>
                <w:sz w:val="24"/>
                <w:highlight w:val="none"/>
                <w:lang w:val="en-US" w:eastAsia="zh-CN"/>
              </w:rPr>
              <w:t>；否则不予认可。按国家规定无需上牌的车辆、设备，在投标文件中提供购买发票</w:t>
            </w:r>
            <w:r>
              <w:rPr>
                <w:rFonts w:hint="eastAsia" w:ascii="宋体" w:hAnsi="宋体" w:cs="宋体"/>
                <w:sz w:val="24"/>
                <w:szCs w:val="24"/>
                <w:highlight w:val="none"/>
                <w:vertAlign w:val="baseline"/>
                <w:lang w:eastAsia="zh-CN"/>
              </w:rPr>
              <w:t>复印件</w:t>
            </w:r>
            <w:r>
              <w:rPr>
                <w:rFonts w:hint="eastAsia" w:ascii="宋体" w:hAnsi="宋体" w:eastAsia="宋体" w:cs="宋体"/>
                <w:color w:val="auto"/>
                <w:sz w:val="24"/>
                <w:highlight w:val="none"/>
                <w:lang w:val="en-US" w:eastAsia="zh-CN"/>
              </w:rPr>
              <w:t>，否则不予认可。</w:t>
            </w:r>
          </w:p>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（2）提供车辆、设备仅用于本保洁项目的书面承诺书（格式自拟）。</w:t>
            </w:r>
          </w:p>
          <w:p>
            <w:pPr>
              <w:pStyle w:val="3"/>
              <w:wordWrap/>
              <w:spacing w:line="500" w:lineRule="exact"/>
              <w:ind w:left="0" w:leftChars="0"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（3）车辆、设备必须为供应商自有，包含分公司自有。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巡查车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1.5T及以上货车</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2</w:t>
            </w:r>
            <w:r>
              <w:rPr>
                <w:rFonts w:hint="eastAsia" w:ascii="宋体" w:hAnsi="宋体" w:eastAsia="宋体" w:cs="宋体"/>
                <w:color w:val="auto"/>
                <w:sz w:val="24"/>
                <w:highlight w:val="none"/>
                <w:lang w:val="en-US" w:eastAsia="zh-CN"/>
              </w:rPr>
              <w:t>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雾炮车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18吨及以上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1</w:t>
            </w:r>
            <w:r>
              <w:rPr>
                <w:rFonts w:hint="eastAsia" w:ascii="宋体" w:hAnsi="宋体" w:eastAsia="宋体" w:cs="宋体"/>
                <w:color w:val="auto"/>
                <w:sz w:val="24"/>
                <w:highlight w:val="none"/>
                <w:lang w:val="en-US" w:eastAsia="zh-CN"/>
              </w:rPr>
              <w:t>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鼓风机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清除落叶鼓风机</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6台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水泵</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小功率抽水水泵</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6台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保洁船</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480" w:firstLineChars="20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sz w:val="24"/>
                <w:szCs w:val="24"/>
                <w:highlight w:val="none"/>
                <w:vertAlign w:val="baseline"/>
              </w:rPr>
              <w:t>手划船</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default" w:ascii="宋体" w:hAnsi="宋体" w:eastAsia="宋体" w:cs="宋体"/>
                <w:color w:val="auto"/>
                <w:kern w:val="2"/>
                <w:sz w:val="24"/>
                <w:szCs w:val="28"/>
                <w:highlight w:val="none"/>
                <w:lang w:val="en-US" w:eastAsia="zh-CN" w:bidi="ar-SA"/>
              </w:rPr>
            </w:pPr>
            <w:r>
              <w:rPr>
                <w:rFonts w:hint="eastAsia" w:ascii="宋体" w:hAnsi="宋体" w:eastAsia="宋体" w:cs="宋体"/>
                <w:sz w:val="24"/>
                <w:szCs w:val="24"/>
                <w:highlight w:val="none"/>
                <w:vertAlign w:val="baseline"/>
              </w:rPr>
              <w:t>4舰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240" w:firstLineChars="1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动力船</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default" w:ascii="宋体" w:hAnsi="宋体" w:eastAsia="??" w:cs="宋体"/>
                <w:color w:val="auto"/>
                <w:kern w:val="2"/>
                <w:sz w:val="24"/>
                <w:szCs w:val="28"/>
                <w:highlight w:val="none"/>
                <w:lang w:val="en-US" w:eastAsia="zh-CN" w:bidi="ar-SA"/>
              </w:rPr>
            </w:pPr>
            <w:r>
              <w:rPr>
                <w:rFonts w:hint="eastAsia" w:eastAsia="??" w:cs="宋体"/>
                <w:color w:val="auto"/>
                <w:kern w:val="2"/>
                <w:sz w:val="24"/>
                <w:szCs w:val="28"/>
                <w:highlight w:val="none"/>
                <w:lang w:val="en-US" w:eastAsia="zh-CN" w:bidi="ar-SA"/>
              </w:rPr>
              <w:t xml:space="preserve">      /</w:t>
            </w: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宋体" w:hAnsi="宋体" w:eastAsia="??" w:cs="宋体"/>
                <w:color w:val="auto"/>
                <w:kern w:val="2"/>
                <w:sz w:val="24"/>
                <w:szCs w:val="28"/>
                <w:highlight w:val="none"/>
                <w:lang w:val="en-US" w:eastAsia="zh-CN" w:bidi="ar-SA"/>
              </w:rPr>
            </w:pPr>
            <w:r>
              <w:rPr>
                <w:rFonts w:hint="eastAsia" w:ascii="宋体" w:hAnsi="宋体" w:eastAsia="宋体" w:cs="宋体"/>
                <w:sz w:val="24"/>
                <w:szCs w:val="24"/>
                <w:highlight w:val="none"/>
                <w:vertAlign w:val="baseline"/>
                <w:lang w:val="en-US" w:eastAsia="zh-CN"/>
              </w:rPr>
              <w:t>4</w:t>
            </w:r>
            <w:r>
              <w:rPr>
                <w:rFonts w:hint="eastAsia" w:ascii="宋体" w:hAnsi="宋体" w:eastAsia="宋体" w:cs="宋体"/>
                <w:sz w:val="24"/>
                <w:szCs w:val="24"/>
                <w:highlight w:val="none"/>
                <w:vertAlign w:val="baseline"/>
              </w:rPr>
              <w:t>艘</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firstLine="570" w:firstLineChars="0"/>
              <w:jc w:val="left"/>
              <w:textAlignment w:val="auto"/>
              <w:rPr>
                <w:rFonts w:hint="eastAsia" w:ascii="宋体" w:hAnsi="宋体" w:eastAsia="宋体" w:cs="宋体"/>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防撞缓冲车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sz w:val="24"/>
                <w:szCs w:val="24"/>
                <w:highlight w:val="none"/>
                <w:vertAlign w:val="baseline"/>
              </w:rPr>
              <w:t>总质量4吨及以上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1</w:t>
            </w:r>
            <w:r>
              <w:rPr>
                <w:rFonts w:hint="eastAsia" w:ascii="宋体" w:hAnsi="宋体" w:eastAsia="宋体" w:cs="宋体"/>
                <w:color w:val="auto"/>
                <w:sz w:val="24"/>
                <w:highlight w:val="none"/>
                <w:lang w:val="en-US" w:eastAsia="zh-CN"/>
              </w:rPr>
              <w:t>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bl>
    <w:p>
      <w:pPr>
        <w:widowControl/>
        <w:numPr>
          <w:ilvl w:val="0"/>
          <w:numId w:val="0"/>
        </w:numPr>
        <w:spacing w:line="600" w:lineRule="exact"/>
        <w:rPr>
          <w:rFonts w:hint="eastAsia" w:asciiTheme="majorEastAsia" w:hAnsiTheme="majorEastAsia" w:eastAsiaTheme="majorEastAsia" w:cstheme="majorEastAsia"/>
          <w:color w:val="auto"/>
          <w:sz w:val="24"/>
          <w:highlight w:val="none"/>
          <w:lang w:val="en-US" w:eastAsia="zh-CN"/>
        </w:rPr>
      </w:pPr>
      <w:r>
        <w:rPr>
          <w:rFonts w:hint="eastAsia" w:ascii="华文仿宋" w:hAnsi="华文仿宋" w:eastAsia="华文仿宋" w:cs="宋体"/>
          <w:b/>
          <w:sz w:val="24"/>
          <w:highlight w:val="none"/>
        </w:rPr>
        <w:t>▲</w:t>
      </w:r>
      <w:r>
        <w:rPr>
          <w:rFonts w:hint="eastAsia" w:asciiTheme="majorEastAsia" w:hAnsiTheme="majorEastAsia" w:eastAsiaTheme="majorEastAsia" w:cstheme="majorEastAsia"/>
          <w:color w:val="auto"/>
          <w:sz w:val="24"/>
          <w:highlight w:val="none"/>
          <w:lang w:val="en-US" w:eastAsia="zh-CN"/>
        </w:rPr>
        <w:t>注：以上设备要求中标单位须在收到中标通知书之日起10天内自行配备到位，并在投标文件中承诺，</w:t>
      </w:r>
      <w:r>
        <w:rPr>
          <w:rFonts w:hint="eastAsia" w:asciiTheme="majorEastAsia" w:hAnsiTheme="majorEastAsia" w:eastAsiaTheme="majorEastAsia" w:cstheme="majorEastAsia"/>
          <w:color w:val="auto"/>
          <w:sz w:val="24"/>
          <w:highlight w:val="none"/>
        </w:rPr>
        <w:t>否则视为不满足</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pStyle w:val="82"/>
        <w:numPr>
          <w:ilvl w:val="0"/>
          <w:numId w:val="0"/>
        </w:numPr>
        <w:rPr>
          <w:rFonts w:hint="eastAsia"/>
          <w:highlight w:val="none"/>
          <w:lang w:val="en-US" w:eastAsia="zh-CN"/>
        </w:rPr>
      </w:pPr>
    </w:p>
    <w:p>
      <w:pPr>
        <w:wordWrap/>
        <w:spacing w:line="500" w:lineRule="exact"/>
        <w:textAlignment w:val="auto"/>
        <w:rPr>
          <w:rFonts w:hint="eastAsia" w:ascii="宋体" w:hAnsi="宋体" w:cs="宋体"/>
          <w:b/>
          <w:color w:val="auto"/>
          <w:kern w:val="0"/>
          <w:sz w:val="24"/>
          <w:highlight w:val="none"/>
        </w:rPr>
      </w:pPr>
      <w:r>
        <w:rPr>
          <w:rFonts w:hint="eastAsia" w:ascii="宋体" w:hAnsi="宋体" w:cs="宋体"/>
          <w:b/>
          <w:color w:val="auto"/>
          <w:kern w:val="0"/>
          <w:sz w:val="24"/>
          <w:highlight w:val="none"/>
          <w:lang w:eastAsia="zh-CN"/>
        </w:rPr>
        <w:t>五</w:t>
      </w:r>
      <w:r>
        <w:rPr>
          <w:rFonts w:hint="eastAsia" w:ascii="宋体" w:hAnsi="宋体" w:cs="宋体"/>
          <w:b/>
          <w:color w:val="auto"/>
          <w:kern w:val="0"/>
          <w:sz w:val="24"/>
          <w:highlight w:val="none"/>
        </w:rPr>
        <w:t>、承包期限：</w:t>
      </w:r>
      <w:r>
        <w:rPr>
          <w:rFonts w:hint="eastAsia" w:ascii="宋体" w:hAnsi="宋体" w:eastAsia="宋体" w:cs="宋体"/>
          <w:snapToGrid w:val="0"/>
          <w:color w:val="auto"/>
          <w:kern w:val="0"/>
          <w:sz w:val="24"/>
          <w:highlight w:val="none"/>
        </w:rPr>
        <w:t>自合同签订日起贰</w:t>
      </w:r>
      <w:r>
        <w:rPr>
          <w:rFonts w:hint="eastAsia" w:ascii="宋体" w:hAnsi="宋体" w:eastAsia="宋体" w:cs="宋体"/>
          <w:snapToGrid w:val="0"/>
          <w:color w:val="auto"/>
          <w:kern w:val="0"/>
          <w:sz w:val="24"/>
          <w:highlight w:val="none"/>
          <w:lang w:eastAsia="zh-CN"/>
        </w:rPr>
        <w:t>年。</w:t>
      </w:r>
    </w:p>
    <w:p>
      <w:pPr>
        <w:wordWrap/>
        <w:spacing w:line="500" w:lineRule="exact"/>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val="en-US" w:eastAsia="zh-CN"/>
        </w:rPr>
        <w:t>1、</w:t>
      </w:r>
      <w:r>
        <w:rPr>
          <w:rFonts w:hint="eastAsia" w:ascii="宋体" w:hAnsi="宋体" w:eastAsia="宋体" w:cs="宋体"/>
          <w:snapToGrid w:val="0"/>
          <w:color w:val="auto"/>
          <w:kern w:val="0"/>
          <w:sz w:val="24"/>
          <w:highlight w:val="none"/>
        </w:rPr>
        <w:t>若在合同期内乙方有严重违约行为，甲方有权提前终止合同，由此造成的一切后果和损失由乙方承担。</w:t>
      </w:r>
    </w:p>
    <w:p>
      <w:pPr>
        <w:wordWrap/>
        <w:spacing w:line="500" w:lineRule="exact"/>
        <w:textAlignment w:val="auto"/>
        <w:rPr>
          <w:rFonts w:hint="default"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lang w:eastAsia="zh-CN"/>
        </w:rPr>
        <w:t>本项目不得分包或者转包，一旦发现分包或转包现象，</w:t>
      </w:r>
      <w:r>
        <w:rPr>
          <w:rFonts w:hint="eastAsia" w:ascii="宋体" w:hAnsi="宋体" w:eastAsia="宋体" w:cs="宋体"/>
          <w:snapToGrid w:val="0"/>
          <w:color w:val="auto"/>
          <w:kern w:val="0"/>
          <w:sz w:val="24"/>
          <w:highlight w:val="none"/>
        </w:rPr>
        <w:t>甲方有权提前终止合同，由此造成的一切后果和损失由乙方承担。</w:t>
      </w:r>
    </w:p>
    <w:p>
      <w:pPr>
        <w:pStyle w:val="3"/>
        <w:adjustRightInd w:val="0"/>
        <w:spacing w:line="480" w:lineRule="exact"/>
        <w:ind w:left="0" w:leftChars="0" w:firstLine="0" w:firstLineChars="0"/>
        <w:rPr>
          <w:rFonts w:hint="eastAsia" w:eastAsia="宋体" w:cs="宋体"/>
          <w:b/>
          <w:color w:val="auto"/>
          <w:kern w:val="0"/>
          <w:highlight w:val="none"/>
          <w:lang w:val="en-US" w:eastAsia="zh-CN"/>
        </w:rPr>
      </w:pPr>
      <w:r>
        <w:rPr>
          <w:rFonts w:hint="eastAsia" w:cs="宋体"/>
          <w:b/>
          <w:color w:val="auto"/>
          <w:kern w:val="0"/>
          <w:highlight w:val="none"/>
          <w:lang w:val="en-US" w:eastAsia="zh-CN"/>
        </w:rPr>
        <w:t>六</w:t>
      </w:r>
      <w:r>
        <w:rPr>
          <w:rFonts w:hint="eastAsia" w:eastAsia="宋体" w:cs="宋体"/>
          <w:b/>
          <w:color w:val="auto"/>
          <w:kern w:val="0"/>
          <w:highlight w:val="none"/>
          <w:lang w:val="en-US" w:eastAsia="zh-CN"/>
        </w:rPr>
        <w:t>、检查考核办法及奖惩制度</w:t>
      </w:r>
    </w:p>
    <w:p>
      <w:pPr>
        <w:adjustRightInd w:val="0"/>
        <w:snapToGrid w:val="0"/>
        <w:spacing w:line="360" w:lineRule="auto"/>
        <w:ind w:firstLine="482"/>
        <w:rPr>
          <w:rFonts w:hint="eastAsia" w:ascii="宋体" w:hAnsi="宋体" w:eastAsia="宋体" w:cs="宋体"/>
          <w:b/>
          <w:color w:val="auto"/>
          <w:kern w:val="0"/>
          <w:sz w:val="24"/>
          <w:szCs w:val="24"/>
          <w:highlight w:val="none"/>
        </w:rPr>
      </w:pPr>
    </w:p>
    <w:p>
      <w:pPr>
        <w:adjustRightInd w:val="0"/>
        <w:snapToGrid w:val="0"/>
        <w:spacing w:line="360" w:lineRule="auto"/>
        <w:ind w:firstLine="482"/>
        <w:rPr>
          <w:rFonts w:hint="eastAsia" w:asciiTheme="majorEastAsia" w:hAnsiTheme="majorEastAsia" w:eastAsiaTheme="majorEastAsia" w:cstheme="majorEastAsia"/>
          <w:color w:val="000000"/>
          <w:sz w:val="24"/>
          <w:highlight w:val="none"/>
        </w:rPr>
      </w:pP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val="en-US" w:eastAsia="zh-CN"/>
        </w:rPr>
        <w:t>1</w:t>
      </w: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color w:val="000000"/>
          <w:sz w:val="24"/>
          <w:highlight w:val="none"/>
        </w:rPr>
        <w:t>采购单位将定期和不定期地对供应商管理服务进行检查和抽查，检查记录和整改时限反馈供应商，并将每</w:t>
      </w:r>
      <w:r>
        <w:rPr>
          <w:rFonts w:hint="eastAsia" w:asciiTheme="majorEastAsia" w:hAnsiTheme="majorEastAsia" w:eastAsiaTheme="majorEastAsia" w:cstheme="majorEastAsia"/>
          <w:color w:val="000000"/>
          <w:sz w:val="24"/>
          <w:highlight w:val="none"/>
          <w:lang w:eastAsia="zh-CN"/>
        </w:rPr>
        <w:t>月</w:t>
      </w:r>
      <w:r>
        <w:rPr>
          <w:rFonts w:hint="eastAsia" w:asciiTheme="majorEastAsia" w:hAnsiTheme="majorEastAsia" w:eastAsiaTheme="majorEastAsia" w:cstheme="majorEastAsia"/>
          <w:color w:val="000000"/>
          <w:sz w:val="24"/>
          <w:highlight w:val="none"/>
        </w:rPr>
        <w:t>考核结果进行反馈。服务方达不到采购单位要求及各项服务承诺，根据附件1、附件2的考核细则进行处罚，并且采购单位有权要求其整改，直至扣款或终止合同。</w:t>
      </w:r>
    </w:p>
    <w:p>
      <w:pPr>
        <w:tabs>
          <w:tab w:val="left" w:pos="8400"/>
        </w:tabs>
        <w:spacing w:line="440" w:lineRule="exact"/>
        <w:ind w:firstLine="472" w:firstLineChars="196"/>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val="en-US" w:eastAsia="zh-CN"/>
        </w:rPr>
        <w:t>2</w:t>
      </w:r>
      <w:r>
        <w:rPr>
          <w:rFonts w:hint="eastAsia" w:asciiTheme="majorEastAsia" w:hAnsiTheme="majorEastAsia" w:eastAsiaTheme="majorEastAsia" w:cstheme="majorEastAsia"/>
          <w:b/>
          <w:color w:val="auto"/>
          <w:kern w:val="0"/>
          <w:sz w:val="24"/>
          <w:szCs w:val="24"/>
          <w:highlight w:val="none"/>
        </w:rPr>
        <w:t>）</w:t>
      </w:r>
      <w:r>
        <w:rPr>
          <w:rFonts w:hint="eastAsia" w:asciiTheme="majorEastAsia" w:hAnsiTheme="majorEastAsia" w:eastAsiaTheme="majorEastAsia" w:cstheme="majorEastAsia"/>
          <w:b/>
          <w:color w:val="auto"/>
          <w:kern w:val="0"/>
          <w:sz w:val="24"/>
          <w:szCs w:val="24"/>
          <w:highlight w:val="none"/>
          <w:lang w:eastAsia="zh-CN"/>
        </w:rPr>
        <w:t>处罚</w:t>
      </w:r>
      <w:r>
        <w:rPr>
          <w:rFonts w:hint="eastAsia" w:asciiTheme="majorEastAsia" w:hAnsiTheme="majorEastAsia" w:eastAsiaTheme="majorEastAsia" w:cstheme="majorEastAsia"/>
          <w:b/>
          <w:color w:val="auto"/>
          <w:kern w:val="0"/>
          <w:sz w:val="24"/>
          <w:szCs w:val="24"/>
          <w:highlight w:val="none"/>
        </w:rPr>
        <w:t>措施</w:t>
      </w:r>
      <w:r>
        <w:rPr>
          <w:rFonts w:hint="eastAsia" w:asciiTheme="majorEastAsia" w:hAnsiTheme="majorEastAsia" w:eastAsiaTheme="majorEastAsia" w:cstheme="majorEastAsia"/>
          <w:b/>
          <w:color w:val="auto"/>
          <w:kern w:val="0"/>
          <w:sz w:val="24"/>
          <w:szCs w:val="24"/>
          <w:highlight w:val="none"/>
          <w:lang w:eastAsia="zh-CN"/>
        </w:rPr>
        <w:t>：</w:t>
      </w:r>
      <w:r>
        <w:rPr>
          <w:rFonts w:hint="eastAsia" w:asciiTheme="majorEastAsia" w:hAnsiTheme="majorEastAsia" w:eastAsiaTheme="majorEastAsia" w:cstheme="majorEastAsia"/>
          <w:color w:val="auto"/>
          <w:sz w:val="24"/>
          <w:highlight w:val="none"/>
        </w:rPr>
        <w:t>月度考核成绩得分在9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分（含）以上的，全额支付当月</w:t>
      </w:r>
      <w:r>
        <w:rPr>
          <w:rFonts w:hint="eastAsia" w:asciiTheme="majorEastAsia" w:hAnsiTheme="majorEastAsia" w:eastAsiaTheme="majorEastAsia" w:cstheme="majorEastAsia"/>
          <w:color w:val="auto"/>
          <w:sz w:val="24"/>
          <w:highlight w:val="none"/>
          <w:lang w:eastAsia="zh-CN"/>
        </w:rPr>
        <w:t>河道保</w:t>
      </w:r>
      <w:r>
        <w:rPr>
          <w:rFonts w:hint="eastAsia" w:asciiTheme="majorEastAsia" w:hAnsiTheme="majorEastAsia" w:eastAsiaTheme="majorEastAsia" w:cstheme="majorEastAsia"/>
          <w:color w:val="auto"/>
          <w:sz w:val="24"/>
          <w:highlight w:val="none"/>
        </w:rPr>
        <w:t>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经费；月度考核得分在9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分—9</w:t>
      </w:r>
      <w:r>
        <w:rPr>
          <w:rFonts w:hint="eastAsia" w:asciiTheme="majorEastAsia" w:hAnsiTheme="majorEastAsia" w:eastAsiaTheme="majorEastAsia" w:cstheme="majorEastAsia"/>
          <w:color w:val="auto"/>
          <w:sz w:val="24"/>
          <w:highlight w:val="none"/>
          <w:lang w:val="en-US" w:eastAsia="zh-CN"/>
        </w:rPr>
        <w:t>0</w:t>
      </w:r>
      <w:r>
        <w:rPr>
          <w:rFonts w:hint="eastAsia" w:asciiTheme="majorEastAsia" w:hAnsiTheme="majorEastAsia" w:eastAsiaTheme="majorEastAsia" w:cstheme="majorEastAsia"/>
          <w:color w:val="auto"/>
          <w:sz w:val="24"/>
          <w:highlight w:val="none"/>
        </w:rPr>
        <w:t>分（含）的，9</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rPr>
        <w:t>分以下每扣0.1分扣除当月</w:t>
      </w:r>
      <w:r>
        <w:rPr>
          <w:rFonts w:hint="eastAsia" w:asciiTheme="majorEastAsia" w:hAnsiTheme="majorEastAsia" w:eastAsiaTheme="majorEastAsia" w:cstheme="majorEastAsia"/>
          <w:color w:val="auto"/>
          <w:sz w:val="24"/>
          <w:highlight w:val="none"/>
          <w:lang w:eastAsia="zh-CN"/>
        </w:rPr>
        <w:t>河道保</w:t>
      </w:r>
      <w:r>
        <w:rPr>
          <w:rFonts w:hint="eastAsia" w:asciiTheme="majorEastAsia" w:hAnsiTheme="majorEastAsia" w:eastAsiaTheme="majorEastAsia" w:cstheme="majorEastAsia"/>
          <w:color w:val="auto"/>
          <w:sz w:val="24"/>
          <w:highlight w:val="none"/>
        </w:rPr>
        <w:t>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经费总额的0.1%，以此类推；月度考核得分90分以下的，除按上述标准扣除外，再加扣90分以下每失0.1分扣除当月</w:t>
      </w:r>
      <w:r>
        <w:rPr>
          <w:rFonts w:hint="eastAsia" w:asciiTheme="majorEastAsia" w:hAnsiTheme="majorEastAsia" w:eastAsiaTheme="majorEastAsia" w:cstheme="majorEastAsia"/>
          <w:color w:val="auto"/>
          <w:sz w:val="24"/>
          <w:highlight w:val="none"/>
          <w:lang w:eastAsia="zh-CN"/>
        </w:rPr>
        <w:t>河道保</w:t>
      </w:r>
      <w:r>
        <w:rPr>
          <w:rFonts w:hint="eastAsia" w:asciiTheme="majorEastAsia" w:hAnsiTheme="majorEastAsia" w:eastAsiaTheme="majorEastAsia" w:cstheme="majorEastAsia"/>
          <w:color w:val="auto"/>
          <w:sz w:val="24"/>
          <w:highlight w:val="none"/>
        </w:rPr>
        <w:t>洁</w:t>
      </w:r>
      <w:r>
        <w:rPr>
          <w:rFonts w:hint="eastAsia" w:asciiTheme="majorEastAsia" w:hAnsiTheme="majorEastAsia" w:eastAsiaTheme="majorEastAsia" w:cstheme="majorEastAsia"/>
          <w:color w:val="auto"/>
          <w:sz w:val="24"/>
          <w:highlight w:val="none"/>
          <w:lang w:val="en-US" w:eastAsia="zh-CN"/>
        </w:rPr>
        <w:t>及绿化养护</w:t>
      </w:r>
      <w:r>
        <w:rPr>
          <w:rFonts w:hint="eastAsia" w:asciiTheme="majorEastAsia" w:hAnsiTheme="majorEastAsia" w:eastAsiaTheme="majorEastAsia" w:cstheme="majorEastAsia"/>
          <w:color w:val="auto"/>
          <w:sz w:val="24"/>
          <w:highlight w:val="none"/>
        </w:rPr>
        <w:t>经费总额的0.2%，</w:t>
      </w:r>
      <w:r>
        <w:rPr>
          <w:rFonts w:hint="eastAsia" w:asciiTheme="majorEastAsia" w:hAnsiTheme="majorEastAsia" w:eastAsiaTheme="majorEastAsia" w:cstheme="majorEastAsia"/>
          <w:color w:val="auto"/>
          <w:sz w:val="24"/>
          <w:highlight w:val="none"/>
          <w:lang w:val="en-US" w:eastAsia="zh-CN"/>
        </w:rPr>
        <w:t>被市级考核发现的问题每项扣款2000元，被区级考核发现的问题每项扣款1000元，被街道考核发现的问题每项扣款500元（上述扣款如低于合同扣款标准的以合同扣款标准为准）</w:t>
      </w:r>
      <w:r>
        <w:rPr>
          <w:rFonts w:hint="eastAsia" w:asciiTheme="majorEastAsia" w:hAnsiTheme="majorEastAsia" w:eastAsiaTheme="majorEastAsia" w:cstheme="majorEastAsia"/>
          <w:color w:val="auto"/>
          <w:sz w:val="24"/>
          <w:highlight w:val="none"/>
        </w:rPr>
        <w:t>以此类推。</w:t>
      </w:r>
      <w:r>
        <w:rPr>
          <w:rFonts w:hint="eastAsia" w:asciiTheme="majorEastAsia" w:hAnsiTheme="majorEastAsia" w:eastAsiaTheme="majorEastAsia" w:cstheme="majorEastAsia"/>
          <w:color w:val="auto"/>
          <w:kern w:val="0"/>
          <w:sz w:val="24"/>
          <w:highlight w:val="none"/>
          <w:lang w:eastAsia="zh-CN"/>
        </w:rPr>
        <w:t>除此之外：</w:t>
      </w:r>
      <w:r>
        <w:rPr>
          <w:rFonts w:hint="eastAsia" w:asciiTheme="majorEastAsia" w:hAnsiTheme="majorEastAsia" w:eastAsiaTheme="majorEastAsia" w:cstheme="majorEastAsia"/>
          <w:color w:val="auto"/>
          <w:kern w:val="0"/>
          <w:sz w:val="24"/>
          <w:highlight w:val="none"/>
          <w:lang w:val="en-US" w:eastAsia="zh-CN"/>
        </w:rPr>
        <w:t>1、在“数字城管”存在返工案卷、延期未整改案卷的每件扣款500元，在街道复核中存在未整改问题的每件扣款500元，在市、区“城市环境长效管理”工作复核中出现复核不通过，造成街道扣分的按市级每件扣款5000元、区级每件扣款1500元。2、因日常养护不到位，被“公众号”“曝光台”曝光的每件扣款2000元，被主流媒体曝光，造成社会恶劣影响的每件扣款5000元。3、</w:t>
      </w:r>
      <w:r>
        <w:rPr>
          <w:rFonts w:hint="eastAsia" w:asciiTheme="majorEastAsia" w:hAnsiTheme="majorEastAsia" w:eastAsiaTheme="majorEastAsia" w:cstheme="majorEastAsia"/>
          <w:color w:val="auto"/>
          <w:kern w:val="0"/>
          <w:sz w:val="24"/>
          <w:highlight w:val="none"/>
          <w:lang w:eastAsia="zh-CN"/>
        </w:rPr>
        <w:t>因</w:t>
      </w:r>
      <w:r>
        <w:rPr>
          <w:rFonts w:hint="eastAsia" w:asciiTheme="majorEastAsia" w:hAnsiTheme="majorEastAsia" w:eastAsiaTheme="majorEastAsia" w:cstheme="majorEastAsia"/>
          <w:color w:val="auto"/>
          <w:kern w:val="0"/>
          <w:sz w:val="24"/>
          <w:highlight w:val="none"/>
          <w:lang w:val="en-US" w:eastAsia="zh-CN"/>
        </w:rPr>
        <w:t>被上级部门评比为最不清洁河道的每条扣款1万元。</w:t>
      </w:r>
    </w:p>
    <w:p>
      <w:pPr>
        <w:jc w:val="both"/>
        <w:rPr>
          <w:rFonts w:hint="default" w:ascii="宋体" w:hAnsi="宋体"/>
          <w:b/>
          <w:bCs/>
          <w:color w:val="auto"/>
          <w:sz w:val="24"/>
          <w:highlight w:val="none"/>
          <w:lang w:val="en-US" w:eastAsia="zh-CN"/>
        </w:rPr>
      </w:pPr>
    </w:p>
    <w:p>
      <w:pPr>
        <w:spacing w:line="360" w:lineRule="auto"/>
        <w:rPr>
          <w:rFonts w:hint="eastAsia" w:ascii="宋体" w:hAnsi="宋体"/>
          <w:b/>
          <w:bCs/>
          <w:color w:val="auto"/>
          <w:sz w:val="24"/>
          <w:highlight w:val="none"/>
          <w:lang w:val="en-US" w:eastAsia="zh-CN"/>
        </w:rPr>
      </w:pPr>
    </w:p>
    <w:p>
      <w:pPr>
        <w:spacing w:line="360" w:lineRule="auto"/>
        <w:rPr>
          <w:rFonts w:hint="eastAsia" w:ascii="宋体" w:hAnsi="宋体"/>
          <w:b/>
          <w:bCs/>
          <w:color w:val="auto"/>
          <w:sz w:val="24"/>
          <w:highlight w:val="none"/>
          <w:lang w:val="en-US" w:eastAsia="zh-CN"/>
        </w:rPr>
      </w:pPr>
    </w:p>
    <w:p>
      <w:pPr>
        <w:spacing w:line="360" w:lineRule="auto"/>
        <w:jc w:val="center"/>
        <w:rPr>
          <w:rFonts w:hint="eastAsia" w:ascii="宋体" w:hAnsi="宋体" w:cs="宋体"/>
          <w:sz w:val="36"/>
          <w:szCs w:val="36"/>
          <w:highlight w:val="none"/>
        </w:rPr>
      </w:pPr>
      <w:r>
        <w:rPr>
          <w:rFonts w:hint="eastAsia" w:ascii="宋体" w:hAnsi="宋体" w:eastAsia="宋体" w:cs="宋体"/>
          <w:sz w:val="36"/>
          <w:szCs w:val="36"/>
          <w:highlight w:val="none"/>
        </w:rPr>
        <w:t>附件1、河道管理</w:t>
      </w:r>
      <w:r>
        <w:rPr>
          <w:rFonts w:hint="eastAsia" w:ascii="宋体" w:hAnsi="宋体" w:cs="宋体"/>
          <w:sz w:val="36"/>
          <w:szCs w:val="36"/>
          <w:highlight w:val="none"/>
        </w:rPr>
        <w:t>考核评分细则</w:t>
      </w:r>
    </w:p>
    <w:tbl>
      <w:tblPr>
        <w:tblStyle w:val="64"/>
        <w:tblpPr w:leftFromText="180" w:rightFromText="180" w:vertAnchor="text" w:horzAnchor="page" w:tblpX="1453" w:tblpY="3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6"/>
        <w:gridCol w:w="1264"/>
        <w:gridCol w:w="498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818" w:type="dxa"/>
            <w:gridSpan w:val="2"/>
            <w:noWrap w:val="0"/>
            <w:vAlign w:val="top"/>
          </w:tcPr>
          <w:p>
            <w:pPr>
              <w:spacing w:line="240" w:lineRule="atLeast"/>
              <w:jc w:val="center"/>
              <w:rPr>
                <w:rFonts w:hint="eastAsia" w:ascii="宋体" w:hAnsi="宋体" w:cs="宋体"/>
                <w:b/>
                <w:sz w:val="24"/>
                <w:highlight w:val="none"/>
              </w:rPr>
            </w:pPr>
            <w:r>
              <w:rPr>
                <w:rFonts w:hint="eastAsia" w:ascii="宋体" w:hAnsi="宋体" w:cs="宋体"/>
                <w:b/>
                <w:sz w:val="24"/>
                <w:highlight w:val="none"/>
              </w:rPr>
              <w:t>序号</w:t>
            </w:r>
          </w:p>
        </w:tc>
        <w:tc>
          <w:tcPr>
            <w:tcW w:w="1264" w:type="dxa"/>
            <w:tcBorders>
              <w:right w:val="single" w:color="auto" w:sz="4" w:space="0"/>
            </w:tcBorders>
            <w:noWrap w:val="0"/>
            <w:vAlign w:val="top"/>
          </w:tcPr>
          <w:p>
            <w:pPr>
              <w:spacing w:line="240" w:lineRule="atLeast"/>
              <w:jc w:val="center"/>
              <w:rPr>
                <w:rFonts w:hint="eastAsia" w:ascii="宋体" w:hAnsi="宋体" w:cs="宋体"/>
                <w:b/>
                <w:sz w:val="24"/>
                <w:highlight w:val="none"/>
              </w:rPr>
            </w:pPr>
            <w:r>
              <w:rPr>
                <w:rFonts w:hint="eastAsia" w:ascii="宋体" w:hAnsi="宋体" w:cs="宋体"/>
                <w:b/>
                <w:sz w:val="24"/>
                <w:highlight w:val="none"/>
              </w:rPr>
              <w:t>考核项目</w:t>
            </w:r>
          </w:p>
        </w:tc>
        <w:tc>
          <w:tcPr>
            <w:tcW w:w="4981" w:type="dxa"/>
            <w:tcBorders>
              <w:top w:val="single" w:color="auto" w:sz="4" w:space="0"/>
              <w:left w:val="single" w:color="auto" w:sz="4" w:space="0"/>
              <w:bottom w:val="single" w:color="auto" w:sz="4" w:space="0"/>
              <w:right w:val="single" w:color="auto" w:sz="4" w:space="0"/>
            </w:tcBorders>
            <w:noWrap w:val="0"/>
            <w:vAlign w:val="top"/>
          </w:tcPr>
          <w:p>
            <w:pPr>
              <w:tabs>
                <w:tab w:val="center" w:pos="4153"/>
                <w:tab w:val="right" w:pos="8306"/>
              </w:tabs>
              <w:snapToGrid w:val="0"/>
              <w:spacing w:line="0" w:lineRule="atLeast"/>
              <w:jc w:val="center"/>
              <w:rPr>
                <w:rFonts w:hint="eastAsia" w:ascii="宋体" w:hAnsi="宋体" w:cs="宋体"/>
                <w:b/>
                <w:sz w:val="24"/>
                <w:highlight w:val="none"/>
              </w:rPr>
            </w:pPr>
            <w:r>
              <w:rPr>
                <w:rFonts w:hint="eastAsia" w:ascii="宋体" w:hAnsi="宋体" w:cs="宋体"/>
                <w:b/>
                <w:sz w:val="24"/>
                <w:highlight w:val="none"/>
              </w:rPr>
              <w:t>评分标准</w:t>
            </w:r>
          </w:p>
        </w:tc>
        <w:tc>
          <w:tcPr>
            <w:tcW w:w="1710" w:type="dxa"/>
            <w:tcBorders>
              <w:top w:val="single" w:color="auto" w:sz="4" w:space="0"/>
              <w:left w:val="single" w:color="auto" w:sz="4" w:space="0"/>
              <w:bottom w:val="single" w:color="auto" w:sz="4" w:space="0"/>
              <w:right w:val="single" w:color="auto" w:sz="4" w:space="0"/>
            </w:tcBorders>
            <w:noWrap w:val="0"/>
            <w:vAlign w:val="top"/>
          </w:tcPr>
          <w:p>
            <w:pPr>
              <w:tabs>
                <w:tab w:val="center" w:pos="4153"/>
                <w:tab w:val="right" w:pos="8306"/>
              </w:tabs>
              <w:snapToGrid w:val="0"/>
              <w:spacing w:line="0" w:lineRule="atLeast"/>
              <w:jc w:val="center"/>
              <w:rPr>
                <w:rFonts w:hint="eastAsia" w:ascii="宋体" w:hAnsi="宋体" w:cs="宋体"/>
                <w:b/>
                <w:sz w:val="24"/>
                <w:highlight w:val="none"/>
              </w:rPr>
            </w:pPr>
            <w:r>
              <w:rPr>
                <w:rFonts w:hint="eastAsia" w:ascii="宋体" w:hAnsi="宋体" w:cs="宋体"/>
                <w:b/>
                <w:sz w:val="24"/>
                <w:highlight w:val="none"/>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12"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1</w:t>
            </w:r>
          </w:p>
        </w:tc>
        <w:tc>
          <w:tcPr>
            <w:tcW w:w="1270"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督查检查（10）</w:t>
            </w:r>
          </w:p>
        </w:tc>
        <w:tc>
          <w:tcPr>
            <w:tcW w:w="4981" w:type="dxa"/>
            <w:noWrap w:val="0"/>
            <w:vAlign w:val="top"/>
          </w:tcPr>
          <w:p>
            <w:pPr>
              <w:spacing w:line="280" w:lineRule="exact"/>
              <w:rPr>
                <w:rFonts w:hint="eastAsia" w:ascii="宋体" w:hAnsi="宋体" w:cs="宋体"/>
                <w:sz w:val="24"/>
                <w:highlight w:val="none"/>
              </w:rPr>
            </w:pPr>
            <w:r>
              <w:rPr>
                <w:rFonts w:hint="eastAsia" w:ascii="宋体" w:hAnsi="宋体" w:cs="宋体"/>
                <w:sz w:val="24"/>
                <w:highlight w:val="none"/>
              </w:rPr>
              <w:t>各类监管、督查抄告问题及时整改并回复，整改到位。抄告问题整改逾时的，每件扣2分，无故整改不到位，2次抄告，每件扣5分；抄告问题未整改未回复的，每件扣5分，2次抄告仍未整改未回复的，扣10分。（以上情况累计扣分）</w:t>
            </w:r>
          </w:p>
        </w:tc>
        <w:tc>
          <w:tcPr>
            <w:tcW w:w="1710" w:type="dxa"/>
            <w:noWrap w:val="0"/>
            <w:vAlign w:val="top"/>
          </w:tcPr>
          <w:p>
            <w:pPr>
              <w:spacing w:line="28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12"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2</w:t>
            </w:r>
          </w:p>
        </w:tc>
        <w:tc>
          <w:tcPr>
            <w:tcW w:w="1270"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养护巡检、河道违章（20）</w:t>
            </w:r>
          </w:p>
        </w:tc>
        <w:tc>
          <w:tcPr>
            <w:tcW w:w="4981" w:type="dxa"/>
            <w:noWrap w:val="0"/>
            <w:vAlign w:val="top"/>
          </w:tcPr>
          <w:p>
            <w:pPr>
              <w:spacing w:line="280" w:lineRule="exact"/>
              <w:rPr>
                <w:rFonts w:hint="eastAsia" w:ascii="宋体" w:hAnsi="宋体" w:cs="宋体"/>
                <w:sz w:val="24"/>
                <w:highlight w:val="none"/>
              </w:rPr>
            </w:pPr>
            <w:r>
              <w:rPr>
                <w:rFonts w:hint="eastAsia" w:ascii="宋体" w:hAnsi="宋体" w:cs="宋体"/>
                <w:sz w:val="24"/>
                <w:highlight w:val="none"/>
              </w:rPr>
              <w:t>按照“一类河道每天全线巡查2次、二类河道每天全线巡查1次、三类河道每2天全线巡查1次、未整治河道每周全线巡查1次”要求落实河道巡检记录。巡检频次不达标的，每发现一次扣2分；每个巡查周期的巡查轨迹未覆盖河道全线的，每发现1次扣2分；河道排污口未及时上报的，每次扣3分；河道重大问题（驳坎坍塌、人员伤亡、水体黑臭、大量污染入河、大量鱼类浮头或死亡、严重安全隐患等）未第一时间发现、第一时间报告的每件扣10分；未经城市河道审批建设施工，在建施工项目擅自向河道排放工地泥浆水，在建工地或者企业未经城市河道审批擅自取水，未及时上报的，每处扣3分；河道内网鱼，每处扣2分；发现多处网鱼的，扣5分；河道内电鱼，每处扣3分；发现多处电鱼的，扣6分；河道内洗涤，每处扣1分；发现多处洗涤的，扣4分；。</w:t>
            </w:r>
          </w:p>
        </w:tc>
        <w:tc>
          <w:tcPr>
            <w:tcW w:w="1710" w:type="dxa"/>
            <w:noWrap w:val="0"/>
            <w:vAlign w:val="top"/>
          </w:tcPr>
          <w:p>
            <w:pPr>
              <w:tabs>
                <w:tab w:val="center" w:pos="4153"/>
                <w:tab w:val="right" w:pos="8306"/>
              </w:tabs>
              <w:snapToGrid w:val="0"/>
              <w:spacing w:line="280" w:lineRule="exact"/>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12"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3</w:t>
            </w:r>
          </w:p>
        </w:tc>
        <w:tc>
          <w:tcPr>
            <w:tcW w:w="1270"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rPr>
                <w:rFonts w:hint="eastAsia" w:ascii="宋体" w:hAnsi="宋体" w:cs="宋体"/>
                <w:sz w:val="24"/>
                <w:highlight w:val="none"/>
              </w:rPr>
            </w:pPr>
          </w:p>
          <w:p>
            <w:pPr>
              <w:rPr>
                <w:rFonts w:hint="eastAsia" w:ascii="宋体" w:hAnsi="宋体" w:cs="宋体"/>
                <w:sz w:val="24"/>
                <w:highlight w:val="none"/>
              </w:rPr>
            </w:pPr>
            <w:r>
              <w:rPr>
                <w:rFonts w:hint="eastAsia" w:ascii="宋体" w:hAnsi="宋体" w:cs="宋体"/>
                <w:sz w:val="24"/>
                <w:highlight w:val="none"/>
              </w:rPr>
              <w:t>河面保洁(50分）</w:t>
            </w:r>
          </w:p>
        </w:tc>
        <w:tc>
          <w:tcPr>
            <w:tcW w:w="4981" w:type="dxa"/>
            <w:noWrap w:val="0"/>
            <w:vAlign w:val="top"/>
          </w:tcPr>
          <w:p>
            <w:pPr>
              <w:rPr>
                <w:rFonts w:hint="eastAsia" w:ascii="宋体" w:hAnsi="宋体" w:cs="宋体"/>
                <w:sz w:val="24"/>
                <w:highlight w:val="none"/>
              </w:rPr>
            </w:pPr>
            <w:r>
              <w:rPr>
                <w:rFonts w:hint="eastAsia" w:ascii="宋体" w:hAnsi="宋体" w:cs="宋体"/>
                <w:sz w:val="24"/>
                <w:highlight w:val="none"/>
              </w:rPr>
              <w:t>河面零星漂浮物，每处扣1分；河面青苔，每处扣1分；河面浮萍，每处扣1分；河面零星死鱼，每处扣1分。河面水草、阻水物超过1平方米每处扣3分；出现影响行洪的障碍物，每处扣10分；整个河面布满水草、垃圾，每处扣20分；河面出现大面积死鱼，每处扣5分。</w:t>
            </w:r>
          </w:p>
        </w:tc>
        <w:tc>
          <w:tcPr>
            <w:tcW w:w="1710" w:type="dxa"/>
            <w:noWrap w:val="0"/>
            <w:vAlign w:val="top"/>
          </w:tcPr>
          <w:p>
            <w:pP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2"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4</w:t>
            </w:r>
          </w:p>
        </w:tc>
        <w:tc>
          <w:tcPr>
            <w:tcW w:w="1270"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水生植物（10）</w:t>
            </w:r>
          </w:p>
        </w:tc>
        <w:tc>
          <w:tcPr>
            <w:tcW w:w="4981" w:type="dxa"/>
            <w:noWrap w:val="0"/>
            <w:vAlign w:val="top"/>
          </w:tcPr>
          <w:p>
            <w:pPr>
              <w:rPr>
                <w:rFonts w:hint="eastAsia" w:ascii="宋体" w:hAnsi="宋体" w:cs="宋体"/>
                <w:sz w:val="24"/>
                <w:highlight w:val="none"/>
              </w:rPr>
            </w:pPr>
            <w:r>
              <w:rPr>
                <w:rFonts w:hint="eastAsia" w:ascii="宋体" w:hAnsi="宋体" w:cs="宋体"/>
                <w:sz w:val="24"/>
                <w:highlight w:val="none"/>
              </w:rPr>
              <w:t>生态浮岛有垃圾，每处扣1分；生态浮岛植物缺失，每处扣1分；植物枯萎，每处扣1分；植物杂草，每处扣1分；植物绿萍，每处扣1分；植物病虫害，扣1分。生态浮岛破损，每处扣2分；生态浮岛多处破损，扣4分；水生植物缺修剪，每处扣2分；水生植物大面积缺修剪或欠收割，扣4分；水生植物层次凌乱，每处扣2分；没有按要求完成水生植物季节性集中修剪的，每条河扣10分。</w:t>
            </w:r>
          </w:p>
        </w:tc>
        <w:tc>
          <w:tcPr>
            <w:tcW w:w="1710" w:type="dxa"/>
            <w:noWrap w:val="0"/>
            <w:vAlign w:val="top"/>
          </w:tcPr>
          <w:p>
            <w:pP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818"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5</w:t>
            </w:r>
          </w:p>
        </w:tc>
        <w:tc>
          <w:tcPr>
            <w:tcW w:w="1264"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作业规范（5）</w:t>
            </w:r>
          </w:p>
        </w:tc>
        <w:tc>
          <w:tcPr>
            <w:tcW w:w="4981" w:type="dxa"/>
            <w:noWrap w:val="0"/>
            <w:vAlign w:val="top"/>
          </w:tcPr>
          <w:p>
            <w:pPr>
              <w:spacing w:line="280" w:lineRule="exact"/>
              <w:rPr>
                <w:rFonts w:hint="eastAsia" w:ascii="宋体" w:hAnsi="宋体" w:cs="宋体"/>
                <w:sz w:val="24"/>
                <w:highlight w:val="none"/>
              </w:rPr>
            </w:pPr>
            <w:r>
              <w:rPr>
                <w:rFonts w:hint="eastAsia" w:ascii="宋体" w:hAnsi="宋体" w:cs="宋体"/>
                <w:sz w:val="24"/>
                <w:highlight w:val="none"/>
              </w:rPr>
              <w:t>遵守《杭州市城市河道养护人员作业行为规范》，确保作业人员安全、规范。河面作业人员未穿救生衣，每次扣3分；河岸用药没有按要求做好温馨提示的，每次扣3分；未穿工作服的，每次扣2分；河道作业乱拉乱接电线，每次扣3分；消防设施未定期检查，扣2分；船舶仪器仪表等损坏，每处扣3分。</w:t>
            </w:r>
          </w:p>
        </w:tc>
        <w:tc>
          <w:tcPr>
            <w:tcW w:w="1710" w:type="dxa"/>
            <w:noWrap w:val="0"/>
            <w:vAlign w:val="top"/>
          </w:tcPr>
          <w:p>
            <w:pPr>
              <w:spacing w:line="280" w:lineRule="exact"/>
              <w:rPr>
                <w:rFonts w:hint="eastAsia" w:ascii="宋体" w:hAnsi="宋体" w:cs="宋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18" w:type="dxa"/>
            <w:gridSpan w:val="2"/>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6</w:t>
            </w:r>
          </w:p>
        </w:tc>
        <w:tc>
          <w:tcPr>
            <w:tcW w:w="1264" w:type="dxa"/>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其他</w:t>
            </w:r>
          </w:p>
          <w:p>
            <w:pPr>
              <w:jc w:val="center"/>
              <w:rPr>
                <w:rFonts w:hint="eastAsia" w:ascii="宋体" w:hAnsi="宋体" w:cs="宋体"/>
                <w:sz w:val="24"/>
                <w:highlight w:val="none"/>
              </w:rPr>
            </w:pPr>
            <w:r>
              <w:rPr>
                <w:rFonts w:hint="eastAsia" w:ascii="宋体" w:hAnsi="宋体" w:cs="宋体"/>
                <w:sz w:val="24"/>
                <w:highlight w:val="none"/>
              </w:rPr>
              <w:t>（5）</w:t>
            </w:r>
          </w:p>
        </w:tc>
        <w:tc>
          <w:tcPr>
            <w:tcW w:w="4981" w:type="dxa"/>
            <w:noWrap w:val="0"/>
            <w:vAlign w:val="top"/>
          </w:tcPr>
          <w:p>
            <w:pPr>
              <w:widowControl/>
              <w:spacing w:line="280" w:lineRule="atLeast"/>
              <w:rPr>
                <w:rFonts w:hint="eastAsia" w:ascii="宋体" w:hAnsi="宋体" w:cs="宋体"/>
                <w:kern w:val="0"/>
                <w:sz w:val="24"/>
                <w:highlight w:val="none"/>
              </w:rPr>
            </w:pPr>
            <w:r>
              <w:rPr>
                <w:rFonts w:hint="eastAsia" w:ascii="宋体" w:hAnsi="宋体" w:cs="宋体"/>
                <w:kern w:val="0"/>
                <w:sz w:val="24"/>
                <w:highlight w:val="none"/>
              </w:rPr>
              <w:t>市查、区查抄告单被上级通报批评或被市、区级媒体曝光的扣3分；未</w:t>
            </w:r>
            <w:r>
              <w:rPr>
                <w:rFonts w:hint="eastAsia" w:ascii="宋体" w:hAnsi="宋体" w:cs="宋体"/>
                <w:sz w:val="24"/>
                <w:highlight w:val="none"/>
              </w:rPr>
              <w:t>及时按要求做好各项临时安排的工作</w:t>
            </w:r>
            <w:r>
              <w:rPr>
                <w:rFonts w:hint="eastAsia" w:ascii="宋体" w:hAnsi="宋体" w:cs="宋体"/>
                <w:bCs/>
                <w:kern w:val="0"/>
                <w:sz w:val="24"/>
                <w:highlight w:val="none"/>
              </w:rPr>
              <w:t>扣2分，情节严重扣5分。</w:t>
            </w:r>
            <w:r>
              <w:rPr>
                <w:rFonts w:hint="eastAsia" w:ascii="宋体" w:hAnsi="宋体" w:cs="宋体"/>
                <w:sz w:val="24"/>
                <w:highlight w:val="none"/>
              </w:rPr>
              <w:t>“城市环境大整治、城市面貌大提升”工作中，出现</w:t>
            </w:r>
            <w:r>
              <w:rPr>
                <w:rFonts w:hint="eastAsia" w:ascii="宋体" w:hAnsi="宋体" w:cs="宋体"/>
                <w:kern w:val="0"/>
                <w:sz w:val="24"/>
                <w:highlight w:val="none"/>
              </w:rPr>
              <w:t>A类问题每次扣1分，B类问题每次扣2分，C类问题每次扣3分</w:t>
            </w:r>
          </w:p>
        </w:tc>
        <w:tc>
          <w:tcPr>
            <w:tcW w:w="1710" w:type="dxa"/>
            <w:noWrap w:val="0"/>
            <w:vAlign w:val="top"/>
          </w:tcPr>
          <w:p>
            <w:pPr>
              <w:rPr>
                <w:rFonts w:hint="eastAsia" w:ascii="宋体" w:hAnsi="宋体" w:cs="宋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18" w:type="dxa"/>
            <w:gridSpan w:val="2"/>
            <w:tcBorders>
              <w:bottom w:val="single" w:color="auto" w:sz="4" w:space="0"/>
            </w:tcBorders>
            <w:noWrap w:val="0"/>
            <w:vAlign w:val="top"/>
          </w:tcPr>
          <w:p>
            <w:pPr>
              <w:jc w:val="center"/>
              <w:rPr>
                <w:rFonts w:hint="eastAsia" w:ascii="宋体" w:hAnsi="宋体" w:cs="宋体"/>
                <w:sz w:val="24"/>
                <w:highlight w:val="none"/>
              </w:rPr>
            </w:pPr>
          </w:p>
          <w:p>
            <w:pPr>
              <w:jc w:val="center"/>
              <w:rPr>
                <w:rFonts w:hint="eastAsia" w:ascii="宋体" w:hAnsi="宋体" w:cs="宋体"/>
                <w:sz w:val="24"/>
                <w:highlight w:val="none"/>
              </w:rPr>
            </w:pPr>
            <w:r>
              <w:rPr>
                <w:rFonts w:hint="eastAsia" w:ascii="宋体" w:hAnsi="宋体" w:cs="宋体"/>
                <w:sz w:val="24"/>
                <w:highlight w:val="none"/>
              </w:rPr>
              <w:t>注</w:t>
            </w:r>
          </w:p>
        </w:tc>
        <w:tc>
          <w:tcPr>
            <w:tcW w:w="7955" w:type="dxa"/>
            <w:gridSpan w:val="3"/>
            <w:tcBorders>
              <w:bottom w:val="single" w:color="auto" w:sz="4" w:space="0"/>
            </w:tcBorders>
            <w:noWrap w:val="0"/>
            <w:vAlign w:val="top"/>
          </w:tcPr>
          <w:p>
            <w:pPr>
              <w:adjustRightInd w:val="0"/>
              <w:snapToGrid w:val="0"/>
              <w:spacing w:line="240" w:lineRule="atLeast"/>
              <w:rPr>
                <w:rFonts w:hint="eastAsia" w:ascii="宋体" w:hAnsi="宋体" w:cs="宋体"/>
                <w:bCs/>
                <w:kern w:val="0"/>
                <w:sz w:val="24"/>
                <w:highlight w:val="none"/>
              </w:rPr>
            </w:pPr>
            <w:r>
              <w:rPr>
                <w:rFonts w:hint="eastAsia" w:ascii="宋体" w:hAnsi="宋体" w:cs="宋体"/>
                <w:sz w:val="24"/>
                <w:highlight w:val="none"/>
              </w:rPr>
              <w:t>1.未尽事宜，当月可视情况酌情加、扣1-5分;</w:t>
            </w:r>
          </w:p>
        </w:tc>
      </w:tr>
    </w:tbl>
    <w:p>
      <w:pPr>
        <w:pStyle w:val="82"/>
        <w:rPr>
          <w:rFonts w:hint="eastAsia" w:cs="宋体"/>
          <w:highlight w:val="none"/>
        </w:rPr>
      </w:pPr>
    </w:p>
    <w:p>
      <w:pPr>
        <w:pStyle w:val="6"/>
        <w:tabs>
          <w:tab w:val="left" w:pos="1110"/>
          <w:tab w:val="clear" w:pos="432"/>
        </w:tabs>
        <w:jc w:val="center"/>
        <w:rPr>
          <w:rFonts w:hint="eastAsia" w:ascii="仿宋_GB2312" w:hAnsi="宋体" w:eastAsia="宋体" w:cs="宋体"/>
          <w:b/>
          <w:bCs/>
          <w:color w:val="auto"/>
          <w:kern w:val="0"/>
          <w:sz w:val="30"/>
          <w:szCs w:val="30"/>
          <w:highlight w:val="none"/>
          <w:lang w:val="en-US" w:eastAsia="zh-CN" w:bidi="ar-SA"/>
        </w:rPr>
      </w:pPr>
    </w:p>
    <w:p>
      <w:pPr>
        <w:pStyle w:val="6"/>
        <w:tabs>
          <w:tab w:val="left" w:pos="1110"/>
          <w:tab w:val="clear" w:pos="432"/>
        </w:tabs>
        <w:jc w:val="center"/>
        <w:rPr>
          <w:rFonts w:hint="eastAsia" w:ascii="仿宋_GB2312" w:hAnsi="宋体" w:eastAsia="宋体" w:cs="宋体"/>
          <w:b/>
          <w:bCs/>
          <w:color w:val="auto"/>
          <w:kern w:val="0"/>
          <w:sz w:val="30"/>
          <w:szCs w:val="30"/>
          <w:highlight w:val="none"/>
          <w:lang w:val="en-US" w:eastAsia="zh-CN" w:bidi="ar-SA"/>
        </w:rPr>
      </w:pPr>
      <w:r>
        <w:rPr>
          <w:rFonts w:hint="eastAsia" w:ascii="仿宋_GB2312" w:hAnsi="宋体" w:eastAsia="宋体" w:cs="宋体"/>
          <w:b/>
          <w:bCs/>
          <w:color w:val="auto"/>
          <w:kern w:val="0"/>
          <w:sz w:val="30"/>
          <w:szCs w:val="30"/>
          <w:highlight w:val="none"/>
          <w:lang w:val="en-US" w:eastAsia="zh-CN" w:bidi="ar-SA"/>
        </w:rPr>
        <w:t>附件</w:t>
      </w:r>
      <w:r>
        <w:rPr>
          <w:rFonts w:hint="eastAsia" w:hAnsi="宋体" w:eastAsia="宋体" w:cs="宋体"/>
          <w:b/>
          <w:bCs/>
          <w:color w:val="auto"/>
          <w:kern w:val="0"/>
          <w:sz w:val="30"/>
          <w:szCs w:val="30"/>
          <w:highlight w:val="none"/>
          <w:lang w:val="en-US" w:eastAsia="zh-CN" w:bidi="ar-SA"/>
        </w:rPr>
        <w:t>2</w:t>
      </w:r>
      <w:r>
        <w:rPr>
          <w:rFonts w:hint="eastAsia" w:ascii="仿宋_GB2312" w:hAnsi="宋体" w:eastAsia="宋体" w:cs="宋体"/>
          <w:b/>
          <w:bCs/>
          <w:color w:val="auto"/>
          <w:kern w:val="0"/>
          <w:sz w:val="30"/>
          <w:szCs w:val="30"/>
          <w:highlight w:val="none"/>
          <w:lang w:val="en-US" w:eastAsia="zh-CN" w:bidi="ar-SA"/>
        </w:rPr>
        <w:t>、园林绿化养护管理考核评分细则</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highlight w:val="none"/>
              </w:rPr>
            </w:pPr>
            <w:r>
              <w:rPr>
                <w:rFonts w:hint="eastAsia" w:ascii="仿宋_GB2312" w:eastAsia="仿宋_GB2312" w:cs="宋体"/>
                <w:b/>
                <w:kern w:val="0"/>
                <w:sz w:val="21"/>
                <w:szCs w:val="21"/>
                <w:highlight w:val="none"/>
              </w:rPr>
              <w:t>考核</w:t>
            </w:r>
          </w:p>
          <w:p>
            <w:pPr>
              <w:spacing w:line="320" w:lineRule="exact"/>
              <w:jc w:val="center"/>
              <w:rPr>
                <w:rFonts w:ascii="仿宋_GB2312" w:eastAsia="仿宋_GB2312" w:cs="宋体"/>
                <w:b/>
                <w:kern w:val="0"/>
                <w:sz w:val="21"/>
                <w:szCs w:val="21"/>
                <w:highlight w:val="none"/>
              </w:rPr>
            </w:pPr>
            <w:r>
              <w:rPr>
                <w:rFonts w:hint="eastAsia" w:ascii="仿宋_GB2312" w:eastAsia="仿宋_GB2312" w:cs="宋体"/>
                <w:b/>
                <w:kern w:val="0"/>
                <w:sz w:val="21"/>
                <w:szCs w:val="21"/>
                <w:highlight w:val="none"/>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cs="宋体"/>
                <w:b/>
                <w:kern w:val="0"/>
                <w:sz w:val="21"/>
                <w:szCs w:val="21"/>
                <w:highlight w:val="none"/>
              </w:rPr>
            </w:pPr>
            <w:r>
              <w:rPr>
                <w:rFonts w:hint="eastAsia" w:ascii="仿宋_GB2312" w:eastAsia="仿宋_GB2312" w:cs="宋体"/>
                <w:b/>
                <w:kern w:val="0"/>
                <w:sz w:val="21"/>
                <w:szCs w:val="21"/>
                <w:highlight w:val="none"/>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highlight w:val="none"/>
              </w:rPr>
            </w:pPr>
            <w:r>
              <w:rPr>
                <w:rFonts w:hint="eastAsia" w:ascii="仿宋_GB2312" w:eastAsia="仿宋_GB2312" w:cs="宋体"/>
                <w:b/>
                <w:kern w:val="0"/>
                <w:sz w:val="21"/>
                <w:szCs w:val="21"/>
                <w:highlight w:val="none"/>
              </w:rPr>
              <w:t>考核</w:t>
            </w:r>
          </w:p>
          <w:p>
            <w:pPr>
              <w:spacing w:line="320" w:lineRule="exact"/>
              <w:jc w:val="center"/>
              <w:rPr>
                <w:rFonts w:ascii="仿宋_GB2312" w:eastAsia="仿宋_GB2312" w:cs="宋体"/>
                <w:b/>
                <w:kern w:val="0"/>
                <w:sz w:val="21"/>
                <w:szCs w:val="21"/>
                <w:highlight w:val="none"/>
              </w:rPr>
            </w:pPr>
            <w:r>
              <w:rPr>
                <w:rFonts w:hint="eastAsia" w:ascii="仿宋_GB2312" w:eastAsia="仿宋_GB2312" w:cs="宋体"/>
                <w:b/>
                <w:kern w:val="0"/>
                <w:sz w:val="21"/>
                <w:szCs w:val="21"/>
                <w:highlight w:val="none"/>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植</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物</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基</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本</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养</w:t>
            </w:r>
          </w:p>
          <w:p>
            <w:pPr>
              <w:spacing w:line="400" w:lineRule="exact"/>
              <w:jc w:val="center"/>
              <w:rPr>
                <w:rFonts w:hint="eastAsia" w:ascii="仿宋_GB2312" w:eastAsia="仿宋_GB2312" w:cs="宋体"/>
                <w:strike/>
                <w:kern w:val="0"/>
                <w:sz w:val="21"/>
                <w:szCs w:val="21"/>
                <w:highlight w:val="none"/>
              </w:rPr>
            </w:pPr>
            <w:r>
              <w:rPr>
                <w:rFonts w:hint="eastAsia" w:ascii="仿宋_GB2312" w:eastAsia="仿宋_GB2312" w:cs="宋体"/>
                <w:kern w:val="0"/>
                <w:sz w:val="21"/>
                <w:szCs w:val="21"/>
                <w:highlight w:val="none"/>
              </w:rPr>
              <w:t>护</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行道树和乔木死株、缺株，每处扣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w:t>
            </w:r>
            <w:r>
              <w:rPr>
                <w:rFonts w:hint="eastAsia" w:ascii="仿宋_GB2312" w:cs="宋体"/>
                <w:kern w:val="0"/>
                <w:sz w:val="21"/>
                <w:szCs w:val="21"/>
                <w:highlight w:val="none"/>
                <w:lang w:val="en-US" w:eastAsia="zh-CN"/>
              </w:rPr>
              <w:t>3</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cs="宋体"/>
                <w:kern w:val="0"/>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行道树和乔木支撑不规范、支撑架倒塌、断桩、坏桩、树木倾斜严重，每处扣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行道树和乔木病虫枝、枯枝、伤损枝、徒长枝超过养护标准的，未疏枝、树皮开裂、孔洞未及时填补，每处扣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分；修剪不规范造成树木严重受损的，每处扣</w:t>
            </w:r>
            <w:r>
              <w:rPr>
                <w:rFonts w:hint="eastAsia" w:ascii="仿宋_GB2312" w:eastAsia="仿宋_GB2312" w:cs="宋体"/>
                <w:kern w:val="0"/>
                <w:sz w:val="21"/>
                <w:szCs w:val="21"/>
                <w:highlight w:val="none"/>
                <w:lang w:val="en-US" w:eastAsia="zh-CN"/>
              </w:rPr>
              <w:t>1</w:t>
            </w:r>
            <w:r>
              <w:rPr>
                <w:rFonts w:hint="eastAsia" w:ascii="仿宋_GB2312" w:eastAsia="仿宋_GB2312" w:cs="宋体"/>
                <w:kern w:val="0"/>
                <w:sz w:val="21"/>
                <w:szCs w:val="21"/>
                <w:highlight w:val="none"/>
              </w:rPr>
              <w:t>分，沿线出现严重修剪问题每次扣</w:t>
            </w:r>
            <w:r>
              <w:rPr>
                <w:rFonts w:hint="eastAsia" w:ascii="仿宋_GB2312" w:eastAsia="仿宋_GB2312" w:cs="宋体"/>
                <w:kern w:val="0"/>
                <w:sz w:val="21"/>
                <w:szCs w:val="21"/>
                <w:highlight w:val="none"/>
                <w:lang w:val="en-US" w:eastAsia="zh-CN"/>
              </w:rPr>
              <w:t>2</w:t>
            </w:r>
            <w:r>
              <w:rPr>
                <w:rFonts w:hint="eastAsia" w:ascii="仿宋_GB2312" w:eastAsia="仿宋_GB2312" w:cs="宋体"/>
                <w:kern w:val="0"/>
                <w:sz w:val="21"/>
                <w:szCs w:val="21"/>
                <w:highlight w:val="none"/>
              </w:rPr>
              <w:t>-</w:t>
            </w:r>
            <w:r>
              <w:rPr>
                <w:rFonts w:hint="eastAsia" w:ascii="仿宋_GB2312" w:cs="宋体"/>
                <w:kern w:val="0"/>
                <w:sz w:val="21"/>
                <w:szCs w:val="21"/>
                <w:highlight w:val="none"/>
                <w:lang w:val="en-US" w:eastAsia="zh-CN"/>
              </w:rPr>
              <w:t>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行道树和乔木长势不佳、偏冠严重、无冠幅，每处扣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分；树木长势较弱，黄叶、焦叶、落叶株数较多，每处扣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树穴土壤高于侧石、板结、填充物缺失，每处扣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分；0.5平方米以内树穴裸露扣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分，超出0.5平方米每处扣</w:t>
            </w:r>
            <w:r>
              <w:rPr>
                <w:rFonts w:hint="eastAsia" w:ascii="仿宋_GB2312" w:cs="宋体"/>
                <w:kern w:val="0"/>
                <w:sz w:val="21"/>
                <w:szCs w:val="21"/>
                <w:highlight w:val="none"/>
                <w:lang w:val="en-US" w:eastAsia="zh-CN"/>
              </w:rPr>
              <w:t>2</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lang w:val="en-US" w:eastAsia="zh-CN"/>
              </w:rPr>
            </w:pPr>
            <w:r>
              <w:rPr>
                <w:rFonts w:hint="eastAsia" w:ascii="仿宋_GB2312" w:eastAsia="仿宋_GB2312"/>
                <w:spacing w:val="-8"/>
                <w:sz w:val="21"/>
                <w:szCs w:val="21"/>
                <w:highlight w:val="none"/>
                <w:lang w:val="en-US" w:eastAsia="zh-CN"/>
              </w:rPr>
              <w:t xml:space="preserve">  </w:t>
            </w: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绿篱和灌木出现死株、缺株、混种、小道、杂株返祖的、绿植倒伏，每处</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分；0.5平方米以内黄土裸露每处扣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分，超出0.5平方米每处扣</w:t>
            </w:r>
            <w:r>
              <w:rPr>
                <w:rFonts w:hint="eastAsia" w:ascii="仿宋_GB2312" w:eastAsia="仿宋_GB2312" w:cs="宋体"/>
                <w:kern w:val="0"/>
                <w:sz w:val="21"/>
                <w:szCs w:val="21"/>
                <w:highlight w:val="none"/>
                <w:lang w:val="en-US" w:eastAsia="zh-CN"/>
              </w:rPr>
              <w:t>1.5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绿篱和灌木修剪不规范、不平整、窜条、高度影响交通视线的，每处扣2分。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草坪高度超出养护标准、草坪边缘不清淅、草坪空秃、草坪覆盖率低的，每处扣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分，0.5平方米以内黄土裸露的，每处扣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分，超出0.5平方米每处扣</w:t>
            </w:r>
            <w:r>
              <w:rPr>
                <w:rFonts w:hint="eastAsia" w:ascii="仿宋_GB2312" w:eastAsia="仿宋_GB2312" w:cs="宋体"/>
                <w:kern w:val="0"/>
                <w:sz w:val="21"/>
                <w:szCs w:val="21"/>
                <w:highlight w:val="none"/>
                <w:lang w:val="en-US" w:eastAsia="zh-CN"/>
              </w:rPr>
              <w:t>1.5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绿地内杂草超过养护标准的，每处扣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r>
              <w:rPr>
                <w:rFonts w:ascii="仿宋_GB2312" w:eastAsia="仿宋_GB2312" w:cs="宋体"/>
                <w:kern w:val="0"/>
                <w:sz w:val="21"/>
                <w:szCs w:val="21"/>
                <w:highlight w:val="none"/>
              </w:rPr>
              <w:t xml:space="preserve"> </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花坛花箱内时花缺株、倒伏、枯枝残花、杂草垃圾等每处扣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绿化补种不规范、以及绿地养护出现其他问题的每处扣</w:t>
            </w:r>
            <w:r>
              <w:rPr>
                <w:rFonts w:hint="eastAsia" w:ascii="仿宋_GB2312" w:cs="宋体"/>
                <w:kern w:val="0"/>
                <w:sz w:val="21"/>
                <w:szCs w:val="21"/>
                <w:highlight w:val="none"/>
                <w:lang w:val="en-US" w:eastAsia="zh-CN"/>
              </w:rPr>
              <w:t>1</w:t>
            </w:r>
            <w:r>
              <w:rPr>
                <w:rFonts w:hint="eastAsia" w:ascii="仿宋_GB2312" w:eastAsia="仿宋_GB2312" w:cs="宋体"/>
                <w:kern w:val="0"/>
                <w:sz w:val="21"/>
                <w:szCs w:val="21"/>
                <w:highlight w:val="none"/>
              </w:rPr>
              <w:t>分;管养区域内绿地失管每处扣</w:t>
            </w:r>
            <w:r>
              <w:rPr>
                <w:rFonts w:hint="eastAsia" w:ascii="仿宋_GB2312" w:eastAsia="仿宋_GB2312" w:cs="宋体"/>
                <w:kern w:val="0"/>
                <w:sz w:val="21"/>
                <w:szCs w:val="21"/>
                <w:highlight w:val="none"/>
                <w:lang w:val="en-US" w:eastAsia="zh-CN"/>
              </w:rPr>
              <w:t>3</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病</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虫</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害</w:t>
            </w:r>
          </w:p>
          <w:p>
            <w:pPr>
              <w:spacing w:line="40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防</w:t>
            </w:r>
          </w:p>
          <w:p>
            <w:pPr>
              <w:spacing w:line="400" w:lineRule="exact"/>
              <w:jc w:val="center"/>
              <w:rPr>
                <w:rFonts w:hint="eastAsia" w:ascii="仿宋" w:hAnsi="仿宋" w:eastAsia="仿宋" w:cs="仿宋"/>
                <w:kern w:val="0"/>
                <w:sz w:val="21"/>
                <w:szCs w:val="21"/>
                <w:highlight w:val="none"/>
              </w:rPr>
            </w:pPr>
            <w:r>
              <w:rPr>
                <w:rFonts w:hint="eastAsia" w:ascii="仿宋_GB2312" w:eastAsia="仿宋_GB2312" w:cs="宋体"/>
                <w:kern w:val="0"/>
                <w:sz w:val="21"/>
                <w:szCs w:val="21"/>
                <w:highlight w:val="none"/>
              </w:rPr>
              <w:t>治</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highlight w:val="none"/>
              </w:rPr>
            </w:pPr>
            <w:r>
              <w:rPr>
                <w:rFonts w:hint="eastAsia" w:ascii="仿宋_GB2312" w:eastAsia="仿宋_GB2312" w:cs="宋体"/>
                <w:kern w:val="0"/>
                <w:sz w:val="21"/>
                <w:szCs w:val="21"/>
                <w:highlight w:val="none"/>
              </w:rPr>
              <w:t>发生病虫害每处扣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r>
              <w:rPr>
                <w:rFonts w:hint="eastAsia" w:ascii="仿宋_GB2312" w:eastAsia="仿宋_GB2312" w:cs="宋体"/>
                <w:b/>
                <w:bCs/>
                <w:kern w:val="0"/>
                <w:sz w:val="21"/>
                <w:szCs w:val="21"/>
                <w:highlight w:val="none"/>
              </w:rPr>
              <w:t>，</w:t>
            </w:r>
            <w:r>
              <w:rPr>
                <w:rFonts w:hint="eastAsia" w:ascii="仿宋_GB2312" w:eastAsia="仿宋_GB2312" w:cs="宋体"/>
                <w:kern w:val="0"/>
                <w:sz w:val="21"/>
                <w:szCs w:val="21"/>
                <w:highlight w:val="none"/>
              </w:rPr>
              <w:t>大面积爆发扣</w:t>
            </w:r>
            <w:r>
              <w:rPr>
                <w:rFonts w:hint="eastAsia" w:ascii="仿宋_GB2312" w:eastAsia="仿宋_GB2312" w:cs="宋体"/>
                <w:kern w:val="0"/>
                <w:sz w:val="21"/>
                <w:szCs w:val="21"/>
                <w:highlight w:val="none"/>
                <w:lang w:val="en-US" w:eastAsia="zh-CN"/>
              </w:rPr>
              <w:t>3</w:t>
            </w:r>
            <w:r>
              <w:rPr>
                <w:rFonts w:hint="eastAsia" w:ascii="仿宋_GB2312" w:eastAsia="仿宋_GB2312" w:cs="宋体"/>
                <w:kern w:val="0"/>
                <w:sz w:val="21"/>
                <w:szCs w:val="21"/>
                <w:highlight w:val="none"/>
              </w:rPr>
              <w:t>分</w:t>
            </w:r>
            <w:r>
              <w:rPr>
                <w:rFonts w:hint="eastAsia" w:ascii="仿宋_GB2312" w:eastAsia="仿宋_GB2312" w:cs="宋体"/>
                <w:b/>
                <w:bCs/>
                <w:kern w:val="0"/>
                <w:sz w:val="21"/>
                <w:szCs w:val="21"/>
                <w:highlight w:val="none"/>
              </w:rPr>
              <w:t>。</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highlight w:val="none"/>
              </w:rPr>
            </w:pPr>
            <w:r>
              <w:rPr>
                <w:rFonts w:hint="eastAsia" w:ascii="仿宋_GB2312" w:eastAsia="仿宋_GB2312" w:cs="宋体"/>
                <w:kern w:val="0"/>
                <w:sz w:val="21"/>
                <w:szCs w:val="21"/>
                <w:highlight w:val="none"/>
              </w:rPr>
              <w:t>发现病虫害未及时进行防治措施的每处扣</w:t>
            </w:r>
            <w:r>
              <w:rPr>
                <w:rFonts w:hint="eastAsia" w:ascii="仿宋_GB2312" w:eastAsia="仿宋_GB2312" w:cs="宋体"/>
                <w:kern w:val="0"/>
                <w:sz w:val="21"/>
                <w:szCs w:val="21"/>
                <w:highlight w:val="none"/>
                <w:lang w:val="en-US" w:eastAsia="zh-CN"/>
              </w:rPr>
              <w:t>1</w:t>
            </w:r>
            <w:r>
              <w:rPr>
                <w:rFonts w:hint="eastAsia" w:ascii="仿宋_GB2312" w:eastAsia="仿宋_GB2312" w:cs="宋体"/>
                <w:kern w:val="0"/>
                <w:sz w:val="21"/>
                <w:szCs w:val="21"/>
                <w:highlight w:val="none"/>
              </w:rPr>
              <w:t>分。病虫害防治措施不到位的每处扣</w:t>
            </w:r>
            <w:r>
              <w:rPr>
                <w:rFonts w:hint="eastAsia" w:ascii="仿宋_GB2312" w:eastAsia="仿宋_GB2312" w:cs="宋体"/>
                <w:kern w:val="0"/>
                <w:sz w:val="21"/>
                <w:szCs w:val="21"/>
                <w:highlight w:val="none"/>
                <w:lang w:val="en-US" w:eastAsia="zh-CN"/>
              </w:rPr>
              <w:t>1</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highlight w:val="none"/>
              </w:rPr>
            </w:pPr>
            <w:r>
              <w:rPr>
                <w:rFonts w:hint="eastAsia" w:ascii="仿宋_GB2312" w:eastAsia="仿宋_GB2312" w:cs="宋体"/>
                <w:kern w:val="0"/>
                <w:sz w:val="21"/>
                <w:szCs w:val="21"/>
                <w:highlight w:val="none"/>
              </w:rPr>
              <w:t>食叶性害虫危害树木，每处扣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kern w:val="0"/>
                <w:sz w:val="21"/>
                <w:szCs w:val="21"/>
                <w:highlight w:val="none"/>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highlight w:val="none"/>
              </w:rPr>
            </w:pPr>
            <w:r>
              <w:rPr>
                <w:rFonts w:hint="eastAsia" w:ascii="仿宋_GB2312" w:eastAsia="仿宋_GB2312" w:cs="宋体"/>
                <w:kern w:val="0"/>
                <w:sz w:val="21"/>
                <w:szCs w:val="21"/>
                <w:highlight w:val="none"/>
              </w:rPr>
              <w:t>发现活蛀虫和活卵，每处扣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highlight w:val="none"/>
              </w:rPr>
            </w:pPr>
          </w:p>
          <w:p>
            <w:pPr>
              <w:spacing w:line="42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绿化</w:t>
            </w:r>
          </w:p>
          <w:p>
            <w:pPr>
              <w:spacing w:line="420" w:lineRule="exact"/>
              <w:jc w:val="center"/>
              <w:rPr>
                <w:rFonts w:hint="eastAsia" w:ascii="仿宋_GB2312" w:eastAsia="仿宋_GB2312" w:cs="宋体"/>
                <w:strike/>
                <w:kern w:val="0"/>
                <w:sz w:val="21"/>
                <w:szCs w:val="21"/>
                <w:highlight w:val="none"/>
              </w:rPr>
            </w:pPr>
            <w:r>
              <w:rPr>
                <w:rFonts w:hint="eastAsia" w:ascii="仿宋_GB2312" w:eastAsia="仿宋_GB2312" w:cs="宋体"/>
                <w:kern w:val="0"/>
                <w:sz w:val="21"/>
                <w:szCs w:val="21"/>
                <w:highlight w:val="none"/>
              </w:rPr>
              <w:t>设施</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花箱、花坛、树穴破损、缺失扣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分，其他设施缺失扣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公园及绿地内果壳箱有污迹、破损，箱内垃圾未日产日清的，每处扣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设施有污迹、破损，金属构件设施有锈斑，油漆剥落等现象的每处扣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分，公园设施存在明显安全隐患，未采取安全措施的，每处扣</w:t>
            </w:r>
            <w:r>
              <w:rPr>
                <w:rFonts w:hint="eastAsia" w:ascii="仿宋_GB2312" w:cs="宋体"/>
                <w:kern w:val="0"/>
                <w:sz w:val="21"/>
                <w:szCs w:val="21"/>
                <w:highlight w:val="none"/>
                <w:lang w:val="en-US" w:eastAsia="zh-CN"/>
              </w:rPr>
              <w:t>2</w:t>
            </w:r>
            <w:r>
              <w:rPr>
                <w:rFonts w:hint="eastAsia" w:ascii="仿宋_GB2312" w:eastAsia="仿宋_GB2312" w:cs="宋体"/>
                <w:kern w:val="0"/>
                <w:sz w:val="21"/>
                <w:szCs w:val="21"/>
                <w:highlight w:val="none"/>
              </w:rPr>
              <w:t>分。</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highlight w:val="none"/>
              </w:rPr>
            </w:pPr>
          </w:p>
          <w:p>
            <w:pPr>
              <w:spacing w:line="420" w:lineRule="exact"/>
              <w:jc w:val="center"/>
              <w:rPr>
                <w:rFonts w:hint="eastAsia" w:ascii="仿宋_GB2312" w:eastAsia="仿宋_GB2312" w:cs="宋体"/>
                <w:kern w:val="0"/>
                <w:sz w:val="21"/>
                <w:szCs w:val="21"/>
                <w:highlight w:val="none"/>
              </w:rPr>
            </w:pPr>
          </w:p>
          <w:p>
            <w:pPr>
              <w:spacing w:line="420" w:lineRule="exact"/>
              <w:jc w:val="center"/>
              <w:rPr>
                <w:rFonts w:hint="eastAsia" w:ascii="仿宋_GB2312" w:eastAsia="仿宋_GB2312" w:cs="宋体"/>
                <w:kern w:val="0"/>
                <w:sz w:val="21"/>
                <w:szCs w:val="21"/>
                <w:highlight w:val="none"/>
              </w:rPr>
            </w:pPr>
          </w:p>
          <w:p>
            <w:pPr>
              <w:spacing w:line="42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卫生及</w:t>
            </w:r>
          </w:p>
          <w:p>
            <w:pPr>
              <w:spacing w:line="420" w:lineRule="exact"/>
              <w:jc w:val="center"/>
              <w:rPr>
                <w:rFonts w:ascii="仿宋_GB2312" w:eastAsia="仿宋_GB2312" w:cs="宋体"/>
                <w:kern w:val="0"/>
                <w:sz w:val="21"/>
                <w:szCs w:val="21"/>
                <w:highlight w:val="none"/>
              </w:rPr>
            </w:pPr>
            <w:r>
              <w:rPr>
                <w:rFonts w:hint="eastAsia" w:ascii="仿宋_GB2312" w:eastAsia="仿宋_GB2312" w:cs="宋体"/>
                <w:kern w:val="0"/>
                <w:sz w:val="21"/>
                <w:szCs w:val="21"/>
                <w:highlight w:val="none"/>
              </w:rPr>
              <w:t>管理</w:t>
            </w:r>
          </w:p>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树上及绿带内有垃圾袋、零乱草绳、钉子、扎缚铁丝、电线、挂晾晒衣物、堆物、</w:t>
            </w:r>
            <w:r>
              <w:rPr>
                <w:rFonts w:hint="eastAsia" w:ascii="仿宋_GB2312" w:eastAsia="仿宋_GB2312" w:cs="宋体"/>
                <w:kern w:val="0"/>
                <w:sz w:val="21"/>
                <w:szCs w:val="21"/>
                <w:highlight w:val="none"/>
                <w:lang w:eastAsia="zh-CN"/>
              </w:rPr>
              <w:t>渣土积泥</w:t>
            </w:r>
            <w:r>
              <w:rPr>
                <w:rFonts w:hint="eastAsia" w:ascii="仿宋_GB2312" w:eastAsia="仿宋_GB2312" w:cs="宋体"/>
                <w:kern w:val="0"/>
                <w:sz w:val="21"/>
                <w:szCs w:val="21"/>
                <w:highlight w:val="none"/>
              </w:rPr>
              <w:t>等，每处扣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绿地内有明显枯叶堆积、白色垃圾、石块、果壳等杂物的每处扣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highlight w:val="none"/>
              </w:rPr>
            </w:pPr>
            <w:r>
              <w:rPr>
                <w:rFonts w:hint="eastAsia" w:ascii="仿宋_GB2312" w:eastAsia="仿宋_GB2312" w:cs="宋体"/>
                <w:kern w:val="0"/>
                <w:sz w:val="21"/>
                <w:szCs w:val="21"/>
                <w:highlight w:val="none"/>
              </w:rPr>
              <w:t>乔木及绿带积尘明显每处扣</w:t>
            </w:r>
            <w:r>
              <w:rPr>
                <w:rFonts w:hint="eastAsia" w:ascii="仿宋_GB2312" w:eastAsia="仿宋_GB2312" w:cs="宋体"/>
                <w:kern w:val="0"/>
                <w:sz w:val="21"/>
                <w:szCs w:val="21"/>
                <w:highlight w:val="none"/>
                <w:lang w:val="en-US" w:eastAsia="zh-CN"/>
              </w:rPr>
              <w:t>0.5</w:t>
            </w:r>
            <w:r>
              <w:rPr>
                <w:rFonts w:hint="eastAsia" w:ascii="仿宋_GB2312" w:eastAsia="仿宋_GB2312" w:cs="宋体"/>
                <w:kern w:val="0"/>
                <w:sz w:val="21"/>
                <w:szCs w:val="21"/>
                <w:highlight w:val="none"/>
              </w:rPr>
              <w:t>分，沿线绿带色块叶面积灰严重的每处扣</w:t>
            </w:r>
            <w:r>
              <w:rPr>
                <w:rFonts w:hint="eastAsia" w:ascii="仿宋_GB2312" w:eastAsia="仿宋_GB2312" w:cs="宋体"/>
                <w:kern w:val="0"/>
                <w:sz w:val="21"/>
                <w:szCs w:val="21"/>
                <w:highlight w:val="none"/>
                <w:lang w:val="en-US" w:eastAsia="zh-CN"/>
              </w:rPr>
              <w:t>2</w:t>
            </w:r>
            <w:r>
              <w:rPr>
                <w:rFonts w:hint="eastAsia" w:ascii="仿宋_GB2312" w:eastAsia="仿宋_GB2312" w:cs="宋体"/>
                <w:kern w:val="0"/>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抗雪防冻、防寒保暖、抗旱保绿、防高温等应急工作不到位的每处扣5分。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highlight w:val="none"/>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highlight w:val="none"/>
              </w:rPr>
            </w:pPr>
            <w:r>
              <w:rPr>
                <w:rFonts w:hint="eastAsia" w:ascii="仿宋_GB2312" w:eastAsia="仿宋_GB2312"/>
                <w:sz w:val="21"/>
                <w:szCs w:val="21"/>
                <w:highlight w:val="none"/>
              </w:rPr>
              <w:t>未经审批私自开挖绿地或未按绿化养护规范要求恢复等每处扣</w:t>
            </w:r>
            <w:r>
              <w:rPr>
                <w:rFonts w:hint="eastAsia" w:ascii="仿宋_GB2312"/>
                <w:sz w:val="21"/>
                <w:szCs w:val="21"/>
                <w:highlight w:val="none"/>
                <w:lang w:val="en-US" w:eastAsia="zh-CN"/>
              </w:rPr>
              <w:t>2</w:t>
            </w:r>
            <w:r>
              <w:rPr>
                <w:rFonts w:hint="eastAsia" w:ascii="仿宋_GB2312" w:eastAsia="仿宋_GB2312"/>
                <w:sz w:val="21"/>
                <w:szCs w:val="21"/>
                <w:highlight w:val="none"/>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河道</w:t>
            </w:r>
          </w:p>
          <w:p>
            <w:pPr>
              <w:spacing w:line="420" w:lineRule="exact"/>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管理</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highlight w:val="none"/>
              </w:rPr>
            </w:pPr>
            <w:r>
              <w:rPr>
                <w:rFonts w:hint="eastAsia" w:ascii="仿宋_GB2312" w:hAnsi="宋体" w:eastAsia="仿宋_GB2312"/>
                <w:sz w:val="21"/>
                <w:szCs w:val="21"/>
                <w:highlight w:val="none"/>
              </w:rPr>
              <w:t>每</w:t>
            </w:r>
            <w:r>
              <w:rPr>
                <w:rFonts w:hint="eastAsia" w:ascii="仿宋_GB2312" w:hAnsi="宋体" w:eastAsia="仿宋_GB2312"/>
                <w:sz w:val="21"/>
                <w:szCs w:val="21"/>
                <w:highlight w:val="none"/>
                <w:lang w:eastAsia="zh-CN"/>
              </w:rPr>
              <w:t>50米内河道漂浮物（除固定圈养的水草）超过3处或单处漂浮物面积超过</w:t>
            </w:r>
            <w:r>
              <w:rPr>
                <w:rFonts w:hint="eastAsia" w:ascii="仿宋_GB2312" w:hAnsi="宋体" w:eastAsia="仿宋_GB2312"/>
                <w:sz w:val="21"/>
                <w:szCs w:val="21"/>
                <w:highlight w:val="none"/>
                <w:lang w:val="en-US" w:eastAsia="zh-CN"/>
              </w:rPr>
              <w:t>0.5个平方</w:t>
            </w:r>
            <w:r>
              <w:rPr>
                <w:rFonts w:hint="eastAsia" w:ascii="仿宋_GB2312" w:hAnsi="宋体" w:eastAsia="仿宋_GB2312"/>
                <w:sz w:val="21"/>
                <w:szCs w:val="21"/>
                <w:highlight w:val="none"/>
                <w:lang w:eastAsia="zh-CN"/>
              </w:rPr>
              <w:t>及以上的每段扣</w:t>
            </w:r>
            <w:r>
              <w:rPr>
                <w:rFonts w:hint="eastAsia" w:ascii="仿宋_GB2312" w:hAnsi="宋体"/>
                <w:sz w:val="21"/>
                <w:szCs w:val="21"/>
                <w:highlight w:val="none"/>
                <w:lang w:val="en-US" w:eastAsia="zh-CN"/>
              </w:rPr>
              <w:t>2</w:t>
            </w:r>
            <w:r>
              <w:rPr>
                <w:rFonts w:hint="eastAsia" w:ascii="仿宋_GB2312" w:hAnsi="宋体" w:eastAsia="仿宋_GB2312"/>
                <w:sz w:val="21"/>
                <w:szCs w:val="21"/>
                <w:highlight w:val="none"/>
                <w:lang w:eastAsia="zh-CN"/>
              </w:rPr>
              <w:t>分；每发现一处河道内渔网渔具的扣1分；河岸</w:t>
            </w:r>
            <w:r>
              <w:rPr>
                <w:rFonts w:hint="eastAsia" w:ascii="仿宋_GB2312" w:hAnsi="宋体" w:eastAsia="仿宋_GB2312"/>
                <w:sz w:val="21"/>
                <w:szCs w:val="21"/>
                <w:highlight w:val="none"/>
                <w:lang w:val="en-US" w:eastAsia="zh-CN"/>
              </w:rPr>
              <w:t>10米范围内</w:t>
            </w:r>
            <w:r>
              <w:rPr>
                <w:rFonts w:hint="eastAsia" w:ascii="仿宋_GB2312" w:hAnsi="宋体" w:eastAsia="仿宋_GB2312"/>
                <w:sz w:val="21"/>
                <w:szCs w:val="21"/>
                <w:highlight w:val="none"/>
                <w:lang w:eastAsia="zh-CN"/>
              </w:rPr>
              <w:t>滩地、岸坡上有新增建筑垃圾倾倒和生活垃圾、枯枝杂树堆放未及时清理的，每处扣</w:t>
            </w:r>
            <w:r>
              <w:rPr>
                <w:rFonts w:hint="eastAsia" w:ascii="仿宋_GB2312" w:hAnsi="宋体" w:eastAsia="仿宋_GB2312"/>
                <w:sz w:val="21"/>
                <w:szCs w:val="21"/>
                <w:highlight w:val="none"/>
                <w:lang w:val="en-US" w:eastAsia="zh-CN"/>
              </w:rPr>
              <w:t>2分；</w:t>
            </w:r>
            <w:r>
              <w:rPr>
                <w:rFonts w:hint="eastAsia" w:ascii="仿宋_GB2312" w:hAnsi="宋体" w:eastAsia="仿宋_GB2312"/>
                <w:sz w:val="21"/>
                <w:szCs w:val="21"/>
                <w:highlight w:val="none"/>
                <w:lang w:eastAsia="zh-CN"/>
              </w:rPr>
              <w:t>如发现用草甘膦等污染水体的药剂处理的每次扣</w:t>
            </w:r>
            <w:r>
              <w:rPr>
                <w:rFonts w:hint="eastAsia" w:ascii="仿宋_GB2312" w:hAnsi="宋体" w:eastAsia="仿宋_GB2312"/>
                <w:sz w:val="21"/>
                <w:szCs w:val="21"/>
                <w:highlight w:val="none"/>
                <w:lang w:val="en-US" w:eastAsia="zh-CN"/>
              </w:rPr>
              <w:t>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highlight w:val="none"/>
                <w:lang w:eastAsia="zh-CN"/>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highlight w:val="none"/>
              </w:rPr>
            </w:pPr>
            <w:r>
              <w:rPr>
                <w:rFonts w:hint="eastAsia" w:ascii="仿宋" w:hAnsi="仿宋" w:eastAsia="仿宋" w:cs="仿宋"/>
                <w:sz w:val="21"/>
                <w:szCs w:val="21"/>
                <w:highlight w:val="none"/>
                <w:lang w:val="en-US" w:eastAsia="zh-CN"/>
              </w:rPr>
              <w:t>保洁人员须两人一船，单独作业的每次扣1分；工作时间不穿着救生衣的每次扣1分；未及时发现</w:t>
            </w:r>
            <w:r>
              <w:rPr>
                <w:rFonts w:hint="eastAsia" w:ascii="仿宋" w:hAnsi="仿宋" w:eastAsia="仿宋" w:cs="仿宋"/>
                <w:sz w:val="21"/>
                <w:szCs w:val="21"/>
                <w:highlight w:val="none"/>
              </w:rPr>
              <w:t>电捕网捕等行为</w:t>
            </w:r>
            <w:r>
              <w:rPr>
                <w:rFonts w:hint="eastAsia" w:ascii="仿宋" w:hAnsi="仿宋" w:eastAsia="仿宋" w:cs="仿宋"/>
                <w:sz w:val="21"/>
                <w:szCs w:val="21"/>
                <w:highlight w:val="none"/>
                <w:lang w:eastAsia="zh-CN"/>
              </w:rPr>
              <w:t>及新增晴天排污口</w:t>
            </w:r>
            <w:r>
              <w:rPr>
                <w:rFonts w:hint="eastAsia" w:ascii="仿宋" w:hAnsi="仿宋" w:eastAsia="仿宋" w:cs="仿宋"/>
                <w:sz w:val="21"/>
                <w:szCs w:val="21"/>
                <w:highlight w:val="none"/>
              </w:rPr>
              <w:t>的每起扣</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highlight w:val="none"/>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highlight w:val="none"/>
                <w:lang w:eastAsia="zh-CN"/>
              </w:rPr>
            </w:pPr>
            <w:r>
              <w:rPr>
                <w:rFonts w:hint="eastAsia" w:ascii="仿宋_GB2312" w:eastAsia="仿宋_GB2312" w:cs="宋体"/>
                <w:kern w:val="0"/>
                <w:sz w:val="21"/>
                <w:szCs w:val="21"/>
                <w:highlight w:val="none"/>
                <w:lang w:eastAsia="zh-CN"/>
              </w:rPr>
              <w:t>其它</w:t>
            </w:r>
            <w:r>
              <w:rPr>
                <w:rFonts w:hint="eastAsia" w:ascii="仿宋_GB2312" w:eastAsia="仿宋_GB2312" w:cs="宋体"/>
                <w:kern w:val="0"/>
                <w:sz w:val="21"/>
                <w:szCs w:val="21"/>
                <w:highlight w:val="none"/>
                <w:lang w:val="en-US" w:eastAsia="zh-CN"/>
              </w:rPr>
              <w:t xml:space="preserve"> </w:t>
            </w:r>
            <w:r>
              <w:rPr>
                <w:rFonts w:hint="eastAsia" w:ascii="仿宋_GB2312" w:eastAsia="仿宋_GB2312" w:cs="宋体"/>
                <w:kern w:val="0"/>
                <w:sz w:val="21"/>
                <w:szCs w:val="21"/>
                <w:highlight w:val="none"/>
                <w:lang w:eastAsia="zh-CN"/>
              </w:rPr>
              <w:t>事宜</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_GB2312" w:eastAsia="仿宋_GB2312" w:cs="宋体"/>
                <w:kern w:val="0"/>
                <w:sz w:val="21"/>
                <w:szCs w:val="21"/>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spacing w:val="-8"/>
                <w:sz w:val="21"/>
                <w:szCs w:val="21"/>
                <w:highlight w:val="none"/>
              </w:rPr>
            </w:pPr>
          </w:p>
        </w:tc>
      </w:tr>
      <w:tr>
        <w:tblPrEx>
          <w:tblCellMar>
            <w:top w:w="0" w:type="dxa"/>
            <w:left w:w="108" w:type="dxa"/>
            <w:bottom w:w="0" w:type="dxa"/>
            <w:right w:w="108" w:type="dxa"/>
          </w:tblCellMar>
        </w:tblPrEx>
        <w:trPr>
          <w:trHeight w:val="495" w:hRule="atLeast"/>
        </w:trPr>
        <w:tc>
          <w:tcPr>
            <w:tcW w:w="7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s="宋体"/>
                <w:kern w:val="0"/>
                <w:sz w:val="21"/>
                <w:szCs w:val="21"/>
                <w:highlight w:val="none"/>
              </w:rPr>
            </w:pPr>
            <w:r>
              <w:rPr>
                <w:rFonts w:hint="eastAsia" w:ascii="仿宋_GB2312" w:eastAsia="仿宋_GB2312"/>
                <w:sz w:val="21"/>
                <w:szCs w:val="21"/>
                <w:highlight w:val="none"/>
              </w:rPr>
              <w:t>评分合计</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highlight w:val="none"/>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highlight w:val="none"/>
              </w:rPr>
            </w:pPr>
            <w:r>
              <w:rPr>
                <w:rFonts w:hint="eastAsia" w:ascii="仿宋_GB2312" w:eastAsia="仿宋_GB2312" w:cs="宋体"/>
                <w:kern w:val="0"/>
                <w:sz w:val="21"/>
                <w:szCs w:val="21"/>
                <w:highlight w:val="none"/>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_GB2312" w:eastAsia="仿宋_GB2312"/>
                <w:spacing w:val="-8"/>
                <w:sz w:val="21"/>
                <w:szCs w:val="21"/>
                <w:highlight w:val="none"/>
              </w:rPr>
            </w:pPr>
            <w:r>
              <w:rPr>
                <w:rFonts w:hint="eastAsia" w:ascii="仿宋_GB2312" w:eastAsia="仿宋_GB2312"/>
                <w:spacing w:val="-8"/>
                <w:sz w:val="21"/>
                <w:szCs w:val="21"/>
                <w:highlight w:val="none"/>
              </w:rPr>
              <w:t>1、</w:t>
            </w:r>
            <w:r>
              <w:rPr>
                <w:rFonts w:hint="eastAsia" w:ascii="仿宋_GB2312" w:eastAsia="仿宋_GB2312"/>
                <w:spacing w:val="-8"/>
                <w:sz w:val="21"/>
                <w:szCs w:val="21"/>
                <w:highlight w:val="none"/>
                <w:lang w:eastAsia="zh-CN"/>
              </w:rPr>
              <w:t>其它</w:t>
            </w:r>
            <w:r>
              <w:rPr>
                <w:rFonts w:hint="eastAsia" w:ascii="仿宋_GB2312" w:eastAsia="仿宋_GB2312"/>
                <w:spacing w:val="-8"/>
                <w:sz w:val="21"/>
                <w:szCs w:val="21"/>
                <w:highlight w:val="none"/>
              </w:rPr>
              <w:t>未尽事宜（如市“绿化双最”评比等市、区相关绿化工作），考核视情况加或扣1-5分。</w:t>
            </w:r>
          </w:p>
        </w:tc>
      </w:tr>
    </w:tbl>
    <w:p>
      <w:pPr>
        <w:spacing w:line="360" w:lineRule="auto"/>
        <w:rPr>
          <w:rFonts w:hint="eastAsia" w:ascii="宋体" w:hAnsi="宋体"/>
          <w:b/>
          <w:bCs/>
          <w:color w:val="auto"/>
          <w:sz w:val="24"/>
          <w:highlight w:val="none"/>
          <w:lang w:val="en-US" w:eastAsia="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lang w:val="en-US" w:eastAsia="zh-CN"/>
        </w:rPr>
        <w:t>七</w:t>
      </w:r>
      <w:r>
        <w:rPr>
          <w:rFonts w:hint="eastAsia" w:ascii="宋体" w:hAnsi="宋体"/>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宋体" w:hAnsi="宋体"/>
          <w:b/>
          <w:color w:val="auto"/>
          <w:sz w:val="24"/>
          <w:highlight w:val="none"/>
        </w:rPr>
      </w:pPr>
      <w:r>
        <w:rPr>
          <w:rFonts w:hint="eastAsia" w:ascii="宋体" w:hAnsi="宋体"/>
          <w:color w:val="auto"/>
          <w:sz w:val="24"/>
          <w:highlight w:val="none"/>
          <w:lang w:val="en-US" w:eastAsia="zh-CN"/>
        </w:rPr>
        <w:t>1、</w:t>
      </w:r>
      <w:r>
        <w:rPr>
          <w:rFonts w:hint="eastAsia" w:ascii="宋体" w:hAnsi="宋体"/>
          <w:b/>
          <w:color w:val="auto"/>
          <w:sz w:val="24"/>
          <w:highlight w:val="none"/>
        </w:rPr>
        <w:t>中标单位在签订合同</w:t>
      </w:r>
      <w:r>
        <w:rPr>
          <w:rFonts w:hint="eastAsia" w:ascii="宋体" w:hAnsi="宋体"/>
          <w:b/>
          <w:color w:val="auto"/>
          <w:sz w:val="24"/>
          <w:highlight w:val="none"/>
          <w:lang w:val="en-US" w:eastAsia="zh-CN"/>
        </w:rPr>
        <w:t>前</w:t>
      </w:r>
      <w:r>
        <w:rPr>
          <w:rFonts w:hint="eastAsia" w:ascii="宋体" w:hAnsi="宋体"/>
          <w:b/>
          <w:color w:val="auto"/>
          <w:sz w:val="24"/>
          <w:highlight w:val="none"/>
        </w:rPr>
        <w:t>向招标人交纳中标价的</w:t>
      </w:r>
      <w:r>
        <w:rPr>
          <w:rFonts w:hint="eastAsia" w:ascii="宋体" w:hAnsi="宋体"/>
          <w:b/>
          <w:color w:val="auto"/>
          <w:sz w:val="24"/>
          <w:highlight w:val="none"/>
          <w:lang w:val="en-US" w:eastAsia="zh-CN"/>
        </w:rPr>
        <w:t>2.5</w:t>
      </w:r>
      <w:r>
        <w:rPr>
          <w:rFonts w:hint="eastAsia" w:ascii="宋体" w:hAnsi="宋体"/>
          <w:b/>
          <w:color w:val="auto"/>
          <w:sz w:val="24"/>
          <w:highlight w:val="none"/>
        </w:rPr>
        <w:t>%作为履约保证金。</w:t>
      </w:r>
    </w:p>
    <w:p>
      <w:pPr>
        <w:widowControl/>
        <w:numPr>
          <w:ilvl w:val="0"/>
          <w:numId w:val="0"/>
        </w:numPr>
        <w:spacing w:line="360" w:lineRule="auto"/>
        <w:jc w:val="left"/>
        <w:rPr>
          <w:rFonts w:hint="eastAsia"/>
          <w:color w:val="auto"/>
          <w:highlight w:val="none"/>
        </w:rPr>
      </w:pPr>
      <w:r>
        <w:rPr>
          <w:rFonts w:hint="eastAsia" w:ascii="宋体" w:hAnsi="宋体" w:cs="宋体"/>
          <w:b/>
          <w:bCs/>
          <w:color w:val="auto"/>
          <w:sz w:val="24"/>
          <w:highlight w:val="none"/>
          <w:lang w:val="en-US" w:eastAsia="zh-CN"/>
        </w:rPr>
        <w:t>八</w:t>
      </w:r>
      <w:r>
        <w:rPr>
          <w:rFonts w:hint="eastAsia" w:ascii="宋体" w:hAnsi="宋体"/>
          <w:b/>
          <w:bCs/>
          <w:color w:val="auto"/>
          <w:sz w:val="24"/>
          <w:highlight w:val="none"/>
        </w:rPr>
        <w:t>、</w:t>
      </w:r>
      <w:r>
        <w:rPr>
          <w:rFonts w:hint="eastAsia" w:ascii="宋体" w:hAnsi="宋体" w:cs="宋体"/>
          <w:b/>
          <w:bCs/>
          <w:color w:val="auto"/>
          <w:sz w:val="24"/>
          <w:highlight w:val="none"/>
        </w:rPr>
        <w:t>其他要求及说明</w:t>
      </w:r>
    </w:p>
    <w:p>
      <w:pPr>
        <w:widowControl/>
        <w:autoSpaceDE w:val="0"/>
        <w:autoSpaceDN w:val="0"/>
        <w:adjustRightInd w:val="0"/>
        <w:spacing w:line="360" w:lineRule="auto"/>
        <w:ind w:firstLine="361" w:firstLineChars="150"/>
        <w:textAlignment w:val="bottom"/>
        <w:rPr>
          <w:rFonts w:hint="eastAsia" w:asciiTheme="majorEastAsia" w:hAnsiTheme="majorEastAsia" w:eastAsiaTheme="majorEastAsia" w:cstheme="majorEastAsia"/>
          <w:b/>
          <w:bCs/>
          <w:color w:val="auto"/>
          <w:sz w:val="24"/>
          <w:highlight w:val="none"/>
          <w:lang w:eastAsia="zh-CN"/>
        </w:rPr>
      </w:pPr>
      <w:r>
        <w:rPr>
          <w:rFonts w:hint="eastAsia" w:asciiTheme="majorEastAsia" w:hAnsiTheme="majorEastAsia" w:eastAsiaTheme="majorEastAsia" w:cstheme="majorEastAsia"/>
          <w:b/>
          <w:bCs/>
          <w:color w:val="auto"/>
          <w:sz w:val="24"/>
          <w:highlight w:val="none"/>
        </w:rPr>
        <w:t>1、</w:t>
      </w:r>
      <w:r>
        <w:rPr>
          <w:rFonts w:hint="eastAsia" w:asciiTheme="majorEastAsia" w:hAnsiTheme="majorEastAsia" w:eastAsiaTheme="majorEastAsia" w:cstheme="majorEastAsia"/>
          <w:b/>
          <w:bCs/>
          <w:color w:val="auto"/>
          <w:sz w:val="24"/>
          <w:highlight w:val="none"/>
          <w:lang w:eastAsia="zh-CN"/>
        </w:rPr>
        <w:t>绿化养护</w:t>
      </w:r>
      <w:r>
        <w:rPr>
          <w:rFonts w:hint="eastAsia" w:asciiTheme="majorEastAsia" w:hAnsiTheme="majorEastAsia" w:eastAsiaTheme="majorEastAsia" w:cstheme="majorEastAsia"/>
          <w:b/>
          <w:bCs/>
          <w:color w:val="auto"/>
          <w:sz w:val="24"/>
          <w:highlight w:val="none"/>
        </w:rPr>
        <w:t>投标报价</w:t>
      </w:r>
      <w:r>
        <w:rPr>
          <w:rFonts w:hint="eastAsia" w:asciiTheme="majorEastAsia" w:hAnsiTheme="majorEastAsia" w:eastAsiaTheme="majorEastAsia" w:cstheme="majorEastAsia"/>
          <w:b/>
          <w:bCs/>
          <w:color w:val="auto"/>
          <w:sz w:val="24"/>
          <w:highlight w:val="none"/>
          <w:lang w:eastAsia="zh-CN"/>
        </w:rPr>
        <w:t>说明</w:t>
      </w:r>
    </w:p>
    <w:p>
      <w:pPr>
        <w:spacing w:line="360" w:lineRule="auto"/>
        <w:ind w:firstLine="480" w:firstLineChars="200"/>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1.1、绿化养护费：</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1.1.1</w:t>
      </w:r>
      <w:r>
        <w:rPr>
          <w:rFonts w:hint="eastAsia" w:asciiTheme="majorEastAsia" w:hAnsiTheme="majorEastAsia" w:eastAsiaTheme="majorEastAsia" w:cstheme="majorEastAsia"/>
          <w:color w:val="auto"/>
          <w:sz w:val="24"/>
          <w:highlight w:val="none"/>
        </w:rPr>
        <w:t>根据招标要求，招标绿</w:t>
      </w:r>
      <w:r>
        <w:rPr>
          <w:rFonts w:hint="eastAsia" w:asciiTheme="majorEastAsia" w:hAnsiTheme="majorEastAsia" w:eastAsiaTheme="majorEastAsia" w:cstheme="majorEastAsia"/>
          <w:color w:val="auto"/>
          <w:sz w:val="24"/>
          <w:highlight w:val="none"/>
          <w:lang w:val="en-US" w:eastAsia="zh-CN"/>
        </w:rPr>
        <w:t>化</w:t>
      </w:r>
      <w:r>
        <w:rPr>
          <w:rFonts w:hint="eastAsia" w:asciiTheme="majorEastAsia" w:hAnsiTheme="majorEastAsia" w:eastAsiaTheme="majorEastAsia" w:cstheme="majorEastAsia"/>
          <w:color w:val="auto"/>
          <w:sz w:val="24"/>
          <w:highlight w:val="none"/>
        </w:rPr>
        <w:t>养护款的70%属于日常养护费、30%作为招标绿地的苗木调整、土壤改良等绿地提升改造费用。</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1.1.2</w:t>
      </w:r>
      <w:r>
        <w:rPr>
          <w:rFonts w:hint="eastAsia" w:asciiTheme="majorEastAsia" w:hAnsiTheme="majorEastAsia" w:eastAsiaTheme="majorEastAsia" w:cstheme="majorEastAsia"/>
          <w:color w:val="auto"/>
          <w:sz w:val="24"/>
          <w:highlight w:val="none"/>
        </w:rPr>
        <w:t>日常绿化养护费包括：绿化养护人工工资、绿化施肥费、绿化浇水费、绿化防病防虫用药费、绿化零星补植费、防台抗雪等应急物资储备费、其他费用；</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1.1.3</w:t>
      </w:r>
      <w:r>
        <w:rPr>
          <w:rFonts w:hint="eastAsia" w:asciiTheme="majorEastAsia" w:hAnsiTheme="majorEastAsia" w:eastAsiaTheme="majorEastAsia" w:cstheme="majorEastAsia"/>
          <w:color w:val="auto"/>
          <w:sz w:val="24"/>
          <w:highlight w:val="none"/>
        </w:rPr>
        <w:t>绿化养护人员不少于2人/万平方米，养护人员工资不得低于杭州市最低工资标准（根据《</w:t>
      </w:r>
      <w:r>
        <w:rPr>
          <w:rFonts w:hint="eastAsia" w:asciiTheme="majorEastAsia" w:hAnsiTheme="majorEastAsia" w:eastAsiaTheme="majorEastAsia" w:cstheme="majorEastAsia"/>
          <w:color w:val="auto"/>
          <w:sz w:val="24"/>
          <w:highlight w:val="none"/>
          <w:lang w:val="en-US" w:eastAsia="zh-CN"/>
        </w:rPr>
        <w:t>浙江省</w:t>
      </w:r>
      <w:r>
        <w:rPr>
          <w:rFonts w:hint="eastAsia" w:asciiTheme="majorEastAsia" w:hAnsiTheme="majorEastAsia" w:eastAsiaTheme="majorEastAsia" w:cstheme="majorEastAsia"/>
          <w:color w:val="auto"/>
          <w:sz w:val="24"/>
          <w:highlight w:val="none"/>
        </w:rPr>
        <w:t>人民政府关于调整</w:t>
      </w:r>
      <w:r>
        <w:rPr>
          <w:rFonts w:hint="eastAsia" w:asciiTheme="majorEastAsia" w:hAnsiTheme="majorEastAsia" w:eastAsiaTheme="majorEastAsia" w:cstheme="majorEastAsia"/>
          <w:color w:val="auto"/>
          <w:sz w:val="24"/>
          <w:highlight w:val="none"/>
          <w:lang w:val="en-US" w:eastAsia="zh-CN"/>
        </w:rPr>
        <w:t>全省</w:t>
      </w:r>
      <w:r>
        <w:rPr>
          <w:rFonts w:hint="eastAsia" w:asciiTheme="majorEastAsia" w:hAnsiTheme="majorEastAsia" w:eastAsiaTheme="majorEastAsia" w:cstheme="majorEastAsia"/>
          <w:color w:val="auto"/>
          <w:sz w:val="24"/>
          <w:highlight w:val="none"/>
        </w:rPr>
        <w:t>最低工资标准的通知》（</w:t>
      </w:r>
      <w:r>
        <w:rPr>
          <w:rFonts w:hint="eastAsia" w:asciiTheme="majorEastAsia" w:hAnsiTheme="majorEastAsia" w:eastAsiaTheme="majorEastAsia" w:cstheme="majorEastAsia"/>
          <w:color w:val="auto"/>
          <w:sz w:val="24"/>
          <w:highlight w:val="none"/>
          <w:lang w:val="en-US" w:eastAsia="zh-CN"/>
        </w:rPr>
        <w:t>浙政发</w:t>
      </w:r>
      <w:r>
        <w:rPr>
          <w:rFonts w:hint="eastAsia" w:asciiTheme="majorEastAsia" w:hAnsiTheme="majorEastAsia" w:eastAsiaTheme="majorEastAsia" w:cstheme="majorEastAsia"/>
          <w:color w:val="auto"/>
          <w:sz w:val="24"/>
          <w:highlight w:val="none"/>
        </w:rPr>
        <w:t>〔20</w:t>
      </w:r>
      <w:r>
        <w:rPr>
          <w:rFonts w:hint="eastAsia" w:asciiTheme="majorEastAsia" w:hAnsiTheme="majorEastAsia" w:eastAsiaTheme="majorEastAsia" w:cstheme="majorEastAsia"/>
          <w:color w:val="auto"/>
          <w:sz w:val="24"/>
          <w:highlight w:val="none"/>
          <w:lang w:val="en-US" w:eastAsia="zh-CN"/>
        </w:rPr>
        <w:t>21</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22</w:t>
      </w:r>
      <w:r>
        <w:rPr>
          <w:rFonts w:hint="eastAsia" w:asciiTheme="majorEastAsia" w:hAnsiTheme="majorEastAsia" w:eastAsiaTheme="majorEastAsia" w:cstheme="majorEastAsia"/>
          <w:color w:val="auto"/>
          <w:sz w:val="24"/>
          <w:highlight w:val="none"/>
        </w:rPr>
        <w:t>号）精神执行，合同期内如遇工作人员的最低工资调整等其他因素，产生的费用由投标单位承担）。人工工资主要包括基本工资、社会保障五险、高温补助、意外伤害险等，人员配备必须附本企业最近一季度交纳的养老保险为依据。养护人员主要做好绿地养护中各类养护工作，其中包括服从采购人派遣任务、绿化施肥、浇水、植物修剪、绿地保洁、除草、设施维修、补种、喷洒农药、应急响应等养护工作；</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1.1.4</w:t>
      </w:r>
      <w:r>
        <w:rPr>
          <w:rFonts w:hint="eastAsia" w:asciiTheme="majorEastAsia" w:hAnsiTheme="majorEastAsia" w:eastAsiaTheme="majorEastAsia" w:cstheme="majorEastAsia"/>
          <w:color w:val="auto"/>
          <w:sz w:val="24"/>
          <w:highlight w:val="none"/>
        </w:rPr>
        <w:t>绿化施肥费：每年施肥不少于2次，平日应及时追肥，确保绿化生长所必需的养分，用有机肥或复合肥0.5kg／㎡，该项费用最少不低于日常绿化养护费的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1.1.5</w:t>
      </w:r>
      <w:r>
        <w:rPr>
          <w:rFonts w:hint="eastAsia" w:asciiTheme="majorEastAsia" w:hAnsiTheme="majorEastAsia" w:eastAsiaTheme="majorEastAsia" w:cstheme="majorEastAsia"/>
          <w:color w:val="auto"/>
          <w:sz w:val="24"/>
          <w:highlight w:val="none"/>
        </w:rPr>
        <w:t>绿化浇水费：养护企业需及时发现、及时补充绿化所需水份。天气炎热时，养护企业应抗旱保绿工作，及时给喜阴植物搭建遮阴网，确保绿化不因缺水死亡，并及时交纳绿化水费，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1.1.6</w:t>
      </w:r>
      <w:r>
        <w:rPr>
          <w:rFonts w:hint="eastAsia" w:asciiTheme="majorEastAsia" w:hAnsiTheme="majorEastAsia" w:eastAsiaTheme="majorEastAsia" w:cstheme="majorEastAsia"/>
          <w:color w:val="auto"/>
          <w:sz w:val="24"/>
          <w:highlight w:val="none"/>
        </w:rPr>
        <w:t>绿化防病防虫用药费：要求综合防治，以防为主。病虫害危害应控制在以不影响观赏效果的范围之内，其中食叶性害虫危害的叶片，每株不超过</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%；刺吸性害虫危害的叶片，每株不超过10%；无蛀干性害虫的活虫、活卵，该项费用最少不低于日常绿化养护费的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1.1.7</w:t>
      </w:r>
      <w:r>
        <w:rPr>
          <w:rFonts w:hint="eastAsia" w:asciiTheme="majorEastAsia" w:hAnsiTheme="majorEastAsia" w:eastAsiaTheme="majorEastAsia" w:cstheme="majorEastAsia"/>
          <w:color w:val="auto"/>
          <w:sz w:val="24"/>
          <w:highlight w:val="none"/>
        </w:rPr>
        <w:t>绿化零星补植费：因企业养护不力引起乔木死枯株，或灌木（草坪）枯死株面积在10㎡/处以下，养护企业应无条件进行补植相同品种的苗木，该项费用最少不低于日常绿化养护费的</w:t>
      </w:r>
      <w:r>
        <w:rPr>
          <w:rFonts w:hint="eastAsia" w:asciiTheme="majorEastAsia" w:hAnsiTheme="majorEastAsia" w:eastAsiaTheme="majorEastAsia" w:cstheme="majorEastAsia"/>
          <w:color w:val="auto"/>
          <w:sz w:val="24"/>
          <w:highlight w:val="none"/>
          <w:lang w:val="en-US" w:eastAsia="zh-CN"/>
        </w:rPr>
        <w:t>6</w:t>
      </w:r>
      <w:r>
        <w:rPr>
          <w:rFonts w:hint="eastAsia" w:asciiTheme="majorEastAsia" w:hAnsiTheme="majorEastAsia" w:eastAsiaTheme="majorEastAsia" w:cstheme="majorEastAsia"/>
          <w:color w:val="auto"/>
          <w:sz w:val="24"/>
          <w:highlight w:val="none"/>
        </w:rPr>
        <w:t>%；</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1.1.8</w:t>
      </w:r>
      <w:r>
        <w:rPr>
          <w:rFonts w:hint="eastAsia" w:asciiTheme="majorEastAsia" w:hAnsiTheme="majorEastAsia" w:eastAsiaTheme="majorEastAsia" w:cstheme="majorEastAsia"/>
          <w:color w:val="auto"/>
          <w:sz w:val="24"/>
          <w:highlight w:val="none"/>
        </w:rPr>
        <w:t>防台抗雪应急物资储备费：绿化养护企业重点做好绿化养护中抗旱遮阴网、防台抗台毛竹和快速支撑钢管、抗雪竹竿等物资储备和响应工作，其中快速支撑钢管只能做为一部分应急物资储备，不是唯一的抗台应急物资。</w:t>
      </w:r>
    </w:p>
    <w:p>
      <w:pPr>
        <w:spacing w:line="360" w:lineRule="auto"/>
        <w:ind w:firstLine="480" w:firstLineChars="200"/>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1.1.9</w:t>
      </w:r>
      <w:r>
        <w:rPr>
          <w:rFonts w:hint="eastAsia" w:asciiTheme="majorEastAsia" w:hAnsiTheme="majorEastAsia" w:eastAsiaTheme="majorEastAsia" w:cstheme="majorEastAsia"/>
          <w:color w:val="auto"/>
          <w:sz w:val="24"/>
          <w:highlight w:val="none"/>
        </w:rPr>
        <w:t>其他费用：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autoSpaceDE w:val="0"/>
        <w:autoSpaceDN w:val="0"/>
        <w:adjustRightInd w:val="0"/>
        <w:snapToGrid w:val="0"/>
        <w:spacing w:line="360" w:lineRule="auto"/>
        <w:ind w:firstLine="480" w:firstLineChars="200"/>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1.2、绿化更新改造费：</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①每一期改造竣工验收后，由</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送审计部门进行审计，并按最终审计价支付。若更新改造费尾款低于2万以内，</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可以通过双方签订零星改造协议、并经</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验收合格后，按照决算价下浮20%后进行支付。</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②若改造工程中涉及到基本审计费，经</w:t>
      </w:r>
      <w:r>
        <w:rPr>
          <w:rFonts w:hint="eastAsia" w:asciiTheme="majorEastAsia" w:hAnsiTheme="majorEastAsia" w:eastAsiaTheme="majorEastAsia" w:cstheme="majorEastAsia"/>
          <w:color w:val="auto"/>
          <w:spacing w:val="4"/>
          <w:kern w:val="0"/>
          <w:sz w:val="24"/>
          <w:szCs w:val="24"/>
          <w:highlight w:val="none"/>
          <w:lang w:val="en-US" w:eastAsia="zh-CN"/>
        </w:rPr>
        <w:t>甲方</w:t>
      </w:r>
      <w:r>
        <w:rPr>
          <w:rFonts w:hint="eastAsia" w:asciiTheme="majorEastAsia" w:hAnsiTheme="majorEastAsia" w:eastAsiaTheme="majorEastAsia" w:cstheme="majorEastAsia"/>
          <w:color w:val="auto"/>
          <w:spacing w:val="4"/>
          <w:kern w:val="0"/>
          <w:sz w:val="24"/>
          <w:szCs w:val="24"/>
          <w:highlight w:val="none"/>
        </w:rPr>
        <w:t>审核同意后支付。</w:t>
      </w:r>
    </w:p>
    <w:p>
      <w:pPr>
        <w:autoSpaceDE w:val="0"/>
        <w:autoSpaceDN w:val="0"/>
        <w:adjustRightInd w:val="0"/>
        <w:snapToGrid w:val="0"/>
        <w:spacing w:line="360" w:lineRule="auto"/>
        <w:ind w:firstLine="496" w:firstLineChars="200"/>
        <w:rPr>
          <w:rFonts w:hint="eastAsia" w:asciiTheme="majorEastAsia" w:hAnsiTheme="majorEastAsia" w:eastAsiaTheme="majorEastAsia" w:cstheme="majorEastAsia"/>
          <w:color w:val="auto"/>
          <w:spacing w:val="4"/>
          <w:kern w:val="0"/>
          <w:sz w:val="24"/>
          <w:szCs w:val="24"/>
          <w:highlight w:val="none"/>
        </w:rPr>
      </w:pPr>
      <w:r>
        <w:rPr>
          <w:rFonts w:hint="eastAsia" w:asciiTheme="majorEastAsia" w:hAnsiTheme="majorEastAsia" w:eastAsiaTheme="majorEastAsia" w:cstheme="majorEastAsia"/>
          <w:color w:val="auto"/>
          <w:spacing w:val="4"/>
          <w:kern w:val="0"/>
          <w:sz w:val="24"/>
          <w:szCs w:val="24"/>
          <w:highlight w:val="none"/>
        </w:rPr>
        <w:t>③超出综合养护中的更新改造费以及超出部分审计产生的审计费，由</w:t>
      </w:r>
      <w:r>
        <w:rPr>
          <w:rFonts w:hint="eastAsia" w:asciiTheme="majorEastAsia" w:hAnsiTheme="majorEastAsia" w:eastAsiaTheme="majorEastAsia" w:cstheme="majorEastAsia"/>
          <w:color w:val="auto"/>
          <w:spacing w:val="4"/>
          <w:kern w:val="0"/>
          <w:sz w:val="24"/>
          <w:szCs w:val="24"/>
          <w:highlight w:val="none"/>
          <w:lang w:val="en-US" w:eastAsia="zh-CN"/>
        </w:rPr>
        <w:t>乙方</w:t>
      </w:r>
      <w:r>
        <w:rPr>
          <w:rFonts w:hint="eastAsia" w:asciiTheme="majorEastAsia" w:hAnsiTheme="majorEastAsia" w:eastAsiaTheme="majorEastAsia" w:cstheme="majorEastAsia"/>
          <w:color w:val="auto"/>
          <w:spacing w:val="4"/>
          <w:kern w:val="0"/>
          <w:sz w:val="24"/>
          <w:szCs w:val="24"/>
          <w:highlight w:val="none"/>
        </w:rPr>
        <w:t>承担。</w:t>
      </w:r>
    </w:p>
    <w:p>
      <w:pPr>
        <w:snapToGrid w:val="0"/>
        <w:spacing w:before="0" w:beforeAutospacing="0" w:after="0" w:afterAutospacing="0" w:line="400" w:lineRule="atLeast"/>
        <w:ind w:firstLine="486" w:firstLineChars="196"/>
        <w:jc w:val="both"/>
        <w:textAlignment w:val="baseline"/>
        <w:rPr>
          <w:rFonts w:hint="eastAsia" w:asciiTheme="majorEastAsia" w:hAnsiTheme="majorEastAsia" w:eastAsiaTheme="majorEastAsia" w:cstheme="majorEastAsia"/>
          <w:color w:val="auto"/>
          <w:sz w:val="24"/>
          <w:highlight w:val="none"/>
          <w:lang w:val="en-US" w:eastAsia="zh-CN"/>
        </w:rPr>
      </w:pPr>
      <w:r>
        <w:rPr>
          <w:rFonts w:hint="eastAsia" w:asciiTheme="majorEastAsia" w:hAnsiTheme="majorEastAsia" w:eastAsiaTheme="majorEastAsia" w:cstheme="majorEastAsia"/>
          <w:color w:val="auto"/>
          <w:spacing w:val="4"/>
          <w:kern w:val="0"/>
          <w:sz w:val="24"/>
          <w:szCs w:val="24"/>
          <w:highlight w:val="none"/>
        </w:rPr>
        <w:t>④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pacing w:line="360" w:lineRule="auto"/>
        <w:ind w:firstLine="480" w:firstLineChars="200"/>
        <w:rPr>
          <w:rFonts w:hint="eastAsia" w:asciiTheme="majorEastAsia" w:hAnsiTheme="majorEastAsia" w:eastAsiaTheme="majorEastAsia" w:cstheme="majorEastAsia"/>
          <w:b/>
          <w:bCs/>
          <w:color w:val="auto"/>
          <w:sz w:val="24"/>
          <w:highlight w:val="none"/>
          <w:lang w:val="en-US" w:eastAsia="zh-CN"/>
        </w:rPr>
      </w:pPr>
      <w:r>
        <w:rPr>
          <w:rFonts w:hint="eastAsia" w:asciiTheme="majorEastAsia" w:hAnsiTheme="majorEastAsia" w:eastAsiaTheme="majorEastAsia" w:cstheme="majorEastAsia"/>
          <w:color w:val="auto"/>
          <w:sz w:val="24"/>
          <w:highlight w:val="none"/>
          <w:lang w:val="en-US" w:eastAsia="zh-CN"/>
        </w:rPr>
        <w:t>1.3、</w:t>
      </w:r>
      <w:r>
        <w:rPr>
          <w:rFonts w:hint="eastAsia" w:asciiTheme="majorEastAsia" w:hAnsiTheme="majorEastAsia" w:eastAsiaTheme="majorEastAsia" w:cstheme="majorEastAsia"/>
          <w:color w:val="auto"/>
          <w:sz w:val="24"/>
          <w:highlight w:val="none"/>
        </w:rPr>
        <w:t>时花更换费：</w:t>
      </w:r>
      <w:r>
        <w:rPr>
          <w:rFonts w:hint="eastAsia" w:asciiTheme="majorEastAsia" w:hAnsiTheme="majorEastAsia" w:eastAsiaTheme="majorEastAsia" w:cstheme="majorEastAsia"/>
          <w:color w:val="auto"/>
          <w:sz w:val="24"/>
          <w:highlight w:val="none"/>
          <w:lang w:val="en-US" w:eastAsia="zh-CN"/>
        </w:rPr>
        <w:t>时花更换</w:t>
      </w:r>
      <w:r>
        <w:rPr>
          <w:rFonts w:hint="eastAsia" w:asciiTheme="majorEastAsia" w:hAnsiTheme="majorEastAsia" w:eastAsiaTheme="majorEastAsia" w:cstheme="majorEastAsia"/>
          <w:color w:val="auto"/>
          <w:sz w:val="24"/>
          <w:highlight w:val="none"/>
        </w:rPr>
        <w:t>主要用于一年不少于六次的时花更换，根据招标方要求，在养护期限内，由中标方提出时花更换方案，经招标方论证同意后方可实施，时花更换按时花投标报价（除时花种植面积增加或减少外，投标单</w:t>
      </w:r>
      <w:r>
        <w:rPr>
          <w:rFonts w:hint="eastAsia" w:asciiTheme="majorEastAsia" w:hAnsiTheme="majorEastAsia" w:eastAsiaTheme="majorEastAsia" w:cstheme="majorEastAsia"/>
          <w:color w:val="auto"/>
          <w:sz w:val="24"/>
          <w:highlight w:val="none"/>
          <w:lang w:val="en-US" w:eastAsia="zh-CN"/>
        </w:rPr>
        <w:t>价</w:t>
      </w:r>
      <w:r>
        <w:rPr>
          <w:rFonts w:hint="eastAsia" w:asciiTheme="majorEastAsia" w:hAnsiTheme="majorEastAsia" w:eastAsiaTheme="majorEastAsia" w:cstheme="majorEastAsia"/>
          <w:color w:val="auto"/>
          <w:sz w:val="24"/>
          <w:highlight w:val="none"/>
        </w:rPr>
        <w:t>不变，工程量按实计取）。中标单位在合同期限内有意不实施且阻挠工程改造的，情节严重的，招标方有权中止合同。</w:t>
      </w:r>
    </w:p>
    <w:p>
      <w:pPr>
        <w:widowControl/>
        <w:ind w:firstLine="720" w:firstLineChars="300"/>
        <w:jc w:val="left"/>
        <w:rPr>
          <w:rFonts w:ascii="仿宋" w:hAnsi="仿宋" w:eastAsia="仿宋"/>
          <w:bCs/>
          <w:color w:val="auto"/>
          <w:sz w:val="24"/>
          <w:highlight w:val="none"/>
        </w:rPr>
      </w:pPr>
    </w:p>
    <w:p>
      <w:pPr>
        <w:snapToGrid w:val="0"/>
        <w:spacing w:line="360" w:lineRule="auto"/>
        <w:jc w:val="center"/>
        <w:rPr>
          <w:rFonts w:ascii="仿宋" w:hAnsi="仿宋" w:eastAsia="仿宋" w:cs="仿宋_GB2312"/>
          <w:b/>
          <w:color w:val="auto"/>
          <w:sz w:val="36"/>
          <w:szCs w:val="36"/>
          <w:highlight w:val="none"/>
        </w:rPr>
      </w:pPr>
      <w:r>
        <w:rPr>
          <w:rFonts w:ascii="仿宋" w:hAnsi="仿宋" w:eastAsia="仿宋" w:cs="仿宋_GB2312"/>
          <w:b/>
          <w:color w:val="auto"/>
          <w:sz w:val="24"/>
          <w:highlight w:val="none"/>
        </w:rPr>
        <w:br w:type="page"/>
      </w: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26" w:name="_Toc184313272"/>
      <w:bookmarkEnd w:id="26"/>
      <w:bookmarkStart w:id="27" w:name="_Toc184313292"/>
      <w:bookmarkEnd w:id="27"/>
      <w:bookmarkStart w:id="28" w:name="_Toc184308092"/>
      <w:bookmarkEnd w:id="28"/>
      <w:bookmarkStart w:id="29" w:name="_Toc184312120"/>
      <w:bookmarkEnd w:id="29"/>
      <w:bookmarkStart w:id="30" w:name="_Toc184313299"/>
      <w:bookmarkEnd w:id="30"/>
      <w:bookmarkStart w:id="31" w:name="_Toc184310334"/>
      <w:bookmarkEnd w:id="31"/>
      <w:bookmarkStart w:id="32" w:name="_Toc184312091"/>
      <w:bookmarkEnd w:id="32"/>
      <w:bookmarkStart w:id="33" w:name="_Toc184314468"/>
      <w:bookmarkEnd w:id="33"/>
      <w:bookmarkStart w:id="34" w:name="_Toc184308093"/>
      <w:bookmarkEnd w:id="34"/>
      <w:bookmarkStart w:id="35" w:name="_Toc184312125"/>
      <w:bookmarkEnd w:id="35"/>
      <w:bookmarkStart w:id="36" w:name="_Toc184313296"/>
      <w:bookmarkEnd w:id="36"/>
      <w:bookmarkStart w:id="37" w:name="_Toc184313304"/>
      <w:bookmarkEnd w:id="37"/>
      <w:bookmarkStart w:id="38" w:name="_Toc184310326"/>
      <w:bookmarkEnd w:id="38"/>
      <w:bookmarkStart w:id="39" w:name="_Toc184312107"/>
      <w:bookmarkEnd w:id="39"/>
      <w:bookmarkStart w:id="40" w:name="_Toc184313278"/>
      <w:bookmarkEnd w:id="40"/>
      <w:bookmarkStart w:id="41" w:name="_Toc184314471"/>
      <w:bookmarkEnd w:id="41"/>
      <w:bookmarkStart w:id="42" w:name="_Toc184310295"/>
      <w:bookmarkEnd w:id="42"/>
      <w:bookmarkStart w:id="43" w:name="_Toc184308097"/>
      <w:bookmarkEnd w:id="43"/>
      <w:bookmarkStart w:id="44" w:name="_Toc184314416"/>
      <w:bookmarkEnd w:id="44"/>
      <w:bookmarkStart w:id="45" w:name="_Toc184312072"/>
      <w:bookmarkEnd w:id="45"/>
      <w:bookmarkStart w:id="46" w:name="_Toc184308075"/>
      <w:bookmarkEnd w:id="46"/>
      <w:bookmarkStart w:id="47" w:name="_Toc184313244"/>
      <w:bookmarkEnd w:id="47"/>
      <w:bookmarkStart w:id="48" w:name="_Toc184313286"/>
      <w:bookmarkEnd w:id="48"/>
      <w:bookmarkStart w:id="49" w:name="_Toc184310290"/>
      <w:bookmarkEnd w:id="49"/>
      <w:bookmarkStart w:id="50" w:name="_Toc184313288"/>
      <w:bookmarkEnd w:id="50"/>
      <w:bookmarkStart w:id="51" w:name="_Toc184314481"/>
      <w:bookmarkEnd w:id="51"/>
      <w:bookmarkStart w:id="52" w:name="_Toc184310342"/>
      <w:bookmarkEnd w:id="52"/>
      <w:bookmarkStart w:id="53" w:name="_Toc184314414"/>
      <w:bookmarkEnd w:id="53"/>
      <w:bookmarkStart w:id="54" w:name="_Toc184310272"/>
      <w:bookmarkEnd w:id="54"/>
      <w:bookmarkStart w:id="55" w:name="_Toc184314474"/>
      <w:bookmarkEnd w:id="55"/>
      <w:bookmarkStart w:id="56" w:name="_Toc184313246"/>
      <w:bookmarkEnd w:id="56"/>
      <w:bookmarkStart w:id="57" w:name="_Toc184312122"/>
      <w:bookmarkEnd w:id="57"/>
      <w:bookmarkStart w:id="58" w:name="_Toc184308103"/>
      <w:bookmarkEnd w:id="58"/>
      <w:bookmarkStart w:id="59" w:name="_Toc184314437"/>
      <w:bookmarkEnd w:id="59"/>
      <w:bookmarkStart w:id="60" w:name="_Toc184312109"/>
      <w:bookmarkEnd w:id="60"/>
      <w:bookmarkStart w:id="61" w:name="_Toc184312128"/>
      <w:bookmarkEnd w:id="61"/>
      <w:bookmarkStart w:id="62" w:name="_Toc184312132"/>
      <w:bookmarkEnd w:id="62"/>
      <w:bookmarkStart w:id="63" w:name="_Toc184313297"/>
      <w:bookmarkEnd w:id="63"/>
      <w:bookmarkStart w:id="64" w:name="_Toc184312074"/>
      <w:bookmarkEnd w:id="64"/>
      <w:bookmarkStart w:id="65" w:name="_Toc184308037"/>
      <w:bookmarkEnd w:id="65"/>
      <w:bookmarkStart w:id="66" w:name="_Toc184308041"/>
      <w:bookmarkEnd w:id="66"/>
      <w:bookmarkStart w:id="67" w:name="_Toc184312090"/>
      <w:bookmarkEnd w:id="67"/>
      <w:bookmarkStart w:id="68" w:name="_Toc184308059"/>
      <w:bookmarkEnd w:id="68"/>
      <w:bookmarkStart w:id="69" w:name="_Toc184314418"/>
      <w:bookmarkEnd w:id="69"/>
      <w:bookmarkStart w:id="70" w:name="_Toc184310294"/>
      <w:bookmarkEnd w:id="70"/>
      <w:bookmarkStart w:id="71" w:name="_Toc184310335"/>
      <w:bookmarkEnd w:id="71"/>
      <w:bookmarkStart w:id="72" w:name="_Toc184313284"/>
      <w:bookmarkEnd w:id="72"/>
      <w:bookmarkStart w:id="73" w:name="_Toc184308105"/>
      <w:bookmarkEnd w:id="73"/>
      <w:bookmarkStart w:id="74" w:name="_Toc184313265"/>
      <w:bookmarkEnd w:id="74"/>
      <w:bookmarkStart w:id="75" w:name="_Toc184310280"/>
      <w:bookmarkEnd w:id="75"/>
      <w:bookmarkStart w:id="76" w:name="_Toc184313262"/>
      <w:bookmarkEnd w:id="76"/>
      <w:bookmarkStart w:id="77" w:name="_Toc184310301"/>
      <w:bookmarkEnd w:id="77"/>
      <w:bookmarkStart w:id="78" w:name="_Toc184308042"/>
      <w:bookmarkEnd w:id="78"/>
      <w:bookmarkStart w:id="79" w:name="_Toc184308044"/>
      <w:bookmarkEnd w:id="79"/>
      <w:bookmarkStart w:id="80" w:name="_Toc184310316"/>
      <w:bookmarkEnd w:id="80"/>
      <w:bookmarkStart w:id="81" w:name="_Toc184310344"/>
      <w:bookmarkEnd w:id="81"/>
      <w:bookmarkStart w:id="82" w:name="_Toc184310276"/>
      <w:bookmarkEnd w:id="82"/>
      <w:bookmarkStart w:id="83" w:name="_Toc184314415"/>
      <w:bookmarkEnd w:id="83"/>
      <w:bookmarkStart w:id="84" w:name="_Toc184313277"/>
      <w:bookmarkEnd w:id="84"/>
      <w:bookmarkStart w:id="85" w:name="_Toc184312083"/>
      <w:bookmarkEnd w:id="85"/>
      <w:bookmarkStart w:id="86" w:name="_Toc184308049"/>
      <w:bookmarkEnd w:id="86"/>
      <w:bookmarkStart w:id="87" w:name="_Toc184312112"/>
      <w:bookmarkEnd w:id="87"/>
      <w:bookmarkStart w:id="88" w:name="_Toc184314413"/>
      <w:bookmarkEnd w:id="88"/>
      <w:bookmarkStart w:id="89" w:name="_Toc184314450"/>
      <w:bookmarkEnd w:id="89"/>
      <w:bookmarkStart w:id="90" w:name="_Toc184310274"/>
      <w:bookmarkEnd w:id="90"/>
      <w:bookmarkStart w:id="91" w:name="_Toc184308096"/>
      <w:bookmarkEnd w:id="91"/>
      <w:bookmarkStart w:id="92" w:name="_Toc184310287"/>
      <w:bookmarkEnd w:id="92"/>
      <w:bookmarkStart w:id="93" w:name="_Toc184308043"/>
      <w:bookmarkEnd w:id="93"/>
      <w:bookmarkStart w:id="94" w:name="_Toc184314429"/>
      <w:bookmarkEnd w:id="94"/>
      <w:bookmarkStart w:id="95" w:name="_Toc184314428"/>
      <w:bookmarkEnd w:id="95"/>
      <w:bookmarkStart w:id="96" w:name="_Toc184312103"/>
      <w:bookmarkEnd w:id="96"/>
      <w:bookmarkStart w:id="97" w:name="_Toc184313253"/>
      <w:bookmarkEnd w:id="97"/>
      <w:bookmarkStart w:id="98" w:name="_Toc184313260"/>
      <w:bookmarkEnd w:id="98"/>
      <w:bookmarkStart w:id="99" w:name="_Toc184312067"/>
      <w:bookmarkEnd w:id="99"/>
      <w:bookmarkStart w:id="100" w:name="_Toc184308104"/>
      <w:bookmarkEnd w:id="100"/>
      <w:bookmarkStart w:id="101" w:name="_Toc184314472"/>
      <w:bookmarkEnd w:id="101"/>
      <w:bookmarkStart w:id="102" w:name="_Toc184308062"/>
      <w:bookmarkEnd w:id="102"/>
      <w:bookmarkStart w:id="103" w:name="_Toc184314433"/>
      <w:bookmarkEnd w:id="103"/>
      <w:bookmarkStart w:id="104" w:name="_Toc184312111"/>
      <w:bookmarkEnd w:id="104"/>
      <w:bookmarkStart w:id="105" w:name="_Toc184314448"/>
      <w:bookmarkEnd w:id="105"/>
      <w:bookmarkStart w:id="106" w:name="_Toc184308039"/>
      <w:bookmarkEnd w:id="106"/>
      <w:bookmarkStart w:id="107" w:name="_Toc184312095"/>
      <w:bookmarkEnd w:id="107"/>
      <w:bookmarkStart w:id="108" w:name="_Toc184313256"/>
      <w:bookmarkEnd w:id="108"/>
      <w:bookmarkStart w:id="109" w:name="_Toc184314434"/>
      <w:bookmarkEnd w:id="109"/>
      <w:bookmarkStart w:id="110" w:name="_Toc184310315"/>
      <w:bookmarkEnd w:id="110"/>
      <w:bookmarkStart w:id="111" w:name="_Toc184314426"/>
      <w:bookmarkEnd w:id="111"/>
      <w:bookmarkStart w:id="112" w:name="_Toc184313306"/>
      <w:bookmarkEnd w:id="112"/>
      <w:bookmarkStart w:id="113" w:name="_Toc184310289"/>
      <w:bookmarkEnd w:id="113"/>
      <w:bookmarkStart w:id="114" w:name="_Toc184313254"/>
      <w:bookmarkEnd w:id="114"/>
      <w:bookmarkStart w:id="115" w:name="_Toc184314443"/>
      <w:bookmarkEnd w:id="115"/>
      <w:bookmarkStart w:id="116" w:name="_Toc184313273"/>
      <w:bookmarkEnd w:id="116"/>
      <w:bookmarkStart w:id="117" w:name="_Toc184314446"/>
      <w:bookmarkEnd w:id="117"/>
      <w:bookmarkStart w:id="118" w:name="_Toc184313269"/>
      <w:bookmarkEnd w:id="118"/>
      <w:bookmarkStart w:id="119" w:name="_Toc184313267"/>
      <w:bookmarkEnd w:id="119"/>
      <w:bookmarkStart w:id="120" w:name="_Toc184310302"/>
      <w:bookmarkEnd w:id="120"/>
      <w:bookmarkStart w:id="121" w:name="_Toc184310317"/>
      <w:bookmarkEnd w:id="121"/>
      <w:bookmarkStart w:id="122" w:name="_Toc184312100"/>
      <w:bookmarkEnd w:id="122"/>
      <w:bookmarkStart w:id="123" w:name="_Toc184310291"/>
      <w:bookmarkEnd w:id="123"/>
      <w:bookmarkStart w:id="124" w:name="_Toc184312084"/>
      <w:bookmarkEnd w:id="124"/>
      <w:bookmarkStart w:id="125" w:name="_Toc184313280"/>
      <w:bookmarkEnd w:id="125"/>
      <w:bookmarkStart w:id="126" w:name="_Toc184310297"/>
      <w:bookmarkEnd w:id="126"/>
      <w:bookmarkStart w:id="127" w:name="_Toc184313275"/>
      <w:bookmarkEnd w:id="127"/>
      <w:bookmarkStart w:id="128" w:name="_Toc184310310"/>
      <w:bookmarkEnd w:id="128"/>
      <w:bookmarkStart w:id="129" w:name="_Toc184312085"/>
      <w:bookmarkEnd w:id="129"/>
      <w:bookmarkStart w:id="130" w:name="_Toc184310275"/>
      <w:bookmarkEnd w:id="130"/>
      <w:bookmarkStart w:id="131" w:name="_Toc184313263"/>
      <w:bookmarkEnd w:id="131"/>
      <w:bookmarkStart w:id="132" w:name="_Toc184308056"/>
      <w:bookmarkEnd w:id="132"/>
      <w:bookmarkStart w:id="133" w:name="_Toc184312116"/>
      <w:bookmarkEnd w:id="133"/>
      <w:bookmarkStart w:id="134" w:name="_Toc184308040"/>
      <w:bookmarkEnd w:id="134"/>
      <w:bookmarkStart w:id="135" w:name="_Toc184310300"/>
      <w:bookmarkEnd w:id="135"/>
      <w:bookmarkStart w:id="136" w:name="_Toc184310293"/>
      <w:bookmarkEnd w:id="136"/>
      <w:bookmarkStart w:id="137" w:name="_Toc184314475"/>
      <w:bookmarkEnd w:id="137"/>
      <w:bookmarkStart w:id="138" w:name="_Toc184310288"/>
      <w:bookmarkEnd w:id="138"/>
      <w:bookmarkStart w:id="139" w:name="_Toc184313303"/>
      <w:bookmarkEnd w:id="139"/>
      <w:bookmarkStart w:id="140" w:name="_Toc184308058"/>
      <w:bookmarkEnd w:id="140"/>
      <w:bookmarkStart w:id="141" w:name="_Toc184312070"/>
      <w:bookmarkEnd w:id="141"/>
      <w:bookmarkStart w:id="142" w:name="_Toc184308066"/>
      <w:bookmarkEnd w:id="142"/>
      <w:bookmarkStart w:id="143" w:name="_Toc184314438"/>
      <w:bookmarkEnd w:id="143"/>
      <w:bookmarkStart w:id="144" w:name="_Toc184313251"/>
      <w:bookmarkEnd w:id="144"/>
      <w:bookmarkStart w:id="145" w:name="_Toc184314431"/>
      <w:bookmarkEnd w:id="145"/>
      <w:bookmarkStart w:id="146" w:name="_Toc184312087"/>
      <w:bookmarkEnd w:id="146"/>
      <w:bookmarkStart w:id="147" w:name="_Toc184312106"/>
      <w:bookmarkEnd w:id="147"/>
      <w:bookmarkStart w:id="148" w:name="_Toc184310299"/>
      <w:bookmarkEnd w:id="148"/>
      <w:bookmarkStart w:id="149" w:name="_Toc184312069"/>
      <w:bookmarkEnd w:id="149"/>
      <w:bookmarkStart w:id="150" w:name="_Toc184308067"/>
      <w:bookmarkEnd w:id="150"/>
      <w:bookmarkStart w:id="151" w:name="_Toc184312088"/>
      <w:bookmarkEnd w:id="151"/>
      <w:bookmarkStart w:id="152" w:name="_Toc184308061"/>
      <w:bookmarkEnd w:id="152"/>
      <w:bookmarkStart w:id="153" w:name="_Toc184312097"/>
      <w:bookmarkEnd w:id="153"/>
      <w:bookmarkStart w:id="154" w:name="_Toc184308101"/>
      <w:bookmarkEnd w:id="154"/>
      <w:bookmarkStart w:id="155" w:name="_Toc184308065"/>
      <w:bookmarkEnd w:id="155"/>
      <w:bookmarkStart w:id="156" w:name="_Toc184312094"/>
      <w:bookmarkEnd w:id="156"/>
      <w:bookmarkStart w:id="157" w:name="_Toc184310341"/>
      <w:bookmarkEnd w:id="157"/>
      <w:bookmarkStart w:id="158" w:name="_Toc184312117"/>
      <w:bookmarkEnd w:id="158"/>
      <w:bookmarkStart w:id="159" w:name="_Toc184314458"/>
      <w:bookmarkEnd w:id="159"/>
      <w:bookmarkStart w:id="160" w:name="_Toc184314473"/>
      <w:bookmarkEnd w:id="160"/>
      <w:bookmarkStart w:id="161" w:name="_Toc184308064"/>
      <w:bookmarkEnd w:id="161"/>
      <w:bookmarkStart w:id="162" w:name="_Toc184314449"/>
      <w:bookmarkEnd w:id="162"/>
      <w:bookmarkStart w:id="163" w:name="_Toc184313259"/>
      <w:bookmarkEnd w:id="163"/>
      <w:bookmarkStart w:id="164" w:name="_Toc184308069"/>
      <w:bookmarkEnd w:id="164"/>
      <w:bookmarkStart w:id="165" w:name="_Toc184310282"/>
      <w:bookmarkEnd w:id="165"/>
      <w:bookmarkStart w:id="166" w:name="_Toc184313271"/>
      <w:bookmarkEnd w:id="166"/>
      <w:bookmarkStart w:id="167" w:name="_Toc184313266"/>
      <w:bookmarkEnd w:id="167"/>
      <w:bookmarkStart w:id="168" w:name="_Toc184312115"/>
      <w:bookmarkEnd w:id="168"/>
      <w:bookmarkStart w:id="169" w:name="_Toc184310296"/>
      <w:bookmarkEnd w:id="169"/>
      <w:bookmarkStart w:id="170" w:name="_Toc184313281"/>
      <w:bookmarkEnd w:id="170"/>
      <w:bookmarkStart w:id="171" w:name="_Toc184308052"/>
      <w:bookmarkEnd w:id="171"/>
      <w:bookmarkStart w:id="172" w:name="_Toc184308047"/>
      <w:bookmarkEnd w:id="172"/>
      <w:bookmarkStart w:id="173" w:name="_Toc184310314"/>
      <w:bookmarkEnd w:id="173"/>
      <w:bookmarkStart w:id="174" w:name="_Toc184314441"/>
      <w:bookmarkEnd w:id="174"/>
      <w:bookmarkStart w:id="175" w:name="_Toc184310298"/>
      <w:bookmarkEnd w:id="175"/>
      <w:bookmarkStart w:id="176" w:name="_Toc184308054"/>
      <w:bookmarkEnd w:id="176"/>
      <w:bookmarkStart w:id="177" w:name="_Toc184313257"/>
      <w:bookmarkEnd w:id="177"/>
      <w:bookmarkStart w:id="178" w:name="_Toc184310336"/>
      <w:bookmarkEnd w:id="178"/>
      <w:bookmarkStart w:id="179" w:name="_Toc184313287"/>
      <w:bookmarkEnd w:id="179"/>
      <w:bookmarkStart w:id="180" w:name="_Toc184310308"/>
      <w:bookmarkEnd w:id="180"/>
      <w:bookmarkStart w:id="181" w:name="_Toc184313307"/>
      <w:bookmarkEnd w:id="181"/>
      <w:bookmarkStart w:id="182" w:name="_Toc184312131"/>
      <w:bookmarkEnd w:id="182"/>
      <w:bookmarkStart w:id="183" w:name="_Toc184312068"/>
      <w:bookmarkEnd w:id="183"/>
      <w:bookmarkStart w:id="184" w:name="_Toc184310292"/>
      <w:bookmarkEnd w:id="184"/>
      <w:bookmarkStart w:id="185" w:name="_Toc184313279"/>
      <w:bookmarkEnd w:id="185"/>
      <w:bookmarkStart w:id="186" w:name="_Toc184314410"/>
      <w:bookmarkEnd w:id="186"/>
      <w:bookmarkStart w:id="187" w:name="_Toc184308084"/>
      <w:bookmarkEnd w:id="187"/>
      <w:bookmarkStart w:id="188" w:name="_Toc184314430"/>
      <w:bookmarkEnd w:id="188"/>
      <w:bookmarkStart w:id="189" w:name="_Toc184312098"/>
      <w:bookmarkEnd w:id="189"/>
      <w:bookmarkStart w:id="190" w:name="_Toc184314432"/>
      <w:bookmarkEnd w:id="190"/>
      <w:bookmarkStart w:id="191" w:name="_Toc184313308"/>
      <w:bookmarkEnd w:id="191"/>
      <w:bookmarkStart w:id="192" w:name="_Toc184312135"/>
      <w:bookmarkEnd w:id="192"/>
      <w:bookmarkStart w:id="193" w:name="_Toc184310273"/>
      <w:bookmarkEnd w:id="193"/>
      <w:bookmarkStart w:id="194" w:name="_Toc184308055"/>
      <w:bookmarkEnd w:id="194"/>
      <w:bookmarkStart w:id="195" w:name="_Toc184308048"/>
      <w:bookmarkEnd w:id="195"/>
      <w:bookmarkStart w:id="196" w:name="_Toc184308071"/>
      <w:bookmarkEnd w:id="196"/>
      <w:bookmarkStart w:id="197" w:name="_Toc184314459"/>
      <w:bookmarkEnd w:id="197"/>
      <w:bookmarkStart w:id="198" w:name="_Toc184314455"/>
      <w:bookmarkEnd w:id="198"/>
      <w:bookmarkStart w:id="199" w:name="_Toc184314440"/>
      <w:bookmarkEnd w:id="199"/>
      <w:bookmarkStart w:id="200" w:name="_Toc184310322"/>
      <w:bookmarkEnd w:id="200"/>
      <w:bookmarkStart w:id="201" w:name="_Toc184308074"/>
      <w:bookmarkEnd w:id="201"/>
      <w:bookmarkStart w:id="202" w:name="_Toc184308057"/>
      <w:bookmarkEnd w:id="202"/>
      <w:bookmarkStart w:id="203" w:name="_Toc184313291"/>
      <w:bookmarkEnd w:id="203"/>
      <w:bookmarkStart w:id="204" w:name="_Toc184308081"/>
      <w:bookmarkEnd w:id="204"/>
      <w:bookmarkStart w:id="205" w:name="_Toc184310305"/>
      <w:bookmarkEnd w:id="205"/>
      <w:bookmarkStart w:id="206" w:name="_Toc184313270"/>
      <w:bookmarkEnd w:id="206"/>
      <w:bookmarkStart w:id="207" w:name="_Toc184308038"/>
      <w:bookmarkEnd w:id="207"/>
      <w:bookmarkStart w:id="208" w:name="_Toc184312073"/>
      <w:bookmarkEnd w:id="208"/>
      <w:bookmarkStart w:id="209" w:name="_Toc184313240"/>
      <w:bookmarkEnd w:id="209"/>
      <w:bookmarkStart w:id="210" w:name="_Toc184310306"/>
      <w:bookmarkEnd w:id="210"/>
      <w:bookmarkStart w:id="211" w:name="_Toc184312075"/>
      <w:bookmarkEnd w:id="211"/>
      <w:bookmarkStart w:id="212" w:name="_Toc184314442"/>
      <w:bookmarkEnd w:id="212"/>
      <w:bookmarkStart w:id="213" w:name="_Toc184313258"/>
      <w:bookmarkEnd w:id="213"/>
      <w:bookmarkStart w:id="214" w:name="_Toc184310281"/>
      <w:bookmarkEnd w:id="214"/>
      <w:bookmarkStart w:id="215" w:name="_Toc184314447"/>
      <w:bookmarkEnd w:id="215"/>
      <w:bookmarkStart w:id="216" w:name="_Toc184313249"/>
      <w:bookmarkEnd w:id="216"/>
      <w:bookmarkStart w:id="217" w:name="_Toc184312086"/>
      <w:bookmarkEnd w:id="217"/>
      <w:bookmarkStart w:id="218" w:name="_Toc184314445"/>
      <w:bookmarkEnd w:id="218"/>
      <w:bookmarkStart w:id="219" w:name="_Toc184314411"/>
      <w:bookmarkEnd w:id="219"/>
      <w:bookmarkStart w:id="220" w:name="_Toc184310343"/>
      <w:bookmarkEnd w:id="220"/>
      <w:bookmarkStart w:id="221" w:name="_Toc184310279"/>
      <w:bookmarkEnd w:id="221"/>
      <w:bookmarkStart w:id="222" w:name="_Toc184308083"/>
      <w:bookmarkEnd w:id="222"/>
      <w:bookmarkStart w:id="223" w:name="_Toc184313283"/>
      <w:bookmarkEnd w:id="223"/>
      <w:bookmarkStart w:id="224" w:name="_Toc184312081"/>
      <w:bookmarkEnd w:id="224"/>
      <w:bookmarkStart w:id="225" w:name="_Toc184308053"/>
      <w:bookmarkEnd w:id="225"/>
      <w:bookmarkStart w:id="226" w:name="_Toc184310303"/>
      <w:bookmarkEnd w:id="226"/>
      <w:bookmarkStart w:id="227" w:name="_Toc184314454"/>
      <w:bookmarkEnd w:id="227"/>
      <w:bookmarkStart w:id="228" w:name="_Toc184314417"/>
      <w:bookmarkEnd w:id="228"/>
      <w:bookmarkStart w:id="229" w:name="_Toc184313238"/>
      <w:bookmarkEnd w:id="229"/>
      <w:bookmarkStart w:id="230" w:name="_Toc184313247"/>
      <w:bookmarkEnd w:id="230"/>
      <w:bookmarkStart w:id="231" w:name="_Toc184310337"/>
      <w:bookmarkEnd w:id="231"/>
      <w:bookmarkStart w:id="232" w:name="_Toc184314453"/>
      <w:bookmarkEnd w:id="232"/>
      <w:bookmarkStart w:id="233" w:name="_Toc184310283"/>
      <w:bookmarkEnd w:id="233"/>
      <w:bookmarkStart w:id="234" w:name="_Toc184310333"/>
      <w:bookmarkEnd w:id="234"/>
      <w:bookmarkStart w:id="235" w:name="_Toc184312119"/>
      <w:bookmarkEnd w:id="235"/>
      <w:bookmarkStart w:id="236" w:name="_Toc184312078"/>
      <w:bookmarkEnd w:id="236"/>
      <w:bookmarkStart w:id="237" w:name="_Toc184308070"/>
      <w:bookmarkEnd w:id="237"/>
      <w:bookmarkStart w:id="238" w:name="_Toc184310311"/>
      <w:bookmarkEnd w:id="238"/>
      <w:bookmarkStart w:id="239" w:name="_Toc184313264"/>
      <w:bookmarkEnd w:id="239"/>
      <w:bookmarkStart w:id="240" w:name="_Toc184313245"/>
      <w:bookmarkEnd w:id="240"/>
      <w:bookmarkStart w:id="241" w:name="_Toc184314439"/>
      <w:bookmarkEnd w:id="241"/>
      <w:bookmarkStart w:id="242" w:name="_Toc184312101"/>
      <w:bookmarkEnd w:id="242"/>
      <w:bookmarkStart w:id="243" w:name="_Toc184313285"/>
      <w:bookmarkEnd w:id="243"/>
      <w:bookmarkStart w:id="244" w:name="_Toc184308072"/>
      <w:bookmarkEnd w:id="244"/>
      <w:bookmarkStart w:id="245" w:name="_Toc184310285"/>
      <w:bookmarkEnd w:id="245"/>
      <w:bookmarkStart w:id="246" w:name="_Toc184313268"/>
      <w:bookmarkEnd w:id="246"/>
      <w:bookmarkStart w:id="247" w:name="_Toc184310325"/>
      <w:bookmarkEnd w:id="247"/>
      <w:bookmarkStart w:id="248" w:name="_Toc184312076"/>
      <w:bookmarkEnd w:id="248"/>
      <w:bookmarkStart w:id="249" w:name="_Toc184313239"/>
      <w:bookmarkEnd w:id="249"/>
      <w:bookmarkStart w:id="250" w:name="_Toc184310340"/>
      <w:bookmarkEnd w:id="250"/>
      <w:bookmarkStart w:id="251" w:name="_Toc184313255"/>
      <w:bookmarkEnd w:id="251"/>
      <w:bookmarkStart w:id="252" w:name="_Toc184310330"/>
      <w:bookmarkEnd w:id="252"/>
      <w:bookmarkStart w:id="253" w:name="_Toc184312071"/>
      <w:bookmarkEnd w:id="253"/>
      <w:bookmarkStart w:id="254" w:name="_Toc184314423"/>
      <w:bookmarkEnd w:id="254"/>
      <w:bookmarkStart w:id="255" w:name="_Toc184313248"/>
      <w:bookmarkEnd w:id="255"/>
      <w:bookmarkStart w:id="256" w:name="_Toc184308078"/>
      <w:bookmarkEnd w:id="256"/>
      <w:bookmarkStart w:id="257" w:name="_Toc184314478"/>
      <w:bookmarkEnd w:id="257"/>
      <w:bookmarkStart w:id="258" w:name="_Toc184310312"/>
      <w:bookmarkEnd w:id="258"/>
      <w:bookmarkStart w:id="259" w:name="_Toc184314457"/>
      <w:bookmarkEnd w:id="259"/>
      <w:bookmarkStart w:id="260" w:name="_Toc184314470"/>
      <w:bookmarkEnd w:id="260"/>
      <w:bookmarkStart w:id="261" w:name="_Toc184310339"/>
      <w:bookmarkEnd w:id="261"/>
      <w:bookmarkStart w:id="262" w:name="_Toc184308088"/>
      <w:bookmarkEnd w:id="262"/>
      <w:bookmarkStart w:id="263" w:name="_Toc184308082"/>
      <w:bookmarkEnd w:id="263"/>
      <w:bookmarkStart w:id="264" w:name="_Toc184313282"/>
      <w:bookmarkEnd w:id="264"/>
      <w:bookmarkStart w:id="265" w:name="_Toc184312123"/>
      <w:bookmarkEnd w:id="265"/>
      <w:bookmarkStart w:id="266" w:name="_Toc184314456"/>
      <w:bookmarkEnd w:id="266"/>
      <w:bookmarkStart w:id="267" w:name="_Toc184314462"/>
      <w:bookmarkEnd w:id="267"/>
      <w:bookmarkStart w:id="268" w:name="_Toc184312114"/>
      <w:bookmarkEnd w:id="268"/>
      <w:bookmarkStart w:id="269" w:name="_Toc184313274"/>
      <w:bookmarkEnd w:id="269"/>
      <w:bookmarkStart w:id="270" w:name="_Toc184308046"/>
      <w:bookmarkEnd w:id="270"/>
      <w:bookmarkStart w:id="271" w:name="_Toc184308063"/>
      <w:bookmarkEnd w:id="271"/>
      <w:bookmarkStart w:id="272" w:name="_Toc184312130"/>
      <w:bookmarkEnd w:id="272"/>
      <w:bookmarkStart w:id="273" w:name="_Toc184312137"/>
      <w:bookmarkEnd w:id="273"/>
      <w:bookmarkStart w:id="274" w:name="_Toc184308076"/>
      <w:bookmarkEnd w:id="274"/>
      <w:bookmarkStart w:id="275" w:name="_Toc184312127"/>
      <w:bookmarkEnd w:id="275"/>
      <w:bookmarkStart w:id="276" w:name="_Toc184310327"/>
      <w:bookmarkEnd w:id="276"/>
      <w:bookmarkStart w:id="277" w:name="_Toc184314464"/>
      <w:bookmarkEnd w:id="277"/>
      <w:bookmarkStart w:id="278" w:name="_Toc184313301"/>
      <w:bookmarkEnd w:id="278"/>
      <w:bookmarkStart w:id="279" w:name="_Toc184308095"/>
      <w:bookmarkEnd w:id="279"/>
      <w:bookmarkStart w:id="280" w:name="_Toc184313298"/>
      <w:bookmarkEnd w:id="280"/>
      <w:bookmarkStart w:id="281" w:name="_Toc184314465"/>
      <w:bookmarkEnd w:id="281"/>
      <w:bookmarkStart w:id="282" w:name="_Toc184314436"/>
      <w:bookmarkEnd w:id="282"/>
      <w:bookmarkStart w:id="283" w:name="_Toc184312133"/>
      <w:bookmarkEnd w:id="283"/>
      <w:bookmarkStart w:id="284" w:name="_Toc184308099"/>
      <w:bookmarkEnd w:id="284"/>
      <w:bookmarkStart w:id="285" w:name="_Toc184314422"/>
      <w:bookmarkEnd w:id="285"/>
      <w:bookmarkStart w:id="286" w:name="_Toc184308090"/>
      <w:bookmarkEnd w:id="286"/>
      <w:bookmarkStart w:id="287" w:name="_Toc184314463"/>
      <w:bookmarkEnd w:id="287"/>
      <w:bookmarkStart w:id="288" w:name="_Toc184310338"/>
      <w:bookmarkEnd w:id="288"/>
      <w:bookmarkStart w:id="289" w:name="_Toc184314466"/>
      <w:bookmarkEnd w:id="289"/>
      <w:bookmarkStart w:id="290" w:name="_Toc184310286"/>
      <w:bookmarkEnd w:id="290"/>
      <w:bookmarkStart w:id="291" w:name="_Toc184313252"/>
      <w:bookmarkEnd w:id="291"/>
      <w:bookmarkStart w:id="292" w:name="_Toc184308068"/>
      <w:bookmarkEnd w:id="292"/>
      <w:bookmarkStart w:id="293" w:name="_Toc184314467"/>
      <w:bookmarkEnd w:id="293"/>
      <w:bookmarkStart w:id="294" w:name="_Toc184308087"/>
      <w:bookmarkEnd w:id="294"/>
      <w:bookmarkStart w:id="295" w:name="_Toc184312139"/>
      <w:bookmarkEnd w:id="295"/>
      <w:bookmarkStart w:id="296" w:name="_Toc184308077"/>
      <w:bookmarkEnd w:id="296"/>
      <w:bookmarkStart w:id="297" w:name="_Toc184310313"/>
      <w:bookmarkEnd w:id="297"/>
      <w:bookmarkStart w:id="298" w:name="_Toc184308108"/>
      <w:bookmarkEnd w:id="298"/>
      <w:bookmarkStart w:id="299" w:name="_Toc184312121"/>
      <w:bookmarkEnd w:id="299"/>
      <w:bookmarkStart w:id="300" w:name="_Toc184310284"/>
      <w:bookmarkEnd w:id="300"/>
      <w:bookmarkStart w:id="301" w:name="_Toc184312113"/>
      <w:bookmarkEnd w:id="301"/>
      <w:bookmarkStart w:id="302" w:name="_Toc184308085"/>
      <w:bookmarkEnd w:id="302"/>
      <w:bookmarkStart w:id="303" w:name="_Toc184312079"/>
      <w:bookmarkEnd w:id="303"/>
      <w:bookmarkStart w:id="304" w:name="_Toc184313250"/>
      <w:bookmarkEnd w:id="304"/>
      <w:bookmarkStart w:id="305" w:name="_Toc184308086"/>
      <w:bookmarkEnd w:id="305"/>
      <w:bookmarkStart w:id="306" w:name="_Toc184312138"/>
      <w:bookmarkEnd w:id="306"/>
      <w:bookmarkStart w:id="307" w:name="_Toc184314476"/>
      <w:bookmarkEnd w:id="307"/>
      <w:bookmarkStart w:id="308" w:name="_Toc184308094"/>
      <w:bookmarkEnd w:id="308"/>
      <w:bookmarkStart w:id="309" w:name="_Toc184312102"/>
      <w:bookmarkEnd w:id="309"/>
      <w:bookmarkStart w:id="310" w:name="_Toc184313294"/>
      <w:bookmarkEnd w:id="310"/>
      <w:bookmarkStart w:id="311" w:name="_Toc184312136"/>
      <w:bookmarkEnd w:id="311"/>
      <w:bookmarkStart w:id="312" w:name="_Toc184314420"/>
      <w:bookmarkEnd w:id="312"/>
      <w:bookmarkStart w:id="313" w:name="_Toc184313295"/>
      <w:bookmarkEnd w:id="313"/>
      <w:bookmarkStart w:id="314" w:name="_Toc184312096"/>
      <w:bookmarkEnd w:id="314"/>
      <w:bookmarkStart w:id="315" w:name="_Toc184312105"/>
      <w:bookmarkEnd w:id="315"/>
      <w:bookmarkStart w:id="316" w:name="_Toc184310331"/>
      <w:bookmarkEnd w:id="316"/>
      <w:bookmarkStart w:id="317" w:name="_Toc184313293"/>
      <w:bookmarkEnd w:id="317"/>
      <w:bookmarkStart w:id="318" w:name="_Toc184314482"/>
      <w:bookmarkEnd w:id="318"/>
      <w:bookmarkStart w:id="319" w:name="_Toc184310328"/>
      <w:bookmarkEnd w:id="319"/>
      <w:bookmarkStart w:id="320" w:name="_Toc184308091"/>
      <w:bookmarkEnd w:id="320"/>
      <w:bookmarkStart w:id="321" w:name="_Toc184314461"/>
      <w:bookmarkEnd w:id="321"/>
      <w:bookmarkStart w:id="322" w:name="_Toc184313310"/>
      <w:bookmarkEnd w:id="322"/>
      <w:bookmarkStart w:id="323" w:name="_Toc184314451"/>
      <w:bookmarkEnd w:id="323"/>
      <w:bookmarkStart w:id="324" w:name="_Toc184313241"/>
      <w:bookmarkEnd w:id="324"/>
      <w:bookmarkStart w:id="325" w:name="_Toc184313289"/>
      <w:bookmarkEnd w:id="325"/>
      <w:bookmarkStart w:id="326" w:name="_Toc184312093"/>
      <w:bookmarkEnd w:id="326"/>
      <w:bookmarkStart w:id="327" w:name="_Toc184308051"/>
      <w:bookmarkEnd w:id="327"/>
      <w:bookmarkStart w:id="328" w:name="_Toc184313302"/>
      <w:bookmarkEnd w:id="328"/>
      <w:bookmarkStart w:id="329" w:name="_Toc184314469"/>
      <w:bookmarkEnd w:id="329"/>
      <w:bookmarkStart w:id="330" w:name="_Toc184310320"/>
      <w:bookmarkEnd w:id="330"/>
      <w:bookmarkStart w:id="331" w:name="_Toc184310324"/>
      <w:bookmarkEnd w:id="331"/>
      <w:bookmarkStart w:id="332" w:name="_Toc184308050"/>
      <w:bookmarkEnd w:id="332"/>
      <w:bookmarkStart w:id="333" w:name="_Toc184314424"/>
      <w:bookmarkEnd w:id="333"/>
      <w:bookmarkStart w:id="334" w:name="_Toc184312099"/>
      <w:bookmarkEnd w:id="334"/>
      <w:bookmarkStart w:id="335" w:name="_Toc184314421"/>
      <w:bookmarkEnd w:id="335"/>
      <w:bookmarkStart w:id="336" w:name="_Toc184312080"/>
      <w:bookmarkEnd w:id="336"/>
      <w:bookmarkStart w:id="337" w:name="_Toc184313300"/>
      <w:bookmarkEnd w:id="337"/>
      <w:bookmarkStart w:id="338" w:name="_Toc184308036"/>
      <w:bookmarkEnd w:id="338"/>
      <w:bookmarkStart w:id="339" w:name="_Toc184308080"/>
      <w:bookmarkEnd w:id="339"/>
      <w:bookmarkStart w:id="340" w:name="_Toc184310332"/>
      <w:bookmarkEnd w:id="340"/>
      <w:bookmarkStart w:id="341" w:name="_Toc184313309"/>
      <w:bookmarkEnd w:id="341"/>
      <w:bookmarkStart w:id="342" w:name="_Toc184314419"/>
      <w:bookmarkEnd w:id="342"/>
      <w:bookmarkStart w:id="343" w:name="_Toc184313242"/>
      <w:bookmarkEnd w:id="343"/>
      <w:bookmarkStart w:id="344" w:name="_Toc184310323"/>
      <w:bookmarkEnd w:id="344"/>
      <w:bookmarkStart w:id="345" w:name="_Toc184314460"/>
      <w:bookmarkEnd w:id="345"/>
      <w:bookmarkStart w:id="346" w:name="_Toc184314480"/>
      <w:bookmarkEnd w:id="346"/>
      <w:bookmarkStart w:id="347" w:name="_Toc184308102"/>
      <w:bookmarkEnd w:id="347"/>
      <w:bookmarkStart w:id="348" w:name="_Toc184308100"/>
      <w:bookmarkEnd w:id="348"/>
      <w:bookmarkStart w:id="349" w:name="_Toc184314444"/>
      <w:bookmarkEnd w:id="349"/>
      <w:bookmarkStart w:id="350" w:name="_Toc184312126"/>
      <w:bookmarkEnd w:id="350"/>
      <w:bookmarkStart w:id="351" w:name="_Toc184312124"/>
      <w:bookmarkEnd w:id="351"/>
      <w:bookmarkStart w:id="352" w:name="_Toc184312104"/>
      <w:bookmarkEnd w:id="352"/>
      <w:bookmarkStart w:id="353" w:name="_Toc184312108"/>
      <w:bookmarkEnd w:id="353"/>
      <w:bookmarkStart w:id="354" w:name="_Toc184314479"/>
      <w:bookmarkEnd w:id="354"/>
      <w:bookmarkStart w:id="355" w:name="_Toc184308079"/>
      <w:bookmarkEnd w:id="355"/>
      <w:bookmarkStart w:id="356" w:name="_Toc184308107"/>
      <w:bookmarkEnd w:id="356"/>
      <w:bookmarkStart w:id="357" w:name="_Toc184310319"/>
      <w:bookmarkEnd w:id="357"/>
      <w:bookmarkStart w:id="358" w:name="_Toc184310307"/>
      <w:bookmarkEnd w:id="358"/>
      <w:bookmarkStart w:id="359" w:name="_Toc184312118"/>
      <w:bookmarkEnd w:id="359"/>
      <w:bookmarkStart w:id="360" w:name="_Toc184310309"/>
      <w:bookmarkEnd w:id="360"/>
      <w:bookmarkStart w:id="361" w:name="_Toc184308089"/>
      <w:bookmarkEnd w:id="361"/>
      <w:bookmarkStart w:id="362" w:name="_Toc184313261"/>
      <w:bookmarkEnd w:id="362"/>
      <w:bookmarkStart w:id="363" w:name="_Toc184312134"/>
      <w:bookmarkEnd w:id="363"/>
      <w:bookmarkStart w:id="364" w:name="_Toc184310278"/>
      <w:bookmarkEnd w:id="364"/>
      <w:bookmarkStart w:id="365" w:name="_Toc184314412"/>
      <w:bookmarkEnd w:id="365"/>
      <w:bookmarkStart w:id="366" w:name="_Toc184312089"/>
      <w:bookmarkEnd w:id="366"/>
      <w:bookmarkStart w:id="367" w:name="_Toc184308045"/>
      <w:bookmarkEnd w:id="367"/>
      <w:bookmarkStart w:id="368" w:name="_Toc184310321"/>
      <w:bookmarkEnd w:id="368"/>
      <w:bookmarkStart w:id="369" w:name="_Toc184312129"/>
      <w:bookmarkEnd w:id="369"/>
      <w:bookmarkStart w:id="370" w:name="_Toc184312092"/>
      <w:bookmarkEnd w:id="370"/>
      <w:bookmarkStart w:id="371" w:name="_Toc184313290"/>
      <w:bookmarkEnd w:id="371"/>
      <w:bookmarkStart w:id="372" w:name="_Toc184308106"/>
      <w:bookmarkEnd w:id="372"/>
      <w:bookmarkStart w:id="373" w:name="_Toc184313243"/>
      <w:bookmarkEnd w:id="373"/>
      <w:bookmarkStart w:id="374" w:name="_Toc184312110"/>
      <w:bookmarkEnd w:id="374"/>
      <w:bookmarkStart w:id="375" w:name="_Toc184310304"/>
      <w:bookmarkEnd w:id="375"/>
      <w:bookmarkStart w:id="376" w:name="_Toc184313305"/>
      <w:bookmarkEnd w:id="376"/>
      <w:bookmarkStart w:id="377" w:name="_Toc184313276"/>
      <w:bookmarkEnd w:id="377"/>
      <w:bookmarkStart w:id="378" w:name="_Toc184310277"/>
      <w:bookmarkEnd w:id="378"/>
      <w:bookmarkStart w:id="379" w:name="_Toc184314425"/>
      <w:bookmarkEnd w:id="379"/>
      <w:bookmarkStart w:id="380" w:name="_Toc184312082"/>
      <w:bookmarkEnd w:id="380"/>
      <w:bookmarkStart w:id="381" w:name="_Toc184314477"/>
      <w:bookmarkEnd w:id="381"/>
      <w:bookmarkStart w:id="382" w:name="_Toc184314452"/>
      <w:bookmarkEnd w:id="382"/>
      <w:bookmarkStart w:id="383" w:name="_Toc184308098"/>
      <w:bookmarkEnd w:id="383"/>
      <w:bookmarkStart w:id="384" w:name="_Toc184308073"/>
      <w:bookmarkEnd w:id="384"/>
      <w:bookmarkStart w:id="385" w:name="_Toc184312077"/>
      <w:bookmarkEnd w:id="385"/>
      <w:bookmarkStart w:id="386" w:name="_Toc184310329"/>
      <w:bookmarkEnd w:id="386"/>
      <w:bookmarkStart w:id="387" w:name="_Toc184310318"/>
      <w:bookmarkEnd w:id="387"/>
      <w:bookmarkStart w:id="388" w:name="_Toc184308060"/>
      <w:bookmarkEnd w:id="388"/>
      <w:bookmarkStart w:id="389" w:name="_Toc184314435"/>
      <w:bookmarkEnd w:id="389"/>
      <w:bookmarkStart w:id="390" w:name="_Toc184314427"/>
      <w:bookmarkEnd w:id="390"/>
      <w:r>
        <w:rPr>
          <w:rFonts w:hint="eastAsia" w:ascii="仿宋" w:hAnsi="仿宋" w:eastAsia="仿宋" w:cs="仿宋_GB2312"/>
          <w:b/>
          <w:color w:val="auto"/>
          <w:sz w:val="36"/>
          <w:szCs w:val="36"/>
          <w:highlight w:val="none"/>
        </w:rPr>
        <w:t>评标办法</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pStyle w:val="90"/>
        <w:spacing w:before="0"/>
        <w:ind w:firstLine="602" w:firstLineChars="250"/>
        <w:rPr>
          <w:rFonts w:ascii="宋体" w:hAnsi="宋体" w:cs="宋体"/>
          <w:szCs w:val="24"/>
          <w:highlight w:val="none"/>
        </w:rPr>
      </w:pPr>
      <w:r>
        <w:rPr>
          <w:rFonts w:hint="eastAsia" w:ascii="宋体" w:hAnsi="宋体" w:eastAsia="宋体" w:cs="宋体"/>
          <w:b/>
          <w:szCs w:val="24"/>
          <w:highlight w:val="none"/>
        </w:rPr>
        <w:t>1、</w:t>
      </w:r>
      <w:r>
        <w:rPr>
          <w:rFonts w:hint="eastAsia" w:ascii="宋体" w:hAnsi="宋体" w:cs="宋体"/>
          <w:b/>
          <w:szCs w:val="24"/>
          <w:highlight w:val="none"/>
        </w:rPr>
        <w:t>本次评标采用综合评分法，总分为100分。</w:t>
      </w:r>
      <w:r>
        <w:rPr>
          <w:rFonts w:hint="eastAsia" w:ascii="宋体" w:hAnsi="宋体" w:cs="宋体"/>
          <w:szCs w:val="24"/>
          <w:highlight w:val="none"/>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szCs w:val="24"/>
          <w:highlight w:val="none"/>
        </w:rPr>
        <w:t>标段</w:t>
      </w:r>
      <w:r>
        <w:rPr>
          <w:rFonts w:hint="eastAsia" w:ascii="宋体" w:hAnsi="宋体" w:cs="宋体"/>
          <w:szCs w:val="24"/>
          <w:highlight w:val="none"/>
        </w:rPr>
        <w:t>排名第一的投标人为第一中标候选人。评分过程中采用四舍五入法，并保留小数2位。</w:t>
      </w:r>
    </w:p>
    <w:p>
      <w:pPr>
        <w:pStyle w:val="90"/>
        <w:spacing w:before="0"/>
        <w:ind w:firstLine="600" w:firstLineChars="250"/>
        <w:rPr>
          <w:rFonts w:ascii="宋体" w:hAnsi="宋体" w:cs="宋体"/>
          <w:bCs/>
          <w:szCs w:val="24"/>
          <w:highlight w:val="none"/>
        </w:rPr>
      </w:pPr>
      <w:r>
        <w:rPr>
          <w:rFonts w:hint="eastAsia" w:ascii="宋体" w:hAnsi="宋体" w:cs="宋体"/>
          <w:bCs/>
          <w:szCs w:val="24"/>
          <w:highlight w:val="none"/>
        </w:rPr>
        <w:t>各投标人的综合得分为：投标价格得分+技术商务得分之和，总和为100分，其中：投标价格得分</w:t>
      </w:r>
      <w:r>
        <w:rPr>
          <w:rFonts w:hint="eastAsia" w:ascii="宋体" w:hAnsi="宋体" w:cs="宋体"/>
          <w:bCs/>
          <w:szCs w:val="24"/>
          <w:highlight w:val="none"/>
          <w:lang w:val="en-US" w:eastAsia="zh-CN"/>
        </w:rPr>
        <w:t>10</w:t>
      </w:r>
      <w:r>
        <w:rPr>
          <w:rFonts w:hint="eastAsia" w:ascii="宋体" w:hAnsi="宋体" w:eastAsia="宋体" w:cs="宋体"/>
          <w:bCs/>
          <w:szCs w:val="24"/>
          <w:highlight w:val="none"/>
        </w:rPr>
        <w:t>分</w:t>
      </w:r>
      <w:r>
        <w:rPr>
          <w:rFonts w:hint="eastAsia" w:ascii="宋体" w:hAnsi="宋体" w:cs="宋体"/>
          <w:bCs/>
          <w:szCs w:val="24"/>
          <w:highlight w:val="none"/>
        </w:rPr>
        <w:t>，商务技术得分</w:t>
      </w:r>
      <w:r>
        <w:rPr>
          <w:rFonts w:hint="eastAsia" w:ascii="宋体" w:hAnsi="宋体" w:cs="宋体"/>
          <w:bCs/>
          <w:szCs w:val="24"/>
          <w:highlight w:val="none"/>
          <w:lang w:val="en-US" w:eastAsia="zh-CN"/>
        </w:rPr>
        <w:t>90</w:t>
      </w:r>
      <w:r>
        <w:rPr>
          <w:rFonts w:hint="eastAsia" w:ascii="宋体" w:hAnsi="宋体" w:eastAsia="宋体" w:cs="宋体"/>
          <w:bCs/>
          <w:szCs w:val="24"/>
          <w:highlight w:val="none"/>
        </w:rPr>
        <w:t>分</w:t>
      </w:r>
      <w:r>
        <w:rPr>
          <w:rFonts w:hint="eastAsia" w:ascii="宋体" w:hAnsi="宋体" w:cs="宋体"/>
          <w:bCs/>
          <w:szCs w:val="24"/>
          <w:highlight w:val="none"/>
        </w:rPr>
        <w:t>。</w:t>
      </w:r>
    </w:p>
    <w:p>
      <w:pPr>
        <w:numPr>
          <w:ilvl w:val="0"/>
          <w:numId w:val="4"/>
        </w:numPr>
        <w:snapToGrid w:val="0"/>
        <w:spacing w:line="360" w:lineRule="auto"/>
        <w:ind w:firstLine="480" w:firstLineChars="200"/>
        <w:rPr>
          <w:highlight w:val="none"/>
        </w:rPr>
      </w:pPr>
      <w:r>
        <w:rPr>
          <w:rFonts w:hint="eastAsia" w:ascii="宋体" w:hAnsi="宋体" w:cs="宋体"/>
          <w:sz w:val="24"/>
          <w:highlight w:val="none"/>
        </w:rPr>
        <w:t>商务、技术评标细则（</w:t>
      </w:r>
      <w:r>
        <w:rPr>
          <w:rFonts w:hint="eastAsia" w:ascii="宋体" w:hAnsi="宋体" w:cs="宋体"/>
          <w:sz w:val="24"/>
          <w:highlight w:val="none"/>
          <w:lang w:val="en-US" w:eastAsia="zh-CN"/>
        </w:rPr>
        <w:t>9</w:t>
      </w:r>
      <w:r>
        <w:rPr>
          <w:rFonts w:ascii="宋体" w:hAnsi="宋体" w:cs="宋体"/>
          <w:sz w:val="24"/>
          <w:highlight w:val="none"/>
        </w:rPr>
        <w:t>0</w:t>
      </w:r>
      <w:r>
        <w:rPr>
          <w:rFonts w:hint="eastAsia" w:ascii="宋体" w:hAnsi="宋体" w:cs="宋体"/>
          <w:sz w:val="24"/>
          <w:highlight w:val="none"/>
        </w:rPr>
        <w:t>分）</w:t>
      </w:r>
    </w:p>
    <w:p>
      <w:pPr>
        <w:pStyle w:val="83"/>
        <w:rPr>
          <w:rFonts w:hint="default" w:eastAsia="宋体"/>
          <w:highlight w:val="none"/>
          <w:lang w:val="en-US" w:eastAsia="zh-CN"/>
        </w:rPr>
      </w:pPr>
      <w:r>
        <w:rPr>
          <w:rFonts w:hint="eastAsia" w:ascii="宋体" w:hAnsi="宋体" w:eastAsia="宋体" w:cs="宋体"/>
          <w:sz w:val="24"/>
          <w:highlight w:val="none"/>
          <w:lang w:eastAsia="zh-CN"/>
        </w:rPr>
        <w:t>技术分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76分</w:t>
      </w:r>
      <w:r>
        <w:rPr>
          <w:rFonts w:hint="eastAsia" w:ascii="宋体" w:hAnsi="宋体" w:eastAsia="宋体" w:cs="宋体"/>
          <w:sz w:val="24"/>
          <w:szCs w:val="24"/>
          <w:highlight w:val="none"/>
          <w:lang w:eastAsia="zh-CN"/>
        </w:rPr>
        <w:t>）</w:t>
      </w:r>
    </w:p>
    <w:tbl>
      <w:tblPr>
        <w:tblStyle w:val="6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440"/>
        <w:gridCol w:w="1874"/>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序号</w:t>
            </w:r>
          </w:p>
        </w:tc>
        <w:tc>
          <w:tcPr>
            <w:tcW w:w="1440"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评分内容</w:t>
            </w:r>
          </w:p>
        </w:tc>
        <w:tc>
          <w:tcPr>
            <w:tcW w:w="1874"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分值</w:t>
            </w:r>
          </w:p>
        </w:tc>
        <w:tc>
          <w:tcPr>
            <w:tcW w:w="4815"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1440"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养护方案</w:t>
            </w:r>
          </w:p>
        </w:tc>
        <w:tc>
          <w:tcPr>
            <w:tcW w:w="1874"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w:t>
            </w: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lang w:eastAsia="zh-CN"/>
              </w:rPr>
              <w:t>根</w:t>
            </w:r>
            <w:r>
              <w:rPr>
                <w:rFonts w:hint="eastAsia" w:ascii="宋体" w:hAnsi="宋体" w:eastAsia="宋体" w:cs="宋体"/>
                <w:sz w:val="24"/>
                <w:szCs w:val="24"/>
                <w:highlight w:val="none"/>
                <w:vertAlign w:val="baseline"/>
              </w:rPr>
              <w:t>据投标人针对本顾目情况的了解及对用户需求的响应，理解程度，对绿化、河道保洁服务方案的</w:t>
            </w:r>
            <w:r>
              <w:rPr>
                <w:rFonts w:hint="eastAsia" w:ascii="宋体" w:hAnsi="宋体" w:eastAsia="宋体" w:cs="宋体"/>
                <w:sz w:val="24"/>
                <w:szCs w:val="24"/>
                <w:highlight w:val="none"/>
                <w:vertAlign w:val="baseline"/>
                <w:lang w:eastAsia="zh-CN"/>
              </w:rPr>
              <w:t>实操</w:t>
            </w:r>
            <w:r>
              <w:rPr>
                <w:rFonts w:hint="eastAsia" w:ascii="宋体" w:hAnsi="宋体" w:eastAsia="宋体" w:cs="宋体"/>
                <w:sz w:val="24"/>
                <w:szCs w:val="24"/>
                <w:highlight w:val="none"/>
                <w:vertAlign w:val="baseline"/>
              </w:rPr>
              <w:t>性和可行性等方案进行</w:t>
            </w:r>
            <w:r>
              <w:rPr>
                <w:rFonts w:hint="eastAsia" w:ascii="宋体" w:hAnsi="宋体" w:eastAsia="宋体" w:cs="宋体"/>
                <w:sz w:val="24"/>
                <w:szCs w:val="24"/>
                <w:highlight w:val="none"/>
                <w:vertAlign w:val="baseline"/>
                <w:lang w:eastAsia="zh-CN"/>
              </w:rPr>
              <w:t>综合</w:t>
            </w:r>
            <w:r>
              <w:rPr>
                <w:rFonts w:hint="eastAsia" w:ascii="宋体" w:hAnsi="宋体" w:eastAsia="宋体" w:cs="宋体"/>
                <w:sz w:val="24"/>
                <w:szCs w:val="24"/>
                <w:highlight w:val="none"/>
                <w:vertAlign w:val="baseline"/>
              </w:rPr>
              <w:t>评价;</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①</w:t>
            </w:r>
            <w:r>
              <w:rPr>
                <w:rFonts w:hint="eastAsia" w:ascii="宋体" w:hAnsi="宋体" w:eastAsia="宋体" w:cs="宋体"/>
                <w:sz w:val="24"/>
                <w:szCs w:val="24"/>
                <w:highlight w:val="none"/>
                <w:vertAlign w:val="baseline"/>
                <w:lang w:eastAsia="zh-CN"/>
              </w:rPr>
              <w:t>分析招标内容的实际现状、总结存在的问题并</w:t>
            </w:r>
            <w:r>
              <w:rPr>
                <w:rFonts w:hint="eastAsia" w:ascii="宋体" w:hAnsi="宋体" w:eastAsia="宋体" w:cs="宋体"/>
                <w:sz w:val="24"/>
                <w:szCs w:val="24"/>
                <w:highlight w:val="none"/>
                <w:vertAlign w:val="baseline"/>
              </w:rPr>
              <w:t>提出</w:t>
            </w:r>
            <w:r>
              <w:rPr>
                <w:rFonts w:hint="eastAsia" w:ascii="宋体" w:hAnsi="宋体" w:eastAsia="宋体" w:cs="宋体"/>
                <w:sz w:val="24"/>
                <w:szCs w:val="24"/>
                <w:highlight w:val="none"/>
                <w:vertAlign w:val="baseline"/>
                <w:lang w:eastAsia="zh-CN"/>
              </w:rPr>
              <w:t>相应的解决措施。</w:t>
            </w:r>
            <w:r>
              <w:rPr>
                <w:rFonts w:hint="eastAsia" w:ascii="宋体" w:hAnsi="宋体" w:eastAsia="宋体" w:cs="宋体"/>
                <w:sz w:val="24"/>
                <w:szCs w:val="24"/>
                <w:highlight w:val="none"/>
                <w:vertAlign w:val="baseline"/>
              </w:rPr>
              <w:t>（0-4分）</w:t>
            </w:r>
          </w:p>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rPr>
              <w:t>②综合养护方案要求针对性，操作性强，计划安排科学合理</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（0</w:t>
            </w:r>
            <w:r>
              <w:rPr>
                <w:rFonts w:hint="eastAsia" w:ascii="宋体" w:hAnsi="宋体" w:eastAsia="宋体" w:cs="宋体"/>
                <w:sz w:val="24"/>
                <w:szCs w:val="24"/>
                <w:highlight w:val="none"/>
                <w:vertAlign w:val="baseline"/>
                <w:lang w:val="en-US" w:eastAsia="zh-CN"/>
              </w:rPr>
              <w:t>-</w:t>
            </w:r>
            <w:r>
              <w:rPr>
                <w:rFonts w:hint="eastAsia" w:ascii="宋体" w:hAnsi="宋体" w:eastAsia="宋体" w:cs="宋体"/>
                <w:sz w:val="24"/>
                <w:szCs w:val="24"/>
                <w:highlight w:val="none"/>
                <w:vertAlign w:val="baseline"/>
              </w:rPr>
              <w:t>4 分）</w:t>
            </w:r>
            <w:r>
              <w:rPr>
                <w:rFonts w:hint="eastAsia" w:ascii="宋体" w:hAnsi="宋体" w:eastAsia="宋体" w:cs="宋体"/>
                <w:sz w:val="24"/>
                <w:szCs w:val="24"/>
                <w:highlight w:val="none"/>
                <w:vertAlign w:val="baseline"/>
                <w:lang w:eastAsia="zh-CN"/>
              </w:rPr>
              <w:t>；</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③</w:t>
            </w:r>
            <w:r>
              <w:rPr>
                <w:rFonts w:hint="eastAsia" w:ascii="宋体" w:hAnsi="宋体" w:eastAsia="宋体" w:cs="宋体"/>
                <w:sz w:val="24"/>
                <w:szCs w:val="24"/>
                <w:highlight w:val="none"/>
                <w:vertAlign w:val="baseline"/>
                <w:lang w:eastAsia="zh-CN"/>
              </w:rPr>
              <w:t>重点阐</w:t>
            </w:r>
            <w:r>
              <w:rPr>
                <w:rFonts w:hint="eastAsia" w:ascii="宋体" w:hAnsi="宋体" w:eastAsia="宋体" w:cs="宋体"/>
                <w:sz w:val="24"/>
                <w:szCs w:val="24"/>
                <w:highlight w:val="none"/>
                <w:vertAlign w:val="baseline"/>
              </w:rPr>
              <w:t>述病虫害防治</w:t>
            </w:r>
            <w:r>
              <w:rPr>
                <w:rFonts w:hint="eastAsia" w:ascii="宋体" w:hAnsi="宋体" w:eastAsia="宋体" w:cs="宋体"/>
                <w:sz w:val="24"/>
                <w:szCs w:val="24"/>
                <w:highlight w:val="none"/>
                <w:vertAlign w:val="baseline"/>
                <w:lang w:eastAsia="zh-CN"/>
              </w:rPr>
              <w:t>、施肥</w:t>
            </w:r>
            <w:r>
              <w:rPr>
                <w:rFonts w:hint="eastAsia" w:ascii="宋体" w:hAnsi="宋体" w:eastAsia="宋体" w:cs="宋体"/>
                <w:sz w:val="24"/>
                <w:szCs w:val="24"/>
                <w:highlight w:val="none"/>
                <w:vertAlign w:val="baseline"/>
              </w:rPr>
              <w:t>、修剪等关键</w:t>
            </w:r>
            <w:r>
              <w:rPr>
                <w:rFonts w:hint="eastAsia" w:ascii="宋体" w:hAnsi="宋体" w:eastAsia="宋体" w:cs="宋体"/>
                <w:sz w:val="24"/>
                <w:szCs w:val="24"/>
                <w:highlight w:val="none"/>
                <w:vertAlign w:val="baseline"/>
                <w:lang w:eastAsia="zh-CN"/>
              </w:rPr>
              <w:t>养护技术措施。</w:t>
            </w:r>
            <w:r>
              <w:rPr>
                <w:rFonts w:hint="eastAsia" w:ascii="宋体" w:hAnsi="宋体" w:eastAsia="宋体" w:cs="宋体"/>
                <w:sz w:val="24"/>
                <w:szCs w:val="24"/>
                <w:highlight w:val="none"/>
                <w:vertAlign w:val="baseline"/>
              </w:rPr>
              <w:t>（0-4分）</w:t>
            </w:r>
          </w:p>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rPr>
              <w:t>④</w:t>
            </w:r>
            <w:r>
              <w:rPr>
                <w:rFonts w:hint="eastAsia" w:ascii="宋体" w:hAnsi="宋体" w:eastAsia="宋体" w:cs="宋体"/>
                <w:sz w:val="24"/>
                <w:szCs w:val="24"/>
                <w:highlight w:val="none"/>
                <w:vertAlign w:val="baseline"/>
                <w:lang w:eastAsia="zh-CN"/>
              </w:rPr>
              <w:t>重点阐</w:t>
            </w:r>
            <w:r>
              <w:rPr>
                <w:rFonts w:hint="eastAsia" w:ascii="宋体" w:hAnsi="宋体" w:eastAsia="宋体" w:cs="宋体"/>
                <w:sz w:val="24"/>
                <w:szCs w:val="24"/>
                <w:highlight w:val="none"/>
                <w:vertAlign w:val="baseline"/>
              </w:rPr>
              <w:t>述绿地</w:t>
            </w:r>
            <w:r>
              <w:rPr>
                <w:rFonts w:hint="eastAsia" w:ascii="宋体" w:hAnsi="宋体" w:eastAsia="宋体" w:cs="宋体"/>
                <w:sz w:val="24"/>
                <w:szCs w:val="24"/>
                <w:highlight w:val="none"/>
                <w:vertAlign w:val="baseline"/>
                <w:lang w:eastAsia="zh-CN"/>
              </w:rPr>
              <w:t>养护</w:t>
            </w:r>
            <w:r>
              <w:rPr>
                <w:rFonts w:hint="eastAsia" w:ascii="宋体" w:hAnsi="宋体" w:eastAsia="宋体" w:cs="宋体"/>
                <w:sz w:val="24"/>
                <w:szCs w:val="24"/>
                <w:highlight w:val="none"/>
                <w:vertAlign w:val="baseline"/>
              </w:rPr>
              <w:t>安全文明作业和环境</w:t>
            </w:r>
            <w:r>
              <w:rPr>
                <w:rFonts w:hint="eastAsia" w:ascii="宋体" w:hAnsi="宋体" w:eastAsia="宋体" w:cs="宋体"/>
                <w:sz w:val="24"/>
                <w:szCs w:val="24"/>
                <w:highlight w:val="none"/>
                <w:vertAlign w:val="baseline"/>
                <w:lang w:eastAsia="zh-CN"/>
              </w:rPr>
              <w:t>保护</w:t>
            </w:r>
            <w:r>
              <w:rPr>
                <w:rFonts w:hint="eastAsia" w:ascii="宋体" w:hAnsi="宋体" w:eastAsia="宋体" w:cs="宋体"/>
                <w:sz w:val="24"/>
                <w:szCs w:val="24"/>
                <w:highlight w:val="none"/>
                <w:vertAlign w:val="baseline"/>
              </w:rPr>
              <w:t>管理</w:t>
            </w:r>
            <w:r>
              <w:rPr>
                <w:rFonts w:hint="eastAsia" w:ascii="宋体" w:hAnsi="宋体" w:eastAsia="宋体" w:cs="宋体"/>
                <w:sz w:val="24"/>
                <w:szCs w:val="24"/>
                <w:highlight w:val="none"/>
                <w:vertAlign w:val="baseline"/>
                <w:lang w:eastAsia="zh-CN"/>
              </w:rPr>
              <w:t>措施。</w:t>
            </w:r>
            <w:r>
              <w:rPr>
                <w:rFonts w:hint="eastAsia" w:ascii="宋体" w:hAnsi="宋体" w:eastAsia="宋体" w:cs="宋体"/>
                <w:sz w:val="24"/>
                <w:szCs w:val="24"/>
                <w:highlight w:val="none"/>
                <w:vertAlign w:val="baseline"/>
              </w:rPr>
              <w:t>（0-4分</w:t>
            </w:r>
            <w:r>
              <w:rPr>
                <w:rFonts w:hint="eastAsia" w:ascii="宋体" w:hAnsi="宋体" w:eastAsia="宋体" w:cs="宋体"/>
                <w:sz w:val="24"/>
                <w:szCs w:val="24"/>
                <w:highlight w:val="none"/>
                <w:vertAlign w:val="baseline"/>
                <w:lang w:eastAsia="zh-CN"/>
              </w:rPr>
              <w:t>）</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⑤</w:t>
            </w:r>
            <w:r>
              <w:rPr>
                <w:rFonts w:hint="eastAsia" w:ascii="宋体" w:hAnsi="宋体" w:eastAsia="宋体" w:cs="宋体"/>
                <w:sz w:val="24"/>
                <w:szCs w:val="24"/>
                <w:highlight w:val="none"/>
                <w:vertAlign w:val="baseline"/>
                <w:lang w:eastAsia="zh-CN"/>
              </w:rPr>
              <w:t>重点阐</w:t>
            </w:r>
            <w:r>
              <w:rPr>
                <w:rFonts w:hint="eastAsia" w:ascii="宋体" w:hAnsi="宋体" w:eastAsia="宋体" w:cs="宋体"/>
                <w:sz w:val="24"/>
                <w:szCs w:val="24"/>
                <w:highlight w:val="none"/>
                <w:vertAlign w:val="baseline"/>
              </w:rPr>
              <w:t>述</w:t>
            </w:r>
            <w:r>
              <w:rPr>
                <w:rFonts w:hint="eastAsia" w:ascii="宋体" w:hAnsi="宋体" w:eastAsia="宋体" w:cs="宋体"/>
                <w:sz w:val="24"/>
                <w:szCs w:val="24"/>
                <w:highlight w:val="none"/>
                <w:vertAlign w:val="baseline"/>
                <w:lang w:eastAsia="zh-CN"/>
              </w:rPr>
              <w:t>河道保洁</w:t>
            </w:r>
            <w:r>
              <w:rPr>
                <w:rFonts w:hint="eastAsia" w:ascii="宋体" w:hAnsi="宋体" w:eastAsia="宋体" w:cs="宋体"/>
                <w:sz w:val="24"/>
                <w:szCs w:val="24"/>
                <w:highlight w:val="none"/>
                <w:vertAlign w:val="baseline"/>
              </w:rPr>
              <w:t>安全文明作业和环境</w:t>
            </w:r>
            <w:r>
              <w:rPr>
                <w:rFonts w:hint="eastAsia" w:ascii="宋体" w:hAnsi="宋体" w:eastAsia="宋体" w:cs="宋体"/>
                <w:sz w:val="24"/>
                <w:szCs w:val="24"/>
                <w:highlight w:val="none"/>
                <w:vertAlign w:val="baseline"/>
                <w:lang w:eastAsia="zh-CN"/>
              </w:rPr>
              <w:t>保护</w:t>
            </w:r>
            <w:r>
              <w:rPr>
                <w:rFonts w:hint="eastAsia" w:ascii="宋体" w:hAnsi="宋体" w:eastAsia="宋体" w:cs="宋体"/>
                <w:sz w:val="24"/>
                <w:szCs w:val="24"/>
                <w:highlight w:val="none"/>
                <w:vertAlign w:val="baseline"/>
              </w:rPr>
              <w:t>管理</w:t>
            </w:r>
            <w:r>
              <w:rPr>
                <w:rFonts w:hint="eastAsia" w:ascii="宋体" w:hAnsi="宋体" w:eastAsia="宋体" w:cs="宋体"/>
                <w:sz w:val="24"/>
                <w:szCs w:val="24"/>
                <w:highlight w:val="none"/>
                <w:vertAlign w:val="baseline"/>
                <w:lang w:eastAsia="zh-CN"/>
              </w:rPr>
              <w:t>措施。</w:t>
            </w:r>
            <w:r>
              <w:rPr>
                <w:rFonts w:hint="eastAsia" w:ascii="宋体" w:hAnsi="宋体" w:eastAsia="宋体" w:cs="宋体"/>
                <w:sz w:val="24"/>
                <w:szCs w:val="24"/>
                <w:highlight w:val="none"/>
                <w:vertAlign w:val="baseline"/>
              </w:rPr>
              <w:t>（0-4分</w:t>
            </w:r>
            <w:r>
              <w:rPr>
                <w:rFonts w:hint="eastAsia" w:ascii="宋体" w:hAnsi="宋体" w:eastAsia="宋体" w:cs="宋体"/>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1440"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重点、难点分析对应措施</w:t>
            </w:r>
          </w:p>
        </w:tc>
        <w:tc>
          <w:tcPr>
            <w:tcW w:w="1874"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8</w:t>
            </w: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①投标人应对本项目重点和难点进行深入分析，以及根据项目重点和难点所采取应对措施等进行评价。（0-4分</w:t>
            </w:r>
            <w:r>
              <w:rPr>
                <w:rFonts w:hint="eastAsia" w:ascii="宋体" w:hAnsi="宋体" w:eastAsia="宋体" w:cs="宋体"/>
                <w:sz w:val="24"/>
                <w:szCs w:val="24"/>
                <w:highlight w:val="none"/>
                <w:vertAlign w:val="baseline"/>
                <w:lang w:eastAsia="zh-CN"/>
              </w:rPr>
              <w:t>）</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②针对台风、暴雨、高温、干旱、极寒等天气影响，重大节假日或活动等特殊情况制定应急处理方案（包括应急保障措施、人员配备、应急保障设备及物资储备等）进行评价</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（0-4分</w:t>
            </w:r>
            <w:r>
              <w:rPr>
                <w:rFonts w:hint="eastAsia" w:ascii="宋体" w:hAnsi="宋体" w:eastAsia="宋体" w:cs="宋体"/>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Merge w:val="restart"/>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1440" w:type="dxa"/>
            <w:vMerge w:val="restart"/>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养护人员配备方案</w:t>
            </w:r>
          </w:p>
        </w:tc>
        <w:tc>
          <w:tcPr>
            <w:tcW w:w="1874" w:type="dxa"/>
            <w:vMerge w:val="restart"/>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16</w:t>
            </w: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①养护项目负责人∶具有人社部门颁发的园林绿化</w:t>
            </w:r>
            <w:r>
              <w:rPr>
                <w:rFonts w:hint="eastAsia" w:ascii="宋体" w:hAnsi="宋体" w:cs="宋体"/>
                <w:sz w:val="24"/>
                <w:szCs w:val="24"/>
                <w:highlight w:val="none"/>
                <w:vertAlign w:val="baseline"/>
                <w:lang w:eastAsia="zh-CN"/>
              </w:rPr>
              <w:t>高</w:t>
            </w:r>
            <w:r>
              <w:rPr>
                <w:rFonts w:hint="eastAsia" w:ascii="宋体" w:hAnsi="宋体" w:eastAsia="宋体" w:cs="宋体"/>
                <w:sz w:val="24"/>
                <w:szCs w:val="24"/>
                <w:highlight w:val="none"/>
                <w:vertAlign w:val="baseline"/>
                <w:lang w:eastAsia="zh-CN"/>
              </w:rPr>
              <w:t>级</w:t>
            </w:r>
            <w:r>
              <w:rPr>
                <w:rFonts w:hint="eastAsia" w:ascii="宋体" w:hAnsi="宋体" w:eastAsia="宋体" w:cs="宋体"/>
                <w:sz w:val="24"/>
                <w:szCs w:val="24"/>
                <w:highlight w:val="none"/>
                <w:vertAlign w:val="baseline"/>
              </w:rPr>
              <w:t>及以上职称证书证书的得4分。（提供人员证书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，并在投标文件中提供证书和在本单位近</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个月的个人社保</w:t>
            </w:r>
            <w:r>
              <w:rPr>
                <w:rFonts w:hint="eastAsia" w:ascii="宋体" w:hAnsi="宋体" w:eastAsia="宋体" w:cs="宋体"/>
                <w:sz w:val="24"/>
                <w:szCs w:val="24"/>
                <w:highlight w:val="none"/>
                <w:vertAlign w:val="baseline"/>
                <w:lang w:eastAsia="zh-CN"/>
              </w:rPr>
              <w:t>缴纳</w:t>
            </w:r>
            <w:r>
              <w:rPr>
                <w:rFonts w:hint="eastAsia" w:ascii="宋体" w:hAnsi="宋体" w:eastAsia="宋体" w:cs="宋体"/>
                <w:sz w:val="24"/>
                <w:szCs w:val="24"/>
                <w:highlight w:val="none"/>
                <w:vertAlign w:val="baseline"/>
              </w:rPr>
              <w:t>证明的复印件加盖公章，否则不得分。）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tcPr>
          <w:p>
            <w:pPr>
              <w:rPr>
                <w:rFonts w:hint="eastAsia" w:ascii="宋体" w:hAnsi="宋体" w:eastAsia="宋体" w:cs="宋体"/>
                <w:sz w:val="24"/>
                <w:szCs w:val="24"/>
                <w:highlight w:val="none"/>
                <w:vertAlign w:val="baseline"/>
              </w:rPr>
            </w:pPr>
          </w:p>
        </w:tc>
        <w:tc>
          <w:tcPr>
            <w:tcW w:w="1440" w:type="dxa"/>
            <w:vMerge w:val="continue"/>
          </w:tcPr>
          <w:p>
            <w:pPr>
              <w:rPr>
                <w:rFonts w:hint="eastAsia" w:ascii="宋体" w:hAnsi="宋体" w:eastAsia="宋体" w:cs="宋体"/>
                <w:sz w:val="24"/>
                <w:szCs w:val="24"/>
                <w:highlight w:val="none"/>
                <w:vertAlign w:val="baseline"/>
              </w:rPr>
            </w:pPr>
          </w:p>
        </w:tc>
        <w:tc>
          <w:tcPr>
            <w:tcW w:w="1874" w:type="dxa"/>
            <w:vMerge w:val="continue"/>
          </w:tcPr>
          <w:p>
            <w:pPr>
              <w:rPr>
                <w:rFonts w:hint="eastAsia" w:ascii="宋体" w:hAnsi="宋体" w:eastAsia="宋体" w:cs="宋体"/>
                <w:sz w:val="24"/>
                <w:szCs w:val="24"/>
                <w:highlight w:val="none"/>
                <w:vertAlign w:val="baseline"/>
              </w:rPr>
            </w:pP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②养护管理人员∶具有人社部门颁发的园林绿化中级及以上职称证书的养护管理人员，</w:t>
            </w:r>
            <w:r>
              <w:rPr>
                <w:rFonts w:hint="eastAsia" w:ascii="宋体" w:hAnsi="宋体" w:eastAsia="宋体" w:cs="宋体"/>
                <w:sz w:val="24"/>
                <w:szCs w:val="24"/>
                <w:highlight w:val="none"/>
                <w:vertAlign w:val="baseline"/>
                <w:lang w:val="en-US" w:eastAsia="zh-CN"/>
              </w:rPr>
              <w:t>5</w:t>
            </w:r>
            <w:r>
              <w:rPr>
                <w:rFonts w:hint="eastAsia" w:ascii="宋体" w:hAnsi="宋体" w:eastAsia="宋体" w:cs="宋体"/>
                <w:sz w:val="24"/>
                <w:szCs w:val="24"/>
                <w:highlight w:val="none"/>
                <w:vertAlign w:val="baseline"/>
              </w:rPr>
              <w:t>名（含）以上的得3分，3名的得2分，2名的得1分，其余不得分。（提供人员证书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，并在投标文件中提供证书和在本单位近</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个月的个人社保缴纳证明的复印件加盖公章、否则不得分。）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Merge w:val="continue"/>
          </w:tcPr>
          <w:p>
            <w:pPr>
              <w:rPr>
                <w:rFonts w:hint="eastAsia" w:ascii="宋体" w:hAnsi="宋体" w:eastAsia="宋体" w:cs="宋体"/>
                <w:sz w:val="24"/>
                <w:szCs w:val="24"/>
                <w:highlight w:val="none"/>
                <w:vertAlign w:val="baseline"/>
              </w:rPr>
            </w:pPr>
          </w:p>
        </w:tc>
        <w:tc>
          <w:tcPr>
            <w:tcW w:w="1440" w:type="dxa"/>
            <w:vMerge w:val="continue"/>
          </w:tcPr>
          <w:p>
            <w:pPr>
              <w:rPr>
                <w:rFonts w:hint="eastAsia" w:ascii="宋体" w:hAnsi="宋体" w:eastAsia="宋体" w:cs="宋体"/>
                <w:sz w:val="24"/>
                <w:szCs w:val="24"/>
                <w:highlight w:val="none"/>
                <w:vertAlign w:val="baseline"/>
              </w:rPr>
            </w:pPr>
          </w:p>
        </w:tc>
        <w:tc>
          <w:tcPr>
            <w:tcW w:w="1874" w:type="dxa"/>
            <w:vMerge w:val="continue"/>
          </w:tcPr>
          <w:p>
            <w:pPr>
              <w:rPr>
                <w:rFonts w:hint="eastAsia" w:ascii="宋体" w:hAnsi="宋体" w:eastAsia="宋体" w:cs="宋体"/>
                <w:sz w:val="24"/>
                <w:szCs w:val="24"/>
                <w:highlight w:val="none"/>
                <w:vertAlign w:val="baseline"/>
              </w:rPr>
            </w:pP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③</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绿化工∶ 具有人力资源和社会保障部门颁发的</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绿化工证的</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绿化工。</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名（含）以上的得3分，4名的得2分，3名的得1分，其余不得分。（提供人员证书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，并在投标文件中提供证书和在本单位近</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个月的个人社保</w:t>
            </w:r>
            <w:r>
              <w:rPr>
                <w:rFonts w:hint="eastAsia" w:ascii="宋体" w:hAnsi="宋体" w:eastAsia="宋体" w:cs="宋体"/>
                <w:sz w:val="24"/>
                <w:szCs w:val="24"/>
                <w:highlight w:val="none"/>
                <w:vertAlign w:val="baseline"/>
                <w:lang w:eastAsia="zh-CN"/>
              </w:rPr>
              <w:t>缴纳</w:t>
            </w:r>
            <w:r>
              <w:rPr>
                <w:rFonts w:hint="eastAsia" w:ascii="宋体" w:hAnsi="宋体" w:eastAsia="宋体" w:cs="宋体"/>
                <w:sz w:val="24"/>
                <w:szCs w:val="24"/>
                <w:highlight w:val="none"/>
                <w:vertAlign w:val="baseline"/>
              </w:rPr>
              <w:t>证明的复印件加盖公章，否则不得分。）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tcPr>
          <w:p>
            <w:pPr>
              <w:rPr>
                <w:rFonts w:hint="eastAsia" w:ascii="宋体" w:hAnsi="宋体" w:eastAsia="宋体" w:cs="宋体"/>
                <w:sz w:val="24"/>
                <w:szCs w:val="24"/>
                <w:highlight w:val="none"/>
                <w:vertAlign w:val="baseline"/>
              </w:rPr>
            </w:pPr>
          </w:p>
        </w:tc>
        <w:tc>
          <w:tcPr>
            <w:tcW w:w="1440" w:type="dxa"/>
            <w:vMerge w:val="continue"/>
          </w:tcPr>
          <w:p>
            <w:pPr>
              <w:rPr>
                <w:rFonts w:hint="eastAsia" w:ascii="宋体" w:hAnsi="宋体" w:eastAsia="宋体" w:cs="宋体"/>
                <w:sz w:val="24"/>
                <w:szCs w:val="24"/>
                <w:highlight w:val="none"/>
                <w:vertAlign w:val="baseline"/>
              </w:rPr>
            </w:pPr>
          </w:p>
        </w:tc>
        <w:tc>
          <w:tcPr>
            <w:tcW w:w="1874" w:type="dxa"/>
            <w:vMerge w:val="continue"/>
          </w:tcPr>
          <w:p>
            <w:pPr>
              <w:rPr>
                <w:rFonts w:hint="eastAsia" w:ascii="宋体" w:hAnsi="宋体" w:eastAsia="宋体" w:cs="宋体"/>
                <w:sz w:val="24"/>
                <w:szCs w:val="24"/>
                <w:highlight w:val="none"/>
                <w:vertAlign w:val="baseline"/>
              </w:rPr>
            </w:pP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④</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花卉工∶具有人力资源和社会保障部门颁发的</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花卉园艺工证的</w:t>
            </w:r>
            <w:r>
              <w:rPr>
                <w:rFonts w:hint="eastAsia" w:ascii="宋体" w:hAnsi="宋体" w:eastAsia="宋体" w:cs="宋体"/>
                <w:sz w:val="24"/>
                <w:szCs w:val="24"/>
                <w:highlight w:val="none"/>
                <w:vertAlign w:val="baseline"/>
                <w:lang w:eastAsia="zh-CN"/>
              </w:rPr>
              <w:t>中级</w:t>
            </w:r>
            <w:r>
              <w:rPr>
                <w:rFonts w:hint="eastAsia" w:ascii="宋体" w:hAnsi="宋体" w:eastAsia="宋体" w:cs="宋体"/>
                <w:sz w:val="24"/>
                <w:szCs w:val="24"/>
                <w:highlight w:val="none"/>
                <w:vertAlign w:val="baseline"/>
              </w:rPr>
              <w:t>花卉工、</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名（含）以上的得3分，4名的得2分，3名的得1分，其余不得分。（提供人员证书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。并在投标文件中提供证书和在本单位近</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个月的个人社保缴纳证明的复印件加盖公章，否则不得分。）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Merge w:val="continue"/>
          </w:tcPr>
          <w:p>
            <w:pPr>
              <w:rPr>
                <w:rFonts w:hint="eastAsia" w:ascii="宋体" w:hAnsi="宋体" w:eastAsia="宋体" w:cs="宋体"/>
                <w:sz w:val="24"/>
                <w:szCs w:val="24"/>
                <w:highlight w:val="none"/>
                <w:vertAlign w:val="baseline"/>
              </w:rPr>
            </w:pPr>
          </w:p>
        </w:tc>
        <w:tc>
          <w:tcPr>
            <w:tcW w:w="1440" w:type="dxa"/>
            <w:vMerge w:val="continue"/>
          </w:tcPr>
          <w:p>
            <w:pPr>
              <w:rPr>
                <w:rFonts w:hint="eastAsia" w:ascii="宋体" w:hAnsi="宋体" w:eastAsia="宋体" w:cs="宋体"/>
                <w:sz w:val="24"/>
                <w:szCs w:val="24"/>
                <w:highlight w:val="none"/>
                <w:vertAlign w:val="baseline"/>
              </w:rPr>
            </w:pPr>
          </w:p>
        </w:tc>
        <w:tc>
          <w:tcPr>
            <w:tcW w:w="1874" w:type="dxa"/>
            <w:vMerge w:val="continue"/>
          </w:tcPr>
          <w:p>
            <w:pPr>
              <w:rPr>
                <w:rFonts w:hint="eastAsia" w:ascii="宋体" w:hAnsi="宋体" w:eastAsia="宋体" w:cs="宋体"/>
                <w:sz w:val="24"/>
                <w:szCs w:val="24"/>
                <w:highlight w:val="none"/>
                <w:vertAlign w:val="baseline"/>
              </w:rPr>
            </w:pP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⑤船员证∶具有</w:t>
            </w:r>
            <w:r>
              <w:rPr>
                <w:rFonts w:hint="eastAsia" w:ascii="宋体" w:hAnsi="宋体" w:eastAsia="宋体" w:cs="宋体"/>
                <w:sz w:val="24"/>
                <w:szCs w:val="24"/>
                <w:highlight w:val="none"/>
                <w:vertAlign w:val="baseline"/>
                <w:lang w:eastAsia="zh-CN"/>
              </w:rPr>
              <w:t>船舶适认证</w:t>
            </w:r>
            <w:r>
              <w:rPr>
                <w:rFonts w:hint="eastAsia" w:ascii="宋体" w:hAnsi="宋体" w:eastAsia="宋体" w:cs="宋体"/>
                <w:sz w:val="24"/>
                <w:szCs w:val="24"/>
                <w:highlight w:val="none"/>
                <w:vertAlign w:val="baseline"/>
              </w:rPr>
              <w:t>的船员</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在6名</w:t>
            </w:r>
            <w:r>
              <w:rPr>
                <w:rFonts w:hint="eastAsia" w:ascii="宋体" w:hAnsi="宋体" w:eastAsia="宋体" w:cs="宋体"/>
                <w:sz w:val="24"/>
                <w:szCs w:val="24"/>
                <w:highlight w:val="none"/>
                <w:vertAlign w:val="baseline"/>
                <w:lang w:eastAsia="zh-CN"/>
              </w:rPr>
              <w:t>（含）以上得</w:t>
            </w:r>
            <w:r>
              <w:rPr>
                <w:rFonts w:hint="eastAsia" w:ascii="宋体" w:hAnsi="宋体" w:eastAsia="宋体" w:cs="宋体"/>
                <w:sz w:val="24"/>
                <w:szCs w:val="24"/>
                <w:highlight w:val="none"/>
                <w:vertAlign w:val="baseline"/>
                <w:lang w:val="en-US" w:eastAsia="zh-CN"/>
              </w:rPr>
              <w:t>3分，4名的得2分，2名的得1分。其余不得分。（提供人员证书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，并在投标文件中提供证书和在本单位近</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个月的个人社保</w:t>
            </w:r>
            <w:r>
              <w:rPr>
                <w:rFonts w:hint="eastAsia" w:ascii="宋体" w:hAnsi="宋体" w:eastAsia="宋体" w:cs="宋体"/>
                <w:sz w:val="24"/>
                <w:szCs w:val="24"/>
                <w:highlight w:val="none"/>
                <w:vertAlign w:val="baseline"/>
                <w:lang w:eastAsia="zh-CN"/>
              </w:rPr>
              <w:t>缴纳</w:t>
            </w:r>
            <w:r>
              <w:rPr>
                <w:rFonts w:hint="eastAsia" w:ascii="宋体" w:hAnsi="宋体" w:eastAsia="宋体" w:cs="宋体"/>
                <w:sz w:val="24"/>
                <w:szCs w:val="24"/>
                <w:highlight w:val="none"/>
                <w:vertAlign w:val="baseline"/>
              </w:rPr>
              <w:t>证明的复印件加盖公章，否则不得分。）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1440"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设备设施配套情况</w:t>
            </w:r>
          </w:p>
        </w:tc>
        <w:tc>
          <w:tcPr>
            <w:tcW w:w="1874"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30</w:t>
            </w: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lang w:eastAsia="zh-CN"/>
              </w:rPr>
              <w:t>洒水</w:t>
            </w:r>
            <w:r>
              <w:rPr>
                <w:rFonts w:hint="eastAsia" w:ascii="宋体" w:hAnsi="宋体" w:eastAsia="宋体" w:cs="宋体"/>
                <w:sz w:val="24"/>
                <w:szCs w:val="24"/>
                <w:highlight w:val="none"/>
                <w:vertAlign w:val="baseline"/>
              </w:rPr>
              <w:t>的配备∶企业自备一辆总质量18吨及以上的</w:t>
            </w:r>
            <w:r>
              <w:rPr>
                <w:rFonts w:hint="eastAsia" w:ascii="宋体" w:hAnsi="宋体" w:eastAsia="宋体" w:cs="宋体"/>
                <w:sz w:val="24"/>
                <w:szCs w:val="24"/>
                <w:highlight w:val="none"/>
                <w:vertAlign w:val="baseline"/>
                <w:lang w:eastAsia="zh-CN"/>
              </w:rPr>
              <w:t>洒水</w:t>
            </w:r>
            <w:r>
              <w:rPr>
                <w:rFonts w:hint="eastAsia" w:ascii="宋体" w:hAnsi="宋体" w:eastAsia="宋体" w:cs="宋体"/>
                <w:sz w:val="24"/>
                <w:szCs w:val="24"/>
                <w:highlight w:val="none"/>
                <w:vertAlign w:val="baseline"/>
              </w:rPr>
              <w:t>车，有</w:t>
            </w:r>
            <w:r>
              <w:rPr>
                <w:rFonts w:hint="eastAsia" w:ascii="宋体" w:hAnsi="宋体" w:eastAsia="宋体" w:cs="宋体"/>
                <w:sz w:val="24"/>
                <w:szCs w:val="24"/>
                <w:highlight w:val="none"/>
                <w:vertAlign w:val="baseline"/>
                <w:lang w:val="en-US" w:eastAsia="zh-CN"/>
              </w:rPr>
              <w:t>一</w:t>
            </w:r>
            <w:r>
              <w:rPr>
                <w:rFonts w:hint="eastAsia" w:ascii="宋体" w:hAnsi="宋体" w:eastAsia="宋体" w:cs="宋体"/>
                <w:sz w:val="24"/>
                <w:szCs w:val="24"/>
                <w:highlight w:val="none"/>
                <w:vertAlign w:val="baseline"/>
              </w:rPr>
              <w:t>辆得</w:t>
            </w:r>
            <w:r>
              <w:rPr>
                <w:rFonts w:hint="eastAsia" w:ascii="宋体" w:hAnsi="宋体" w:eastAsia="宋体" w:cs="宋体"/>
                <w:sz w:val="24"/>
                <w:szCs w:val="24"/>
                <w:highlight w:val="none"/>
                <w:vertAlign w:val="baseline"/>
                <w:lang w:val="en-US" w:eastAsia="zh-CN"/>
              </w:rPr>
              <w:t>3</w:t>
            </w:r>
            <w:r>
              <w:rPr>
                <w:rFonts w:hint="eastAsia" w:ascii="宋体" w:hAnsi="宋体" w:eastAsia="宋体" w:cs="宋体"/>
                <w:sz w:val="24"/>
                <w:szCs w:val="24"/>
                <w:highlight w:val="none"/>
                <w:vertAlign w:val="baseline"/>
              </w:rPr>
              <w:t>分，产权须为投标单位的，没有不得分</w:t>
            </w:r>
            <w:r>
              <w:rPr>
                <w:rFonts w:hint="eastAsia" w:ascii="宋体" w:hAnsi="宋体" w:eastAsia="宋体" w:cs="宋体"/>
                <w:sz w:val="24"/>
                <w:szCs w:val="24"/>
                <w:highlight w:val="none"/>
                <w:vertAlign w:val="baseline"/>
                <w:lang w:eastAsia="zh-CN"/>
              </w:rPr>
              <w:t>，最高得</w:t>
            </w:r>
            <w:r>
              <w:rPr>
                <w:rFonts w:hint="eastAsia" w:ascii="宋体" w:hAnsi="宋体" w:eastAsia="宋体" w:cs="宋体"/>
                <w:sz w:val="24"/>
                <w:szCs w:val="24"/>
                <w:highlight w:val="none"/>
                <w:vertAlign w:val="baseline"/>
                <w:lang w:val="en-US" w:eastAsia="zh-CN"/>
              </w:rPr>
              <w:t>6分；</w:t>
            </w:r>
            <w:r>
              <w:rPr>
                <w:rFonts w:hint="eastAsia" w:ascii="宋体" w:hAnsi="宋体" w:eastAsia="宋体" w:cs="宋体"/>
                <w:sz w:val="24"/>
                <w:szCs w:val="24"/>
                <w:highlight w:val="none"/>
                <w:vertAlign w:val="baseline"/>
              </w:rPr>
              <w:t>（提供车辆行驶证</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 （0-</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巡查车的配备∶企业自备1.5T及以上货车有一辆得</w:t>
            </w:r>
            <w:r>
              <w:rPr>
                <w:rFonts w:hint="eastAsia" w:ascii="宋体" w:hAnsi="宋体" w:eastAsia="宋体" w:cs="宋体"/>
                <w:sz w:val="24"/>
                <w:szCs w:val="24"/>
                <w:highlight w:val="none"/>
                <w:vertAlign w:val="baseline"/>
                <w:lang w:val="en-US" w:eastAsia="zh-CN"/>
              </w:rPr>
              <w:t>3</w:t>
            </w:r>
            <w:r>
              <w:rPr>
                <w:rFonts w:hint="eastAsia" w:ascii="宋体" w:hAnsi="宋体" w:eastAsia="宋体" w:cs="宋体"/>
                <w:sz w:val="24"/>
                <w:szCs w:val="24"/>
                <w:highlight w:val="none"/>
                <w:vertAlign w:val="baseline"/>
              </w:rPr>
              <w:t>分，最高得</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分，不符合要求不得分（提供车辆行驶证</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，并在投标文件中提供相关证明材料复印件，否则不得分。）（0-</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雾炮车的配备</w:t>
            </w:r>
            <w:r>
              <w:rPr>
                <w:rFonts w:hint="eastAsia" w:ascii="宋体" w:hAnsi="宋体" w:eastAsia="宋体" w:cs="宋体"/>
                <w:sz w:val="24"/>
                <w:szCs w:val="24"/>
                <w:highlight w:val="none"/>
                <w:vertAlign w:val="baseline"/>
                <w:lang w:eastAsia="zh-CN"/>
              </w:rPr>
              <w:t>（用于绿化除雪）</w:t>
            </w:r>
            <w:r>
              <w:rPr>
                <w:rFonts w:hint="eastAsia" w:ascii="宋体" w:hAnsi="宋体" w:eastAsia="宋体" w:cs="宋体"/>
                <w:sz w:val="24"/>
                <w:szCs w:val="24"/>
                <w:highlight w:val="none"/>
                <w:vertAlign w:val="baseline"/>
              </w:rPr>
              <w:t>∶企业自备一辆总质量18吨及以上的雾炮车，射程在60米及以上，有一辆得</w:t>
            </w:r>
            <w:r>
              <w:rPr>
                <w:rFonts w:hint="eastAsia" w:ascii="宋体" w:hAnsi="宋体" w:eastAsia="宋体" w:cs="宋体"/>
                <w:sz w:val="24"/>
                <w:szCs w:val="24"/>
                <w:highlight w:val="none"/>
                <w:vertAlign w:val="baseline"/>
                <w:lang w:eastAsia="zh-CN"/>
              </w:rPr>
              <w:t>6</w:t>
            </w:r>
            <w:r>
              <w:rPr>
                <w:rFonts w:hint="eastAsia" w:ascii="宋体" w:hAnsi="宋体" w:eastAsia="宋体" w:cs="宋体"/>
                <w:sz w:val="24"/>
                <w:szCs w:val="24"/>
                <w:highlight w:val="none"/>
                <w:vertAlign w:val="baseline"/>
              </w:rPr>
              <w:t>分，产权须为投标单位的，没有不得分</w:t>
            </w:r>
            <w:r>
              <w:rPr>
                <w:rFonts w:hint="eastAsia" w:ascii="宋体" w:hAnsi="宋体" w:eastAsia="宋体" w:cs="宋体"/>
                <w:sz w:val="24"/>
                <w:szCs w:val="24"/>
                <w:highlight w:val="none"/>
                <w:vertAlign w:val="baseline"/>
                <w:lang w:eastAsia="zh-CN"/>
              </w:rPr>
              <w:t>，最高得</w:t>
            </w:r>
            <w:r>
              <w:rPr>
                <w:rFonts w:hint="eastAsia" w:ascii="宋体" w:hAnsi="宋体" w:eastAsia="宋体" w:cs="宋体"/>
                <w:sz w:val="24"/>
                <w:szCs w:val="24"/>
                <w:highlight w:val="none"/>
                <w:vertAlign w:val="baseline"/>
                <w:lang w:val="en-US" w:eastAsia="zh-CN"/>
              </w:rPr>
              <w:t>6分；</w:t>
            </w:r>
            <w:r>
              <w:rPr>
                <w:rFonts w:hint="eastAsia" w:ascii="宋体" w:hAnsi="宋体" w:eastAsia="宋体" w:cs="宋体"/>
                <w:sz w:val="24"/>
                <w:szCs w:val="24"/>
                <w:highlight w:val="none"/>
                <w:vertAlign w:val="baseline"/>
              </w:rPr>
              <w:t>（提供车辆行驶证</w:t>
            </w:r>
            <w:r>
              <w:rPr>
                <w:rFonts w:hint="eastAsia" w:ascii="宋体" w:hAnsi="宋体" w:eastAsia="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 （0-</w:t>
            </w:r>
            <w:r>
              <w:rPr>
                <w:rFonts w:hint="eastAsia" w:ascii="宋体" w:hAnsi="宋体" w:eastAsia="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鼓风机的配备;企业自备清除落叶鼓风机，有一台得0.5分，最高得3 分，产权须为投标单位的，不符合要求不得分（提供购置发票</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，并在投标文件中提供相关证明材料复印件，否则不得分。）（0</w:t>
            </w:r>
            <w:r>
              <w:rPr>
                <w:rFonts w:hint="eastAsia" w:ascii="宋体" w:hAnsi="宋体" w:eastAsia="宋体" w:cs="宋体"/>
                <w:sz w:val="24"/>
                <w:szCs w:val="24"/>
                <w:highlight w:val="none"/>
                <w:vertAlign w:val="baseline"/>
                <w:lang w:val="en-US" w:eastAsia="zh-CN"/>
              </w:rPr>
              <w:t>-</w:t>
            </w:r>
            <w:r>
              <w:rPr>
                <w:rFonts w:hint="eastAsia" w:ascii="宋体" w:hAnsi="宋体" w:eastAsia="宋体" w:cs="宋体"/>
                <w:sz w:val="24"/>
                <w:szCs w:val="24"/>
                <w:highlight w:val="none"/>
                <w:vertAlign w:val="baseline"/>
              </w:rPr>
              <w:t>3分）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水泵的配备∶自有小功率抽水水泵每台得0.5分，最高得</w:t>
            </w:r>
            <w:r>
              <w:rPr>
                <w:rFonts w:hint="eastAsia" w:ascii="宋体" w:hAnsi="宋体" w:eastAsia="宋体" w:cs="宋体"/>
                <w:sz w:val="24"/>
                <w:szCs w:val="24"/>
                <w:highlight w:val="none"/>
                <w:vertAlign w:val="baseline"/>
                <w:lang w:val="en-US" w:eastAsia="zh-CN"/>
              </w:rPr>
              <w:t>3</w:t>
            </w:r>
            <w:r>
              <w:rPr>
                <w:rFonts w:hint="eastAsia" w:ascii="宋体" w:hAnsi="宋体" w:eastAsia="宋体" w:cs="宋体"/>
                <w:sz w:val="24"/>
                <w:szCs w:val="24"/>
                <w:highlight w:val="none"/>
                <w:vertAlign w:val="baseline"/>
              </w:rPr>
              <w:t>分（提供购置发票</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，并在投标文件中提供相关证明材料复印件，否则不得分。）（0-</w:t>
            </w:r>
            <w:r>
              <w:rPr>
                <w:rFonts w:hint="eastAsia" w:ascii="宋体" w:hAnsi="宋体" w:eastAsia="宋体" w:cs="宋体"/>
                <w:sz w:val="24"/>
                <w:szCs w:val="24"/>
                <w:highlight w:val="none"/>
                <w:vertAlign w:val="baseline"/>
                <w:lang w:val="en-US" w:eastAsia="zh-CN"/>
              </w:rPr>
              <w:t>3</w:t>
            </w:r>
            <w:r>
              <w:rPr>
                <w:rFonts w:hint="eastAsia" w:ascii="宋体" w:hAnsi="宋体" w:eastAsia="宋体" w:cs="宋体"/>
                <w:sz w:val="24"/>
                <w:szCs w:val="24"/>
                <w:highlight w:val="none"/>
                <w:vertAlign w:val="baseline"/>
              </w:rPr>
              <w:t>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保洁船的配备∶企业自备保洁船（手划船）只，</w:t>
            </w:r>
            <w:r>
              <w:rPr>
                <w:rFonts w:hint="eastAsia" w:ascii="宋体" w:hAnsi="宋体" w:cs="宋体"/>
                <w:sz w:val="24"/>
                <w:szCs w:val="24"/>
                <w:highlight w:val="none"/>
                <w:vertAlign w:val="baseline"/>
                <w:lang w:eastAsia="zh-CN"/>
              </w:rPr>
              <w:t>有</w:t>
            </w:r>
            <w:r>
              <w:rPr>
                <w:rFonts w:hint="eastAsia" w:ascii="宋体" w:hAnsi="宋体" w:eastAsia="宋体" w:cs="宋体"/>
                <w:sz w:val="24"/>
                <w:szCs w:val="24"/>
                <w:highlight w:val="none"/>
                <w:vertAlign w:val="baseline"/>
              </w:rPr>
              <w:t>一</w:t>
            </w:r>
            <w:r>
              <w:rPr>
                <w:rFonts w:hint="eastAsia" w:ascii="宋体" w:hAnsi="宋体" w:eastAsia="宋体" w:cs="宋体"/>
                <w:sz w:val="24"/>
                <w:szCs w:val="24"/>
                <w:highlight w:val="none"/>
                <w:vertAlign w:val="baseline"/>
                <w:lang w:eastAsia="zh-CN"/>
              </w:rPr>
              <w:t>艘</w:t>
            </w:r>
            <w:r>
              <w:rPr>
                <w:rFonts w:hint="eastAsia" w:ascii="宋体" w:hAnsi="宋体" w:eastAsia="宋体" w:cs="宋体"/>
                <w:sz w:val="24"/>
                <w:szCs w:val="24"/>
                <w:highlight w:val="none"/>
                <w:vertAlign w:val="baseline"/>
              </w:rPr>
              <w:t>得0.5分，最高得2分，船只产权须为投标单位，不符合要求不得分（提供购置发票</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，并在投标文件中提供相关证明材料复印件，否则不得分。）（0-2分）</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动力船的配备∶企业自备动力</w:t>
            </w:r>
            <w:r>
              <w:rPr>
                <w:rFonts w:hint="eastAsia" w:ascii="宋体" w:hAnsi="宋体" w:eastAsia="宋体" w:cs="宋体"/>
                <w:sz w:val="24"/>
                <w:szCs w:val="24"/>
                <w:highlight w:val="none"/>
                <w:vertAlign w:val="baseline"/>
                <w:lang w:eastAsia="zh-CN"/>
              </w:rPr>
              <w:t>船只</w:t>
            </w:r>
            <w:r>
              <w:rPr>
                <w:rFonts w:hint="eastAsia" w:ascii="宋体" w:hAnsi="宋体" w:eastAsia="宋体" w:cs="宋体"/>
                <w:sz w:val="24"/>
                <w:szCs w:val="24"/>
                <w:highlight w:val="none"/>
                <w:vertAlign w:val="baseline"/>
              </w:rPr>
              <w:t>，</w:t>
            </w:r>
            <w:r>
              <w:rPr>
                <w:rFonts w:hint="eastAsia" w:ascii="宋体" w:hAnsi="宋体" w:eastAsia="宋体" w:cs="宋体"/>
                <w:sz w:val="24"/>
                <w:szCs w:val="24"/>
                <w:highlight w:val="none"/>
                <w:vertAlign w:val="baseline"/>
                <w:lang w:eastAsia="zh-CN"/>
              </w:rPr>
              <w:t>有</w:t>
            </w:r>
            <w:r>
              <w:rPr>
                <w:rFonts w:hint="eastAsia" w:ascii="宋体" w:hAnsi="宋体" w:eastAsia="宋体" w:cs="宋体"/>
                <w:sz w:val="24"/>
                <w:szCs w:val="24"/>
                <w:highlight w:val="none"/>
                <w:vertAlign w:val="baseline"/>
              </w:rPr>
              <w:t>一</w:t>
            </w:r>
            <w:r>
              <w:rPr>
                <w:rFonts w:hint="eastAsia" w:ascii="宋体" w:hAnsi="宋体" w:eastAsia="宋体" w:cs="宋体"/>
                <w:sz w:val="24"/>
                <w:szCs w:val="24"/>
                <w:highlight w:val="none"/>
                <w:vertAlign w:val="baseline"/>
                <w:lang w:eastAsia="zh-CN"/>
              </w:rPr>
              <w:t>艘</w:t>
            </w:r>
            <w:r>
              <w:rPr>
                <w:rFonts w:hint="eastAsia" w:ascii="宋体" w:hAnsi="宋体" w:eastAsia="宋体" w:cs="宋体"/>
                <w:sz w:val="24"/>
                <w:szCs w:val="24"/>
                <w:highlight w:val="none"/>
                <w:vertAlign w:val="baseline"/>
              </w:rPr>
              <w:t>得0.5分，最高得2分，船只产权须为投标单位，不符合要求不得分（提供购置发票</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，并在投标文件中提供相关证明材料复印件，否则不得分。）（0-2 分）</w:t>
            </w:r>
          </w:p>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rPr>
              <w:t>安全保障的配备∶企业自备一辆总质量4吨及以上的防撞缓冲车，有一辆得2分。产权须为投标单位的，没有不得分</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（提供车辆行驶证</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rPr>
              <w:t>，并在投标文件中提供相关证明材料复印件，否则不得分。</w:t>
            </w:r>
            <w:r>
              <w:rPr>
                <w:rFonts w:hint="eastAsia" w:ascii="宋体" w:hAnsi="宋体" w:eastAsia="宋体" w:cs="宋体"/>
                <w:sz w:val="24"/>
                <w:szCs w:val="24"/>
                <w:highlight w:val="none"/>
                <w:vertAlign w:val="baseline"/>
                <w:lang w:eastAsia="zh-CN"/>
              </w:rPr>
              <w:t>）</w:t>
            </w:r>
          </w:p>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5</w:t>
            </w:r>
          </w:p>
        </w:tc>
        <w:tc>
          <w:tcPr>
            <w:tcW w:w="1440" w:type="dxa"/>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自律承诺</w:t>
            </w:r>
          </w:p>
        </w:tc>
        <w:tc>
          <w:tcPr>
            <w:tcW w:w="1874" w:type="dxa"/>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4815" w:type="dxa"/>
          </w:tcPr>
          <w:p>
            <w:pPr>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vertAlign w:val="baseline"/>
              </w:rPr>
              <w:t>根据投标人的绿化养护服务承诺、管理制度等，能够承诺有足够的人力、设备等资源、保证按时按质按量完成绿化养护工作，并制定管理质量控制措施，作出违约责任等承诺，对养护实施方案的落实负责等情况进行评价</w:t>
            </w:r>
            <w:r>
              <w:rPr>
                <w:rFonts w:hint="eastAsia" w:ascii="宋体" w:hAnsi="宋体" w:eastAsia="宋体" w:cs="宋体"/>
                <w:sz w:val="24"/>
                <w:szCs w:val="24"/>
                <w:highlight w:val="none"/>
                <w:vertAlign w:val="baseline"/>
                <w:lang w:eastAsia="zh-CN"/>
              </w:rPr>
              <w:t>。</w:t>
            </w:r>
            <w:r>
              <w:rPr>
                <w:rFonts w:hint="eastAsia" w:ascii="宋体" w:hAnsi="宋体" w:eastAsia="宋体" w:cs="宋体"/>
                <w:sz w:val="24"/>
                <w:szCs w:val="24"/>
                <w:highlight w:val="none"/>
                <w:vertAlign w:val="baseline"/>
              </w:rPr>
              <w:t>（0-</w:t>
            </w:r>
            <w:r>
              <w:rPr>
                <w:rFonts w:hint="eastAsia" w:ascii="宋体" w:hAnsi="宋体" w:eastAsia="宋体" w:cs="宋体"/>
                <w:sz w:val="24"/>
                <w:szCs w:val="24"/>
                <w:highlight w:val="none"/>
                <w:vertAlign w:val="baseline"/>
                <w:lang w:val="en-US" w:eastAsia="zh-CN"/>
              </w:rPr>
              <w:t>2</w:t>
            </w:r>
            <w:r>
              <w:rPr>
                <w:rFonts w:hint="eastAsia" w:ascii="宋体" w:hAnsi="宋体" w:eastAsia="宋体" w:cs="宋体"/>
                <w:sz w:val="24"/>
                <w:szCs w:val="24"/>
                <w:highlight w:val="none"/>
                <w:vertAlign w:val="baseline"/>
              </w:rPr>
              <w:t>分</w:t>
            </w:r>
            <w:r>
              <w:rPr>
                <w:rFonts w:hint="eastAsia" w:ascii="宋体" w:hAnsi="宋体" w:eastAsia="宋体" w:cs="宋体"/>
                <w:sz w:val="24"/>
                <w:szCs w:val="24"/>
                <w:highlight w:val="none"/>
                <w:vertAlign w:val="baseline"/>
                <w:lang w:eastAsia="zh-CN"/>
              </w:rPr>
              <w:t>）</w:t>
            </w:r>
          </w:p>
        </w:tc>
      </w:tr>
    </w:tbl>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商务分（</w:t>
      </w:r>
      <w:r>
        <w:rPr>
          <w:rFonts w:hint="eastAsia" w:ascii="宋体" w:hAnsi="宋体" w:eastAsia="宋体" w:cs="宋体"/>
          <w:sz w:val="24"/>
          <w:szCs w:val="24"/>
          <w:highlight w:val="none"/>
          <w:lang w:val="en-US" w:eastAsia="zh-CN"/>
        </w:rPr>
        <w:t>14分</w:t>
      </w:r>
      <w:r>
        <w:rPr>
          <w:rFonts w:hint="eastAsia" w:ascii="宋体" w:hAnsi="宋体" w:eastAsia="宋体" w:cs="宋体"/>
          <w:sz w:val="24"/>
          <w:szCs w:val="24"/>
          <w:highlight w:val="none"/>
          <w:lang w:eastAsia="zh-CN"/>
        </w:rPr>
        <w:t>）</w:t>
      </w:r>
    </w:p>
    <w:tbl>
      <w:tblPr>
        <w:tblStyle w:val="65"/>
        <w:tblW w:w="9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462"/>
        <w:gridCol w:w="1875"/>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序号</w:t>
            </w:r>
          </w:p>
        </w:tc>
        <w:tc>
          <w:tcPr>
            <w:tcW w:w="1462"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评分内容</w:t>
            </w:r>
          </w:p>
        </w:tc>
        <w:tc>
          <w:tcPr>
            <w:tcW w:w="1875"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分值</w:t>
            </w: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rPr>
                <w:rFonts w:hint="eastAsia" w:ascii="宋体" w:hAnsi="宋体" w:cs="宋体"/>
                <w:sz w:val="24"/>
                <w:szCs w:val="24"/>
                <w:highlight w:val="none"/>
                <w:vertAlign w:val="baseline"/>
                <w:lang w:val="en-US" w:eastAsia="zh-CN"/>
              </w:rPr>
            </w:pPr>
          </w:p>
          <w:p>
            <w:pPr>
              <w:rPr>
                <w:rFonts w:hint="eastAsia" w:ascii="宋体" w:hAnsi="宋体" w:cs="宋体"/>
                <w:sz w:val="24"/>
                <w:szCs w:val="24"/>
                <w:highlight w:val="none"/>
                <w:vertAlign w:val="baseline"/>
                <w:lang w:val="en-US" w:eastAsia="zh-CN"/>
              </w:rPr>
            </w:pPr>
          </w:p>
          <w:p>
            <w:pPr>
              <w:rPr>
                <w:rFonts w:hint="default" w:ascii="宋体" w:hAnsi="宋体" w:eastAsia="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1</w:t>
            </w:r>
          </w:p>
        </w:tc>
        <w:tc>
          <w:tcPr>
            <w:tcW w:w="1462" w:type="dxa"/>
            <w:vAlign w:val="top"/>
          </w:tcPr>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eastAsia="zh-CN"/>
              </w:rPr>
              <w:t>体系认证</w:t>
            </w:r>
          </w:p>
        </w:tc>
        <w:tc>
          <w:tcPr>
            <w:tcW w:w="1875" w:type="dxa"/>
            <w:vAlign w:val="top"/>
          </w:tcPr>
          <w:p>
            <w:pPr>
              <w:rPr>
                <w:rFonts w:hint="eastAsia" w:ascii="宋体" w:hAnsi="宋体" w:eastAsia="宋体" w:cs="宋体"/>
                <w:sz w:val="24"/>
                <w:szCs w:val="24"/>
                <w:highlight w:val="none"/>
                <w:vertAlign w:val="baseline"/>
                <w:lang w:val="en-US" w:eastAsia="zh-CN"/>
              </w:rPr>
            </w:pPr>
          </w:p>
          <w:p>
            <w:pPr>
              <w:rPr>
                <w:rFonts w:hint="eastAsia" w:ascii="宋体" w:hAnsi="宋体" w:eastAsia="宋体" w:cs="宋体"/>
                <w:sz w:val="24"/>
                <w:szCs w:val="24"/>
                <w:highlight w:val="none"/>
                <w:vertAlign w:val="baseline"/>
                <w:lang w:val="en-US" w:eastAsia="zh-CN"/>
              </w:rPr>
            </w:pPr>
          </w:p>
          <w:p>
            <w:pP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6</w:t>
            </w: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投标人具有质量管理体系认证证书、职业健康安全管理体系认证证书、环境管理体系认证证书，认证范围须同</w:t>
            </w:r>
            <w:r>
              <w:rPr>
                <w:rFonts w:hint="eastAsia" w:ascii="宋体" w:hAnsi="宋体" w:cs="宋体"/>
                <w:sz w:val="24"/>
                <w:szCs w:val="24"/>
                <w:highlight w:val="none"/>
                <w:vertAlign w:val="baseline"/>
                <w:lang w:eastAsia="zh-CN"/>
              </w:rPr>
              <w:t>时</w:t>
            </w:r>
            <w:r>
              <w:rPr>
                <w:rFonts w:hint="eastAsia" w:ascii="宋体" w:hAnsi="宋体" w:eastAsia="宋体" w:cs="宋体"/>
                <w:sz w:val="24"/>
                <w:szCs w:val="24"/>
                <w:highlight w:val="none"/>
                <w:vertAlign w:val="baseline"/>
                <w:lang w:eastAsia="zh-CN"/>
              </w:rPr>
              <w:t>包含河道保洁和绿化养护，且在有效期内，有</w:t>
            </w:r>
            <w:r>
              <w:rPr>
                <w:rFonts w:hint="eastAsia" w:ascii="宋体" w:hAnsi="宋体" w:eastAsia="宋体" w:cs="宋体"/>
                <w:sz w:val="24"/>
                <w:szCs w:val="24"/>
                <w:highlight w:val="none"/>
                <w:vertAlign w:val="baseline"/>
              </w:rPr>
              <w:t>一</w:t>
            </w:r>
            <w:r>
              <w:rPr>
                <w:rFonts w:hint="eastAsia" w:ascii="宋体" w:hAnsi="宋体" w:cs="宋体"/>
                <w:sz w:val="24"/>
                <w:szCs w:val="24"/>
                <w:highlight w:val="none"/>
                <w:vertAlign w:val="baseline"/>
                <w:lang w:eastAsia="zh-CN"/>
              </w:rPr>
              <w:t>项</w:t>
            </w:r>
            <w:r>
              <w:rPr>
                <w:rFonts w:hint="eastAsia" w:ascii="宋体" w:hAnsi="宋体" w:eastAsia="宋体" w:cs="宋体"/>
                <w:sz w:val="24"/>
                <w:szCs w:val="24"/>
                <w:highlight w:val="none"/>
                <w:vertAlign w:val="baseline"/>
              </w:rPr>
              <w:t>得</w:t>
            </w:r>
            <w:r>
              <w:rPr>
                <w:rFonts w:hint="eastAsia" w:ascii="宋体" w:hAnsi="宋体" w:cs="宋体"/>
                <w:sz w:val="24"/>
                <w:szCs w:val="24"/>
                <w:highlight w:val="none"/>
                <w:vertAlign w:val="baseline"/>
                <w:lang w:val="en-US" w:eastAsia="zh-CN"/>
              </w:rPr>
              <w:t>2</w:t>
            </w:r>
            <w:r>
              <w:rPr>
                <w:rFonts w:hint="eastAsia" w:ascii="宋体" w:hAnsi="宋体" w:eastAsia="宋体" w:cs="宋体"/>
                <w:sz w:val="24"/>
                <w:szCs w:val="24"/>
                <w:highlight w:val="none"/>
                <w:vertAlign w:val="baseline"/>
              </w:rPr>
              <w:t>分，最高得</w:t>
            </w:r>
            <w:r>
              <w:rPr>
                <w:rFonts w:hint="eastAsia" w:ascii="宋体" w:hAnsi="宋体" w:cs="宋体"/>
                <w:sz w:val="24"/>
                <w:szCs w:val="24"/>
                <w:highlight w:val="none"/>
                <w:vertAlign w:val="baseline"/>
                <w:lang w:val="en-US" w:eastAsia="zh-CN"/>
              </w:rPr>
              <w:t>6</w:t>
            </w:r>
            <w:r>
              <w:rPr>
                <w:rFonts w:hint="eastAsia" w:ascii="宋体" w:hAnsi="宋体" w:eastAsia="宋体" w:cs="宋体"/>
                <w:sz w:val="24"/>
                <w:szCs w:val="24"/>
                <w:highlight w:val="none"/>
                <w:vertAlign w:val="baseline"/>
              </w:rPr>
              <w:t>分</w:t>
            </w:r>
            <w:r>
              <w:rPr>
                <w:rFonts w:hint="eastAsia" w:ascii="宋体" w:hAnsi="宋体" w:eastAsia="宋体" w:cs="宋体"/>
                <w:sz w:val="24"/>
                <w:szCs w:val="24"/>
                <w:highlight w:val="none"/>
                <w:vertAlign w:val="baseline"/>
                <w:lang w:eastAsia="zh-CN"/>
              </w:rPr>
              <w:t>。（须提供有效的证书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lang w:eastAsia="zh-CN"/>
              </w:rPr>
              <w:t>，并在投标文件中提供相关证书复印件，否则不得分。）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rPr>
                <w:rFonts w:hint="eastAsia" w:ascii="宋体" w:hAnsi="宋体" w:cs="宋体"/>
                <w:sz w:val="24"/>
                <w:szCs w:val="24"/>
                <w:highlight w:val="none"/>
                <w:vertAlign w:val="baseline"/>
                <w:lang w:val="en-US" w:eastAsia="zh-CN"/>
              </w:rPr>
            </w:pPr>
          </w:p>
          <w:p>
            <w:pPr>
              <w:ind w:firstLine="240" w:firstLineChars="100"/>
              <w:rPr>
                <w:rFonts w:hint="default" w:ascii="宋体" w:hAnsi="宋体" w:eastAsia="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2</w:t>
            </w:r>
          </w:p>
        </w:tc>
        <w:tc>
          <w:tcPr>
            <w:tcW w:w="1462" w:type="dxa"/>
            <w:vAlign w:val="top"/>
          </w:tcPr>
          <w:p>
            <w:pPr>
              <w:ind w:firstLine="240" w:firstLineChars="100"/>
              <w:rPr>
                <w:rFonts w:hint="eastAsia" w:ascii="宋体" w:hAnsi="宋体" w:eastAsia="宋体" w:cs="宋体"/>
                <w:sz w:val="24"/>
                <w:szCs w:val="24"/>
                <w:highlight w:val="none"/>
                <w:vertAlign w:val="baseline"/>
                <w:lang w:eastAsia="zh-CN"/>
              </w:rPr>
            </w:pPr>
          </w:p>
          <w:p>
            <w:pPr>
              <w:ind w:firstLine="240" w:firstLineChars="1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eastAsia="zh-CN"/>
              </w:rPr>
              <w:t>资信</w:t>
            </w:r>
          </w:p>
        </w:tc>
        <w:tc>
          <w:tcPr>
            <w:tcW w:w="1875"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val="en-US" w:eastAsia="zh-CN"/>
              </w:rPr>
              <w:t>3</w:t>
            </w: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投标人取得工商部门或市场监督局出具的"守合同重信用"单位称号∶AAA级或省级及以上的得3分，AA级或市级的得1分，其余不得分。（须提供证书</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lang w:eastAsia="zh-CN"/>
              </w:rPr>
              <w:t>，并在投标文件中提供相关证书复印件，否则不得分。）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vMerge w:val="restart"/>
          </w:tcPr>
          <w:p>
            <w:pPr>
              <w:rPr>
                <w:rFonts w:hint="eastAsia" w:ascii="宋体" w:hAnsi="宋体" w:eastAsia="宋体" w:cs="宋体"/>
                <w:sz w:val="24"/>
                <w:szCs w:val="24"/>
                <w:highlight w:val="none"/>
                <w:vertAlign w:val="baseline"/>
                <w:lang w:eastAsia="zh-CN"/>
              </w:rPr>
            </w:pPr>
          </w:p>
        </w:tc>
        <w:tc>
          <w:tcPr>
            <w:tcW w:w="1462" w:type="dxa"/>
            <w:vMerge w:val="restart"/>
            <w:vAlign w:val="top"/>
          </w:tcPr>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eastAsia="zh-CN"/>
              </w:rPr>
            </w:pPr>
          </w:p>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eastAsia="zh-CN"/>
              </w:rPr>
              <w:t>相关荣誉</w:t>
            </w:r>
          </w:p>
        </w:tc>
        <w:tc>
          <w:tcPr>
            <w:tcW w:w="1875" w:type="dxa"/>
            <w:vMerge w:val="restart"/>
            <w:vAlign w:val="top"/>
          </w:tcPr>
          <w:p>
            <w:pPr>
              <w:rPr>
                <w:rFonts w:hint="eastAsia" w:ascii="宋体" w:hAnsi="宋体" w:eastAsia="宋体" w:cs="宋体"/>
                <w:sz w:val="24"/>
                <w:szCs w:val="24"/>
                <w:highlight w:val="none"/>
                <w:vertAlign w:val="baseline"/>
                <w:lang w:val="en-US" w:eastAsia="zh-CN"/>
              </w:rPr>
            </w:pPr>
          </w:p>
          <w:p>
            <w:pPr>
              <w:rPr>
                <w:rFonts w:hint="eastAsia" w:ascii="宋体" w:hAnsi="宋体" w:eastAsia="宋体" w:cs="宋体"/>
                <w:sz w:val="24"/>
                <w:szCs w:val="24"/>
                <w:highlight w:val="none"/>
                <w:vertAlign w:val="baseline"/>
                <w:lang w:val="en-US" w:eastAsia="zh-CN"/>
              </w:rPr>
            </w:pPr>
          </w:p>
          <w:p>
            <w:pPr>
              <w:rPr>
                <w:rFonts w:hint="eastAsia" w:ascii="宋体" w:hAnsi="宋体" w:eastAsia="宋体" w:cs="宋体"/>
                <w:sz w:val="24"/>
                <w:szCs w:val="24"/>
                <w:highlight w:val="none"/>
                <w:vertAlign w:val="baseline"/>
                <w:lang w:val="en-US" w:eastAsia="zh-CN"/>
              </w:rPr>
            </w:pPr>
          </w:p>
          <w:p>
            <w:pPr>
              <w:rPr>
                <w:rFonts w:hint="eastAsia" w:ascii="宋体" w:hAnsi="宋体" w:eastAsia="宋体" w:cs="宋体"/>
                <w:sz w:val="24"/>
                <w:szCs w:val="24"/>
                <w:highlight w:val="none"/>
                <w:vertAlign w:val="baseline"/>
                <w:lang w:val="en-US" w:eastAsia="zh-CN"/>
              </w:rPr>
            </w:pPr>
          </w:p>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val="en-US" w:eastAsia="zh-CN"/>
              </w:rPr>
              <w:t>4</w:t>
            </w: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投标人201</w:t>
            </w:r>
            <w:r>
              <w:rPr>
                <w:rFonts w:hint="eastAsia" w:ascii="宋体" w:hAnsi="宋体" w:eastAsia="宋体" w:cs="宋体"/>
                <w:sz w:val="24"/>
                <w:szCs w:val="24"/>
                <w:highlight w:val="none"/>
                <w:vertAlign w:val="baseline"/>
                <w:lang w:val="en-US" w:eastAsia="zh-CN"/>
              </w:rPr>
              <w:t>9</w:t>
            </w:r>
            <w:r>
              <w:rPr>
                <w:rFonts w:hint="eastAsia" w:ascii="宋体" w:hAnsi="宋体" w:eastAsia="宋体" w:cs="宋体"/>
                <w:sz w:val="24"/>
                <w:szCs w:val="24"/>
                <w:highlight w:val="none"/>
                <w:vertAlign w:val="baseline"/>
                <w:lang w:eastAsia="zh-CN"/>
              </w:rPr>
              <w:t>年1月1日（以获奖时间为准）以来获得行政主管部门颁发的</w:t>
            </w:r>
            <w:r>
              <w:rPr>
                <w:rFonts w:hint="eastAsia" w:ascii="宋体" w:hAnsi="宋体" w:eastAsia="宋体" w:cs="宋体"/>
                <w:sz w:val="24"/>
                <w:szCs w:val="24"/>
                <w:highlight w:val="none"/>
                <w:vertAlign w:val="baseline"/>
                <w:lang w:val="en-US" w:eastAsia="zh-CN"/>
              </w:rPr>
              <w:t>河道保洁或</w:t>
            </w:r>
            <w:r>
              <w:rPr>
                <w:rFonts w:hint="eastAsia" w:ascii="宋体" w:hAnsi="宋体" w:eastAsia="宋体" w:cs="宋体"/>
                <w:sz w:val="24"/>
                <w:szCs w:val="24"/>
                <w:highlight w:val="none"/>
                <w:vertAlign w:val="baseline"/>
                <w:lang w:eastAsia="zh-CN"/>
              </w:rPr>
              <w:t>绿化养护类荣誉;市级及以上的，</w:t>
            </w:r>
            <w:r>
              <w:rPr>
                <w:rFonts w:hint="eastAsia" w:ascii="宋体" w:hAnsi="宋体" w:eastAsia="宋体" w:cs="宋体"/>
                <w:color w:val="auto"/>
                <w:sz w:val="24"/>
                <w:szCs w:val="24"/>
                <w:highlight w:val="none"/>
                <w:lang w:val="en-US" w:eastAsia="zh-CN"/>
              </w:rPr>
              <w:t>每个得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r>
              <w:rPr>
                <w:rFonts w:hint="eastAsia" w:ascii="宋体" w:hAnsi="宋体" w:eastAsia="宋体" w:cs="宋体"/>
                <w:sz w:val="24"/>
                <w:szCs w:val="24"/>
                <w:highlight w:val="none"/>
                <w:vertAlign w:val="baseline"/>
                <w:lang w:eastAsia="zh-CN"/>
              </w:rPr>
              <w:t>，区级的，</w:t>
            </w:r>
            <w:r>
              <w:rPr>
                <w:rFonts w:hint="eastAsia" w:ascii="宋体" w:hAnsi="宋体" w:eastAsia="宋体" w:cs="宋体"/>
                <w:color w:val="auto"/>
                <w:sz w:val="24"/>
                <w:szCs w:val="24"/>
                <w:highlight w:val="none"/>
                <w:lang w:val="en-US" w:eastAsia="zh-CN"/>
              </w:rPr>
              <w:t>每个得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eastAsia="宋体" w:cs="宋体"/>
                <w:sz w:val="24"/>
                <w:szCs w:val="24"/>
                <w:highlight w:val="none"/>
                <w:vertAlign w:val="baseline"/>
                <w:lang w:eastAsia="zh-CN"/>
              </w:rPr>
              <w:t>，本项最高得2分。</w:t>
            </w:r>
          </w:p>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提供业绩合同</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lang w:eastAsia="zh-CN"/>
              </w:rPr>
              <w:t>和相关荣誉证明</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lang w:eastAsia="zh-CN"/>
              </w:rPr>
              <w:t>，并在投标文件中提供业绩合同和相关荣誉证明的复印件，否则不得分（获奖公共绿地名称与合同须一致，否则不得分）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vMerge w:val="continue"/>
          </w:tcPr>
          <w:p>
            <w:pPr>
              <w:rPr>
                <w:rFonts w:hint="eastAsia" w:ascii="宋体" w:hAnsi="宋体" w:eastAsia="宋体" w:cs="宋体"/>
                <w:sz w:val="24"/>
                <w:szCs w:val="24"/>
                <w:highlight w:val="none"/>
                <w:vertAlign w:val="baseline"/>
                <w:lang w:eastAsia="zh-CN"/>
              </w:rPr>
            </w:pPr>
          </w:p>
        </w:tc>
        <w:tc>
          <w:tcPr>
            <w:tcW w:w="1462" w:type="dxa"/>
            <w:vMerge w:val="continue"/>
          </w:tcPr>
          <w:p>
            <w:pPr>
              <w:rPr>
                <w:rFonts w:hint="eastAsia" w:ascii="宋体" w:hAnsi="宋体" w:eastAsia="宋体" w:cs="宋体"/>
                <w:sz w:val="24"/>
                <w:szCs w:val="24"/>
                <w:highlight w:val="none"/>
                <w:vertAlign w:val="baseline"/>
                <w:lang w:val="en-US" w:eastAsia="zh-CN"/>
              </w:rPr>
            </w:pPr>
          </w:p>
        </w:tc>
        <w:tc>
          <w:tcPr>
            <w:tcW w:w="1875" w:type="dxa"/>
            <w:vMerge w:val="continue"/>
            <w:vAlign w:val="top"/>
          </w:tcPr>
          <w:p>
            <w:pPr>
              <w:rPr>
                <w:rFonts w:hint="eastAsia" w:ascii="宋体" w:hAnsi="宋体" w:eastAsia="宋体" w:cs="宋体"/>
                <w:sz w:val="24"/>
                <w:szCs w:val="24"/>
                <w:highlight w:val="none"/>
                <w:vertAlign w:val="baseline"/>
                <w:lang w:eastAsia="zh-CN"/>
              </w:rPr>
            </w:pP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投标人具有区县级及以上市场监督管理部门颁发的政府质量奖的得2 分。（提供相关荣誉证明</w:t>
            </w:r>
            <w:r>
              <w:rPr>
                <w:rFonts w:hint="eastAsia" w:ascii="宋体" w:hAnsi="宋体" w:cs="宋体"/>
                <w:sz w:val="24"/>
                <w:szCs w:val="24"/>
                <w:highlight w:val="none"/>
                <w:vertAlign w:val="baseline"/>
                <w:lang w:eastAsia="zh-CN"/>
              </w:rPr>
              <w:t>复印件</w:t>
            </w:r>
            <w:r>
              <w:rPr>
                <w:rFonts w:hint="eastAsia" w:ascii="宋体" w:hAnsi="宋体" w:eastAsia="宋体" w:cs="宋体"/>
                <w:sz w:val="24"/>
                <w:szCs w:val="24"/>
                <w:highlight w:val="none"/>
                <w:vertAlign w:val="baseline"/>
                <w:lang w:eastAsia="zh-CN"/>
              </w:rPr>
              <w:t>，并在投标文件中提供相关荣誉证明的复印件，否则不得分）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Pr>
          <w:p>
            <w:pPr>
              <w:rPr>
                <w:rFonts w:hint="eastAsia" w:ascii="宋体" w:hAnsi="宋体" w:eastAsia="宋体" w:cs="宋体"/>
                <w:sz w:val="24"/>
                <w:szCs w:val="24"/>
                <w:highlight w:val="none"/>
                <w:vertAlign w:val="baseline"/>
                <w:lang w:eastAsia="zh-CN"/>
              </w:rPr>
            </w:pPr>
          </w:p>
        </w:tc>
        <w:tc>
          <w:tcPr>
            <w:tcW w:w="1462" w:type="dxa"/>
            <w:vAlign w:val="top"/>
          </w:tcPr>
          <w:p>
            <w:pP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eastAsia="zh-CN"/>
              </w:rPr>
              <w:t>业绩</w:t>
            </w:r>
          </w:p>
        </w:tc>
        <w:tc>
          <w:tcPr>
            <w:tcW w:w="1875" w:type="dxa"/>
            <w:vAlign w:val="top"/>
          </w:tcPr>
          <w:p>
            <w:pPr>
              <w:rPr>
                <w:rFonts w:hint="default" w:ascii="宋体" w:hAnsi="宋体" w:eastAsia="宋体" w:cs="宋体"/>
                <w:sz w:val="24"/>
                <w:szCs w:val="24"/>
                <w:highlight w:val="none"/>
                <w:vertAlign w:val="baseline"/>
                <w:lang w:val="en-US" w:eastAsia="zh-CN"/>
              </w:rPr>
            </w:pPr>
            <w:r>
              <w:rPr>
                <w:rFonts w:hint="eastAsia" w:ascii="宋体" w:hAnsi="宋体" w:cs="宋体"/>
                <w:sz w:val="24"/>
                <w:szCs w:val="24"/>
                <w:highlight w:val="none"/>
                <w:vertAlign w:val="baseline"/>
                <w:lang w:val="en-US" w:eastAsia="zh-CN"/>
              </w:rPr>
              <w:t>1</w:t>
            </w:r>
          </w:p>
        </w:tc>
        <w:tc>
          <w:tcPr>
            <w:tcW w:w="4838" w:type="dxa"/>
            <w:vAlign w:val="top"/>
          </w:tcPr>
          <w:p>
            <w:pPr>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投标单位自201</w:t>
            </w:r>
            <w:r>
              <w:rPr>
                <w:rFonts w:hint="eastAsia" w:ascii="宋体" w:hAnsi="宋体" w:eastAsia="宋体" w:cs="宋体"/>
                <w:sz w:val="24"/>
                <w:szCs w:val="24"/>
                <w:highlight w:val="none"/>
                <w:vertAlign w:val="baseline"/>
                <w:lang w:val="en-US" w:eastAsia="zh-CN"/>
              </w:rPr>
              <w:t>9</w:t>
            </w:r>
            <w:r>
              <w:rPr>
                <w:rFonts w:hint="eastAsia" w:ascii="宋体" w:hAnsi="宋体" w:eastAsia="宋体" w:cs="宋体"/>
                <w:sz w:val="24"/>
                <w:szCs w:val="24"/>
                <w:highlight w:val="none"/>
                <w:vertAlign w:val="baseline"/>
                <w:lang w:eastAsia="zh-CN"/>
              </w:rPr>
              <w:t>年1月1日（含）以来（以合同签订时间为准）具有</w:t>
            </w:r>
            <w:r>
              <w:rPr>
                <w:rFonts w:hint="eastAsia" w:ascii="宋体" w:hAnsi="宋体" w:eastAsia="宋体" w:cs="宋体"/>
                <w:sz w:val="24"/>
                <w:szCs w:val="24"/>
                <w:highlight w:val="none"/>
                <w:vertAlign w:val="baseline"/>
                <w:lang w:val="en-US" w:eastAsia="zh-CN"/>
              </w:rPr>
              <w:t>河道保洁或</w:t>
            </w:r>
            <w:r>
              <w:rPr>
                <w:rFonts w:hint="eastAsia" w:ascii="宋体" w:hAnsi="宋体" w:eastAsia="宋体" w:cs="宋体"/>
                <w:sz w:val="24"/>
                <w:szCs w:val="24"/>
                <w:highlight w:val="none"/>
                <w:vertAlign w:val="baseline"/>
                <w:lang w:eastAsia="zh-CN"/>
              </w:rPr>
              <w:t>绿化养护类实施业绩，每提供</w:t>
            </w:r>
            <w:r>
              <w:rPr>
                <w:rFonts w:hint="eastAsia" w:ascii="宋体" w:hAnsi="宋体" w:eastAsia="宋体" w:cs="宋体"/>
                <w:sz w:val="24"/>
                <w:szCs w:val="24"/>
                <w:highlight w:val="none"/>
                <w:vertAlign w:val="baseline"/>
                <w:lang w:val="en-US" w:eastAsia="zh-CN"/>
              </w:rPr>
              <w:t>1</w:t>
            </w:r>
            <w:r>
              <w:rPr>
                <w:rFonts w:hint="eastAsia" w:ascii="宋体" w:hAnsi="宋体" w:eastAsia="宋体" w:cs="宋体"/>
                <w:sz w:val="24"/>
                <w:szCs w:val="24"/>
                <w:highlight w:val="none"/>
                <w:vertAlign w:val="baseline"/>
                <w:lang w:eastAsia="zh-CN"/>
              </w:rPr>
              <w:t>个得</w:t>
            </w:r>
            <w:r>
              <w:rPr>
                <w:rFonts w:hint="eastAsia" w:ascii="宋体" w:hAnsi="宋体" w:eastAsia="宋体" w:cs="宋体"/>
                <w:sz w:val="24"/>
                <w:szCs w:val="24"/>
                <w:highlight w:val="none"/>
                <w:vertAlign w:val="baseline"/>
                <w:lang w:val="en-US" w:eastAsia="zh-CN"/>
              </w:rPr>
              <w:t>0.5</w:t>
            </w:r>
            <w:r>
              <w:rPr>
                <w:rFonts w:hint="eastAsia" w:ascii="宋体" w:hAnsi="宋体" w:eastAsia="宋体" w:cs="宋体"/>
                <w:sz w:val="24"/>
                <w:szCs w:val="24"/>
                <w:highlight w:val="none"/>
                <w:vertAlign w:val="baseline"/>
                <w:lang w:eastAsia="zh-CN"/>
              </w:rPr>
              <w:t>分，本项最高的</w:t>
            </w:r>
            <w:r>
              <w:rPr>
                <w:rFonts w:hint="eastAsia" w:ascii="宋体" w:hAnsi="宋体" w:eastAsia="宋体" w:cs="宋体"/>
                <w:sz w:val="24"/>
                <w:szCs w:val="24"/>
                <w:highlight w:val="none"/>
                <w:vertAlign w:val="baseline"/>
                <w:lang w:val="en-US" w:eastAsia="zh-CN"/>
              </w:rPr>
              <w:t>1</w:t>
            </w:r>
            <w:r>
              <w:rPr>
                <w:rFonts w:hint="eastAsia" w:ascii="宋体" w:hAnsi="宋体" w:eastAsia="宋体" w:cs="宋体"/>
                <w:sz w:val="24"/>
                <w:szCs w:val="24"/>
                <w:highlight w:val="none"/>
                <w:vertAlign w:val="baseline"/>
                <w:lang w:eastAsia="zh-CN"/>
              </w:rPr>
              <w:t>分。（须提供中标通知书或合同复印件，并在投标文件中提供相关证明材料的复印件，否则不得分）</w:t>
            </w:r>
          </w:p>
        </w:tc>
      </w:tr>
    </w:tbl>
    <w:p>
      <w:pPr>
        <w:pStyle w:val="967"/>
        <w:rPr>
          <w:highlight w:val="none"/>
        </w:rPr>
      </w:pP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3、商务分+技术分=评标委员会所有成员评分合计数/评标委员会组成人员数</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eastAsia" w:ascii="宋体" w:hAnsi="宋体" w:cs="宋体"/>
          <w:b/>
          <w:bCs/>
          <w:sz w:val="24"/>
          <w:highlight w:val="none"/>
        </w:rPr>
        <w:t>价格分（</w:t>
      </w:r>
      <w:r>
        <w:rPr>
          <w:rFonts w:hint="eastAsia" w:ascii="宋体" w:hAnsi="宋体" w:cs="宋体"/>
          <w:b/>
          <w:bCs/>
          <w:sz w:val="24"/>
          <w:highlight w:val="none"/>
          <w:lang w:val="en-US" w:eastAsia="zh-CN"/>
        </w:rPr>
        <w:t>1</w:t>
      </w:r>
      <w:r>
        <w:rPr>
          <w:rFonts w:hint="eastAsia" w:ascii="宋体" w:hAnsi="宋体" w:cs="宋体"/>
          <w:b/>
          <w:bCs/>
          <w:sz w:val="24"/>
          <w:highlight w:val="none"/>
        </w:rPr>
        <w:t>0分）</w:t>
      </w:r>
      <w:r>
        <w:rPr>
          <w:rFonts w:hint="eastAsia" w:ascii="宋体" w:hAnsi="宋体" w:cs="宋体"/>
          <w:sz w:val="24"/>
          <w:highlight w:val="none"/>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sz w:val="24"/>
          <w:highlight w:val="none"/>
        </w:rPr>
      </w:pPr>
      <w:r>
        <w:rPr>
          <w:rFonts w:hint="eastAsia" w:ascii="宋体" w:hAnsi="宋体" w:cs="宋体"/>
          <w:b/>
          <w:bCs/>
          <w:sz w:val="24"/>
          <w:highlight w:val="none"/>
        </w:rPr>
        <w:t>价格分=（评标基准价/投标报价）×</w:t>
      </w:r>
      <w:r>
        <w:rPr>
          <w:rFonts w:hint="eastAsia" w:ascii="宋体" w:hAnsi="宋体" w:cs="宋体"/>
          <w:b/>
          <w:bCs/>
          <w:sz w:val="24"/>
          <w:highlight w:val="none"/>
          <w:lang w:val="en-US" w:eastAsia="zh-CN"/>
        </w:rPr>
        <w:t>1</w:t>
      </w:r>
      <w:r>
        <w:rPr>
          <w:rFonts w:hint="eastAsia" w:ascii="宋体" w:hAnsi="宋体" w:cs="宋体"/>
          <w:b/>
          <w:bCs/>
          <w:sz w:val="24"/>
          <w:highlight w:val="none"/>
        </w:rPr>
        <w:t>0%×100；</w:t>
      </w:r>
      <w:r>
        <w:rPr>
          <w:rFonts w:hint="eastAsia" w:ascii="宋体" w:hAnsi="宋体" w:cs="宋体"/>
          <w:b/>
          <w:bCs/>
          <w:sz w:val="24"/>
          <w:highlight w:val="none"/>
          <w:lang w:val="en-US" w:eastAsia="zh-CN"/>
        </w:rPr>
        <w:t>评标过程中，不得去掉报价中的最高报价和最低报价。</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因落实政府采购政策进行价格调整的，以调整后的价格计算评标基准价和投标报价。</w:t>
      </w:r>
    </w:p>
    <w:p>
      <w:pPr>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5、投标人评标综合得分=价格分+商务分+技术分</w:t>
      </w:r>
    </w:p>
    <w:p>
      <w:pPr>
        <w:pStyle w:val="968"/>
        <w:snapToGrid w:val="0"/>
        <w:ind w:left="480" w:firstLine="0" w:firstLineChars="0"/>
        <w:rPr>
          <w:b/>
          <w:highlight w:val="none"/>
        </w:rPr>
      </w:pPr>
      <w:r>
        <w:rPr>
          <w:rFonts w:hint="eastAsia"/>
          <w:b/>
          <w:highlight w:val="none"/>
        </w:rPr>
        <w:t>注：以上所涉及的证明材料，需提供扫描件制作进投标响应文件内，未提供的不得分。</w:t>
      </w:r>
    </w:p>
    <w:p>
      <w:pPr>
        <w:snapToGrid w:val="0"/>
        <w:spacing w:line="360" w:lineRule="auto"/>
        <w:ind w:firstLine="472" w:firstLineChars="196"/>
        <w:rPr>
          <w:rFonts w:ascii="宋体" w:hAnsi="宋体" w:cs="宋体"/>
          <w:b/>
          <w:sz w:val="24"/>
          <w:highlight w:val="none"/>
        </w:rPr>
      </w:pPr>
      <w:r>
        <w:rPr>
          <w:rFonts w:hint="eastAsia" w:ascii="宋体" w:hAnsi="宋体" w:cs="宋体"/>
          <w:b/>
          <w:sz w:val="24"/>
          <w:highlight w:val="none"/>
        </w:rPr>
        <w:t>报价是中标的一个重要因素，但最低报价不是中标的唯一依据。</w:t>
      </w:r>
    </w:p>
    <w:p>
      <w:pPr>
        <w:snapToGrid w:val="0"/>
        <w:spacing w:line="360" w:lineRule="auto"/>
        <w:rPr>
          <w:rFonts w:ascii="仿宋" w:hAnsi="仿宋" w:eastAsia="仿宋" w:cs="仿宋_GB2312"/>
          <w:b/>
          <w:color w:val="auto"/>
          <w:sz w:val="24"/>
          <w:highlight w:val="none"/>
        </w:rPr>
      </w:pPr>
      <w:r>
        <w:rPr>
          <w:rFonts w:ascii="Arial" w:hAnsi="Arial" w:cs="Arial"/>
          <w:color w:val="auto"/>
          <w:sz w:val="20"/>
          <w:szCs w:val="20"/>
          <w:highlight w:val="none"/>
          <w:shd w:val="clear" w:color="auto" w:fill="FFFFFF"/>
        </w:rPr>
        <w:t> *</w:t>
      </w: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snapToGrid w:val="0"/>
        <w:spacing w:line="360" w:lineRule="auto"/>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仿宋_GB2312"/>
          <w:b/>
          <w:color w:val="auto"/>
          <w:sz w:val="32"/>
          <w:highlight w:val="none"/>
        </w:rPr>
        <w:t>二、评标标准</w:t>
      </w:r>
    </w:p>
    <w:p>
      <w:pPr>
        <w:spacing w:line="360" w:lineRule="auto"/>
        <w:ind w:firstLine="472" w:firstLineChars="196"/>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spacing w:line="360" w:lineRule="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90"/>
        <w:spacing w:before="0"/>
        <w:ind w:firstLine="508" w:firstLineChars="212"/>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9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四、评标中的其他事项</w:t>
      </w:r>
    </w:p>
    <w:p>
      <w:pPr>
        <w:pStyle w:val="90"/>
        <w:spacing w:before="0"/>
        <w:ind w:firstLine="472" w:firstLineChars="196"/>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ascii="仿宋_GB2312" w:hAnsi="仿宋" w:eastAsia="仿宋_GB2312" w:cs="仿宋_GB2312"/>
          <w:color w:val="auto"/>
          <w:szCs w:val="21"/>
          <w:highlight w:val="none"/>
        </w:rPr>
      </w:pPr>
      <w:r>
        <w:rPr>
          <w:rFonts w:ascii="仿宋_GB2312" w:hAnsi="仿宋" w:eastAsia="仿宋_GB2312" w:cs="Arial"/>
          <w:b/>
          <w:color w:val="auto"/>
          <w:kern w:val="0"/>
          <w:highlight w:val="none"/>
        </w:rPr>
        <w:t>4.2投标无效。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4.2.4投标文件含有采购人不能接受的附加条件的；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4.2.10投标人提供虚假材料投标的；</w:t>
      </w:r>
    </w:p>
    <w:p>
      <w:pPr>
        <w:spacing w:line="360" w:lineRule="auto"/>
        <w:ind w:firstLine="240" w:firstLineChars="1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4.2.12投标人仅提交备份投标文件，没有在电子交易平台传输递交投标文件的，投标无效；</w:t>
      </w:r>
    </w:p>
    <w:p>
      <w:pPr>
        <w:pStyle w:val="6"/>
        <w:ind w:left="862" w:leftChars="205"/>
        <w:rPr>
          <w:rFonts w:cs="Arial"/>
          <w:b w:val="0"/>
          <w:bCs w:val="0"/>
          <w:color w:val="auto"/>
          <w:kern w:val="0"/>
          <w:sz w:val="24"/>
          <w:szCs w:val="24"/>
          <w:highlight w:val="none"/>
          <w:lang w:val="en-US"/>
        </w:rPr>
      </w:pPr>
      <w:r>
        <w:rPr>
          <w:rFonts w:cs="Arial"/>
          <w:b w:val="0"/>
          <w:bCs w:val="0"/>
          <w:color w:val="auto"/>
          <w:kern w:val="0"/>
          <w:sz w:val="24"/>
          <w:szCs w:val="24"/>
          <w:highlight w:val="none"/>
          <w:lang w:val="en-US"/>
        </w:rPr>
        <w:t xml:space="preserve">4.2.13 </w:t>
      </w:r>
      <w:r>
        <w:rPr>
          <w:rFonts w:hint="eastAsia" w:cs="Arial"/>
          <w:b w:val="0"/>
          <w:bCs w:val="0"/>
          <w:color w:val="auto"/>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ascii="仿宋_GB2312" w:hAnsi="仿宋" w:eastAsia="仿宋_GB2312" w:cs="仿宋_GB2312"/>
          <w:color w:val="auto"/>
          <w:highlight w:val="none"/>
        </w:rPr>
      </w:pPr>
      <w:r>
        <w:rPr>
          <w:rFonts w:ascii="仿宋_GB2312" w:hAnsi="仿宋" w:eastAsia="仿宋_GB2312" w:cs="仿宋_GB2312"/>
          <w:b/>
          <w:color w:val="auto"/>
          <w:highlight w:val="none"/>
        </w:rPr>
        <w:t>5.废标。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5.1符合专业条件的供应商或者对招标文件作实质响应的供应商不足3家的；</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5.2出现影响采购公正的违法、违规行为的；</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5.3投标人的报价均超过了采购预算，采购人不能支付的；</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5.4因重大变故，采购任务取消的。</w:t>
      </w:r>
    </w:p>
    <w:p>
      <w:pPr>
        <w:pStyle w:val="3"/>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3"/>
        <w:snapToGrid w:val="0"/>
        <w:spacing w:line="360" w:lineRule="auto"/>
        <w:ind w:firstLine="590" w:firstLineChars="245"/>
        <w:rPr>
          <w:rFonts w:ascii="仿宋_GB2312" w:hAnsi="仿宋" w:eastAsia="仿宋_GB2312" w:cs="仿宋_GB2312"/>
          <w:color w:val="auto"/>
          <w:highlight w:val="none"/>
        </w:rPr>
      </w:pPr>
      <w:r>
        <w:rPr>
          <w:rFonts w:ascii="仿宋_GB2312" w:hAnsi="仿宋" w:eastAsia="仿宋_GB2312" w:cs="仿宋_GB2312"/>
          <w:b/>
          <w:color w:val="auto"/>
          <w:highlight w:val="none"/>
        </w:rPr>
        <w:t>6.修改招标文件，重新组织采购活动。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7.重新开展采购。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7.1未确定中标或者中标人的，终止本次政府采购活动，重新开展政府采购</w:t>
      </w:r>
      <w:r>
        <w:rPr>
          <w:rFonts w:hint="eastAsia" w:ascii="仿宋_GB2312" w:hAnsi="仿宋" w:eastAsia="仿宋_GB2312" w:cs="仿宋_GB2312"/>
          <w:color w:val="auto"/>
          <w:highlight w:val="none"/>
        </w:rPr>
        <w:t>活动。</w:t>
      </w:r>
    </w:p>
    <w:p>
      <w:pPr>
        <w:pStyle w:val="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ascii="仿宋_GB2312" w:hAnsi="仿宋" w:eastAsia="仿宋_GB2312" w:cs="仿宋_GB2312"/>
          <w:color w:val="auto"/>
          <w:highlight w:val="none"/>
        </w:rPr>
      </w:pPr>
      <w:r>
        <w:rPr>
          <w:rFonts w:ascii="仿宋_GB2312" w:hAnsi="仿宋" w:eastAsia="仿宋_GB2312"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7.4政府采购合同已经履行，给采购人、供应</w:t>
      </w:r>
      <w:r>
        <w:rPr>
          <w:rFonts w:hint="eastAsia" w:ascii="仿宋_GB2312" w:hAnsi="仿宋" w:eastAsia="仿宋_GB2312" w:cs="仿宋_GB2312"/>
          <w:color w:val="auto"/>
          <w:highlight w:val="none"/>
        </w:rPr>
        <w:t>商造成损失的，由责任人承担赔偿责任。</w:t>
      </w:r>
    </w:p>
    <w:p>
      <w:pPr>
        <w:pStyle w:val="3"/>
        <w:snapToGrid w:val="0"/>
        <w:spacing w:line="360" w:lineRule="auto"/>
        <w:rPr>
          <w:rFonts w:ascii="仿宋_GB2312" w:hAnsi="仿宋" w:eastAsia="仿宋_GB2312" w:cs="仿宋_GB2312"/>
          <w:color w:val="auto"/>
          <w:highlight w:val="none"/>
        </w:rPr>
      </w:pPr>
      <w:r>
        <w:rPr>
          <w:rFonts w:ascii="仿宋_GB2312" w:hAnsi="仿宋" w:eastAsia="仿宋_GB2312" w:cs="仿宋_GB2312"/>
          <w:color w:val="auto"/>
          <w:highlight w:val="none"/>
        </w:rPr>
        <w:t>7.5政府采购当事人有其他违反政府采购</w:t>
      </w:r>
      <w:r>
        <w:rPr>
          <w:rFonts w:hint="eastAsia" w:ascii="仿宋_GB2312" w:hAnsi="仿宋" w:eastAsia="仿宋_GB2312" w:cs="仿宋_GB2312"/>
          <w:color w:val="auto"/>
          <w:highlight w:val="none"/>
        </w:rPr>
        <w:t>法</w:t>
      </w:r>
      <w:r>
        <w:rPr>
          <w:rFonts w:hint="eastAsia" w:ascii="仿宋_GB2312" w:hAnsi="仿宋" w:eastAsia="仿宋_GB2312" w:cs="Arial"/>
          <w:color w:val="auto"/>
          <w:kern w:val="0"/>
          <w:highlight w:val="none"/>
        </w:rPr>
        <w:t>或者政府采购法实施条例等法律法规规定</w:t>
      </w:r>
      <w:r>
        <w:rPr>
          <w:rFonts w:hint="eastAsia" w:ascii="仿宋_GB2312" w:hAnsi="仿宋" w:eastAsia="仿宋_GB2312" w:cs="仿宋_GB2312"/>
          <w:color w:val="auto"/>
          <w:highlight w:val="none"/>
        </w:rPr>
        <w:t>的行为，经改正后仍然影响或者可能影响中标、成交结果或者依法被认定为中标、成交无效的，依照</w:t>
      </w:r>
      <w:r>
        <w:rPr>
          <w:rFonts w:ascii="仿宋_GB2312" w:hAnsi="仿宋" w:eastAsia="仿宋_GB2312" w:cs="仿宋_GB2312"/>
          <w:color w:val="auto"/>
          <w:highlight w:val="none"/>
        </w:rPr>
        <w:t>7.1-7.4规定处理。</w:t>
      </w:r>
    </w:p>
    <w:p>
      <w:pPr>
        <w:pStyle w:val="3"/>
        <w:snapToGrid w:val="0"/>
        <w:spacing w:line="360" w:lineRule="auto"/>
        <w:ind w:firstLine="0" w:firstLineChars="0"/>
        <w:rPr>
          <w:rFonts w:ascii="仿宋_GB2312" w:hAnsi="仿宋" w:eastAsia="仿宋_GB2312" w:cs="仿宋_GB2312"/>
          <w:color w:val="auto"/>
          <w:highlight w:val="none"/>
        </w:rPr>
      </w:pPr>
    </w:p>
    <w:bookmarkEnd w:id="25"/>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bookmarkStart w:id="391" w:name="第五部分"/>
      <w:bookmarkStart w:id="392" w:name="_Toc86217003"/>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p>
    <w:p>
      <w:pPr>
        <w:pStyle w:val="84"/>
        <w:rPr>
          <w:highlight w:val="none"/>
        </w:rPr>
      </w:pPr>
    </w:p>
    <w:p>
      <w:pPr>
        <w:rPr>
          <w:highlight w:val="none"/>
        </w:rPr>
      </w:pPr>
    </w:p>
    <w:p>
      <w:pPr>
        <w:pStyle w:val="84"/>
        <w:rPr>
          <w:highlight w:val="none"/>
        </w:rPr>
      </w:pPr>
    </w:p>
    <w:p>
      <w:pPr>
        <w:rPr>
          <w:highlight w:val="none"/>
        </w:rPr>
      </w:pPr>
    </w:p>
    <w:p>
      <w:pPr>
        <w:pStyle w:val="84"/>
        <w:rPr>
          <w:highlight w:val="none"/>
        </w:rPr>
      </w:pPr>
    </w:p>
    <w:p>
      <w:pPr>
        <w:rPr>
          <w:highlight w:val="none"/>
        </w:rPr>
      </w:pPr>
    </w:p>
    <w:p>
      <w:pPr>
        <w:pStyle w:val="83"/>
        <w:rPr>
          <w:highlight w:val="none"/>
        </w:rPr>
      </w:pPr>
    </w:p>
    <w:p>
      <w:pPr>
        <w:pStyle w:val="83"/>
        <w:rPr>
          <w:highlight w:val="none"/>
        </w:rPr>
      </w:pPr>
    </w:p>
    <w:p>
      <w:pPr>
        <w:pStyle w:val="83"/>
        <w:rPr>
          <w:highlight w:val="none"/>
        </w:rPr>
      </w:pPr>
    </w:p>
    <w:p>
      <w:pPr>
        <w:pStyle w:val="83"/>
        <w:rPr>
          <w:highlight w:val="none"/>
        </w:rPr>
      </w:pPr>
    </w:p>
    <w:p>
      <w:pPr>
        <w:pStyle w:val="83"/>
        <w:rPr>
          <w:highlight w:val="none"/>
        </w:rPr>
      </w:pPr>
    </w:p>
    <w:p>
      <w:pPr>
        <w:pStyle w:val="83"/>
        <w:rPr>
          <w:highlight w:val="none"/>
        </w:rPr>
      </w:pPr>
    </w:p>
    <w:p>
      <w:pPr>
        <w:rPr>
          <w:highlight w:val="none"/>
        </w:rPr>
      </w:pPr>
    </w:p>
    <w:p>
      <w:pPr>
        <w:pStyle w:val="84"/>
        <w:rPr>
          <w:highlight w:val="none"/>
        </w:rPr>
      </w:pPr>
    </w:p>
    <w:p>
      <w:pPr>
        <w:rPr>
          <w:highlight w:val="none"/>
        </w:rPr>
      </w:pPr>
    </w:p>
    <w:p>
      <w:pPr>
        <w:spacing w:line="360" w:lineRule="auto"/>
        <w:ind w:left="720" w:leftChars="343" w:firstLine="1084" w:firstLineChars="3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拟签订的合同文本</w:t>
      </w:r>
    </w:p>
    <w:p>
      <w:pPr>
        <w:rPr>
          <w:rFonts w:hint="eastAsia" w:ascii="楷体" w:hAnsi="楷体" w:eastAsia="楷体"/>
          <w:color w:val="auto"/>
          <w:sz w:val="24"/>
          <w:highlight w:val="none"/>
        </w:rPr>
      </w:pP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p>
    <w:p>
      <w:pPr>
        <w:spacing w:line="480" w:lineRule="auto"/>
        <w:jc w:val="center"/>
        <w:rPr>
          <w:rFonts w:ascii="楷体" w:hAnsi="楷体" w:eastAsia="楷体"/>
          <w:b/>
          <w:color w:val="auto"/>
          <w:sz w:val="28"/>
          <w:szCs w:val="28"/>
          <w:highlight w:val="none"/>
        </w:rPr>
      </w:pPr>
    </w:p>
    <w:p>
      <w:pPr>
        <w:pStyle w:val="84"/>
        <w:rPr>
          <w:rFonts w:ascii="楷体" w:hAnsi="楷体" w:eastAsia="楷体"/>
          <w:b/>
          <w:color w:val="auto"/>
          <w:sz w:val="28"/>
          <w:szCs w:val="28"/>
          <w:highlight w:val="none"/>
        </w:rPr>
      </w:pPr>
    </w:p>
    <w:p>
      <w:pPr>
        <w:rPr>
          <w:rFonts w:ascii="楷体" w:hAnsi="楷体" w:eastAsia="楷体"/>
          <w:b/>
          <w:color w:val="auto"/>
          <w:sz w:val="28"/>
          <w:szCs w:val="28"/>
          <w:highlight w:val="none"/>
        </w:rPr>
      </w:pPr>
    </w:p>
    <w:p>
      <w:pPr>
        <w:pStyle w:val="84"/>
        <w:rPr>
          <w:color w:val="auto"/>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政府采购合同参考范本（以实际签订为准）</w:t>
      </w: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（服务类）</w:t>
      </w: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84"/>
        <w:rPr>
          <w:rFonts w:hint="eastAsia" w:ascii="仿宋_GB2312" w:hAnsi="仿宋" w:eastAsia="仿宋_GB2312" w:cs="仿宋_GB2312"/>
          <w:b/>
          <w:color w:val="auto"/>
          <w:sz w:val="36"/>
          <w:szCs w:val="36"/>
          <w:highlight w:val="none"/>
        </w:rPr>
      </w:pPr>
    </w:p>
    <w:p>
      <w:pPr>
        <w:rPr>
          <w:rFonts w:hint="eastAsia" w:ascii="仿宋_GB2312" w:hAnsi="仿宋" w:eastAsia="仿宋_GB2312" w:cs="仿宋_GB2312"/>
          <w:b/>
          <w:color w:val="auto"/>
          <w:sz w:val="36"/>
          <w:szCs w:val="36"/>
          <w:highlight w:val="none"/>
        </w:rPr>
      </w:pPr>
    </w:p>
    <w:p>
      <w:pPr>
        <w:pStyle w:val="2"/>
        <w:rPr>
          <w:rFonts w:hint="eastAsia"/>
        </w:rPr>
      </w:pPr>
    </w:p>
    <w:p>
      <w:pPr>
        <w:pStyle w:val="84"/>
        <w:rPr>
          <w:rFonts w:hint="eastAsia" w:ascii="仿宋_GB2312" w:hAnsi="仿宋" w:eastAsia="仿宋_GB2312" w:cs="仿宋_GB2312"/>
          <w:b/>
          <w:color w:val="auto"/>
          <w:sz w:val="36"/>
          <w:szCs w:val="36"/>
          <w:highlight w:val="none"/>
        </w:rPr>
      </w:pPr>
    </w:p>
    <w:p>
      <w:pPr>
        <w:pStyle w:val="35"/>
        <w:snapToGrid w:val="0"/>
        <w:spacing w:line="360" w:lineRule="auto"/>
        <w:jc w:val="center"/>
        <w:rPr>
          <w:rFonts w:hint="eastAsia" w:ascii="宋体" w:hAnsi="宋体" w:eastAsia="宋体" w:cs="宋体"/>
          <w:b/>
          <w:bCs/>
          <w:color w:val="auto"/>
          <w:sz w:val="24"/>
          <w:szCs w:val="24"/>
          <w:highlight w:val="none"/>
        </w:rPr>
      </w:pPr>
      <w:bookmarkStart w:id="393" w:name="_Toc295465365"/>
      <w:bookmarkEnd w:id="393"/>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（本合同为合同样稿，最终稿由双方协商后确定）</w:t>
      </w:r>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pStyle w:val="35"/>
        <w:snapToGrid w:val="0"/>
        <w:spacing w:line="360" w:lineRule="auto"/>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 </w:t>
      </w:r>
    </w:p>
    <w:p>
      <w:pPr>
        <w:spacing w:line="360" w:lineRule="auto"/>
        <w:ind w:firstLine="480" w:firstLineChars="200"/>
        <w:rPr>
          <w:rFonts w:ascii="华文仿宋" w:hAnsi="华文仿宋" w:eastAsia="华文仿宋"/>
          <w:sz w:val="24"/>
          <w:highlight w:val="none"/>
        </w:rPr>
      </w:pPr>
      <w:r>
        <w:rPr>
          <w:rFonts w:hint="eastAsia" w:ascii="华文仿宋" w:hAnsi="华文仿宋" w:eastAsia="华文仿宋"/>
          <w:sz w:val="24"/>
          <w:highlight w:val="none"/>
        </w:rPr>
        <w:t>合同编号：</w:t>
      </w:r>
    </w:p>
    <w:p>
      <w:pPr>
        <w:autoSpaceDE w:val="0"/>
        <w:autoSpaceDN w:val="0"/>
        <w:snapToGrid w:val="0"/>
        <w:spacing w:line="360" w:lineRule="auto"/>
        <w:ind w:firstLine="436" w:firstLineChars="182"/>
        <w:rPr>
          <w:rFonts w:ascii="华文仿宋" w:hAnsi="华文仿宋" w:eastAsia="华文仿宋"/>
          <w:sz w:val="24"/>
          <w:highlight w:val="none"/>
        </w:rPr>
      </w:pPr>
      <w:r>
        <w:rPr>
          <w:rFonts w:ascii="华文仿宋" w:hAnsi="华文仿宋" w:eastAsia="华文仿宋"/>
          <w:sz w:val="24"/>
          <w:highlight w:val="none"/>
        </w:rPr>
        <w:t>项目名称：</w:t>
      </w:r>
    </w:p>
    <w:p>
      <w:pPr>
        <w:pStyle w:val="35"/>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招标编号：</w:t>
      </w:r>
    </w:p>
    <w:p>
      <w:pPr>
        <w:pStyle w:val="35"/>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甲方：</w:t>
      </w:r>
    </w:p>
    <w:p>
      <w:pPr>
        <w:snapToGrid w:val="0"/>
        <w:spacing w:line="360" w:lineRule="auto"/>
        <w:ind w:firstLine="480" w:firstLineChars="200"/>
        <w:jc w:val="left"/>
        <w:rPr>
          <w:rFonts w:ascii="华文仿宋" w:hAnsi="华文仿宋" w:eastAsia="华文仿宋"/>
          <w:sz w:val="24"/>
          <w:highlight w:val="none"/>
        </w:rPr>
      </w:pPr>
      <w:r>
        <w:rPr>
          <w:rFonts w:ascii="华文仿宋" w:hAnsi="华文仿宋" w:eastAsia="华文仿宋"/>
          <w:sz w:val="24"/>
          <w:highlight w:val="none"/>
        </w:rPr>
        <w:t>乙方：</w:t>
      </w:r>
    </w:p>
    <w:p>
      <w:pPr>
        <w:pStyle w:val="91"/>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甲、乙双方根据</w:t>
      </w:r>
      <w:r>
        <w:rPr>
          <w:rFonts w:hint="eastAsia" w:ascii="华文仿宋" w:hAnsi="华文仿宋" w:eastAsia="华文仿宋"/>
          <w:sz w:val="24"/>
          <w:szCs w:val="24"/>
          <w:highlight w:val="none"/>
        </w:rPr>
        <w:t>政府采购</w:t>
      </w:r>
      <w:r>
        <w:rPr>
          <w:rFonts w:ascii="华文仿宋" w:hAnsi="华文仿宋" w:eastAsia="华文仿宋"/>
          <w:sz w:val="24"/>
          <w:szCs w:val="24"/>
          <w:highlight w:val="none"/>
        </w:rPr>
        <w:t>公开招标的结果，</w:t>
      </w:r>
      <w:r>
        <w:rPr>
          <w:rFonts w:hint="eastAsia" w:ascii="华文仿宋" w:hAnsi="华文仿宋" w:eastAsia="华文仿宋"/>
          <w:sz w:val="24"/>
          <w:szCs w:val="24"/>
          <w:highlight w:val="none"/>
        </w:rPr>
        <w:t>依照《中华人民共和国民法典》及其他有关法律、法规，遵循平等、自愿、公平和诚实信用的原则，双方就本项目事项协商一致，订立本合同。</w:t>
      </w:r>
    </w:p>
    <w:p>
      <w:pPr>
        <w:pStyle w:val="91"/>
        <w:snapToGrid w:val="0"/>
        <w:spacing w:line="360" w:lineRule="auto"/>
        <w:ind w:firstLine="480" w:firstLineChars="200"/>
        <w:rPr>
          <w:rFonts w:ascii="华文仿宋" w:hAnsi="华文仿宋" w:eastAsia="华文仿宋"/>
          <w:b/>
          <w:sz w:val="24"/>
          <w:szCs w:val="24"/>
          <w:highlight w:val="none"/>
        </w:rPr>
      </w:pPr>
      <w:r>
        <w:rPr>
          <w:rFonts w:hint="eastAsia" w:ascii="华文仿宋" w:hAnsi="华文仿宋" w:eastAsia="华文仿宋"/>
          <w:b/>
          <w:sz w:val="24"/>
          <w:szCs w:val="24"/>
          <w:highlight w:val="none"/>
        </w:rPr>
        <w:t>一、服务内容</w:t>
      </w:r>
    </w:p>
    <w:p>
      <w:pPr>
        <w:snapToGrid w:val="0"/>
        <w:spacing w:line="360" w:lineRule="auto"/>
        <w:ind w:firstLine="471" w:firstLineChars="196"/>
        <w:rPr>
          <w:rFonts w:hint="eastAsia" w:ascii="华文仿宋" w:hAnsi="华文仿宋" w:eastAsia="华文仿宋"/>
          <w:b/>
          <w:sz w:val="24"/>
          <w:highlight w:val="none"/>
        </w:rPr>
      </w:pPr>
      <w:r>
        <w:rPr>
          <w:rFonts w:hint="eastAsia" w:ascii="华文仿宋" w:hAnsi="华文仿宋" w:eastAsia="华文仿宋"/>
          <w:b/>
          <w:sz w:val="24"/>
          <w:highlight w:val="none"/>
        </w:rPr>
        <w:t>1.项目需求：</w:t>
      </w:r>
    </w:p>
    <w:p>
      <w:pPr>
        <w:shd w:val="clear" w:color="auto" w:fill="FFFFFF"/>
        <w:snapToGrid w:val="0"/>
        <w:spacing w:line="336" w:lineRule="auto"/>
        <w:ind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lang w:eastAsia="zh-CN"/>
        </w:rPr>
        <w:t>仓前街道2022-202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年河道养护</w:t>
      </w:r>
      <w:r>
        <w:rPr>
          <w:rFonts w:hint="eastAsia" w:ascii="宋体" w:hAnsi="宋体" w:cs="宋体"/>
          <w:color w:val="auto"/>
          <w:sz w:val="24"/>
          <w:highlight w:val="none"/>
        </w:rPr>
        <w:t>明细表</w:t>
      </w:r>
    </w:p>
    <w:tbl>
      <w:tblPr>
        <w:tblStyle w:val="64"/>
        <w:tblW w:w="8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1203"/>
        <w:gridCol w:w="1259"/>
        <w:gridCol w:w="925"/>
        <w:gridCol w:w="103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河道名称</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起点</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终点</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长度（米）</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平均宽度（米）</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面积</w:t>
            </w:r>
            <w:r>
              <w:rPr>
                <w:rFonts w:hint="eastAsia" w:ascii="宋体" w:hAnsi="宋体" w:eastAsia="宋体" w:cs="宋体"/>
                <w:i w:val="0"/>
                <w:color w:val="000000"/>
                <w:spacing w:val="-6"/>
                <w:kern w:val="0"/>
                <w:sz w:val="24"/>
                <w:szCs w:val="24"/>
                <w:u w:val="none"/>
                <w:lang w:val="en-US" w:eastAsia="zh-CN" w:bidi="ar-SA"/>
              </w:rPr>
              <w:br w:type="textWrapping"/>
            </w:r>
            <w:r>
              <w:rPr>
                <w:rFonts w:hint="eastAsia" w:ascii="宋体" w:hAnsi="宋体" w:eastAsia="宋体" w:cs="宋体"/>
                <w:i w:val="0"/>
                <w:color w:val="000000"/>
                <w:spacing w:val="-6"/>
                <w:kern w:val="0"/>
                <w:sz w:val="24"/>
                <w:szCs w:val="24"/>
                <w:u w:val="none"/>
                <w:lang w:val="en-US" w:eastAsia="zh-CN" w:bidi="ar-SA"/>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3073</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67534.99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朱庙港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1196</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125765.50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汪桥港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2252</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43455.89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800</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23037.14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2480</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28</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46063.25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2371</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35</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76061.23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1548</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40</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49916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合计</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9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fldChar w:fldCharType="begin"/>
            </w:r>
            <w:r>
              <w:rPr>
                <w:rFonts w:hint="eastAsia" w:ascii="宋体" w:hAnsi="宋体" w:eastAsia="宋体" w:cs="宋体"/>
                <w:i w:val="0"/>
                <w:color w:val="000000"/>
                <w:spacing w:val="-6"/>
                <w:kern w:val="0"/>
                <w:sz w:val="24"/>
                <w:szCs w:val="24"/>
                <w:u w:val="none"/>
                <w:lang w:val="en-US" w:eastAsia="zh-CN" w:bidi="ar-SA"/>
              </w:rPr>
              <w:instrText xml:space="preserve"> = sum(D3:D9) \* MERGEFORMAT </w:instrText>
            </w:r>
            <w:r>
              <w:rPr>
                <w:rFonts w:hint="eastAsia" w:ascii="宋体" w:hAnsi="宋体" w:eastAsia="宋体" w:cs="宋体"/>
                <w:i w:val="0"/>
                <w:color w:val="000000"/>
                <w:spacing w:val="-6"/>
                <w:kern w:val="0"/>
                <w:sz w:val="24"/>
                <w:szCs w:val="24"/>
                <w:u w:val="none"/>
                <w:lang w:val="en-US" w:eastAsia="zh-CN" w:bidi="ar-SA"/>
              </w:rPr>
              <w:fldChar w:fldCharType="separate"/>
            </w:r>
            <w:r>
              <w:rPr>
                <w:rFonts w:hint="eastAsia" w:ascii="宋体" w:hAnsi="宋体" w:eastAsia="宋体" w:cs="宋体"/>
                <w:i w:val="0"/>
                <w:color w:val="000000"/>
                <w:spacing w:val="-6"/>
                <w:kern w:val="0"/>
                <w:sz w:val="24"/>
                <w:szCs w:val="24"/>
                <w:u w:val="none"/>
                <w:lang w:val="en-US" w:eastAsia="zh-CN" w:bidi="ar-SA"/>
              </w:rPr>
              <w:t>13720</w:t>
            </w:r>
            <w:r>
              <w:rPr>
                <w:rFonts w:hint="eastAsia" w:ascii="宋体" w:hAnsi="宋体" w:eastAsia="宋体" w:cs="宋体"/>
                <w:i w:val="0"/>
                <w:color w:val="000000"/>
                <w:spacing w:val="-6"/>
                <w:kern w:val="0"/>
                <w:sz w:val="24"/>
                <w:szCs w:val="24"/>
                <w:u w:val="none"/>
                <w:lang w:val="en-US" w:eastAsia="zh-CN" w:bidi="ar-SA"/>
              </w:rPr>
              <w:fldChar w:fldCharType="end"/>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fldChar w:fldCharType="begin"/>
            </w:r>
            <w:r>
              <w:rPr>
                <w:rFonts w:hint="eastAsia" w:ascii="宋体" w:hAnsi="宋体" w:eastAsia="宋体" w:cs="宋体"/>
                <w:i w:val="0"/>
                <w:color w:val="000000"/>
                <w:spacing w:val="-6"/>
                <w:kern w:val="0"/>
                <w:sz w:val="24"/>
                <w:szCs w:val="24"/>
                <w:u w:val="none"/>
                <w:lang w:val="en-US" w:eastAsia="zh-CN" w:bidi="ar-SA"/>
              </w:rPr>
              <w:instrText xml:space="preserve"> = sum(F3:F9) \* MERGEFORMAT </w:instrText>
            </w:r>
            <w:r>
              <w:rPr>
                <w:rFonts w:hint="eastAsia" w:ascii="宋体" w:hAnsi="宋体" w:eastAsia="宋体" w:cs="宋体"/>
                <w:i w:val="0"/>
                <w:color w:val="000000"/>
                <w:spacing w:val="-6"/>
                <w:kern w:val="0"/>
                <w:sz w:val="24"/>
                <w:szCs w:val="24"/>
                <w:u w:val="none"/>
                <w:lang w:val="en-US" w:eastAsia="zh-CN" w:bidi="ar-SA"/>
              </w:rPr>
              <w:fldChar w:fldCharType="separate"/>
            </w:r>
            <w:r>
              <w:rPr>
                <w:rFonts w:hint="eastAsia" w:ascii="宋体" w:hAnsi="宋体" w:eastAsia="宋体" w:cs="宋体"/>
                <w:i w:val="0"/>
                <w:color w:val="000000"/>
                <w:spacing w:val="-6"/>
                <w:kern w:val="0"/>
                <w:sz w:val="24"/>
                <w:szCs w:val="24"/>
                <w:u w:val="none"/>
                <w:lang w:val="en-US" w:eastAsia="zh-CN" w:bidi="ar-SA"/>
              </w:rPr>
              <w:t>431834</w:t>
            </w:r>
            <w:r>
              <w:rPr>
                <w:rFonts w:hint="eastAsia" w:ascii="宋体" w:hAnsi="宋体" w:eastAsia="宋体" w:cs="宋体"/>
                <w:i w:val="0"/>
                <w:color w:val="000000"/>
                <w:spacing w:val="-6"/>
                <w:kern w:val="0"/>
                <w:sz w:val="24"/>
                <w:szCs w:val="24"/>
                <w:u w:val="none"/>
                <w:lang w:val="en-US" w:eastAsia="zh-CN" w:bidi="ar-SA"/>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19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color w:val="000000"/>
                <w:kern w:val="0"/>
                <w:sz w:val="22"/>
                <w:szCs w:val="22"/>
                <w:highlight w:val="none"/>
                <w:lang w:bidi="ar"/>
              </w:rPr>
              <w:t>注：河道宽度为平均宽度，包含河道沿岸两侧3米范围内（与道路界限分明且属于道路保洁范围内的河岸除外）。最终河道起止点以现场踏勘确定卫星定位的点为准</w:t>
            </w:r>
          </w:p>
        </w:tc>
      </w:tr>
    </w:tbl>
    <w:p>
      <w:pPr>
        <w:pStyle w:val="2"/>
        <w:rPr>
          <w:rFonts w:hint="eastAsia"/>
        </w:rPr>
      </w:pPr>
    </w:p>
    <w:p>
      <w:pPr>
        <w:snapToGrid w:val="0"/>
        <w:spacing w:line="360" w:lineRule="auto"/>
        <w:ind w:firstLine="471" w:firstLineChars="196"/>
        <w:rPr>
          <w:rFonts w:hint="eastAsia" w:ascii="华文仿宋" w:hAnsi="华文仿宋" w:eastAsia="华文仿宋"/>
          <w:b/>
          <w:sz w:val="24"/>
          <w:highlight w:val="none"/>
        </w:rPr>
      </w:pPr>
    </w:p>
    <w:p>
      <w:pPr>
        <w:pStyle w:val="2"/>
        <w:rPr>
          <w:rFonts w:hint="eastAsia" w:ascii="华文仿宋" w:hAnsi="华文仿宋" w:eastAsia="华文仿宋"/>
          <w:b/>
          <w:sz w:val="24"/>
          <w:highlight w:val="none"/>
        </w:rPr>
      </w:pPr>
    </w:p>
    <w:p>
      <w:pPr>
        <w:shd w:val="clear" w:color="auto" w:fill="FFFFFF"/>
        <w:snapToGrid w:val="0"/>
        <w:spacing w:line="336" w:lineRule="auto"/>
        <w:ind w:firstLine="480" w:firstLineChars="200"/>
        <w:jc w:val="center"/>
        <w:rPr>
          <w:rFonts w:hint="eastAsia"/>
          <w:highlight w:val="none"/>
        </w:rPr>
      </w:pPr>
      <w:r>
        <w:rPr>
          <w:rFonts w:hint="eastAsia" w:ascii="宋体" w:hAnsi="宋体" w:cs="宋体"/>
          <w:color w:val="auto"/>
          <w:sz w:val="24"/>
          <w:highlight w:val="none"/>
          <w:lang w:eastAsia="zh-CN"/>
        </w:rPr>
        <w:t>仓前街道2022-202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年滨河绿化养护</w:t>
      </w:r>
      <w:r>
        <w:rPr>
          <w:rFonts w:hint="eastAsia" w:ascii="宋体" w:hAnsi="宋体" w:cs="宋体"/>
          <w:color w:val="auto"/>
          <w:sz w:val="24"/>
          <w:highlight w:val="none"/>
        </w:rPr>
        <w:t>明细表</w:t>
      </w:r>
    </w:p>
    <w:tbl>
      <w:tblPr>
        <w:tblStyle w:val="6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1203"/>
        <w:gridCol w:w="1259"/>
        <w:gridCol w:w="127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范围</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起点</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终点</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绿化等级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面积</w:t>
            </w:r>
            <w:r>
              <w:rPr>
                <w:rFonts w:hint="eastAsia" w:ascii="宋体" w:hAnsi="宋体" w:eastAsia="宋体" w:cs="宋体"/>
                <w:i w:val="0"/>
                <w:color w:val="000000"/>
                <w:spacing w:val="-6"/>
                <w:kern w:val="0"/>
                <w:sz w:val="24"/>
                <w:szCs w:val="24"/>
                <w:u w:val="none"/>
                <w:lang w:val="en-US" w:eastAsia="zh-CN" w:bidi="ar-SA"/>
              </w:rPr>
              <w:br w:type="textWrapping"/>
            </w:r>
            <w:r>
              <w:rPr>
                <w:rFonts w:hint="eastAsia" w:ascii="宋体" w:hAnsi="宋体" w:eastAsia="宋体" w:cs="宋体"/>
                <w:i w:val="0"/>
                <w:color w:val="000000"/>
                <w:spacing w:val="-6"/>
                <w:kern w:val="0"/>
                <w:sz w:val="24"/>
                <w:szCs w:val="24"/>
                <w:u w:val="none"/>
                <w:lang w:val="en-US" w:eastAsia="zh-CN" w:bidi="ar-SA"/>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94809.30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28372.28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朱庙港 </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92787.15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36731.62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汪桥港 </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56803.11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254938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63558.54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b/>
                <w:bCs/>
                <w:i w:val="0"/>
                <w:color w:val="000000"/>
                <w:spacing w:val="-6"/>
                <w:kern w:val="0"/>
                <w:sz w:val="24"/>
                <w:szCs w:val="24"/>
                <w:u w:val="none"/>
                <w:lang w:val="en-US" w:eastAsia="zh-CN" w:bidi="ar-SA"/>
              </w:rPr>
              <w:t>合计</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u w:val="none"/>
                <w:lang w:eastAsia="zh-CN"/>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000000"/>
                <w:spacing w:val="-6"/>
                <w:kern w:val="0"/>
                <w:sz w:val="24"/>
                <w:szCs w:val="24"/>
                <w:u w:val="none"/>
                <w:lang w:val="en-US" w:eastAsia="zh-CN" w:bidi="ar-SA"/>
              </w:rPr>
            </w:pPr>
            <w:r>
              <w:rPr>
                <w:rFonts w:hint="eastAsia" w:ascii="宋体" w:hAnsi="宋体" w:eastAsia="宋体" w:cs="宋体"/>
                <w:b/>
                <w:bCs w:val="0"/>
                <w:i w:val="0"/>
                <w:color w:val="000000"/>
                <w:spacing w:val="-6"/>
                <w:kern w:val="0"/>
                <w:sz w:val="24"/>
                <w:szCs w:val="24"/>
                <w:u w:val="none"/>
                <w:lang w:val="en-US" w:eastAsia="zh-CN" w:bidi="ar-SA"/>
              </w:rPr>
              <w:fldChar w:fldCharType="begin"/>
            </w:r>
            <w:r>
              <w:rPr>
                <w:rFonts w:hint="eastAsia" w:ascii="宋体" w:hAnsi="宋体" w:eastAsia="宋体" w:cs="宋体"/>
                <w:b/>
                <w:bCs w:val="0"/>
                <w:i w:val="0"/>
                <w:color w:val="000000"/>
                <w:spacing w:val="-6"/>
                <w:kern w:val="0"/>
                <w:sz w:val="24"/>
                <w:szCs w:val="24"/>
                <w:u w:val="none"/>
                <w:lang w:val="en-US" w:eastAsia="zh-CN" w:bidi="ar-SA"/>
              </w:rPr>
              <w:instrText xml:space="preserve"> = sum(E3:E9) \* MERGEFORMAT </w:instrText>
            </w:r>
            <w:r>
              <w:rPr>
                <w:rFonts w:hint="eastAsia" w:ascii="宋体" w:hAnsi="宋体" w:eastAsia="宋体" w:cs="宋体"/>
                <w:b/>
                <w:bCs w:val="0"/>
                <w:i w:val="0"/>
                <w:color w:val="000000"/>
                <w:spacing w:val="-6"/>
                <w:kern w:val="0"/>
                <w:sz w:val="24"/>
                <w:szCs w:val="24"/>
                <w:u w:val="none"/>
                <w:lang w:val="en-US" w:eastAsia="zh-CN" w:bidi="ar-SA"/>
              </w:rPr>
              <w:fldChar w:fldCharType="separate"/>
            </w:r>
            <w:r>
              <w:rPr>
                <w:rFonts w:hint="eastAsia" w:ascii="宋体" w:hAnsi="宋体" w:eastAsia="宋体" w:cs="宋体"/>
                <w:b/>
                <w:bCs w:val="0"/>
                <w:i w:val="0"/>
                <w:color w:val="000000"/>
                <w:spacing w:val="-6"/>
                <w:kern w:val="0"/>
                <w:sz w:val="24"/>
                <w:szCs w:val="24"/>
                <w:u w:val="none"/>
                <w:lang w:val="en-US" w:eastAsia="zh-CN" w:bidi="ar-SA"/>
              </w:rPr>
              <w:t>628000</w:t>
            </w:r>
            <w:r>
              <w:rPr>
                <w:rFonts w:hint="eastAsia" w:ascii="宋体" w:hAnsi="宋体" w:eastAsia="宋体" w:cs="宋体"/>
                <w:b/>
                <w:bCs w:val="0"/>
                <w:i w:val="0"/>
                <w:color w:val="000000"/>
                <w:spacing w:val="-6"/>
                <w:kern w:val="0"/>
                <w:sz w:val="24"/>
                <w:szCs w:val="24"/>
                <w:u w:val="none"/>
                <w:lang w:val="en-US" w:eastAsia="zh-CN" w:bidi="ar-SA"/>
              </w:rPr>
              <w:fldChar w:fldCharType="end"/>
            </w:r>
          </w:p>
        </w:tc>
      </w:tr>
    </w:tbl>
    <w:p>
      <w:pPr>
        <w:shd w:val="clear" w:color="auto" w:fill="FFFFFF"/>
        <w:snapToGrid w:val="0"/>
        <w:spacing w:line="336" w:lineRule="auto"/>
        <w:ind w:firstLine="420" w:firstLineChars="200"/>
        <w:jc w:val="center"/>
        <w:rPr>
          <w:rFonts w:hint="eastAsia"/>
          <w:highlight w:val="none"/>
        </w:rPr>
      </w:pPr>
    </w:p>
    <w:p>
      <w:pPr>
        <w:pStyle w:val="2"/>
        <w:rPr>
          <w:rFonts w:hint="eastAsia" w:ascii="华文仿宋" w:hAnsi="华文仿宋" w:eastAsia="华文仿宋"/>
          <w:b/>
          <w:sz w:val="24"/>
          <w:highlight w:val="none"/>
        </w:rPr>
      </w:pPr>
    </w:p>
    <w:p>
      <w:pPr>
        <w:snapToGrid w:val="0"/>
        <w:spacing w:line="360" w:lineRule="auto"/>
        <w:ind w:firstLine="471" w:firstLineChars="196"/>
        <w:rPr>
          <w:rFonts w:ascii="华文仿宋" w:hAnsi="华文仿宋" w:eastAsia="华文仿宋"/>
          <w:b/>
          <w:sz w:val="24"/>
          <w:highlight w:val="none"/>
        </w:rPr>
      </w:pPr>
      <w:r>
        <w:rPr>
          <w:rFonts w:hint="eastAsia" w:ascii="华文仿宋" w:hAnsi="华文仿宋" w:eastAsia="华文仿宋"/>
          <w:b/>
          <w:sz w:val="24"/>
          <w:highlight w:val="none"/>
        </w:rPr>
        <w:t>2.项目范围：</w:t>
      </w:r>
    </w:p>
    <w:p>
      <w:pPr>
        <w:pStyle w:val="91"/>
        <w:snapToGrid w:val="0"/>
        <w:spacing w:line="360" w:lineRule="auto"/>
        <w:ind w:firstLine="480" w:firstLineChars="200"/>
        <w:rPr>
          <w:rFonts w:hint="eastAsia" w:ascii="华文仿宋" w:hAnsi="华文仿宋" w:eastAsia="华文仿宋"/>
          <w:sz w:val="24"/>
          <w:szCs w:val="24"/>
          <w:highlight w:val="none"/>
          <w:lang w:val="en-US" w:eastAsia="zh-CN"/>
        </w:rPr>
      </w:pPr>
      <w:r>
        <w:rPr>
          <w:rFonts w:hint="eastAsia" w:ascii="华文仿宋" w:hAnsi="华文仿宋" w:eastAsia="华文仿宋"/>
          <w:sz w:val="24"/>
          <w:szCs w:val="24"/>
          <w:highlight w:val="none"/>
          <w:lang w:eastAsia="zh-CN"/>
        </w:rPr>
        <w:t>本项目采购内容为仓前街道河道日常保洁及绿化养护，内容包括河道总长度为</w:t>
      </w:r>
      <w:r>
        <w:rPr>
          <w:rFonts w:hint="eastAsia" w:ascii="华文仿宋" w:hAnsi="华文仿宋" w:eastAsia="华文仿宋"/>
          <w:sz w:val="24"/>
          <w:szCs w:val="24"/>
          <w:highlight w:val="none"/>
          <w:lang w:val="en-US" w:eastAsia="zh-CN"/>
        </w:rPr>
        <w:fldChar w:fldCharType="begin"/>
      </w:r>
      <w:r>
        <w:rPr>
          <w:rFonts w:hint="eastAsia" w:ascii="华文仿宋" w:hAnsi="华文仿宋" w:eastAsia="华文仿宋"/>
          <w:sz w:val="24"/>
          <w:szCs w:val="24"/>
          <w:highlight w:val="none"/>
          <w:lang w:val="en-US" w:eastAsia="zh-CN"/>
        </w:rPr>
        <w:instrText xml:space="preserve"> = sum(D3:D9) \* MERGEFORMAT </w:instrText>
      </w:r>
      <w:r>
        <w:rPr>
          <w:rFonts w:hint="eastAsia" w:ascii="华文仿宋" w:hAnsi="华文仿宋" w:eastAsia="华文仿宋"/>
          <w:sz w:val="24"/>
          <w:szCs w:val="24"/>
          <w:highlight w:val="none"/>
          <w:lang w:val="en-US" w:eastAsia="zh-CN"/>
        </w:rPr>
        <w:fldChar w:fldCharType="separate"/>
      </w:r>
      <w:r>
        <w:rPr>
          <w:rFonts w:hint="eastAsia" w:ascii="华文仿宋" w:hAnsi="华文仿宋" w:eastAsia="华文仿宋"/>
          <w:sz w:val="24"/>
          <w:szCs w:val="24"/>
          <w:highlight w:val="none"/>
          <w:lang w:val="en-US" w:eastAsia="zh-CN"/>
        </w:rPr>
        <w:t>13720</w:t>
      </w:r>
      <w:r>
        <w:rPr>
          <w:rFonts w:hint="eastAsia" w:ascii="华文仿宋" w:hAnsi="华文仿宋" w:eastAsia="华文仿宋"/>
          <w:sz w:val="24"/>
          <w:szCs w:val="24"/>
          <w:highlight w:val="none"/>
          <w:lang w:val="en-US" w:eastAsia="zh-CN"/>
        </w:rPr>
        <w:fldChar w:fldCharType="end"/>
      </w:r>
      <w:r>
        <w:rPr>
          <w:rFonts w:hint="eastAsia" w:ascii="华文仿宋" w:hAnsi="华文仿宋" w:eastAsia="华文仿宋"/>
          <w:sz w:val="24"/>
          <w:szCs w:val="24"/>
          <w:highlight w:val="none"/>
          <w:lang w:eastAsia="zh-CN"/>
        </w:rPr>
        <w:t>m，共计</w:t>
      </w:r>
      <w:r>
        <w:rPr>
          <w:rFonts w:hint="eastAsia" w:ascii="华文仿宋" w:hAnsi="华文仿宋" w:eastAsia="华文仿宋"/>
          <w:sz w:val="24"/>
          <w:szCs w:val="24"/>
          <w:highlight w:val="none"/>
          <w:lang w:val="en-US" w:eastAsia="zh-CN"/>
        </w:rPr>
        <w:t>7</w:t>
      </w:r>
      <w:r>
        <w:rPr>
          <w:rFonts w:hint="eastAsia" w:ascii="华文仿宋" w:hAnsi="华文仿宋" w:eastAsia="华文仿宋"/>
          <w:sz w:val="24"/>
          <w:szCs w:val="24"/>
          <w:highlight w:val="none"/>
          <w:lang w:eastAsia="zh-CN"/>
        </w:rPr>
        <w:t>条河的河面保洁（以常水位为界限），绿化养护面积</w:t>
      </w:r>
      <w:r>
        <w:rPr>
          <w:rFonts w:hint="eastAsia" w:ascii="华文仿宋" w:hAnsi="华文仿宋" w:eastAsia="华文仿宋"/>
          <w:sz w:val="24"/>
          <w:szCs w:val="24"/>
          <w:highlight w:val="none"/>
          <w:lang w:val="en-US" w:eastAsia="zh-CN"/>
        </w:rPr>
        <w:fldChar w:fldCharType="begin"/>
      </w:r>
      <w:r>
        <w:rPr>
          <w:rFonts w:hint="eastAsia" w:ascii="华文仿宋" w:hAnsi="华文仿宋" w:eastAsia="华文仿宋"/>
          <w:sz w:val="24"/>
          <w:szCs w:val="24"/>
          <w:highlight w:val="none"/>
          <w:lang w:val="en-US" w:eastAsia="zh-CN"/>
        </w:rPr>
        <w:instrText xml:space="preserve"> = sum(E3:E9) \* MERGEFORMAT </w:instrText>
      </w:r>
      <w:r>
        <w:rPr>
          <w:rFonts w:hint="eastAsia" w:ascii="华文仿宋" w:hAnsi="华文仿宋" w:eastAsia="华文仿宋"/>
          <w:sz w:val="24"/>
          <w:szCs w:val="24"/>
          <w:highlight w:val="none"/>
          <w:lang w:val="en-US" w:eastAsia="zh-CN"/>
        </w:rPr>
        <w:fldChar w:fldCharType="separate"/>
      </w:r>
      <w:r>
        <w:rPr>
          <w:rFonts w:hint="eastAsia" w:ascii="华文仿宋" w:hAnsi="华文仿宋" w:eastAsia="华文仿宋"/>
          <w:sz w:val="24"/>
          <w:szCs w:val="24"/>
          <w:highlight w:val="none"/>
          <w:lang w:val="en-US" w:eastAsia="zh-CN"/>
        </w:rPr>
        <w:t>628000.02</w:t>
      </w:r>
      <w:r>
        <w:rPr>
          <w:rFonts w:hint="eastAsia" w:ascii="华文仿宋" w:hAnsi="华文仿宋" w:eastAsia="华文仿宋"/>
          <w:sz w:val="24"/>
          <w:szCs w:val="24"/>
          <w:highlight w:val="none"/>
          <w:lang w:val="en-US" w:eastAsia="zh-CN"/>
        </w:rPr>
        <w:fldChar w:fldCharType="end"/>
      </w:r>
      <w:r>
        <w:rPr>
          <w:rFonts w:hint="eastAsia" w:ascii="华文仿宋" w:hAnsi="华文仿宋" w:eastAsia="华文仿宋"/>
          <w:sz w:val="24"/>
          <w:szCs w:val="24"/>
          <w:highlight w:val="none"/>
          <w:lang w:eastAsia="zh-CN"/>
        </w:rPr>
        <w:t>㎡。</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二、项目技术规范和服务要求</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sz w:val="24"/>
          <w:szCs w:val="24"/>
          <w:highlight w:val="none"/>
        </w:rPr>
        <w:t>1.</w:t>
      </w:r>
      <w:r>
        <w:rPr>
          <w:rFonts w:hint="eastAsia" w:ascii="华文仿宋" w:hAnsi="华文仿宋" w:eastAsia="华文仿宋" w:cs="Times New Roman"/>
          <w:sz w:val="24"/>
          <w:szCs w:val="24"/>
          <w:highlight w:val="none"/>
          <w:lang w:val="en-US" w:eastAsia="zh-CN"/>
        </w:rPr>
        <w:t xml:space="preserve">《杭州市城区绿地养护质量标准》（杭园文[2003]42号）、《余杭区城市化管理范围内市政、绿化、保洁、保序分级分类及考核办法（试行）的通知》（余政办[2013]76号）及杭州市现行城市绿地养护质量标准等文件中规定的作业标准。      </w:t>
      </w:r>
    </w:p>
    <w:p>
      <w:pPr>
        <w:pStyle w:val="91"/>
        <w:snapToGrid w:val="0"/>
        <w:spacing w:line="360" w:lineRule="auto"/>
        <w:ind w:firstLine="480" w:firstLineChars="200"/>
        <w:rPr>
          <w:rFonts w:hint="eastAsia" w:ascii="华文仿宋" w:hAnsi="华文仿宋" w:eastAsia="华文仿宋" w:cs="Times New Roman"/>
          <w:b w:val="0"/>
          <w:bCs w:val="0"/>
          <w:sz w:val="24"/>
          <w:szCs w:val="24"/>
          <w:highlight w:val="none"/>
        </w:rPr>
      </w:pPr>
      <w:r>
        <w:rPr>
          <w:rFonts w:hint="eastAsia" w:ascii="华文仿宋" w:hAnsi="华文仿宋" w:eastAsia="华文仿宋" w:cs="Times New Roman"/>
          <w:b w:val="0"/>
          <w:bCs w:val="0"/>
          <w:sz w:val="24"/>
          <w:szCs w:val="24"/>
          <w:highlight w:val="none"/>
          <w:lang w:val="en-US" w:eastAsia="zh-CN"/>
        </w:rPr>
        <w:t>2</w:t>
      </w:r>
      <w:r>
        <w:rPr>
          <w:rFonts w:hint="eastAsia" w:ascii="华文仿宋" w:hAnsi="华文仿宋" w:eastAsia="华文仿宋" w:cs="Times New Roman"/>
          <w:b w:val="0"/>
          <w:bCs w:val="0"/>
          <w:sz w:val="24"/>
          <w:szCs w:val="24"/>
          <w:highlight w:val="none"/>
        </w:rPr>
        <w:t>、绿化养护质量服务标准：</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.1.道路绿化带养护标准</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总体标准：指道路绿化带养护的整体质量，内容有养护质量、树木存活率、设施维护、土肥标准、病虫害防治标准及管理标准。</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.1.1.植物养护标准：按道路绿化带的立地条件，对植物进行特殊养护、精心养护，使植物健康生长，具有良好的道路景观。</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1.2.树木种植成活率标准：当年新栽植物成活率达95%以上，保存率98%以上，无缺株、死株。</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.1.4.病虫害防治标准：提倡综合防治，病虫害应控制在以不影响观赏效果的危害程度之内。</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.1.5.道路绿化带的具体养管标准。</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（1）道路绿化带景观要求。</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（2）采用修剪等特殊手法，控制植物高度，植物高度不得影响交通视线。</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（3）特殊地段的景观应按设计精心养护，形成有特色的植物景观。整形植物必须及时修剪保持形态，悬垂植物生长健壮，及时通过修剪去除枯死枝和调整高度及生长密度，整体效果良好。</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（4）花卉花期整齐，株行距适宜，无空秃、色彩效果好。</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（5）绿带必须无裸地，可种植地被植物或草坪。</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（6）绿带内无枯枝残叶、无杂草，整洁无垃圾；每天冲洗一次以上，植物叶面无积尘。</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（7）辅助设施（包括支撑物和悬挂容器）必须安全、完好、整洁、美观。</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（8）道路绿化带及悬垂挂箱冬季浇水应注意不要让水溢出，避免造成路面结冰。</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w:t>
      </w:r>
      <w:r>
        <w:rPr>
          <w:rFonts w:hint="eastAsia" w:ascii="华文仿宋" w:hAnsi="华文仿宋" w:eastAsia="华文仿宋"/>
          <w:sz w:val="24"/>
          <w:szCs w:val="24"/>
          <w:highlight w:val="none"/>
          <w:lang w:val="en-US" w:eastAsia="zh-CN"/>
        </w:rPr>
        <w:t>1</w:t>
      </w:r>
      <w:r>
        <w:rPr>
          <w:rFonts w:hint="eastAsia" w:ascii="华文仿宋" w:hAnsi="华文仿宋" w:eastAsia="华文仿宋"/>
          <w:sz w:val="24"/>
          <w:szCs w:val="24"/>
          <w:highlight w:val="none"/>
        </w:rPr>
        <w:t>.6.道路绿化带养护作业必须穿着有反光条的工作服，做到文明作业，尽量减少对行车的干扰。</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.2.养护管理其他要求：</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（2）规范管理、文明作业、自觉接受采购人及其上级各部门领导的检查和社会监督，对出现的问题要及时整改。</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（6）道路绿化中标后，应给每一个道路绿化工作人员购买人身意外伤害保险；</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（7）加强绿化养护应急响应管理工作，具体要求参照《杭州市城区绿化防台树木支撑工作方案》。</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①制定灾害性天气应急预案，建立应急救灾队伍，将应急预案和人员名单上报采购人备案。</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②建立应急备货制，备货的内容有：抗旱、抗涝、抗台、抗寒、抗雪等物资（支撑钢管、毛竹、水泵、遮阴网、草包等），快速支撑钢管只能做为一部分应急物资储备，不是唯一的抗台应急物资。</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 xml:space="preserve">③遇灾害性天气，听从采购人统一指挥，及时组织人员夏季抗旱、抗台，冬季遇积雪必须及时组织人员进行抗雪。遇到树木斜倒时，根据采购人要求，做好清障扶正工作。 </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④做好防台树木支撑工作，在市气象台发出台风预警信号以后，立即做好树木支撑工作。</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（8）中标单位根据采购人通知要求，做好各类“迎检”和“创建”准备工作。</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（9）经过园林绿化管理部门批准的绿地内挖掘及占用绿地时，中标单位应予以积极配合，复种后的绿地应由中标单位负责正常养护。</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（10）绿化养护期内产生的各种的垃圾必须进入垃圾中转站，其处理产生费用由中标单位负责。</w:t>
      </w:r>
    </w:p>
    <w:p>
      <w:pPr>
        <w:pStyle w:val="91"/>
        <w:snapToGrid w:val="0"/>
        <w:spacing w:line="360" w:lineRule="auto"/>
        <w:ind w:firstLine="480" w:firstLineChars="200"/>
        <w:rPr>
          <w:rFonts w:hint="eastAsia" w:ascii="华文仿宋" w:hAnsi="华文仿宋" w:eastAsia="华文仿宋"/>
          <w:sz w:val="24"/>
          <w:szCs w:val="24"/>
          <w:highlight w:val="none"/>
        </w:rPr>
      </w:pPr>
      <w:r>
        <w:rPr>
          <w:rFonts w:hint="eastAsia" w:ascii="华文仿宋" w:hAnsi="华文仿宋" w:eastAsia="华文仿宋"/>
          <w:sz w:val="24"/>
          <w:szCs w:val="24"/>
          <w:highlight w:val="none"/>
        </w:rPr>
        <w:t>（11）中标单位在养护管理期间，由于养管不力，采购人有权终止合同，并由中标单位承担一切责任。</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3、河道保洁作业要求：</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3.1、中标后投标人在仓前街道内必须拥有50㎡以上的固定办公场所与仓库；</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3.2、保洁服务期内，中标人必须按9条河道河面及河岸的保洁配备：要求：保洁作业时作业人员须穿着反光救生衣，保洁时间实行每天保洁制，河道保洁根据时间变化、保洁要求等条件7︰00—17︰00内自行调节。河道保洁每天要求不间断来回保洁；</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3.3、投标人中标后，对所有服务人员购买人身意外保险，在保洁服务期间所发生的任何安全事故一律由承包人负责，招标人不承担任何责任；</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3.4、打捞河道水面漂浮物、水草、杂草、杂枝等垃圾，福寿螺及卵的清理、定置网具清理等，垃圾必须在7︰00—17︰00内就近运至垃圾中转站，做到日产日清，死牲畜及时报告街道进行无害化消毒处理。对沿途企业单位和个人是否向河道排放污水情况，是否有违法建设行为进行巡查，一旦发现及时向招标人汇报；</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3.5、河道内违章倾到废土、建筑垃圾、生活垃圾、搭建的违章建筑有责任予以制止，并及时上报街道相关职能部门；</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3.6、中标单位的河道保洁工作人员严禁放置网具捕捞水产品，一旦发现中止合同并扣除履约保证金；</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3.7、中标单位在合同期内遇上级检查或在各项创建活动中须加大巡查保洁力度，无条件服从发包人安排和调度；</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3.8、对沿途企业单位和个人，加强环保、水法规的宣传，河道内及两岸岸坡的“清洁、明亮、生态、安全”，顺利完成上级的检查和验收；</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3.9、及时掌握河道沿线排水口设施（包括标识）完好情况、晴天出水情况。对有晴天出水现象的，要分时段（上午、中午、下午）检查出水情况，评估记录出水水频次（间歇性或常出水），并查看该排水口上下游河道水质感官，做好信息登记并第一时间上报，同时做好与截污部门的对接；</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3.10、及时了解河道水质状况，包括水体感官与颜色等。遇死鱼、蓝藻等突发情况应及时上报；</w:t>
      </w:r>
    </w:p>
    <w:p>
      <w:pPr>
        <w:pStyle w:val="91"/>
        <w:snapToGrid w:val="0"/>
        <w:spacing w:line="360" w:lineRule="auto"/>
        <w:ind w:firstLine="480" w:firstLineChars="200"/>
        <w:rPr>
          <w:rFonts w:hint="eastAsia" w:ascii="华文仿宋" w:hAnsi="华文仿宋" w:eastAsia="华文仿宋" w:cs="Times New Roman"/>
          <w:sz w:val="24"/>
          <w:szCs w:val="24"/>
          <w:highlight w:val="none"/>
          <w:lang w:val="en-US" w:eastAsia="zh-CN"/>
        </w:rPr>
      </w:pPr>
      <w:r>
        <w:rPr>
          <w:rFonts w:hint="eastAsia" w:ascii="华文仿宋" w:hAnsi="华文仿宋" w:eastAsia="华文仿宋" w:cs="Times New Roman"/>
          <w:sz w:val="24"/>
          <w:szCs w:val="24"/>
          <w:highlight w:val="none"/>
          <w:lang w:val="en-US" w:eastAsia="zh-CN"/>
        </w:rPr>
        <w:t>3.11、中标单位不得将本项目违法分包和转包，否则招标人有权责令其停止作业并终止承包合同，所造成的损失由中标单位负责；</w:t>
      </w:r>
    </w:p>
    <w:p>
      <w:pPr>
        <w:pStyle w:val="91"/>
        <w:snapToGrid w:val="0"/>
        <w:spacing w:line="360" w:lineRule="auto"/>
        <w:rPr>
          <w:rFonts w:ascii="华文仿宋" w:hAnsi="华文仿宋" w:eastAsia="华文仿宋"/>
          <w:b/>
          <w:bCs/>
          <w:sz w:val="24"/>
          <w:szCs w:val="24"/>
          <w:highlight w:val="none"/>
        </w:rPr>
      </w:pPr>
      <w:r>
        <w:rPr>
          <w:rFonts w:hint="eastAsia" w:ascii="华文仿宋" w:hAnsi="华文仿宋" w:eastAsia="华文仿宋"/>
          <w:b/>
          <w:bCs/>
          <w:sz w:val="24"/>
          <w:szCs w:val="24"/>
          <w:highlight w:val="none"/>
        </w:rPr>
        <w:t>二、服务时间要求</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本项目承包期限为贰年，具体自2022年月日起至2024年月日止。若在合同期内乙方有严重违约行为，甲方有权提前终止合同，由此造成的一切后果和损失由乙方承担。</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三、合同金额</w:t>
      </w:r>
    </w:p>
    <w:p>
      <w:pPr>
        <w:pStyle w:val="91"/>
        <w:snapToGrid w:val="0"/>
        <w:spacing w:line="360" w:lineRule="auto"/>
        <w:ind w:firstLine="480" w:firstLineChars="200"/>
        <w:rPr>
          <w:rFonts w:hint="eastAsia" w:ascii="华文仿宋" w:hAnsi="华文仿宋" w:eastAsia="华文仿宋"/>
          <w:sz w:val="24"/>
          <w:szCs w:val="24"/>
          <w:highlight w:val="none"/>
          <w:lang w:eastAsia="zh-CN"/>
        </w:rPr>
      </w:pPr>
      <w:r>
        <w:rPr>
          <w:rFonts w:hint="eastAsia" w:ascii="华文仿宋" w:hAnsi="华文仿宋" w:eastAsia="华文仿宋"/>
          <w:sz w:val="24"/>
          <w:szCs w:val="24"/>
          <w:highlight w:val="none"/>
        </w:rPr>
        <w:t>标项合同金额为（大写） 元，（￥ 元）人民币</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四、技术资料</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1、乙方应按招标文件规定的时间向甲方提供有关技术资料。</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 3、乙方应履行保密义务，对于所有与甲方有关的资料和信息，乙方均应作为秘密信息对待。除非甲方事先通知许可，双方均承诺不将对方取得的信息披露或透露给无关人员。</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4、乙方应按规定与队员订立书面劳动合同，并为队员统一缴纳社保。</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五、知识产权</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乙方应保证提供服务过程中不会侵犯任何第三方的知识产权。</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六、履约保证金</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合同签订前乙方需向甲方提交中标总额2.5</w:t>
      </w:r>
      <w:r>
        <w:rPr>
          <w:rFonts w:hint="eastAsia" w:ascii="华文仿宋" w:hAnsi="华文仿宋" w:eastAsia="华文仿宋"/>
          <w:sz w:val="24"/>
          <w:szCs w:val="24"/>
          <w:highlight w:val="none"/>
          <w:lang w:val="en-US" w:eastAsia="zh-CN"/>
        </w:rPr>
        <w:t>%</w:t>
      </w:r>
      <w:r>
        <w:rPr>
          <w:rFonts w:hint="eastAsia" w:ascii="华文仿宋" w:hAnsi="华文仿宋" w:eastAsia="华文仿宋"/>
          <w:sz w:val="24"/>
          <w:szCs w:val="24"/>
          <w:highlight w:val="none"/>
        </w:rPr>
        <w:t>的履约保证金，在服务期满后三十天内退还（不计息）。</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七、转包或分包</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1、本合同范围的服务，应由乙方直接供应，不得转让他人供应；</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2、除非得到甲方的书面同意，乙方不得将本合同范围的服务全部或部分分包给他人供应；</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3、如有转让和未经甲方同意的分包行为，甲方有权解除合同，没收履约保证金并追究乙方的违约责任。</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八、合同履行时间、履行方式及履行地点</w:t>
      </w:r>
    </w:p>
    <w:p>
      <w:pPr>
        <w:pStyle w:val="91"/>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1</w:t>
      </w:r>
      <w:r>
        <w:rPr>
          <w:rFonts w:hint="eastAsia" w:ascii="华文仿宋" w:hAnsi="华文仿宋" w:eastAsia="华文仿宋"/>
          <w:sz w:val="24"/>
          <w:szCs w:val="24"/>
          <w:highlight w:val="none"/>
        </w:rPr>
        <w:t>、履行时间：（2022年月日-</w:t>
      </w:r>
      <w:r>
        <w:rPr>
          <w:rFonts w:ascii="华文仿宋" w:hAnsi="华文仿宋" w:eastAsia="华文仿宋"/>
          <w:sz w:val="24"/>
          <w:szCs w:val="24"/>
          <w:highlight w:val="none"/>
        </w:rPr>
        <w:t>202</w:t>
      </w:r>
      <w:r>
        <w:rPr>
          <w:rFonts w:hint="eastAsia" w:ascii="华文仿宋" w:hAnsi="华文仿宋" w:eastAsia="华文仿宋"/>
          <w:sz w:val="24"/>
          <w:szCs w:val="24"/>
          <w:highlight w:val="none"/>
        </w:rPr>
        <w:t>4年月日）；</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2、履行</w:t>
      </w:r>
      <w:r>
        <w:rPr>
          <w:rFonts w:ascii="华文仿宋" w:hAnsi="华文仿宋" w:eastAsia="华文仿宋"/>
          <w:sz w:val="24"/>
          <w:szCs w:val="24"/>
          <w:highlight w:val="none"/>
        </w:rPr>
        <w:t>地点：</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rPr>
        <w:t>九、款项支付</w:t>
      </w:r>
      <w:r>
        <w:rPr>
          <w:rFonts w:hint="eastAsia" w:ascii="华文仿宋" w:hAnsi="华文仿宋" w:eastAsia="华文仿宋"/>
          <w:b/>
          <w:bCs/>
          <w:sz w:val="24"/>
          <w:szCs w:val="24"/>
          <w:highlight w:val="none"/>
          <w:lang w:eastAsia="zh-CN"/>
        </w:rPr>
        <w:t>：</w:t>
      </w:r>
    </w:p>
    <w:p>
      <w:pPr>
        <w:pStyle w:val="91"/>
        <w:snapToGrid w:val="0"/>
        <w:spacing w:line="360" w:lineRule="auto"/>
        <w:ind w:firstLine="480" w:firstLineChars="200"/>
        <w:rPr>
          <w:rFonts w:hint="eastAsia" w:ascii="华文仿宋" w:hAnsi="华文仿宋" w:eastAsia="华文仿宋"/>
          <w:sz w:val="24"/>
          <w:szCs w:val="24"/>
          <w:highlight w:val="none"/>
          <w:lang w:val="en-US" w:eastAsia="zh-CN"/>
        </w:rPr>
      </w:pPr>
      <w:r>
        <w:rPr>
          <w:rFonts w:hint="eastAsia" w:ascii="华文仿宋" w:hAnsi="华文仿宋" w:eastAsia="华文仿宋"/>
          <w:sz w:val="24"/>
          <w:szCs w:val="24"/>
          <w:highlight w:val="none"/>
          <w:lang w:val="en-US" w:eastAsia="zh-CN"/>
        </w:rPr>
        <w:t>1、绿化养护、河道保洁付款方式：采用先作业后拨付的方式，根据街道对中标人每季度的考核结果按照处罚措施的约定于次月15日前支付上季度绿化养护、河道保洁款项。甲方付款前，乙方应提供正式发票交甲方审核。因甲方支付上述款项须报财政审批，乙方同意在甲方通过财政审批且取得相应款项后支付，具体审批付款流程按仓前街道办事处规定执行</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rPr>
        <w:t>十、税费</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本合同执行中相关的一切税费均由乙方负担。</w:t>
      </w:r>
    </w:p>
    <w:p>
      <w:pPr>
        <w:pStyle w:val="91"/>
        <w:snapToGrid w:val="0"/>
        <w:spacing w:line="360" w:lineRule="auto"/>
        <w:rPr>
          <w:rFonts w:hint="eastAsia" w:ascii="华文仿宋" w:hAnsi="华文仿宋" w:eastAsia="华文仿宋"/>
          <w:b/>
          <w:bCs/>
          <w:sz w:val="24"/>
          <w:szCs w:val="24"/>
          <w:highlight w:val="none"/>
        </w:rPr>
      </w:pPr>
      <w:r>
        <w:rPr>
          <w:rFonts w:hint="eastAsia" w:ascii="华文仿宋" w:hAnsi="华文仿宋" w:eastAsia="华文仿宋"/>
          <w:b/>
          <w:bCs/>
          <w:sz w:val="24"/>
          <w:szCs w:val="24"/>
          <w:highlight w:val="none"/>
          <w:lang w:eastAsia="zh-CN"/>
        </w:rPr>
        <w:t>十一、</w:t>
      </w:r>
      <w:r>
        <w:rPr>
          <w:rFonts w:hint="eastAsia" w:ascii="华文仿宋" w:hAnsi="华文仿宋" w:eastAsia="华文仿宋"/>
          <w:b/>
          <w:bCs/>
          <w:sz w:val="24"/>
          <w:szCs w:val="24"/>
          <w:highlight w:val="none"/>
        </w:rPr>
        <w:t>保险</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（1）第三者责任保险</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乙方应对乙方人员以及第三方全权责任（如乙方应投保第三责任险），在乙方的责任区内由于乙方原因导致自己员工或者第三方的事故由乙方负责，甲方不承担任何责任。</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（2）员工人身意外</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在承包期内，乙方所有人员的事故由乙方自行全权负责（如乙方应对其员工投保人身意外险），以保证甲方在乙方工作人员索赔时不受任何责任的约束。</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（3）其他保险及费用</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乙方须按劳动合同法和政府有关各部门规定为全体服务人员交纳所有相关的社会保险及其他相关费用，乙方对此全权负责。</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lang w:eastAsia="zh-CN"/>
        </w:rPr>
        <w:t>十二、质量保证及后续服务</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1、乙方应按招标文件规定向甲方提供服务。</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2、乙方提供的服务成果在服务质量保证期内发生故障，乙方应负责免费提供后续服务。对达不到要求者，根据实际情况，经双方协商，可按以下办法处理：</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（1）重做：由乙方承担所发生的全部费用。</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（2）解除合同。</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3、在服务质量保证期内，乙方应对出现的质量及安全问题负责处理解决并承担一切费用。</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lang w:eastAsia="zh-CN"/>
        </w:rPr>
        <w:t>十三、违约责任</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1、甲方无正当理由拒收接受服务的，甲方向乙方偿付合同款项百分之五作为违约金。</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lang w:eastAsia="zh-CN"/>
        </w:rPr>
        <w:t>十四、不可抗力事件处理</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1、在合同有效期内，任何一方因不可抗力事件导致不能履行合同，则合同履行期可延长，其延长期与不可抗力影响期相同。</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2、不可抗力事件发生后，应立即通知对方，并寄送有关权威机构出具的证明。</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3、不可抗力事件延续120天以上，双方应通过友好协商，确定是否继续履行合同。</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lang w:eastAsia="zh-CN"/>
        </w:rPr>
        <w:t>十五、诉讼</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双方在执行合同中所发生的一切争议，应通过协商解决。如协商不成，可向甲方所在地法院起诉。</w:t>
      </w:r>
    </w:p>
    <w:p>
      <w:pPr>
        <w:pStyle w:val="91"/>
        <w:snapToGrid w:val="0"/>
        <w:spacing w:line="360" w:lineRule="auto"/>
        <w:rPr>
          <w:rFonts w:hint="eastAsia" w:ascii="华文仿宋" w:hAnsi="华文仿宋" w:eastAsia="华文仿宋"/>
          <w:b/>
          <w:bCs/>
          <w:sz w:val="24"/>
          <w:szCs w:val="24"/>
          <w:highlight w:val="none"/>
          <w:lang w:eastAsia="zh-CN"/>
        </w:rPr>
      </w:pPr>
      <w:r>
        <w:rPr>
          <w:rFonts w:hint="eastAsia" w:ascii="华文仿宋" w:hAnsi="华文仿宋" w:eastAsia="华文仿宋"/>
          <w:b/>
          <w:bCs/>
          <w:sz w:val="24"/>
          <w:szCs w:val="24"/>
          <w:highlight w:val="none"/>
          <w:lang w:eastAsia="zh-CN"/>
        </w:rPr>
        <w:t>十六、合同生效及其它</w:t>
      </w:r>
    </w:p>
    <w:p>
      <w:pPr>
        <w:pStyle w:val="91"/>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1</w:t>
      </w:r>
      <w:r>
        <w:rPr>
          <w:rFonts w:hint="eastAsia" w:ascii="华文仿宋" w:hAnsi="华文仿宋" w:eastAsia="华文仿宋"/>
          <w:sz w:val="24"/>
          <w:szCs w:val="24"/>
          <w:highlight w:val="none"/>
        </w:rPr>
        <w:t>、合同经双方法定代表人或授权代表签字并加盖单位公章后生效。</w:t>
      </w:r>
    </w:p>
    <w:p>
      <w:pPr>
        <w:pStyle w:val="91"/>
        <w:snapToGrid w:val="0"/>
        <w:spacing w:line="360" w:lineRule="auto"/>
        <w:ind w:firstLine="480" w:firstLineChars="200"/>
        <w:rPr>
          <w:rFonts w:ascii="华文仿宋" w:hAnsi="华文仿宋" w:eastAsia="华文仿宋"/>
          <w:sz w:val="24"/>
          <w:szCs w:val="24"/>
          <w:highlight w:val="none"/>
        </w:rPr>
      </w:pPr>
      <w:r>
        <w:rPr>
          <w:rFonts w:ascii="华文仿宋" w:hAnsi="华文仿宋" w:eastAsia="华文仿宋"/>
          <w:sz w:val="24"/>
          <w:szCs w:val="24"/>
          <w:highlight w:val="none"/>
        </w:rPr>
        <w:t>2</w:t>
      </w:r>
      <w:r>
        <w:rPr>
          <w:rFonts w:hint="eastAsia" w:ascii="华文仿宋" w:hAnsi="华文仿宋" w:eastAsia="华文仿宋"/>
          <w:sz w:val="24"/>
          <w:szCs w:val="24"/>
          <w:highlight w:val="none"/>
        </w:rPr>
        <w:t>、</w:t>
      </w:r>
      <w:r>
        <w:rPr>
          <w:rFonts w:ascii="华文仿宋" w:hAnsi="华文仿宋" w:eastAsia="华文仿宋"/>
          <w:sz w:val="24"/>
          <w:szCs w:val="24"/>
          <w:highlight w:val="none"/>
        </w:rPr>
        <w:t>合同执行中涉及采购资金和采购内容修改或补充的，须经财政部门审批，并签书面补充协议报政府采购监督管理部门备案，方可作为主合同不可分割的一部分。</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3、招标文件、投标文件及评标过程中形成的文字资料、询标纪要均作为本合同的组成部分，具有同等效力。本合同未尽事宜，遵照《合同法》有关条文执行。</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4、本合同一式肆份，具有同等法律效力，甲乙双方各执两份。</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甲方（盖章）：                             乙方（盖章）：        </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法定代表人：                              法定代表人：    </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或受委托人（签字）：                       或受委托人（签字）：  </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联系人：                                  联系人：</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地址：                                    地址： </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电话：                                    电话：</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传真：                                    传真：</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 xml:space="preserve">开户银行：                                开户银行： </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帐号：                                    帐号：</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签订时间：                                签订时间：</w:t>
      </w:r>
    </w:p>
    <w:p>
      <w:pPr>
        <w:pStyle w:val="91"/>
        <w:snapToGrid w:val="0"/>
        <w:spacing w:line="360" w:lineRule="auto"/>
        <w:ind w:firstLine="480" w:firstLineChars="200"/>
        <w:rPr>
          <w:rFonts w:ascii="华文仿宋" w:hAnsi="华文仿宋" w:eastAsia="华文仿宋"/>
          <w:sz w:val="24"/>
          <w:szCs w:val="24"/>
          <w:highlight w:val="none"/>
        </w:rPr>
      </w:pPr>
      <w:r>
        <w:rPr>
          <w:rFonts w:hint="eastAsia" w:ascii="华文仿宋" w:hAnsi="华文仿宋" w:eastAsia="华文仿宋"/>
          <w:sz w:val="24"/>
          <w:szCs w:val="24"/>
          <w:highlight w:val="none"/>
        </w:rPr>
        <w:t>签订地点：</w:t>
      </w:r>
    </w:p>
    <w:p>
      <w:pPr>
        <w:spacing w:line="360" w:lineRule="auto"/>
        <w:ind w:left="-420" w:leftChars="-200" w:right="-420" w:rightChars="-200" w:firstLine="480" w:firstLineChars="200"/>
        <w:jc w:val="center"/>
        <w:outlineLvl w:val="0"/>
        <w:rPr>
          <w:rFonts w:hint="eastAsia" w:asciiTheme="majorEastAsia" w:hAnsiTheme="majorEastAsia" w:eastAsiaTheme="majorEastAsia" w:cstheme="majorEastAsia"/>
          <w:color w:val="auto"/>
          <w:sz w:val="24"/>
          <w:highlight w:val="none"/>
        </w:rPr>
      </w:pPr>
    </w:p>
    <w:p>
      <w:pPr>
        <w:pStyle w:val="84"/>
        <w:rPr>
          <w:rFonts w:hint="eastAsia" w:asciiTheme="majorEastAsia" w:hAnsiTheme="majorEastAsia" w:eastAsiaTheme="majorEastAsia" w:cstheme="majorEastAsia"/>
          <w:highlight w:val="none"/>
        </w:rPr>
      </w:pPr>
    </w:p>
    <w:p>
      <w:pPr>
        <w:pStyle w:val="84"/>
        <w:rPr>
          <w:highlight w:val="none"/>
        </w:rPr>
      </w:pPr>
    </w:p>
    <w:p>
      <w:pPr>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pStyle w:val="82"/>
        <w:rPr>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spacing w:line="360" w:lineRule="auto"/>
        <w:ind w:left="720" w:firstLine="723" w:firstLineChars="200"/>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1"/>
      <w:r>
        <w:rPr>
          <w:rFonts w:ascii="仿宋" w:hAnsi="仿宋" w:eastAsia="仿宋" w:cs="仿宋_GB2312"/>
          <w:b/>
          <w:color w:val="auto"/>
          <w:sz w:val="36"/>
          <w:szCs w:val="20"/>
          <w:highlight w:val="none"/>
        </w:rPr>
        <w:t xml:space="preserve"> </w:t>
      </w:r>
      <w:bookmarkEnd w:id="392"/>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_GB2312" w:hAnsi="仿宋" w:eastAsia="仿宋_GB2312" w:cs="仿宋_GB2312"/>
          <w:b/>
          <w:color w:val="auto"/>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三、本项目的特定资格要求</w:t>
      </w:r>
    </w:p>
    <w:p>
      <w:pPr>
        <w:spacing w:line="360" w:lineRule="auto"/>
        <w:jc w:val="center"/>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1）投标函</w:t>
      </w:r>
      <w:r>
        <w:rPr>
          <w:rFonts w:hint="eastAsia" w:cs="仿宋_GB2312"/>
          <w:color w:val="auto"/>
          <w:highlight w:val="none"/>
        </w:rPr>
        <w:t>…………………………………………………………………………………（页码）</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2）授权委托书或法定代表人（单位负责人、自然人本人）身份证明</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3）联合协议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4）分包意向协议</w:t>
      </w:r>
      <w:r>
        <w:rPr>
          <w:rFonts w:hint="eastAsia" w:cs="仿宋_GB2312"/>
          <w:color w:val="auto"/>
          <w:highlight w:val="none"/>
        </w:rPr>
        <w:t>…………………………………………………………………………（页码）</w:t>
      </w:r>
    </w:p>
    <w:p>
      <w:pPr>
        <w:snapToGrid w:val="0"/>
        <w:spacing w:line="360" w:lineRule="auto"/>
        <w:ind w:firstLine="480" w:firstLineChars="200"/>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5）符合性审查资料</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6）评标标准相应的商务技术资料</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w:t>
      </w:r>
      <w:r>
        <w:rPr>
          <w:rFonts w:hint="eastAsia" w:ascii="仿宋_GB2312" w:hAnsi="仿宋" w:eastAsia="仿宋_GB2312" w:cs="仿宋_GB2312"/>
          <w:color w:val="auto"/>
          <w:sz w:val="24"/>
          <w:highlight w:val="none"/>
        </w:rPr>
        <w:t>…</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7）商务技术偏离表</w:t>
      </w:r>
      <w:r>
        <w:rPr>
          <w:rFonts w:hint="eastAsia" w:cs="仿宋_GB2312"/>
          <w:color w:val="auto"/>
          <w:highlight w:val="none"/>
        </w:rPr>
        <w:t>………………………………………………………………………（页码）</w:t>
      </w:r>
    </w:p>
    <w:p>
      <w:pPr>
        <w:snapToGrid w:val="0"/>
        <w:spacing w:line="360" w:lineRule="auto"/>
        <w:ind w:left="479" w:leftChars="228"/>
        <w:rPr>
          <w:rFonts w:cs="仿宋_GB2312"/>
          <w:color w:val="auto"/>
          <w:highlight w:val="none"/>
        </w:rPr>
      </w:pPr>
      <w:r>
        <w:rPr>
          <w:rFonts w:hint="eastAsia"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r>
        <w:rPr>
          <w:rFonts w:hint="eastAsia" w:cs="仿宋_GB2312"/>
          <w:color w:val="auto"/>
          <w:highlight w:val="none"/>
        </w:rPr>
        <w:t>…………………………………………………（页码）</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360" w:lineRule="auto"/>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360" w:lineRule="auto"/>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92"/>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92"/>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6"/>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99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1</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2</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sz w:val="24"/>
                <w:highlight w:val="none"/>
              </w:rPr>
              <w:t>节能产品认证证书（本项目</w:t>
            </w:r>
            <w:r>
              <w:rPr>
                <w:rFonts w:hint="eastAsia" w:ascii="仿宋_GB2312" w:hAnsi="仿宋" w:eastAsia="仿宋_GB2312"/>
                <w:color w:val="auto"/>
                <w:sz w:val="24"/>
                <w:highlight w:val="none"/>
              </w:rPr>
              <w:t>拟采购的产品不属于政府强制采购的节能产品品目清单范围的</w:t>
            </w:r>
            <w:r>
              <w:rPr>
                <w:rFonts w:hint="eastAsia" w:ascii="仿宋_GB2312" w:hAnsi="仿宋" w:eastAsia="仿宋_GB2312" w:cs="仿宋_GB2312"/>
                <w:color w:val="auto"/>
                <w:sz w:val="24"/>
                <w:highlight w:val="none"/>
              </w:rPr>
              <w:t>，无需提供）</w:t>
            </w:r>
          </w:p>
        </w:tc>
        <w:tc>
          <w:tcPr>
            <w:tcW w:w="1418" w:type="dxa"/>
            <w:vAlign w:val="top"/>
          </w:tcPr>
          <w:p>
            <w:pPr>
              <w:rPr>
                <w:rFonts w:ascii="仿宋" w:hAnsi="仿宋" w:eastAsia="仿宋" w:cs="仿宋_GB2312"/>
                <w:color w:val="auto"/>
                <w:sz w:val="24"/>
                <w:highlight w:val="none"/>
              </w:rPr>
            </w:pPr>
          </w:p>
          <w:p>
            <w:pPr>
              <w:rPr>
                <w:rFonts w:ascii="仿宋" w:hAnsi="仿宋" w:eastAsia="仿宋" w:cs="仿宋_GB2312"/>
                <w:color w:val="auto"/>
                <w:sz w:val="24"/>
                <w:highlight w:val="none"/>
              </w:rPr>
            </w:pPr>
          </w:p>
          <w:p>
            <w:pP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pStyle w:val="6"/>
              <w:rPr>
                <w:color w:val="auto"/>
                <w:highlight w:val="none"/>
                <w:lang w:val="en-US"/>
              </w:rPr>
            </w:pPr>
            <w:r>
              <w:rPr>
                <w:rFonts w:hint="eastAsia" w:ascii="仿宋" w:eastAsia="仿宋" w:cs="仿宋_GB2312"/>
                <w:b w:val="0"/>
                <w:bCs w:val="0"/>
                <w:color w:val="auto"/>
                <w:sz w:val="24"/>
                <w:szCs w:val="24"/>
                <w:highlight w:val="none"/>
                <w:lang w:val="en-US"/>
              </w:rPr>
              <w:t>第</w:t>
            </w:r>
            <w:r>
              <w:rPr>
                <w:rFonts w:ascii="仿宋" w:eastAsia="仿宋" w:cs="仿宋_GB2312"/>
                <w:b w:val="0"/>
                <w:bCs w:val="0"/>
                <w:color w:val="auto"/>
                <w:sz w:val="24"/>
                <w:szCs w:val="24"/>
                <w:highlight w:val="none"/>
                <w:u w:val="single"/>
                <w:lang w:val="en-US"/>
              </w:rPr>
              <w:t xml:space="preserve">  </w:t>
            </w:r>
            <w:r>
              <w:rPr>
                <w:rFonts w:hint="eastAsia" w:ascii="仿宋" w:eastAsia="仿宋" w:cs="仿宋_GB2312"/>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3</w:t>
            </w:r>
          </w:p>
        </w:tc>
        <w:tc>
          <w:tcPr>
            <w:tcW w:w="4991" w:type="dxa"/>
            <w:vAlign w:val="top"/>
          </w:tcPr>
          <w:p>
            <w:pPr>
              <w:spacing w:line="360" w:lineRule="auto"/>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rPr>
                <w:rFonts w:ascii="仿宋" w:hAnsi="仿宋" w:eastAsia="仿宋"/>
                <w:color w:val="auto"/>
                <w:sz w:val="24"/>
                <w:highlight w:val="none"/>
              </w:rPr>
            </w:pPr>
            <w:r>
              <w:rPr>
                <w:rFonts w:hint="eastAsia" w:ascii="仿宋" w:hAnsi="仿宋" w:eastAsia="仿宋"/>
                <w:color w:val="auto"/>
                <w:sz w:val="24"/>
                <w:highlight w:val="none"/>
              </w:rPr>
              <w:t>投标函</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highlight w:val="none"/>
              </w:rPr>
            </w:pPr>
            <w:r>
              <w:rPr>
                <w:rFonts w:ascii="仿宋" w:hAnsi="仿宋" w:eastAsia="仿宋"/>
                <w:color w:val="auto"/>
                <w:sz w:val="24"/>
                <w:highlight w:val="none"/>
              </w:rPr>
              <w:t>4</w:t>
            </w:r>
          </w:p>
        </w:tc>
        <w:tc>
          <w:tcPr>
            <w:tcW w:w="4991" w:type="dxa"/>
            <w:vAlign w:val="top"/>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418" w:type="dxa"/>
            <w:vAlign w:val="top"/>
          </w:tcPr>
          <w:p>
            <w:pPr>
              <w:rPr>
                <w:color w:val="auto"/>
                <w:highlight w:val="none"/>
              </w:rPr>
            </w:pPr>
            <w:r>
              <w:rPr>
                <w:rFonts w:hint="eastAsia" w:ascii="仿宋" w:hAnsi="仿宋" w:eastAsia="仿宋" w:cs="仿宋_GB2312"/>
                <w:color w:val="auto"/>
                <w:sz w:val="24"/>
                <w:highlight w:val="none"/>
              </w:rPr>
              <w:t>见投标文件第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top"/>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top"/>
          </w:tcPr>
          <w:p>
            <w:pPr>
              <w:jc w:val="center"/>
              <w:rPr>
                <w:rFonts w:ascii="仿宋_GB2312" w:hAnsi="仿宋" w:eastAsia="仿宋_GB2312" w:cs="仿宋_GB2312"/>
                <w:b/>
                <w:color w:val="auto"/>
                <w:kern w:val="0"/>
                <w:sz w:val="32"/>
                <w:szCs w:val="32"/>
                <w:highlight w:val="none"/>
              </w:rPr>
            </w:pPr>
          </w:p>
        </w:tc>
        <w:tc>
          <w:tcPr>
            <w:tcW w:w="3546" w:type="dxa"/>
            <w:vAlign w:val="top"/>
          </w:tcPr>
          <w:p>
            <w:pPr>
              <w:jc w:val="center"/>
              <w:rPr>
                <w:rFonts w:ascii="仿宋_GB2312" w:hAnsi="仿宋" w:eastAsia="仿宋_GB2312" w:cs="仿宋_GB2312"/>
                <w:b/>
                <w:color w:val="auto"/>
                <w:kern w:val="0"/>
                <w:sz w:val="32"/>
                <w:szCs w:val="32"/>
                <w:highlight w:val="none"/>
              </w:rPr>
            </w:pPr>
          </w:p>
        </w:tc>
        <w:tc>
          <w:tcPr>
            <w:tcW w:w="1276" w:type="dxa"/>
            <w:vAlign w:val="top"/>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numPr>
          <w:ilvl w:val="0"/>
          <w:numId w:val="5"/>
        </w:numPr>
        <w:snapToGrid w:val="0"/>
        <w:spacing w:line="360" w:lineRule="auto"/>
        <w:rPr>
          <w:rFonts w:hint="eastAsia" w:ascii="仿宋_GB2312" w:hAnsi="仿宋" w:eastAsia="仿宋_GB2312" w:cs="仿宋_GB2312"/>
          <w:color w:val="auto"/>
          <w:sz w:val="24"/>
          <w:highlight w:val="none"/>
        </w:rPr>
      </w:pPr>
      <w:r>
        <w:rPr>
          <w:rFonts w:ascii="仿宋_GB2312" w:hAnsi="仿宋" w:eastAsia="仿宋_GB2312" w:cs="仿宋_GB2312"/>
          <w:color w:val="auto"/>
          <w:sz w:val="24"/>
          <w:highlight w:val="none"/>
        </w:rPr>
        <w:t>开标一览表（报价表）……</w:t>
      </w:r>
      <w:r>
        <w:rPr>
          <w:rFonts w:hint="eastAsia" w:ascii="仿宋_GB2312" w:hAnsi="仿宋" w:eastAsia="仿宋_GB2312" w:cs="仿宋_GB2312"/>
          <w:color w:val="auto"/>
          <w:sz w:val="24"/>
          <w:highlight w:val="none"/>
        </w:rPr>
        <w:t>…………………………………………………（页码）</w:t>
      </w:r>
    </w:p>
    <w:p>
      <w:pPr>
        <w:snapToGrid w:val="0"/>
        <w:spacing w:line="360" w:lineRule="auto"/>
        <w:rPr>
          <w:highlight w:val="none"/>
        </w:rPr>
      </w:pPr>
      <w:r>
        <w:rPr>
          <w:rFonts w:hint="eastAsia" w:ascii="仿宋_GB2312" w:hAnsi="仿宋" w:eastAsia="仿宋_GB2312" w:cs="仿宋_GB2312"/>
          <w:color w:val="auto"/>
          <w:sz w:val="24"/>
          <w:highlight w:val="none"/>
          <w:lang w:val="en-US" w:eastAsia="zh-CN"/>
        </w:rPr>
        <w:t>（2）报价明细清单</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en-US" w:eastAsia="zh-CN"/>
        </w:rPr>
        <w:t>3</w:t>
      </w:r>
      <w:r>
        <w:rPr>
          <w:rFonts w:ascii="仿宋_GB2312" w:hAnsi="仿宋" w:eastAsia="仿宋_GB2312" w:cs="仿宋_GB2312"/>
          <w:color w:val="auto"/>
          <w:sz w:val="24"/>
          <w:highlight w:val="none"/>
        </w:rPr>
        <w:t>）中小企业声明函……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381"/>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1"/>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一、开标一览表（报价表）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rPr>
        <w:t>（项目名称）</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numPr>
          <w:ilvl w:val="0"/>
          <w:numId w:val="6"/>
        </w:numPr>
        <w:spacing w:line="360" w:lineRule="auto"/>
        <w:jc w:val="center"/>
        <w:rPr>
          <w:highlight w:val="none"/>
          <w:lang w:val="zh-CN"/>
        </w:rPr>
      </w:pPr>
      <w:r>
        <w:rPr>
          <w:rFonts w:hint="eastAsia" w:ascii="仿宋_GB2312" w:hAnsi="仿宋" w:eastAsia="仿宋_GB2312" w:cs="仿宋_GB2312"/>
          <w:b/>
          <w:color w:val="auto"/>
          <w:kern w:val="0"/>
          <w:sz w:val="24"/>
          <w:highlight w:val="none"/>
          <w:lang w:val="zh-CN"/>
        </w:rPr>
        <w:t>开标一览表</w:t>
      </w:r>
      <w:r>
        <w:rPr>
          <w:rFonts w:ascii="仿宋_GB2312" w:hAnsi="仿宋" w:eastAsia="仿宋_GB2312" w:cs="仿宋_GB2312"/>
          <w:b/>
          <w:color w:val="auto"/>
          <w:kern w:val="0"/>
          <w:sz w:val="24"/>
          <w:highlight w:val="none"/>
          <w:lang w:val="zh-CN"/>
        </w:rPr>
        <w:t>(单位均为人民币元)</w:t>
      </w:r>
    </w:p>
    <w:tbl>
      <w:tblPr>
        <w:tblStyle w:val="64"/>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39"/>
        <w:gridCol w:w="2905"/>
        <w:gridCol w:w="638"/>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序号</w:t>
            </w:r>
          </w:p>
        </w:tc>
        <w:tc>
          <w:tcPr>
            <w:tcW w:w="4144"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项目</w:t>
            </w:r>
          </w:p>
        </w:tc>
        <w:tc>
          <w:tcPr>
            <w:tcW w:w="638"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jc w:val="center"/>
              <w:rPr>
                <w:rFonts w:hint="eastAsia"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单位</w:t>
            </w:r>
          </w:p>
        </w:tc>
        <w:tc>
          <w:tcPr>
            <w:tcW w:w="543"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jc w:val="center"/>
              <w:rPr>
                <w:rFonts w:hint="eastAsia"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合计（元）</w:t>
            </w: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3" w:hRule="atLeast"/>
        </w:trPr>
        <w:tc>
          <w:tcPr>
            <w:tcW w:w="600" w:type="dxa"/>
            <w:vMerge w:val="restart"/>
            <w:tcBorders>
              <w:left w:val="single" w:color="000000" w:sz="4" w:space="0"/>
              <w:right w:val="single" w:color="000000" w:sz="4" w:space="0"/>
            </w:tcBorders>
            <w:noWrap w:val="0"/>
            <w:vAlign w:val="center"/>
          </w:tcPr>
          <w:p>
            <w:pPr>
              <w:spacing w:line="240" w:lineRule="auto"/>
              <w:jc w:val="center"/>
              <w:rPr>
                <w:rFonts w:hint="default" w:ascii="等线" w:hAnsi="等线" w:eastAsia="宋体"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1</w:t>
            </w:r>
          </w:p>
        </w:tc>
        <w:tc>
          <w:tcPr>
            <w:tcW w:w="1239" w:type="dxa"/>
            <w:vMerge w:val="restart"/>
            <w:tcBorders>
              <w:left w:val="single" w:color="000000" w:sz="4" w:space="0"/>
              <w:right w:val="single" w:color="auto" w:sz="4" w:space="0"/>
            </w:tcBorders>
            <w:noWrap w:val="0"/>
            <w:vAlign w:val="center"/>
          </w:tcPr>
          <w:p>
            <w:pPr>
              <w:spacing w:line="240" w:lineRule="auto"/>
              <w:ind w:firstLine="0" w:firstLineChars="0"/>
              <w:jc w:val="left"/>
              <w:rPr>
                <w:rFonts w:hint="default" w:ascii="等线" w:hAnsi="等线" w:cs="Times New Roman"/>
                <w:color w:val="auto"/>
                <w:kern w:val="2"/>
                <w:sz w:val="18"/>
                <w:szCs w:val="18"/>
                <w:highlight w:val="none"/>
                <w:lang w:val="en-US"/>
              </w:rPr>
            </w:pPr>
            <w:r>
              <w:rPr>
                <w:rFonts w:hint="eastAsia" w:cs="Times New Roman"/>
                <w:color w:val="auto"/>
                <w:kern w:val="2"/>
                <w:sz w:val="18"/>
                <w:szCs w:val="18"/>
                <w:highlight w:val="none"/>
                <w:lang w:val="en-US" w:eastAsia="zh-CN"/>
              </w:rPr>
              <w:t>绿化养护费</w:t>
            </w: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eastAsia" w:ascii="等线" w:hAnsi="等线" w:eastAsia="宋体" w:cs="Times New Roman"/>
                <w:color w:val="auto"/>
                <w:kern w:val="2"/>
                <w:sz w:val="18"/>
                <w:szCs w:val="18"/>
                <w:highlight w:val="none"/>
                <w:lang w:val="zh-CN" w:eastAsia="zh-CN"/>
              </w:rPr>
            </w:pPr>
            <w:r>
              <w:rPr>
                <w:rFonts w:ascii="宋体" w:hAnsi="宋体" w:eastAsia="宋体" w:cs="宋体"/>
                <w:color w:val="auto"/>
                <w:sz w:val="18"/>
                <w:szCs w:val="18"/>
                <w:highlight w:val="none"/>
              </w:rPr>
              <w:t>日常养护费 （绿化养护 费的 70%</w:t>
            </w:r>
            <w:r>
              <w:rPr>
                <w:rFonts w:hint="eastAsia" w:ascii="宋体" w:hAnsi="宋体" w:eastAsia="宋体" w:cs="宋体"/>
                <w:color w:val="auto"/>
                <w:sz w:val="18"/>
                <w:szCs w:val="18"/>
                <w:highlight w:val="none"/>
                <w:lang w:eastAsia="zh-CN"/>
              </w:rPr>
              <w:t>）</w:t>
            </w:r>
          </w:p>
        </w:tc>
        <w:tc>
          <w:tcPr>
            <w:tcW w:w="638" w:type="dxa"/>
            <w:tcBorders>
              <w:left w:val="single" w:color="auto" w:sz="4" w:space="0"/>
              <w:right w:val="single" w:color="auto" w:sz="4" w:space="0"/>
            </w:tcBorders>
            <w:noWrap w:val="0"/>
            <w:vAlign w:val="center"/>
          </w:tcPr>
          <w:p>
            <w:pPr>
              <w:spacing w:line="240" w:lineRule="auto"/>
              <w:jc w:val="center"/>
              <w:rPr>
                <w:rFonts w:ascii="宋体" w:hAnsi="宋体" w:eastAsia="宋体" w:cs="宋体"/>
                <w:color w:val="auto"/>
                <w:sz w:val="18"/>
                <w:szCs w:val="18"/>
                <w:highlight w:val="none"/>
              </w:rPr>
            </w:pPr>
            <w:r>
              <w:rPr>
                <w:rFonts w:hint="eastAsia" w:cs="Times New Roman"/>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ascii="宋体" w:hAnsi="宋体" w:eastAsia="宋体" w:cs="宋体"/>
                <w:color w:val="auto"/>
                <w:sz w:val="18"/>
                <w:szCs w:val="18"/>
                <w:highlight w:val="none"/>
              </w:rPr>
            </w:pPr>
            <w:r>
              <w:rPr>
                <w:rFonts w:hint="eastAsia" w:cs="Times New Roman"/>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default" w:ascii="等线" w:hAnsi="等线" w:eastAsia="宋体" w:cs="Times New Roman"/>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cs="Times New Roman"/>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trPr>
        <w:tc>
          <w:tcPr>
            <w:tcW w:w="600" w:type="dxa"/>
            <w:vMerge w:val="continue"/>
            <w:tcBorders>
              <w:left w:val="single" w:color="000000" w:sz="4" w:space="0"/>
              <w:right w:val="single" w:color="000000" w:sz="4" w:space="0"/>
            </w:tcBorders>
            <w:noWrap w:val="0"/>
            <w:vAlign w:val="center"/>
          </w:tcPr>
          <w:p>
            <w:pPr>
              <w:spacing w:line="240" w:lineRule="auto"/>
              <w:jc w:val="center"/>
              <w:rPr>
                <w:rFonts w:hint="eastAsia" w:cs="Times New Roman"/>
                <w:color w:val="auto"/>
                <w:kern w:val="2"/>
                <w:sz w:val="18"/>
                <w:szCs w:val="18"/>
                <w:highlight w:val="none"/>
                <w:lang w:val="en-US" w:eastAsia="zh-CN"/>
              </w:rPr>
            </w:pPr>
          </w:p>
        </w:tc>
        <w:tc>
          <w:tcPr>
            <w:tcW w:w="1239" w:type="dxa"/>
            <w:vMerge w:val="continue"/>
            <w:tcBorders>
              <w:left w:val="single" w:color="000000" w:sz="4" w:space="0"/>
              <w:right w:val="single" w:color="auto" w:sz="4" w:space="0"/>
            </w:tcBorders>
            <w:noWrap w:val="0"/>
            <w:vAlign w:val="center"/>
          </w:tcPr>
          <w:p>
            <w:pPr>
              <w:spacing w:line="240" w:lineRule="auto"/>
              <w:ind w:firstLine="0" w:firstLineChars="0"/>
              <w:jc w:val="left"/>
              <w:rPr>
                <w:rFonts w:hint="default" w:ascii="等线" w:hAnsi="等线" w:cs="Times New Roman"/>
                <w:color w:val="auto"/>
                <w:kern w:val="2"/>
                <w:sz w:val="18"/>
                <w:szCs w:val="18"/>
                <w:highlight w:val="none"/>
                <w:lang w:val="zh-CN" w:eastAsia="zh-CN"/>
              </w:rPr>
            </w:pP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default" w:ascii="等线" w:hAnsi="等线" w:cs="Times New Roman"/>
                <w:color w:val="auto"/>
                <w:kern w:val="2"/>
                <w:sz w:val="18"/>
                <w:szCs w:val="18"/>
                <w:highlight w:val="none"/>
                <w:lang w:val="zh-CN" w:eastAsia="zh-CN"/>
              </w:rPr>
            </w:pPr>
            <w:r>
              <w:rPr>
                <w:rFonts w:hint="eastAsia" w:ascii="宋体" w:hAnsi="宋体" w:eastAsia="宋体" w:cs="宋体"/>
                <w:color w:val="auto"/>
                <w:sz w:val="18"/>
                <w:szCs w:val="18"/>
                <w:highlight w:val="none"/>
                <w:lang w:val="en-US" w:eastAsia="zh-CN"/>
              </w:rPr>
              <w:t>更</w:t>
            </w:r>
            <w:r>
              <w:rPr>
                <w:rFonts w:ascii="宋体" w:hAnsi="宋体" w:eastAsia="宋体" w:cs="宋体"/>
                <w:color w:val="auto"/>
                <w:sz w:val="18"/>
                <w:szCs w:val="18"/>
                <w:highlight w:val="none"/>
              </w:rPr>
              <w:t>新改造费 （绿化养护 费的 30%）</w:t>
            </w:r>
          </w:p>
        </w:tc>
        <w:tc>
          <w:tcPr>
            <w:tcW w:w="638"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cs="Times New Roman"/>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cs="Times New Roman"/>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default" w:ascii="等线" w:hAnsi="等线" w:eastAsia="宋体" w:cs="Times New Roman"/>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cs="Times New Roman"/>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0" w:hRule="atLeast"/>
        </w:trPr>
        <w:tc>
          <w:tcPr>
            <w:tcW w:w="600" w:type="dxa"/>
            <w:tcBorders>
              <w:left w:val="single" w:color="000000" w:sz="4" w:space="0"/>
              <w:right w:val="single" w:color="000000" w:sz="4" w:space="0"/>
            </w:tcBorders>
            <w:noWrap w:val="0"/>
            <w:vAlign w:val="center"/>
          </w:tcPr>
          <w:p>
            <w:pPr>
              <w:spacing w:line="240" w:lineRule="auto"/>
              <w:jc w:val="center"/>
              <w:rPr>
                <w:rFonts w:hint="default"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2</w:t>
            </w:r>
          </w:p>
        </w:tc>
        <w:tc>
          <w:tcPr>
            <w:tcW w:w="4144" w:type="dxa"/>
            <w:gridSpan w:val="2"/>
            <w:tcBorders>
              <w:left w:val="single" w:color="000000"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auto"/>
                <w:sz w:val="18"/>
                <w:szCs w:val="18"/>
                <w:highlight w:val="none"/>
                <w:lang w:val="en-US" w:eastAsia="zh-CN"/>
              </w:rPr>
            </w:pPr>
            <w:r>
              <w:rPr>
                <w:rFonts w:hint="eastAsia" w:ascii="等线" w:hAnsi="等线" w:cs="Times New Roman"/>
                <w:color w:val="auto"/>
                <w:kern w:val="2"/>
                <w:sz w:val="18"/>
                <w:szCs w:val="18"/>
                <w:highlight w:val="none"/>
                <w:lang w:val="zh-CN" w:eastAsia="zh-CN"/>
              </w:rPr>
              <w:t>河道保洁费</w:t>
            </w:r>
          </w:p>
        </w:tc>
        <w:tc>
          <w:tcPr>
            <w:tcW w:w="638" w:type="dxa"/>
            <w:tcBorders>
              <w:left w:val="single" w:color="auto" w:sz="4" w:space="0"/>
              <w:right w:val="single" w:color="auto" w:sz="4" w:space="0"/>
            </w:tcBorders>
            <w:noWrap w:val="0"/>
            <w:vAlign w:val="center"/>
          </w:tcPr>
          <w:p>
            <w:pPr>
              <w:spacing w:line="240" w:lineRule="auto"/>
              <w:jc w:val="center"/>
              <w:rPr>
                <w:rFonts w:hint="eastAsia"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cs="Times New Roman"/>
                <w:color w:val="auto"/>
                <w:kern w:val="2"/>
                <w:sz w:val="18"/>
                <w:szCs w:val="18"/>
                <w:highlight w:val="none"/>
                <w:lang w:val="en-US" w:eastAsia="zh-CN"/>
              </w:rPr>
            </w:pPr>
            <w:r>
              <w:rPr>
                <w:rFonts w:hint="eastAsia" w:cs="Times New Roman"/>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default" w:ascii="等线" w:hAnsi="等线" w:eastAsia="宋体" w:cs="Times New Roman"/>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cs="Times New Roman"/>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80" w:firstLineChars="100"/>
              <w:jc w:val="left"/>
              <w:rPr>
                <w:rFonts w:ascii="等线" w:hAnsi="等线" w:cs="Times New Roman"/>
                <w:color w:val="auto"/>
                <w:kern w:val="2"/>
                <w:sz w:val="18"/>
                <w:szCs w:val="18"/>
                <w:highlight w:val="none"/>
                <w:lang w:val="zh-CN"/>
              </w:rPr>
            </w:pPr>
            <w:r>
              <w:rPr>
                <w:rFonts w:hint="eastAsia" w:ascii="等线" w:hAnsi="等线" w:cs="Times New Roman"/>
                <w:color w:val="auto"/>
                <w:kern w:val="2"/>
                <w:sz w:val="18"/>
                <w:szCs w:val="18"/>
                <w:highlight w:val="none"/>
                <w:lang w:val="zh-CN"/>
              </w:rPr>
              <w:t>费用</w:t>
            </w:r>
            <w:r>
              <w:rPr>
                <w:rFonts w:ascii="等线" w:hAnsi="等线" w:cs="Times New Roman"/>
                <w:color w:val="auto"/>
                <w:kern w:val="2"/>
                <w:sz w:val="18"/>
                <w:szCs w:val="18"/>
                <w:highlight w:val="none"/>
                <w:lang w:val="zh-CN"/>
              </w:rPr>
              <w:t>合计总价</w:t>
            </w:r>
            <w:r>
              <w:rPr>
                <w:rFonts w:hint="default" w:ascii="等线" w:hAnsi="等线" w:cs="Times New Roman"/>
                <w:color w:val="auto"/>
                <w:kern w:val="2"/>
                <w:sz w:val="18"/>
                <w:szCs w:val="18"/>
                <w:highlight w:val="none"/>
                <w:lang w:val="zh-CN"/>
              </w:rPr>
              <w:t>（1+2）</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小写</w:t>
            </w:r>
            <w:r>
              <w:rPr>
                <w:rFonts w:hint="eastAsia" w:cs="Times New Roman"/>
                <w:color w:val="auto"/>
                <w:kern w:val="2"/>
                <w:sz w:val="18"/>
                <w:szCs w:val="18"/>
                <w:highlight w:val="none"/>
                <w:lang w:val="zh-CN"/>
              </w:rPr>
              <w:t>（元）</w:t>
            </w:r>
          </w:p>
        </w:tc>
        <w:tc>
          <w:tcPr>
            <w:tcW w:w="7125"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r>
              <w:rPr>
                <w:rFonts w:ascii="等线" w:hAnsi="等线" w:cs="Times New Roman"/>
                <w:color w:val="auto"/>
                <w:kern w:val="2"/>
                <w:sz w:val="18"/>
                <w:szCs w:val="18"/>
                <w:highlight w:val="none"/>
                <w:lang w:val="zh-CN"/>
              </w:rPr>
              <w:t>大写</w:t>
            </w:r>
            <w:r>
              <w:rPr>
                <w:rFonts w:hint="eastAsia" w:cs="Times New Roman"/>
                <w:color w:val="auto"/>
                <w:kern w:val="2"/>
                <w:sz w:val="18"/>
                <w:szCs w:val="18"/>
                <w:highlight w:val="none"/>
                <w:lang w:val="zh-CN"/>
              </w:rPr>
              <w:t>（元）</w:t>
            </w:r>
          </w:p>
        </w:tc>
        <w:tc>
          <w:tcPr>
            <w:tcW w:w="7125" w:type="dxa"/>
            <w:tcBorders>
              <w:top w:val="single" w:color="auto" w:sz="4" w:space="0"/>
              <w:left w:val="single" w:color="000000" w:sz="4" w:space="0"/>
              <w:right w:val="single" w:color="000000" w:sz="4" w:space="0"/>
            </w:tcBorders>
            <w:noWrap w:val="0"/>
            <w:vAlign w:val="center"/>
          </w:tcPr>
          <w:p>
            <w:pPr>
              <w:spacing w:line="240" w:lineRule="auto"/>
              <w:jc w:val="left"/>
              <w:rPr>
                <w:rFonts w:ascii="等线" w:hAnsi="等线" w:cs="Times New Roman"/>
                <w:color w:val="auto"/>
                <w:kern w:val="2"/>
                <w:sz w:val="18"/>
                <w:szCs w:val="18"/>
                <w:highlight w:val="none"/>
                <w:lang w:val="zh-CN"/>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szCs w:val="22"/>
          <w:highlight w:val="none"/>
          <w:lang w:val="zh-CN"/>
        </w:rPr>
        <w:t>5、</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383"/>
        <w:snapToGrid w:val="0"/>
        <w:spacing w:before="120" w:after="120"/>
        <w:ind w:firstLine="0"/>
        <w:outlineLvl w:val="9"/>
        <w:rPr>
          <w:color w:val="auto"/>
          <w:highlight w:val="none"/>
        </w:rPr>
      </w:pP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独立投标：投标人名称</w:t>
      </w:r>
      <w:r>
        <w:rPr>
          <w:rFonts w:ascii="仿宋_GB2312" w:hAnsi="仿宋" w:eastAsia="仿宋_GB2312" w:cs="仿宋_GB2312"/>
          <w:color w:val="auto"/>
          <w:kern w:val="0"/>
          <w:sz w:val="24"/>
          <w:highlight w:val="none"/>
          <w:lang w:val="zh-CN"/>
        </w:rPr>
        <w:t>(电子签名)：</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或</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采用联合体投标：联合体牵头人名称</w:t>
      </w:r>
      <w:r>
        <w:rPr>
          <w:rFonts w:ascii="仿宋_GB2312" w:hAnsi="仿宋" w:eastAsia="仿宋_GB2312" w:cs="仿宋_GB2312"/>
          <w:color w:val="auto"/>
          <w:kern w:val="0"/>
          <w:sz w:val="24"/>
          <w:highlight w:val="none"/>
          <w:lang w:val="zh-CN"/>
        </w:rPr>
        <w:t>(电子签名</w:t>
      </w:r>
      <w:r>
        <w:rPr>
          <w:rFonts w:hint="eastAsia" w:ascii="仿宋_GB2312" w:hAnsi="仿宋" w:eastAsia="仿宋_GB2312" w:cs="仿宋_GB2312"/>
          <w:color w:val="auto"/>
          <w:kern w:val="0"/>
          <w:sz w:val="24"/>
          <w:highlight w:val="none"/>
          <w:lang w:val="zh-CN"/>
        </w:rPr>
        <w:t>/盖章</w:t>
      </w:r>
      <w:r>
        <w:rPr>
          <w:rFonts w:ascii="仿宋_GB2312" w:hAnsi="仿宋" w:eastAsia="仿宋_GB2312" w:cs="仿宋_GB2312"/>
          <w:color w:val="auto"/>
          <w:kern w:val="0"/>
          <w:sz w:val="24"/>
          <w:highlight w:val="none"/>
          <w:lang w:val="zh-CN"/>
        </w:rPr>
        <w:t>)：</w:t>
      </w:r>
    </w:p>
    <w:p>
      <w:pPr>
        <w:pStyle w:val="383"/>
        <w:snapToGrid w:val="0"/>
        <w:spacing w:before="120" w:after="120"/>
        <w:ind w:firstLine="0"/>
        <w:jc w:val="right"/>
        <w:outlineLvl w:val="9"/>
        <w:rPr>
          <w:color w:val="auto"/>
          <w:highlight w:val="none"/>
        </w:rPr>
        <w:sectPr>
          <w:pgSz w:w="16838" w:h="11906" w:orient="landscape"/>
          <w:pgMar w:top="1418" w:right="1247" w:bottom="1418" w:left="1276" w:header="851" w:footer="992" w:gutter="0"/>
          <w:cols w:space="720" w:num="1"/>
          <w:titlePg/>
          <w:docGrid w:linePitch="312" w:charSpace="0"/>
        </w:sectPr>
      </w:pPr>
      <w:r>
        <w:rPr>
          <w:rFonts w:ascii="仿宋_GB2312" w:hAnsi="仿宋" w:eastAsia="仿宋_GB2312" w:cs="仿宋_GB2312"/>
          <w:color w:val="auto"/>
          <w:sz w:val="24"/>
          <w:highlight w:val="none"/>
        </w:rPr>
        <w:t xml:space="preserve">   日期：  年   月 </w:t>
      </w:r>
    </w:p>
    <w:p>
      <w:pPr>
        <w:pStyle w:val="82"/>
        <w:numPr>
          <w:ilvl w:val="0"/>
          <w:numId w:val="6"/>
        </w:numPr>
        <w:ind w:left="0" w:leftChars="0" w:firstLine="0" w:firstLineChars="0"/>
        <w:jc w:val="center"/>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河道保洁报价明细清单1</w:t>
      </w:r>
    </w:p>
    <w:tbl>
      <w:tblPr>
        <w:tblStyle w:val="64"/>
        <w:tblW w:w="13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8"/>
        <w:gridCol w:w="1481"/>
        <w:gridCol w:w="1515"/>
        <w:gridCol w:w="1642"/>
        <w:gridCol w:w="1021"/>
        <w:gridCol w:w="1408"/>
        <w:gridCol w:w="1381"/>
        <w:gridCol w:w="1381"/>
        <w:gridCol w:w="1381"/>
        <w:gridCol w:w="1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3" w:hRule="atLeast"/>
          <w:jc w:val="center"/>
        </w:trPr>
        <w:tc>
          <w:tcPr>
            <w:tcW w:w="808"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481"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515"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起点</w:t>
            </w:r>
          </w:p>
        </w:tc>
        <w:tc>
          <w:tcPr>
            <w:tcW w:w="1642"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终点</w:t>
            </w:r>
          </w:p>
        </w:tc>
        <w:tc>
          <w:tcPr>
            <w:tcW w:w="1021"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长度（m）</w:t>
            </w:r>
          </w:p>
        </w:tc>
        <w:tc>
          <w:tcPr>
            <w:tcW w:w="1408"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宽度（以常水位计，m）</w:t>
            </w:r>
          </w:p>
        </w:tc>
        <w:tc>
          <w:tcPr>
            <w:tcW w:w="1381"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面积(㎡)</w:t>
            </w:r>
          </w:p>
        </w:tc>
        <w:tc>
          <w:tcPr>
            <w:tcW w:w="1381"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综合单价</w:t>
            </w:r>
          </w:p>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（元/平方米·年）</w:t>
            </w:r>
          </w:p>
        </w:tc>
        <w:tc>
          <w:tcPr>
            <w:tcW w:w="1381"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2年</w:t>
            </w:r>
            <w:r>
              <w:rPr>
                <w:rFonts w:hint="eastAsia" w:ascii="宋体" w:hAnsi="宋体" w:cs="宋体"/>
                <w:color w:val="auto"/>
                <w:szCs w:val="21"/>
                <w:highlight w:val="none"/>
              </w:rPr>
              <w:t>合价（元）</w:t>
            </w:r>
          </w:p>
        </w:tc>
        <w:tc>
          <w:tcPr>
            <w:tcW w:w="1381" w:type="dxa"/>
            <w:noWrap w:val="0"/>
            <w:tcMar>
              <w:top w:w="15" w:type="dxa"/>
              <w:left w:w="15" w:type="dxa"/>
              <w:right w:w="15" w:type="dxa"/>
            </w:tcMar>
            <w:vAlign w:val="center"/>
          </w:tcPr>
          <w:p>
            <w:pPr>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3073</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67534.99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2</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朱庙港</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1196</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125765.50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3</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汪桥港</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2252</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43455.89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4</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800</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30</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23037.14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5</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2480</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28</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46063.25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6</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2371</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35</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 xml:space="preserve">76061.23 </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808" w:type="dxa"/>
            <w:noWrap w:val="0"/>
            <w:tcMar>
              <w:top w:w="15" w:type="dxa"/>
              <w:left w:w="15" w:type="dxa"/>
              <w:right w:w="15" w:type="dxa"/>
            </w:tcMar>
            <w:vAlign w:val="center"/>
          </w:tcPr>
          <w:p>
            <w:pPr>
              <w:jc w:val="center"/>
              <w:rPr>
                <w:rFonts w:hint="eastAsia" w:ascii="宋体" w:hAnsi="宋体" w:cs="宋体"/>
                <w:szCs w:val="21"/>
                <w:highlight w:val="none"/>
              </w:rPr>
            </w:pPr>
            <w:r>
              <w:rPr>
                <w:rFonts w:hint="eastAsia" w:ascii="宋体" w:hAnsi="宋体" w:cs="宋体"/>
                <w:szCs w:val="21"/>
                <w:highlight w:val="none"/>
              </w:rPr>
              <w:t>7</w:t>
            </w:r>
          </w:p>
        </w:tc>
        <w:tc>
          <w:tcPr>
            <w:tcW w:w="14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515"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642"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102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1548</w:t>
            </w:r>
          </w:p>
        </w:tc>
        <w:tc>
          <w:tcPr>
            <w:tcW w:w="1408"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40</w:t>
            </w:r>
          </w:p>
        </w:tc>
        <w:tc>
          <w:tcPr>
            <w:tcW w:w="138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49916</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 w:hRule="atLeast"/>
          <w:jc w:val="center"/>
        </w:trPr>
        <w:tc>
          <w:tcPr>
            <w:tcW w:w="9256" w:type="dxa"/>
            <w:gridSpan w:val="7"/>
            <w:noWrap w:val="0"/>
            <w:tcMar>
              <w:top w:w="15" w:type="dxa"/>
              <w:left w:w="15" w:type="dxa"/>
              <w:right w:w="15" w:type="dxa"/>
            </w:tcMar>
            <w:vAlign w:val="center"/>
          </w:tcPr>
          <w:p>
            <w:pPr>
              <w:widowControl/>
              <w:spacing w:beforeLines="0" w:afterLines="0"/>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r>
              <w:rPr>
                <w:rFonts w:hint="default" w:ascii="宋体" w:hAnsi="宋体" w:eastAsia="宋体" w:cs="宋体"/>
                <w:color w:val="auto"/>
                <w:kern w:val="0"/>
                <w:sz w:val="20"/>
                <w:szCs w:val="20"/>
                <w:highlight w:val="none"/>
                <w:lang w:val="en-US" w:eastAsia="zh-CN"/>
              </w:rPr>
              <w:t>二年总计投标报价（小写）</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 w:hRule="atLeast"/>
          <w:jc w:val="center"/>
        </w:trPr>
        <w:tc>
          <w:tcPr>
            <w:tcW w:w="9256" w:type="dxa"/>
            <w:gridSpan w:val="7"/>
            <w:noWrap w:val="0"/>
            <w:tcMar>
              <w:top w:w="15" w:type="dxa"/>
              <w:left w:w="15" w:type="dxa"/>
              <w:right w:w="15" w:type="dxa"/>
            </w:tcMar>
            <w:vAlign w:val="center"/>
          </w:tcPr>
          <w:p>
            <w:pPr>
              <w:widowControl/>
              <w:spacing w:beforeLines="0" w:afterLines="0"/>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r>
              <w:rPr>
                <w:rFonts w:hint="default" w:ascii="宋体" w:hAnsi="宋体" w:eastAsia="宋体" w:cs="宋体"/>
                <w:color w:val="auto"/>
                <w:kern w:val="0"/>
                <w:sz w:val="20"/>
                <w:szCs w:val="20"/>
                <w:highlight w:val="none"/>
                <w:lang w:val="en-US" w:eastAsia="zh-CN"/>
              </w:rPr>
              <w:t>二年总计投标报价（</w:t>
            </w:r>
            <w:r>
              <w:rPr>
                <w:rFonts w:hint="eastAsia" w:ascii="宋体" w:hAnsi="宋体" w:eastAsia="宋体" w:cs="宋体"/>
                <w:color w:val="auto"/>
                <w:kern w:val="0"/>
                <w:sz w:val="20"/>
                <w:szCs w:val="20"/>
                <w:highlight w:val="none"/>
                <w:lang w:val="en-US" w:eastAsia="zh-CN"/>
              </w:rPr>
              <w:t>大</w:t>
            </w:r>
            <w:r>
              <w:rPr>
                <w:rFonts w:hint="default" w:ascii="宋体" w:hAnsi="宋体" w:eastAsia="宋体" w:cs="宋体"/>
                <w:color w:val="auto"/>
                <w:kern w:val="0"/>
                <w:sz w:val="20"/>
                <w:szCs w:val="20"/>
                <w:highlight w:val="none"/>
                <w:lang w:val="en-US" w:eastAsia="zh-CN"/>
              </w:rPr>
              <w:t>写）</w:t>
            </w: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381" w:type="dxa"/>
            <w:noWrap w:val="0"/>
            <w:tcMar>
              <w:top w:w="15" w:type="dxa"/>
              <w:left w:w="15" w:type="dxa"/>
              <w:right w:w="15" w:type="dxa"/>
            </w:tcMar>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bl>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jc w:val="center"/>
        <w:rPr>
          <w:rFonts w:hint="eastAsia" w:ascii="仿宋_GB2312" w:hAnsi="仿宋" w:eastAsia="仿宋_GB2312" w:cs="仿宋_GB2312"/>
          <w:color w:val="auto"/>
          <w:sz w:val="24"/>
          <w:highlight w:val="none"/>
          <w:lang w:val="en-US" w:eastAsia="zh-CN"/>
        </w:rPr>
      </w:pPr>
    </w:p>
    <w:p>
      <w:pPr>
        <w:pStyle w:val="82"/>
        <w:numPr>
          <w:ilvl w:val="0"/>
          <w:numId w:val="0"/>
        </w:numPr>
        <w:ind w:firstLine="5760" w:firstLineChars="2400"/>
        <w:jc w:val="both"/>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（三）绿化养护报价明细清单2</w:t>
      </w:r>
    </w:p>
    <w:p>
      <w:pPr>
        <w:pStyle w:val="82"/>
        <w:numPr>
          <w:ilvl w:val="0"/>
          <w:numId w:val="0"/>
        </w:numPr>
        <w:jc w:val="center"/>
        <w:rPr>
          <w:rFonts w:hint="default" w:ascii="仿宋_GB2312" w:hAnsi="仿宋" w:eastAsia="仿宋_GB2312" w:cs="仿宋_GB2312"/>
          <w:color w:val="auto"/>
          <w:sz w:val="24"/>
          <w:highlight w:val="none"/>
          <w:lang w:val="en-US" w:eastAsia="zh-CN"/>
        </w:rPr>
      </w:pPr>
    </w:p>
    <w:tbl>
      <w:tblPr>
        <w:tblStyle w:val="64"/>
        <w:tblW w:w="14358"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2"/>
        <w:gridCol w:w="2087"/>
        <w:gridCol w:w="1575"/>
        <w:gridCol w:w="1388"/>
        <w:gridCol w:w="1837"/>
        <w:gridCol w:w="1528"/>
        <w:gridCol w:w="1500"/>
        <w:gridCol w:w="1170"/>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highlight w:val="none"/>
                <w:u w:val="none"/>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范围</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highlight w:val="none"/>
                <w:u w:val="none"/>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起点</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highlight w:val="none"/>
                <w:u w:val="none"/>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终点</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highlight w:val="none"/>
                <w:u w:val="none"/>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绿化等级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kern w:val="0"/>
                <w:sz w:val="24"/>
                <w:szCs w:val="24"/>
                <w:highlight w:val="none"/>
                <w:u w:val="none"/>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面积</w:t>
            </w:r>
            <w:r>
              <w:rPr>
                <w:rFonts w:hint="eastAsia" w:ascii="CESI仿宋-GB13000" w:hAnsi="CESI仿宋-GB13000" w:eastAsia="CESI仿宋-GB13000" w:cs="CESI仿宋-GB13000"/>
                <w:i w:val="0"/>
                <w:color w:val="000000"/>
                <w:spacing w:val="-6"/>
                <w:kern w:val="0"/>
                <w:sz w:val="24"/>
                <w:szCs w:val="24"/>
                <w:highlight w:val="none"/>
                <w:u w:val="none"/>
                <w:lang w:val="en-US" w:eastAsia="zh-CN"/>
              </w:rPr>
              <w:br w:type="textWrapping"/>
            </w:r>
            <w:r>
              <w:rPr>
                <w:rFonts w:hint="eastAsia" w:ascii="CESI仿宋-GB13000" w:hAnsi="CESI仿宋-GB13000" w:eastAsia="CESI仿宋-GB13000" w:cs="CESI仿宋-GB13000"/>
                <w:i w:val="0"/>
                <w:color w:val="000000"/>
                <w:spacing w:val="-6"/>
                <w:kern w:val="0"/>
                <w:sz w:val="24"/>
                <w:szCs w:val="24"/>
                <w:highlight w:val="none"/>
                <w:u w:val="none"/>
                <w:lang w:val="en-US" w:eastAsia="zh-CN"/>
              </w:rPr>
              <w:t>（平方米）</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spacing w:val="-6"/>
                <w:kern w:val="0"/>
                <w:sz w:val="24"/>
                <w:szCs w:val="24"/>
                <w:highlight w:val="none"/>
                <w:u w:val="none"/>
                <w:lang w:val="en-US" w:eastAsia="zh-CN"/>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综合单项最高限价（元/平方米·年）</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spacing w:val="-6"/>
                <w:kern w:val="0"/>
                <w:sz w:val="24"/>
                <w:szCs w:val="24"/>
                <w:highlight w:val="none"/>
                <w:u w:val="none"/>
                <w:lang w:val="en-US" w:eastAsia="zh-CN"/>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综合单价</w:t>
            </w:r>
          </w:p>
          <w:p>
            <w:pPr>
              <w:widowControl/>
              <w:jc w:val="center"/>
              <w:textAlignment w:val="center"/>
              <w:rPr>
                <w:rFonts w:hint="eastAsia" w:ascii="CESI仿宋-GB13000" w:hAnsi="CESI仿宋-GB13000" w:eastAsia="CESI仿宋-GB13000" w:cs="CESI仿宋-GB13000"/>
                <w:i w:val="0"/>
                <w:color w:val="000000"/>
                <w:spacing w:val="-6"/>
                <w:kern w:val="0"/>
                <w:sz w:val="24"/>
                <w:szCs w:val="24"/>
                <w:highlight w:val="none"/>
                <w:u w:val="none"/>
                <w:lang w:val="en-US" w:eastAsia="zh-CN"/>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（元/平方米·年）</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spacing w:val="-6"/>
                <w:kern w:val="0"/>
                <w:sz w:val="24"/>
                <w:szCs w:val="24"/>
                <w:highlight w:val="none"/>
                <w:u w:val="none"/>
                <w:lang w:val="en-US" w:eastAsia="zh-CN"/>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2年合价（元）</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000000"/>
                <w:spacing w:val="-6"/>
                <w:kern w:val="0"/>
                <w:sz w:val="24"/>
                <w:szCs w:val="24"/>
                <w:highlight w:val="none"/>
                <w:u w:val="none"/>
                <w:lang w:val="en-US" w:eastAsia="zh-CN"/>
              </w:rPr>
            </w:pPr>
            <w:r>
              <w:rPr>
                <w:rFonts w:hint="eastAsia" w:ascii="CESI仿宋-GB13000" w:hAnsi="CESI仿宋-GB13000" w:eastAsia="CESI仿宋-GB13000" w:cs="CESI仿宋-GB13000"/>
                <w:i w:val="0"/>
                <w:color w:val="000000"/>
                <w:spacing w:val="-6"/>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东西大道</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94809.30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红卫港支流</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文一西路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28372.28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朱庙港</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红卫港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92787.15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何过港</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上仓路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舒心路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36731.62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汪桥港</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56803.11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余杭塘河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文二西路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254938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闲林港支流</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闲林港</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创明路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二级</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SA"/>
              </w:rPr>
              <w:t>63558.54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4"/>
                <w:szCs w:val="24"/>
                <w:u w:val="none"/>
                <w:lang w:val="en-US" w:eastAsia="zh-CN" w:bidi="ar-SA"/>
              </w:rPr>
            </w:pPr>
            <w:r>
              <w:rPr>
                <w:rFonts w:hint="eastAsia" w:ascii="宋体" w:hAnsi="宋体" w:cs="宋体"/>
                <w:i w:val="0"/>
                <w:color w:val="000000"/>
                <w:spacing w:val="-6"/>
                <w:kern w:val="0"/>
                <w:sz w:val="24"/>
                <w:szCs w:val="24"/>
                <w:u w:val="none"/>
                <w:lang w:val="en-US" w:eastAsia="zh-CN" w:bidi="ar-SA"/>
              </w:rPr>
              <w:t>10.03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52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r>
              <w:rPr>
                <w:rFonts w:hint="default" w:ascii="宋体" w:hAnsi="宋体" w:eastAsia="宋体" w:cs="宋体"/>
                <w:color w:val="auto"/>
                <w:kern w:val="0"/>
                <w:sz w:val="20"/>
                <w:szCs w:val="20"/>
                <w:highlight w:val="none"/>
                <w:lang w:val="en-US" w:eastAsia="zh-CN"/>
              </w:rPr>
              <w:t>二年总计投标报价（小写）</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52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r>
              <w:rPr>
                <w:rFonts w:hint="default" w:ascii="宋体" w:hAnsi="宋体" w:eastAsia="宋体" w:cs="宋体"/>
                <w:color w:val="auto"/>
                <w:kern w:val="0"/>
                <w:sz w:val="20"/>
                <w:szCs w:val="20"/>
                <w:highlight w:val="none"/>
                <w:lang w:val="en-US" w:eastAsia="zh-CN"/>
              </w:rPr>
              <w:t>二年总计投标报价（</w:t>
            </w:r>
            <w:r>
              <w:rPr>
                <w:rFonts w:hint="eastAsia" w:ascii="宋体" w:hAnsi="宋体" w:eastAsia="宋体" w:cs="宋体"/>
                <w:color w:val="auto"/>
                <w:kern w:val="0"/>
                <w:sz w:val="20"/>
                <w:szCs w:val="20"/>
                <w:highlight w:val="none"/>
                <w:lang w:val="en-US" w:eastAsia="zh-CN"/>
              </w:rPr>
              <w:t>大</w:t>
            </w:r>
            <w:r>
              <w:rPr>
                <w:rFonts w:hint="default" w:ascii="宋体" w:hAnsi="宋体" w:eastAsia="宋体" w:cs="宋体"/>
                <w:color w:val="auto"/>
                <w:kern w:val="0"/>
                <w:sz w:val="20"/>
                <w:szCs w:val="20"/>
                <w:highlight w:val="none"/>
                <w:lang w:val="en-US" w:eastAsia="zh-CN"/>
              </w:rPr>
              <w:t>写）</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ESI仿宋-GB13000" w:hAnsi="CESI仿宋-GB13000" w:eastAsia="CESI仿宋-GB13000" w:cs="CESI仿宋-GB13000"/>
                <w:i w:val="0"/>
                <w:color w:val="FF0000"/>
                <w:spacing w:val="-6"/>
                <w:kern w:val="0"/>
                <w:sz w:val="24"/>
                <w:szCs w:val="24"/>
                <w:highlight w:val="none"/>
                <w:u w:val="none"/>
                <w:lang w:val="en-US" w:eastAsia="zh-CN"/>
              </w:rPr>
            </w:pPr>
          </w:p>
        </w:tc>
      </w:tr>
    </w:tbl>
    <w:p>
      <w:pPr>
        <w:pStyle w:val="82"/>
        <w:numPr>
          <w:ilvl w:val="0"/>
          <w:numId w:val="0"/>
        </w:numPr>
        <w:jc w:val="center"/>
        <w:rPr>
          <w:rFonts w:hint="eastAsia" w:ascii="仿宋_GB2312" w:hAnsi="仿宋" w:eastAsia="仿宋_GB2312" w:cs="仿宋_GB2312"/>
          <w:color w:val="auto"/>
          <w:sz w:val="24"/>
          <w:highlight w:val="none"/>
          <w:lang w:val="zh-CN" w:eastAsia="zh-CN"/>
        </w:rPr>
      </w:pPr>
    </w:p>
    <w:p>
      <w:pPr>
        <w:pStyle w:val="82"/>
        <w:numPr>
          <w:ilvl w:val="0"/>
          <w:numId w:val="0"/>
        </w:numPr>
        <w:jc w:val="center"/>
        <w:rPr>
          <w:rFonts w:hint="eastAsia" w:ascii="仿宋_GB2312" w:hAnsi="仿宋" w:eastAsia="仿宋_GB2312" w:cs="仿宋_GB2312"/>
          <w:color w:val="auto"/>
          <w:sz w:val="24"/>
          <w:highlight w:val="none"/>
          <w:lang w:val="zh-CN" w:eastAsia="zh-CN"/>
        </w:rPr>
      </w:pP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独立投标：投标人名称</w:t>
      </w:r>
      <w:r>
        <w:rPr>
          <w:rFonts w:ascii="仿宋_GB2312" w:hAnsi="仿宋" w:eastAsia="仿宋_GB2312" w:cs="仿宋_GB2312"/>
          <w:color w:val="auto"/>
          <w:kern w:val="0"/>
          <w:sz w:val="24"/>
          <w:highlight w:val="none"/>
          <w:lang w:val="zh-CN"/>
        </w:rPr>
        <w:t>(电子签名)：</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或</w:t>
      </w:r>
    </w:p>
    <w:p>
      <w:pPr>
        <w:snapToGrid w:val="0"/>
        <w:spacing w:line="360" w:lineRule="auto"/>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采用联合体投标：联合体牵头人名称</w:t>
      </w:r>
      <w:r>
        <w:rPr>
          <w:rFonts w:ascii="仿宋_GB2312" w:hAnsi="仿宋" w:eastAsia="仿宋_GB2312" w:cs="仿宋_GB2312"/>
          <w:color w:val="auto"/>
          <w:kern w:val="0"/>
          <w:sz w:val="24"/>
          <w:highlight w:val="none"/>
          <w:lang w:val="zh-CN"/>
        </w:rPr>
        <w:t>(电子签名</w:t>
      </w:r>
      <w:r>
        <w:rPr>
          <w:rFonts w:hint="eastAsia" w:ascii="仿宋_GB2312" w:hAnsi="仿宋" w:eastAsia="仿宋_GB2312" w:cs="仿宋_GB2312"/>
          <w:color w:val="auto"/>
          <w:kern w:val="0"/>
          <w:sz w:val="24"/>
          <w:highlight w:val="none"/>
          <w:lang w:val="zh-CN"/>
        </w:rPr>
        <w:t>/盖章</w:t>
      </w:r>
      <w:r>
        <w:rPr>
          <w:rFonts w:ascii="仿宋_GB2312" w:hAnsi="仿宋" w:eastAsia="仿宋_GB2312" w:cs="仿宋_GB2312"/>
          <w:color w:val="auto"/>
          <w:kern w:val="0"/>
          <w:sz w:val="24"/>
          <w:highlight w:val="none"/>
          <w:lang w:val="zh-CN"/>
        </w:rPr>
        <w:t>)：</w:t>
      </w:r>
    </w:p>
    <w:p>
      <w:pPr>
        <w:pStyle w:val="383"/>
        <w:wordWrap w:val="0"/>
        <w:snapToGrid w:val="0"/>
        <w:spacing w:before="120" w:after="120"/>
        <w:ind w:firstLine="0"/>
        <w:jc w:val="right"/>
        <w:outlineLvl w:val="9"/>
        <w:rPr>
          <w:rFonts w:hint="default" w:ascii="仿宋_GB2312" w:hAnsi="仿宋" w:eastAsia="仿宋_GB2312" w:cs="仿宋_GB2312"/>
          <w:color w:val="auto"/>
          <w:kern w:val="2"/>
          <w:sz w:val="32"/>
          <w:szCs w:val="32"/>
          <w:highlight w:val="none"/>
          <w:lang w:val="en-US" w:eastAsia="zh-CN"/>
        </w:rPr>
        <w:sectPr>
          <w:pgSz w:w="16838" w:h="11906" w:orient="landscape"/>
          <w:pgMar w:top="1418" w:right="1247" w:bottom="1418" w:left="1276" w:header="851" w:footer="992" w:gutter="0"/>
          <w:cols w:space="720" w:num="1"/>
          <w:titlePg/>
          <w:docGrid w:linePitch="312" w:charSpace="0"/>
        </w:sectPr>
      </w:pPr>
      <w:r>
        <w:rPr>
          <w:rFonts w:ascii="仿宋_GB2312" w:hAnsi="仿宋" w:eastAsia="仿宋_GB2312" w:cs="仿宋_GB2312"/>
          <w:color w:val="auto"/>
          <w:sz w:val="24"/>
          <w:highlight w:val="none"/>
        </w:rPr>
        <w:t xml:space="preserve">   日期：  年   月   日</w:t>
      </w:r>
      <w:r>
        <w:rPr>
          <w:rFonts w:hint="eastAsia" w:ascii="仿宋_GB2312" w:hAnsi="仿宋" w:eastAsia="仿宋_GB2312" w:cs="仿宋_GB2312"/>
          <w:color w:val="auto"/>
          <w:sz w:val="24"/>
          <w:highlight w:val="none"/>
          <w:lang w:val="en-US" w:eastAsia="zh-CN"/>
        </w:rPr>
        <w:t xml:space="preserve">  </w:t>
      </w:r>
    </w:p>
    <w:p>
      <w:pPr>
        <w:pStyle w:val="381"/>
        <w:tabs>
          <w:tab w:val="clear" w:pos="720"/>
        </w:tabs>
        <w:snapToGrid w:val="0"/>
        <w:spacing w:before="120" w:after="120"/>
        <w:ind w:firstLine="3534" w:firstLineChars="1100"/>
        <w:jc w:val="both"/>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　政府采购信用融资操作流程：</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pStyle w:val="6"/>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（三）杭州e融平台申请融资</w:t>
      </w:r>
    </w:p>
    <w:p>
      <w:pPr>
        <w:pStyle w:val="6"/>
        <w:numPr>
          <w:ilvl w:val="0"/>
          <w:numId w:val="0"/>
        </w:numPr>
        <w:ind w:firstLine="960" w:firstLineChars="400"/>
        <w:rPr>
          <w:rFonts w:ascii="仿宋" w:eastAsia="仿宋"/>
          <w:b w:val="0"/>
          <w:bCs w:val="0"/>
          <w:color w:val="auto"/>
          <w:sz w:val="24"/>
          <w:szCs w:val="24"/>
          <w:highlight w:val="none"/>
          <w:lang w:val="en-US"/>
        </w:rPr>
      </w:pPr>
      <w:r>
        <w:rPr>
          <w:rFonts w:hint="eastAsia" w:ascii="仿宋" w:eastAsia="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ascii="仿宋_GB2312" w:hAnsi="仿宋" w:eastAsia="仿宋_GB2312"/>
          <w:color w:val="auto"/>
          <w:highlight w:val="none"/>
        </w:rPr>
      </w:pPr>
      <w:bookmarkStart w:id="394" w:name="_Toc465665161"/>
      <w:r>
        <w:rPr>
          <w:rFonts w:hint="eastAsia" w:ascii="仿宋_GB2312" w:hAnsi="仿宋" w:eastAsia="仿宋_GB2312"/>
          <w:color w:val="auto"/>
          <w:highlight w:val="none"/>
        </w:rPr>
        <w:t>附件</w:t>
      </w:r>
      <w:bookmarkEnd w:id="394"/>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395" w:name="OLE_LINK14"/>
      <w:bookmarkStart w:id="396" w:name="OLE_LINK13"/>
      <w:r>
        <w:rPr>
          <w:rFonts w:hint="eastAsia" w:ascii="仿宋_GB2312" w:hAnsi="仿宋" w:eastAsia="仿宋_GB2312"/>
          <w:b/>
          <w:color w:val="auto"/>
          <w:spacing w:val="6"/>
          <w:sz w:val="32"/>
          <w:szCs w:val="32"/>
          <w:highlight w:val="none"/>
        </w:rPr>
        <w:t>残疾人福利性单位声明函</w:t>
      </w:r>
    </w:p>
    <w:bookmarkEnd w:id="395"/>
    <w:bookmarkEnd w:id="396"/>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【招标编号：（采购编号）</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cs="Times New Roman"/>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仿宋" w:hAnsi="仿宋" w:eastAsia="仿宋" w:cs="Times New Roman"/>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hint="eastAsia"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（项目名称）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color w:val="auto"/>
          <w:highlight w:val="none"/>
          <w:lang w:val="en-US"/>
        </w:rPr>
      </w:pPr>
    </w:p>
    <w:p>
      <w:pPr>
        <w:spacing w:line="360" w:lineRule="auto"/>
        <w:ind w:right="420"/>
        <w:rPr>
          <w:color w:val="auto"/>
          <w:highlight w:val="none"/>
        </w:rPr>
      </w:pPr>
    </w:p>
    <w:p>
      <w:pPr>
        <w:spacing w:line="360" w:lineRule="auto"/>
        <w:rPr>
          <w:rFonts w:ascii="仿宋" w:hAnsi="仿宋" w:eastAsia="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CESI仿宋-GB13000">
    <w:altName w:val="仿宋"/>
    <w:panose1 w:val="02000500000000000000"/>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164085800"/>
    <w:bookmarkStart w:id="398" w:name="_Toc91899912"/>
    <w:bookmarkStart w:id="399" w:name="_Toc131845147"/>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70039"/>
    <w:multiLevelType w:val="singleLevel"/>
    <w:tmpl w:val="A9E70039"/>
    <w:lvl w:ilvl="0" w:tentative="0">
      <w:start w:val="1"/>
      <w:numFmt w:val="decimal"/>
      <w:lvlText w:val="%1."/>
      <w:lvlJc w:val="left"/>
      <w:pPr>
        <w:tabs>
          <w:tab w:val="left" w:pos="312"/>
        </w:tabs>
        <w:ind w:left="360" w:leftChars="0" w:firstLine="0" w:firstLineChars="0"/>
      </w:pPr>
    </w:lvl>
  </w:abstractNum>
  <w:abstractNum w:abstractNumId="1">
    <w:nsid w:val="F59D58E8"/>
    <w:multiLevelType w:val="singleLevel"/>
    <w:tmpl w:val="F59D58E8"/>
    <w:lvl w:ilvl="0" w:tentative="0">
      <w:start w:val="1"/>
      <w:numFmt w:val="decimal"/>
      <w:suff w:val="nothing"/>
      <w:lvlText w:val="（%1）"/>
      <w:lvlJc w:val="left"/>
    </w:lvl>
  </w:abstractNum>
  <w:abstractNum w:abstractNumId="2">
    <w:nsid w:val="0D0B90BE"/>
    <w:multiLevelType w:val="singleLevel"/>
    <w:tmpl w:val="0D0B90BE"/>
    <w:lvl w:ilvl="0" w:tentative="0">
      <w:start w:val="1"/>
      <w:numFmt w:val="chineseCounting"/>
      <w:suff w:val="space"/>
      <w:lvlText w:val="第%1部分"/>
      <w:lvlJc w:val="left"/>
      <w:rPr>
        <w:rFonts w:hint="eastAsia"/>
      </w:rPr>
    </w:lvl>
  </w:abstractNum>
  <w:abstractNum w:abstractNumId="3">
    <w:nsid w:val="601AB719"/>
    <w:multiLevelType w:val="singleLevel"/>
    <w:tmpl w:val="601AB719"/>
    <w:lvl w:ilvl="0" w:tentative="0">
      <w:start w:val="2"/>
      <w:numFmt w:val="decimal"/>
      <w:suff w:val="nothing"/>
      <w:lvlText w:val="%1、"/>
      <w:lvlJc w:val="left"/>
    </w:lvl>
  </w:abstractNum>
  <w:abstractNum w:abstractNumId="4">
    <w:nsid w:val="63F824D2"/>
    <w:multiLevelType w:val="singleLevel"/>
    <w:tmpl w:val="63F824D2"/>
    <w:lvl w:ilvl="0" w:tentative="0">
      <w:start w:val="3"/>
      <w:numFmt w:val="chineseCounting"/>
      <w:suff w:val="space"/>
      <w:lvlText w:val="第%1部分"/>
      <w:lvlJc w:val="left"/>
      <w:rPr>
        <w:rFonts w:hint="eastAsia"/>
      </w:rPr>
    </w:lvl>
  </w:abstractNum>
  <w:abstractNum w:abstractNumId="5">
    <w:nsid w:val="7AC06AF6"/>
    <w:multiLevelType w:val="singleLevel"/>
    <w:tmpl w:val="7AC06AF6"/>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3A9E"/>
    <w:rsid w:val="01236AFB"/>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2F0852"/>
    <w:rsid w:val="036634D2"/>
    <w:rsid w:val="03C805AD"/>
    <w:rsid w:val="03DD35E4"/>
    <w:rsid w:val="04076900"/>
    <w:rsid w:val="041A5A3B"/>
    <w:rsid w:val="042311BA"/>
    <w:rsid w:val="042B157A"/>
    <w:rsid w:val="04313EA2"/>
    <w:rsid w:val="048F763B"/>
    <w:rsid w:val="049F330E"/>
    <w:rsid w:val="04AA775C"/>
    <w:rsid w:val="04AF1889"/>
    <w:rsid w:val="04F66F48"/>
    <w:rsid w:val="05251E14"/>
    <w:rsid w:val="05344FF1"/>
    <w:rsid w:val="05620EF4"/>
    <w:rsid w:val="05A16594"/>
    <w:rsid w:val="05A7762D"/>
    <w:rsid w:val="05E36894"/>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11701"/>
    <w:rsid w:val="08E80F13"/>
    <w:rsid w:val="09012EFA"/>
    <w:rsid w:val="091348B6"/>
    <w:rsid w:val="09335624"/>
    <w:rsid w:val="0944690F"/>
    <w:rsid w:val="09535675"/>
    <w:rsid w:val="095F057D"/>
    <w:rsid w:val="09642282"/>
    <w:rsid w:val="09733572"/>
    <w:rsid w:val="09772C16"/>
    <w:rsid w:val="097A0F86"/>
    <w:rsid w:val="098353B5"/>
    <w:rsid w:val="09A92330"/>
    <w:rsid w:val="09B06B87"/>
    <w:rsid w:val="09C13146"/>
    <w:rsid w:val="09E04166"/>
    <w:rsid w:val="0A0F4BBF"/>
    <w:rsid w:val="0A1C0718"/>
    <w:rsid w:val="0A3E7710"/>
    <w:rsid w:val="0A5B7E63"/>
    <w:rsid w:val="0A642BB8"/>
    <w:rsid w:val="0AA374A5"/>
    <w:rsid w:val="0AAB7649"/>
    <w:rsid w:val="0ABB16FD"/>
    <w:rsid w:val="0ABC5606"/>
    <w:rsid w:val="0B30404E"/>
    <w:rsid w:val="0B4C6C14"/>
    <w:rsid w:val="0B631A88"/>
    <w:rsid w:val="0B683D45"/>
    <w:rsid w:val="0B6D6042"/>
    <w:rsid w:val="0B7F3F11"/>
    <w:rsid w:val="0B884417"/>
    <w:rsid w:val="0BF6188C"/>
    <w:rsid w:val="0BF73C91"/>
    <w:rsid w:val="0C170175"/>
    <w:rsid w:val="0C571A41"/>
    <w:rsid w:val="0C5C1171"/>
    <w:rsid w:val="0C5E1CBC"/>
    <w:rsid w:val="0C615B50"/>
    <w:rsid w:val="0C8445DA"/>
    <w:rsid w:val="0C87121B"/>
    <w:rsid w:val="0CC007F7"/>
    <w:rsid w:val="0CC62AA3"/>
    <w:rsid w:val="0CFE707A"/>
    <w:rsid w:val="0D063BDA"/>
    <w:rsid w:val="0D08375F"/>
    <w:rsid w:val="0D184CFB"/>
    <w:rsid w:val="0D4A7419"/>
    <w:rsid w:val="0D735465"/>
    <w:rsid w:val="0D827401"/>
    <w:rsid w:val="0D84094E"/>
    <w:rsid w:val="0D8A00E9"/>
    <w:rsid w:val="0D8D589E"/>
    <w:rsid w:val="0DA01C73"/>
    <w:rsid w:val="0DD2300E"/>
    <w:rsid w:val="0DD63300"/>
    <w:rsid w:val="0DE6400F"/>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435D4E"/>
    <w:rsid w:val="12530213"/>
    <w:rsid w:val="12726A51"/>
    <w:rsid w:val="127723A9"/>
    <w:rsid w:val="12862074"/>
    <w:rsid w:val="12883966"/>
    <w:rsid w:val="129E45B4"/>
    <w:rsid w:val="12D81596"/>
    <w:rsid w:val="13072A44"/>
    <w:rsid w:val="135F4BE2"/>
    <w:rsid w:val="13734CC1"/>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8DE232D"/>
    <w:rsid w:val="19736248"/>
    <w:rsid w:val="19932372"/>
    <w:rsid w:val="19A20DD5"/>
    <w:rsid w:val="19AE03F1"/>
    <w:rsid w:val="1A023DF9"/>
    <w:rsid w:val="1A071A03"/>
    <w:rsid w:val="1A1F16AE"/>
    <w:rsid w:val="1A3B5C77"/>
    <w:rsid w:val="1A8831AF"/>
    <w:rsid w:val="1A984BAD"/>
    <w:rsid w:val="1AB17E71"/>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CA473E9"/>
    <w:rsid w:val="1D266CE1"/>
    <w:rsid w:val="1D3963AF"/>
    <w:rsid w:val="1D4074BD"/>
    <w:rsid w:val="1D6A673C"/>
    <w:rsid w:val="1D816151"/>
    <w:rsid w:val="1D9247AE"/>
    <w:rsid w:val="1DB45D52"/>
    <w:rsid w:val="1DB567EC"/>
    <w:rsid w:val="1DF51A98"/>
    <w:rsid w:val="1E3D060F"/>
    <w:rsid w:val="1E3F7D2E"/>
    <w:rsid w:val="1E4134E4"/>
    <w:rsid w:val="1E5062B3"/>
    <w:rsid w:val="1E523514"/>
    <w:rsid w:val="1E714A66"/>
    <w:rsid w:val="1E802593"/>
    <w:rsid w:val="1EA703CC"/>
    <w:rsid w:val="1EAE27A1"/>
    <w:rsid w:val="1EB7330C"/>
    <w:rsid w:val="1F0A0FF3"/>
    <w:rsid w:val="1F5771FF"/>
    <w:rsid w:val="1F771C14"/>
    <w:rsid w:val="1FE868A9"/>
    <w:rsid w:val="20034907"/>
    <w:rsid w:val="20173E4B"/>
    <w:rsid w:val="204E48BC"/>
    <w:rsid w:val="208921B3"/>
    <w:rsid w:val="20973DEB"/>
    <w:rsid w:val="20B26522"/>
    <w:rsid w:val="20B44310"/>
    <w:rsid w:val="20E56DF0"/>
    <w:rsid w:val="211116EB"/>
    <w:rsid w:val="211641D5"/>
    <w:rsid w:val="216133FC"/>
    <w:rsid w:val="21A25EB6"/>
    <w:rsid w:val="21CE589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CA6D22"/>
    <w:rsid w:val="23E95BEF"/>
    <w:rsid w:val="23FD0064"/>
    <w:rsid w:val="24393741"/>
    <w:rsid w:val="245375B0"/>
    <w:rsid w:val="24642C0A"/>
    <w:rsid w:val="24B22173"/>
    <w:rsid w:val="24B95AD9"/>
    <w:rsid w:val="24BE24DA"/>
    <w:rsid w:val="24CF5825"/>
    <w:rsid w:val="24D663E6"/>
    <w:rsid w:val="24D77F2B"/>
    <w:rsid w:val="254B321A"/>
    <w:rsid w:val="254D52EE"/>
    <w:rsid w:val="25755DC7"/>
    <w:rsid w:val="258B00E2"/>
    <w:rsid w:val="25A917A6"/>
    <w:rsid w:val="25BE27CC"/>
    <w:rsid w:val="25F74A5C"/>
    <w:rsid w:val="260E2C1D"/>
    <w:rsid w:val="2628662C"/>
    <w:rsid w:val="262D45DE"/>
    <w:rsid w:val="26A53EF9"/>
    <w:rsid w:val="26A94201"/>
    <w:rsid w:val="26AC274F"/>
    <w:rsid w:val="26D91173"/>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185203"/>
    <w:rsid w:val="2B437463"/>
    <w:rsid w:val="2B7807EE"/>
    <w:rsid w:val="2BBF00EC"/>
    <w:rsid w:val="2BC37CFD"/>
    <w:rsid w:val="2BD5237F"/>
    <w:rsid w:val="2BE536CE"/>
    <w:rsid w:val="2BE758D9"/>
    <w:rsid w:val="2BFF1D8B"/>
    <w:rsid w:val="2C02237E"/>
    <w:rsid w:val="2C09049E"/>
    <w:rsid w:val="2C0A653C"/>
    <w:rsid w:val="2C191F85"/>
    <w:rsid w:val="2CE82D6F"/>
    <w:rsid w:val="2D343236"/>
    <w:rsid w:val="2D8762FF"/>
    <w:rsid w:val="2D9D5735"/>
    <w:rsid w:val="2DD15014"/>
    <w:rsid w:val="2DF72DE4"/>
    <w:rsid w:val="2E0220AF"/>
    <w:rsid w:val="2E4B082A"/>
    <w:rsid w:val="2E4B710B"/>
    <w:rsid w:val="2E5D4E86"/>
    <w:rsid w:val="2E5D790B"/>
    <w:rsid w:val="2E9A3C18"/>
    <w:rsid w:val="2EBB0FEE"/>
    <w:rsid w:val="2EC63002"/>
    <w:rsid w:val="2F0A6B38"/>
    <w:rsid w:val="2F946CCB"/>
    <w:rsid w:val="2FC416DC"/>
    <w:rsid w:val="2FD25781"/>
    <w:rsid w:val="2FFD584C"/>
    <w:rsid w:val="2FFD7934"/>
    <w:rsid w:val="30733ACD"/>
    <w:rsid w:val="308C3862"/>
    <w:rsid w:val="309379D8"/>
    <w:rsid w:val="30A270F7"/>
    <w:rsid w:val="30DF1478"/>
    <w:rsid w:val="30EC586F"/>
    <w:rsid w:val="319C6071"/>
    <w:rsid w:val="31AC537E"/>
    <w:rsid w:val="31E3679B"/>
    <w:rsid w:val="31E732FD"/>
    <w:rsid w:val="31FE0EF2"/>
    <w:rsid w:val="32517576"/>
    <w:rsid w:val="32BE5C2C"/>
    <w:rsid w:val="32FB6478"/>
    <w:rsid w:val="33263B3F"/>
    <w:rsid w:val="336963EB"/>
    <w:rsid w:val="33816EEB"/>
    <w:rsid w:val="33945FB2"/>
    <w:rsid w:val="33AB6E04"/>
    <w:rsid w:val="33EB55CD"/>
    <w:rsid w:val="33EC4C02"/>
    <w:rsid w:val="340D2360"/>
    <w:rsid w:val="3410665D"/>
    <w:rsid w:val="34211214"/>
    <w:rsid w:val="342E63AB"/>
    <w:rsid w:val="34303663"/>
    <w:rsid w:val="34950E68"/>
    <w:rsid w:val="34986E94"/>
    <w:rsid w:val="34AF62C9"/>
    <w:rsid w:val="34CB4388"/>
    <w:rsid w:val="34EE299B"/>
    <w:rsid w:val="34FA6E12"/>
    <w:rsid w:val="35016021"/>
    <w:rsid w:val="358D5588"/>
    <w:rsid w:val="363A3B40"/>
    <w:rsid w:val="365302AE"/>
    <w:rsid w:val="365E4655"/>
    <w:rsid w:val="36607A0A"/>
    <w:rsid w:val="366E227C"/>
    <w:rsid w:val="366F2E0D"/>
    <w:rsid w:val="367B6A5C"/>
    <w:rsid w:val="36A74ADA"/>
    <w:rsid w:val="36AD60D5"/>
    <w:rsid w:val="36B224F9"/>
    <w:rsid w:val="36EC0CC9"/>
    <w:rsid w:val="373F410B"/>
    <w:rsid w:val="379320DC"/>
    <w:rsid w:val="37EE7094"/>
    <w:rsid w:val="38296C89"/>
    <w:rsid w:val="383002EB"/>
    <w:rsid w:val="38586797"/>
    <w:rsid w:val="388A5A92"/>
    <w:rsid w:val="38B247E4"/>
    <w:rsid w:val="38BC0149"/>
    <w:rsid w:val="38D87D1C"/>
    <w:rsid w:val="392751D2"/>
    <w:rsid w:val="394F6A60"/>
    <w:rsid w:val="39636459"/>
    <w:rsid w:val="396B7F6C"/>
    <w:rsid w:val="39B417A9"/>
    <w:rsid w:val="39FC5695"/>
    <w:rsid w:val="3A006D8E"/>
    <w:rsid w:val="3A3651E5"/>
    <w:rsid w:val="3A744481"/>
    <w:rsid w:val="3A8C7BEF"/>
    <w:rsid w:val="3A906246"/>
    <w:rsid w:val="3ADE15A9"/>
    <w:rsid w:val="3AEE244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73A67"/>
    <w:rsid w:val="3E1868B4"/>
    <w:rsid w:val="3E377251"/>
    <w:rsid w:val="3E42664B"/>
    <w:rsid w:val="3E5A7334"/>
    <w:rsid w:val="3E7B5D6B"/>
    <w:rsid w:val="3E7C1B61"/>
    <w:rsid w:val="3E843E66"/>
    <w:rsid w:val="3E8F51FE"/>
    <w:rsid w:val="3E926F87"/>
    <w:rsid w:val="3E9A59DE"/>
    <w:rsid w:val="3EAF4836"/>
    <w:rsid w:val="3EB935FE"/>
    <w:rsid w:val="3EC040FF"/>
    <w:rsid w:val="3EC33DFA"/>
    <w:rsid w:val="3F060E16"/>
    <w:rsid w:val="3F1D1096"/>
    <w:rsid w:val="3F2748AA"/>
    <w:rsid w:val="3F2F0234"/>
    <w:rsid w:val="3F45241D"/>
    <w:rsid w:val="3F6363FE"/>
    <w:rsid w:val="3F756B8F"/>
    <w:rsid w:val="3F8D02BE"/>
    <w:rsid w:val="3F95482B"/>
    <w:rsid w:val="3F9D6D5C"/>
    <w:rsid w:val="3FEF0B20"/>
    <w:rsid w:val="4019356B"/>
    <w:rsid w:val="40592157"/>
    <w:rsid w:val="405A42EB"/>
    <w:rsid w:val="406E1CAE"/>
    <w:rsid w:val="40A0133A"/>
    <w:rsid w:val="40C31A53"/>
    <w:rsid w:val="40CD28B0"/>
    <w:rsid w:val="40FF545D"/>
    <w:rsid w:val="410067C8"/>
    <w:rsid w:val="41012324"/>
    <w:rsid w:val="418F0D2A"/>
    <w:rsid w:val="41D01505"/>
    <w:rsid w:val="42474939"/>
    <w:rsid w:val="424C3C57"/>
    <w:rsid w:val="42613FF3"/>
    <w:rsid w:val="42660D96"/>
    <w:rsid w:val="428611BC"/>
    <w:rsid w:val="428667D2"/>
    <w:rsid w:val="42CD1CE0"/>
    <w:rsid w:val="42E1381E"/>
    <w:rsid w:val="42ED6459"/>
    <w:rsid w:val="42F773F9"/>
    <w:rsid w:val="42FE58DD"/>
    <w:rsid w:val="43170510"/>
    <w:rsid w:val="43174B3D"/>
    <w:rsid w:val="434B790E"/>
    <w:rsid w:val="4360274F"/>
    <w:rsid w:val="43977AB6"/>
    <w:rsid w:val="43A3342B"/>
    <w:rsid w:val="43C77C27"/>
    <w:rsid w:val="43DE09EE"/>
    <w:rsid w:val="44002FAD"/>
    <w:rsid w:val="449101DD"/>
    <w:rsid w:val="44DE1391"/>
    <w:rsid w:val="44E7040D"/>
    <w:rsid w:val="451B225C"/>
    <w:rsid w:val="452410C9"/>
    <w:rsid w:val="45317DFB"/>
    <w:rsid w:val="456D3CE4"/>
    <w:rsid w:val="4579042C"/>
    <w:rsid w:val="457F0571"/>
    <w:rsid w:val="45851176"/>
    <w:rsid w:val="45C63B94"/>
    <w:rsid w:val="460E7DA5"/>
    <w:rsid w:val="46422483"/>
    <w:rsid w:val="4659254A"/>
    <w:rsid w:val="465B0637"/>
    <w:rsid w:val="465E3F0D"/>
    <w:rsid w:val="46695FAC"/>
    <w:rsid w:val="466A16E6"/>
    <w:rsid w:val="46893F2B"/>
    <w:rsid w:val="469C551D"/>
    <w:rsid w:val="46C4686E"/>
    <w:rsid w:val="475E121E"/>
    <w:rsid w:val="477B778F"/>
    <w:rsid w:val="478203EC"/>
    <w:rsid w:val="47B025FA"/>
    <w:rsid w:val="47B6609F"/>
    <w:rsid w:val="4809698F"/>
    <w:rsid w:val="4811697D"/>
    <w:rsid w:val="487A3E25"/>
    <w:rsid w:val="48870DA0"/>
    <w:rsid w:val="488B5503"/>
    <w:rsid w:val="48937E21"/>
    <w:rsid w:val="489A0361"/>
    <w:rsid w:val="48B1737A"/>
    <w:rsid w:val="48B94FF3"/>
    <w:rsid w:val="48E37AAB"/>
    <w:rsid w:val="48FD4B4C"/>
    <w:rsid w:val="490A68E0"/>
    <w:rsid w:val="491055FE"/>
    <w:rsid w:val="495F5B3E"/>
    <w:rsid w:val="496F77D7"/>
    <w:rsid w:val="497654FD"/>
    <w:rsid w:val="49B64211"/>
    <w:rsid w:val="49F6167F"/>
    <w:rsid w:val="4A064FA0"/>
    <w:rsid w:val="4A16615C"/>
    <w:rsid w:val="4A4424D7"/>
    <w:rsid w:val="4AB420B3"/>
    <w:rsid w:val="4AB82D0F"/>
    <w:rsid w:val="4AEB7664"/>
    <w:rsid w:val="4AFD7C19"/>
    <w:rsid w:val="4B0567D1"/>
    <w:rsid w:val="4B1B18ED"/>
    <w:rsid w:val="4B236AAE"/>
    <w:rsid w:val="4B707271"/>
    <w:rsid w:val="4B9739F7"/>
    <w:rsid w:val="4BEE2503"/>
    <w:rsid w:val="4C245A30"/>
    <w:rsid w:val="4CB6685F"/>
    <w:rsid w:val="4CC367FE"/>
    <w:rsid w:val="4D077F3C"/>
    <w:rsid w:val="4D123355"/>
    <w:rsid w:val="4D260D93"/>
    <w:rsid w:val="4D2A3B31"/>
    <w:rsid w:val="4D312C52"/>
    <w:rsid w:val="4D905305"/>
    <w:rsid w:val="4D964A72"/>
    <w:rsid w:val="4D9C1254"/>
    <w:rsid w:val="4E6D66C7"/>
    <w:rsid w:val="4E793892"/>
    <w:rsid w:val="4E800872"/>
    <w:rsid w:val="4EC569ED"/>
    <w:rsid w:val="4ED50EA1"/>
    <w:rsid w:val="4EEC050C"/>
    <w:rsid w:val="4F104EC3"/>
    <w:rsid w:val="4F47354A"/>
    <w:rsid w:val="4F911C54"/>
    <w:rsid w:val="4FE625E0"/>
    <w:rsid w:val="5021480F"/>
    <w:rsid w:val="503724AD"/>
    <w:rsid w:val="50750E8F"/>
    <w:rsid w:val="508A09E3"/>
    <w:rsid w:val="50962ECB"/>
    <w:rsid w:val="50A42E38"/>
    <w:rsid w:val="50A4577F"/>
    <w:rsid w:val="50B73D1F"/>
    <w:rsid w:val="50BD5BC9"/>
    <w:rsid w:val="50C11EEE"/>
    <w:rsid w:val="50E97CFC"/>
    <w:rsid w:val="50FA4028"/>
    <w:rsid w:val="510D65B7"/>
    <w:rsid w:val="511157AB"/>
    <w:rsid w:val="5142540C"/>
    <w:rsid w:val="518832C8"/>
    <w:rsid w:val="51966964"/>
    <w:rsid w:val="51A0432A"/>
    <w:rsid w:val="51A86090"/>
    <w:rsid w:val="51B7396D"/>
    <w:rsid w:val="522E4CC3"/>
    <w:rsid w:val="5244713B"/>
    <w:rsid w:val="52615633"/>
    <w:rsid w:val="52977FD4"/>
    <w:rsid w:val="52A20C63"/>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83B1B"/>
    <w:rsid w:val="55A8376B"/>
    <w:rsid w:val="55AA3C5E"/>
    <w:rsid w:val="55DC29B6"/>
    <w:rsid w:val="55DD4241"/>
    <w:rsid w:val="5619317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33C36"/>
    <w:rsid w:val="584A6390"/>
    <w:rsid w:val="587232C9"/>
    <w:rsid w:val="58816255"/>
    <w:rsid w:val="58917D2F"/>
    <w:rsid w:val="5894085C"/>
    <w:rsid w:val="58AE4F0C"/>
    <w:rsid w:val="58B85899"/>
    <w:rsid w:val="58CE54EB"/>
    <w:rsid w:val="58E363A9"/>
    <w:rsid w:val="595E1678"/>
    <w:rsid w:val="596D5BD4"/>
    <w:rsid w:val="597E3DD8"/>
    <w:rsid w:val="599F73C0"/>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E671E8"/>
    <w:rsid w:val="5FFE1E36"/>
    <w:rsid w:val="60232584"/>
    <w:rsid w:val="6057789C"/>
    <w:rsid w:val="607330CE"/>
    <w:rsid w:val="60825176"/>
    <w:rsid w:val="609F2AC4"/>
    <w:rsid w:val="60FA2EE8"/>
    <w:rsid w:val="61054A27"/>
    <w:rsid w:val="610A52BC"/>
    <w:rsid w:val="611D2366"/>
    <w:rsid w:val="61421856"/>
    <w:rsid w:val="615227C4"/>
    <w:rsid w:val="61654E3F"/>
    <w:rsid w:val="6182292A"/>
    <w:rsid w:val="619F7F92"/>
    <w:rsid w:val="61F8243D"/>
    <w:rsid w:val="61F94C26"/>
    <w:rsid w:val="62000E56"/>
    <w:rsid w:val="620152D8"/>
    <w:rsid w:val="624F3E49"/>
    <w:rsid w:val="62632286"/>
    <w:rsid w:val="627806C9"/>
    <w:rsid w:val="62885958"/>
    <w:rsid w:val="62F40B65"/>
    <w:rsid w:val="62FC2CFE"/>
    <w:rsid w:val="63024505"/>
    <w:rsid w:val="63501431"/>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C56262"/>
    <w:rsid w:val="66195831"/>
    <w:rsid w:val="662E75B1"/>
    <w:rsid w:val="66342C2E"/>
    <w:rsid w:val="663E784C"/>
    <w:rsid w:val="668B6A45"/>
    <w:rsid w:val="670F2C7E"/>
    <w:rsid w:val="672F3F24"/>
    <w:rsid w:val="673E055F"/>
    <w:rsid w:val="67551CE3"/>
    <w:rsid w:val="67A22552"/>
    <w:rsid w:val="67B22DCC"/>
    <w:rsid w:val="67BE71AA"/>
    <w:rsid w:val="67D90273"/>
    <w:rsid w:val="67DE5875"/>
    <w:rsid w:val="67E55852"/>
    <w:rsid w:val="67EB1AB4"/>
    <w:rsid w:val="67EB7247"/>
    <w:rsid w:val="67FA1285"/>
    <w:rsid w:val="68345480"/>
    <w:rsid w:val="684F64A9"/>
    <w:rsid w:val="68551F4F"/>
    <w:rsid w:val="687C10C9"/>
    <w:rsid w:val="68840C16"/>
    <w:rsid w:val="68876EFB"/>
    <w:rsid w:val="68884654"/>
    <w:rsid w:val="689F444F"/>
    <w:rsid w:val="68B96DBB"/>
    <w:rsid w:val="68C76B21"/>
    <w:rsid w:val="68CA2805"/>
    <w:rsid w:val="68E937A3"/>
    <w:rsid w:val="693E15D3"/>
    <w:rsid w:val="69627681"/>
    <w:rsid w:val="6977531D"/>
    <w:rsid w:val="69CC2BFF"/>
    <w:rsid w:val="69FD55B8"/>
    <w:rsid w:val="6A0905B5"/>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F7104A"/>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354CD2"/>
    <w:rsid w:val="6F8331F1"/>
    <w:rsid w:val="6FAE1A09"/>
    <w:rsid w:val="6FB915D7"/>
    <w:rsid w:val="6FD75BF8"/>
    <w:rsid w:val="70233D4D"/>
    <w:rsid w:val="707723D0"/>
    <w:rsid w:val="70F5661B"/>
    <w:rsid w:val="71260E18"/>
    <w:rsid w:val="71360107"/>
    <w:rsid w:val="713B688E"/>
    <w:rsid w:val="71D43752"/>
    <w:rsid w:val="71F1796A"/>
    <w:rsid w:val="72154626"/>
    <w:rsid w:val="72262B5D"/>
    <w:rsid w:val="72283FF7"/>
    <w:rsid w:val="722E7212"/>
    <w:rsid w:val="723A0474"/>
    <w:rsid w:val="725923E4"/>
    <w:rsid w:val="72864BF7"/>
    <w:rsid w:val="729023FC"/>
    <w:rsid w:val="72A116D3"/>
    <w:rsid w:val="73C0646E"/>
    <w:rsid w:val="742222F5"/>
    <w:rsid w:val="74476126"/>
    <w:rsid w:val="74706664"/>
    <w:rsid w:val="747F3682"/>
    <w:rsid w:val="749C4185"/>
    <w:rsid w:val="74F44234"/>
    <w:rsid w:val="75067759"/>
    <w:rsid w:val="75115B31"/>
    <w:rsid w:val="752E6DCD"/>
    <w:rsid w:val="7551380D"/>
    <w:rsid w:val="75600BE5"/>
    <w:rsid w:val="7564475C"/>
    <w:rsid w:val="7583797F"/>
    <w:rsid w:val="75CF2D53"/>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A3380"/>
    <w:rsid w:val="777F31F2"/>
    <w:rsid w:val="77D1700D"/>
    <w:rsid w:val="77E600D6"/>
    <w:rsid w:val="77EC04CC"/>
    <w:rsid w:val="78775729"/>
    <w:rsid w:val="78A42DB0"/>
    <w:rsid w:val="78A656AB"/>
    <w:rsid w:val="78B2245C"/>
    <w:rsid w:val="78E172CC"/>
    <w:rsid w:val="78EA1D1F"/>
    <w:rsid w:val="7904172F"/>
    <w:rsid w:val="790F7E27"/>
    <w:rsid w:val="792A231A"/>
    <w:rsid w:val="79316829"/>
    <w:rsid w:val="79507852"/>
    <w:rsid w:val="797E66A9"/>
    <w:rsid w:val="79960FDD"/>
    <w:rsid w:val="79A97383"/>
    <w:rsid w:val="79E27E8B"/>
    <w:rsid w:val="79F850CE"/>
    <w:rsid w:val="79FD443C"/>
    <w:rsid w:val="7A1D1975"/>
    <w:rsid w:val="7A3E5150"/>
    <w:rsid w:val="7A4670D6"/>
    <w:rsid w:val="7A534B63"/>
    <w:rsid w:val="7A615382"/>
    <w:rsid w:val="7A67303B"/>
    <w:rsid w:val="7A7E219D"/>
    <w:rsid w:val="7AAB1D04"/>
    <w:rsid w:val="7ABA4368"/>
    <w:rsid w:val="7AD05746"/>
    <w:rsid w:val="7B191EC6"/>
    <w:rsid w:val="7B257FFD"/>
    <w:rsid w:val="7B343476"/>
    <w:rsid w:val="7B5A2978"/>
    <w:rsid w:val="7B5A7E4C"/>
    <w:rsid w:val="7B667AF9"/>
    <w:rsid w:val="7B7468F8"/>
    <w:rsid w:val="7B845591"/>
    <w:rsid w:val="7BAD6ADF"/>
    <w:rsid w:val="7BEE0103"/>
    <w:rsid w:val="7C0A0FE4"/>
    <w:rsid w:val="7C254906"/>
    <w:rsid w:val="7C333E20"/>
    <w:rsid w:val="7C454761"/>
    <w:rsid w:val="7C590818"/>
    <w:rsid w:val="7C765113"/>
    <w:rsid w:val="7C7C10F6"/>
    <w:rsid w:val="7C853BEA"/>
    <w:rsid w:val="7C881368"/>
    <w:rsid w:val="7CAD556F"/>
    <w:rsid w:val="7CD52B72"/>
    <w:rsid w:val="7CE0713F"/>
    <w:rsid w:val="7CE27788"/>
    <w:rsid w:val="7D0C32F1"/>
    <w:rsid w:val="7D0F408D"/>
    <w:rsid w:val="7D491C6C"/>
    <w:rsid w:val="7D5429C0"/>
    <w:rsid w:val="7D6E6D43"/>
    <w:rsid w:val="7DB57A34"/>
    <w:rsid w:val="7DE60973"/>
    <w:rsid w:val="7DEF0916"/>
    <w:rsid w:val="7E0155BF"/>
    <w:rsid w:val="7E1E5218"/>
    <w:rsid w:val="7E9A4E1F"/>
    <w:rsid w:val="7EA7723A"/>
    <w:rsid w:val="7EF56FBB"/>
    <w:rsid w:val="7F0768EB"/>
    <w:rsid w:val="7F143BEC"/>
    <w:rsid w:val="7F5B529E"/>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9"/>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656"/>
    <w:qFormat/>
    <w:uiPriority w:val="0"/>
    <w:pPr>
      <w:adjustRightInd/>
      <w:spacing w:after="120" w:line="240" w:lineRule="auto"/>
      <w:ind w:left="420" w:leftChars="200" w:firstLine="210"/>
    </w:pPr>
    <w:rPr>
      <w:sz w:val="21"/>
    </w:rPr>
  </w:style>
  <w:style w:type="paragraph" w:styleId="3">
    <w:name w:val="Body Text Indent"/>
    <w:basedOn w:val="1"/>
    <w:next w:val="4"/>
    <w:link w:val="784"/>
    <w:qFormat/>
    <w:uiPriority w:val="0"/>
    <w:pPr>
      <w:spacing w:line="480" w:lineRule="exact"/>
      <w:ind w:firstLine="480" w:firstLineChars="200"/>
    </w:pPr>
    <w:rPr>
      <w:rFonts w:ascii="宋体" w:hAnsi="宋体"/>
      <w:sz w:val="24"/>
    </w:rPr>
  </w:style>
  <w:style w:type="paragraph" w:customStyle="1" w:styleId="4">
    <w:name w:val="正文文本首行缩进 2"/>
    <w:basedOn w:val="3"/>
    <w:qFormat/>
    <w:uiPriority w:val="99"/>
    <w:pPr>
      <w:spacing w:line="200" w:lineRule="atLeast"/>
      <w:ind w:firstLine="420"/>
    </w:pPr>
    <w:rPr>
      <w:rFonts w:ascii="宋体" w:hAnsi="Courier New"/>
      <w:spacing w:val="-4"/>
      <w:sz w:val="18"/>
    </w:rPr>
  </w:style>
  <w:style w:type="paragraph" w:styleId="8">
    <w:name w:val="Normal Indent"/>
    <w:basedOn w:val="1"/>
    <w:next w:val="3"/>
    <w:link w:val="721"/>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3"/>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8"/>
    <w:qFormat/>
    <w:uiPriority w:val="0"/>
    <w:pPr>
      <w:shd w:val="clear" w:color="auto" w:fill="000080"/>
    </w:pPr>
  </w:style>
  <w:style w:type="paragraph" w:styleId="22">
    <w:name w:val="annotation text"/>
    <w:basedOn w:val="1"/>
    <w:link w:val="856"/>
    <w:qFormat/>
    <w:uiPriority w:val="99"/>
    <w:pPr>
      <w:jc w:val="left"/>
    </w:pPr>
  </w:style>
  <w:style w:type="paragraph" w:styleId="23">
    <w:name w:val="Salutation"/>
    <w:basedOn w:val="1"/>
    <w:next w:val="1"/>
    <w:link w:val="816"/>
    <w:qFormat/>
    <w:uiPriority w:val="0"/>
    <w:rPr>
      <w:rFonts w:ascii="仿宋_GB2312" w:eastAsia="仿宋_GB2312"/>
      <w:sz w:val="28"/>
      <w:szCs w:val="20"/>
    </w:rPr>
  </w:style>
  <w:style w:type="paragraph" w:styleId="24">
    <w:name w:val="Body Text 3"/>
    <w:basedOn w:val="1"/>
    <w:link w:val="84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3"/>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5"/>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6"/>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5"/>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0"/>
    <w:qFormat/>
    <w:uiPriority w:val="0"/>
    <w:pPr>
      <w:spacing w:after="120" w:line="480" w:lineRule="auto"/>
    </w:pPr>
  </w:style>
  <w:style w:type="paragraph" w:styleId="60">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2"/>
    <w:next w:val="22"/>
    <w:link w:val="633"/>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uiPriority w:val="0"/>
    <w:rPr>
      <w:rFonts w:ascii="Courier New" w:hAnsi="Courier New"/>
    </w:r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BodyText"/>
    <w:basedOn w:val="1"/>
    <w:qFormat/>
    <w:uiPriority w:val="0"/>
    <w:pPr>
      <w:jc w:val="both"/>
      <w:textAlignment w:val="baseline"/>
    </w:pPr>
    <w:rPr>
      <w:rFonts w:ascii="等线" w:hAnsi="等线" w:eastAsia="??"/>
      <w:kern w:val="2"/>
      <w:sz w:val="24"/>
      <w:szCs w:val="28"/>
      <w:lang w:val="en-US" w:eastAsia="zh-CN" w:bidi="ar-SA"/>
    </w:rPr>
  </w:style>
  <w:style w:type="paragraph" w:customStyle="1" w:styleId="84">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5">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5"/>
    <w:qFormat/>
    <w:uiPriority w:val="0"/>
    <w:pPr>
      <w:spacing w:before="156" w:line="360" w:lineRule="auto"/>
      <w:ind w:firstLine="510" w:firstLineChars="200"/>
    </w:pPr>
    <w:rPr>
      <w:sz w:val="24"/>
      <w:szCs w:val="20"/>
    </w:rPr>
  </w:style>
  <w:style w:type="paragraph" w:customStyle="1" w:styleId="91">
    <w:name w:val="无间隔1"/>
    <w:link w:val="673"/>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1"/>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6"/>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6"/>
    <w:qFormat/>
    <w:uiPriority w:val="0"/>
    <w:pPr>
      <w:ind w:left="0" w:right="466" w:firstLine="288"/>
    </w:pPr>
    <w:rPr>
      <w:rFonts w:hAnsi="宋体"/>
    </w:rPr>
  </w:style>
  <w:style w:type="paragraph" w:customStyle="1" w:styleId="98">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9"/>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68"/>
    <w:qFormat/>
    <w:uiPriority w:val="0"/>
    <w:pPr>
      <w:adjustRightInd/>
      <w:spacing w:line="360" w:lineRule="auto"/>
      <w:ind w:firstLine="480" w:firstLineChars="200"/>
    </w:pPr>
    <w:rPr>
      <w:kern w:val="0"/>
      <w:sz w:val="24"/>
    </w:rPr>
  </w:style>
  <w:style w:type="paragraph" w:customStyle="1" w:styleId="103">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799"/>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1"/>
    <w:qFormat/>
    <w:uiPriority w:val="0"/>
    <w:pPr>
      <w:tabs>
        <w:tab w:val="left" w:pos="2356"/>
      </w:tabs>
    </w:pPr>
  </w:style>
  <w:style w:type="paragraph" w:customStyle="1" w:styleId="108">
    <w:name w:val="样式 标题 4h4H4Fab-4T5Ref Heading 1rh1Heading sqlsect 1.2.3...."/>
    <w:basedOn w:val="9"/>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4"/>
    <w:qFormat/>
    <w:uiPriority w:val="0"/>
    <w:pPr>
      <w:adjustRightInd/>
    </w:pPr>
    <w:rPr>
      <w:rFonts w:ascii="宋体" w:hAnsi="Courier New"/>
      <w:kern w:val="0"/>
      <w:sz w:val="20"/>
      <w:szCs w:val="20"/>
    </w:rPr>
  </w:style>
  <w:style w:type="paragraph" w:customStyle="1" w:styleId="111">
    <w:name w:val="正文说明"/>
    <w:basedOn w:val="1"/>
    <w:link w:val="846"/>
    <w:qFormat/>
    <w:uiPriority w:val="0"/>
    <w:pPr>
      <w:adjustRightInd/>
      <w:spacing w:line="360" w:lineRule="auto"/>
    </w:pPr>
    <w:rPr>
      <w:kern w:val="0"/>
      <w:sz w:val="24"/>
    </w:rPr>
  </w:style>
  <w:style w:type="paragraph" w:customStyle="1" w:styleId="112">
    <w:name w:val="Table Text"/>
    <w:basedOn w:val="1"/>
    <w:link w:val="852"/>
    <w:qFormat/>
    <w:uiPriority w:val="0"/>
    <w:pPr>
      <w:widowControl/>
      <w:spacing w:before="60" w:after="60"/>
      <w:jc w:val="left"/>
    </w:pPr>
    <w:rPr>
      <w:kern w:val="0"/>
      <w:sz w:val="24"/>
    </w:rPr>
  </w:style>
  <w:style w:type="paragraph" w:customStyle="1" w:styleId="113">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8"/>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9"/>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2"/>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7"/>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10"/>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7"/>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9">
    <w:name w:val="_Style 3"/>
    <w:basedOn w:val="1"/>
    <w:qFormat/>
    <w:uiPriority w:val="0"/>
    <w:pPr>
      <w:adjustRightInd/>
      <w:ind w:firstLine="420" w:firstLineChars="200"/>
    </w:pPr>
    <w:rPr>
      <w:rFonts w:eastAsia="仿宋_GB2312"/>
      <w:sz w:val="28"/>
    </w:rPr>
  </w:style>
  <w:style w:type="paragraph" w:customStyle="1" w:styleId="2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1">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2">
    <w:name w:val="左对齐表格文字"/>
    <w:basedOn w:val="1"/>
    <w:qFormat/>
    <w:uiPriority w:val="0"/>
    <w:pPr>
      <w:adjustRightInd/>
      <w:ind w:firstLine="200" w:firstLineChars="200"/>
      <w:jc w:val="right"/>
    </w:pPr>
  </w:style>
  <w:style w:type="paragraph" w:customStyle="1" w:styleId="213">
    <w:name w:val="Char Char11 Char Char Char Char Char Char Char Char Char"/>
    <w:basedOn w:val="1"/>
    <w:qFormat/>
    <w:uiPriority w:val="0"/>
    <w:pPr>
      <w:spacing w:line="360" w:lineRule="auto"/>
    </w:pPr>
    <w:rPr>
      <w:szCs w:val="20"/>
    </w:rPr>
  </w:style>
  <w:style w:type="paragraph" w:customStyle="1" w:styleId="214">
    <w:name w:val="正文1.25"/>
    <w:basedOn w:val="1"/>
    <w:qFormat/>
    <w:uiPriority w:val="0"/>
    <w:pPr>
      <w:adjustRightInd/>
      <w:spacing w:line="300" w:lineRule="auto"/>
      <w:ind w:firstLine="480" w:firstLineChars="200"/>
    </w:pPr>
    <w:rPr>
      <w:sz w:val="24"/>
      <w:szCs w:val="20"/>
    </w:rPr>
  </w:style>
  <w:style w:type="paragraph" w:customStyle="1" w:styleId="21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8">
    <w:name w:val="Char Char1 Char Char Char1"/>
    <w:basedOn w:val="1"/>
    <w:qFormat/>
    <w:uiPriority w:val="6"/>
    <w:rPr>
      <w:rFonts w:ascii="仿宋_GB2312" w:eastAsia="仿宋_GB2312"/>
      <w:b/>
      <w:sz w:val="32"/>
      <w:szCs w:val="20"/>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默认段落字体 Para Char Char Char Char Char Char Char"/>
    <w:basedOn w:val="1"/>
    <w:qFormat/>
    <w:uiPriority w:val="0"/>
    <w:rPr>
      <w:rFonts w:eastAsia="仿宋_GB2312"/>
      <w:sz w:val="28"/>
      <w:szCs w:val="20"/>
    </w:rPr>
  </w:style>
  <w:style w:type="paragraph" w:customStyle="1" w:styleId="22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2">
    <w:name w:val="样式 标题 4PIM 4H4h4bulletblbbH41H42H43H44H45H46H47H48...1"/>
    <w:basedOn w:val="9"/>
    <w:qFormat/>
    <w:uiPriority w:val="0"/>
    <w:pPr>
      <w:widowControl/>
      <w:jc w:val="left"/>
    </w:pPr>
    <w:rPr>
      <w:rFonts w:cs="宋体"/>
      <w:sz w:val="24"/>
      <w:szCs w:val="20"/>
    </w:rPr>
  </w:style>
  <w:style w:type="paragraph" w:customStyle="1" w:styleId="223">
    <w:name w:val="彩色列表 - 强调文字颜色 11"/>
    <w:basedOn w:val="1"/>
    <w:qFormat/>
    <w:uiPriority w:val="0"/>
    <w:pPr>
      <w:adjustRightInd/>
      <w:ind w:firstLine="420" w:firstLineChars="200"/>
    </w:pPr>
    <w:rPr>
      <w:rFonts w:ascii="Calibri" w:hAnsi="Calibri"/>
      <w:szCs w:val="22"/>
    </w:rPr>
  </w:style>
  <w:style w:type="paragraph" w:customStyle="1" w:styleId="22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7">
    <w:name w:val="Char Char Char1 Char1"/>
    <w:basedOn w:val="1"/>
    <w:qFormat/>
    <w:uiPriority w:val="6"/>
    <w:rPr>
      <w:szCs w:val="20"/>
    </w:rPr>
  </w:style>
  <w:style w:type="paragraph" w:customStyle="1" w:styleId="22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3">
    <w:name w:val="CM14"/>
    <w:basedOn w:val="101"/>
    <w:next w:val="101"/>
    <w:qFormat/>
    <w:uiPriority w:val="0"/>
    <w:pPr>
      <w:spacing w:after="68"/>
    </w:pPr>
    <w:rPr>
      <w:rFonts w:ascii="FHLHE E+ Futura Bk" w:eastAsia="FHLHE E+ Futura Bk" w:cs="Times New Roman"/>
      <w:color w:val="auto"/>
    </w:rPr>
  </w:style>
  <w:style w:type="paragraph" w:customStyle="1" w:styleId="23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7">
    <w:name w:val="正文文字 2"/>
    <w:basedOn w:val="101"/>
    <w:next w:val="101"/>
    <w:qFormat/>
    <w:uiPriority w:val="0"/>
    <w:rPr>
      <w:rFonts w:ascii="宋体" w:eastAsia="宋体" w:cs="Times New Roman"/>
      <w:color w:val="auto"/>
    </w:rPr>
  </w:style>
  <w:style w:type="paragraph" w:customStyle="1" w:styleId="23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9">
    <w:name w:val="Char Char1 Char"/>
    <w:basedOn w:val="1"/>
    <w:qFormat/>
    <w:uiPriority w:val="0"/>
    <w:rPr>
      <w:rFonts w:ascii="仿宋_GB2312" w:eastAsia="仿宋_GB2312"/>
      <w:b/>
      <w:sz w:val="32"/>
      <w:szCs w:val="32"/>
    </w:rPr>
  </w:style>
  <w:style w:type="paragraph" w:customStyle="1" w:styleId="24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2">
    <w:name w:val="Char Char111"/>
    <w:basedOn w:val="1"/>
    <w:qFormat/>
    <w:uiPriority w:val="0"/>
    <w:pPr>
      <w:spacing w:line="360" w:lineRule="auto"/>
    </w:pPr>
    <w:rPr>
      <w:szCs w:val="20"/>
    </w:rPr>
  </w:style>
  <w:style w:type="paragraph" w:customStyle="1" w:styleId="243">
    <w:name w:val="Char"/>
    <w:basedOn w:val="1"/>
    <w:qFormat/>
    <w:uiPriority w:val="0"/>
    <w:rPr>
      <w:rFonts w:ascii="仿宋_GB2312" w:eastAsia="仿宋_GB2312"/>
      <w:b/>
      <w:sz w:val="32"/>
      <w:szCs w:val="32"/>
    </w:rPr>
  </w:style>
  <w:style w:type="paragraph" w:customStyle="1" w:styleId="24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6">
    <w:name w:val="Char Char Char1 Char"/>
    <w:basedOn w:val="1"/>
    <w:qFormat/>
    <w:uiPriority w:val="0"/>
    <w:rPr>
      <w:szCs w:val="20"/>
    </w:rPr>
  </w:style>
  <w:style w:type="paragraph" w:customStyle="1" w:styleId="247">
    <w:name w:val="正文标准"/>
    <w:basedOn w:val="1"/>
    <w:qFormat/>
    <w:uiPriority w:val="0"/>
    <w:pPr>
      <w:adjustRightInd/>
      <w:spacing w:line="360" w:lineRule="auto"/>
      <w:ind w:firstLine="200" w:firstLineChars="200"/>
    </w:pPr>
    <w:rPr>
      <w:rFonts w:ascii="宋体" w:hAnsi="Calibri"/>
      <w:sz w:val="24"/>
    </w:rPr>
  </w:style>
  <w:style w:type="paragraph" w:customStyle="1" w:styleId="24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0">
    <w:name w:val="Char Char Char Char Char Char Char Char Char Char"/>
    <w:basedOn w:val="1"/>
    <w:qFormat/>
    <w:uiPriority w:val="0"/>
    <w:rPr>
      <w:rFonts w:ascii="仿宋_GB2312" w:eastAsia="仿宋_GB2312"/>
      <w:b/>
      <w:sz w:val="32"/>
      <w:szCs w:val="32"/>
    </w:rPr>
  </w:style>
  <w:style w:type="paragraph" w:customStyle="1" w:styleId="26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2">
    <w:name w:val="_正文段落"/>
    <w:basedOn w:val="1"/>
    <w:qFormat/>
    <w:uiPriority w:val="0"/>
    <w:pPr>
      <w:adjustRightInd/>
      <w:ind w:firstLine="560"/>
    </w:pPr>
    <w:rPr>
      <w:rFonts w:ascii="仿宋_GB2312" w:hAnsi="仿宋" w:eastAsia="仿宋_GB2312"/>
      <w:kern w:val="0"/>
      <w:sz w:val="28"/>
      <w:szCs w:val="28"/>
    </w:rPr>
  </w:style>
  <w:style w:type="paragraph" w:customStyle="1" w:styleId="26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5">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9">
    <w:name w:val="Char Char Char1 Char2"/>
    <w:basedOn w:val="1"/>
    <w:qFormat/>
    <w:uiPriority w:val="0"/>
    <w:rPr>
      <w:szCs w:val="20"/>
    </w:rPr>
  </w:style>
  <w:style w:type="paragraph" w:customStyle="1" w:styleId="27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1">
    <w:name w:val="默认段落字体 Para Char"/>
    <w:basedOn w:val="1"/>
    <w:qFormat/>
    <w:uiPriority w:val="0"/>
    <w:rPr>
      <w:rFonts w:ascii="Tahoma" w:hAnsi="Tahoma"/>
      <w:sz w:val="24"/>
      <w:szCs w:val="20"/>
    </w:rPr>
  </w:style>
  <w:style w:type="paragraph" w:customStyle="1" w:styleId="272">
    <w:name w:val="标题五"/>
    <w:basedOn w:val="1"/>
    <w:qFormat/>
    <w:uiPriority w:val="0"/>
    <w:pPr>
      <w:adjustRightInd/>
      <w:spacing w:before="156" w:beforeLines="50" w:line="360" w:lineRule="auto"/>
    </w:pPr>
    <w:rPr>
      <w:b/>
      <w:sz w:val="24"/>
    </w:rPr>
  </w:style>
  <w:style w:type="paragraph" w:customStyle="1" w:styleId="273">
    <w:name w:val="Char Char1101"/>
    <w:basedOn w:val="1"/>
    <w:qFormat/>
    <w:uiPriority w:val="0"/>
    <w:pPr>
      <w:spacing w:line="360" w:lineRule="auto"/>
    </w:pPr>
    <w:rPr>
      <w:rFonts w:ascii="Tahoma" w:hAnsi="Tahoma"/>
      <w:sz w:val="24"/>
      <w:szCs w:val="20"/>
    </w:rPr>
  </w:style>
  <w:style w:type="paragraph" w:customStyle="1" w:styleId="274">
    <w:name w:val="Char Char Char Char Char Char Char Char1"/>
    <w:basedOn w:val="1"/>
    <w:qFormat/>
    <w:uiPriority w:val="0"/>
    <w:pPr>
      <w:tabs>
        <w:tab w:val="left" w:pos="360"/>
      </w:tabs>
    </w:pPr>
    <w:rPr>
      <w:sz w:val="24"/>
      <w:szCs w:val="20"/>
    </w:rPr>
  </w:style>
  <w:style w:type="paragraph" w:customStyle="1" w:styleId="275">
    <w:name w:val="Char Char Char 字元 字元"/>
    <w:basedOn w:val="1"/>
    <w:qFormat/>
    <w:uiPriority w:val="0"/>
    <w:pPr>
      <w:adjustRightInd/>
      <w:spacing w:line="360" w:lineRule="auto"/>
      <w:ind w:firstLine="200" w:firstLineChars="200"/>
    </w:pPr>
    <w:rPr>
      <w:szCs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7">
    <w:name w:val="Char Char Char Char Char Char Char"/>
    <w:basedOn w:val="1"/>
    <w:qFormat/>
    <w:uiPriority w:val="0"/>
    <w:rPr>
      <w:rFonts w:ascii="仿宋_GB2312" w:eastAsia="仿宋_GB2312"/>
      <w:b/>
      <w:sz w:val="32"/>
      <w:szCs w:val="32"/>
    </w:rPr>
  </w:style>
  <w:style w:type="paragraph" w:customStyle="1" w:styleId="27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0">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1">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2">
    <w:name w:val="批注框文本 Char Char"/>
    <w:basedOn w:val="1"/>
    <w:qFormat/>
    <w:uiPriority w:val="0"/>
    <w:pPr>
      <w:adjustRightInd/>
    </w:pPr>
    <w:rPr>
      <w:sz w:val="18"/>
      <w:szCs w:val="20"/>
    </w:rPr>
  </w:style>
  <w:style w:type="paragraph" w:customStyle="1" w:styleId="2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7">
    <w:name w:val="索引 11"/>
    <w:basedOn w:val="1"/>
    <w:next w:val="1"/>
    <w:qFormat/>
    <w:uiPriority w:val="99"/>
    <w:pPr>
      <w:adjustRightInd/>
      <w:spacing w:line="360" w:lineRule="auto"/>
    </w:pPr>
    <w:rPr>
      <w:rFonts w:ascii="仿宋_GB2312" w:eastAsia="仿宋_GB2312"/>
      <w:sz w:val="24"/>
      <w:szCs w:val="20"/>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0">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正文文字表格居中"/>
    <w:basedOn w:val="1"/>
    <w:next w:val="59"/>
    <w:qFormat/>
    <w:uiPriority w:val="0"/>
    <w:pPr>
      <w:snapToGrid w:val="0"/>
      <w:spacing w:line="360" w:lineRule="auto"/>
    </w:pPr>
    <w:rPr>
      <w:rFonts w:ascii="宋体"/>
      <w:b/>
      <w:sz w:val="24"/>
      <w:szCs w:val="20"/>
    </w:rPr>
  </w:style>
  <w:style w:type="paragraph" w:customStyle="1" w:styleId="2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5">
    <w:name w:val="Plain Text1"/>
    <w:basedOn w:val="1"/>
    <w:qFormat/>
    <w:uiPriority w:val="7"/>
    <w:pPr>
      <w:adjustRightInd/>
    </w:pPr>
    <w:rPr>
      <w:rFonts w:ascii="宋体" w:hAnsi="Courier New"/>
    </w:rPr>
  </w:style>
  <w:style w:type="paragraph" w:customStyle="1" w:styleId="296">
    <w:name w:val="Char3"/>
    <w:basedOn w:val="1"/>
    <w:qFormat/>
    <w:uiPriority w:val="0"/>
    <w:pPr>
      <w:adjustRightInd/>
    </w:pPr>
    <w:rPr>
      <w:rFonts w:ascii="仿宋_GB2312" w:eastAsia="仿宋_GB2312"/>
      <w:b/>
      <w:sz w:val="32"/>
      <w:szCs w:val="32"/>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9">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0">
    <w:name w:val="List Paragraph1"/>
    <w:basedOn w:val="1"/>
    <w:qFormat/>
    <w:uiPriority w:val="0"/>
    <w:pPr>
      <w:spacing w:line="360" w:lineRule="auto"/>
      <w:ind w:firstLine="200" w:firstLineChars="200"/>
    </w:pPr>
    <w:rPr>
      <w:rFonts w:eastAsia="楷体_GB2312" w:cs="Lucida Sans"/>
      <w:sz w:val="24"/>
    </w:rPr>
  </w:style>
  <w:style w:type="paragraph" w:customStyle="1" w:styleId="30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4">
    <w:name w:val="Char3 Char Char Char"/>
    <w:basedOn w:val="1"/>
    <w:qFormat/>
    <w:uiPriority w:val="0"/>
    <w:pPr>
      <w:widowControl/>
      <w:adjustRightInd/>
      <w:spacing w:after="160" w:line="240" w:lineRule="exact"/>
      <w:jc w:val="left"/>
    </w:pPr>
    <w:rPr>
      <w:szCs w:val="20"/>
    </w:rPr>
  </w:style>
  <w:style w:type="paragraph" w:customStyle="1" w:styleId="305">
    <w:name w:val="表格标题2"/>
    <w:basedOn w:val="306"/>
    <w:qFormat/>
    <w:uiPriority w:val="0"/>
    <w:rPr>
      <w:b/>
    </w:rPr>
  </w:style>
  <w:style w:type="paragraph" w:customStyle="1" w:styleId="306">
    <w:name w:val="表格内文"/>
    <w:basedOn w:val="1"/>
    <w:qFormat/>
    <w:uiPriority w:val="0"/>
    <w:pPr>
      <w:adjustRightInd/>
      <w:spacing w:line="360" w:lineRule="auto"/>
    </w:pPr>
    <w:rPr>
      <w:rFonts w:ascii="宋体" w:hAnsi="宋体" w:cs="宋体"/>
      <w:color w:val="000000"/>
      <w:szCs w:val="20"/>
    </w:rPr>
  </w:style>
  <w:style w:type="paragraph" w:customStyle="1" w:styleId="307">
    <w:name w:val="Char Char Char Char Char Char Char Char Char Char2"/>
    <w:basedOn w:val="1"/>
    <w:qFormat/>
    <w:uiPriority w:val="0"/>
    <w:rPr>
      <w:rFonts w:ascii="仿宋_GB2312" w:eastAsia="仿宋_GB2312"/>
      <w:b/>
      <w:sz w:val="32"/>
      <w:szCs w:val="32"/>
    </w:rPr>
  </w:style>
  <w:style w:type="paragraph" w:customStyle="1" w:styleId="30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0">
    <w:name w:val="Char Char11 Char Char Char Char Char Char Char Char Char11"/>
    <w:basedOn w:val="1"/>
    <w:qFormat/>
    <w:uiPriority w:val="0"/>
    <w:pPr>
      <w:spacing w:line="360" w:lineRule="auto"/>
    </w:pPr>
    <w:rPr>
      <w:szCs w:val="20"/>
    </w:rPr>
  </w:style>
  <w:style w:type="paragraph" w:customStyle="1" w:styleId="31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3">
    <w:name w:val="MM Topic 1"/>
    <w:basedOn w:val="5"/>
    <w:qFormat/>
    <w:uiPriority w:val="0"/>
    <w:pPr>
      <w:tabs>
        <w:tab w:val="left" w:pos="840"/>
        <w:tab w:val="clear" w:pos="432"/>
      </w:tabs>
      <w:adjustRightInd/>
      <w:ind w:left="840" w:hanging="420"/>
    </w:pPr>
  </w:style>
  <w:style w:type="paragraph" w:customStyle="1" w:styleId="314">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5">
    <w:name w:val="文本正文 Char"/>
    <w:basedOn w:val="1"/>
    <w:qFormat/>
    <w:uiPriority w:val="0"/>
    <w:pPr>
      <w:spacing w:line="360" w:lineRule="auto"/>
      <w:ind w:firstLine="200" w:firstLineChars="200"/>
    </w:pPr>
    <w:rPr>
      <w:kern w:val="0"/>
      <w:sz w:val="24"/>
      <w:szCs w:val="20"/>
    </w:rPr>
  </w:style>
  <w:style w:type="paragraph" w:customStyle="1" w:styleId="316">
    <w:name w:val="表格"/>
    <w:basedOn w:val="1"/>
    <w:qFormat/>
    <w:uiPriority w:val="0"/>
    <w:pPr>
      <w:snapToGrid w:val="0"/>
      <w:ind w:firstLine="42" w:firstLineChars="21"/>
    </w:pPr>
    <w:rPr>
      <w:rFonts w:ascii="宋体" w:hAnsi="宋体"/>
      <w:kern w:val="0"/>
      <w:sz w:val="20"/>
      <w:szCs w:val="20"/>
    </w:rPr>
  </w:style>
  <w:style w:type="paragraph" w:customStyle="1" w:styleId="317">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0">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1">
    <w:name w:val="EB_表格"/>
    <w:basedOn w:val="1"/>
    <w:qFormat/>
    <w:uiPriority w:val="0"/>
    <w:pPr>
      <w:adjustRightInd/>
      <w:spacing w:line="300" w:lineRule="auto"/>
      <w:jc w:val="center"/>
    </w:pPr>
  </w:style>
  <w:style w:type="paragraph" w:customStyle="1" w:styleId="322">
    <w:name w:val="_Style 6"/>
    <w:basedOn w:val="1"/>
    <w:qFormat/>
    <w:uiPriority w:val="34"/>
    <w:pPr>
      <w:adjustRightInd/>
      <w:ind w:firstLine="420" w:firstLineChars="200"/>
    </w:pPr>
    <w:rPr>
      <w:rFonts w:eastAsia="仿宋_GB2312"/>
      <w:sz w:val="28"/>
    </w:rPr>
  </w:style>
  <w:style w:type="paragraph" w:customStyle="1" w:styleId="32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5">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7">
    <w:name w:val="正文表标题"/>
    <w:next w:val="32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0">
    <w:name w:val="trademark"/>
    <w:qFormat/>
    <w:uiPriority w:val="0"/>
    <w:pPr>
      <w:spacing w:after="60"/>
    </w:pPr>
    <w:rPr>
      <w:rFonts w:ascii="Futura Bk" w:hAnsi="Futura Bk" w:eastAsia="宋体" w:cs="Times New Roman"/>
      <w:sz w:val="15"/>
      <w:lang w:val="en-US" w:eastAsia="en-US" w:bidi="ar-SA"/>
    </w:rPr>
  </w:style>
  <w:style w:type="paragraph" w:customStyle="1" w:styleId="33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2">
    <w:name w:val="Char Char1 Char Char Char Char Char Char1"/>
    <w:basedOn w:val="1"/>
    <w:qFormat/>
    <w:uiPriority w:val="0"/>
    <w:rPr>
      <w:rFonts w:ascii="仿宋_GB2312" w:eastAsia="仿宋_GB2312"/>
      <w:b/>
      <w:sz w:val="32"/>
      <w:szCs w:val="20"/>
    </w:rPr>
  </w:style>
  <w:style w:type="paragraph" w:customStyle="1" w:styleId="33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4">
    <w:name w:val="Char1 Char Char Char1"/>
    <w:basedOn w:val="1"/>
    <w:qFormat/>
    <w:uiPriority w:val="0"/>
    <w:pPr>
      <w:adjustRightInd/>
      <w:ind w:firstLine="200" w:firstLineChars="200"/>
    </w:pPr>
    <w:rPr>
      <w:rFonts w:ascii="Tahoma" w:hAnsi="Tahoma"/>
      <w:sz w:val="24"/>
      <w:szCs w:val="20"/>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样式7"/>
    <w:basedOn w:val="337"/>
    <w:next w:val="1"/>
    <w:qFormat/>
    <w:uiPriority w:val="0"/>
    <w:pPr>
      <w:spacing w:after="156" w:afterLines="50"/>
      <w:jc w:val="left"/>
      <w:outlineLvl w:val="3"/>
    </w:pPr>
    <w:rPr>
      <w:sz w:val="24"/>
      <w:szCs w:val="24"/>
    </w:rPr>
  </w:style>
  <w:style w:type="paragraph" w:customStyle="1" w:styleId="3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0">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1">
    <w:name w:val="Char2 Char Char2"/>
    <w:basedOn w:val="1"/>
    <w:qFormat/>
    <w:uiPriority w:val="0"/>
    <w:pPr>
      <w:adjustRightInd/>
    </w:pPr>
    <w:rPr>
      <w:rFonts w:ascii="Tahoma" w:hAnsi="Tahoma"/>
      <w:sz w:val="24"/>
      <w:szCs w:val="20"/>
    </w:rPr>
  </w:style>
  <w:style w:type="paragraph" w:customStyle="1" w:styleId="34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3">
    <w:name w:val="三级条标题"/>
    <w:basedOn w:val="344"/>
    <w:next w:val="328"/>
    <w:qFormat/>
    <w:uiPriority w:val="0"/>
    <w:pPr>
      <w:tabs>
        <w:tab w:val="left" w:pos="1260"/>
        <w:tab w:val="left" w:pos="1680"/>
        <w:tab w:val="left" w:pos="2100"/>
        <w:tab w:val="left" w:pos="2520"/>
      </w:tabs>
      <w:ind w:left="2520"/>
      <w:outlineLvl w:val="4"/>
    </w:pPr>
  </w:style>
  <w:style w:type="paragraph" w:customStyle="1" w:styleId="344">
    <w:name w:val="二级条标题"/>
    <w:basedOn w:val="345"/>
    <w:next w:val="328"/>
    <w:qFormat/>
    <w:uiPriority w:val="0"/>
    <w:pPr>
      <w:tabs>
        <w:tab w:val="left" w:pos="1260"/>
        <w:tab w:val="left" w:pos="1680"/>
        <w:tab w:val="left" w:pos="2100"/>
      </w:tabs>
      <w:ind w:left="0"/>
      <w:outlineLvl w:val="3"/>
    </w:pPr>
  </w:style>
  <w:style w:type="paragraph" w:customStyle="1" w:styleId="345">
    <w:name w:val="一级条标题"/>
    <w:basedOn w:val="346"/>
    <w:next w:val="328"/>
    <w:qFormat/>
    <w:uiPriority w:val="0"/>
    <w:pPr>
      <w:tabs>
        <w:tab w:val="left" w:pos="1260"/>
        <w:tab w:val="left" w:pos="1680"/>
      </w:tabs>
      <w:spacing w:before="0" w:beforeLines="0" w:after="0" w:afterLines="0"/>
      <w:ind w:left="1680"/>
      <w:outlineLvl w:val="2"/>
    </w:pPr>
  </w:style>
  <w:style w:type="paragraph" w:customStyle="1" w:styleId="346">
    <w:name w:val="章标题"/>
    <w:next w:val="32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7">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9">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1">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3">
    <w:name w:val="正文 项目2"/>
    <w:basedOn w:val="354"/>
    <w:qFormat/>
    <w:uiPriority w:val="0"/>
    <w:pPr>
      <w:tabs>
        <w:tab w:val="left" w:pos="840"/>
      </w:tabs>
      <w:spacing w:after="0"/>
      <w:ind w:left="900"/>
    </w:pPr>
  </w:style>
  <w:style w:type="paragraph" w:customStyle="1" w:styleId="35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5">
    <w:name w:val="Body Text 2*"/>
    <w:basedOn w:val="1"/>
    <w:qFormat/>
    <w:uiPriority w:val="6"/>
    <w:pPr>
      <w:widowControl/>
      <w:adjustRightInd/>
      <w:ind w:left="720" w:hanging="720"/>
    </w:pPr>
    <w:rPr>
      <w:color w:val="000000"/>
      <w:kern w:val="0"/>
      <w:sz w:val="24"/>
      <w:szCs w:val="20"/>
    </w:rPr>
  </w:style>
  <w:style w:type="paragraph" w:customStyle="1" w:styleId="356">
    <w:name w:val="表1"/>
    <w:basedOn w:val="1"/>
    <w:qFormat/>
    <w:uiPriority w:val="0"/>
    <w:pPr>
      <w:tabs>
        <w:tab w:val="left" w:pos="703"/>
      </w:tabs>
      <w:adjustRightInd/>
      <w:spacing w:line="360" w:lineRule="auto"/>
      <w:ind w:left="703"/>
      <w:jc w:val="center"/>
    </w:pPr>
  </w:style>
  <w:style w:type="paragraph" w:customStyle="1" w:styleId="35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0">
    <w:name w:val="2级标题"/>
    <w:basedOn w:val="361"/>
    <w:qFormat/>
    <w:uiPriority w:val="0"/>
    <w:pPr>
      <w:jc w:val="left"/>
      <w:outlineLvl w:val="1"/>
    </w:pPr>
    <w:rPr>
      <w:rFonts w:ascii="Times New Roman" w:hAnsi="Times New Roman" w:eastAsia="仿宋"/>
      <w:sz w:val="30"/>
    </w:rPr>
  </w:style>
  <w:style w:type="paragraph" w:customStyle="1" w:styleId="36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6">
    <w:name w:val="bullet"/>
    <w:basedOn w:val="1"/>
    <w:qFormat/>
    <w:uiPriority w:val="0"/>
    <w:pPr>
      <w:tabs>
        <w:tab w:val="left" w:pos="840"/>
      </w:tabs>
      <w:adjustRightInd/>
      <w:ind w:left="840" w:hanging="420"/>
    </w:pPr>
  </w:style>
  <w:style w:type="paragraph" w:customStyle="1" w:styleId="36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4">
    <w:name w:val="MM Topic 4"/>
    <w:basedOn w:val="9"/>
    <w:qFormat/>
    <w:uiPriority w:val="0"/>
    <w:pPr>
      <w:tabs>
        <w:tab w:val="left" w:pos="2100"/>
        <w:tab w:val="clear" w:pos="864"/>
      </w:tabs>
      <w:adjustRightInd/>
      <w:ind w:left="2100" w:hanging="420"/>
    </w:pPr>
    <w:rPr>
      <w:lang w:val="en-US"/>
    </w:rPr>
  </w:style>
  <w:style w:type="paragraph" w:customStyle="1" w:styleId="37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7">
    <w:name w:val="Char Char11 Char Char Char Char Char Char Char Char Char1"/>
    <w:basedOn w:val="1"/>
    <w:qFormat/>
    <w:uiPriority w:val="6"/>
    <w:pPr>
      <w:spacing w:line="360" w:lineRule="auto"/>
    </w:pPr>
    <w:rPr>
      <w:szCs w:val="20"/>
    </w:rPr>
  </w:style>
  <w:style w:type="paragraph" w:customStyle="1" w:styleId="37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0">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7">
    <w:name w:val="单元格居中"/>
    <w:basedOn w:val="1"/>
    <w:qFormat/>
    <w:uiPriority w:val="0"/>
    <w:pPr>
      <w:adjustRightInd/>
      <w:spacing w:line="360" w:lineRule="auto"/>
      <w:jc w:val="center"/>
    </w:pPr>
    <w:rPr>
      <w:sz w:val="24"/>
    </w:rPr>
  </w:style>
  <w:style w:type="paragraph" w:customStyle="1" w:styleId="38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9">
    <w:name w:val="Char Char Char Char Char Char Char1"/>
    <w:basedOn w:val="1"/>
    <w:qFormat/>
    <w:uiPriority w:val="6"/>
    <w:rPr>
      <w:rFonts w:ascii="仿宋_GB2312" w:eastAsia="仿宋_GB2312"/>
      <w:b/>
      <w:sz w:val="32"/>
      <w:szCs w:val="32"/>
    </w:rPr>
  </w:style>
  <w:style w:type="paragraph" w:customStyle="1" w:styleId="390">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5"/>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9"/>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7"/>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6"/>
    <w:qFormat/>
    <w:uiPriority w:val="0"/>
    <w:pPr>
      <w:snapToGrid w:val="0"/>
      <w:ind w:firstLine="480" w:firstLineChars="200"/>
    </w:pPr>
    <w:rPr>
      <w:rFonts w:ascii="Times New Roman"/>
      <w:szCs w:val="24"/>
      <w:lang w:val="en-US"/>
    </w:rPr>
  </w:style>
  <w:style w:type="paragraph" w:customStyle="1" w:styleId="45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8"/>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3"/>
    <w:next w:val="328"/>
    <w:qFormat/>
    <w:uiPriority w:val="0"/>
    <w:pPr>
      <w:tabs>
        <w:tab w:val="left" w:pos="2940"/>
        <w:tab w:val="clear" w:pos="2520"/>
      </w:tabs>
      <w:ind w:left="2940"/>
      <w:outlineLvl w:val="5"/>
    </w:pPr>
  </w:style>
  <w:style w:type="paragraph" w:customStyle="1" w:styleId="48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qFormat/>
    <w:uiPriority w:val="0"/>
    <w:rPr>
      <w:rFonts w:ascii="仿宋_GB2312" w:eastAsia="仿宋_GB2312"/>
      <w:b/>
      <w:sz w:val="32"/>
      <w:szCs w:val="32"/>
    </w:rPr>
  </w:style>
  <w:style w:type="paragraph" w:customStyle="1" w:styleId="48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2"/>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21"/>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0"/>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6"/>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10"/>
    <w:next w:val="1"/>
    <w:qFormat/>
    <w:uiPriority w:val="0"/>
    <w:pPr>
      <w:tabs>
        <w:tab w:val="left" w:pos="1080"/>
        <w:tab w:val="clear" w:pos="1008"/>
      </w:tabs>
      <w:ind w:left="1080" w:hanging="1080"/>
    </w:pPr>
  </w:style>
  <w:style w:type="paragraph" w:customStyle="1" w:styleId="584">
    <w:name w:val="数字标题1"/>
    <w:basedOn w:val="5"/>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1"/>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0"/>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10">
    <w:name w:val="_Style 947"/>
    <w:basedOn w:val="1"/>
    <w:next w:val="105"/>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2">
    <w:name w:val="表格非标题文字 Char"/>
    <w:link w:val="85"/>
    <w:qFormat/>
    <w:uiPriority w:val="0"/>
    <w:rPr>
      <w:rFonts w:ascii="Futura Bk" w:hAnsi="Futura Bk"/>
      <w:kern w:val="2"/>
      <w:sz w:val="18"/>
      <w:szCs w:val="21"/>
      <w:lang w:val="en-US" w:eastAsia="zh-CN" w:bidi="ar-SA"/>
    </w:rPr>
  </w:style>
  <w:style w:type="character" w:customStyle="1" w:styleId="623">
    <w:name w:val="*正文 Char"/>
    <w:link w:val="86"/>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7"/>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3"/>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8"/>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9"/>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1"/>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90"/>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0"/>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1"/>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11"/>
    <w:qFormat/>
    <w:uiPriority w:val="0"/>
    <w:rPr>
      <w:rFonts w:ascii="Arial" w:hAnsi="Arial" w:eastAsia="黑体"/>
      <w:b/>
      <w:bCs/>
      <w:kern w:val="2"/>
      <w:sz w:val="24"/>
      <w:szCs w:val="24"/>
    </w:rPr>
  </w:style>
  <w:style w:type="character" w:customStyle="1" w:styleId="681">
    <w:name w:val="纯文本 Char_0"/>
    <w:link w:val="92"/>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4"/>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5"/>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8"/>
    <w:qFormat/>
    <w:uiPriority w:val="0"/>
    <w:rPr>
      <w:rFonts w:ascii="宋体"/>
      <w:kern w:val="2"/>
      <w:sz w:val="24"/>
      <w:szCs w:val="21"/>
      <w:lang w:val="zh-CN"/>
    </w:rPr>
  </w:style>
  <w:style w:type="character" w:customStyle="1" w:styleId="711">
    <w:name w:val="标题 9 Char"/>
    <w:link w:val="14"/>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6"/>
    <w:qFormat/>
    <w:locked/>
    <w:uiPriority w:val="0"/>
    <w:rPr>
      <w:rFonts w:ascii="Tahoma" w:hAnsi="Tahoma"/>
      <w:sz w:val="24"/>
      <w:szCs w:val="24"/>
    </w:rPr>
  </w:style>
  <w:style w:type="character" w:customStyle="1" w:styleId="721">
    <w:name w:val="正文缩进 Char2"/>
    <w:link w:val="8"/>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7"/>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1"/>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1"/>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9"/>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100"/>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9"/>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1"/>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2"/>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3"/>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4"/>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3"/>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6"/>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5"/>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2"/>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10"/>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3"/>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0"/>
    <w:qFormat/>
    <w:uiPriority w:val="0"/>
    <w:rPr>
      <w:rFonts w:ascii="黑体" w:hAnsi="Courier New" w:eastAsia="黑体"/>
    </w:rPr>
  </w:style>
  <w:style w:type="character" w:customStyle="1" w:styleId="820">
    <w:name w:val="正文文本 2 Char1"/>
    <w:link w:val="59"/>
    <w:qFormat/>
    <w:uiPriority w:val="0"/>
    <w:rPr>
      <w:kern w:val="2"/>
      <w:sz w:val="21"/>
      <w:szCs w:val="24"/>
    </w:rPr>
  </w:style>
  <w:style w:type="character" w:customStyle="1" w:styleId="821">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12"/>
    <w:qFormat/>
    <w:uiPriority w:val="0"/>
    <w:rPr>
      <w:b/>
      <w:bCs/>
      <w:kern w:val="2"/>
      <w:sz w:val="24"/>
      <w:szCs w:val="24"/>
    </w:rPr>
  </w:style>
  <w:style w:type="character" w:customStyle="1" w:styleId="824">
    <w:name w:val="正文文本缩进 2 Char"/>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3"/>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9"/>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10"/>
    <w:qFormat/>
    <w:uiPriority w:val="0"/>
    <w:rPr>
      <w:rFonts w:ascii="宋体" w:hAnsi="Courier New"/>
    </w:rPr>
  </w:style>
  <w:style w:type="character" w:customStyle="1" w:styleId="835">
    <w:name w:val="正文首行缩进 Char"/>
    <w:link w:val="27"/>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9"/>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4"/>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1"/>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2"/>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2"/>
    <w:qFormat/>
    <w:uiPriority w:val="0"/>
    <w:rPr>
      <w:kern w:val="2"/>
      <w:sz w:val="21"/>
      <w:szCs w:val="24"/>
    </w:rPr>
  </w:style>
  <w:style w:type="character" w:customStyle="1" w:styleId="857">
    <w:name w:val="签名 Char"/>
    <w:link w:val="45"/>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3"/>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4"/>
    <w:qFormat/>
    <w:uiPriority w:val="0"/>
    <w:rPr>
      <w:rFonts w:ascii="宋体"/>
    </w:rPr>
  </w:style>
  <w:style w:type="character" w:customStyle="1" w:styleId="868">
    <w:name w:val="标题 8 Char"/>
    <w:link w:val="13"/>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6"/>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5"/>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6"/>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4"/>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7"/>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8"/>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9"/>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20"/>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1"/>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1"/>
    <w:qFormat/>
    <w:uiPriority w:val="0"/>
    <w:rPr>
      <w:rFonts w:cs="宋体"/>
      <w:kern w:val="2"/>
      <w:sz w:val="24"/>
    </w:rPr>
  </w:style>
  <w:style w:type="character" w:customStyle="1" w:styleId="933">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4">
    <w:name w:val="gray6"/>
    <w:basedOn w:val="71"/>
    <w:qFormat/>
    <w:uiPriority w:val="0"/>
    <w:rPr>
      <w:rFonts w:ascii="Arial" w:hAnsi="Arial" w:eastAsia="黑体" w:cs="Arial"/>
      <w:snapToGrid w:val="0"/>
      <w:kern w:val="0"/>
      <w:szCs w:val="21"/>
    </w:rPr>
  </w:style>
  <w:style w:type="character" w:customStyle="1" w:styleId="935">
    <w:name w:val="hui"/>
    <w:basedOn w:val="71"/>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0"/>
    <w:qFormat/>
    <w:uiPriority w:val="0"/>
    <w:rPr>
      <w:kern w:val="2"/>
      <w:sz w:val="21"/>
      <w:szCs w:val="24"/>
      <w:lang w:val="zh-CN"/>
    </w:rPr>
  </w:style>
  <w:style w:type="character" w:customStyle="1" w:styleId="942">
    <w:name w:val="无间隔 Char"/>
    <w:link w:val="171"/>
    <w:qFormat/>
    <w:uiPriority w:val="99"/>
    <w:rPr>
      <w:kern w:val="2"/>
      <w:sz w:val="21"/>
      <w:szCs w:val="22"/>
    </w:rPr>
  </w:style>
  <w:style w:type="character" w:customStyle="1" w:styleId="943">
    <w:name w:val="标准文本 Char Char"/>
    <w:link w:val="609"/>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1"/>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Normal"/>
    <w:qFormat/>
    <w:uiPriority w:val="0"/>
    <w:tblPr>
      <w:tblCellMar>
        <w:top w:w="0" w:type="dxa"/>
        <w:left w:w="0" w:type="dxa"/>
        <w:bottom w:w="0" w:type="dxa"/>
        <w:right w:w="0" w:type="dxa"/>
      </w:tblCellMar>
    </w:tblPr>
  </w:style>
  <w:style w:type="paragraph" w:customStyle="1" w:styleId="967">
    <w:name w:val="正文文本首行缩进 21"/>
    <w:basedOn w:val="3"/>
    <w:qFormat/>
    <w:uiPriority w:val="99"/>
    <w:pPr>
      <w:spacing w:line="200" w:lineRule="atLeast"/>
      <w:ind w:firstLine="420"/>
    </w:pPr>
    <w:rPr>
      <w:rFonts w:ascii="宋体" w:hAnsi="Courier New"/>
      <w:spacing w:val="-4"/>
      <w:sz w:val="18"/>
    </w:rPr>
  </w:style>
  <w:style w:type="paragraph" w:customStyle="1" w:styleId="968">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96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70">
    <w:name w:val="BodyTextIndent"/>
    <w:basedOn w:val="1"/>
    <w:next w:val="971"/>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1">
    <w:name w:val="UserStyle_460"/>
    <w:basedOn w:val="970"/>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狗蛋</cp:lastModifiedBy>
  <cp:lastPrinted>2021-12-27T03:06:00Z</cp:lastPrinted>
  <dcterms:modified xsi:type="dcterms:W3CDTF">2022-03-09T09:06:29Z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