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宋体" w:hAnsi="宋体" w:eastAsia="宋体" w:cs="宋体"/>
          <w:color w:val="auto"/>
          <w:sz w:val="48"/>
          <w:szCs w:val="48"/>
          <w:highlight w:val="none"/>
        </w:rPr>
      </w:pPr>
    </w:p>
    <w:p>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eastAsia="宋体" w:cs="宋体"/>
          <w:color w:val="auto"/>
          <w:sz w:val="48"/>
          <w:szCs w:val="48"/>
          <w:highlight w:val="none"/>
          <w:lang w:eastAsia="zh-CN"/>
        </w:rPr>
        <w:t>仓前街道2022-2024年文一西路以北区块道路综合养护</w:t>
      </w:r>
    </w:p>
    <w:p>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招标文件</w:t>
      </w: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（电子招投标）</w:t>
      </w:r>
    </w:p>
    <w:p>
      <w:pPr>
        <w:snapToGrid w:val="0"/>
        <w:spacing w:line="360" w:lineRule="auto"/>
        <w:jc w:val="center"/>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2"/>
          <w:szCs w:val="32"/>
          <w:highlight w:val="none"/>
        </w:rPr>
        <w:t>编号:</w:t>
      </w:r>
      <w:r>
        <w:rPr>
          <w:rFonts w:hint="eastAsia" w:ascii="宋体" w:hAnsi="宋体" w:eastAsia="宋体" w:cs="宋体"/>
          <w:color w:val="auto"/>
          <w:sz w:val="32"/>
          <w:szCs w:val="32"/>
          <w:highlight w:val="none"/>
          <w:lang w:val="en-US" w:eastAsia="zh-CN"/>
        </w:rPr>
        <w:t>ZJDL-2022-011</w:t>
      </w: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32"/>
          <w:szCs w:val="32"/>
          <w:highlight w:val="none"/>
        </w:rPr>
      </w:pPr>
    </w:p>
    <w:p>
      <w:pPr>
        <w:snapToGrid w:val="0"/>
        <w:spacing w:line="360" w:lineRule="auto"/>
        <w:jc w:val="center"/>
        <w:rPr>
          <w:rFonts w:hint="eastAsia" w:ascii="宋体" w:hAnsi="宋体" w:eastAsia="宋体" w:cs="宋体"/>
          <w:b/>
          <w:bCs/>
          <w:color w:val="auto"/>
          <w:sz w:val="32"/>
          <w:szCs w:val="32"/>
          <w:highlight w:val="none"/>
          <w:lang w:eastAsia="zh-CN"/>
        </w:rPr>
      </w:pPr>
    </w:p>
    <w:p>
      <w:pPr>
        <w:snapToGrid w:val="0"/>
        <w:spacing w:line="360" w:lineRule="auto"/>
        <w:jc w:val="center"/>
        <w:rPr>
          <w:rFonts w:hint="eastAsia" w:ascii="宋体" w:hAnsi="宋体" w:eastAsia="宋体" w:cs="宋体"/>
          <w:color w:val="auto"/>
          <w:sz w:val="32"/>
          <w:szCs w:val="32"/>
          <w:highlight w:val="none"/>
          <w:lang w:eastAsia="zh-CN"/>
        </w:rPr>
      </w:pPr>
    </w:p>
    <w:p>
      <w:pPr>
        <w:pStyle w:val="6"/>
        <w:rPr>
          <w:rFonts w:hint="eastAsia" w:ascii="宋体" w:hAnsi="宋体" w:eastAsia="宋体" w:cs="宋体"/>
          <w:color w:val="auto"/>
          <w:sz w:val="32"/>
          <w:szCs w:val="32"/>
          <w:highlight w:val="none"/>
          <w:lang w:eastAsia="zh-CN"/>
        </w:rPr>
      </w:pPr>
    </w:p>
    <w:p>
      <w:pPr>
        <w:rPr>
          <w:rFonts w:hint="eastAsia" w:ascii="宋体" w:hAnsi="宋体" w:eastAsia="宋体" w:cs="宋体"/>
          <w:color w:val="auto"/>
          <w:sz w:val="32"/>
          <w:szCs w:val="32"/>
          <w:highlight w:val="none"/>
          <w:lang w:eastAsia="zh-CN"/>
        </w:rPr>
      </w:pPr>
    </w:p>
    <w:p>
      <w:pPr>
        <w:pStyle w:val="6"/>
        <w:rPr>
          <w:rFonts w:hint="eastAsia" w:ascii="宋体" w:hAnsi="宋体" w:eastAsia="宋体" w:cs="宋体"/>
          <w:highlight w:val="none"/>
          <w:lang w:eastAsia="zh-CN"/>
        </w:rPr>
      </w:pPr>
    </w:p>
    <w:p>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采购人</w:t>
      </w:r>
      <w:r>
        <w:rPr>
          <w:rFonts w:hint="eastAsia" w:ascii="宋体" w:hAnsi="宋体" w:eastAsia="宋体" w:cs="宋体"/>
          <w:color w:val="auto"/>
          <w:sz w:val="32"/>
          <w:szCs w:val="32"/>
          <w:highlight w:val="none"/>
          <w:lang w:eastAsia="zh-CN"/>
        </w:rPr>
        <w:t>：杭州市余杭区人民政府仓前街道办事处</w:t>
      </w: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采购代理机构</w:t>
      </w:r>
      <w:r>
        <w:rPr>
          <w:rFonts w:hint="eastAsia" w:ascii="宋体" w:hAnsi="宋体" w:eastAsia="宋体" w:cs="宋体"/>
          <w:color w:val="auto"/>
          <w:sz w:val="32"/>
          <w:szCs w:val="32"/>
          <w:highlight w:val="none"/>
          <w:lang w:eastAsia="zh-CN"/>
        </w:rPr>
        <w:t>：浙江中际工程项目管理有限公司</w:t>
      </w:r>
    </w:p>
    <w:p>
      <w:pPr>
        <w:snapToGrid w:val="0"/>
        <w:spacing w:line="360" w:lineRule="auto"/>
        <w:jc w:val="cente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二〇二</w:t>
      </w:r>
      <w:r>
        <w:rPr>
          <w:rFonts w:hint="eastAsia" w:ascii="宋体" w:hAnsi="宋体" w:eastAsia="宋体" w:cs="宋体"/>
          <w:b w:val="0"/>
          <w:bCs w:val="0"/>
          <w:color w:val="auto"/>
          <w:sz w:val="32"/>
          <w:szCs w:val="32"/>
          <w:highlight w:val="none"/>
          <w:lang w:val="en-US" w:eastAsia="zh-CN"/>
        </w:rPr>
        <w:t>二</w:t>
      </w:r>
      <w:r>
        <w:rPr>
          <w:rFonts w:hint="eastAsia" w:ascii="宋体" w:hAnsi="宋体" w:eastAsia="宋体" w:cs="宋体"/>
          <w:b w:val="0"/>
          <w:bCs w:val="0"/>
          <w:color w:val="auto"/>
          <w:sz w:val="32"/>
          <w:szCs w:val="32"/>
          <w:highlight w:val="none"/>
        </w:rPr>
        <w:t>年</w:t>
      </w:r>
      <w:r>
        <w:rPr>
          <w:rFonts w:hint="eastAsia" w:ascii="宋体" w:hAnsi="宋体" w:eastAsia="宋体" w:cs="宋体"/>
          <w:b w:val="0"/>
          <w:bCs w:val="0"/>
          <w:color w:val="auto"/>
          <w:sz w:val="32"/>
          <w:szCs w:val="32"/>
          <w:highlight w:val="none"/>
          <w:lang w:val="en-US" w:eastAsia="zh-CN"/>
        </w:rPr>
        <w:t>三</w:t>
      </w:r>
      <w:r>
        <w:rPr>
          <w:rFonts w:hint="eastAsia" w:ascii="宋体" w:hAnsi="宋体" w:eastAsia="宋体" w:cs="宋体"/>
          <w:b w:val="0"/>
          <w:bCs w:val="0"/>
          <w:color w:val="auto"/>
          <w:sz w:val="32"/>
          <w:szCs w:val="32"/>
          <w:highlight w:val="none"/>
        </w:rPr>
        <w:t>月</w:t>
      </w:r>
      <w:r>
        <w:rPr>
          <w:rFonts w:hint="eastAsia" w:ascii="宋体" w:hAnsi="宋体" w:eastAsia="宋体" w:cs="宋体"/>
          <w:b w:val="0"/>
          <w:bCs w:val="0"/>
          <w:color w:val="auto"/>
          <w:sz w:val="32"/>
          <w:szCs w:val="32"/>
          <w:highlight w:val="none"/>
          <w:lang w:val="en-US" w:eastAsia="zh-CN"/>
        </w:rPr>
        <w:t xml:space="preserve"> </w:t>
      </w:r>
      <w:r>
        <w:rPr>
          <w:rFonts w:hint="eastAsia" w:ascii="宋体" w:hAnsi="宋体" w:eastAsia="宋体" w:cs="宋体"/>
          <w:b w:val="0"/>
          <w:bCs w:val="0"/>
          <w:color w:val="auto"/>
          <w:sz w:val="32"/>
          <w:szCs w:val="32"/>
          <w:highlight w:val="none"/>
        </w:rPr>
        <w:t>日</w:t>
      </w: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pPr>
        <w:tabs>
          <w:tab w:val="left" w:pos="5793"/>
        </w:tabs>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第四部分      评标办法</w:t>
      </w:r>
      <w:r>
        <w:rPr>
          <w:rFonts w:hint="eastAsia" w:ascii="宋体" w:hAnsi="宋体" w:eastAsia="宋体" w:cs="宋体"/>
          <w:color w:val="auto"/>
          <w:sz w:val="32"/>
          <w:szCs w:val="32"/>
          <w:highlight w:val="none"/>
          <w:lang w:eastAsia="zh-CN"/>
        </w:rPr>
        <w:tab/>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ind w:firstLine="723" w:firstLineChars="200"/>
        <w:jc w:val="center"/>
        <w:rPr>
          <w:rFonts w:hint="eastAsia" w:ascii="宋体" w:hAnsi="宋体" w:eastAsia="宋体" w:cs="宋体"/>
          <w:color w:val="auto"/>
          <w:sz w:val="24"/>
          <w:highlight w:val="none"/>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707423"/>
      <w:bookmarkEnd w:id="3"/>
      <w:bookmarkStart w:id="4" w:name="_Hlt74728647"/>
      <w:bookmarkEnd w:id="4"/>
      <w:bookmarkStart w:id="5" w:name="_Hlt74649545"/>
      <w:bookmarkEnd w:id="5"/>
      <w:bookmarkStart w:id="6" w:name="_Hlt74729822"/>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第一部分 招标公告</w:t>
      </w:r>
    </w:p>
    <w:p>
      <w:pPr>
        <w:pStyle w:val="61"/>
        <w:keepNext w:val="0"/>
        <w:keepLines w:val="0"/>
        <w:widowControl/>
        <w:suppressLineNumbers w:val="0"/>
        <w:spacing w:before="75" w:beforeAutospacing="0" w:after="75" w:afterAutospacing="0"/>
        <w:ind w:left="0" w:right="0"/>
      </w:pPr>
      <w:r>
        <w:rPr>
          <w:rFonts w:ascii="仿宋" w:hAnsi="仿宋" w:eastAsia="仿宋" w:cs="仿宋"/>
          <w:sz w:val="27"/>
          <w:szCs w:val="27"/>
        </w:rPr>
        <w:t>    项目概况</w:t>
      </w:r>
      <w:r>
        <w:rPr>
          <w:rFonts w:hint="eastAsia" w:ascii="仿宋" w:hAnsi="仿宋" w:eastAsia="仿宋" w:cs="仿宋"/>
        </w:rPr>
        <w:t>                                                    </w:t>
      </w:r>
    </w:p>
    <w:p>
      <w:pPr>
        <w:pStyle w:val="61"/>
        <w:keepNext w:val="0"/>
        <w:keepLines w:val="0"/>
        <w:widowControl/>
        <w:suppressLineNumbers w:val="0"/>
        <w:spacing w:before="75" w:beforeAutospacing="0" w:after="75" w:afterAutospacing="0"/>
        <w:ind w:left="0" w:right="0"/>
      </w:pPr>
      <w:r>
        <w:rPr>
          <w:rFonts w:hint="eastAsia" w:ascii="仿宋" w:hAnsi="仿宋" w:eastAsia="仿宋" w:cs="仿宋"/>
          <w:sz w:val="27"/>
          <w:szCs w:val="27"/>
        </w:rPr>
        <w:t>    仓前街道2022-2024年文一西路以北区块道路综合养护招标项目的潜在投标人应在</w:t>
      </w:r>
      <w:r>
        <w:rPr>
          <w:rFonts w:hint="eastAsia" w:ascii="仿宋" w:hAnsi="仿宋" w:eastAsia="仿宋" w:cs="仿宋"/>
          <w:sz w:val="27"/>
          <w:szCs w:val="27"/>
          <w:u w:val="none"/>
        </w:rPr>
        <w:t>政采云平台（https://www.zcygov.cn/）</w:t>
      </w:r>
      <w:r>
        <w:rPr>
          <w:rFonts w:hint="eastAsia" w:ascii="仿宋" w:hAnsi="仿宋" w:eastAsia="仿宋" w:cs="仿宋"/>
          <w:sz w:val="27"/>
          <w:szCs w:val="27"/>
        </w:rPr>
        <w:t>获取（下载）招标文件，并于 2022年03月25日 09:30（北京时间）前递交（上传）投标文件。</w:t>
      </w:r>
      <w:r>
        <w:rPr>
          <w:rFonts w:hint="eastAsia" w:ascii="仿宋" w:hAnsi="仿宋" w:eastAsia="仿宋" w:cs="仿宋"/>
        </w:rPr>
        <w:t>                             </w:t>
      </w:r>
    </w:p>
    <w:p>
      <w:pPr>
        <w:pStyle w:val="61"/>
        <w:keepNext w:val="0"/>
        <w:keepLines w:val="0"/>
        <w:widowControl/>
        <w:numPr>
          <w:ilvl w:val="0"/>
          <w:numId w:val="1"/>
        </w:numPr>
        <w:suppressLineNumbers w:val="0"/>
        <w:spacing w:before="255" w:beforeAutospacing="0" w:after="255" w:afterAutospacing="0" w:line="300" w:lineRule="atLeast"/>
        <w:ind w:left="0" w:right="0"/>
        <w:jc w:val="left"/>
        <w:rPr>
          <w:rFonts w:hint="eastAsia" w:ascii="黑体" w:hAnsi="宋体" w:eastAsia="黑体" w:cs="黑体"/>
          <w:sz w:val="27"/>
          <w:szCs w:val="27"/>
        </w:rPr>
      </w:pPr>
      <w:r>
        <w:rPr>
          <w:rStyle w:val="72"/>
          <w:rFonts w:ascii="黑体" w:hAnsi="宋体" w:eastAsia="黑体" w:cs="黑体"/>
          <w:sz w:val="27"/>
          <w:szCs w:val="27"/>
        </w:rPr>
        <w:t>项目基本情况</w:t>
      </w:r>
      <w:r>
        <w:rPr>
          <w:rFonts w:ascii="黑体" w:hAnsi="宋体" w:eastAsia="黑体" w:cs="黑体"/>
          <w:sz w:val="27"/>
          <w:szCs w:val="27"/>
        </w:rPr>
        <w:t>                         </w:t>
      </w:r>
      <w:r>
        <w:rPr>
          <w:rFonts w:hint="eastAsia" w:ascii="仿宋" w:hAnsi="仿宋" w:eastAsia="仿宋" w:cs="仿宋"/>
          <w:sz w:val="27"/>
          <w:szCs w:val="27"/>
        </w:rPr>
        <w:t xml:space="preserve">  </w:t>
      </w:r>
      <w:r>
        <w:rPr>
          <w:rFonts w:hint="eastAsia" w:ascii="黑体" w:hAnsi="宋体" w:eastAsia="黑体" w:cs="黑体"/>
          <w:sz w:val="27"/>
          <w:szCs w:val="27"/>
        </w:rPr>
        <w:t> </w:t>
      </w:r>
    </w:p>
    <w:p>
      <w:pPr>
        <w:pStyle w:val="61"/>
        <w:keepNext w:val="0"/>
        <w:keepLines w:val="0"/>
        <w:widowControl/>
        <w:numPr>
          <w:numId w:val="0"/>
        </w:numPr>
        <w:suppressLineNumbers w:val="0"/>
        <w:spacing w:before="255" w:beforeAutospacing="0" w:after="255" w:afterAutospacing="0" w:line="300" w:lineRule="atLeast"/>
        <w:ind w:right="0" w:rightChars="0"/>
        <w:jc w:val="left"/>
      </w:pPr>
      <w:r>
        <w:rPr>
          <w:rFonts w:hint="eastAsia" w:ascii="黑体" w:hAnsi="宋体" w:eastAsia="黑体" w:cs="黑体"/>
          <w:sz w:val="27"/>
          <w:szCs w:val="27"/>
        </w:rPr>
        <w:t xml:space="preserve"> </w:t>
      </w:r>
      <w:r>
        <w:rPr>
          <w:rFonts w:hint="eastAsia" w:ascii="仿宋" w:hAnsi="仿宋" w:eastAsia="仿宋" w:cs="仿宋"/>
          <w:sz w:val="27"/>
          <w:szCs w:val="27"/>
        </w:rPr>
        <w:t>项目编号：ZJDL-2022-011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项目名称：仓前街道2022-2024年文一西路以北区块道路综合养护</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预算金额（元）：41680000 </w:t>
      </w:r>
      <w:r>
        <w:rPr>
          <w:rFonts w:hint="eastAsia" w:ascii="仿宋" w:hAnsi="仿宋" w:eastAsia="仿宋" w:cs="仿宋"/>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最高限价（元）：41680000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采购需求：</w:t>
      </w:r>
    </w:p>
    <w:p>
      <w:pPr>
        <w:pStyle w:val="61"/>
        <w:keepNext w:val="0"/>
        <w:keepLines w:val="0"/>
        <w:widowControl/>
        <w:suppressLineNumbers w:val="0"/>
        <w:spacing w:before="75" w:beforeAutospacing="0" w:after="75" w:afterAutospacing="0" w:line="315" w:lineRule="atLeast"/>
        <w:ind w:left="0" w:right="0"/>
      </w:pPr>
      <w:r>
        <w:rPr>
          <w:rFonts w:hint="eastAsia" w:ascii="仿宋" w:hAnsi="仿宋" w:eastAsia="仿宋" w:cs="仿宋"/>
          <w:sz w:val="27"/>
          <w:szCs w:val="27"/>
        </w:rPr>
        <w:t>    </w:t>
      </w:r>
      <w:r>
        <w:rPr>
          <w:rFonts w:hint="eastAsia" w:ascii="仿宋" w:hAnsi="仿宋" w:eastAsia="仿宋" w:cs="仿宋"/>
          <w:sz w:val="27"/>
          <w:szCs w:val="27"/>
        </w:rPr>
        <w:br w:type="textWrapping"/>
      </w:r>
      <w:r>
        <w:rPr>
          <w:rFonts w:hint="eastAsia" w:ascii="仿宋" w:hAnsi="仿宋" w:eastAsia="仿宋" w:cs="仿宋"/>
          <w:sz w:val="27"/>
          <w:szCs w:val="27"/>
        </w:rPr>
        <w:t>    标项名称: 仓前街道2022-2024年文一西路以北区块道路综合养护 </w:t>
      </w:r>
      <w:r>
        <w:rPr>
          <w:rFonts w:hint="eastAsia" w:ascii="仿宋" w:hAnsi="仿宋" w:eastAsia="仿宋" w:cs="仿宋"/>
          <w:sz w:val="27"/>
          <w:szCs w:val="27"/>
        </w:rPr>
        <w:br w:type="textWrapping"/>
      </w:r>
      <w:r>
        <w:rPr>
          <w:rFonts w:hint="eastAsia" w:ascii="仿宋" w:hAnsi="仿宋" w:eastAsia="仿宋" w:cs="仿宋"/>
          <w:sz w:val="27"/>
          <w:szCs w:val="27"/>
        </w:rPr>
        <w:t>    数量: 1  </w:t>
      </w:r>
      <w:r>
        <w:rPr>
          <w:rFonts w:hint="eastAsia" w:ascii="仿宋" w:hAnsi="仿宋" w:eastAsia="仿宋" w:cs="仿宋"/>
          <w:sz w:val="27"/>
          <w:szCs w:val="27"/>
        </w:rPr>
        <w:br w:type="textWrapping"/>
      </w:r>
      <w:r>
        <w:rPr>
          <w:rFonts w:hint="eastAsia" w:ascii="仿宋" w:hAnsi="仿宋" w:eastAsia="仿宋" w:cs="仿宋"/>
          <w:sz w:val="27"/>
          <w:szCs w:val="27"/>
        </w:rPr>
        <w:t>    预算金额（元）: 41680000 </w:t>
      </w:r>
      <w:r>
        <w:rPr>
          <w:rFonts w:hint="eastAsia" w:ascii="仿宋" w:hAnsi="仿宋" w:eastAsia="仿宋" w:cs="仿宋"/>
          <w:sz w:val="27"/>
          <w:szCs w:val="27"/>
        </w:rPr>
        <w:br w:type="textWrapping"/>
      </w:r>
      <w:r>
        <w:rPr>
          <w:rFonts w:hint="eastAsia" w:ascii="仿宋" w:hAnsi="仿宋" w:eastAsia="仿宋" w:cs="仿宋"/>
          <w:sz w:val="27"/>
          <w:szCs w:val="27"/>
        </w:rPr>
        <w:t>    简要规格描述或项目基本概况介绍、用途：仓前街道2022-2024年文一西路以北区块道路综合养护，主要内容：详见招标文件第三部分采购需求。 </w:t>
      </w:r>
      <w:r>
        <w:rPr>
          <w:rFonts w:hint="eastAsia" w:ascii="仿宋" w:hAnsi="仿宋" w:eastAsia="仿宋" w:cs="仿宋"/>
          <w:sz w:val="27"/>
          <w:szCs w:val="27"/>
        </w:rPr>
        <w:br w:type="textWrapping"/>
      </w:r>
      <w:r>
        <w:rPr>
          <w:rFonts w:hint="eastAsia" w:ascii="仿宋" w:hAnsi="仿宋" w:eastAsia="仿宋" w:cs="仿宋"/>
          <w:sz w:val="27"/>
          <w:szCs w:val="27"/>
        </w:rPr>
        <w:t>    备注：</w:t>
      </w:r>
      <w:r>
        <w:rPr>
          <w:rFonts w:hint="eastAsia" w:ascii="仿宋" w:hAnsi="仿宋" w:eastAsia="仿宋" w:cs="仿宋"/>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合同履约期限：标项 1，2年。</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本项目（是）接受联合体投标。</w:t>
      </w:r>
    </w:p>
    <w:p>
      <w:pPr>
        <w:pStyle w:val="61"/>
        <w:keepNext w:val="0"/>
        <w:keepLines w:val="0"/>
        <w:widowControl/>
        <w:suppressLineNumbers w:val="0"/>
        <w:spacing w:before="225" w:beforeAutospacing="0" w:after="225" w:afterAutospacing="0" w:line="300" w:lineRule="atLeast"/>
        <w:ind w:left="0" w:right="0"/>
      </w:pPr>
      <w:r>
        <w:rPr>
          <w:rStyle w:val="72"/>
          <w:rFonts w:ascii="黑体" w:hAnsi="宋体" w:eastAsia="黑体" w:cs="黑体"/>
          <w:sz w:val="27"/>
          <w:szCs w:val="27"/>
        </w:rPr>
        <w:t>二、申请人的资格要求：</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2.落实政府采购政策需满足的资格要求：无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3.本项目的特定资格要求：无 </w:t>
      </w:r>
    </w:p>
    <w:p>
      <w:pPr>
        <w:pStyle w:val="61"/>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72"/>
          <w:rFonts w:ascii="黑体" w:hAnsi="宋体" w:eastAsia="黑体" w:cs="黑体"/>
          <w:sz w:val="27"/>
          <w:szCs w:val="27"/>
        </w:rPr>
        <w:t>三、获取招标文件</w:t>
      </w:r>
      <w:r>
        <w:rPr>
          <w:rFonts w:ascii="黑体" w:hAnsi="宋体" w:eastAsia="黑体" w:cs="黑体"/>
          <w:sz w:val="27"/>
          <w:szCs w:val="27"/>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u w:val="none"/>
        </w:rPr>
        <w:t>时间：/至2022年03月25日 ，每天上午00:00至12:00 ，下午12:00至23:59（北京时间，线上获取法定节假日均可，线下获取文件法定节假日除外）</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地点（网址）：政采云平台（https://www.zcygov.cn/）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方式：供应商登录政采云平台https://www.zcygov.cn/在线申请获取采购文件（进入“项目采购”应用，在获取采购文件菜单中选择项目，申请获取采购文件）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售价（元）：0</w:t>
      </w:r>
      <w:r>
        <w:rPr>
          <w:rFonts w:hint="eastAsia" w:ascii="仿宋" w:hAnsi="仿宋" w:eastAsia="仿宋" w:cs="仿宋"/>
        </w:rPr>
        <w:t> </w:t>
      </w:r>
    </w:p>
    <w:p>
      <w:pPr>
        <w:pStyle w:val="61"/>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72"/>
          <w:rFonts w:ascii="黑体" w:hAnsi="宋体" w:eastAsia="黑体" w:cs="黑体"/>
          <w:sz w:val="27"/>
          <w:szCs w:val="27"/>
        </w:rPr>
        <w:t>四、提交投标文件截止时间、开标时间和地点</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u w:val="none"/>
        </w:rPr>
        <w:t> 提交投标文件截止时间：2022年03月25日 09:30（北京时间）</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u w:val="none"/>
        </w:rPr>
        <w:t> 投标地点（网址）：政采云平台（https://www.zcygov.cn/）</w:t>
      </w:r>
      <w:r>
        <w:rPr>
          <w:rFonts w:hint="eastAsia" w:ascii="仿宋" w:hAnsi="仿宋" w:eastAsia="仿宋" w:cs="仿宋"/>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u w:val="none"/>
        </w:rPr>
        <w:t>    开标时间：2022年03月25日 09:30</w:t>
      </w:r>
      <w:r>
        <w:rPr>
          <w:rFonts w:hint="eastAsia" w:ascii="仿宋" w:hAnsi="仿宋" w:eastAsia="仿宋" w:cs="仿宋"/>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u w:val="none"/>
        </w:rPr>
        <w:t>    开标地点（网址）：政采云平台（https://www.zcygov.cn/）</w:t>
      </w:r>
      <w:r>
        <w:rPr>
          <w:rFonts w:hint="eastAsia" w:ascii="仿宋" w:hAnsi="仿宋" w:eastAsia="仿宋" w:cs="仿宋"/>
        </w:rPr>
        <w:t>  </w:t>
      </w:r>
    </w:p>
    <w:p>
      <w:pPr>
        <w:pStyle w:val="61"/>
        <w:keepNext w:val="0"/>
        <w:keepLines w:val="0"/>
        <w:widowControl/>
        <w:suppressLineNumbers w:val="0"/>
        <w:spacing w:before="255" w:beforeAutospacing="0" w:after="255" w:afterAutospacing="0" w:line="300" w:lineRule="atLeast"/>
        <w:ind w:left="0" w:right="0"/>
        <w:jc w:val="both"/>
        <w:rPr>
          <w:rFonts w:ascii="黑体" w:hAnsi="宋体" w:eastAsia="黑体" w:cs="黑体"/>
          <w:sz w:val="31"/>
          <w:szCs w:val="31"/>
        </w:rPr>
      </w:pPr>
      <w:r>
        <w:rPr>
          <w:rStyle w:val="72"/>
          <w:rFonts w:ascii="黑体" w:hAnsi="宋体" w:eastAsia="黑体" w:cs="黑体"/>
          <w:sz w:val="27"/>
          <w:szCs w:val="27"/>
        </w:rPr>
        <w:t>五、采购意向公开链接</w:t>
      </w:r>
    </w:p>
    <w:p>
      <w:pPr>
        <w:pStyle w:val="61"/>
        <w:keepNext w:val="0"/>
        <w:keepLines w:val="0"/>
        <w:widowControl/>
        <w:suppressLineNumbers w:val="0"/>
        <w:spacing w:before="255" w:beforeAutospacing="0" w:after="255" w:afterAutospacing="0" w:line="300" w:lineRule="atLeast"/>
        <w:ind w:left="0" w:right="0"/>
        <w:jc w:val="both"/>
        <w:rPr>
          <w:rFonts w:ascii="黑体" w:hAnsi="宋体" w:eastAsia="黑体" w:cs="黑体"/>
          <w:sz w:val="31"/>
          <w:szCs w:val="31"/>
        </w:rPr>
      </w:pPr>
      <w:r>
        <w:rPr>
          <w:rFonts w:ascii="黑体" w:hAnsi="宋体" w:eastAsia="黑体" w:cs="黑体"/>
          <w:sz w:val="31"/>
          <w:szCs w:val="31"/>
        </w:rPr>
        <w:t>   </w:t>
      </w:r>
      <w:r>
        <w:rPr>
          <w:rStyle w:val="81"/>
          <w:rFonts w:hint="eastAsia" w:ascii="仿宋" w:hAnsi="仿宋" w:eastAsia="仿宋" w:cs="仿宋"/>
          <w:sz w:val="27"/>
          <w:szCs w:val="27"/>
        </w:rPr>
        <w:t>https://zfcg.czt.zj.gov.cn/innerUsed_noticeDetails/index.html?noticeId=8523836&amp;utm=web-government-front.2e418808.0.0.7a8ef5309c8711ec9ca2458c7c067c2c</w:t>
      </w:r>
    </w:p>
    <w:p>
      <w:pPr>
        <w:pStyle w:val="61"/>
        <w:keepNext w:val="0"/>
        <w:keepLines w:val="0"/>
        <w:widowControl/>
        <w:suppressLineNumbers w:val="0"/>
        <w:spacing w:before="255" w:beforeAutospacing="0" w:after="255" w:afterAutospacing="0" w:line="300" w:lineRule="atLeast"/>
        <w:ind w:left="0" w:right="0"/>
        <w:jc w:val="both"/>
        <w:rPr>
          <w:rFonts w:ascii="黑体" w:hAnsi="宋体" w:eastAsia="黑体" w:cs="黑体"/>
          <w:sz w:val="31"/>
          <w:szCs w:val="31"/>
        </w:rPr>
      </w:pPr>
      <w:r>
        <w:rPr>
          <w:rStyle w:val="72"/>
          <w:rFonts w:ascii="黑体" w:hAnsi="宋体" w:eastAsia="黑体" w:cs="黑体"/>
          <w:sz w:val="27"/>
          <w:szCs w:val="27"/>
        </w:rPr>
        <w:t>六、公告期限</w:t>
      </w:r>
      <w:r>
        <w:rPr>
          <w:rFonts w:ascii="黑体" w:hAnsi="宋体" w:eastAsia="黑体" w:cs="黑体"/>
          <w:sz w:val="31"/>
          <w:szCs w:val="31"/>
        </w:rPr>
        <w:t> </w:t>
      </w:r>
    </w:p>
    <w:p>
      <w:pPr>
        <w:pStyle w:val="61"/>
        <w:keepNext w:val="0"/>
        <w:keepLines w:val="0"/>
        <w:widowControl/>
        <w:suppressLineNumbers w:val="0"/>
        <w:spacing w:before="75" w:beforeAutospacing="0" w:after="75" w:afterAutospacing="0"/>
        <w:ind w:left="0" w:right="0"/>
      </w:pPr>
      <w:r>
        <w:rPr>
          <w:rFonts w:hint="eastAsia" w:ascii="仿宋" w:hAnsi="仿宋" w:eastAsia="仿宋" w:cs="仿宋"/>
          <w:sz w:val="27"/>
          <w:szCs w:val="27"/>
        </w:rPr>
        <w:t>    自本公告发布之日起5个工作日。</w:t>
      </w:r>
    </w:p>
    <w:p>
      <w:pPr>
        <w:pStyle w:val="61"/>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72"/>
          <w:rFonts w:ascii="黑体" w:hAnsi="宋体" w:eastAsia="黑体" w:cs="黑体"/>
          <w:sz w:val="27"/>
          <w:szCs w:val="27"/>
        </w:rPr>
        <w:t>七、其他补充事宜</w:t>
      </w:r>
    </w:p>
    <w:p>
      <w:pPr>
        <w:pStyle w:val="61"/>
        <w:keepNext w:val="0"/>
        <w:keepLines w:val="0"/>
        <w:widowControl/>
        <w:suppressLineNumbers w:val="0"/>
        <w:spacing w:before="75" w:beforeAutospacing="0" w:after="75" w:afterAutospacing="0" w:line="315" w:lineRule="atLeast"/>
        <w:ind w:left="0" w:right="0"/>
      </w:pPr>
      <w:r>
        <w:rPr>
          <w:rFonts w:hint="eastAsia" w:ascii="仿宋" w:hAnsi="仿宋" w:eastAsia="仿宋" w:cs="仿宋"/>
          <w:sz w:val="27"/>
          <w:szCs w:val="27"/>
        </w:rPr>
        <w:t>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61"/>
        <w:keepNext w:val="0"/>
        <w:keepLines w:val="0"/>
        <w:widowControl/>
        <w:suppressLineNumbers w:val="0"/>
        <w:spacing w:before="75" w:beforeAutospacing="0" w:after="75" w:afterAutospacing="0" w:line="315" w:lineRule="atLeast"/>
        <w:ind w:left="0" w:right="0"/>
      </w:pPr>
      <w:r>
        <w:rPr>
          <w:rFonts w:hint="eastAsia" w:ascii="仿宋" w:hAnsi="仿宋" w:eastAsia="仿宋" w:cs="仿宋"/>
          <w:sz w:val="27"/>
          <w:szCs w:val="27"/>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61"/>
        <w:keepNext w:val="0"/>
        <w:keepLines w:val="0"/>
        <w:widowControl/>
        <w:suppressLineNumbers w:val="0"/>
        <w:spacing w:before="75" w:beforeAutospacing="0" w:after="75" w:afterAutospacing="0" w:line="315" w:lineRule="atLeast"/>
        <w:ind w:left="0" w:right="0"/>
      </w:pPr>
      <w:r>
        <w:rPr>
          <w:rFonts w:hint="eastAsia" w:ascii="仿宋" w:hAnsi="仿宋" w:eastAsia="仿宋" w:cs="仿宋"/>
          <w:sz w:val="27"/>
          <w:szCs w:val="27"/>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sz w:val="27"/>
          <w:szCs w:val="27"/>
        </w:rPr>
        <w:br w:type="textWrapping"/>
      </w:r>
      <w:r>
        <w:rPr>
          <w:rFonts w:hint="eastAsia" w:ascii="仿宋" w:hAnsi="仿宋" w:eastAsia="仿宋" w:cs="仿宋"/>
          <w:sz w:val="27"/>
          <w:szCs w:val="27"/>
        </w:rPr>
        <w:t>    4.其他事项：无  </w:t>
      </w:r>
    </w:p>
    <w:p>
      <w:pPr>
        <w:pStyle w:val="61"/>
        <w:keepNext w:val="0"/>
        <w:keepLines w:val="0"/>
        <w:widowControl/>
        <w:suppressLineNumbers w:val="0"/>
        <w:spacing w:before="255" w:beforeAutospacing="0" w:after="255" w:afterAutospacing="0" w:line="480" w:lineRule="atLeast"/>
        <w:ind w:left="0" w:right="0"/>
        <w:jc w:val="both"/>
        <w:rPr>
          <w:rFonts w:ascii="黑体" w:hAnsi="宋体" w:eastAsia="黑体" w:cs="黑体"/>
          <w:sz w:val="31"/>
          <w:szCs w:val="31"/>
        </w:rPr>
      </w:pPr>
      <w:r>
        <w:rPr>
          <w:rStyle w:val="72"/>
          <w:rFonts w:ascii="黑体" w:hAnsi="宋体" w:eastAsia="黑体" w:cs="黑体"/>
          <w:sz w:val="27"/>
          <w:szCs w:val="27"/>
        </w:rPr>
        <w:t>八、对本次采购提出询问、质疑、投诉，请按以下方式联系</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1.采购人信息</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名    称：杭州市余杭区人民政府仓前街道办事处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    址：仓前街道向往街1008号乐富海邦园18幢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传    真： </w:t>
      </w:r>
      <w:r>
        <w:rPr>
          <w:rFonts w:hint="eastAsia" w:ascii="仿宋" w:hAnsi="仿宋" w:eastAsia="仿宋" w:cs="仿宋"/>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项目联系人（询问）：陈文钟 </w:t>
      </w:r>
      <w:r>
        <w:rPr>
          <w:rFonts w:hint="eastAsia" w:ascii="仿宋" w:hAnsi="仿宋" w:eastAsia="仿宋" w:cs="仿宋"/>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项目联系方式（询问）：0571-88611800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质疑联系人：周国平 </w:t>
      </w:r>
      <w:r>
        <w:rPr>
          <w:rFonts w:hint="eastAsia" w:ascii="仿宋" w:hAnsi="仿宋" w:eastAsia="仿宋" w:cs="仿宋"/>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质疑联系方式：13777592253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rPr>
        <w:br w:type="textWrapping"/>
      </w:r>
      <w:r>
        <w:rPr>
          <w:rFonts w:hint="eastAsia" w:ascii="仿宋" w:hAnsi="仿宋" w:eastAsia="仿宋" w:cs="仿宋"/>
          <w:sz w:val="27"/>
          <w:szCs w:val="27"/>
        </w:rPr>
        <w:t>    2.采购代理机构信息</w:t>
      </w:r>
      <w:r>
        <w:rPr>
          <w:rFonts w:hint="eastAsia" w:ascii="仿宋" w:hAnsi="仿宋" w:eastAsia="仿宋" w:cs="仿宋"/>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名    称：浙江中际工程项目管理有限公司 </w:t>
      </w:r>
      <w:r>
        <w:rPr>
          <w:rFonts w:hint="eastAsia" w:ascii="仿宋" w:hAnsi="仿宋" w:eastAsia="仿宋" w:cs="仿宋"/>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    址：临平区南苑街道嘉信国际6楼 </w:t>
      </w:r>
      <w:r>
        <w:rPr>
          <w:rFonts w:hint="eastAsia" w:ascii="仿宋" w:hAnsi="仿宋" w:eastAsia="仿宋" w:cs="仿宋"/>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传    真：/ </w:t>
      </w:r>
      <w:r>
        <w:rPr>
          <w:rFonts w:hint="eastAsia" w:ascii="仿宋" w:hAnsi="仿宋" w:eastAsia="仿宋" w:cs="仿宋"/>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项目联系人（询问）：周杨威  </w:t>
      </w:r>
      <w:r>
        <w:rPr>
          <w:rFonts w:hint="eastAsia" w:ascii="仿宋" w:hAnsi="仿宋" w:eastAsia="仿宋" w:cs="仿宋"/>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项目联系方式（询问）：13362030720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质疑联系人：周杨威 </w:t>
      </w:r>
      <w:r>
        <w:rPr>
          <w:rFonts w:hint="eastAsia" w:ascii="仿宋" w:hAnsi="仿宋" w:eastAsia="仿宋" w:cs="仿宋"/>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质疑联系方式：13362030720 　　　　　　</w:t>
      </w:r>
      <w:r>
        <w:rPr>
          <w:rFonts w:hint="eastAsia" w:ascii="仿宋" w:hAnsi="仿宋" w:eastAsia="仿宋" w:cs="仿宋"/>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rPr>
        <w:br w:type="textWrapping"/>
      </w:r>
      <w:r>
        <w:rPr>
          <w:rFonts w:hint="eastAsia" w:ascii="仿宋" w:hAnsi="仿宋" w:eastAsia="仿宋" w:cs="仿宋"/>
          <w:sz w:val="27"/>
          <w:szCs w:val="27"/>
        </w:rPr>
        <w:t>    3.同级政府采购监督管理部门</w:t>
      </w:r>
      <w:r>
        <w:rPr>
          <w:rFonts w:hint="eastAsia" w:ascii="仿宋" w:hAnsi="仿宋" w:eastAsia="仿宋" w:cs="仿宋"/>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名    称：杭州市余杭区财政局  </w:t>
      </w:r>
      <w:r>
        <w:rPr>
          <w:rFonts w:hint="eastAsia" w:ascii="仿宋" w:hAnsi="仿宋" w:eastAsia="仿宋" w:cs="仿宋"/>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    址：杭州市余杭区五常街道溪沁路8号中国电信浙江创新园1号楼 </w:t>
      </w:r>
      <w:r>
        <w:rPr>
          <w:rFonts w:hint="eastAsia" w:ascii="仿宋" w:hAnsi="仿宋" w:eastAsia="仿宋" w:cs="仿宋"/>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传    真：/ </w:t>
      </w:r>
      <w:r>
        <w:rPr>
          <w:rFonts w:hint="eastAsia" w:ascii="仿宋" w:hAnsi="仿宋" w:eastAsia="仿宋" w:cs="仿宋"/>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联系人 ：杜国强 </w:t>
      </w:r>
      <w:r>
        <w:rPr>
          <w:rFonts w:hint="eastAsia" w:ascii="仿宋" w:hAnsi="仿宋" w:eastAsia="仿宋" w:cs="仿宋"/>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监督投诉电话：0571-88728858 </w:t>
      </w:r>
      <w:r>
        <w:rPr>
          <w:rFonts w:hint="eastAsia" w:ascii="仿宋" w:hAnsi="仿宋" w:eastAsia="仿宋" w:cs="仿宋"/>
        </w:rPr>
        <w:t>          </w:t>
      </w:r>
      <w:r>
        <w:rPr>
          <w:rFonts w:hint="eastAsia" w:ascii="仿宋" w:hAnsi="仿宋" w:eastAsia="仿宋" w:cs="仿宋"/>
        </w:rPr>
        <w:br w:type="textWrapping"/>
      </w:r>
      <w:r>
        <w:rPr>
          <w:rFonts w:hint="eastAsia" w:ascii="仿宋" w:hAnsi="仿宋" w:eastAsia="仿宋" w:cs="仿宋"/>
        </w:rPr>
        <w:t>         </w:t>
      </w:r>
    </w:p>
    <w:p>
      <w:pPr>
        <w:pStyle w:val="61"/>
        <w:keepNext w:val="0"/>
        <w:keepLines w:val="0"/>
        <w:widowControl/>
        <w:suppressLineNumbers w:val="0"/>
        <w:spacing w:before="75" w:beforeAutospacing="0" w:after="75" w:afterAutospacing="0"/>
        <w:ind w:left="0" w:right="0"/>
      </w:pPr>
    </w:p>
    <w:p>
      <w:pPr>
        <w:keepNext w:val="0"/>
        <w:keepLines w:val="0"/>
        <w:widowControl/>
        <w:suppressLineNumbers w:val="0"/>
        <w:jc w:val="left"/>
        <w:rPr>
          <w:rFonts w:hint="eastAsia" w:ascii="仿宋" w:hAnsi="仿宋" w:eastAsia="仿宋" w:cs="仿宋"/>
        </w:rPr>
      </w:pPr>
      <w:r>
        <w:rPr>
          <w:rFonts w:hint="eastAsia" w:ascii="仿宋" w:hAnsi="仿宋" w:eastAsia="仿宋" w:cs="仿宋"/>
          <w:kern w:val="0"/>
          <w:sz w:val="24"/>
          <w:szCs w:val="24"/>
          <w:lang w:val="en-US" w:eastAsia="zh-CN" w:bidi="ar"/>
        </w:rPr>
        <w:t>若对项目采购电子交易系统操作有疑问，可登录政采云（https://www.zcygov.cn/），点击右侧咨询小采，获取采小蜜智能服务管家帮助，或拨打政采云服务热线400-881-7190获取热线服务帮助。       </w:t>
      </w:r>
    </w:p>
    <w:p>
      <w:pPr>
        <w:keepNext w:val="0"/>
        <w:keepLines w:val="0"/>
        <w:widowControl/>
        <w:suppressLineNumbers w:val="0"/>
        <w:jc w:val="left"/>
        <w:rPr>
          <w:rFonts w:hint="eastAsia" w:ascii="仿宋" w:hAnsi="仿宋" w:eastAsia="仿宋" w:cs="仿宋"/>
        </w:rPr>
      </w:pPr>
      <w:r>
        <w:rPr>
          <w:rFonts w:hint="eastAsia" w:ascii="仿宋" w:hAnsi="仿宋" w:eastAsia="仿宋" w:cs="仿宋"/>
          <w:kern w:val="0"/>
          <w:sz w:val="24"/>
          <w:szCs w:val="24"/>
          <w:lang w:val="en-US" w:eastAsia="zh-CN" w:bidi="ar"/>
        </w:rPr>
        <w:t>CA问题联系电话（人工）：汇信CA 400-888-4636；天谷CA 400-087-8198。</w:t>
      </w:r>
    </w:p>
    <w:p>
      <w:pPr>
        <w:adjustRightInd/>
        <w:spacing w:line="360" w:lineRule="auto"/>
        <w:jc w:val="center"/>
        <w:outlineLvl w:val="0"/>
        <w:rPr>
          <w:rFonts w:hint="eastAsia" w:ascii="宋体" w:hAnsi="宋体" w:eastAsia="宋体" w:cs="宋体"/>
          <w:b/>
          <w:color w:val="auto"/>
          <w:sz w:val="36"/>
          <w:szCs w:val="20"/>
          <w:highlight w:val="none"/>
        </w:rPr>
      </w:pPr>
      <w:bookmarkStart w:id="401" w:name="_GoBack"/>
      <w:bookmarkEnd w:id="401"/>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投标人须知</w:t>
      </w:r>
      <w:bookmarkEnd w:id="8"/>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62"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color w:val="auto"/>
                <w:sz w:val="24"/>
                <w:highlight w:val="none"/>
              </w:rPr>
              <w:t>开标一览表（报价表）是报价的唯一载体</w:t>
            </w:r>
            <w:r>
              <w:rPr>
                <w:rFonts w:hint="eastAsia" w:ascii="宋体" w:hAnsi="宋体" w:eastAsia="宋体" w:cs="宋体"/>
                <w:color w:val="auto"/>
                <w:kern w:val="0"/>
                <w:sz w:val="24"/>
                <w:highlight w:val="none"/>
                <w:lang w:val="zh-CN"/>
              </w:rPr>
              <w:t>。投标文件中道路保洁、绿化养护、时花养护、公厕保洁价格全部采用人民币报价，道路养护采用费率报价。招标文件未列明，而投标人认为必需的费用也需列入报价。</w:t>
            </w:r>
          </w:p>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B要求提供，</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否；☐是，检测机构的要求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B组织。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w:t>
            </w:r>
            <w:r>
              <w:rPr>
                <w:rFonts w:hint="eastAsia" w:ascii="宋体" w:hAnsi="宋体" w:eastAsia="宋体" w:cs="宋体"/>
                <w:b/>
                <w:bCs/>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，讲解演示所用电脑等设备由投标人自备。现场讲解演示人员进场时提供讲解人员名单（加盖公章）及身份证明，否则不得讲解演示。</w:t>
            </w:r>
          </w:p>
          <w:p>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本项目不允许采购进口产品。</w:t>
            </w:r>
          </w:p>
          <w:p>
            <w:pPr>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highlight w:val="none"/>
                <w:lang w:val="en-US"/>
              </w:rPr>
            </w:pPr>
            <w:r>
              <w:rPr>
                <w:rFonts w:hint="eastAsia" w:ascii="宋体" w:hAnsi="宋体" w:eastAsia="宋体" w:cs="宋体"/>
                <w:color w:val="auto"/>
                <w:kern w:val="0"/>
                <w:sz w:val="24"/>
                <w:highlight w:val="none"/>
              </w:rPr>
              <w:t>（1）标的：</w:t>
            </w:r>
            <w:r>
              <w:rPr>
                <w:rFonts w:hint="eastAsia" w:ascii="宋体" w:hAnsi="宋体" w:eastAsia="宋体" w:cs="宋体"/>
                <w:color w:val="auto"/>
                <w:kern w:val="0"/>
                <w:sz w:val="24"/>
                <w:highlight w:val="none"/>
                <w:lang w:eastAsia="zh-CN"/>
              </w:rPr>
              <w:t>综合养护</w:t>
            </w:r>
            <w:r>
              <w:rPr>
                <w:rFonts w:hint="eastAsia" w:ascii="宋体" w:hAnsi="宋体" w:eastAsia="宋体" w:cs="宋体"/>
                <w:color w:val="auto"/>
                <w:kern w:val="0"/>
                <w:sz w:val="24"/>
                <w:highlight w:val="none"/>
              </w:rPr>
              <w:t>服务，属于其他未列明行业；具体详见《中小企业划型标准规定》。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rPr>
                <w:rFonts w:hint="eastAsia" w:ascii="宋体" w:hAnsi="宋体" w:eastAsia="宋体" w:cs="宋体"/>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宋体" w:hAnsi="宋体" w:eastAsia="宋体" w:cs="宋体"/>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kern w:val="28"/>
                <w:sz w:val="24"/>
                <w:szCs w:val="24"/>
                <w:highlight w:val="none"/>
                <w:lang w:eastAsia="zh-CN"/>
              </w:rPr>
              <w:t>杭州市临平区南苑街道嘉信国际6楼</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lang w:val="en-US" w:eastAsia="zh-CN"/>
              </w:rPr>
              <w:t>13362030720</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lang w:eastAsia="zh-CN"/>
              </w:rPr>
            </w:pPr>
            <w:r>
              <w:rPr>
                <w:rFonts w:hint="eastAsia" w:ascii="宋体" w:hAnsi="宋体" w:eastAsia="宋体" w:cs="宋体"/>
                <w:b/>
                <w:snapToGrid w:val="0"/>
                <w:color w:val="auto"/>
                <w:kern w:val="28"/>
                <w:sz w:val="24"/>
                <w:highlight w:val="none"/>
                <w:lang w:eastAsia="zh-CN"/>
              </w:rPr>
              <w:t>本次仓前街道保洁养护招标分三个项目，</w:t>
            </w:r>
            <w:r>
              <w:rPr>
                <w:rFonts w:hint="eastAsia" w:ascii="宋体" w:hAnsi="宋体" w:eastAsia="宋体" w:cs="宋体"/>
                <w:b/>
                <w:snapToGrid w:val="0"/>
                <w:color w:val="auto"/>
                <w:kern w:val="28"/>
                <w:sz w:val="24"/>
                <w:highlight w:val="none"/>
              </w:rPr>
              <w:t>供应商可选择其中一个或多个标项进行投标，但只能中其中一个标项，中标顺序按</w:t>
            </w:r>
            <w:r>
              <w:rPr>
                <w:rFonts w:hint="eastAsia" w:ascii="宋体" w:hAnsi="宋体" w:eastAsia="宋体" w:cs="宋体"/>
                <w:b/>
                <w:snapToGrid w:val="0"/>
                <w:color w:val="auto"/>
                <w:kern w:val="28"/>
                <w:sz w:val="24"/>
                <w:highlight w:val="none"/>
                <w:lang w:val="en-US" w:eastAsia="zh-CN"/>
              </w:rPr>
              <w:t>1、</w:t>
            </w:r>
            <w:r>
              <w:rPr>
                <w:rFonts w:hint="eastAsia" w:ascii="宋体" w:hAnsi="宋体" w:eastAsia="宋体" w:cs="宋体"/>
                <w:b/>
                <w:bCs/>
                <w:i w:val="0"/>
                <w:iCs w:val="0"/>
                <w:caps w:val="0"/>
                <w:color w:val="000000"/>
                <w:spacing w:val="0"/>
                <w:sz w:val="27"/>
                <w:szCs w:val="27"/>
                <w:highlight w:val="none"/>
                <w:lang w:eastAsia="zh-CN"/>
              </w:rPr>
              <w:t>仓前街道2022-2024年文一西路以北区块道路综合养护；</w:t>
            </w:r>
            <w:r>
              <w:rPr>
                <w:rFonts w:hint="eastAsia" w:ascii="宋体" w:hAnsi="宋体" w:eastAsia="宋体" w:cs="宋体"/>
                <w:b/>
                <w:bCs/>
                <w:i w:val="0"/>
                <w:iCs w:val="0"/>
                <w:caps w:val="0"/>
                <w:color w:val="000000"/>
                <w:spacing w:val="0"/>
                <w:sz w:val="27"/>
                <w:szCs w:val="27"/>
                <w:highlight w:val="none"/>
                <w:lang w:val="en-US" w:eastAsia="zh-CN"/>
              </w:rPr>
              <w:t>2、</w:t>
            </w:r>
            <w:r>
              <w:rPr>
                <w:rFonts w:hint="eastAsia" w:ascii="宋体" w:hAnsi="宋体" w:eastAsia="宋体" w:cs="宋体"/>
                <w:b/>
                <w:bCs/>
                <w:i w:val="0"/>
                <w:iCs w:val="0"/>
                <w:caps w:val="0"/>
                <w:color w:val="000000"/>
                <w:spacing w:val="0"/>
                <w:sz w:val="27"/>
                <w:szCs w:val="27"/>
                <w:highlight w:val="none"/>
              </w:rPr>
              <w:t>仓前街道2022-202</w:t>
            </w:r>
            <w:r>
              <w:rPr>
                <w:rFonts w:hint="eastAsia" w:ascii="宋体" w:hAnsi="宋体" w:cs="宋体"/>
                <w:b/>
                <w:bCs/>
                <w:i w:val="0"/>
                <w:iCs w:val="0"/>
                <w:caps w:val="0"/>
                <w:color w:val="000000"/>
                <w:spacing w:val="0"/>
                <w:sz w:val="27"/>
                <w:szCs w:val="27"/>
                <w:highlight w:val="none"/>
                <w:lang w:val="en-US" w:eastAsia="zh-CN"/>
              </w:rPr>
              <w:t>4</w:t>
            </w:r>
            <w:r>
              <w:rPr>
                <w:rFonts w:hint="eastAsia" w:ascii="宋体" w:hAnsi="宋体" w:eastAsia="宋体" w:cs="宋体"/>
                <w:b/>
                <w:bCs/>
                <w:i w:val="0"/>
                <w:iCs w:val="0"/>
                <w:caps w:val="0"/>
                <w:color w:val="000000"/>
                <w:spacing w:val="0"/>
                <w:sz w:val="27"/>
                <w:szCs w:val="27"/>
                <w:highlight w:val="none"/>
              </w:rPr>
              <w:t>年文一西路以南区块道路综合养护</w:t>
            </w:r>
            <w:r>
              <w:rPr>
                <w:rFonts w:hint="eastAsia" w:ascii="宋体" w:hAnsi="宋体" w:eastAsia="宋体" w:cs="宋体"/>
                <w:b/>
                <w:bCs/>
                <w:i w:val="0"/>
                <w:iCs w:val="0"/>
                <w:caps w:val="0"/>
                <w:color w:val="000000"/>
                <w:spacing w:val="0"/>
                <w:sz w:val="27"/>
                <w:szCs w:val="27"/>
                <w:highlight w:val="none"/>
                <w:lang w:eastAsia="zh-CN"/>
              </w:rPr>
              <w:t>；</w:t>
            </w:r>
            <w:r>
              <w:rPr>
                <w:rFonts w:hint="eastAsia" w:ascii="宋体" w:hAnsi="宋体" w:eastAsia="宋体" w:cs="宋体"/>
                <w:b/>
                <w:bCs/>
                <w:i w:val="0"/>
                <w:iCs w:val="0"/>
                <w:caps w:val="0"/>
                <w:color w:val="000000"/>
                <w:spacing w:val="0"/>
                <w:sz w:val="27"/>
                <w:szCs w:val="27"/>
                <w:highlight w:val="none"/>
                <w:lang w:val="en-US" w:eastAsia="zh-CN"/>
              </w:rPr>
              <w:t>3、</w:t>
            </w:r>
            <w:r>
              <w:rPr>
                <w:rFonts w:hint="eastAsia" w:ascii="宋体" w:hAnsi="宋体" w:eastAsia="宋体" w:cs="宋体"/>
                <w:b/>
                <w:bCs/>
                <w:i w:val="0"/>
                <w:iCs w:val="0"/>
                <w:caps w:val="0"/>
                <w:color w:val="000000"/>
                <w:spacing w:val="0"/>
                <w:sz w:val="27"/>
                <w:szCs w:val="27"/>
                <w:highlight w:val="none"/>
              </w:rPr>
              <w:t>仓前街道2022-202</w:t>
            </w:r>
            <w:r>
              <w:rPr>
                <w:rFonts w:hint="eastAsia" w:ascii="宋体" w:hAnsi="宋体" w:eastAsia="宋体" w:cs="宋体"/>
                <w:b/>
                <w:bCs/>
                <w:i w:val="0"/>
                <w:iCs w:val="0"/>
                <w:caps w:val="0"/>
                <w:color w:val="000000"/>
                <w:spacing w:val="0"/>
                <w:sz w:val="27"/>
                <w:szCs w:val="27"/>
                <w:highlight w:val="none"/>
                <w:lang w:val="en-US" w:eastAsia="zh-CN"/>
              </w:rPr>
              <w:t>4</w:t>
            </w:r>
            <w:r>
              <w:rPr>
                <w:rFonts w:hint="eastAsia" w:ascii="宋体" w:hAnsi="宋体" w:eastAsia="宋体" w:cs="宋体"/>
                <w:b/>
                <w:bCs/>
                <w:i w:val="0"/>
                <w:iCs w:val="0"/>
                <w:caps w:val="0"/>
                <w:color w:val="000000"/>
                <w:spacing w:val="0"/>
                <w:sz w:val="27"/>
                <w:szCs w:val="27"/>
                <w:highlight w:val="none"/>
              </w:rPr>
              <w:t>年河道及滨河绿化养护</w:t>
            </w:r>
            <w:r>
              <w:rPr>
                <w:rFonts w:hint="eastAsia" w:ascii="宋体" w:hAnsi="宋体" w:eastAsia="宋体" w:cs="宋体"/>
                <w:b/>
                <w:bCs/>
                <w:i w:val="0"/>
                <w:iCs w:val="0"/>
                <w:caps w:val="0"/>
                <w:color w:val="000000"/>
                <w:spacing w:val="0"/>
                <w:sz w:val="27"/>
                <w:szCs w:val="27"/>
                <w:highlight w:val="none"/>
                <w:lang w:eastAsia="zh-CN"/>
              </w:rPr>
              <w:t>进行确认：</w:t>
            </w:r>
            <w:r>
              <w:rPr>
                <w:rFonts w:hint="eastAsia" w:ascii="宋体" w:hAnsi="宋体" w:eastAsia="宋体" w:cs="宋体"/>
                <w:b/>
                <w:snapToGrid w:val="0"/>
                <w:color w:val="auto"/>
                <w:kern w:val="28"/>
                <w:sz w:val="24"/>
                <w:highlight w:val="none"/>
              </w:rPr>
              <w:t>如供应商前一个标项已经被确定为该标项的第一中标候选人，则后续标项将不被推荐为中标候选人；例如供应商被确定为</w:t>
            </w:r>
            <w:r>
              <w:rPr>
                <w:rFonts w:hint="eastAsia" w:ascii="宋体" w:hAnsi="宋体" w:eastAsia="宋体" w:cs="宋体"/>
                <w:b/>
                <w:bCs/>
                <w:i w:val="0"/>
                <w:iCs w:val="0"/>
                <w:caps w:val="0"/>
                <w:color w:val="000000"/>
                <w:spacing w:val="0"/>
                <w:sz w:val="27"/>
                <w:szCs w:val="27"/>
                <w:highlight w:val="none"/>
                <w:lang w:eastAsia="zh-CN"/>
              </w:rPr>
              <w:t>仓前街道2022-2024年文一西路以北区块道路综合养护</w:t>
            </w:r>
            <w:r>
              <w:rPr>
                <w:rFonts w:hint="eastAsia" w:ascii="宋体" w:hAnsi="宋体" w:eastAsia="宋体" w:cs="宋体"/>
                <w:b/>
                <w:snapToGrid w:val="0"/>
                <w:color w:val="auto"/>
                <w:kern w:val="28"/>
                <w:sz w:val="24"/>
                <w:highlight w:val="none"/>
              </w:rPr>
              <w:t>的中标候选人，则</w:t>
            </w:r>
            <w:r>
              <w:rPr>
                <w:rFonts w:hint="eastAsia" w:ascii="宋体" w:hAnsi="宋体" w:eastAsia="宋体" w:cs="宋体"/>
                <w:b/>
                <w:bCs/>
                <w:i w:val="0"/>
                <w:iCs w:val="0"/>
                <w:caps w:val="0"/>
                <w:color w:val="000000"/>
                <w:spacing w:val="0"/>
                <w:sz w:val="27"/>
                <w:szCs w:val="27"/>
                <w:highlight w:val="none"/>
              </w:rPr>
              <w:t>仓前街道2022-202</w:t>
            </w:r>
            <w:r>
              <w:rPr>
                <w:rFonts w:hint="eastAsia" w:ascii="宋体" w:hAnsi="宋体" w:cs="宋体"/>
                <w:b/>
                <w:bCs/>
                <w:i w:val="0"/>
                <w:iCs w:val="0"/>
                <w:caps w:val="0"/>
                <w:color w:val="000000"/>
                <w:spacing w:val="0"/>
                <w:sz w:val="27"/>
                <w:szCs w:val="27"/>
                <w:highlight w:val="none"/>
                <w:lang w:val="en-US" w:eastAsia="zh-CN"/>
              </w:rPr>
              <w:t>4</w:t>
            </w:r>
            <w:r>
              <w:rPr>
                <w:rFonts w:hint="eastAsia" w:ascii="宋体" w:hAnsi="宋体" w:eastAsia="宋体" w:cs="宋体"/>
                <w:b/>
                <w:bCs/>
                <w:i w:val="0"/>
                <w:iCs w:val="0"/>
                <w:caps w:val="0"/>
                <w:color w:val="000000"/>
                <w:spacing w:val="0"/>
                <w:sz w:val="27"/>
                <w:szCs w:val="27"/>
                <w:highlight w:val="none"/>
              </w:rPr>
              <w:t>年文一西路以南区块道路综合养护</w:t>
            </w:r>
            <w:r>
              <w:rPr>
                <w:rFonts w:hint="eastAsia" w:ascii="宋体" w:hAnsi="宋体" w:eastAsia="宋体" w:cs="宋体"/>
                <w:b/>
                <w:snapToGrid w:val="0"/>
                <w:color w:val="auto"/>
                <w:kern w:val="28"/>
                <w:sz w:val="24"/>
                <w:highlight w:val="none"/>
              </w:rPr>
              <w:t>、</w:t>
            </w:r>
            <w:r>
              <w:rPr>
                <w:rFonts w:hint="eastAsia" w:ascii="宋体" w:hAnsi="宋体" w:eastAsia="宋体" w:cs="宋体"/>
                <w:b/>
                <w:bCs/>
                <w:i w:val="0"/>
                <w:iCs w:val="0"/>
                <w:caps w:val="0"/>
                <w:color w:val="000000"/>
                <w:spacing w:val="0"/>
                <w:sz w:val="27"/>
                <w:szCs w:val="27"/>
                <w:highlight w:val="none"/>
              </w:rPr>
              <w:t>仓前街道2022-202</w:t>
            </w:r>
            <w:r>
              <w:rPr>
                <w:rFonts w:hint="eastAsia" w:ascii="宋体" w:hAnsi="宋体" w:eastAsia="宋体" w:cs="宋体"/>
                <w:b/>
                <w:bCs/>
                <w:i w:val="0"/>
                <w:iCs w:val="0"/>
                <w:caps w:val="0"/>
                <w:color w:val="000000"/>
                <w:spacing w:val="0"/>
                <w:sz w:val="27"/>
                <w:szCs w:val="27"/>
                <w:highlight w:val="none"/>
                <w:lang w:val="en-US" w:eastAsia="zh-CN"/>
              </w:rPr>
              <w:t>4</w:t>
            </w:r>
            <w:r>
              <w:rPr>
                <w:rFonts w:hint="eastAsia" w:ascii="宋体" w:hAnsi="宋体" w:eastAsia="宋体" w:cs="宋体"/>
                <w:b/>
                <w:bCs/>
                <w:i w:val="0"/>
                <w:iCs w:val="0"/>
                <w:caps w:val="0"/>
                <w:color w:val="000000"/>
                <w:spacing w:val="0"/>
                <w:sz w:val="27"/>
                <w:szCs w:val="27"/>
                <w:highlight w:val="none"/>
              </w:rPr>
              <w:t>年河道及滨河绿化养护</w:t>
            </w:r>
            <w:r>
              <w:rPr>
                <w:rFonts w:hint="eastAsia" w:ascii="宋体" w:hAnsi="宋体" w:eastAsia="宋体" w:cs="宋体"/>
                <w:b/>
                <w:snapToGrid w:val="0"/>
                <w:color w:val="auto"/>
                <w:kern w:val="28"/>
                <w:sz w:val="24"/>
                <w:highlight w:val="none"/>
              </w:rPr>
              <w:t>将不被推荐为中标候选人；以此类推。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61"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宋体" w:hAnsi="宋体" w:eastAsia="宋体" w:cs="宋体"/>
                <w:color w:val="auto"/>
                <w:sz w:val="24"/>
                <w:highlight w:val="none"/>
                <w:lang w:val="en-US" w:eastAsia="zh-CN"/>
              </w:rPr>
            </w:pPr>
          </w:p>
          <w:p>
            <w:pPr>
              <w:snapToGrid w:val="0"/>
              <w:spacing w:line="360" w:lineRule="auto"/>
              <w:jc w:val="center"/>
              <w:rPr>
                <w:rFonts w:hint="eastAsia" w:ascii="宋体" w:hAnsi="宋体" w:eastAsia="宋体" w:cs="宋体"/>
                <w:color w:val="auto"/>
                <w:sz w:val="24"/>
                <w:highlight w:val="none"/>
                <w:lang w:val="en-US" w:eastAsia="zh-CN"/>
              </w:rPr>
            </w:pPr>
          </w:p>
          <w:p>
            <w:pPr>
              <w:snapToGrid w:val="0"/>
              <w:spacing w:line="360" w:lineRule="auto"/>
              <w:jc w:val="center"/>
              <w:rPr>
                <w:rFonts w:hint="eastAsia" w:ascii="宋体" w:hAnsi="宋体" w:eastAsia="宋体" w:cs="宋体"/>
                <w:color w:val="auto"/>
                <w:sz w:val="24"/>
                <w:highlight w:val="none"/>
                <w:lang w:val="en-US" w:eastAsia="zh-CN"/>
              </w:rPr>
            </w:pPr>
          </w:p>
          <w:p>
            <w:pPr>
              <w:snapToGrid w:val="0"/>
              <w:spacing w:line="360" w:lineRule="auto"/>
              <w:jc w:val="center"/>
              <w:rPr>
                <w:rFonts w:hint="eastAsia" w:ascii="宋体" w:hAnsi="宋体" w:eastAsia="宋体" w:cs="宋体"/>
                <w:color w:val="auto"/>
                <w:sz w:val="24"/>
                <w:highlight w:val="none"/>
                <w:lang w:val="en-US" w:eastAsia="zh-CN"/>
              </w:rPr>
            </w:pPr>
          </w:p>
          <w:p>
            <w:pPr>
              <w:snapToGrid w:val="0"/>
              <w:spacing w:line="360" w:lineRule="auto"/>
              <w:jc w:val="center"/>
              <w:rPr>
                <w:rFonts w:hint="eastAsia" w:ascii="宋体" w:hAnsi="宋体" w:eastAsia="宋体" w:cs="宋体"/>
                <w:color w:val="auto"/>
                <w:sz w:val="24"/>
                <w:highlight w:val="none"/>
                <w:lang w:val="en-US" w:eastAsia="zh-CN"/>
              </w:rPr>
            </w:pPr>
          </w:p>
          <w:p>
            <w:pPr>
              <w:snapToGrid w:val="0"/>
              <w:spacing w:line="360" w:lineRule="auto"/>
              <w:jc w:val="center"/>
              <w:rPr>
                <w:rFonts w:hint="eastAsia" w:ascii="宋体" w:hAnsi="宋体" w:eastAsia="宋体" w:cs="宋体"/>
                <w:color w:val="auto"/>
                <w:sz w:val="24"/>
                <w:highlight w:val="none"/>
                <w:lang w:val="en-US" w:eastAsia="zh-CN"/>
              </w:rPr>
            </w:pPr>
          </w:p>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联合体</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供应商以联合体形式投标的：按采购文件要求提供联合协议，联合体投标的联合体各方承担连带责任</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 xml:space="preserve">联合体成 </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员（含联合体牵头人）不得超过 3 个。</w:t>
            </w:r>
          </w:p>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b/>
                <w:color w:val="auto"/>
                <w:sz w:val="24"/>
                <w:highlight w:val="none"/>
              </w:rPr>
              <w:t>▲</w:t>
            </w:r>
            <w:r>
              <w:rPr>
                <w:rFonts w:hint="eastAsia" w:ascii="宋体" w:hAnsi="宋体" w:eastAsia="宋体" w:cs="宋体"/>
                <w:snapToGrid w:val="0"/>
                <w:color w:val="auto"/>
                <w:kern w:val="28"/>
                <w:sz w:val="24"/>
                <w:highlight w:val="none"/>
              </w:rPr>
              <w:t>联合体各方不再单独参加或者与其他供应商另外组成联合体参加同一标项的政府采购活动，否则相关投标均无效。</w:t>
            </w:r>
          </w:p>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b/>
                <w:color w:val="auto"/>
                <w:sz w:val="24"/>
                <w:highlight w:val="none"/>
              </w:rPr>
              <w:t>▲</w:t>
            </w:r>
            <w:r>
              <w:rPr>
                <w:rFonts w:hint="eastAsia" w:ascii="宋体" w:hAnsi="宋体" w:eastAsia="宋体" w:cs="宋体"/>
                <w:snapToGrid w:val="0"/>
                <w:color w:val="auto"/>
                <w:kern w:val="28"/>
                <w:sz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采用联合体投标，投标文件应根据采购文件要求进行签名或盖章，采购文件未作要求的，由联合体牵头人在投标文件相应位置签名或盖章即可。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b/>
                <w:snapToGrid w:val="0"/>
                <w:color w:val="auto"/>
                <w:kern w:val="28"/>
                <w:sz w:val="24"/>
                <w:highlight w:val="none"/>
              </w:rPr>
              <w:t>招标服务费：本次代理服务费由中标人支付，代理服务费按照国家计委印发的《招标代理服务收费管理暂行办法》计价格[2002]1980号文件计取;但不单列进投标总价，由中标人在领取中标通知书前支付给招标代理机构，各投标人应在投标报价中予以考虑。</w:t>
            </w:r>
          </w:p>
        </w:tc>
      </w:tr>
      <w:bookmarkEnd w:id="9"/>
    </w:tbl>
    <w:p>
      <w:pPr>
        <w:adjustRightInd/>
        <w:spacing w:line="360" w:lineRule="auto"/>
        <w:jc w:val="center"/>
        <w:outlineLvl w:val="0"/>
        <w:rPr>
          <w:rFonts w:hint="eastAsia" w:ascii="宋体" w:hAnsi="宋体" w:eastAsia="宋体" w:cs="宋体"/>
          <w:b/>
          <w:color w:val="auto"/>
          <w:sz w:val="32"/>
          <w:szCs w:val="20"/>
          <w:highlight w:val="none"/>
        </w:rPr>
      </w:pPr>
      <w:bookmarkStart w:id="10" w:name="第三部分"/>
      <w:bookmarkStart w:id="11" w:name="_Toc164416483"/>
      <w:r>
        <w:rPr>
          <w:rFonts w:hint="eastAsia" w:ascii="宋体" w:hAnsi="宋体" w:eastAsia="宋体" w:cs="宋体"/>
          <w:b/>
          <w:color w:val="auto"/>
          <w:sz w:val="32"/>
          <w:szCs w:val="20"/>
          <w:highlight w:val="none"/>
        </w:rPr>
        <w:t>一、总则</w:t>
      </w:r>
    </w:p>
    <w:p>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“采购机构”系指招标公告中载明的本项目的采购机构。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系指实质性要求条款，“★”系产品采购项目中单一产品或核心产品，“</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 系指适用本项目的要求，“</w:t>
      </w: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sz w:val="24"/>
          <w:highlight w:val="none"/>
        </w:rPr>
        <w:t>” 系指不适用本项目的要求。</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4.1供应商询问</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4.2供应商质疑</w:t>
      </w:r>
    </w:p>
    <w:p>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8"/>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4.2.2.1对招标文件提出质疑的，质疑期限为供应商获得招标文件之日或者招标文件公告期限届满之日起计算。</w:t>
      </w:r>
    </w:p>
    <w:p>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4.2.2.2对采购过程提出质疑的，质疑期限为各采购程序环节结束之日起计算。对同一采购程序环节的质疑，供应商须一次性提出。</w:t>
      </w:r>
    </w:p>
    <w:p>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4.2.2.3对采购结果提出质疑的，质疑期限自采购结果公告期限届满之日起计算。</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w:t>
      </w:r>
      <w:r>
        <w:rPr>
          <w:rFonts w:hint="eastAsia" w:ascii="宋体" w:hAnsi="宋体" w:eastAsia="宋体" w:cs="宋体"/>
          <w:color w:val="auto"/>
          <w:sz w:val="24"/>
          <w:highlight w:val="none"/>
        </w:rPr>
        <w:t>供应商提出质疑应当提交质疑函和必要的证明材料。质疑函应当包括下列内容：</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4.2.3.1供应商的姓名或者名称、地址、邮编、联系人及联系电话；</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4.2.3.2质疑项目的名称、编号；</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4.2.3.3具体、明确的质疑事项和与质疑事项相关的请求；</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4.2.3.4事实依据；</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4.2.3.5必要的法律依据；</w:t>
      </w:r>
    </w:p>
    <w:p>
      <w:pPr>
        <w:pStyle w:val="35"/>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4.2.3.6提出质疑的日期。</w:t>
      </w:r>
    </w:p>
    <w:p>
      <w:pPr>
        <w:pStyle w:val="574"/>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4"/>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pPr>
        <w:pStyle w:val="574"/>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4.2</w:t>
      </w:r>
      <w:r>
        <w:rPr>
          <w:rFonts w:hint="eastAsia" w:ascii="宋体" w:hAnsi="宋体" w:eastAsia="宋体" w:cs="宋体"/>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4"/>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4.2</w:t>
      </w:r>
      <w:r>
        <w:rPr>
          <w:rFonts w:hint="eastAsia" w:ascii="宋体" w:hAnsi="宋体" w:eastAsia="宋体" w:cs="宋体"/>
          <w:color w:val="auto"/>
          <w:highlight w:val="none"/>
        </w:rPr>
        <w:t>.5询问或者质疑事项可能影响采购结果的，采购人应当暂停签订合同，已经签订合同的，应当中止履行合同。</w:t>
      </w:r>
    </w:p>
    <w:p>
      <w:pPr>
        <w:pStyle w:val="574"/>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4.3供应商投诉</w:t>
      </w:r>
    </w:p>
    <w:p>
      <w:pPr>
        <w:pStyle w:val="574"/>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574"/>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574"/>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4.3.3供应商投诉应当有明确的请求和必要的证明材料。</w:t>
      </w:r>
    </w:p>
    <w:p>
      <w:pPr>
        <w:pStyle w:val="574"/>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4.3.5 以联合体形式参加政府采购活动的，其投诉应当由组成联合体的所有供应商共同提出。</w:t>
      </w:r>
    </w:p>
    <w:p>
      <w:pPr>
        <w:pStyle w:val="574"/>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pPr>
        <w:pStyle w:val="88"/>
        <w:snapToGrid w:val="0"/>
        <w:spacing w:before="0"/>
        <w:ind w:firstLine="360"/>
        <w:rPr>
          <w:rFonts w:hint="eastAsia" w:ascii="宋体" w:hAnsi="宋体" w:eastAsia="宋体" w:cs="宋体"/>
          <w:color w:val="auto"/>
          <w:sz w:val="18"/>
          <w:szCs w:val="18"/>
          <w:highlight w:val="none"/>
        </w:rPr>
      </w:pPr>
    </w:p>
    <w:p>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pPr>
        <w:pStyle w:val="8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6.1已获取招标文件的潜在投标人，若有问题需要澄清，应于投标截止时间前，以书面形式向采购机构提出。</w:t>
      </w:r>
    </w:p>
    <w:p>
      <w:pPr>
        <w:pStyle w:val="8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6"/>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pPr>
        <w:pStyle w:val="8"/>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11.1.2落实政府采购政策需满足的资格要求；</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11.1.3本项目的特定资格要求。</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11.2.3联合协议；</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11.2.4分包意向协议；</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11.2.5符合性审查资料；</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11.2.6评标标准相应的商务技术资料；</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11.3.2报价明细清单；</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w:t>
      </w:r>
    </w:p>
    <w:p>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pPr>
        <w:pStyle w:val="88"/>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pPr>
        <w:pStyle w:val="88"/>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pPr>
        <w:pStyle w:val="8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8"/>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pPr>
        <w:pStyle w:val="8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pPr>
        <w:pStyle w:val="88"/>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35"/>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但采购人、采购机构不强制或变相强制投标人提交备份投标文件。</w:t>
      </w:r>
    </w:p>
    <w:p>
      <w:pPr>
        <w:pStyle w:val="35"/>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15.5投标人仅提交备份投标文件，没有在电子交易平台传输递交投标文件的，投标无效。</w:t>
      </w:r>
    </w:p>
    <w:p>
      <w:pPr>
        <w:pStyle w:val="8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pPr>
        <w:pStyle w:val="3"/>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第13项规定</w:t>
      </w:r>
      <w:r>
        <w:rPr>
          <w:rFonts w:hint="eastAsia" w:ascii="宋体" w:hAnsi="宋体" w:eastAsia="宋体" w:cs="宋体"/>
          <w:color w:val="auto"/>
          <w:szCs w:val="21"/>
          <w:highlight w:val="none"/>
        </w:rPr>
        <w:t>的情形之一的，投标无效：</w:t>
      </w:r>
    </w:p>
    <w:p>
      <w:pPr>
        <w:pStyle w:val="8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pPr>
        <w:pStyle w:val="8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pPr>
        <w:pStyle w:val="8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88"/>
        <w:spacing w:before="0"/>
        <w:ind w:firstLine="643"/>
        <w:rPr>
          <w:rFonts w:hint="eastAsia" w:ascii="宋体" w:hAnsi="宋体" w:eastAsia="宋体" w:cs="宋体"/>
          <w:b/>
          <w:color w:val="auto"/>
          <w:sz w:val="32"/>
          <w:highlight w:val="none"/>
        </w:rPr>
      </w:pPr>
    </w:p>
    <w:p>
      <w:pPr>
        <w:pStyle w:val="88"/>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243"/>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pPr>
        <w:pStyle w:val="243"/>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18.1采购机构按照招标文件规定的时间通过电子交易平台组织开标，所有投标人均应当准时在线参加。投标人不足3家的，不得开标。</w:t>
      </w:r>
    </w:p>
    <w:p>
      <w:pPr>
        <w:pStyle w:val="243"/>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243"/>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pPr>
        <w:pStyle w:val="8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19.1开标后，采购人或采购机构将依法对投标人的资格进行审查。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采购人或采购机构依据法律法规和招标文件的规定，对投标人的基本资格条件、特定资格条件进行审查。</w:t>
      </w:r>
    </w:p>
    <w:p>
      <w:pPr>
        <w:pStyle w:val="8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pPr>
        <w:pStyle w:val="8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4对未通过资格审查的投标人，采购人或采购机构告知其未通过的原因。</w:t>
      </w:r>
    </w:p>
    <w:p>
      <w:pPr>
        <w:pStyle w:val="8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pPr>
        <w:pStyle w:val="8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8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8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pPr>
        <w:pStyle w:val="8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88"/>
        <w:spacing w:before="0"/>
        <w:ind w:firstLine="0" w:firstLineChars="0"/>
        <w:rPr>
          <w:rFonts w:hint="eastAsia" w:ascii="宋体" w:hAnsi="宋体" w:eastAsia="宋体" w:cs="宋体"/>
          <w:color w:val="auto"/>
          <w:kern w:val="0"/>
          <w:szCs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pPr>
        <w:spacing w:line="360" w:lineRule="auto"/>
        <w:rPr>
          <w:rFonts w:hint="eastAsia" w:ascii="宋体" w:hAnsi="宋体" w:eastAsia="宋体" w:cs="宋体"/>
          <w:b/>
          <w:color w:val="auto"/>
          <w:sz w:val="24"/>
          <w:highlight w:val="none"/>
        </w:rPr>
      </w:pPr>
      <w:bookmarkStart w:id="12"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pPr>
        <w:spacing w:line="360" w:lineRule="auto"/>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pPr>
        <w:pStyle w:val="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pPr>
        <w:pStyle w:val="88"/>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采购人将自收到评审报告之日起5个工作日内通过电子交易平台在评审报告推荐的中标候选人中按顺序确定中标供应商。</w:t>
      </w:r>
    </w:p>
    <w:p>
      <w:pPr>
        <w:pStyle w:val="88"/>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pPr>
        <w:snapToGrid w:val="0"/>
        <w:spacing w:line="360" w:lineRule="auto"/>
        <w:ind w:left="120" w:leftChars="57" w:firstLine="482" w:firstLineChars="150"/>
        <w:jc w:val="center"/>
        <w:rPr>
          <w:rFonts w:hint="eastAsia" w:ascii="宋体" w:hAnsi="宋体" w:eastAsia="宋体" w:cs="宋体"/>
          <w:b/>
          <w:color w:val="auto"/>
          <w:sz w:val="32"/>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pPr>
        <w:pStyle w:val="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pPr>
        <w:pStyle w:val="88"/>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pPr>
        <w:pStyle w:val="8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88"/>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pPr>
        <w:pStyle w:val="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pPr>
        <w:tabs>
          <w:tab w:val="left" w:pos="0"/>
        </w:tabs>
        <w:spacing w:line="360" w:lineRule="auto"/>
        <w:ind w:firstLine="482"/>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w:t>
      </w: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%。鼓励和支持供应商以银行、保险公司出具的保函形式提供履约保证金。</w:t>
      </w:r>
      <w:r>
        <w:rPr>
          <w:rFonts w:hint="eastAsia" w:ascii="宋体" w:hAnsi="宋体" w:eastAsia="宋体" w:cs="宋体"/>
          <w:b/>
          <w:color w:val="auto"/>
          <w:sz w:val="24"/>
          <w:highlight w:val="none"/>
        </w:rPr>
        <w:t>采购人不得拒收履约保函。</w:t>
      </w:r>
    </w:p>
    <w:p>
      <w:pPr>
        <w:tabs>
          <w:tab w:val="left" w:pos="0"/>
        </w:tabs>
        <w:spacing w:line="360" w:lineRule="auto"/>
        <w:ind w:firstLine="482"/>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w:t>
      </w:r>
      <w:r>
        <w:rPr>
          <w:rFonts w:hint="eastAsia" w:ascii="宋体" w:hAnsi="宋体" w:eastAsia="宋体" w:cs="宋体"/>
          <w:color w:val="auto"/>
          <w:sz w:val="24"/>
          <w:szCs w:val="20"/>
          <w:highlight w:val="none"/>
          <w:lang w:val="en-US" w:eastAsia="zh-CN"/>
        </w:rPr>
        <w:t>2.5</w:t>
      </w:r>
      <w:r>
        <w:rPr>
          <w:rFonts w:hint="eastAsia" w:ascii="宋体" w:hAnsi="宋体" w:eastAsia="宋体" w:cs="宋体"/>
          <w:color w:val="auto"/>
          <w:sz w:val="24"/>
          <w:szCs w:val="20"/>
          <w:highlight w:val="none"/>
        </w:rPr>
        <w:t>%。</w:t>
      </w:r>
    </w:p>
    <w:p>
      <w:pPr>
        <w:pStyle w:val="6"/>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宋体" w:hAnsi="宋体" w:eastAsia="宋体" w:cs="宋体"/>
          <w:b/>
          <w:color w:val="auto"/>
          <w:sz w:val="32"/>
          <w:highlight w:val="none"/>
        </w:rPr>
      </w:pPr>
    </w:p>
    <w:p>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88"/>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b/>
          <w:color w:val="auto"/>
          <w:szCs w:val="24"/>
          <w:highlight w:val="none"/>
        </w:rPr>
        <w:t>7.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pPr>
        <w:pStyle w:val="8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pPr>
        <w:pStyle w:val="8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pPr>
        <w:pStyle w:val="8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pPr>
        <w:pStyle w:val="8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pPr>
        <w:pStyle w:val="8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pPr>
        <w:pStyle w:val="88"/>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3"/>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29.验收</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3" w:name="_Hlt74730295"/>
      <w:bookmarkEnd w:id="13"/>
      <w:bookmarkStart w:id="14" w:name="_Hlt68073093"/>
      <w:bookmarkEnd w:id="14"/>
      <w:bookmarkStart w:id="15" w:name="_Hlt68072990"/>
      <w:bookmarkEnd w:id="15"/>
      <w:bookmarkStart w:id="16" w:name="_Hlt74714665"/>
      <w:bookmarkEnd w:id="16"/>
      <w:bookmarkStart w:id="17" w:name="_Hlt68403820"/>
      <w:bookmarkEnd w:id="17"/>
      <w:bookmarkStart w:id="18" w:name="_Hlt68057669"/>
      <w:bookmarkEnd w:id="18"/>
      <w:bookmarkStart w:id="19" w:name="_Hlt68072998"/>
      <w:bookmarkEnd w:id="19"/>
      <w:bookmarkStart w:id="20" w:name="_Hlt74729768"/>
      <w:bookmarkEnd w:id="20"/>
      <w:bookmarkStart w:id="21" w:name="_Hlt74707468"/>
      <w:bookmarkEnd w:id="21"/>
      <w:bookmarkStart w:id="22" w:name="_Hlt75236101"/>
      <w:bookmarkEnd w:id="22"/>
      <w:bookmarkStart w:id="23" w:name="_Hlt75236011"/>
      <w:bookmarkEnd w:id="23"/>
      <w:bookmarkStart w:id="24" w:name="_Hlt75236290"/>
      <w:bookmarkEnd w:id="24"/>
    </w:p>
    <w:bookmarkEnd w:id="10"/>
    <w:bookmarkEnd w:id="11"/>
    <w:p>
      <w:pPr>
        <w:numPr>
          <w:ilvl w:val="0"/>
          <w:numId w:val="2"/>
        </w:numPr>
        <w:spacing w:line="360" w:lineRule="auto"/>
        <w:jc w:val="center"/>
        <w:outlineLvl w:val="0"/>
        <w:rPr>
          <w:rFonts w:hint="eastAsia" w:ascii="宋体" w:hAnsi="宋体" w:eastAsia="宋体" w:cs="宋体"/>
          <w:b/>
          <w:color w:val="auto"/>
          <w:sz w:val="36"/>
          <w:szCs w:val="36"/>
          <w:highlight w:val="none"/>
        </w:rPr>
      </w:pPr>
      <w:bookmarkStart w:id="25" w:name="第四部分"/>
      <w:r>
        <w:rPr>
          <w:rFonts w:hint="eastAsia" w:ascii="宋体" w:hAnsi="宋体" w:eastAsia="宋体" w:cs="宋体"/>
          <w:b/>
          <w:color w:val="auto"/>
          <w:sz w:val="36"/>
          <w:szCs w:val="36"/>
          <w:highlight w:val="none"/>
        </w:rPr>
        <w:t xml:space="preserve">  采购需求</w:t>
      </w:r>
    </w:p>
    <w:p>
      <w:pPr>
        <w:pStyle w:val="967"/>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一、项目概况</w:t>
      </w:r>
    </w:p>
    <w:p>
      <w:pPr>
        <w:numPr>
          <w:ilvl w:val="0"/>
          <w:numId w:val="0"/>
        </w:numPr>
        <w:wordWrap/>
        <w:adjustRightInd/>
        <w:snapToGrid/>
        <w:spacing w:line="500" w:lineRule="exact"/>
        <w:ind w:left="-420" w:leftChars="-200" w:firstLine="840" w:firstLineChars="3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为“交钥匙”项目，本次招标范围内的所有作业内容，包括但不限于人工工资（含节假日加班费）、易损材料、生产工具、运输工具、修理费、清洗费、卫生用具、办公、车辆停放场地、食宿、通信、劳保（含高温补贴费、反光服、雨衣、夏令防暑等）、福利、利润、税金、保险（包括医疗、工伤、养老等社会保险及人身意外保险）以及因国家政策性调整（包括但不限于最低工资调整和社保保障缴费调整）</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招标代理费</w:t>
      </w:r>
      <w:r>
        <w:rPr>
          <w:rFonts w:hint="eastAsia" w:ascii="宋体" w:hAnsi="宋体" w:eastAsia="宋体" w:cs="宋体"/>
          <w:color w:val="auto"/>
          <w:sz w:val="24"/>
          <w:highlight w:val="none"/>
        </w:rPr>
        <w:t>等一切费用</w:t>
      </w:r>
      <w:r>
        <w:rPr>
          <w:rFonts w:hint="eastAsia" w:ascii="宋体" w:hAnsi="宋体" w:eastAsia="宋体" w:cs="宋体"/>
          <w:color w:val="auto"/>
          <w:sz w:val="24"/>
          <w:highlight w:val="none"/>
          <w:lang w:eastAsia="zh-CN"/>
        </w:rPr>
        <w:t>。</w:t>
      </w:r>
    </w:p>
    <w:p>
      <w:pPr>
        <w:pStyle w:val="967"/>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b/>
          <w:bCs/>
          <w:color w:val="auto"/>
          <w:szCs w:val="24"/>
          <w:highlight w:val="none"/>
        </w:rPr>
      </w:pPr>
      <w:r>
        <w:rPr>
          <w:rFonts w:hint="eastAsia" w:ascii="宋体" w:hAnsi="宋体" w:eastAsia="宋体" w:cs="宋体"/>
          <w:color w:val="auto"/>
          <w:szCs w:val="24"/>
          <w:highlight w:val="none"/>
        </w:rPr>
        <w:t>二、</w:t>
      </w:r>
      <w:r>
        <w:rPr>
          <w:rFonts w:hint="eastAsia" w:ascii="宋体" w:hAnsi="宋体" w:eastAsia="宋体" w:cs="宋体"/>
          <w:b/>
          <w:bCs/>
          <w:color w:val="auto"/>
          <w:szCs w:val="24"/>
          <w:highlight w:val="none"/>
        </w:rPr>
        <w:t>服务范围：</w:t>
      </w:r>
    </w:p>
    <w:p>
      <w:pPr>
        <w:numPr>
          <w:ilvl w:val="0"/>
          <w:numId w:val="0"/>
        </w:numPr>
        <w:wordWrap/>
        <w:adjustRightInd/>
        <w:snapToGrid/>
        <w:spacing w:line="500" w:lineRule="exact"/>
        <w:ind w:left="-420" w:leftChars="-200" w:firstLine="840" w:firstLineChars="35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本项目服务范围以仓前街道以文一西路以北区块，北至东莲街（含道路）西至运溪路（不含道路）南至文一西路（不含道路）东至海创路（不含道路）,该区块绿化面积36416平方米，道路及人行道保洁面积551096平方米，道路及人行道养护面积551096平方米，时花种植694平方米，标准公厕7座。</w:t>
      </w:r>
    </w:p>
    <w:p>
      <w:pPr>
        <w:numPr>
          <w:ilvl w:val="0"/>
          <w:numId w:val="0"/>
        </w:numPr>
        <w:wordWrap/>
        <w:adjustRightInd/>
        <w:snapToGrid/>
        <w:spacing w:line="500" w:lineRule="exact"/>
        <w:ind w:left="-420" w:leftChars="-200" w:firstLine="843" w:firstLineChars="350"/>
        <w:textAlignment w:val="auto"/>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lang w:val="en-US" w:eastAsia="zh-CN"/>
        </w:rPr>
        <w:t>2、项目服务内容</w:t>
      </w:r>
      <w:r>
        <w:rPr>
          <w:rFonts w:hint="eastAsia" w:ascii="宋体" w:hAnsi="宋体" w:eastAsia="宋体" w:cs="宋体"/>
          <w:color w:val="auto"/>
          <w:sz w:val="24"/>
          <w:highlight w:val="none"/>
        </w:rPr>
        <w:t>：仓前街道文一西路以北区块可视范围道路保洁、绿化养护、市政养护、公厕保洁</w:t>
      </w:r>
      <w:r>
        <w:rPr>
          <w:rFonts w:hint="eastAsia" w:ascii="宋体" w:hAnsi="宋体" w:eastAsia="宋体" w:cs="宋体"/>
          <w:color w:val="auto"/>
          <w:sz w:val="24"/>
          <w:highlight w:val="none"/>
          <w:lang w:val="en-US" w:eastAsia="zh-CN"/>
        </w:rPr>
        <w:t>等综合服务内容</w:t>
      </w:r>
      <w:r>
        <w:rPr>
          <w:rFonts w:hint="eastAsia" w:ascii="宋体" w:hAnsi="宋体" w:eastAsia="宋体" w:cs="宋体"/>
          <w:color w:val="auto"/>
          <w:sz w:val="24"/>
          <w:highlight w:val="none"/>
          <w:lang w:eastAsia="zh-CN"/>
        </w:rPr>
        <w:t>。</w:t>
      </w:r>
    </w:p>
    <w:p>
      <w:pPr>
        <w:numPr>
          <w:ilvl w:val="0"/>
          <w:numId w:val="0"/>
        </w:numPr>
        <w:wordWrap/>
        <w:adjustRightInd/>
        <w:snapToGrid/>
        <w:spacing w:line="500" w:lineRule="exact"/>
        <w:ind w:left="-420" w:leftChars="-200" w:firstLine="843" w:firstLineChars="350"/>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3、道路保洁及绿化养护招标范围及内容：</w:t>
      </w:r>
    </w:p>
    <w:p>
      <w:pPr>
        <w:pStyle w:val="3"/>
        <w:spacing w:beforeLines="0" w:afterLines="0"/>
        <w:ind w:left="0" w:leftChars="0" w:firstLine="843" w:firstLineChars="300"/>
        <w:jc w:val="both"/>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仓前街道文一西路以北区块道路保洁及绿化养护明细表</w:t>
      </w:r>
    </w:p>
    <w:tbl>
      <w:tblPr>
        <w:tblStyle w:val="64"/>
        <w:tblW w:w="9483" w:type="dxa"/>
        <w:tblInd w:w="-4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3"/>
        <w:gridCol w:w="692"/>
        <w:gridCol w:w="1033"/>
        <w:gridCol w:w="1995"/>
        <w:gridCol w:w="913"/>
        <w:gridCol w:w="846"/>
        <w:gridCol w:w="1186"/>
        <w:gridCol w:w="1132"/>
        <w:gridCol w:w="1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序号 </w:t>
            </w:r>
          </w:p>
        </w:tc>
        <w:tc>
          <w:tcPr>
            <w:tcW w:w="6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w:t>
            </w:r>
          </w:p>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等级</w:t>
            </w: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道路名</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起止点</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长度(m)</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平均 </w:t>
            </w:r>
          </w:p>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宽度(m)</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道路及人行道面积</w:t>
            </w:r>
            <w:r>
              <w:rPr>
                <w:rFonts w:hint="eastAsia" w:ascii="宋体" w:hAnsi="宋体" w:eastAsia="宋体" w:cs="宋体"/>
                <w:color w:val="auto"/>
                <w:kern w:val="0"/>
                <w:sz w:val="21"/>
                <w:szCs w:val="21"/>
                <w:highlight w:val="none"/>
              </w:rPr>
              <w:t>(m2)</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绿化面积 (m2)</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人行道树木 数量(</w:t>
            </w:r>
            <w:r>
              <w:rPr>
                <w:rFonts w:hint="eastAsia" w:ascii="宋体" w:hAnsi="宋体" w:eastAsia="宋体" w:cs="宋体"/>
                <w:color w:val="auto"/>
                <w:kern w:val="0"/>
                <w:sz w:val="21"/>
                <w:szCs w:val="21"/>
                <w:highlight w:val="none"/>
              </w:rPr>
              <w:t>m2</w:t>
            </w:r>
            <w:r>
              <w:rPr>
                <w:rFonts w:hint="eastAsia" w:ascii="宋体" w:hAnsi="宋体" w:eastAsia="宋体" w:cs="宋体"/>
                <w:color w:val="auto"/>
                <w:kern w:val="0"/>
                <w:sz w:val="21"/>
                <w:szCs w:val="21"/>
                <w:highlight w:val="none"/>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692" w:type="dxa"/>
            <w:vMerge w:val="restart"/>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二类</w:t>
            </w:r>
          </w:p>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0"/>
                <w:szCs w:val="20"/>
                <w:highlight w:val="none"/>
              </w:rPr>
              <w:t>道路保洁标准</w:t>
            </w:r>
          </w:p>
        </w:tc>
        <w:tc>
          <w:tcPr>
            <w:tcW w:w="103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东莲街</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绿汀路-良睦路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2026</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14</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28356</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vMerge w:val="continue"/>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绿晨路-绿汀路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1361</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15</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15320</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5328</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科凯路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余杭塘路-文一西路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856</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16</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13696</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vMerge w:val="continue"/>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文一西路-葛巷路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735</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16</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11525</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向往街</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绿汀路-良睦路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28</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53700</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2300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vMerge w:val="continue"/>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良睦路-联创街</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1200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29-35</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38060</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1440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龙潭路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绿汀路-东西大道</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1460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18</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27880</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vMerge w:val="continue"/>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创景路--绿汀路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767</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20</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13807</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舒心路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余杭塘路-文一西路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1171</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28</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22360</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2237</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创景路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东莲街-文一西路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1363</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24</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32722</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1184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景兴路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东莲街-文一西路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1380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32</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45963</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海鸥路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余杭塘路-向往街</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917</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12</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11385</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云碧路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余杭塘路-良睦路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862</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12</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11095</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联创街</w:t>
            </w:r>
          </w:p>
        </w:tc>
        <w:tc>
          <w:tcPr>
            <w:tcW w:w="1995"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良睦路-高教路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1005</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40</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35309</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6055</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vMerge w:val="continue"/>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p>
        </w:tc>
        <w:tc>
          <w:tcPr>
            <w:tcW w:w="1995"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绿汀路-良睦路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2006</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20</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41150</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9000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创明路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文一西路-文二西路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966</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25</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22438</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2135</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vMerge w:val="continue"/>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东莲街-文一西路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1500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24</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34382</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1618</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12</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宝瑞港路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余杭塘路-向往街</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460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18</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8640</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海创街</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绿汀路-龙园路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962</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12</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11544</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龙泉路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绿晨路-绿汀路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1333</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14</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18230</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1064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龙舟路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东莲街-文一西路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986</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28</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24358</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5328</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绿晨路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余杭塘路-东莲街</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220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14</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2754</w:t>
            </w:r>
          </w:p>
        </w:tc>
        <w:tc>
          <w:tcPr>
            <w:tcW w:w="1132"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0</w:t>
            </w:r>
          </w:p>
        </w:tc>
        <w:tc>
          <w:tcPr>
            <w:tcW w:w="1063"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绿沙路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东莲街-余杭塘路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410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16</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5807</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0</w:t>
            </w:r>
          </w:p>
        </w:tc>
        <w:tc>
          <w:tcPr>
            <w:tcW w:w="1063"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景腾路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余杭塘路-东莲街</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120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12</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1350</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200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憧憬路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龙潭路-双池街</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240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18</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3825</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775</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亭后路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景兴路-向往街</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107</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15</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1605</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业成街</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创景路-景兴路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475</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15</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7320</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鸥翔街</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创景路-景兴路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281</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15</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4330</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w:t>
            </w:r>
          </w:p>
        </w:tc>
        <w:tc>
          <w:tcPr>
            <w:tcW w:w="692" w:type="dxa"/>
            <w:vMerge w:val="continue"/>
            <w:tcBorders>
              <w:top w:val="nil"/>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爱沙路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余杭塘路-联创街</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163</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13</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2185</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02" w:type="dxa"/>
            <w:gridSpan w:val="6"/>
            <w:tcBorders>
              <w:top w:val="single" w:color="auto" w:sz="4" w:space="0"/>
              <w:left w:val="single" w:color="auto"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小计</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551096</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36416</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02" w:type="dxa"/>
            <w:gridSpan w:val="6"/>
            <w:tcBorders>
              <w:top w:val="single" w:color="auto" w:sz="4" w:space="0"/>
              <w:left w:val="single" w:color="auto"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合计</w:t>
            </w:r>
          </w:p>
        </w:tc>
        <w:tc>
          <w:tcPr>
            <w:tcW w:w="23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587512</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r>
    </w:tbl>
    <w:p>
      <w:pPr>
        <w:tabs>
          <w:tab w:val="left" w:pos="8400"/>
        </w:tabs>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w:t>
      </w:r>
      <w:r>
        <w:rPr>
          <w:rFonts w:hint="eastAsia" w:asciiTheme="majorEastAsia" w:hAnsiTheme="majorEastAsia" w:eastAsiaTheme="majorEastAsia" w:cstheme="majorEastAsia"/>
          <w:b/>
          <w:color w:val="auto"/>
          <w:sz w:val="24"/>
          <w:highlight w:val="none"/>
        </w:rPr>
        <w:t>：</w:t>
      </w:r>
      <w:r>
        <w:rPr>
          <w:rFonts w:hint="eastAsia" w:ascii="宋体" w:hAnsi="宋体" w:cs="宋体"/>
          <w:b/>
          <w:color w:val="auto"/>
          <w:sz w:val="24"/>
          <w:highlight w:val="none"/>
          <w:lang w:val="en-US" w:eastAsia="zh-CN"/>
        </w:rPr>
        <w:t>1）</w:t>
      </w:r>
      <w:r>
        <w:rPr>
          <w:rFonts w:hint="eastAsia" w:asciiTheme="majorEastAsia" w:hAnsiTheme="majorEastAsia" w:eastAsiaTheme="majorEastAsia" w:cstheme="majorEastAsia"/>
          <w:b/>
          <w:color w:val="auto"/>
          <w:sz w:val="24"/>
          <w:highlight w:val="none"/>
          <w:lang w:val="en-US" w:eastAsia="zh-CN"/>
        </w:rPr>
        <w:t>以上绿化面积含部分还在养护期内的</w:t>
      </w:r>
      <w:r>
        <w:rPr>
          <w:rFonts w:hint="eastAsia" w:asciiTheme="majorEastAsia" w:hAnsiTheme="majorEastAsia" w:eastAsiaTheme="majorEastAsia" w:cstheme="majorEastAsia"/>
          <w:b/>
          <w:color w:val="auto"/>
          <w:sz w:val="24"/>
          <w:highlight w:val="none"/>
        </w:rPr>
        <w:t>，</w:t>
      </w:r>
      <w:r>
        <w:rPr>
          <w:rFonts w:hint="eastAsia" w:asciiTheme="majorEastAsia" w:hAnsiTheme="majorEastAsia" w:eastAsiaTheme="majorEastAsia" w:cstheme="majorEastAsia"/>
          <w:b/>
          <w:color w:val="auto"/>
          <w:sz w:val="24"/>
          <w:highlight w:val="none"/>
          <w:lang w:val="en-US" w:eastAsia="zh-CN"/>
        </w:rPr>
        <w:t>这部分绿化养护时间</w:t>
      </w:r>
      <w:r>
        <w:rPr>
          <w:rFonts w:hint="eastAsia" w:asciiTheme="majorEastAsia" w:hAnsiTheme="majorEastAsia" w:eastAsiaTheme="majorEastAsia" w:cstheme="majorEastAsia"/>
          <w:b/>
          <w:color w:val="auto"/>
          <w:sz w:val="24"/>
          <w:highlight w:val="none"/>
        </w:rPr>
        <w:t>按</w:t>
      </w:r>
      <w:r>
        <w:rPr>
          <w:rFonts w:hint="eastAsia" w:asciiTheme="majorEastAsia" w:hAnsiTheme="majorEastAsia" w:eastAsiaTheme="majorEastAsia" w:cstheme="majorEastAsia"/>
          <w:b/>
          <w:color w:val="auto"/>
          <w:sz w:val="24"/>
          <w:highlight w:val="none"/>
          <w:lang w:val="en-US" w:eastAsia="zh-CN"/>
        </w:rPr>
        <w:t>原养护期到期</w:t>
      </w:r>
      <w:r>
        <w:rPr>
          <w:rFonts w:hint="eastAsia" w:asciiTheme="majorEastAsia" w:hAnsiTheme="majorEastAsia" w:eastAsiaTheme="majorEastAsia" w:cstheme="majorEastAsia"/>
          <w:b/>
          <w:color w:val="auto"/>
          <w:sz w:val="24"/>
          <w:highlight w:val="none"/>
        </w:rPr>
        <w:t>交接之日起</w:t>
      </w:r>
      <w:r>
        <w:rPr>
          <w:rFonts w:hint="eastAsia" w:asciiTheme="majorEastAsia" w:hAnsiTheme="majorEastAsia" w:eastAsiaTheme="majorEastAsia" w:cstheme="majorEastAsia"/>
          <w:b/>
          <w:color w:val="auto"/>
          <w:sz w:val="24"/>
          <w:highlight w:val="none"/>
          <w:lang w:eastAsia="zh-CN"/>
        </w:rPr>
        <w:t>计算，费用按</w:t>
      </w:r>
      <w:r>
        <w:rPr>
          <w:rFonts w:hint="eastAsia" w:asciiTheme="majorEastAsia" w:hAnsiTheme="majorEastAsia" w:eastAsiaTheme="majorEastAsia" w:cstheme="majorEastAsia"/>
          <w:b/>
          <w:color w:val="auto"/>
          <w:sz w:val="24"/>
          <w:highlight w:val="none"/>
        </w:rPr>
        <w:t>中标</w:t>
      </w:r>
      <w:r>
        <w:rPr>
          <w:rFonts w:hint="eastAsia" w:asciiTheme="majorEastAsia" w:hAnsiTheme="majorEastAsia" w:eastAsiaTheme="majorEastAsia" w:cstheme="majorEastAsia"/>
          <w:b/>
          <w:color w:val="auto"/>
          <w:sz w:val="24"/>
          <w:highlight w:val="none"/>
          <w:lang w:eastAsia="zh-CN"/>
        </w:rPr>
        <w:t>单价结合实际数量作相应调整</w:t>
      </w:r>
      <w:r>
        <w:rPr>
          <w:rFonts w:hint="eastAsia" w:asciiTheme="majorEastAsia" w:hAnsiTheme="majorEastAsia" w:eastAsiaTheme="majorEastAsia" w:cstheme="majorEastAsia"/>
          <w:b/>
          <w:color w:val="auto"/>
          <w:sz w:val="24"/>
          <w:highlight w:val="none"/>
        </w:rPr>
        <w:t>。</w:t>
      </w:r>
    </w:p>
    <w:p>
      <w:pPr>
        <w:tabs>
          <w:tab w:val="left" w:pos="8400"/>
        </w:tabs>
        <w:spacing w:line="440" w:lineRule="exact"/>
        <w:ind w:firstLine="482" w:firstLineChars="20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lang w:val="en-US" w:eastAsia="zh-CN"/>
        </w:rPr>
        <w:t>道路保洁及绿化养护承包期内如有道路改建、扩建、新增人行道等情况</w:t>
      </w:r>
      <w:r>
        <w:rPr>
          <w:rFonts w:hint="eastAsia" w:ascii="宋体" w:hAnsi="宋体" w:cs="宋体"/>
          <w:b/>
          <w:color w:val="auto"/>
          <w:sz w:val="24"/>
          <w:highlight w:val="none"/>
          <w:lang w:val="en-US" w:eastAsia="zh-CN"/>
        </w:rPr>
        <w:t>经甲方同意</w:t>
      </w:r>
      <w:r>
        <w:rPr>
          <w:rFonts w:hint="eastAsia" w:ascii="宋体" w:hAnsi="宋体" w:eastAsia="宋体" w:cs="宋体"/>
          <w:b/>
          <w:color w:val="auto"/>
          <w:sz w:val="24"/>
          <w:highlight w:val="none"/>
          <w:lang w:val="en-US" w:eastAsia="zh-CN"/>
        </w:rPr>
        <w:t>所增加的面积，原则上纳入中标单位保洁及绿化养护范围，</w:t>
      </w:r>
      <w:r>
        <w:rPr>
          <w:rFonts w:hint="eastAsia" w:ascii="宋体" w:hAnsi="宋体" w:cs="宋体"/>
          <w:b/>
          <w:color w:val="auto"/>
          <w:sz w:val="24"/>
          <w:highlight w:val="none"/>
          <w:lang w:val="en-US" w:eastAsia="zh-CN"/>
        </w:rPr>
        <w:t>根据中标单价</w:t>
      </w:r>
      <w:r>
        <w:rPr>
          <w:rFonts w:hint="eastAsia" w:ascii="宋体" w:hAnsi="宋体" w:eastAsia="宋体" w:cs="宋体"/>
          <w:b/>
          <w:color w:val="auto"/>
          <w:sz w:val="24"/>
          <w:highlight w:val="none"/>
          <w:lang w:val="en-US" w:eastAsia="zh-CN"/>
        </w:rPr>
        <w:t>按时结算</w:t>
      </w:r>
      <w:r>
        <w:rPr>
          <w:rFonts w:hint="eastAsia" w:ascii="宋体" w:hAnsi="宋体" w:cs="宋体"/>
          <w:b/>
          <w:color w:val="auto"/>
          <w:sz w:val="24"/>
          <w:highlight w:val="none"/>
          <w:lang w:val="en-US" w:eastAsia="zh-CN"/>
        </w:rPr>
        <w:t>，原则上不超过中标价的10%</w:t>
      </w:r>
      <w:r>
        <w:rPr>
          <w:rFonts w:hint="eastAsia" w:ascii="宋体" w:hAnsi="宋体" w:eastAsia="宋体" w:cs="宋体"/>
          <w:b/>
          <w:color w:val="auto"/>
          <w:sz w:val="24"/>
          <w:highlight w:val="none"/>
          <w:lang w:val="en-US" w:eastAsia="zh-CN"/>
        </w:rPr>
        <w:t>。</w:t>
      </w:r>
    </w:p>
    <w:p>
      <w:pPr>
        <w:tabs>
          <w:tab w:val="left" w:pos="8400"/>
        </w:tabs>
        <w:spacing w:line="440" w:lineRule="exact"/>
        <w:ind w:firstLine="482" w:firstLineChars="20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3）</w:t>
      </w:r>
      <w:r>
        <w:rPr>
          <w:rFonts w:hint="eastAsia" w:ascii="宋体" w:hAnsi="宋体" w:eastAsia="宋体" w:cs="宋体"/>
          <w:b/>
          <w:color w:val="auto"/>
          <w:sz w:val="24"/>
          <w:highlight w:val="none"/>
        </w:rPr>
        <w:t>以上</w:t>
      </w:r>
      <w:r>
        <w:rPr>
          <w:rFonts w:hint="eastAsia" w:ascii="宋体" w:hAnsi="宋体" w:eastAsia="宋体" w:cs="宋体"/>
          <w:b/>
          <w:color w:val="auto"/>
          <w:sz w:val="24"/>
          <w:highlight w:val="none"/>
          <w:lang w:val="en-US" w:eastAsia="zh-CN"/>
        </w:rPr>
        <w:t>养护</w:t>
      </w:r>
      <w:r>
        <w:rPr>
          <w:rFonts w:hint="eastAsia" w:ascii="宋体" w:hAnsi="宋体" w:eastAsia="宋体" w:cs="宋体"/>
          <w:b/>
          <w:color w:val="auto"/>
          <w:sz w:val="24"/>
          <w:highlight w:val="none"/>
        </w:rPr>
        <w:t>面积为甲方</w:t>
      </w:r>
      <w:r>
        <w:rPr>
          <w:rFonts w:hint="eastAsia" w:ascii="宋体" w:hAnsi="宋体" w:eastAsia="宋体" w:cs="宋体"/>
          <w:b/>
          <w:color w:val="auto"/>
          <w:sz w:val="24"/>
          <w:highlight w:val="none"/>
          <w:lang w:val="en-US" w:eastAsia="zh-CN"/>
        </w:rPr>
        <w:t>经</w:t>
      </w:r>
      <w:r>
        <w:rPr>
          <w:rFonts w:hint="eastAsia" w:ascii="宋体" w:hAnsi="宋体" w:eastAsia="宋体" w:cs="宋体"/>
          <w:b/>
          <w:color w:val="auto"/>
          <w:sz w:val="24"/>
          <w:highlight w:val="none"/>
        </w:rPr>
        <w:t>测</w:t>
      </w:r>
      <w:r>
        <w:rPr>
          <w:rFonts w:hint="eastAsia" w:ascii="宋体" w:hAnsi="宋体" w:eastAsia="宋体" w:cs="宋体"/>
          <w:b/>
          <w:color w:val="auto"/>
          <w:sz w:val="24"/>
          <w:highlight w:val="none"/>
          <w:lang w:val="en-US" w:eastAsia="zh-CN"/>
        </w:rPr>
        <w:t>量</w:t>
      </w:r>
      <w:r>
        <w:rPr>
          <w:rFonts w:hint="eastAsia" w:ascii="宋体" w:hAnsi="宋体" w:eastAsia="宋体" w:cs="宋体"/>
          <w:b/>
          <w:color w:val="auto"/>
          <w:sz w:val="24"/>
          <w:highlight w:val="none"/>
        </w:rPr>
        <w:t>提供的，各投标单位应根据现场实际踏测自行测量，如面积不一致应充分考虑在投标报价内，今后不作调整。</w:t>
      </w:r>
    </w:p>
    <w:p>
      <w:pPr>
        <w:numPr>
          <w:ilvl w:val="0"/>
          <w:numId w:val="0"/>
        </w:numPr>
        <w:wordWrap/>
        <w:adjustRightInd/>
        <w:snapToGrid/>
        <w:spacing w:line="500" w:lineRule="exact"/>
        <w:ind w:firstLine="482" w:firstLineChars="200"/>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3.1、道路保洁相关要求</w:t>
      </w:r>
    </w:p>
    <w:p>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1.1本项目</w:t>
      </w:r>
      <w:r>
        <w:rPr>
          <w:rFonts w:hint="eastAsia" w:ascii="宋体" w:hAnsi="宋体" w:eastAsia="宋体" w:cs="宋体"/>
          <w:color w:val="000000"/>
          <w:sz w:val="24"/>
          <w:highlight w:val="none"/>
          <w:lang w:val="zh-CN"/>
        </w:rPr>
        <w:t>人员要求</w:t>
      </w:r>
      <w:r>
        <w:rPr>
          <w:rFonts w:hint="eastAsia" w:ascii="宋体" w:hAnsi="宋体" w:eastAsia="宋体" w:cs="宋体"/>
          <w:color w:val="000000"/>
          <w:sz w:val="24"/>
          <w:highlight w:val="none"/>
        </w:rPr>
        <w:t>须符合</w:t>
      </w:r>
      <w:r>
        <w:rPr>
          <w:rFonts w:hint="eastAsia" w:ascii="宋体" w:hAnsi="宋体" w:eastAsia="宋体" w:cs="宋体"/>
          <w:bCs/>
          <w:color w:val="000000"/>
          <w:sz w:val="24"/>
          <w:highlight w:val="none"/>
        </w:rPr>
        <w:t>专职人员基本岗位数量要求</w:t>
      </w:r>
      <w:r>
        <w:rPr>
          <w:rFonts w:hint="eastAsia" w:ascii="宋体" w:hAnsi="宋体" w:eastAsia="宋体" w:cs="宋体"/>
          <w:color w:val="000000"/>
          <w:sz w:val="24"/>
          <w:highlight w:val="none"/>
          <w:lang w:val="zh-CN"/>
        </w:rPr>
        <w:t>。</w:t>
      </w:r>
    </w:p>
    <w:p>
      <w:pPr>
        <w:snapToGrid w:val="0"/>
        <w:spacing w:line="360" w:lineRule="auto"/>
        <w:ind w:firstLine="480" w:firstLineChars="200"/>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val="en-US" w:eastAsia="zh-CN"/>
        </w:rPr>
        <w:t>3</w:t>
      </w:r>
      <w:r>
        <w:rPr>
          <w:rFonts w:hint="eastAsia" w:ascii="宋体" w:hAnsi="宋体" w:eastAsia="宋体" w:cs="宋体"/>
          <w:bCs/>
          <w:color w:val="000000"/>
          <w:sz w:val="24"/>
          <w:highlight w:val="none"/>
        </w:rPr>
        <w:t>.1.2除项目负责人和专职保洁人员以外，供应商应根据项目保洁的实际需要配备管理人员、机械车辆驾驶人员、机修人员等，所需费用应考虑在投标总价中。</w:t>
      </w:r>
    </w:p>
    <w:p>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bCs/>
          <w:color w:val="000000"/>
          <w:sz w:val="24"/>
          <w:highlight w:val="none"/>
          <w:lang w:val="en-US" w:eastAsia="zh-CN"/>
        </w:rPr>
        <w:t>3</w:t>
      </w:r>
      <w:r>
        <w:rPr>
          <w:rFonts w:hint="eastAsia" w:ascii="宋体" w:hAnsi="宋体" w:eastAsia="宋体" w:cs="宋体"/>
          <w:bCs/>
          <w:color w:val="000000"/>
          <w:sz w:val="24"/>
          <w:highlight w:val="none"/>
        </w:rPr>
        <w:t>.1.3保洁人员在岗要求男性年龄在60周岁以下</w:t>
      </w:r>
      <w:r>
        <w:rPr>
          <w:rFonts w:hint="eastAsia" w:ascii="宋体" w:hAnsi="宋体" w:eastAsia="宋体" w:cs="宋体"/>
          <w:color w:val="000000"/>
          <w:sz w:val="24"/>
          <w:highlight w:val="none"/>
          <w:lang w:val="zh-CN"/>
        </w:rPr>
        <w:t>，女性年龄在55周岁以下，并按采购人要求完成智慧化管理措施、设施配备。</w:t>
      </w:r>
      <w:r>
        <w:rPr>
          <w:rFonts w:hint="eastAsia" w:asciiTheme="majorEastAsia" w:hAnsiTheme="majorEastAsia" w:eastAsiaTheme="majorEastAsia" w:cstheme="majorEastAsia"/>
          <w:color w:val="000000"/>
          <w:sz w:val="24"/>
          <w:highlight w:val="none"/>
          <w:lang w:val="zh-CN"/>
        </w:rPr>
        <w:t>大型活动、节假日、重大会议、接访等保障、新作业</w:t>
      </w:r>
      <w:r>
        <w:rPr>
          <w:rFonts w:hint="eastAsia" w:ascii="宋体" w:hAnsi="宋体" w:eastAsia="宋体" w:cs="宋体"/>
          <w:color w:val="000000"/>
          <w:sz w:val="24"/>
          <w:highlight w:val="none"/>
          <w:lang w:val="zh-CN"/>
        </w:rPr>
        <w:t>方式调整或未达到管理标准等情况下</w:t>
      </w:r>
      <w:r>
        <w:rPr>
          <w:rFonts w:hint="eastAsia" w:ascii="宋体" w:hAnsi="宋体" w:eastAsia="宋体" w:cs="宋体"/>
          <w:color w:val="000000"/>
          <w:sz w:val="24"/>
          <w:highlight w:val="none"/>
        </w:rPr>
        <w:t>应根据实际情况或采购人要求增派保洁人员、保洁设备，以确保清卫保洁质量，</w:t>
      </w:r>
      <w:r>
        <w:rPr>
          <w:rFonts w:hint="eastAsia" w:ascii="宋体" w:hAnsi="宋体" w:eastAsia="宋体" w:cs="宋体"/>
          <w:color w:val="000000"/>
          <w:sz w:val="24"/>
          <w:highlight w:val="none"/>
          <w:lang w:val="zh-CN"/>
        </w:rPr>
        <w:t>增</w:t>
      </w:r>
      <w:r>
        <w:rPr>
          <w:rFonts w:hint="eastAsia" w:ascii="宋体" w:hAnsi="宋体" w:eastAsia="宋体" w:cs="宋体"/>
          <w:color w:val="000000"/>
          <w:sz w:val="24"/>
          <w:highlight w:val="none"/>
        </w:rPr>
        <w:t>派人员和设备的费用应考虑在投标总报价中。</w:t>
      </w:r>
    </w:p>
    <w:p>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.1.4鼓励供应商根据杭州市劳动和社会保障局、杭州市财政局“关于印发《市区“三类岗位”开发管理办法》的通知”及区政府等相关文件要求，鼓励中标供应商招聘失地失业人员参与本项目服务。</w:t>
      </w:r>
    </w:p>
    <w:p>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.1.5人员用工必须符合《中华人民共和国劳动民法典》等法规的相关规定，如因违法、违规并造成不良后果的，其责任由供应商自行承担。</w:t>
      </w:r>
    </w:p>
    <w:p>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.1.6 作业车辆、作业时间应符合属地交警部门要求，并按要求进行报备后实施。</w:t>
      </w:r>
    </w:p>
    <w:p>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.1.7 供应商提供的设施设备，根据采购人要求统一外观，标识。</w:t>
      </w:r>
    </w:p>
    <w:p>
      <w:pPr>
        <w:snapToGrid w:val="0"/>
        <w:spacing w:line="360" w:lineRule="auto"/>
        <w:ind w:firstLine="482" w:firstLineChars="20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lang w:val="en-US" w:eastAsia="zh-CN"/>
        </w:rPr>
        <w:t>3</w:t>
      </w:r>
      <w:r>
        <w:rPr>
          <w:rFonts w:hint="eastAsia" w:ascii="宋体" w:hAnsi="宋体" w:eastAsia="宋体" w:cs="宋体"/>
          <w:b/>
          <w:color w:val="000000"/>
          <w:sz w:val="24"/>
          <w:highlight w:val="none"/>
        </w:rPr>
        <w:t>.2保洁服务内容</w:t>
      </w:r>
    </w:p>
    <w:p>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.2.1本项目涵盖采购文件第三部分采购需求项目概况及要求清单中所有道路的清扫运输、垃圾收集运输、偷倒垃圾清运等服务内容。</w:t>
      </w:r>
    </w:p>
    <w:p>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2.2</w:t>
      </w:r>
      <w:r>
        <w:rPr>
          <w:rFonts w:hint="eastAsia" w:ascii="宋体" w:hAnsi="宋体" w:eastAsia="宋体" w:cs="宋体"/>
          <w:bCs/>
          <w:color w:val="000000"/>
          <w:sz w:val="24"/>
          <w:highlight w:val="none"/>
        </w:rPr>
        <w:t>本项目</w:t>
      </w:r>
      <w:r>
        <w:rPr>
          <w:rFonts w:hint="eastAsia" w:ascii="宋体" w:hAnsi="宋体" w:eastAsia="宋体" w:cs="宋体"/>
          <w:color w:val="000000"/>
          <w:sz w:val="24"/>
          <w:highlight w:val="none"/>
        </w:rPr>
        <w:t>道路中间绿化带含在道路保洁范围内，及道路两侧人行道外建筑物基石边或无建筑物外可视范围内</w:t>
      </w:r>
      <w:r>
        <w:rPr>
          <w:rFonts w:hint="eastAsia" w:ascii="宋体" w:hAnsi="宋体" w:eastAsia="宋体" w:cs="宋体"/>
          <w:bCs/>
          <w:color w:val="000000"/>
          <w:sz w:val="24"/>
          <w:highlight w:val="none"/>
        </w:rPr>
        <w:t>（不少于3米</w:t>
      </w:r>
      <w:r>
        <w:rPr>
          <w:rFonts w:hint="eastAsia" w:ascii="宋体" w:hAnsi="宋体" w:eastAsia="宋体" w:cs="宋体"/>
          <w:color w:val="000000"/>
          <w:sz w:val="24"/>
          <w:highlight w:val="none"/>
        </w:rPr>
        <w:t>）均包含在保洁范围内。</w:t>
      </w:r>
    </w:p>
    <w:p>
      <w:pPr>
        <w:snapToGrid w:val="0"/>
        <w:spacing w:line="360" w:lineRule="auto"/>
        <w:ind w:firstLine="480" w:firstLineChars="200"/>
        <w:jc w:val="left"/>
        <w:rPr>
          <w:rFonts w:hint="eastAsia" w:ascii="宋体" w:hAnsi="宋体" w:eastAsia="宋体" w:cs="宋体"/>
          <w:bCs/>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.2</w:t>
      </w:r>
      <w:r>
        <w:rPr>
          <w:rFonts w:hint="eastAsia" w:ascii="宋体" w:hAnsi="宋体" w:eastAsia="宋体" w:cs="宋体"/>
          <w:bCs/>
          <w:color w:val="000000"/>
          <w:sz w:val="24"/>
          <w:highlight w:val="none"/>
        </w:rPr>
        <w:t>.3本项目涵盖地铁站（如有）出入口台阶以下周边范围的保洁含在道路保洁范围内。</w:t>
      </w:r>
    </w:p>
    <w:p>
      <w:pPr>
        <w:snapToGrid w:val="0"/>
        <w:spacing w:line="360" w:lineRule="auto"/>
        <w:ind w:firstLine="480" w:firstLineChars="200"/>
        <w:jc w:val="left"/>
        <w:rPr>
          <w:rFonts w:hint="eastAsia" w:ascii="宋体" w:hAnsi="宋体" w:eastAsia="宋体" w:cs="宋体"/>
          <w:bCs/>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.2</w:t>
      </w:r>
      <w:r>
        <w:rPr>
          <w:rFonts w:hint="eastAsia" w:ascii="宋体" w:hAnsi="宋体" w:eastAsia="宋体" w:cs="宋体"/>
          <w:bCs/>
          <w:color w:val="000000"/>
          <w:sz w:val="24"/>
          <w:highlight w:val="none"/>
        </w:rPr>
        <w:t>.4本项目道路所附属的铁路下穿涵洞（如有）、果壳箱、交通隔离栏、路灯杆（2.2米以下部分）、交通信号杆（2.2米以下部分）均属于本项目保洁范围。</w:t>
      </w:r>
    </w:p>
    <w:p>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bCs/>
          <w:color w:val="000000"/>
          <w:sz w:val="24"/>
          <w:highlight w:val="none"/>
          <w:lang w:val="en-US" w:eastAsia="zh-CN"/>
        </w:rPr>
        <w:t>3</w:t>
      </w:r>
      <w:r>
        <w:rPr>
          <w:rFonts w:hint="eastAsia" w:ascii="宋体" w:hAnsi="宋体" w:eastAsia="宋体" w:cs="宋体"/>
          <w:bCs/>
          <w:color w:val="000000"/>
          <w:sz w:val="24"/>
          <w:highlight w:val="none"/>
        </w:rPr>
        <w:t>.2.5</w:t>
      </w:r>
      <w:r>
        <w:rPr>
          <w:rFonts w:hint="eastAsia" w:ascii="宋体" w:hAnsi="宋体" w:eastAsia="宋体" w:cs="宋体"/>
          <w:sz w:val="24"/>
          <w:highlight w:val="none"/>
        </w:rPr>
        <w:t>牛皮癣清理：范围内道路、围墙、道路沿线设施（含一层建筑立面）等区域的“乱涂”、“乱张贴”等牛皮癣日常清理</w:t>
      </w:r>
      <w:r>
        <w:rPr>
          <w:rFonts w:hint="eastAsia" w:ascii="宋体" w:hAnsi="宋体" w:eastAsia="宋体" w:cs="宋体"/>
          <w:bCs/>
          <w:color w:val="000000"/>
          <w:sz w:val="24"/>
          <w:highlight w:val="none"/>
        </w:rPr>
        <w:t>均属于本项目保洁范围</w:t>
      </w:r>
      <w:r>
        <w:rPr>
          <w:rFonts w:hint="eastAsia" w:ascii="宋体" w:hAnsi="宋体" w:eastAsia="宋体" w:cs="宋体"/>
          <w:sz w:val="24"/>
          <w:highlight w:val="none"/>
        </w:rPr>
        <w:t>。</w:t>
      </w:r>
    </w:p>
    <w:p>
      <w:pPr>
        <w:snapToGrid w:val="0"/>
        <w:spacing w:line="360" w:lineRule="auto"/>
        <w:ind w:firstLine="482" w:firstLineChars="200"/>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3</w:t>
      </w:r>
      <w:r>
        <w:rPr>
          <w:rFonts w:hint="eastAsia" w:ascii="宋体" w:hAnsi="宋体" w:eastAsia="宋体" w:cs="宋体"/>
          <w:b/>
          <w:bCs/>
          <w:color w:val="000000"/>
          <w:sz w:val="24"/>
          <w:highlight w:val="none"/>
        </w:rPr>
        <w:t>.3保洁基本要求</w:t>
      </w:r>
    </w:p>
    <w:p>
      <w:pPr>
        <w:pStyle w:val="3"/>
        <w:spacing w:line="360" w:lineRule="auto"/>
        <w:rPr>
          <w:rFonts w:hint="eastAsia" w:ascii="宋体" w:hAnsi="宋体" w:eastAsia="宋体" w:cs="宋体"/>
          <w:color w:val="000000"/>
          <w:highlight w:val="none"/>
        </w:rPr>
      </w:pPr>
      <w:r>
        <w:rPr>
          <w:rFonts w:hint="eastAsia" w:ascii="宋体" w:hAnsi="宋体" w:eastAsia="宋体" w:cs="宋体"/>
          <w:b/>
          <w:bCs/>
          <w:color w:val="000000"/>
          <w:highlight w:val="none"/>
          <w:lang w:val="en-US" w:eastAsia="zh-CN"/>
        </w:rPr>
        <w:t>3</w:t>
      </w:r>
      <w:r>
        <w:rPr>
          <w:rFonts w:hint="eastAsia" w:ascii="宋体" w:hAnsi="宋体" w:eastAsia="宋体" w:cs="宋体"/>
          <w:b/>
          <w:bCs/>
          <w:color w:val="000000"/>
          <w:highlight w:val="none"/>
        </w:rPr>
        <w:t>.3.1</w:t>
      </w:r>
      <w:r>
        <w:rPr>
          <w:rFonts w:hint="eastAsia" w:ascii="宋体" w:hAnsi="宋体" w:eastAsia="宋体" w:cs="宋体"/>
          <w:b/>
          <w:bCs/>
          <w:color w:val="000000"/>
          <w:highlight w:val="none"/>
          <w:lang w:eastAsia="zh-CN"/>
        </w:rPr>
        <w:t>二</w:t>
      </w:r>
      <w:r>
        <w:rPr>
          <w:rFonts w:hint="eastAsia" w:ascii="宋体" w:hAnsi="宋体" w:eastAsia="宋体" w:cs="宋体"/>
          <w:b/>
          <w:bCs/>
          <w:color w:val="000000"/>
          <w:highlight w:val="none"/>
        </w:rPr>
        <w:t>级道路</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3.3.1.1保洁时长: 18小时(4:30-22: 30)。</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3.3.1.2快车道保洁:洒水6次1日;高压冲洗2次/日;洗扫吸三合一作业2次/日，普通机扫1次/日，要求单向两边侧石、隔高栏底下全部覆盖。</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3.3.1.3慢车道和人行道保洁:日常普扫吹风机搭配小型慢车道清扫车作业2次/日:洗、扫、吸一体清洗作业2天1次。</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3.3.1.4空气抑尘:配置空气抑尘设备，每天1次</w:t>
      </w:r>
      <w:r>
        <w:rPr>
          <w:rFonts w:hint="eastAsia" w:ascii="宋体" w:hAnsi="宋体" w:cs="宋体"/>
          <w:color w:val="000000"/>
          <w:sz w:val="24"/>
          <w:highlight w:val="none"/>
          <w:lang w:val="en-US" w:eastAsia="zh-CN"/>
        </w:rPr>
        <w:t>洒</w:t>
      </w:r>
      <w:r>
        <w:rPr>
          <w:rFonts w:hint="eastAsia" w:ascii="宋体" w:hAnsi="宋体" w:eastAsia="宋体" w:cs="宋体"/>
          <w:color w:val="000000"/>
          <w:sz w:val="24"/>
          <w:highlight w:val="none"/>
          <w:lang w:val="en-US" w:eastAsia="zh-CN"/>
        </w:rPr>
        <w:t>水、抑尘。</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3.3.1.5城市家具:全覆盖擦洗2天1次。</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3.3.1.6小广告清除:配备高压冲洗设备，每天清除小广告。</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3.3.1.7道路栏杆:配备栏杆清洗车，每周清洗一次。</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3.3.1.8绿化带检拾:配置小型设备，人工配合，每天1次。</w:t>
      </w:r>
    </w:p>
    <w:p>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.3.1.</w:t>
      </w:r>
      <w:r>
        <w:rPr>
          <w:rFonts w:hint="eastAsia" w:ascii="宋体" w:hAnsi="宋体" w:eastAsia="宋体" w:cs="宋体"/>
          <w:color w:val="000000"/>
          <w:sz w:val="24"/>
          <w:highlight w:val="none"/>
          <w:lang w:val="en-US" w:eastAsia="zh-CN"/>
        </w:rPr>
        <w:t>9</w:t>
      </w:r>
      <w:r>
        <w:rPr>
          <w:rFonts w:hint="eastAsia" w:ascii="宋体" w:hAnsi="宋体" w:eastAsia="宋体" w:cs="宋体"/>
          <w:color w:val="000000"/>
          <w:sz w:val="24"/>
          <w:highlight w:val="none"/>
        </w:rPr>
        <w:t>应做到文明、清洁、安全和有序，最大限度地减少对环境的污染和对公众生活的影响。</w:t>
      </w:r>
    </w:p>
    <w:p>
      <w:pPr>
        <w:snapToGrid w:val="0"/>
        <w:spacing w:line="360" w:lineRule="auto"/>
        <w:ind w:firstLine="480" w:firstLineChars="200"/>
        <w:jc w:val="left"/>
        <w:rPr>
          <w:rFonts w:hint="eastAsia" w:ascii="宋体" w:hAnsi="宋体" w:eastAsia="宋体" w:cs="宋体"/>
          <w:bCs/>
          <w:color w:val="000000"/>
          <w:sz w:val="24"/>
          <w:highlight w:val="none"/>
        </w:rPr>
      </w:pPr>
      <w:r>
        <w:rPr>
          <w:rFonts w:hint="eastAsia" w:ascii="宋体" w:hAnsi="宋体" w:eastAsia="宋体" w:cs="宋体"/>
          <w:color w:val="000000"/>
          <w:sz w:val="24"/>
          <w:highlight w:val="none"/>
        </w:rPr>
        <w:t>3.1.</w:t>
      </w:r>
      <w:r>
        <w:rPr>
          <w:rFonts w:hint="eastAsia" w:ascii="宋体" w:hAnsi="宋体" w:eastAsia="宋体" w:cs="宋体"/>
          <w:color w:val="000000"/>
          <w:sz w:val="24"/>
          <w:highlight w:val="none"/>
          <w:lang w:val="en-US" w:eastAsia="zh-CN"/>
        </w:rPr>
        <w:t>10</w:t>
      </w:r>
      <w:r>
        <w:rPr>
          <w:rFonts w:hint="eastAsia" w:ascii="宋体" w:hAnsi="宋体" w:eastAsia="宋体" w:cs="宋体"/>
          <w:color w:val="000000"/>
          <w:sz w:val="24"/>
          <w:highlight w:val="none"/>
        </w:rPr>
        <w:t>合理安排作业计划。清晨或深夜在居民住宅小区或周边道路进行环卫作业时，不得大声喧哗，并应注意控制机具噪音。组织机械化清扫、洒水、清洗作业应避开交通高峰时段（7：00—9：00，16：30—18：30）。</w:t>
      </w:r>
    </w:p>
    <w:p>
      <w:pPr>
        <w:snapToGrid w:val="0"/>
        <w:spacing w:line="360" w:lineRule="auto"/>
        <w:ind w:firstLine="480" w:firstLineChars="200"/>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val="en-US" w:eastAsia="zh-CN"/>
        </w:rPr>
        <w:t>3</w:t>
      </w:r>
      <w:r>
        <w:rPr>
          <w:rFonts w:hint="eastAsia" w:ascii="宋体" w:hAnsi="宋体" w:eastAsia="宋体" w:cs="宋体"/>
          <w:bCs/>
          <w:color w:val="000000"/>
          <w:sz w:val="24"/>
          <w:highlight w:val="none"/>
        </w:rPr>
        <w:t>.3.1.1</w:t>
      </w:r>
      <w:r>
        <w:rPr>
          <w:rFonts w:hint="eastAsia" w:ascii="宋体" w:hAnsi="宋体" w:eastAsia="宋体" w:cs="宋体"/>
          <w:bCs/>
          <w:color w:val="000000"/>
          <w:sz w:val="24"/>
          <w:highlight w:val="none"/>
          <w:lang w:val="en-US" w:eastAsia="zh-CN"/>
        </w:rPr>
        <w:t>1</w:t>
      </w:r>
      <w:r>
        <w:rPr>
          <w:rFonts w:hint="eastAsia" w:ascii="宋体" w:hAnsi="宋体" w:eastAsia="宋体" w:cs="宋体"/>
          <w:bCs/>
          <w:color w:val="000000"/>
          <w:sz w:val="24"/>
          <w:highlight w:val="none"/>
        </w:rPr>
        <w:t>下雪及雪后应根据需要，及时进行路面除雪作业 ，消除路面积雪、结冰，为道路交通畅通创造良好通行条件。清雪作业以机械化清雪为主，人工清雪为辅。清理的积雪不得堆放在雨水井口，禁止向道路路面、绿化带、绿地抛撒积雪。</w:t>
      </w:r>
    </w:p>
    <w:p>
      <w:pPr>
        <w:snapToGrid w:val="0"/>
        <w:spacing w:line="360" w:lineRule="auto"/>
        <w:ind w:firstLine="480" w:firstLineChars="200"/>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val="en-US" w:eastAsia="zh-CN"/>
        </w:rPr>
        <w:t>3</w:t>
      </w:r>
      <w:r>
        <w:rPr>
          <w:rFonts w:hint="eastAsia" w:ascii="宋体" w:hAnsi="宋体" w:eastAsia="宋体" w:cs="宋体"/>
          <w:bCs/>
          <w:color w:val="000000"/>
          <w:sz w:val="24"/>
          <w:highlight w:val="none"/>
        </w:rPr>
        <w:t>.3.1.1</w:t>
      </w:r>
      <w:r>
        <w:rPr>
          <w:rFonts w:hint="eastAsia" w:ascii="宋体" w:hAnsi="宋体" w:eastAsia="宋体" w:cs="宋体"/>
          <w:bCs/>
          <w:color w:val="000000"/>
          <w:sz w:val="24"/>
          <w:highlight w:val="none"/>
          <w:lang w:val="en-US" w:eastAsia="zh-CN"/>
        </w:rPr>
        <w:t>2</w:t>
      </w:r>
      <w:r>
        <w:rPr>
          <w:rFonts w:hint="eastAsia" w:ascii="宋体" w:hAnsi="宋体" w:eastAsia="宋体" w:cs="宋体"/>
          <w:bCs/>
          <w:color w:val="000000"/>
          <w:sz w:val="24"/>
          <w:highlight w:val="none"/>
        </w:rPr>
        <w:t>日常</w:t>
      </w:r>
      <w:r>
        <w:rPr>
          <w:rFonts w:hint="eastAsia" w:ascii="宋体" w:hAnsi="宋体" w:eastAsia="宋体" w:cs="宋体"/>
          <w:color w:val="000000"/>
          <w:sz w:val="24"/>
          <w:highlight w:val="none"/>
        </w:rPr>
        <w:t>保洁时间内</w:t>
      </w:r>
      <w:r>
        <w:rPr>
          <w:rFonts w:hint="eastAsia" w:ascii="宋体" w:hAnsi="宋体" w:eastAsia="宋体" w:cs="宋体"/>
          <w:bCs/>
          <w:color w:val="000000"/>
          <w:sz w:val="24"/>
          <w:highlight w:val="none"/>
        </w:rPr>
        <w:t>保洁单位需确保</w:t>
      </w:r>
      <w:r>
        <w:rPr>
          <w:rFonts w:hint="eastAsia" w:ascii="宋体" w:hAnsi="宋体" w:eastAsia="宋体" w:cs="宋体"/>
          <w:color w:val="000000"/>
          <w:sz w:val="24"/>
          <w:highlight w:val="none"/>
        </w:rPr>
        <w:t>保洁范围干净，如有无主垃圾或其它垃圾，应加强监管，及时劝导并清理干净。</w:t>
      </w:r>
    </w:p>
    <w:p>
      <w:pPr>
        <w:snapToGrid w:val="0"/>
        <w:spacing w:line="360" w:lineRule="auto"/>
        <w:ind w:firstLine="480" w:firstLineChars="200"/>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val="en-US" w:eastAsia="zh-CN"/>
        </w:rPr>
        <w:t>3</w:t>
      </w:r>
      <w:r>
        <w:rPr>
          <w:rFonts w:hint="eastAsia" w:ascii="宋体" w:hAnsi="宋体" w:eastAsia="宋体" w:cs="宋体"/>
          <w:bCs/>
          <w:color w:val="000000"/>
          <w:sz w:val="24"/>
          <w:highlight w:val="none"/>
        </w:rPr>
        <w:t>.3.1.</w:t>
      </w:r>
      <w:r>
        <w:rPr>
          <w:rFonts w:hint="eastAsia" w:ascii="宋体" w:hAnsi="宋体" w:eastAsia="宋体" w:cs="宋体"/>
          <w:bCs/>
          <w:color w:val="000000"/>
          <w:sz w:val="24"/>
          <w:highlight w:val="none"/>
          <w:lang w:val="en-US" w:eastAsia="zh-CN"/>
        </w:rPr>
        <w:t>13</w:t>
      </w:r>
      <w:r>
        <w:rPr>
          <w:rFonts w:hint="eastAsia" w:ascii="宋体" w:hAnsi="宋体" w:eastAsia="宋体" w:cs="宋体"/>
          <w:bCs/>
          <w:color w:val="000000"/>
          <w:sz w:val="24"/>
          <w:highlight w:val="none"/>
        </w:rPr>
        <w:t>每辆环卫专用车辆应有GPS装置（并实现可视化），如GPS装置故障后应及时报修。GPS或定位系统以及为本项目服务提供的智慧环卫等相关费用均由中标单位承担，同时需纳入城管智慧平台，采购人不另支付任何费用。</w:t>
      </w:r>
    </w:p>
    <w:p>
      <w:pPr>
        <w:snapToGrid w:val="0"/>
        <w:spacing w:line="360" w:lineRule="auto"/>
        <w:ind w:firstLine="480" w:firstLineChars="200"/>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val="en-US" w:eastAsia="zh-CN"/>
        </w:rPr>
        <w:t>3</w:t>
      </w:r>
      <w:r>
        <w:rPr>
          <w:rFonts w:hint="eastAsia" w:ascii="宋体" w:hAnsi="宋体" w:eastAsia="宋体" w:cs="宋体"/>
          <w:bCs/>
          <w:color w:val="000000"/>
          <w:sz w:val="24"/>
          <w:highlight w:val="none"/>
        </w:rPr>
        <w:t>.3.1.1</w:t>
      </w:r>
      <w:r>
        <w:rPr>
          <w:rFonts w:hint="eastAsia" w:ascii="宋体" w:hAnsi="宋体" w:eastAsia="宋体" w:cs="宋体"/>
          <w:bCs/>
          <w:color w:val="000000"/>
          <w:sz w:val="24"/>
          <w:highlight w:val="none"/>
          <w:lang w:val="en-US" w:eastAsia="zh-CN"/>
        </w:rPr>
        <w:t>4</w:t>
      </w:r>
      <w:r>
        <w:rPr>
          <w:rFonts w:hint="eastAsia" w:ascii="宋体" w:hAnsi="宋体" w:eastAsia="宋体" w:cs="宋体"/>
          <w:bCs/>
          <w:color w:val="000000"/>
          <w:sz w:val="24"/>
          <w:highlight w:val="none"/>
        </w:rPr>
        <w:t>人工辅助清扫、清洗机动车道、非机动车道或清洗机动车道交通隔离栏时，应在距清扫点来车方向100M处设置警示标识，使用荧光锥形筒等警示标识围护清扫保洁区域，面向来车方向清扫，注意车辆动态。</w:t>
      </w:r>
    </w:p>
    <w:p>
      <w:pPr>
        <w:snapToGrid w:val="0"/>
        <w:spacing w:line="360" w:lineRule="auto"/>
        <w:ind w:firstLine="480" w:firstLineChars="200"/>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val="en-US" w:eastAsia="zh-CN"/>
        </w:rPr>
        <w:t>3</w:t>
      </w:r>
      <w:r>
        <w:rPr>
          <w:rFonts w:hint="eastAsia" w:ascii="宋体" w:hAnsi="宋体" w:eastAsia="宋体" w:cs="宋体"/>
          <w:bCs/>
          <w:color w:val="000000"/>
          <w:sz w:val="24"/>
          <w:highlight w:val="none"/>
        </w:rPr>
        <w:t>.3.1.1</w:t>
      </w:r>
      <w:r>
        <w:rPr>
          <w:rFonts w:hint="eastAsia" w:ascii="宋体" w:hAnsi="宋体" w:eastAsia="宋体" w:cs="宋体"/>
          <w:bCs/>
          <w:color w:val="000000"/>
          <w:sz w:val="24"/>
          <w:highlight w:val="none"/>
          <w:lang w:val="en-US" w:eastAsia="zh-CN"/>
        </w:rPr>
        <w:t>5</w:t>
      </w:r>
      <w:r>
        <w:rPr>
          <w:rFonts w:hint="eastAsia" w:ascii="宋体" w:hAnsi="宋体" w:eastAsia="宋体" w:cs="宋体"/>
          <w:bCs/>
          <w:color w:val="000000"/>
          <w:sz w:val="24"/>
          <w:highlight w:val="none"/>
        </w:rPr>
        <w:t>洗扫车、扫路车、洒水车、清洗车车尾应设置荧光标宽标识（或警示灯）。夜间作业时或雨雾天气等能见度较低的天气，必须启用警示灯光。环卫电动作业车辆、保洁车等小型作业车辆车身设置荧光条，车后部或车顶设置警示灯。</w:t>
      </w:r>
    </w:p>
    <w:p>
      <w:pPr>
        <w:snapToGrid w:val="0"/>
        <w:spacing w:line="360" w:lineRule="auto"/>
        <w:ind w:firstLine="480" w:firstLineChars="200"/>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val="en-US" w:eastAsia="zh-CN"/>
        </w:rPr>
        <w:t>3</w:t>
      </w:r>
      <w:r>
        <w:rPr>
          <w:rFonts w:hint="eastAsia" w:ascii="宋体" w:hAnsi="宋体" w:eastAsia="宋体" w:cs="宋体"/>
          <w:bCs/>
          <w:color w:val="000000"/>
          <w:sz w:val="24"/>
          <w:highlight w:val="none"/>
        </w:rPr>
        <w:t>.3.1.</w:t>
      </w:r>
      <w:r>
        <w:rPr>
          <w:rFonts w:hint="eastAsia" w:ascii="宋体" w:hAnsi="宋体" w:eastAsia="宋体" w:cs="宋体"/>
          <w:bCs/>
          <w:color w:val="000000"/>
          <w:sz w:val="24"/>
          <w:highlight w:val="none"/>
          <w:lang w:val="en-US" w:eastAsia="zh-CN"/>
        </w:rPr>
        <w:t>16</w:t>
      </w:r>
      <w:r>
        <w:rPr>
          <w:rFonts w:hint="eastAsia" w:ascii="宋体" w:hAnsi="宋体" w:eastAsia="宋体" w:cs="宋体"/>
          <w:bCs/>
          <w:color w:val="000000"/>
          <w:sz w:val="24"/>
          <w:highlight w:val="none"/>
        </w:rPr>
        <w:t>本项目环卫作业车辆须有固定场所停放，严禁停放在消防通道、公交车站、盲道等影响车辆和行人通行的公共通道。</w:t>
      </w:r>
    </w:p>
    <w:p>
      <w:pPr>
        <w:snapToGrid w:val="0"/>
        <w:spacing w:line="360" w:lineRule="auto"/>
        <w:ind w:firstLine="480" w:firstLineChars="200"/>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val="en-US" w:eastAsia="zh-CN"/>
        </w:rPr>
        <w:t>3</w:t>
      </w:r>
      <w:r>
        <w:rPr>
          <w:rFonts w:hint="eastAsia" w:ascii="宋体" w:hAnsi="宋体" w:eastAsia="宋体" w:cs="宋体"/>
          <w:bCs/>
          <w:color w:val="000000"/>
          <w:sz w:val="24"/>
          <w:highlight w:val="none"/>
        </w:rPr>
        <w:t>.3.1.</w:t>
      </w:r>
      <w:r>
        <w:rPr>
          <w:rFonts w:hint="eastAsia" w:ascii="宋体" w:hAnsi="宋体" w:eastAsia="宋体" w:cs="宋体"/>
          <w:bCs/>
          <w:color w:val="000000"/>
          <w:sz w:val="24"/>
          <w:highlight w:val="none"/>
          <w:lang w:val="en-US" w:eastAsia="zh-CN"/>
        </w:rPr>
        <w:t>17</w:t>
      </w:r>
      <w:r>
        <w:rPr>
          <w:rFonts w:hint="eastAsia" w:ascii="宋体" w:hAnsi="宋体" w:eastAsia="宋体" w:cs="宋体"/>
          <w:bCs/>
          <w:color w:val="000000"/>
          <w:sz w:val="24"/>
          <w:highlight w:val="none"/>
        </w:rPr>
        <w:t>承诺能及时提供人力、设备、技术等支持。</w:t>
      </w:r>
    </w:p>
    <w:p>
      <w:pPr>
        <w:snapToGrid w:val="0"/>
        <w:spacing w:line="360" w:lineRule="auto"/>
        <w:ind w:firstLine="482" w:firstLineChars="200"/>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3</w:t>
      </w:r>
      <w:r>
        <w:rPr>
          <w:rFonts w:hint="eastAsia" w:ascii="宋体" w:hAnsi="宋体" w:eastAsia="宋体" w:cs="宋体"/>
          <w:b/>
          <w:bCs/>
          <w:color w:val="000000"/>
          <w:sz w:val="24"/>
          <w:highlight w:val="none"/>
        </w:rPr>
        <w:t xml:space="preserve">.4保洁作业规范 </w:t>
      </w:r>
    </w:p>
    <w:p>
      <w:pPr>
        <w:snapToGrid w:val="0"/>
        <w:spacing w:line="360" w:lineRule="auto"/>
        <w:ind w:firstLine="480" w:firstLineChars="200"/>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val="en-US" w:eastAsia="zh-CN"/>
        </w:rPr>
        <w:t>3</w:t>
      </w:r>
      <w:r>
        <w:rPr>
          <w:rFonts w:hint="eastAsia" w:ascii="宋体" w:hAnsi="宋体" w:eastAsia="宋体" w:cs="宋体"/>
          <w:bCs/>
          <w:color w:val="000000"/>
          <w:sz w:val="24"/>
          <w:highlight w:val="none"/>
        </w:rPr>
        <w:t>.4.1道路普扫次数和时间</w:t>
      </w:r>
    </w:p>
    <w:p>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.4.1.1</w:t>
      </w:r>
      <w:r>
        <w:rPr>
          <w:rFonts w:hint="eastAsia" w:ascii="宋体" w:hAnsi="宋体" w:eastAsia="宋体" w:cs="宋体"/>
          <w:color w:val="000000"/>
          <w:sz w:val="24"/>
          <w:highlight w:val="none"/>
          <w:lang w:eastAsia="zh-CN"/>
        </w:rPr>
        <w:t>二</w:t>
      </w:r>
      <w:r>
        <w:rPr>
          <w:rFonts w:hint="eastAsia" w:ascii="宋体" w:hAnsi="宋体" w:eastAsia="宋体" w:cs="宋体"/>
          <w:color w:val="000000"/>
          <w:sz w:val="24"/>
          <w:highlight w:val="none"/>
        </w:rPr>
        <w:t>级道路普扫作业每日不少于</w:t>
      </w: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rPr>
        <w:t>次。夏季（6月—8月）第一次普扫应在6：30前完成，春、秋、冬季（9月—次年5月）在7：00前完成；</w:t>
      </w:r>
    </w:p>
    <w:p>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 xml:space="preserve">4.1.2应根据重大活动保障、落叶旺季等因素适时增加每日普扫频次。 </w:t>
      </w:r>
    </w:p>
    <w:p>
      <w:pPr>
        <w:snapToGrid w:val="0"/>
        <w:spacing w:line="360" w:lineRule="auto"/>
        <w:ind w:firstLine="482" w:firstLineChars="20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lang w:val="en-US" w:eastAsia="zh-CN"/>
        </w:rPr>
        <w:t>3.</w:t>
      </w:r>
      <w:r>
        <w:rPr>
          <w:rFonts w:hint="eastAsia" w:ascii="宋体" w:hAnsi="宋体" w:eastAsia="宋体" w:cs="宋体"/>
          <w:b/>
          <w:color w:val="000000"/>
          <w:sz w:val="24"/>
          <w:highlight w:val="none"/>
        </w:rPr>
        <w:t>4.2洒水（清洗）</w:t>
      </w:r>
    </w:p>
    <w:p>
      <w:pPr>
        <w:snapToGrid w:val="0"/>
        <w:spacing w:line="360" w:lineRule="auto"/>
        <w:ind w:firstLine="480" w:firstLineChars="200"/>
        <w:jc w:val="left"/>
        <w:rPr>
          <w:rFonts w:hint="eastAsia" w:ascii="宋体" w:hAnsi="宋体" w:eastAsia="宋体" w:cs="宋体"/>
          <w:bCs/>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.4.2.1</w:t>
      </w:r>
      <w:r>
        <w:rPr>
          <w:rFonts w:hint="eastAsia" w:ascii="宋体" w:hAnsi="宋体" w:eastAsia="宋体" w:cs="宋体"/>
          <w:color w:val="000000"/>
          <w:sz w:val="24"/>
          <w:highlight w:val="none"/>
          <w:lang w:eastAsia="zh-CN"/>
        </w:rPr>
        <w:t>二</w:t>
      </w:r>
      <w:r>
        <w:rPr>
          <w:rFonts w:hint="eastAsia" w:ascii="宋体" w:hAnsi="宋体" w:eastAsia="宋体" w:cs="宋体"/>
          <w:color w:val="000000"/>
          <w:sz w:val="24"/>
          <w:highlight w:val="none"/>
        </w:rPr>
        <w:t>级道路作业每日不少于6次，</w:t>
      </w:r>
      <w:r>
        <w:rPr>
          <w:rFonts w:hint="eastAsia" w:ascii="宋体" w:hAnsi="宋体" w:eastAsia="宋体" w:cs="宋体"/>
          <w:bCs/>
          <w:color w:val="000000"/>
          <w:sz w:val="24"/>
          <w:highlight w:val="none"/>
        </w:rPr>
        <w:t>洒水时，洒水车车速不得超过25km/h；清洗时，高压清洗车车速不得超过10km/h；机械化清扫作业。</w:t>
      </w:r>
    </w:p>
    <w:p>
      <w:pPr>
        <w:snapToGrid w:val="0"/>
        <w:spacing w:line="360" w:lineRule="auto"/>
        <w:ind w:firstLine="480" w:firstLineChars="200"/>
        <w:jc w:val="left"/>
        <w:rPr>
          <w:rFonts w:hint="eastAsia" w:ascii="宋体" w:hAnsi="宋体" w:eastAsia="宋体" w:cs="宋体"/>
          <w:bCs/>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.4.2.2</w:t>
      </w:r>
      <w:r>
        <w:rPr>
          <w:rFonts w:hint="eastAsia" w:ascii="宋体" w:hAnsi="宋体" w:eastAsia="宋体" w:cs="宋体"/>
          <w:bCs/>
          <w:color w:val="000000"/>
          <w:sz w:val="24"/>
          <w:highlight w:val="none"/>
        </w:rPr>
        <w:t>洒水时，应调整好洒水车水压和水幅，保持车行道全路段路面湿润。途经地铁站、公交站、人行横道等人流量集中的地点应注意放慢车速，避让行人，调整启闭装置，避免将水洒到行人身上。</w:t>
      </w:r>
    </w:p>
    <w:p>
      <w:pPr>
        <w:snapToGrid w:val="0"/>
        <w:spacing w:line="360" w:lineRule="auto"/>
        <w:ind w:firstLine="480" w:firstLineChars="200"/>
        <w:jc w:val="left"/>
        <w:rPr>
          <w:rFonts w:hint="eastAsia" w:ascii="宋体" w:hAnsi="宋体" w:eastAsia="宋体" w:cs="宋体"/>
          <w:bCs/>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.4.2.3</w:t>
      </w:r>
      <w:r>
        <w:rPr>
          <w:rFonts w:hint="eastAsia" w:ascii="宋体" w:hAnsi="宋体" w:eastAsia="宋体" w:cs="宋体"/>
          <w:bCs/>
          <w:color w:val="000000"/>
          <w:sz w:val="24"/>
          <w:highlight w:val="none"/>
        </w:rPr>
        <w:t>晚22时以后，洒水作业时禁止播放洒水提示音乐。中、高考等重要考试期间，洒水车途经考场周边道路时应及时关闭洒水提示音乐，夏季中午时间（12时-14时）适当降低洒水提示音量。</w:t>
      </w:r>
    </w:p>
    <w:p>
      <w:pPr>
        <w:snapToGrid w:val="0"/>
        <w:spacing w:line="360" w:lineRule="auto"/>
        <w:ind w:firstLine="480" w:firstLineChars="200"/>
        <w:jc w:val="left"/>
        <w:rPr>
          <w:rFonts w:hint="eastAsia" w:ascii="宋体" w:hAnsi="宋体" w:eastAsia="宋体" w:cs="宋体"/>
          <w:bCs/>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.4.2.4</w:t>
      </w:r>
      <w:r>
        <w:rPr>
          <w:rFonts w:hint="eastAsia" w:ascii="宋体" w:hAnsi="宋体" w:eastAsia="宋体" w:cs="宋体"/>
          <w:bCs/>
          <w:color w:val="000000"/>
          <w:sz w:val="24"/>
          <w:highlight w:val="none"/>
        </w:rPr>
        <w:t>小雨及以下雨量时，按计划保持洒水作业；中雨及以上雨量或雷阵雨期间，暂停道路洒水和清洗作业。</w:t>
      </w:r>
    </w:p>
    <w:p>
      <w:pPr>
        <w:snapToGrid w:val="0"/>
        <w:spacing w:line="360" w:lineRule="auto"/>
        <w:ind w:firstLine="480" w:firstLineChars="200"/>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val="en-US" w:eastAsia="zh-CN"/>
        </w:rPr>
        <w:t>3</w:t>
      </w:r>
      <w:r>
        <w:rPr>
          <w:rFonts w:hint="eastAsia" w:ascii="宋体" w:hAnsi="宋体" w:eastAsia="宋体" w:cs="宋体"/>
          <w:bCs/>
          <w:color w:val="000000"/>
          <w:sz w:val="24"/>
          <w:highlight w:val="none"/>
        </w:rPr>
        <w:t>.4.2.5春秋季（3月—5月、9月—11月），每日道路洒水频次作为基准遍次，即</w:t>
      </w:r>
      <w:r>
        <w:rPr>
          <w:rFonts w:hint="eastAsia" w:ascii="宋体" w:hAnsi="宋体" w:eastAsia="宋体" w:cs="宋体"/>
          <w:bCs/>
          <w:color w:val="000000"/>
          <w:sz w:val="24"/>
          <w:highlight w:val="none"/>
          <w:lang w:eastAsia="zh-CN"/>
        </w:rPr>
        <w:t>二</w:t>
      </w:r>
      <w:r>
        <w:rPr>
          <w:rFonts w:hint="eastAsia" w:ascii="宋体" w:hAnsi="宋体" w:eastAsia="宋体" w:cs="宋体"/>
          <w:bCs/>
          <w:color w:val="000000"/>
          <w:sz w:val="24"/>
          <w:highlight w:val="none"/>
        </w:rPr>
        <w:t>级道路每日</w:t>
      </w:r>
      <w:r>
        <w:rPr>
          <w:rFonts w:hint="eastAsia" w:ascii="宋体" w:hAnsi="宋体" w:eastAsia="宋体" w:cs="宋体"/>
          <w:bCs/>
          <w:color w:val="000000"/>
          <w:sz w:val="24"/>
          <w:highlight w:val="none"/>
          <w:lang w:val="en-US" w:eastAsia="zh-CN"/>
        </w:rPr>
        <w:t>6</w:t>
      </w:r>
      <w:r>
        <w:rPr>
          <w:rFonts w:hint="eastAsia" w:ascii="宋体" w:hAnsi="宋体" w:eastAsia="宋体" w:cs="宋体"/>
          <w:bCs/>
          <w:color w:val="000000"/>
          <w:sz w:val="24"/>
          <w:highlight w:val="none"/>
        </w:rPr>
        <w:t>次；夏季（6月—8月），在基准频次上每日分别增加1次；冬季（12月—2月），在基准频次上每日分别减少1次。</w:t>
      </w:r>
    </w:p>
    <w:p>
      <w:pPr>
        <w:snapToGrid w:val="0"/>
        <w:spacing w:line="360" w:lineRule="auto"/>
        <w:ind w:firstLine="480" w:firstLineChars="200"/>
        <w:jc w:val="left"/>
        <w:rPr>
          <w:rFonts w:hint="eastAsia" w:ascii="宋体" w:hAnsi="宋体" w:eastAsia="宋体" w:cs="宋体"/>
          <w:bCs/>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.4.2.6</w:t>
      </w:r>
      <w:r>
        <w:rPr>
          <w:rFonts w:hint="eastAsia" w:ascii="宋体" w:hAnsi="宋体" w:eastAsia="宋体" w:cs="宋体"/>
          <w:bCs/>
          <w:color w:val="000000"/>
          <w:sz w:val="24"/>
          <w:highlight w:val="none"/>
        </w:rPr>
        <w:t>气温低于2摄氏度时应停止清洗和洒水。</w:t>
      </w:r>
    </w:p>
    <w:p>
      <w:pPr>
        <w:snapToGrid w:val="0"/>
        <w:spacing w:line="360" w:lineRule="auto"/>
        <w:ind w:firstLine="480" w:firstLineChars="200"/>
        <w:jc w:val="left"/>
        <w:rPr>
          <w:rFonts w:hint="eastAsia" w:ascii="宋体" w:hAnsi="宋体" w:eastAsia="宋体" w:cs="宋体"/>
          <w:bCs/>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.4.2.7</w:t>
      </w:r>
      <w:r>
        <w:rPr>
          <w:rFonts w:hint="eastAsia" w:ascii="宋体" w:hAnsi="宋体" w:eastAsia="宋体" w:cs="宋体"/>
          <w:bCs/>
          <w:color w:val="000000"/>
          <w:sz w:val="24"/>
          <w:highlight w:val="none"/>
        </w:rPr>
        <w:t>根据清雪作业应急保障需要，可使用洒水车、清洗车冲刷路面积雪，并使用清雪车、扫路车等专业车辆或人工辅助，及时清除路面积水、积雪。</w:t>
      </w:r>
    </w:p>
    <w:p>
      <w:pPr>
        <w:snapToGrid w:val="0"/>
        <w:spacing w:line="360" w:lineRule="auto"/>
        <w:ind w:firstLine="482" w:firstLineChars="20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lang w:val="en-US" w:eastAsia="zh-CN"/>
        </w:rPr>
        <w:t>3</w:t>
      </w:r>
      <w:r>
        <w:rPr>
          <w:rFonts w:hint="eastAsia" w:ascii="宋体" w:hAnsi="宋体" w:eastAsia="宋体" w:cs="宋体"/>
          <w:b/>
          <w:color w:val="000000"/>
          <w:sz w:val="24"/>
          <w:highlight w:val="none"/>
        </w:rPr>
        <w:t>.4.3机械化清扫</w:t>
      </w:r>
    </w:p>
    <w:p>
      <w:pPr>
        <w:snapToGrid w:val="0"/>
        <w:spacing w:line="360" w:lineRule="auto"/>
        <w:ind w:firstLine="480" w:firstLineChars="200"/>
        <w:jc w:val="left"/>
        <w:rPr>
          <w:rFonts w:hint="eastAsia" w:ascii="宋体" w:hAnsi="宋体" w:eastAsia="宋体" w:cs="宋体"/>
          <w:bCs/>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.4.3.1</w:t>
      </w:r>
      <w:r>
        <w:rPr>
          <w:rFonts w:hint="eastAsia" w:ascii="宋体" w:hAnsi="宋体" w:eastAsia="宋体" w:cs="宋体"/>
          <w:bCs/>
          <w:color w:val="000000"/>
          <w:sz w:val="24"/>
          <w:highlight w:val="none"/>
        </w:rPr>
        <w:t>机械化清扫范围主要为机动车道，及便于使用机械化装备清洁机动车道的交通隔离栏。</w:t>
      </w:r>
    </w:p>
    <w:p>
      <w:pPr>
        <w:snapToGrid w:val="0"/>
        <w:spacing w:line="360" w:lineRule="auto"/>
        <w:ind w:firstLine="480" w:firstLineChars="200"/>
        <w:jc w:val="left"/>
        <w:rPr>
          <w:rFonts w:hint="eastAsia" w:ascii="宋体" w:hAnsi="宋体" w:eastAsia="宋体" w:cs="宋体"/>
          <w:bCs/>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.4.3.2</w:t>
      </w:r>
      <w:r>
        <w:rPr>
          <w:rFonts w:hint="eastAsia" w:ascii="宋体" w:hAnsi="宋体" w:eastAsia="宋体" w:cs="宋体"/>
          <w:bCs/>
          <w:color w:val="000000"/>
          <w:sz w:val="24"/>
          <w:highlight w:val="none"/>
        </w:rPr>
        <w:t>清扫车或洗扫车应加足水，根据路面状况调整好扫路车侧刷和吸口，喷雾洁扫无扬尘，在规定时间和路线进行机械化清扫作业。</w:t>
      </w:r>
    </w:p>
    <w:p>
      <w:pPr>
        <w:snapToGrid w:val="0"/>
        <w:spacing w:line="360" w:lineRule="auto"/>
        <w:ind w:firstLine="480" w:firstLineChars="200"/>
        <w:jc w:val="left"/>
        <w:rPr>
          <w:rFonts w:hint="eastAsia" w:ascii="宋体" w:hAnsi="宋体" w:eastAsia="宋体" w:cs="宋体"/>
          <w:bCs/>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.4.3.3</w:t>
      </w:r>
      <w:r>
        <w:rPr>
          <w:rFonts w:hint="eastAsia" w:ascii="宋体" w:hAnsi="宋体" w:eastAsia="宋体" w:cs="宋体"/>
          <w:bCs/>
          <w:color w:val="000000"/>
          <w:sz w:val="24"/>
          <w:highlight w:val="none"/>
        </w:rPr>
        <w:t>机械化清扫作业时，扫路车或洗扫车车速不得超过10km/h。</w:t>
      </w:r>
    </w:p>
    <w:p>
      <w:pPr>
        <w:snapToGrid w:val="0"/>
        <w:spacing w:line="360" w:lineRule="auto"/>
        <w:ind w:firstLine="480" w:firstLineChars="200"/>
        <w:jc w:val="left"/>
        <w:rPr>
          <w:rFonts w:hint="eastAsia" w:ascii="宋体" w:hAnsi="宋体" w:eastAsia="宋体" w:cs="宋体"/>
          <w:bCs/>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.4.3.4</w:t>
      </w:r>
      <w:r>
        <w:rPr>
          <w:rFonts w:hint="eastAsia" w:ascii="宋体" w:hAnsi="宋体" w:eastAsia="宋体" w:cs="宋体"/>
          <w:bCs/>
          <w:color w:val="000000"/>
          <w:sz w:val="24"/>
          <w:highlight w:val="none"/>
        </w:rPr>
        <w:t>清扫时应注意观察路面清扫质量和路面障碍情况，对机械化清扫不能清除的大件垃圾或硬物，在确保作业安全的前提下，及时下车清除。</w:t>
      </w:r>
    </w:p>
    <w:p>
      <w:pPr>
        <w:snapToGrid w:val="0"/>
        <w:spacing w:line="360" w:lineRule="auto"/>
        <w:ind w:firstLine="480" w:firstLineChars="200"/>
        <w:jc w:val="left"/>
        <w:rPr>
          <w:rFonts w:hint="eastAsia" w:ascii="宋体" w:hAnsi="宋体" w:eastAsia="宋体" w:cs="宋体"/>
          <w:bCs/>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.4.3.5</w:t>
      </w:r>
      <w:r>
        <w:rPr>
          <w:rFonts w:hint="eastAsia" w:ascii="宋体" w:hAnsi="宋体" w:eastAsia="宋体" w:cs="宋体"/>
          <w:bCs/>
          <w:color w:val="000000"/>
          <w:sz w:val="24"/>
          <w:highlight w:val="none"/>
        </w:rPr>
        <w:t>当日清扫结束后，应在指定地点卸空机械化清扫车辆中的垃圾。</w:t>
      </w:r>
    </w:p>
    <w:p>
      <w:pPr>
        <w:snapToGrid w:val="0"/>
        <w:spacing w:line="360" w:lineRule="auto"/>
        <w:ind w:firstLine="480" w:firstLineChars="200"/>
        <w:jc w:val="left"/>
        <w:rPr>
          <w:rFonts w:hint="eastAsia" w:ascii="宋体" w:hAnsi="宋体" w:eastAsia="宋体" w:cs="宋体"/>
          <w:bCs/>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.4.3.6</w:t>
      </w:r>
      <w:r>
        <w:rPr>
          <w:rFonts w:hint="eastAsia" w:ascii="宋体" w:hAnsi="宋体" w:eastAsia="宋体" w:cs="宋体"/>
          <w:bCs/>
          <w:color w:val="000000"/>
          <w:sz w:val="24"/>
          <w:highlight w:val="none"/>
        </w:rPr>
        <w:t>机械化清扫车辆所用的扫把丝等消耗品应根据使用状况及时更换。</w:t>
      </w:r>
    </w:p>
    <w:p>
      <w:pPr>
        <w:snapToGrid w:val="0"/>
        <w:spacing w:line="360" w:lineRule="auto"/>
        <w:ind w:firstLine="482" w:firstLineChars="20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lang w:val="en-US" w:eastAsia="zh-CN"/>
        </w:rPr>
        <w:t>3</w:t>
      </w:r>
      <w:r>
        <w:rPr>
          <w:rFonts w:hint="eastAsia" w:ascii="宋体" w:hAnsi="宋体" w:eastAsia="宋体" w:cs="宋体"/>
          <w:b/>
          <w:color w:val="000000"/>
          <w:sz w:val="24"/>
          <w:highlight w:val="none"/>
        </w:rPr>
        <w:t>.4.4人工普扫</w:t>
      </w:r>
    </w:p>
    <w:p>
      <w:pPr>
        <w:snapToGrid w:val="0"/>
        <w:spacing w:line="360" w:lineRule="auto"/>
        <w:ind w:firstLine="480" w:firstLineChars="200"/>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val="en-US" w:eastAsia="zh-CN"/>
        </w:rPr>
        <w:t>3</w:t>
      </w:r>
      <w:r>
        <w:rPr>
          <w:rFonts w:hint="eastAsia" w:ascii="宋体" w:hAnsi="宋体" w:eastAsia="宋体" w:cs="宋体"/>
          <w:bCs/>
          <w:color w:val="000000"/>
          <w:sz w:val="24"/>
          <w:highlight w:val="none"/>
        </w:rPr>
        <w:t>.4.4.1清扫时，在距清扫点适当位置安全警示标识。</w:t>
      </w:r>
    </w:p>
    <w:p>
      <w:pPr>
        <w:snapToGrid w:val="0"/>
        <w:spacing w:line="360" w:lineRule="auto"/>
        <w:ind w:firstLine="480" w:firstLineChars="200"/>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val="en-US" w:eastAsia="zh-CN"/>
        </w:rPr>
        <w:t>3</w:t>
      </w:r>
      <w:r>
        <w:rPr>
          <w:rFonts w:hint="eastAsia" w:ascii="宋体" w:hAnsi="宋体" w:eastAsia="宋体" w:cs="宋体"/>
          <w:bCs/>
          <w:color w:val="000000"/>
          <w:sz w:val="24"/>
          <w:highlight w:val="none"/>
        </w:rPr>
        <w:t>.4.4.2道路两侧、路面等承包区域内乱涂写招贴，应使用铲刀或高压清洗机具予以清除，对粘附力强的要求用清洗剂刷洗，被清洗或清除后物体表面没有明显残留痕迹，不得采用涂料遮盖等方式简单处理，路面有污染或明显肮脏时要及时冲洗。</w:t>
      </w:r>
    </w:p>
    <w:p>
      <w:pPr>
        <w:snapToGrid w:val="0"/>
        <w:spacing w:line="360" w:lineRule="auto"/>
        <w:ind w:firstLine="480" w:firstLineChars="200"/>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val="en-US" w:eastAsia="zh-CN"/>
        </w:rPr>
        <w:t>3</w:t>
      </w:r>
      <w:r>
        <w:rPr>
          <w:rFonts w:hint="eastAsia" w:ascii="宋体" w:hAnsi="宋体" w:eastAsia="宋体" w:cs="宋体"/>
          <w:bCs/>
          <w:color w:val="000000"/>
          <w:sz w:val="24"/>
          <w:highlight w:val="none"/>
        </w:rPr>
        <w:t>.4.4.3清扫的街面垃圾、沿街果壳箱中的垃圾应密闭化运至指定地点，运输过程不得抛洒滴漏。</w:t>
      </w:r>
    </w:p>
    <w:p>
      <w:pPr>
        <w:snapToGrid w:val="0"/>
        <w:spacing w:line="360" w:lineRule="auto"/>
        <w:ind w:firstLine="482" w:firstLineChars="20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lang w:val="en-US" w:eastAsia="zh-CN"/>
        </w:rPr>
        <w:t>3</w:t>
      </w:r>
      <w:r>
        <w:rPr>
          <w:rFonts w:hint="eastAsia" w:ascii="宋体" w:hAnsi="宋体" w:eastAsia="宋体" w:cs="宋体"/>
          <w:b/>
          <w:color w:val="000000"/>
          <w:sz w:val="24"/>
          <w:highlight w:val="none"/>
        </w:rPr>
        <w:t>.4.5人工保洁</w:t>
      </w:r>
    </w:p>
    <w:p>
      <w:pPr>
        <w:snapToGrid w:val="0"/>
        <w:spacing w:line="360" w:lineRule="auto"/>
        <w:ind w:firstLine="480" w:firstLineChars="200"/>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val="en-US" w:eastAsia="zh-CN"/>
        </w:rPr>
        <w:t>3</w:t>
      </w:r>
      <w:r>
        <w:rPr>
          <w:rFonts w:hint="eastAsia" w:ascii="宋体" w:hAnsi="宋体" w:eastAsia="宋体" w:cs="宋体"/>
          <w:bCs/>
          <w:color w:val="000000"/>
          <w:sz w:val="24"/>
          <w:highlight w:val="none"/>
        </w:rPr>
        <w:t>.4.5.1普扫结束后，应按照规定的责任保洁区域、保洁时间组织巡回保洁。落实责任保洁区域边界管理，保洁时应向保洁边界以外适当延伸（不少于3米），不留保洁盲区和空白点。</w:t>
      </w:r>
    </w:p>
    <w:p>
      <w:pPr>
        <w:snapToGrid w:val="0"/>
        <w:spacing w:line="360" w:lineRule="auto"/>
        <w:ind w:firstLine="480" w:firstLineChars="200"/>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val="en-US" w:eastAsia="zh-CN"/>
        </w:rPr>
        <w:t>3</w:t>
      </w:r>
      <w:r>
        <w:rPr>
          <w:rFonts w:hint="eastAsia" w:ascii="宋体" w:hAnsi="宋体" w:eastAsia="宋体" w:cs="宋体"/>
          <w:bCs/>
          <w:color w:val="000000"/>
          <w:sz w:val="24"/>
          <w:highlight w:val="none"/>
        </w:rPr>
        <w:t>.4.5.2应定时清运沿街果壳箱中的垃圾，做到垃圾不落地、不积存，日产日清。</w:t>
      </w:r>
    </w:p>
    <w:p>
      <w:pPr>
        <w:snapToGrid w:val="0"/>
        <w:spacing w:line="360" w:lineRule="auto"/>
        <w:ind w:firstLine="480" w:firstLineChars="200"/>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val="en-US" w:eastAsia="zh-CN"/>
        </w:rPr>
        <w:t>3</w:t>
      </w:r>
      <w:r>
        <w:rPr>
          <w:rFonts w:hint="eastAsia" w:ascii="宋体" w:hAnsi="宋体" w:eastAsia="宋体" w:cs="宋体"/>
          <w:bCs/>
          <w:color w:val="000000"/>
          <w:sz w:val="24"/>
          <w:highlight w:val="none"/>
        </w:rPr>
        <w:t>.4.5.3突发性环境卫生污染现场清理时，应严格按照应急处置方案进行保洁，及时消除污染物，恢复路面清洁。</w:t>
      </w:r>
    </w:p>
    <w:p>
      <w:pPr>
        <w:snapToGrid w:val="0"/>
        <w:spacing w:line="360" w:lineRule="auto"/>
        <w:ind w:firstLine="480" w:firstLineChars="200"/>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val="en-US" w:eastAsia="zh-CN"/>
        </w:rPr>
        <w:t>3</w:t>
      </w:r>
      <w:r>
        <w:rPr>
          <w:rFonts w:hint="eastAsia" w:ascii="宋体" w:hAnsi="宋体" w:eastAsia="宋体" w:cs="宋体"/>
          <w:bCs/>
          <w:color w:val="000000"/>
          <w:sz w:val="24"/>
          <w:highlight w:val="none"/>
        </w:rPr>
        <w:t>.4.5.4环卫电动专用作业车辆应在非机动车道顺向行驶，不得超载，且行驶速度不得超过20Km/h。</w:t>
      </w:r>
    </w:p>
    <w:p>
      <w:pPr>
        <w:snapToGrid w:val="0"/>
        <w:spacing w:line="360" w:lineRule="auto"/>
        <w:ind w:firstLine="480" w:firstLineChars="200"/>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val="en-US" w:eastAsia="zh-CN"/>
        </w:rPr>
        <w:t>3</w:t>
      </w:r>
      <w:r>
        <w:rPr>
          <w:rFonts w:hint="eastAsia" w:ascii="宋体" w:hAnsi="宋体" w:eastAsia="宋体" w:cs="宋体"/>
          <w:bCs/>
          <w:color w:val="000000"/>
          <w:sz w:val="24"/>
          <w:highlight w:val="none"/>
        </w:rPr>
        <w:t>.4.5.5保洁作业结束后，作业工具应在规定地点摆放，不得在道路路面、墙角、绿化带、绿地中存放。</w:t>
      </w:r>
    </w:p>
    <w:p>
      <w:pPr>
        <w:snapToGrid w:val="0"/>
        <w:spacing w:line="360" w:lineRule="auto"/>
        <w:ind w:firstLine="482" w:firstLineChars="200"/>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3</w:t>
      </w:r>
      <w:r>
        <w:rPr>
          <w:rFonts w:hint="eastAsia" w:ascii="宋体" w:hAnsi="宋体" w:eastAsia="宋体" w:cs="宋体"/>
          <w:b/>
          <w:bCs/>
          <w:color w:val="000000"/>
          <w:sz w:val="24"/>
          <w:highlight w:val="none"/>
        </w:rPr>
        <w:t>.5保洁作业质量要求</w:t>
      </w:r>
    </w:p>
    <w:p>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5.1清扫应做到“五无五净”。即无垃圾杂物；无积水积泥，无痰迹烟蒂，无果皮纸屑，无土石杂草；路面干净，绿化带和树圈干净，边角侧石干净，雨水井盖沟眼畅通干净，果壳箱等环卫设施干净、路面见本色。</w:t>
      </w:r>
    </w:p>
    <w:p>
      <w:pPr>
        <w:snapToGrid w:val="0"/>
        <w:spacing w:line="360" w:lineRule="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.5.2三化四分相关要求：</w:t>
      </w:r>
      <w:r>
        <w:rPr>
          <w:rFonts w:hint="eastAsia" w:ascii="宋体" w:hAnsi="宋体" w:eastAsia="宋体" w:cs="宋体"/>
          <w:color w:val="000000"/>
          <w:kern w:val="0"/>
          <w:sz w:val="24"/>
          <w:highlight w:val="none"/>
        </w:rPr>
        <w:t>本项目的供应商应按照杭州市垃圾分类工作的具体要求，确定生活垃圾分类（易腐垃圾、其他垃圾、可回收物、有害垃圾），并完成保洁范围内四类垃圾的分类、收集以及垃圾的清运工作。</w:t>
      </w:r>
    </w:p>
    <w:p>
      <w:pPr>
        <w:snapToGrid w:val="0"/>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 xml:space="preserve">.5.3其他要求：   </w:t>
      </w:r>
    </w:p>
    <w:p>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（1）遇有窨井盖丢失、破损等，承包方必须及时上报采购人。  </w:t>
      </w:r>
    </w:p>
    <w:p>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（2）遇有重大活动或突发事件，及时组织力量做好清扫保洁保障工作。   </w:t>
      </w:r>
    </w:p>
    <w:p>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（3）遇有重大活动以及抗台、抗雪等突发事件，必须及时组织力量做好清扫保洁等应急保障工作，按照城市管理保障应急机制要求，保证人员及时到位，并根据应急指令服从统一调配。</w:t>
      </w:r>
    </w:p>
    <w:p>
      <w:pPr>
        <w:snapToGrid w:val="0"/>
        <w:spacing w:line="360" w:lineRule="auto"/>
        <w:ind w:firstLine="482" w:firstLineChars="200"/>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3</w:t>
      </w:r>
      <w:r>
        <w:rPr>
          <w:rFonts w:hint="eastAsia" w:ascii="宋体" w:hAnsi="宋体" w:eastAsia="宋体" w:cs="宋体"/>
          <w:b/>
          <w:bCs/>
          <w:color w:val="000000"/>
          <w:sz w:val="24"/>
          <w:highlight w:val="none"/>
        </w:rPr>
        <w:t>.6.管理要求</w:t>
      </w:r>
    </w:p>
    <w:p>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.6.1供应商在保洁作业中投入的机械设备、人员配置等必须与投标文件中所承诺的数量规格相符合。加强日常作业质量管理，相关计划及报告按采购人要求准时递交。</w:t>
      </w:r>
    </w:p>
    <w:p>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.6.2规范管理、文明作业、自觉接受采购人及其上级各部门领导的检查和社会监督，对出现的问题要及时整改。</w:t>
      </w:r>
    </w:p>
    <w:p>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6.3作业时应严格遵守交通规则、遵守劳动纪律、遵守安全操作规程，作业人员须统一穿戴有反光标识的工作服，佩证上岗。加强日常安全生产管理，确保职工人身安全。如遇各种意外事故发生由中标单位自行负责，并依照法律法规妥善处理（事故情况应在30分钟内及时书面告知采购人）。</w:t>
      </w:r>
    </w:p>
    <w:p>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.6.4果壳箱应定期保养保持整洁完好无缺失，承包期间因操作或管理不善造成破损、缺失的，由中标单位承担费用并负责修复或更新（果壳箱更换款式应保持原样，或经采购人同意后调整款式）。</w:t>
      </w:r>
    </w:p>
    <w:p>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.6.5专用作业车辆（含人力三轮车）符合环卫标准化管理要求，外观喷漆及规格符合采购人要求，机动、人力车辆应按时冲洗保养保持外观整洁，无抛洒滴漏、无满溢、无吊挂。</w:t>
      </w:r>
    </w:p>
    <w:p>
      <w:pPr>
        <w:snapToGrid w:val="0"/>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.6.6垃圾应倾倒在指定的垃圾堆放场地，不得焚烧垃圾、树叶，确需垃圾二次转运的应在指定地点进行，不得直接在保洁道路上进行。</w:t>
      </w:r>
    </w:p>
    <w:p>
      <w:pPr>
        <w:snapToGrid w:val="0"/>
        <w:spacing w:line="360" w:lineRule="auto"/>
        <w:ind w:firstLine="480" w:firstLineChars="200"/>
        <w:jc w:val="left"/>
        <w:rPr>
          <w:rFonts w:hint="eastAsia" w:ascii="宋体" w:hAnsi="宋体" w:eastAsia="宋体" w:cs="宋体"/>
          <w:bCs/>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 xml:space="preserve">.6.7如遇渣土抛洒污染路面等情况，中标单位应及时上报采购人，并做好照片资料，同时进行道路冲洗清理。   </w:t>
      </w:r>
    </w:p>
    <w:p>
      <w:pPr>
        <w:snapToGrid w:val="0"/>
        <w:spacing w:line="360" w:lineRule="auto"/>
        <w:ind w:firstLine="480" w:firstLineChars="200"/>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val="en-US" w:eastAsia="zh-CN"/>
        </w:rPr>
        <w:t>3</w:t>
      </w:r>
      <w:r>
        <w:rPr>
          <w:rFonts w:hint="eastAsia" w:ascii="宋体" w:hAnsi="宋体" w:eastAsia="宋体" w:cs="宋体"/>
          <w:bCs/>
          <w:color w:val="000000"/>
          <w:sz w:val="24"/>
          <w:highlight w:val="none"/>
        </w:rPr>
        <w:t>.6.8无新闻媒体曝光，对“12345”市长公开电话和有关受理中心及信访处相关问题，处理、回复及时到位。</w:t>
      </w:r>
      <w:r>
        <w:rPr>
          <w:rFonts w:hint="eastAsia" w:ascii="宋体" w:hAnsi="宋体" w:eastAsia="宋体" w:cs="宋体"/>
          <w:color w:val="000000"/>
          <w:sz w:val="24"/>
          <w:highlight w:val="none"/>
        </w:rPr>
        <w:t>加强管理，确保在国家、省、市、区的各项检查中不失责任分。</w:t>
      </w:r>
    </w:p>
    <w:p>
      <w:pPr>
        <w:tabs>
          <w:tab w:val="left" w:pos="851"/>
          <w:tab w:val="left" w:pos="993"/>
        </w:tabs>
        <w:snapToGrid w:val="0"/>
        <w:spacing w:line="360" w:lineRule="auto"/>
        <w:ind w:firstLine="482" w:firstLineChars="200"/>
        <w:rPr>
          <w:rFonts w:hint="eastAsia" w:ascii="宋体" w:hAnsi="宋体" w:eastAsia="宋体" w:cs="宋体"/>
          <w:b/>
          <w:bCs/>
          <w:color w:val="000000"/>
          <w:kern w:val="44"/>
          <w:sz w:val="24"/>
          <w:highlight w:val="none"/>
        </w:rPr>
      </w:pPr>
      <w:r>
        <w:rPr>
          <w:rFonts w:hint="eastAsia" w:ascii="宋体" w:hAnsi="宋体" w:eastAsia="宋体" w:cs="宋体"/>
          <w:b/>
          <w:bCs/>
          <w:color w:val="000000"/>
          <w:kern w:val="44"/>
          <w:sz w:val="24"/>
          <w:highlight w:val="none"/>
          <w:lang w:val="en-US" w:eastAsia="zh-CN"/>
        </w:rPr>
        <w:t>3..7</w:t>
      </w:r>
      <w:r>
        <w:rPr>
          <w:rFonts w:hint="eastAsia" w:ascii="宋体" w:hAnsi="宋体" w:eastAsia="宋体" w:cs="宋体"/>
          <w:b/>
          <w:bCs/>
          <w:color w:val="000000"/>
          <w:kern w:val="44"/>
          <w:sz w:val="24"/>
          <w:highlight w:val="none"/>
        </w:rPr>
        <w:t>、偷倒垃圾清运要求</w:t>
      </w:r>
    </w:p>
    <w:p>
      <w:pPr>
        <w:tabs>
          <w:tab w:val="left" w:pos="851"/>
          <w:tab w:val="left" w:pos="993"/>
        </w:tabs>
        <w:snapToGrid w:val="0"/>
        <w:spacing w:line="360" w:lineRule="auto"/>
        <w:ind w:firstLine="480" w:firstLineChars="200"/>
        <w:rPr>
          <w:rFonts w:hint="eastAsia" w:ascii="宋体" w:hAnsi="宋体" w:eastAsia="宋体" w:cs="宋体"/>
          <w:b/>
          <w:bCs/>
          <w:color w:val="000000"/>
          <w:kern w:val="44"/>
          <w:sz w:val="24"/>
          <w:highlight w:val="none"/>
        </w:rPr>
      </w:pPr>
      <w:r>
        <w:rPr>
          <w:rFonts w:hint="eastAsia" w:ascii="宋体" w:hAnsi="宋体" w:eastAsia="宋体" w:cs="宋体"/>
          <w:bCs/>
          <w:color w:val="000000"/>
          <w:kern w:val="0"/>
          <w:sz w:val="24"/>
          <w:highlight w:val="none"/>
          <w:lang w:val="en-US" w:eastAsia="zh-CN"/>
        </w:rPr>
        <w:t>3</w:t>
      </w:r>
      <w:r>
        <w:rPr>
          <w:rFonts w:hint="eastAsia" w:ascii="宋体" w:hAnsi="宋体" w:eastAsia="宋体" w:cs="宋体"/>
          <w:bCs/>
          <w:color w:val="000000"/>
          <w:kern w:val="0"/>
          <w:sz w:val="24"/>
          <w:highlight w:val="none"/>
        </w:rPr>
        <w:t>.</w:t>
      </w:r>
      <w:r>
        <w:rPr>
          <w:rFonts w:hint="eastAsia" w:ascii="宋体" w:hAnsi="宋体" w:eastAsia="宋体" w:cs="宋体"/>
          <w:bCs/>
          <w:color w:val="000000"/>
          <w:kern w:val="0"/>
          <w:sz w:val="24"/>
          <w:highlight w:val="none"/>
          <w:lang w:val="en-US" w:eastAsia="zh-CN"/>
        </w:rPr>
        <w:t>7.</w:t>
      </w:r>
      <w:r>
        <w:rPr>
          <w:rFonts w:hint="eastAsia" w:ascii="宋体" w:hAnsi="宋体" w:eastAsia="宋体" w:cs="宋体"/>
          <w:bCs/>
          <w:color w:val="000000"/>
          <w:kern w:val="0"/>
          <w:sz w:val="24"/>
          <w:highlight w:val="none"/>
        </w:rPr>
        <w:t>1服务内容：</w:t>
      </w:r>
      <w:r>
        <w:rPr>
          <w:rFonts w:hint="eastAsia" w:ascii="宋体" w:hAnsi="宋体" w:eastAsia="宋体" w:cs="宋体"/>
          <w:color w:val="000000"/>
          <w:sz w:val="24"/>
          <w:highlight w:val="none"/>
        </w:rPr>
        <w:t>主要为本项目采购人管养范围内偷倒的垃圾清运</w:t>
      </w:r>
      <w:r>
        <w:rPr>
          <w:rFonts w:hint="eastAsia" w:ascii="宋体" w:hAnsi="宋体" w:eastAsia="宋体" w:cs="宋体"/>
          <w:bCs/>
          <w:color w:val="000000"/>
          <w:sz w:val="24"/>
          <w:highlight w:val="none"/>
        </w:rPr>
        <w:t>工作，垃圾运至</w:t>
      </w:r>
      <w:r>
        <w:rPr>
          <w:rFonts w:hint="eastAsia" w:ascii="宋体" w:hAnsi="宋体" w:eastAsia="宋体" w:cs="宋体"/>
          <w:bCs/>
          <w:color w:val="000000"/>
          <w:sz w:val="24"/>
          <w:highlight w:val="none"/>
          <w:lang w:eastAsia="zh-CN"/>
        </w:rPr>
        <w:t>仓前街道指</w:t>
      </w:r>
      <w:r>
        <w:rPr>
          <w:rFonts w:hint="eastAsia" w:ascii="宋体" w:hAnsi="宋体" w:eastAsia="宋体" w:cs="宋体"/>
          <w:bCs/>
          <w:color w:val="000000"/>
          <w:sz w:val="24"/>
          <w:highlight w:val="none"/>
        </w:rPr>
        <w:t>定的消纳处置场所，相关费包含在本次招标内容中。</w:t>
      </w:r>
    </w:p>
    <w:p>
      <w:pPr>
        <w:snapToGrid w:val="0"/>
        <w:spacing w:line="360" w:lineRule="auto"/>
        <w:ind w:firstLine="480" w:firstLineChars="200"/>
        <w:rPr>
          <w:rFonts w:hint="eastAsia" w:ascii="宋体" w:hAnsi="宋体" w:eastAsia="宋体" w:cs="宋体"/>
          <w:bCs/>
          <w:color w:val="000000"/>
          <w:kern w:val="0"/>
          <w:sz w:val="24"/>
          <w:highlight w:val="none"/>
        </w:rPr>
      </w:pPr>
      <w:r>
        <w:rPr>
          <w:rFonts w:hint="eastAsia" w:ascii="宋体" w:hAnsi="宋体" w:eastAsia="宋体" w:cs="宋体"/>
          <w:bCs/>
          <w:color w:val="000000"/>
          <w:kern w:val="0"/>
          <w:sz w:val="24"/>
          <w:highlight w:val="none"/>
          <w:lang w:val="en-US" w:eastAsia="zh-CN"/>
        </w:rPr>
        <w:t>3</w:t>
      </w:r>
      <w:r>
        <w:rPr>
          <w:rFonts w:hint="eastAsia" w:ascii="宋体" w:hAnsi="宋体" w:eastAsia="宋体" w:cs="宋体"/>
          <w:bCs/>
          <w:color w:val="000000"/>
          <w:kern w:val="0"/>
          <w:sz w:val="24"/>
          <w:highlight w:val="none"/>
        </w:rPr>
        <w:t>.</w:t>
      </w:r>
      <w:r>
        <w:rPr>
          <w:rFonts w:hint="eastAsia" w:ascii="宋体" w:hAnsi="宋体" w:eastAsia="宋体" w:cs="宋体"/>
          <w:bCs/>
          <w:color w:val="000000"/>
          <w:kern w:val="0"/>
          <w:sz w:val="24"/>
          <w:highlight w:val="none"/>
          <w:lang w:val="en-US" w:eastAsia="zh-CN"/>
        </w:rPr>
        <w:t>7.</w:t>
      </w:r>
      <w:r>
        <w:rPr>
          <w:rFonts w:hint="eastAsia" w:ascii="宋体" w:hAnsi="宋体" w:eastAsia="宋体" w:cs="宋体"/>
          <w:bCs/>
          <w:color w:val="000000"/>
          <w:kern w:val="0"/>
          <w:sz w:val="24"/>
          <w:highlight w:val="none"/>
        </w:rPr>
        <w:t>2具体要求：</w:t>
      </w:r>
    </w:p>
    <w:p>
      <w:pPr>
        <w:snapToGrid w:val="0"/>
        <w:spacing w:line="360" w:lineRule="auto"/>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（1）在</w:t>
      </w:r>
      <w:r>
        <w:rPr>
          <w:rFonts w:hint="eastAsia" w:ascii="宋体" w:hAnsi="宋体" w:eastAsia="宋体" w:cs="宋体"/>
          <w:color w:val="000000"/>
          <w:sz w:val="24"/>
          <w:highlight w:val="none"/>
        </w:rPr>
        <w:t>服务期内，</w:t>
      </w:r>
      <w:r>
        <w:rPr>
          <w:rFonts w:hint="eastAsia" w:ascii="宋体" w:hAnsi="宋体" w:eastAsia="宋体" w:cs="宋体"/>
          <w:color w:val="000000"/>
          <w:kern w:val="0"/>
          <w:sz w:val="24"/>
          <w:highlight w:val="none"/>
        </w:rPr>
        <w:t>供应商应加强</w:t>
      </w:r>
      <w:r>
        <w:rPr>
          <w:rFonts w:hint="eastAsia" w:ascii="宋体" w:hAnsi="宋体" w:eastAsia="宋体" w:cs="宋体"/>
          <w:color w:val="000000"/>
          <w:sz w:val="24"/>
          <w:highlight w:val="none"/>
        </w:rPr>
        <w:t>所承包范围内防止垃圾偷倒的管理工作。如在所承包范围内发生偷倒，</w:t>
      </w:r>
      <w:r>
        <w:rPr>
          <w:rFonts w:hint="eastAsia" w:ascii="宋体" w:hAnsi="宋体" w:eastAsia="宋体" w:cs="宋体"/>
          <w:color w:val="000000"/>
          <w:kern w:val="0"/>
          <w:sz w:val="24"/>
          <w:highlight w:val="none"/>
        </w:rPr>
        <w:t>需完成</w:t>
      </w:r>
      <w:r>
        <w:rPr>
          <w:rFonts w:hint="eastAsia" w:ascii="宋体" w:hAnsi="宋体" w:eastAsia="宋体" w:cs="宋体"/>
          <w:color w:val="000000"/>
          <w:sz w:val="24"/>
          <w:highlight w:val="none"/>
        </w:rPr>
        <w:t>偷倒的垃圾清运</w:t>
      </w:r>
      <w:r>
        <w:rPr>
          <w:rFonts w:hint="eastAsia" w:ascii="宋体" w:hAnsi="宋体" w:eastAsia="宋体" w:cs="宋体"/>
          <w:bCs/>
          <w:color w:val="000000"/>
          <w:sz w:val="24"/>
          <w:highlight w:val="none"/>
        </w:rPr>
        <w:t>工作，</w:t>
      </w:r>
      <w:r>
        <w:rPr>
          <w:rFonts w:hint="eastAsia" w:ascii="宋体" w:hAnsi="宋体" w:eastAsia="宋体" w:cs="宋体"/>
          <w:color w:val="000000"/>
          <w:kern w:val="0"/>
          <w:sz w:val="24"/>
          <w:highlight w:val="none"/>
        </w:rPr>
        <w:t>垃圾的装车、运输至消纳处置场，因乱倒垃圾不符合相关要求所引发的问题，由供应商承担所有责任及赔偿费用。</w:t>
      </w:r>
    </w:p>
    <w:p>
      <w:pPr>
        <w:snapToGrid w:val="0"/>
        <w:spacing w:line="360" w:lineRule="auto"/>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（2）车辆要求：本项目所需的作业车辆应具有有效的道路运输经营许可证，并到采购单位备案。</w:t>
      </w:r>
    </w:p>
    <w:p>
      <w:pPr>
        <w:snapToGrid w:val="0"/>
        <w:spacing w:line="360" w:lineRule="auto"/>
        <w:ind w:firstLine="480" w:firstLineChars="200"/>
        <w:rPr>
          <w:rFonts w:hint="eastAsia" w:ascii="宋体" w:hAnsi="宋体" w:eastAsia="宋体" w:cs="宋体"/>
          <w:color w:val="000000"/>
          <w:kern w:val="0"/>
          <w:sz w:val="24"/>
          <w:highlight w:val="none"/>
        </w:rPr>
      </w:pPr>
      <w:r>
        <w:rPr>
          <w:rFonts w:hint="eastAsia" w:ascii="宋体" w:hAnsi="宋体" w:eastAsia="宋体" w:cs="宋体"/>
          <w:bCs/>
          <w:color w:val="000000"/>
          <w:sz w:val="24"/>
          <w:highlight w:val="none"/>
        </w:rPr>
        <w:t>（3）</w:t>
      </w:r>
      <w:r>
        <w:rPr>
          <w:rFonts w:hint="eastAsia" w:ascii="宋体" w:hAnsi="宋体" w:eastAsia="宋体" w:cs="宋体"/>
          <w:color w:val="000000"/>
          <w:kern w:val="0"/>
          <w:sz w:val="24"/>
          <w:highlight w:val="none"/>
        </w:rPr>
        <w:t>装运时必须密封整洁，不得沿路抛撒、滴漏。遵守环境卫生作业标准、规范，装运后及时复位，清理作业场地，保持场地周边环境干净整洁；装运时须铺设地垫等设施，防止污染路面，做到车走地净。</w:t>
      </w:r>
    </w:p>
    <w:p>
      <w:pPr>
        <w:snapToGrid w:val="0"/>
        <w:spacing w:line="360" w:lineRule="auto"/>
        <w:ind w:firstLine="480" w:firstLineChars="200"/>
        <w:jc w:val="left"/>
        <w:rPr>
          <w:rFonts w:hint="eastAsia" w:ascii="宋体" w:hAnsi="宋体" w:eastAsia="宋体" w:cs="宋体"/>
          <w:bCs/>
          <w:color w:val="000000"/>
          <w:sz w:val="24"/>
          <w:highlight w:val="none"/>
        </w:rPr>
      </w:pPr>
      <w:r>
        <w:rPr>
          <w:rFonts w:hint="eastAsia" w:ascii="宋体" w:hAnsi="宋体" w:eastAsia="宋体" w:cs="宋体"/>
          <w:color w:val="000000"/>
          <w:kern w:val="0"/>
          <w:sz w:val="24"/>
          <w:highlight w:val="none"/>
        </w:rPr>
        <w:t>（4）清理的时间要求：</w:t>
      </w:r>
      <w:r>
        <w:rPr>
          <w:rFonts w:hint="eastAsia" w:ascii="宋体" w:hAnsi="宋体" w:eastAsia="宋体" w:cs="宋体"/>
          <w:color w:val="000000"/>
          <w:kern w:val="0"/>
          <w:sz w:val="24"/>
          <w:highlight w:val="none"/>
          <w:u w:val="single"/>
        </w:rPr>
        <w:t>2小时之内清理</w:t>
      </w:r>
      <w:r>
        <w:rPr>
          <w:rFonts w:hint="eastAsia" w:ascii="宋体" w:hAnsi="宋体" w:eastAsia="宋体" w:cs="宋体"/>
          <w:color w:val="000000"/>
          <w:kern w:val="0"/>
          <w:sz w:val="24"/>
          <w:highlight w:val="none"/>
        </w:rPr>
        <w:t>。</w:t>
      </w:r>
    </w:p>
    <w:p>
      <w:pPr>
        <w:wordWrap/>
        <w:spacing w:line="500" w:lineRule="exact"/>
        <w:textAlignment w:val="auto"/>
        <w:rPr>
          <w:rFonts w:hint="eastAsia" w:ascii="宋体" w:hAnsi="宋体" w:eastAsia="宋体" w:cs="宋体"/>
          <w:highlight w:val="none"/>
          <w:lang w:val="en-US" w:eastAsia="zh-CN"/>
        </w:rPr>
      </w:pPr>
      <w:r>
        <w:rPr>
          <w:rFonts w:hint="eastAsia" w:ascii="宋体" w:hAnsi="宋体" w:eastAsia="宋体" w:cs="宋体"/>
          <w:b/>
          <w:bCs/>
          <w:color w:val="auto"/>
          <w:sz w:val="24"/>
          <w:highlight w:val="none"/>
          <w:lang w:val="en-US" w:eastAsia="zh-CN"/>
        </w:rPr>
        <w:t>3.9</w:t>
      </w:r>
      <w:r>
        <w:rPr>
          <w:rFonts w:hint="eastAsia" w:ascii="宋体" w:hAnsi="宋体" w:eastAsia="宋体" w:cs="宋体"/>
          <w:b/>
          <w:bCs/>
          <w:color w:val="auto"/>
          <w:sz w:val="24"/>
          <w:highlight w:val="none"/>
        </w:rPr>
        <w:t>、</w:t>
      </w:r>
      <w:r>
        <w:rPr>
          <w:rStyle w:val="968"/>
          <w:rFonts w:hint="eastAsia" w:ascii="宋体" w:hAnsi="宋体" w:eastAsia="宋体" w:cs="宋体"/>
          <w:b/>
          <w:bCs/>
          <w:i w:val="0"/>
          <w:caps w:val="0"/>
          <w:color w:val="auto"/>
          <w:spacing w:val="0"/>
          <w:w w:val="100"/>
          <w:kern w:val="2"/>
          <w:sz w:val="24"/>
          <w:szCs w:val="24"/>
          <w:highlight w:val="none"/>
          <w:lang w:val="en-US" w:eastAsia="zh-CN" w:bidi="ar-SA"/>
        </w:rPr>
        <w:t>绿化养护质量服务标准：</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具体服务质量标准根据《杭州市城区绿地养护质量标准》（杭园文[2003]42号）、《余杭区城市化管理范围内市政、绿化、保洁、保序分级分类及考核办法（试行）的通知》（余政办[2013]76号）及杭州市现行城市绿地养护质量标准等文件中规定的作业标准和要求执行，本采购项目按照绿化二级标准进行养护。</w:t>
      </w:r>
    </w:p>
    <w:p>
      <w:pPr>
        <w:snapToGrid/>
        <w:spacing w:before="0" w:beforeAutospacing="0" w:after="0" w:afterAutospacing="0" w:line="400" w:lineRule="atLeast"/>
        <w:ind w:firstLine="472" w:firstLineChars="196"/>
        <w:jc w:val="both"/>
        <w:textAlignment w:val="baseline"/>
        <w:rPr>
          <w:rStyle w:val="968"/>
          <w:rFonts w:hint="eastAsia" w:ascii="宋体" w:hAnsi="宋体" w:eastAsia="宋体" w:cs="宋体"/>
          <w:b/>
          <w:i w:val="0"/>
          <w:caps w:val="0"/>
          <w:color w:val="auto"/>
          <w:spacing w:val="0"/>
          <w:w w:val="100"/>
          <w:kern w:val="2"/>
          <w:sz w:val="24"/>
          <w:szCs w:val="24"/>
          <w:highlight w:val="none"/>
          <w:lang w:val="en-US" w:eastAsia="zh-CN" w:bidi="ar-SA"/>
        </w:rPr>
      </w:pPr>
      <w:r>
        <w:rPr>
          <w:rStyle w:val="968"/>
          <w:rFonts w:hint="eastAsia" w:ascii="宋体" w:hAnsi="宋体" w:eastAsia="宋体" w:cs="宋体"/>
          <w:b/>
          <w:i w:val="0"/>
          <w:caps w:val="0"/>
          <w:color w:val="auto"/>
          <w:spacing w:val="0"/>
          <w:w w:val="100"/>
          <w:kern w:val="2"/>
          <w:sz w:val="24"/>
          <w:szCs w:val="24"/>
          <w:highlight w:val="none"/>
          <w:lang w:val="en-US" w:eastAsia="zh-CN" w:bidi="ar-SA"/>
        </w:rPr>
        <w:t>3.9.1.道路绿化带养护标准</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总体标准：指道路绿化带养护的整体质量，内容有养护质量、树木存活率、设施维护、土肥标准、病虫害防治标准及管理标准。</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3.9.1.1.植物养护标准：按道路绿化带的立地条件，对植物进行特殊养护、精心养护，使植物健康生长，具有良好的道路景观。</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3.9.1.2.树木种植成活率标准：当年新栽植物成活率达95%以上，保存率98%以上，无缺株、死株。</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3.9.1.3.土肥标准：土壤疏松，无积水，种植土低于容器（或侧石）上沿5cm；充分利用有机肥，也可用复合肥，增强土壤肥力（要求一年施肥二次，有机肥或复合肥总量不少于0.5kg／㎡），其理化性状应符合下列规定：ph值为6.7—7.5之间；石砾粒径≤5cm（高架挂箱石砾粒径≤2cm），含量≤8%（w/w）；有机质含量≥25g/kg。</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3.9.1.4.病虫害防治标准：提倡综合防治，病虫害应控制在以不影响观赏效果的危害程度之内。</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3.9.1.5.道路绿化带的具体养管标准。</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（1）道路绿化带景观要求。</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（2）采用修剪等特殊手法，控制植物高度，植物高度不得影响交通视线。</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（3）特殊地段的景观应按设计精心养护，形成有特色的植物景观。整形植物必须及时修剪保持形态，悬垂植物生长健壮，及时通过修剪去除枯死枝和调整高度及生长密度，整体效果良好。</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（4）花卉花期整齐，株行距适宜，无空秃、色彩效果好。</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（5）绿带必须无裸地，可种植地被植物或草坪。</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（6）绿带内无枯枝残叶、无杂草，整洁无垃圾；每天冲洗一次以上，植物叶面无积尘。</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（7）辅助设施（包括支撑物和悬挂容器）必须安全、完好、整洁、美观。</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（8）道路绿化带及悬垂挂箱冬季浇水应注意不要让水溢出，避免造成路面结冰。</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3.9.3.6.道路绿化带养护作业必须穿着有反光条的工作服，做到文明作业，尽量减少对行车的干扰。</w:t>
      </w:r>
    </w:p>
    <w:p>
      <w:pPr>
        <w:snapToGrid w:val="0"/>
        <w:spacing w:line="360" w:lineRule="auto"/>
        <w:ind w:firstLine="482"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
          <w:i w:val="0"/>
          <w:caps w:val="0"/>
          <w:color w:val="auto"/>
          <w:spacing w:val="0"/>
          <w:w w:val="100"/>
          <w:kern w:val="2"/>
          <w:sz w:val="24"/>
          <w:szCs w:val="24"/>
          <w:highlight w:val="none"/>
          <w:lang w:val="en-US" w:eastAsia="zh-CN" w:bidi="ar-SA"/>
        </w:rPr>
        <w:t>3.9.2.</w:t>
      </w:r>
      <w:r>
        <w:rPr>
          <w:rFonts w:hint="eastAsia" w:ascii="宋体" w:hAnsi="宋体" w:eastAsia="宋体" w:cs="宋体"/>
          <w:bCs/>
          <w:color w:val="000000"/>
          <w:sz w:val="24"/>
          <w:highlight w:val="none"/>
          <w:lang w:val="en-US" w:eastAsia="zh-CN"/>
        </w:rPr>
        <w:t>养护管理其他要求：</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1）投标方在养护作业中投入的机械设备、人员配置等必须与投标文件中所承诺的数量规格相符合。加强日常作业质量管理，做好作业质量自查日记，按时报送工作报表，一般每月25日前将下月工作计划上报采购人。</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（2）规范管理、文明作业、自觉接受采购人及其上级各部门领导的检查和社会监督，对出现的问题要及时整改。</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3）作业时应严格遵守交通规则、遵守安全操作规程，作业人员上路作业时须统一穿戴安全反光背心。加强日常安全生产管理，确保职工人身安全。如遇各种意外事故发生由中标单位自行负责，并依照法律法规妥善处理（事故情况应及时书面告知采购人）。</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4）①对枯死的树木应连同根部在规定时间内挖除，并在挖除后3天内补种完毕，补种苗木的规格、品种和原苗木基本相同，特殊情况无法补种原规格苗木的，需经采购人同意。②建筑废弃物在接到通知后24小时内清理完毕并及时外运。③因养护企业巡查不力，遇到因人为或其它因素造成的苗木损坏，包括因重大活动造成的损坏，养护企业必须无条件在3天内补种完毕，如遇特殊情况无法及时补种，须经采购人同意。④未经采购人同意，中标单位不得擅自挖掘毁坏苗木，一经发现，责令整改，通报批评，情节严重的，终止合同。</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5）制定全年及每月绿地养护工作计划，主要包括绿地的各类养护措施（如施肥、修剪、病虫害防治、植物浇水等）、养护质量及安全保证、养护应急管理预案（抗旱、抗涝、抗台、抗寒、抗雪等）、重点技术措施等，并于中标后及时上报采购人。安排养护管理力量，制定劳动力计划表，做好突击性工作的应急安排等，落实专职养护人员名单，养护管理责任人名单。制定时花调换全年计划，包括图案设计方案、花卉品种、调换时间、养护管理等。</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（6）道路绿化中标后，应给每一个道路绿化工作人员购买人身意外伤害保险；</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（7）加强绿化养护应急响应管理工作，具体要求参照《杭州市城区绿化防台树木支撑工作方案》。</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①制定灾害性天气应急预案，建立应急救灾队伍，将应急预案和人员名单上报采购人备案。</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②建立应急备货制，备货的内容有：抗旱、抗涝、抗台、抗寒、抗雪等物资（支撑钢管、毛竹、水泵、遮阴网、草包等），快速支撑钢管只能做为一部分应急物资储备，不是唯一的抗台应急物资。</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 xml:space="preserve">③遇灾害性天气，听从采购人统一指挥，及时组织人员夏季抗旱、抗台，冬季遇积雪必须及时组织人员进行抗雪。遇到树木斜倒时，根据采购人要求，做好清障扶正工作。 </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④做好防台树木支撑工作，在市气象台发出台风预警信号以后，立即做好树木支撑工作。</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（8）中标单位根据采购人通知要求，做好各类“迎检”和“创建”准备工作。</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（9）经过园林绿化管理部门批准的绿地内挖掘及占用绿地时，中标单位应予以积极配合，复种后的绿地应由中标单位负责正常养护。</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（10）绿化养护期内产生的各种的垃圾必须进入垃圾中转站，其处理产生费用由中标单位负责。</w:t>
      </w:r>
    </w:p>
    <w:p>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（11）中标单位在养护管理期间，由于养管不力，采购人有权终止合同，并由中标单位承担一切责任。</w:t>
      </w:r>
    </w:p>
    <w:p>
      <w:pPr>
        <w:numPr>
          <w:ilvl w:val="0"/>
          <w:numId w:val="0"/>
        </w:numPr>
        <w:wordWrap/>
        <w:adjustRightInd/>
        <w:snapToGrid/>
        <w:spacing w:line="500" w:lineRule="exact"/>
        <w:ind w:left="-420" w:leftChars="-200" w:firstLine="843" w:firstLineChars="350"/>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4、市政养护招标范围及内容：</w:t>
      </w:r>
    </w:p>
    <w:p>
      <w:pPr>
        <w:pStyle w:val="3"/>
        <w:spacing w:beforeLines="0" w:afterLines="0"/>
        <w:ind w:firstLine="0"/>
        <w:jc w:val="center"/>
        <w:rPr>
          <w:rFonts w:hint="eastAsia"/>
          <w:lang w:eastAsia="zh-CN"/>
        </w:rPr>
      </w:pP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仓前街道文一西路以北区块市政养护明细表</w:t>
      </w:r>
    </w:p>
    <w:tbl>
      <w:tblPr>
        <w:tblStyle w:val="64"/>
        <w:tblpPr w:leftFromText="180" w:rightFromText="180" w:vertAnchor="text" w:horzAnchor="page" w:tblpX="1171" w:tblpY="480"/>
        <w:tblOverlap w:val="never"/>
        <w:tblW w:w="94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3"/>
        <w:gridCol w:w="589"/>
        <w:gridCol w:w="1136"/>
        <w:gridCol w:w="1995"/>
        <w:gridCol w:w="1661"/>
        <w:gridCol w:w="1623"/>
        <w:gridCol w:w="18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序号 </w:t>
            </w:r>
          </w:p>
        </w:tc>
        <w:tc>
          <w:tcPr>
            <w:tcW w:w="5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养护等级</w:t>
            </w: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道路名</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起止点</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长度(m)</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平均 </w:t>
            </w:r>
          </w:p>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宽度(m)</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道路及人行道面积</w:t>
            </w:r>
            <w:r>
              <w:rPr>
                <w:rFonts w:hint="eastAsia" w:ascii="宋体" w:hAnsi="宋体" w:eastAsia="宋体" w:cs="宋体"/>
                <w:color w:val="auto"/>
                <w:kern w:val="0"/>
                <w:sz w:val="21"/>
                <w:szCs w:val="21"/>
                <w:highlight w:val="none"/>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589" w:type="dxa"/>
            <w:vMerge w:val="restart"/>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二级市政</w:t>
            </w:r>
          </w:p>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养护标准</w:t>
            </w:r>
          </w:p>
        </w:tc>
        <w:tc>
          <w:tcPr>
            <w:tcW w:w="1136"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东莲街</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绿汀路-良睦路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2026</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14</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28356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vMerge w:val="continue"/>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绿晨路-绿汀路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1361</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15</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15320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科凯路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余杭塘路-文一西路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856</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16</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13696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vMerge w:val="continue"/>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文一西路-葛巷路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735</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16</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11525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向往街</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绿汀路-良睦路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2000</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28</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53700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vMerge w:val="continue"/>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良睦路-联创街</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1200</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29-35</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38060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龙潭路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绿汀路-东西大道</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1460</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18</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27880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vMerge w:val="continue"/>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创景路--绿汀路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767</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20</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13807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舒心路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余杭塘路-文一西路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1171</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28</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22360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创景路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东莲街-文一西路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1363</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24</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32722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景兴路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东莲街-文一西路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1380</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32</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45963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海鸥路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余杭塘路-向往街</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917</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12</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11385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云碧路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余杭塘路-良睦路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862</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12</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11095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联创街</w:t>
            </w:r>
          </w:p>
        </w:tc>
        <w:tc>
          <w:tcPr>
            <w:tcW w:w="1995"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良睦路-高教路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1005</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40</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35309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vMerge w:val="continue"/>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p>
        </w:tc>
        <w:tc>
          <w:tcPr>
            <w:tcW w:w="1995"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绿汀路-良睦路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2006</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20</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41150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创明路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文一西路-文二西路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966</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25</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22438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vMerge w:val="continue"/>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东莲街-文一西路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1500</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24</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34382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12</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宝瑞港路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余杭塘路-向往街</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460</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18</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8640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海创街</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绿汀路-龙园路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962</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12</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11544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龙泉路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绿晨路-绿汀路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1333</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14</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18230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龙舟路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东莲街-文一西路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986</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28</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24358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绿晨路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余杭塘路-东莲街</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220</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14</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2754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绿沙路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东莲街-余杭塘路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410</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16</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5807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景腾路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余杭塘路-东莲街</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120</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12</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憧憬路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龙潭路-双池街</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240</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18</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3825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亭后路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景兴路-向往街</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107</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15</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1605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业成街</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创景路-景兴路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475</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15</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7320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鸥翔街</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创景路-景兴路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281</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15</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4330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爱沙路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余杭塘路-联创街</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163</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13</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2185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27" w:type="dxa"/>
            <w:gridSpan w:val="6"/>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合计</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auto"/>
                <w:kern w:val="0"/>
                <w:sz w:val="21"/>
                <w:szCs w:val="21"/>
                <w:highlight w:val="none"/>
              </w:rPr>
              <w:t>551096</w:t>
            </w:r>
          </w:p>
        </w:tc>
      </w:tr>
    </w:tbl>
    <w:p>
      <w:pPr>
        <w:tabs>
          <w:tab w:val="left" w:pos="8400"/>
        </w:tabs>
        <w:spacing w:line="440" w:lineRule="exact"/>
        <w:ind w:firstLine="0" w:firstLineChars="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w:t>
      </w:r>
      <w:r>
        <w:rPr>
          <w:rFonts w:hint="eastAsia" w:ascii="宋体" w:hAnsi="宋体" w:cs="宋体"/>
          <w:b/>
          <w:bCs/>
          <w:color w:val="auto"/>
          <w:sz w:val="24"/>
          <w:highlight w:val="none"/>
          <w:lang w:val="en-US" w:eastAsia="zh-CN"/>
        </w:rPr>
        <w:t>市政养护</w:t>
      </w:r>
      <w:r>
        <w:rPr>
          <w:rFonts w:hint="eastAsia" w:ascii="宋体" w:hAnsi="宋体" w:eastAsia="宋体" w:cs="宋体"/>
          <w:b/>
          <w:bCs/>
          <w:color w:val="auto"/>
          <w:sz w:val="24"/>
          <w:highlight w:val="none"/>
          <w:lang w:val="zh-CN"/>
        </w:rPr>
        <w:t>采用费率招标</w:t>
      </w:r>
      <w:r>
        <w:rPr>
          <w:rFonts w:hint="eastAsia" w:ascii="宋体" w:hAnsi="宋体" w:eastAsia="宋体" w:cs="宋体"/>
          <w:b/>
          <w:bCs/>
          <w:color w:val="auto"/>
          <w:sz w:val="24"/>
          <w:highlight w:val="none"/>
          <w:lang w:val="en-US" w:eastAsia="zh-CN"/>
        </w:rPr>
        <w:t>(小数点后保留两位小数)</w:t>
      </w:r>
      <w:r>
        <w:rPr>
          <w:rFonts w:hint="eastAsia" w:ascii="宋体" w:hAnsi="宋体" w:eastAsia="宋体" w:cs="宋体"/>
          <w:b/>
          <w:bCs/>
          <w:color w:val="auto"/>
          <w:sz w:val="24"/>
          <w:highlight w:val="none"/>
          <w:lang w:val="zh-CN"/>
        </w:rPr>
        <w:t>，投标报价（费率）包括人工费、材料费、机械使用费、管理、利润、规费、税金等所有相关费用；</w:t>
      </w:r>
    </w:p>
    <w:p>
      <w:pPr>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snapToGrid w:val="0"/>
          <w:color w:val="auto"/>
          <w:kern w:val="0"/>
          <w:sz w:val="24"/>
          <w:highlight w:val="none"/>
          <w:lang w:eastAsia="zh-CN"/>
        </w:rPr>
      </w:pPr>
      <w:r>
        <w:rPr>
          <w:rFonts w:hint="eastAsia" w:ascii="宋体" w:hAnsi="宋体" w:eastAsia="宋体" w:cs="宋体"/>
          <w:b/>
          <w:bCs w:val="0"/>
          <w:color w:val="000000"/>
          <w:sz w:val="24"/>
          <w:szCs w:val="24"/>
          <w:highlight w:val="none"/>
          <w:lang w:val="en-US" w:eastAsia="zh-CN"/>
        </w:rPr>
        <w:t>4.1</w:t>
      </w:r>
      <w:r>
        <w:rPr>
          <w:rFonts w:hint="eastAsia" w:ascii="宋体" w:hAnsi="宋体" w:eastAsia="宋体" w:cs="宋体"/>
          <w:b/>
          <w:bCs/>
          <w:snapToGrid w:val="0"/>
          <w:color w:val="auto"/>
          <w:kern w:val="0"/>
          <w:sz w:val="24"/>
          <w:highlight w:val="none"/>
        </w:rPr>
        <w:t>养护内容</w:t>
      </w:r>
      <w:r>
        <w:rPr>
          <w:rFonts w:hint="eastAsia" w:ascii="宋体" w:hAnsi="宋体" w:eastAsia="宋体" w:cs="宋体"/>
          <w:b/>
          <w:bCs/>
          <w:snapToGrid w:val="0"/>
          <w:color w:val="auto"/>
          <w:kern w:val="0"/>
          <w:sz w:val="24"/>
          <w:highlight w:val="none"/>
          <w:lang w:eastAsia="zh-CN"/>
        </w:rPr>
        <w:t>：</w:t>
      </w:r>
    </w:p>
    <w:p>
      <w:pPr>
        <w:pStyle w:val="2"/>
        <w:ind w:left="0" w:leftChars="0" w:firstLine="0" w:firstLineChars="0"/>
        <w:rPr>
          <w:rFonts w:hint="eastAsia" w:ascii="宋体" w:hAnsi="宋体" w:eastAsia="宋体" w:cs="宋体"/>
          <w:highlight w:val="none"/>
          <w:lang w:val="en-US" w:eastAsia="zh-CN"/>
        </w:rPr>
      </w:pP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1、范围内的破损道路、侧石、人行道的维修及养护；</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2、缺失、破损窨井盖的更换与安装及养护；</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3、市政雨水管道、雨水检井等设施养护、市政排水管道及窨井淤泥清理外运及管道CCTV检测、检查井检修、雨水管道的疏通；并制作</w:t>
      </w:r>
      <w:r>
        <w:rPr>
          <w:rFonts w:hint="eastAsia" w:ascii="宋体" w:hAnsi="宋体" w:cs="宋体"/>
          <w:color w:val="000000"/>
          <w:sz w:val="24"/>
          <w:highlight w:val="none"/>
          <w:lang w:val="en-US" w:eastAsia="zh-CN"/>
        </w:rPr>
        <w:t>仓前</w:t>
      </w:r>
      <w:r>
        <w:rPr>
          <w:rFonts w:hint="eastAsia" w:ascii="宋体" w:hAnsi="宋体" w:eastAsia="宋体" w:cs="宋体"/>
          <w:color w:val="000000"/>
          <w:sz w:val="24"/>
          <w:highlight w:val="none"/>
          <w:lang w:val="en-US" w:eastAsia="zh-CN"/>
        </w:rPr>
        <w:t>街道城区雨水管道详细档案；</w:t>
      </w:r>
    </w:p>
    <w:p>
      <w:pPr>
        <w:snapToGrid w:val="0"/>
        <w:spacing w:line="360" w:lineRule="auto"/>
        <w:ind w:firstLine="480" w:firstLineChars="200"/>
        <w:jc w:val="left"/>
        <w:rPr>
          <w:rFonts w:hint="eastAsia" w:ascii="宋体" w:hAnsi="宋体" w:eastAsia="宋体" w:cs="宋体"/>
          <w:b/>
          <w:bCs w:val="0"/>
          <w:color w:val="000000"/>
          <w:sz w:val="24"/>
          <w:szCs w:val="24"/>
          <w:highlight w:val="none"/>
          <w:lang w:val="en-US" w:eastAsia="zh-CN"/>
        </w:rPr>
      </w:pPr>
      <w:r>
        <w:rPr>
          <w:rFonts w:hint="eastAsia" w:ascii="宋体" w:hAnsi="宋体" w:eastAsia="宋体" w:cs="宋体"/>
          <w:color w:val="000000"/>
          <w:sz w:val="24"/>
          <w:highlight w:val="none"/>
          <w:lang w:val="en-US" w:eastAsia="zh-CN"/>
        </w:rPr>
        <w:t>4、甲方委托的其它市政设施维修、管养工作。</w:t>
      </w:r>
    </w:p>
    <w:p>
      <w:pPr>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val="0"/>
          <w:color w:val="000000"/>
          <w:sz w:val="24"/>
          <w:szCs w:val="24"/>
          <w:highlight w:val="none"/>
          <w:lang w:val="en-US" w:eastAsia="zh-CN"/>
        </w:rPr>
        <w:t>4.2</w:t>
      </w:r>
      <w:r>
        <w:rPr>
          <w:rFonts w:hint="eastAsia" w:ascii="宋体" w:hAnsi="宋体" w:eastAsia="宋体" w:cs="宋体"/>
          <w:b/>
          <w:bCs w:val="0"/>
          <w:color w:val="000000"/>
          <w:sz w:val="24"/>
          <w:szCs w:val="24"/>
          <w:highlight w:val="none"/>
        </w:rPr>
        <w:t>二级市政设施养护标准</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路面养护标准：路面平整无裂缝，无坑洼、沉陷、堆积物；沥青路面线裂缝小于0.5cm；网裂、碎裂面积小于0.1㎡；沥青路面车辙、沉陷、拥包面积小于0.1㎡；沥青路面剥落、坑槽、啃边面积小于0.1㎡。</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人行道养护标准：人行道板铺砌平整，牢固稳定；侧石、平石整齐稳固，线型顺直；裂缝长度小于3m，宽度小于5mm；人行道下沉或拱起变形小于20mm，面积小于1㎡；人行道铺装材料统一，砌块及平侧石松动破碎面积小于0.1㎡。</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排水设施养护标准：排水设施完好，无阻水物，泄水孔畅通，无积水；排水管道通畅，积泥深度不超过1/3管径；雨水口蓖子不得高于路面影响进水；各类管线井框固定平稳，井盖与井框吻合，无破裂、缺失现象。</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城市桥梁设施养护标准：桥面平整，无坑洞、波浪；泄水孔无堵塞、损坏；伸缩缝无松动、破损；人行道、栏杆等设施无断裂；翼墙、侧墙无下沉变形；墩台与基础无滑动倾斜；支座完好，无锈蚀、脱位；钢梁构件无扭曲变形、油漆层无起皮脱落、腐蚀生锈等情况。</w:t>
      </w:r>
    </w:p>
    <w:p>
      <w:pPr>
        <w:pStyle w:val="2"/>
        <w:spacing w:beforeLines="0" w:afterLines="0"/>
        <w:rPr>
          <w:rFonts w:hint="eastAsia" w:ascii="宋体" w:hAnsi="宋体" w:eastAsia="宋体" w:cs="宋体"/>
          <w:b/>
          <w:color w:val="auto"/>
          <w:sz w:val="21"/>
          <w:szCs w:val="21"/>
          <w:highlight w:val="none"/>
          <w:lang w:eastAsia="zh-CN"/>
        </w:rPr>
      </w:pPr>
    </w:p>
    <w:p>
      <w:pPr>
        <w:spacing w:beforeLines="0" w:afterLines="0"/>
        <w:jc w:val="both"/>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sz w:val="24"/>
          <w:highlight w:val="none"/>
          <w:lang w:val="en-US" w:eastAsia="zh-CN"/>
        </w:rPr>
        <w:t>5、时花养护招标范围及内容：</w:t>
      </w:r>
      <w:r>
        <w:rPr>
          <w:rFonts w:hint="eastAsia" w:ascii="宋体" w:hAnsi="宋体" w:eastAsia="宋体" w:cs="宋体"/>
          <w:b/>
          <w:color w:val="auto"/>
          <w:kern w:val="0"/>
          <w:sz w:val="30"/>
          <w:szCs w:val="30"/>
          <w:highlight w:val="none"/>
          <w:lang w:val="en-US" w:eastAsia="zh-CN"/>
        </w:rPr>
        <w:t xml:space="preserve"> </w:t>
      </w:r>
    </w:p>
    <w:p>
      <w:pPr>
        <w:spacing w:beforeLines="0" w:afterLines="0"/>
        <w:jc w:val="both"/>
        <w:rPr>
          <w:rFonts w:hint="eastAsia" w:ascii="宋体" w:hAnsi="宋体" w:eastAsia="宋体" w:cs="宋体"/>
          <w:b/>
          <w:color w:val="auto"/>
          <w:kern w:val="0"/>
          <w:sz w:val="30"/>
          <w:szCs w:val="30"/>
          <w:highlight w:val="none"/>
          <w:lang w:val="en-US" w:eastAsia="zh-CN"/>
        </w:rPr>
      </w:pPr>
    </w:p>
    <w:p>
      <w:pPr>
        <w:spacing w:beforeLines="0" w:afterLines="0"/>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仓前街道文一西路以北区块时花明细表</w:t>
      </w:r>
    </w:p>
    <w:tbl>
      <w:tblPr>
        <w:tblStyle w:val="64"/>
        <w:tblW w:w="0" w:type="auto"/>
        <w:tblInd w:w="-4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96"/>
        <w:gridCol w:w="4040"/>
        <w:gridCol w:w="973"/>
        <w:gridCol w:w="973"/>
        <w:gridCol w:w="2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062" w:type="dxa"/>
            <w:gridSpan w:val="5"/>
            <w:tcBorders>
              <w:top w:val="nil"/>
              <w:left w:val="nil"/>
              <w:bottom w:val="nil"/>
              <w:right w:val="nil"/>
              <w:tl2br w:val="nil"/>
              <w:tr2bl w:val="nil"/>
            </w:tcBorders>
            <w:noWrap w:val="0"/>
            <w:vAlign w:val="center"/>
          </w:tcPr>
          <w:p>
            <w:pPr>
              <w:widowControl/>
              <w:spacing w:beforeLines="0" w:afterLines="0"/>
              <w:rPr>
                <w:rFonts w:hint="eastAsia" w:ascii="宋体" w:hAnsi="宋体" w:eastAsia="宋体" w:cs="宋体"/>
                <w:b/>
                <w:color w:val="auto"/>
                <w:kern w:val="0"/>
                <w:sz w:val="21"/>
                <w:highlight w:val="none"/>
              </w:rPr>
            </w:pPr>
            <w:r>
              <w:rPr>
                <w:rFonts w:hint="eastAsia" w:ascii="宋体" w:hAnsi="宋体" w:eastAsia="宋体" w:cs="宋体"/>
                <w:b/>
                <w:color w:val="auto"/>
                <w:kern w:val="0"/>
                <w:sz w:val="21"/>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b/>
                <w:color w:val="auto"/>
                <w:kern w:val="0"/>
                <w:sz w:val="21"/>
                <w:highlight w:val="none"/>
              </w:rPr>
            </w:pPr>
            <w:r>
              <w:rPr>
                <w:rFonts w:hint="eastAsia" w:ascii="宋体" w:hAnsi="宋体" w:eastAsia="宋体" w:cs="宋体"/>
                <w:b/>
                <w:color w:val="auto"/>
                <w:kern w:val="0"/>
                <w:sz w:val="21"/>
                <w:highlight w:val="none"/>
              </w:rPr>
              <w:t>序号</w:t>
            </w:r>
          </w:p>
        </w:tc>
        <w:tc>
          <w:tcPr>
            <w:tcW w:w="40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b/>
                <w:color w:val="auto"/>
                <w:kern w:val="0"/>
                <w:sz w:val="21"/>
                <w:highlight w:val="none"/>
              </w:rPr>
            </w:pPr>
            <w:r>
              <w:rPr>
                <w:rFonts w:hint="eastAsia" w:ascii="宋体" w:hAnsi="宋体" w:eastAsia="宋体" w:cs="宋体"/>
                <w:b/>
                <w:color w:val="auto"/>
                <w:kern w:val="0"/>
                <w:sz w:val="21"/>
                <w:highlight w:val="none"/>
              </w:rPr>
              <w:t>地址</w:t>
            </w:r>
          </w:p>
        </w:tc>
        <w:tc>
          <w:tcPr>
            <w:tcW w:w="9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b/>
                <w:color w:val="auto"/>
                <w:kern w:val="0"/>
                <w:sz w:val="21"/>
                <w:highlight w:val="none"/>
              </w:rPr>
            </w:pPr>
            <w:r>
              <w:rPr>
                <w:rFonts w:hint="eastAsia" w:ascii="宋体" w:hAnsi="宋体" w:eastAsia="宋体" w:cs="宋体"/>
                <w:b/>
                <w:color w:val="auto"/>
                <w:kern w:val="0"/>
                <w:sz w:val="21"/>
                <w:highlight w:val="none"/>
              </w:rPr>
              <w:t>名称</w:t>
            </w:r>
          </w:p>
        </w:tc>
        <w:tc>
          <w:tcPr>
            <w:tcW w:w="9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b/>
                <w:color w:val="auto"/>
                <w:kern w:val="0"/>
                <w:sz w:val="21"/>
                <w:highlight w:val="none"/>
              </w:rPr>
            </w:pPr>
            <w:r>
              <w:rPr>
                <w:rFonts w:hint="eastAsia" w:ascii="宋体" w:hAnsi="宋体" w:eastAsia="宋体" w:cs="宋体"/>
                <w:b/>
                <w:color w:val="auto"/>
                <w:kern w:val="0"/>
                <w:sz w:val="21"/>
                <w:highlight w:val="none"/>
              </w:rPr>
              <w:t>面积</w:t>
            </w:r>
            <w:r>
              <w:rPr>
                <w:rFonts w:hint="eastAsia" w:ascii="宋体" w:hAnsi="宋体" w:eastAsia="宋体" w:cs="宋体"/>
                <w:color w:val="auto"/>
                <w:kern w:val="0"/>
                <w:sz w:val="21"/>
                <w:highlight w:val="none"/>
              </w:rPr>
              <w:t>m2</w:t>
            </w:r>
          </w:p>
        </w:tc>
        <w:tc>
          <w:tcPr>
            <w:tcW w:w="2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b/>
                <w:color w:val="auto"/>
                <w:kern w:val="0"/>
                <w:sz w:val="21"/>
                <w:highlight w:val="none"/>
              </w:rPr>
            </w:pPr>
            <w:r>
              <w:rPr>
                <w:rFonts w:hint="eastAsia" w:ascii="宋体" w:hAnsi="宋体" w:eastAsia="宋体" w:cs="宋体"/>
                <w:b/>
                <w:color w:val="auto"/>
                <w:kern w:val="0"/>
                <w:sz w:val="21"/>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1</w:t>
            </w:r>
          </w:p>
        </w:tc>
        <w:tc>
          <w:tcPr>
            <w:tcW w:w="40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科凯路（文一西路-葛巷路）</w:t>
            </w:r>
          </w:p>
        </w:tc>
        <w:tc>
          <w:tcPr>
            <w:tcW w:w="9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花坛</w:t>
            </w:r>
          </w:p>
        </w:tc>
        <w:tc>
          <w:tcPr>
            <w:tcW w:w="9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235</w:t>
            </w:r>
          </w:p>
        </w:tc>
        <w:tc>
          <w:tcPr>
            <w:tcW w:w="2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color w:val="auto"/>
                <w:kern w:val="0"/>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2</w:t>
            </w:r>
          </w:p>
        </w:tc>
        <w:tc>
          <w:tcPr>
            <w:tcW w:w="40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向往街（绿汀路-良睦路）</w:t>
            </w:r>
          </w:p>
        </w:tc>
        <w:tc>
          <w:tcPr>
            <w:tcW w:w="9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花钵</w:t>
            </w:r>
            <w:r>
              <w:rPr>
                <w:rFonts w:hint="eastAsia" w:ascii="宋体" w:hAnsi="宋体" w:eastAsia="宋体" w:cs="宋体"/>
                <w:color w:val="auto"/>
                <w:kern w:val="0"/>
                <w:sz w:val="21"/>
                <w:highlight w:val="none"/>
                <w:lang w:eastAsia="zh-CN"/>
              </w:rPr>
              <w:t>、花坛</w:t>
            </w:r>
          </w:p>
        </w:tc>
        <w:tc>
          <w:tcPr>
            <w:tcW w:w="9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88</w:t>
            </w:r>
          </w:p>
        </w:tc>
        <w:tc>
          <w:tcPr>
            <w:tcW w:w="2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color w:val="auto"/>
                <w:kern w:val="0"/>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3</w:t>
            </w:r>
          </w:p>
        </w:tc>
        <w:tc>
          <w:tcPr>
            <w:tcW w:w="40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向往街（良睦路-联创街）</w:t>
            </w:r>
          </w:p>
        </w:tc>
        <w:tc>
          <w:tcPr>
            <w:tcW w:w="9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花坛</w:t>
            </w:r>
          </w:p>
        </w:tc>
        <w:tc>
          <w:tcPr>
            <w:tcW w:w="9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100</w:t>
            </w:r>
          </w:p>
        </w:tc>
        <w:tc>
          <w:tcPr>
            <w:tcW w:w="2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color w:val="auto"/>
                <w:kern w:val="0"/>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4</w:t>
            </w:r>
          </w:p>
        </w:tc>
        <w:tc>
          <w:tcPr>
            <w:tcW w:w="40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舒心路（余杭塘路-文一西路）</w:t>
            </w:r>
          </w:p>
        </w:tc>
        <w:tc>
          <w:tcPr>
            <w:tcW w:w="9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花坛</w:t>
            </w:r>
          </w:p>
        </w:tc>
        <w:tc>
          <w:tcPr>
            <w:tcW w:w="9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50</w:t>
            </w:r>
          </w:p>
        </w:tc>
        <w:tc>
          <w:tcPr>
            <w:tcW w:w="2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color w:val="auto"/>
                <w:kern w:val="0"/>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5</w:t>
            </w:r>
          </w:p>
        </w:tc>
        <w:tc>
          <w:tcPr>
            <w:tcW w:w="40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联创街（良睦路-高教路）</w:t>
            </w:r>
          </w:p>
        </w:tc>
        <w:tc>
          <w:tcPr>
            <w:tcW w:w="9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花坛</w:t>
            </w:r>
          </w:p>
        </w:tc>
        <w:tc>
          <w:tcPr>
            <w:tcW w:w="9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68</w:t>
            </w:r>
          </w:p>
        </w:tc>
        <w:tc>
          <w:tcPr>
            <w:tcW w:w="2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color w:val="auto"/>
                <w:kern w:val="0"/>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6</w:t>
            </w:r>
          </w:p>
        </w:tc>
        <w:tc>
          <w:tcPr>
            <w:tcW w:w="40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联创街（绿汀路-良睦路）</w:t>
            </w:r>
          </w:p>
        </w:tc>
        <w:tc>
          <w:tcPr>
            <w:tcW w:w="9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lang w:val="en-US" w:eastAsia="zh-CN"/>
              </w:rPr>
              <w:t>花坛</w:t>
            </w:r>
          </w:p>
        </w:tc>
        <w:tc>
          <w:tcPr>
            <w:tcW w:w="9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95</w:t>
            </w:r>
          </w:p>
        </w:tc>
        <w:tc>
          <w:tcPr>
            <w:tcW w:w="2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color w:val="auto"/>
                <w:kern w:val="0"/>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7</w:t>
            </w:r>
          </w:p>
        </w:tc>
        <w:tc>
          <w:tcPr>
            <w:tcW w:w="40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创明路（文一西路-文二西路）</w:t>
            </w:r>
          </w:p>
        </w:tc>
        <w:tc>
          <w:tcPr>
            <w:tcW w:w="9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花坛</w:t>
            </w:r>
          </w:p>
        </w:tc>
        <w:tc>
          <w:tcPr>
            <w:tcW w:w="9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58</w:t>
            </w:r>
          </w:p>
        </w:tc>
        <w:tc>
          <w:tcPr>
            <w:tcW w:w="2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color w:val="auto"/>
                <w:kern w:val="0"/>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96" w:type="dxa"/>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合计</w:t>
            </w:r>
          </w:p>
        </w:tc>
        <w:tc>
          <w:tcPr>
            <w:tcW w:w="4040"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auto"/>
                <w:sz w:val="21"/>
                <w:highlight w:val="none"/>
              </w:rPr>
            </w:pPr>
          </w:p>
        </w:tc>
        <w:tc>
          <w:tcPr>
            <w:tcW w:w="973"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auto"/>
                <w:sz w:val="21"/>
                <w:highlight w:val="none"/>
              </w:rPr>
            </w:pPr>
          </w:p>
        </w:tc>
        <w:tc>
          <w:tcPr>
            <w:tcW w:w="973"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694</w:t>
            </w:r>
          </w:p>
        </w:tc>
        <w:tc>
          <w:tcPr>
            <w:tcW w:w="2380"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auto"/>
                <w:sz w:val="21"/>
                <w:highlight w:val="none"/>
              </w:rPr>
            </w:pPr>
          </w:p>
        </w:tc>
      </w:tr>
    </w:tbl>
    <w:p>
      <w:pPr>
        <w:wordWrap/>
        <w:spacing w:line="500" w:lineRule="exact"/>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5.3时花花坛的养护标准：</w:t>
      </w:r>
    </w:p>
    <w:p>
      <w:pPr>
        <w:pStyle w:val="967"/>
        <w:rPr>
          <w:rFonts w:hint="eastAsia" w:ascii="宋体" w:hAnsi="宋体" w:eastAsia="宋体" w:cs="宋体"/>
          <w:highlight w:val="none"/>
          <w:lang w:val="en-US" w:eastAsia="zh-CN"/>
        </w:rPr>
      </w:pP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（1）布置效果：按设计精心养护，有全年用花计划，做到四季有花，花期整齐，图案美观，布置效果良好。</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（2）花卉生长：花卉植株生长健壮，花色艳丽，始花期方可上花坛种植，株行距适宜，不露底土。无缺株倒伏，无枯枝残花，无杂草垃圾。</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5.4参照《杭州市城区花坛、花境养护管理规定（试行）》，加强对花卉的养护管理。</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 xml:space="preserve">5.5时花更换全年至少为六次，在每一次更换时必须要将时花品种、数量（时花种植每平方不得少于49株、中盆）方案事先向招标方报备，由招标方确定种植方案，否则将作无更换时花处理，种后由招标方现场验收签字确定。 </w:t>
      </w:r>
    </w:p>
    <w:p>
      <w:pPr>
        <w:spacing w:beforeLines="0" w:afterLines="0"/>
        <w:jc w:val="both"/>
        <w:rPr>
          <w:rFonts w:hint="eastAsia" w:ascii="宋体" w:hAnsi="宋体" w:eastAsia="宋体" w:cs="宋体"/>
          <w:b/>
          <w:color w:val="auto"/>
          <w:sz w:val="24"/>
          <w:highlight w:val="none"/>
          <w:lang w:val="en-US" w:eastAsia="zh-CN"/>
        </w:rPr>
      </w:pPr>
    </w:p>
    <w:p>
      <w:pPr>
        <w:pStyle w:val="2"/>
        <w:rPr>
          <w:rFonts w:hint="eastAsia" w:ascii="宋体" w:hAnsi="宋体" w:eastAsia="宋体" w:cs="宋体"/>
          <w:highlight w:val="none"/>
          <w:lang w:val="en-US" w:eastAsia="zh-CN"/>
        </w:rPr>
      </w:pPr>
    </w:p>
    <w:p>
      <w:pPr>
        <w:spacing w:beforeLines="0" w:afterLines="0"/>
        <w:jc w:val="both"/>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sz w:val="24"/>
          <w:highlight w:val="none"/>
          <w:lang w:val="en-US" w:eastAsia="zh-CN"/>
        </w:rPr>
        <w:t>6、公厕保洁招标范围及内容：</w:t>
      </w:r>
      <w:r>
        <w:rPr>
          <w:rFonts w:hint="eastAsia" w:ascii="宋体" w:hAnsi="宋体" w:eastAsia="宋体" w:cs="宋体"/>
          <w:b/>
          <w:color w:val="auto"/>
          <w:kern w:val="0"/>
          <w:sz w:val="30"/>
          <w:szCs w:val="30"/>
          <w:highlight w:val="none"/>
          <w:lang w:val="en-US" w:eastAsia="zh-CN"/>
        </w:rPr>
        <w:t xml:space="preserve"> </w:t>
      </w:r>
    </w:p>
    <w:p>
      <w:pPr>
        <w:spacing w:beforeLines="0" w:afterLines="0"/>
        <w:jc w:val="center"/>
        <w:rPr>
          <w:rFonts w:hint="eastAsia" w:ascii="宋体" w:hAnsi="宋体" w:eastAsia="宋体" w:cs="宋体"/>
          <w:b/>
          <w:color w:val="auto"/>
          <w:kern w:val="0"/>
          <w:sz w:val="30"/>
          <w:szCs w:val="30"/>
          <w:highlight w:val="none"/>
        </w:rPr>
      </w:pPr>
    </w:p>
    <w:p>
      <w:pPr>
        <w:spacing w:beforeLines="0" w:afterLines="0"/>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仓前街道文一西路以北区块公厕保洁明细表</w:t>
      </w:r>
    </w:p>
    <w:tbl>
      <w:tblPr>
        <w:tblStyle w:val="64"/>
        <w:tblpPr w:leftFromText="180" w:rightFromText="180" w:vertAnchor="text" w:horzAnchor="page" w:tblpX="1404" w:tblpY="259"/>
        <w:tblOverlap w:val="never"/>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4023"/>
        <w:gridCol w:w="1950"/>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8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402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公厕名称</w:t>
            </w:r>
          </w:p>
        </w:tc>
        <w:tc>
          <w:tcPr>
            <w:tcW w:w="195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类别</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eastAsia="宋体" w:cs="宋体"/>
                <w:b/>
                <w:color w:val="auto"/>
                <w:kern w:val="0"/>
                <w:sz w:val="24"/>
                <w:szCs w:val="24"/>
                <w:highlight w:val="none"/>
              </w:rPr>
            </w:pPr>
            <w:r>
              <w:rPr>
                <w:rFonts w:hint="eastAsia" w:asciiTheme="majorEastAsia" w:hAnsiTheme="majorEastAsia" w:eastAsiaTheme="majorEastAsia" w:cstheme="majorEastAsia"/>
                <w:b/>
                <w:color w:val="auto"/>
                <w:kern w:val="0"/>
                <w:sz w:val="24"/>
                <w:szCs w:val="24"/>
                <w:highlight w:val="none"/>
              </w:rPr>
              <w:t>时间（</w:t>
            </w:r>
            <w:r>
              <w:rPr>
                <w:rFonts w:hint="eastAsia" w:asciiTheme="majorEastAsia" w:hAnsiTheme="majorEastAsia" w:eastAsiaTheme="majorEastAsia" w:cstheme="majorEastAsia"/>
                <w:b/>
                <w:color w:val="auto"/>
                <w:kern w:val="0"/>
                <w:sz w:val="24"/>
                <w:szCs w:val="24"/>
                <w:highlight w:val="none"/>
                <w:lang w:eastAsia="zh-CN"/>
              </w:rPr>
              <w:t>年</w:t>
            </w:r>
            <w:r>
              <w:rPr>
                <w:rFonts w:hint="eastAsia" w:asciiTheme="majorEastAsia" w:hAnsiTheme="majorEastAsia" w:eastAsiaTheme="majorEastAsia" w:cstheme="majorEastAsia"/>
                <w:b/>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0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闲林港一号公厕</w:t>
            </w:r>
          </w:p>
        </w:tc>
        <w:tc>
          <w:tcPr>
            <w:tcW w:w="19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tLeas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0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闲林港二号公厕</w:t>
            </w:r>
          </w:p>
        </w:tc>
        <w:tc>
          <w:tcPr>
            <w:tcW w:w="19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0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闲林港三号公厕</w:t>
            </w:r>
          </w:p>
        </w:tc>
        <w:tc>
          <w:tcPr>
            <w:tcW w:w="19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0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红卫港公厕</w:t>
            </w:r>
          </w:p>
        </w:tc>
        <w:tc>
          <w:tcPr>
            <w:tcW w:w="19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0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双创中心公厕</w:t>
            </w:r>
          </w:p>
        </w:tc>
        <w:tc>
          <w:tcPr>
            <w:tcW w:w="19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40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中央公园公厕</w:t>
            </w:r>
          </w:p>
        </w:tc>
        <w:tc>
          <w:tcPr>
            <w:tcW w:w="19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40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新桥港公厕</w:t>
            </w:r>
          </w:p>
        </w:tc>
        <w:tc>
          <w:tcPr>
            <w:tcW w:w="19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r>
    </w:tbl>
    <w:p>
      <w:pPr>
        <w:spacing w:beforeLines="0" w:afterLines="0"/>
        <w:rPr>
          <w:rFonts w:hint="eastAsia" w:ascii="宋体" w:hAnsi="宋体" w:eastAsia="宋体" w:cs="宋体"/>
          <w:sz w:val="21"/>
          <w:szCs w:val="24"/>
          <w:highlight w:val="none"/>
        </w:rPr>
      </w:pPr>
    </w:p>
    <w:p>
      <w:pPr>
        <w:keepLines w:val="0"/>
        <w:pageBreakBefore w:val="0"/>
        <w:kinsoku/>
        <w:wordWrap/>
        <w:overflowPunct/>
        <w:topLinePunct w:val="0"/>
        <w:autoSpaceDE/>
        <w:autoSpaceDN/>
        <w:bidi w:val="0"/>
        <w:adjustRightInd/>
        <w:snapToGrid/>
        <w:spacing w:line="600" w:lineRule="atLeas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6.1</w:t>
      </w:r>
      <w:r>
        <w:rPr>
          <w:rFonts w:hint="eastAsia" w:ascii="宋体" w:hAnsi="宋体" w:eastAsia="宋体" w:cs="宋体"/>
          <w:b/>
          <w:bCs/>
          <w:color w:val="auto"/>
          <w:sz w:val="24"/>
          <w:szCs w:val="24"/>
          <w:highlight w:val="none"/>
        </w:rPr>
        <w:t>公厕管理质量要求和管理时间</w:t>
      </w:r>
    </w:p>
    <w:p>
      <w:pPr>
        <w:pStyle w:val="967"/>
        <w:rPr>
          <w:rFonts w:hint="eastAsia" w:ascii="宋体" w:hAnsi="宋体" w:eastAsia="宋体" w:cs="宋体"/>
          <w:highlight w:val="none"/>
        </w:rPr>
      </w:pP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6.1.1、管理人员和开放时间要求</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6.1.1.1现有公厕 7座，需配备保洁人员不少于14人。标准公厕7座，16小时保洁，人员不少14人，公厕实行免费开放，不得计费，且公厕内不得出现任何经营性行为；</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6.1.1.2公厕内失物应交还失主，未见失主的应交公处理；</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6.1.1.3工作人员要尊重游客和上厕人员，不得与其发生冲突；</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6.1.1.4公厕的管理制度及保洁制度按规定公示；</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6.1.1.5公厕内所产生的垃圾必须每天运到指定的垃圾中转站进行处理。</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6.1.2、公厕内设施的维护要求</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6.1.2.1公厕内设施出现破坏的，承包方要组织维修人员在2日内完成修复或更换；</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6.1.2.2供水、供电、排水、通风等设备完好，有效保证使用，除险问题的必须12小时以内修复；</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6.1.2.3墙壁、地面、隔断板、洗手台、门窗、便器、开关、手柄、门锁等设施损坏的必须要在两天内修复或更换；</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6.1.2.4公厕内设置的标志保持清洁、完整、规范如出现破损的，必须在2小时以内修复或更换。</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6.1.3、清掏公厕（包括化粪池）要求，每年清理化粪池不少于2次（6月和12月各一次）。</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6.1.3.1随时清掏粪便不得外溢；</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6.1.3.2清掏时不得泄漏、遗撒；</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6.1.3.3清掏的废物承包方应按照规定运往粪便无害化处理部门进行无害化处理，并向甲方出示有关无害化处理单据证明，不得乱排乱倒。</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6.1.4、公厕保洁要求</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6.1.4.1地面保洁无污物，清洗冲刷地面时应设置国家规定的防滑志；</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6.1.4.2墙壁、门窗、隔断板等整洁无乱涂乱画等污迹物；</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6.1.4.3便器及时冲刷，无粪迹、尿迹和其他污物；</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6.1.4.4定时喷洒灭蚊蝇药物，做到随有随灭；</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6.1.4.5纸篓无污迹、无隔夜垃圾；</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6.1.4.6空气流通无臭味；</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6.1.4.7厕所设施和工具摆放有序，干净整洁；</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6.1.4.8按照规定时间、地点和方式倾倒废物；</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6.1.4.9外墙屋顶及卫生负责区内环境整洁无杂物。</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6.1.5、人员要求</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6.1.5.1人员必须身体健康、年龄男性须小于60周岁，女性须小于55周岁；</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6.1.5.2工作人员上岗前必须经过培训；</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6.1.6、机械设备要求</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6.1.6.1投标单位自行解决作业工具、设备及保洁用品。车辆产生的养路费、油费、水费、维护费等一切费用由投标单位自理。</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6.1.7、台帐资料管理</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6.1.7.1中标单位年度、季度、月度有报表、工作计划，年终有总结；</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6.1.7.2中标单位与主管单位有工作联系单制度和工作落实情况记录；</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6.1.7.3中标单位本着以保证环卫保洁管理项目达到优良的标准进行管理，应建立系统、健全的业务管理制度和标准作业规范，加强对作业队伍和作业机械的管理，分工明确，认真落实质量岗位责任制，各项基础设施台帐资料齐全，真实可信，并如实上报；</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6.1.7.4中标单位要建立巡查制度，完善巡查日报，建立月报制度。</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6.1.8、组织管理</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6.1.8.1环卫保洁工作由街道环卫所统一管理，保洁经费纳入财政预算。应制定相关管理制度，负责日常监管和年度考核等工作；</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6.1.8.2中标单位应强化内部作业和管理制度，加强对内部人员的安全和责任教育，建立完善的作业和巡查登记制度，强化责任考核和整改制度，自觉接受政府、媒体和社会团体的监督；</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6.1.8.3各社区、企事业和个人对环卫保洁工作负有监管责任。</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6.1.9、其他</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6.1.9.1承包方必须按照杭州市地方标准规范〈公共厕所保洁与服务规范〉DB3301/T 74-2016、〈余杭区城市化管理范围内绿化、市政、保洁分级分类办法及相关养护标准的实施意见（试行）〉（余政办[2011]250号）、〈余杭区城市化管理范围内市政设施、公建绿地、环卫保洁管理工作考核办法（试行）〉（余政办[2011]257号）和本招标文件进行作业。如在合同期内，行业主管部门颁发新的检查考核标准则以最新文件标准作业，合同金额不予调整。</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6.1.9.2作业人员上岗必须参加养老、人身意外等保险。其中人身意外险必须在签订合同后一个月内办理完毕并提交招标人审核，否则招标人有权终止合同，各种意外伤亡事故，均由承包人自行解决，发包人概不负责；</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6.1.9.3如需车辆作业时遵守交通管理法规，保证安全。确保车辆整洁，设施完好，密闭运输，如有破损及时修复。发生各种意外事故由承包方自行解决，所产生的费用全部由承包方自行承担；</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6.1.9.4鼓励使用本地区的失地或下岗人员，在同等条件下给予优先考虑；</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6.1.9.5规范管理，文明作业，自觉接受城管部门、各级领导的检查和社会舆论的监督；</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6.1.9.6上述保洁标准及要求中未明确的事项按杭州市地方标准规范〈公共厕所保洁与服务规范〉DB3301/T 74-2016、〈余杭区城市化管理范围内绿化、市政、保洁分级分类办法及相关养护标准的实施意见（试行）〉（余政办[2011]250号）、〈余杭区城市化管理范围内市政设施、公建绿地、环卫保洁管理工作考核办法（试行）〉（余政办[2011]257号）执行。</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6.1.10、具体管理要求：</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6.1.10.1、清洁公司责任到人，全日开放，方便群众，优质服务；</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6.2.10.2、照明，供水排水设施完好，如有损坏，及时修复，以保证居民正常使用；</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6.1.10.3、工具、物品等摆放整齐；</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6.1.10.4、所有公厕对公民实行免费；</w:t>
      </w:r>
    </w:p>
    <w:p>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6.1.10.5、公厕指示牌、标志牌等规范齐全；</w:t>
      </w:r>
    </w:p>
    <w:p>
      <w:pPr>
        <w:snapToGrid w:val="0"/>
        <w:spacing w:line="360" w:lineRule="auto"/>
        <w:ind w:firstLine="480" w:firstLineChars="200"/>
        <w:jc w:val="left"/>
        <w:rPr>
          <w:rFonts w:hint="eastAsia" w:ascii="宋体" w:hAnsi="宋体" w:eastAsia="宋体" w:cs="宋体"/>
          <w:highlight w:val="none"/>
          <w:lang w:val="en-US" w:eastAsia="zh-CN"/>
        </w:rPr>
      </w:pPr>
      <w:r>
        <w:rPr>
          <w:rFonts w:hint="eastAsia" w:ascii="宋体" w:hAnsi="宋体" w:eastAsia="宋体" w:cs="宋体"/>
          <w:color w:val="000000"/>
          <w:sz w:val="24"/>
          <w:highlight w:val="none"/>
          <w:lang w:val="en-US" w:eastAsia="zh-CN"/>
        </w:rPr>
        <w:t>6.1.10.6公厕内需有厕纸、垃圾袋、除臭液、清洁用品等易耗品</w:t>
      </w:r>
    </w:p>
    <w:p>
      <w:pPr>
        <w:wordWrap/>
        <w:spacing w:line="500" w:lineRule="exact"/>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lang w:eastAsia="zh-CN"/>
        </w:rPr>
        <w:t>三</w:t>
      </w:r>
      <w:r>
        <w:rPr>
          <w:rFonts w:hint="eastAsia" w:ascii="宋体" w:hAnsi="宋体" w:eastAsia="宋体" w:cs="宋体"/>
          <w:b/>
          <w:color w:val="auto"/>
          <w:kern w:val="0"/>
          <w:sz w:val="24"/>
          <w:highlight w:val="none"/>
        </w:rPr>
        <w:t>、承包期限：</w:t>
      </w:r>
      <w:r>
        <w:rPr>
          <w:rFonts w:hint="eastAsia" w:ascii="宋体" w:hAnsi="宋体" w:eastAsia="宋体" w:cs="宋体"/>
          <w:snapToGrid w:val="0"/>
          <w:color w:val="auto"/>
          <w:kern w:val="0"/>
          <w:sz w:val="24"/>
          <w:highlight w:val="none"/>
        </w:rPr>
        <w:t>自合同签订日起贰</w:t>
      </w:r>
      <w:r>
        <w:rPr>
          <w:rFonts w:hint="eastAsia" w:ascii="宋体" w:hAnsi="宋体" w:eastAsia="宋体" w:cs="宋体"/>
          <w:snapToGrid w:val="0"/>
          <w:color w:val="auto"/>
          <w:kern w:val="0"/>
          <w:sz w:val="24"/>
          <w:highlight w:val="none"/>
          <w:lang w:eastAsia="zh-CN"/>
        </w:rPr>
        <w:t>年。</w:t>
      </w:r>
    </w:p>
    <w:p>
      <w:pPr>
        <w:wordWrap/>
        <w:spacing w:line="500" w:lineRule="exact"/>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lang w:val="en-US" w:eastAsia="zh-CN"/>
        </w:rPr>
        <w:t>1、</w:t>
      </w:r>
      <w:r>
        <w:rPr>
          <w:rFonts w:hint="eastAsia" w:ascii="宋体" w:hAnsi="宋体" w:eastAsia="宋体" w:cs="宋体"/>
          <w:snapToGrid w:val="0"/>
          <w:color w:val="auto"/>
          <w:kern w:val="0"/>
          <w:sz w:val="24"/>
          <w:highlight w:val="none"/>
        </w:rPr>
        <w:t>若在合同期内乙方有严重违约行为，甲方有权提前终止合同，由此造成的一切后果和损失由乙方承担。</w:t>
      </w:r>
    </w:p>
    <w:p>
      <w:pPr>
        <w:wordWrap/>
        <w:spacing w:line="500" w:lineRule="exact"/>
        <w:textAlignment w:val="auto"/>
        <w:rPr>
          <w:rFonts w:hint="eastAsia"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val="en-US" w:eastAsia="zh-CN"/>
        </w:rPr>
        <w:t>2、</w:t>
      </w:r>
      <w:r>
        <w:rPr>
          <w:rFonts w:hint="eastAsia" w:ascii="宋体" w:hAnsi="宋体" w:eastAsia="宋体" w:cs="宋体"/>
          <w:snapToGrid w:val="0"/>
          <w:color w:val="auto"/>
          <w:kern w:val="0"/>
          <w:sz w:val="24"/>
          <w:highlight w:val="none"/>
          <w:lang w:eastAsia="zh-CN"/>
        </w:rPr>
        <w:t>本项目不得分包或者转包，一旦发现分包或转包现象，</w:t>
      </w:r>
      <w:r>
        <w:rPr>
          <w:rFonts w:hint="eastAsia" w:ascii="宋体" w:hAnsi="宋体" w:eastAsia="宋体" w:cs="宋体"/>
          <w:snapToGrid w:val="0"/>
          <w:color w:val="auto"/>
          <w:kern w:val="0"/>
          <w:sz w:val="24"/>
          <w:highlight w:val="none"/>
        </w:rPr>
        <w:t>甲方有权提前终止合同，由此造成的一切后果和损失由乙方承担。</w:t>
      </w:r>
    </w:p>
    <w:p>
      <w:pPr>
        <w:spacing w:line="600" w:lineRule="exact"/>
        <w:outlineLvl w:val="0"/>
        <w:rPr>
          <w:rFonts w:hint="eastAsia" w:ascii="宋体" w:hAnsi="宋体" w:eastAsia="宋体" w:cs="宋体"/>
          <w:b/>
          <w:bCs/>
          <w:color w:val="auto"/>
          <w:sz w:val="24"/>
          <w:highlight w:val="none"/>
          <w:lang w:val="zh-CN" w:eastAsia="zh-CN"/>
        </w:rPr>
      </w:pPr>
      <w:r>
        <w:rPr>
          <w:rFonts w:hint="eastAsia" w:ascii="宋体" w:hAnsi="宋体" w:eastAsia="宋体" w:cs="宋体"/>
          <w:b/>
          <w:bCs/>
          <w:color w:val="auto"/>
          <w:sz w:val="24"/>
          <w:highlight w:val="none"/>
          <w:lang w:val="en-US" w:eastAsia="zh-CN"/>
        </w:rPr>
        <w:t>四</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拟投入人员、设施配备最低要求配备表</w:t>
      </w:r>
    </w:p>
    <w:p>
      <w:pPr>
        <w:pStyle w:val="967"/>
        <w:spacing w:line="600" w:lineRule="exact"/>
        <w:ind w:firstLine="723" w:firstLineChars="300"/>
        <w:jc w:val="both"/>
        <w:rPr>
          <w:rFonts w:hint="eastAsia" w:ascii="宋体" w:hAnsi="宋体" w:eastAsia="宋体" w:cs="宋体"/>
          <w:b/>
          <w:bCs/>
          <w:color w:val="auto"/>
          <w:szCs w:val="24"/>
          <w:highlight w:val="none"/>
          <w:lang w:val="en-US"/>
        </w:rPr>
      </w:pPr>
      <w:r>
        <w:rPr>
          <w:rFonts w:hint="eastAsia" w:ascii="华文仿宋" w:hAnsi="华文仿宋" w:eastAsia="华文仿宋" w:cs="宋体"/>
          <w:b/>
          <w:sz w:val="24"/>
          <w:highlight w:val="none"/>
        </w:rPr>
        <w:t>▲</w:t>
      </w:r>
      <w:r>
        <w:rPr>
          <w:rFonts w:hint="eastAsia" w:ascii="宋体" w:hAnsi="宋体" w:eastAsia="宋体" w:cs="宋体"/>
          <w:b/>
          <w:bCs/>
          <w:color w:val="auto"/>
          <w:szCs w:val="24"/>
          <w:highlight w:val="none"/>
          <w:lang w:val="en-US" w:eastAsia="zh-CN"/>
        </w:rPr>
        <w:t>1、</w:t>
      </w:r>
      <w:r>
        <w:rPr>
          <w:rFonts w:hint="eastAsia" w:ascii="宋体" w:hAnsi="宋体" w:eastAsia="宋体" w:cs="宋体"/>
          <w:b/>
          <w:bCs/>
          <w:color w:val="auto"/>
          <w:szCs w:val="24"/>
          <w:highlight w:val="none"/>
          <w:lang w:val="en-US"/>
        </w:rPr>
        <w:t>拟投入人员配置表</w:t>
      </w:r>
    </w:p>
    <w:tbl>
      <w:tblPr>
        <w:tblStyle w:val="64"/>
        <w:tblW w:w="913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115"/>
        <w:gridCol w:w="2865"/>
        <w:gridCol w:w="1648"/>
        <w:gridCol w:w="35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1115" w:type="dxa"/>
            <w:noWrap w:val="0"/>
            <w:vAlign w:val="center"/>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2865" w:type="dxa"/>
            <w:noWrap w:val="0"/>
            <w:vAlign w:val="center"/>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人员配备工种</w:t>
            </w:r>
          </w:p>
        </w:tc>
        <w:tc>
          <w:tcPr>
            <w:tcW w:w="1648" w:type="dxa"/>
            <w:noWrap w:val="0"/>
            <w:vAlign w:val="center"/>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数量</w:t>
            </w:r>
          </w:p>
        </w:tc>
        <w:tc>
          <w:tcPr>
            <w:tcW w:w="3504" w:type="dxa"/>
            <w:noWrap w:val="0"/>
            <w:vAlign w:val="center"/>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资格要求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9132" w:type="dxa"/>
            <w:gridSpan w:val="4"/>
            <w:noWrap w:val="0"/>
            <w:vAlign w:val="center"/>
          </w:tcPr>
          <w:p>
            <w:pPr>
              <w:jc w:val="center"/>
              <w:rPr>
                <w:rFonts w:hint="eastAsia" w:ascii="宋体" w:hAnsi="宋体" w:eastAsia="宋体" w:cs="宋体"/>
                <w:b/>
                <w:bCs/>
                <w:color w:val="auto"/>
                <w:sz w:val="24"/>
                <w:szCs w:val="22"/>
                <w:highlight w:val="none"/>
              </w:rPr>
            </w:pPr>
            <w:r>
              <w:rPr>
                <w:rFonts w:hint="eastAsia" w:ascii="宋体" w:hAnsi="宋体" w:eastAsia="宋体" w:cs="宋体"/>
                <w:b/>
                <w:bCs/>
                <w:color w:val="auto"/>
                <w:sz w:val="24"/>
                <w:highlight w:val="none"/>
                <w:lang w:val="en-US" w:eastAsia="zh-CN"/>
              </w:rPr>
              <w:t>道路保洁</w:t>
            </w:r>
            <w:r>
              <w:rPr>
                <w:rFonts w:hint="eastAsia" w:ascii="宋体" w:hAnsi="宋体" w:eastAsia="宋体" w:cs="宋体"/>
                <w:b/>
                <w:bCs/>
                <w:color w:val="auto"/>
                <w:sz w:val="24"/>
                <w:highlight w:val="none"/>
              </w:rPr>
              <w:t>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1115"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865" w:type="dxa"/>
            <w:noWrap w:val="0"/>
            <w:vAlign w:val="center"/>
          </w:tcPr>
          <w:p>
            <w:pPr>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道路保洁</w:t>
            </w:r>
            <w:r>
              <w:rPr>
                <w:rFonts w:hint="eastAsia" w:ascii="宋体" w:hAnsi="宋体" w:eastAsia="宋体" w:cs="宋体"/>
                <w:color w:val="auto"/>
                <w:sz w:val="24"/>
                <w:szCs w:val="22"/>
                <w:highlight w:val="none"/>
              </w:rPr>
              <w:t>项目负责人</w:t>
            </w:r>
          </w:p>
        </w:tc>
        <w:tc>
          <w:tcPr>
            <w:tcW w:w="164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1人</w:t>
            </w:r>
          </w:p>
        </w:tc>
        <w:tc>
          <w:tcPr>
            <w:tcW w:w="3504" w:type="dxa"/>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rPr>
              <w:t>年龄55周岁以下；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2" w:hRule="atLeast"/>
          <w:jc w:val="center"/>
        </w:trPr>
        <w:tc>
          <w:tcPr>
            <w:tcW w:w="1115"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865" w:type="dxa"/>
            <w:noWrap w:val="0"/>
            <w:vAlign w:val="center"/>
          </w:tcPr>
          <w:p>
            <w:pPr>
              <w:jc w:val="center"/>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rPr>
              <w:t>保洁员</w:t>
            </w:r>
            <w:r>
              <w:rPr>
                <w:rFonts w:hint="eastAsia" w:ascii="宋体" w:hAnsi="宋体" w:eastAsia="宋体" w:cs="宋体"/>
                <w:color w:val="auto"/>
                <w:sz w:val="24"/>
                <w:szCs w:val="22"/>
                <w:highlight w:val="none"/>
                <w:lang w:val="en-US" w:eastAsia="zh-CN"/>
              </w:rPr>
              <w:t>相关人员</w:t>
            </w:r>
          </w:p>
        </w:tc>
        <w:tc>
          <w:tcPr>
            <w:tcW w:w="1648" w:type="dxa"/>
            <w:noWrap w:val="0"/>
            <w:vAlign w:val="center"/>
          </w:tcPr>
          <w:p>
            <w:pPr>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140</w:t>
            </w:r>
            <w:r>
              <w:rPr>
                <w:rFonts w:hint="eastAsia" w:ascii="宋体" w:hAnsi="宋体" w:eastAsia="宋体" w:cs="宋体"/>
                <w:color w:val="auto"/>
                <w:sz w:val="24"/>
                <w:szCs w:val="22"/>
                <w:highlight w:val="none"/>
              </w:rPr>
              <w:t>人</w:t>
            </w:r>
          </w:p>
        </w:tc>
        <w:tc>
          <w:tcPr>
            <w:tcW w:w="3504" w:type="dxa"/>
            <w:noWrap w:val="0"/>
            <w:vAlign w:val="center"/>
          </w:tcPr>
          <w:p>
            <w:pPr>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年</w:t>
            </w:r>
            <w:r>
              <w:rPr>
                <w:rFonts w:hint="eastAsia" w:ascii="宋体" w:hAnsi="宋体" w:eastAsia="宋体" w:cs="宋体"/>
                <w:color w:val="auto"/>
                <w:sz w:val="24"/>
                <w:szCs w:val="22"/>
                <w:highlight w:val="none"/>
                <w:lang w:val="en-US" w:eastAsia="zh-CN"/>
              </w:rPr>
              <w:t>男性年龄在60周岁以下</w:t>
            </w:r>
            <w:r>
              <w:rPr>
                <w:rFonts w:hint="eastAsia" w:ascii="宋体" w:hAnsi="宋体" w:eastAsia="宋体" w:cs="宋体"/>
                <w:color w:val="auto"/>
                <w:sz w:val="24"/>
                <w:szCs w:val="22"/>
                <w:highlight w:val="none"/>
                <w:lang w:val="zh-CN" w:eastAsia="zh-CN"/>
              </w:rPr>
              <w:t>，女性年龄在55周岁以下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7" w:hRule="atLeast"/>
          <w:jc w:val="center"/>
        </w:trPr>
        <w:tc>
          <w:tcPr>
            <w:tcW w:w="1115"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865" w:type="dxa"/>
            <w:noWrap w:val="0"/>
            <w:vAlign w:val="center"/>
          </w:tcPr>
          <w:p>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szCs w:val="22"/>
                <w:highlight w:val="none"/>
              </w:rPr>
              <w:t>巡查员</w:t>
            </w:r>
          </w:p>
        </w:tc>
        <w:tc>
          <w:tcPr>
            <w:tcW w:w="1648" w:type="dxa"/>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人</w:t>
            </w:r>
          </w:p>
        </w:tc>
        <w:tc>
          <w:tcPr>
            <w:tcW w:w="3504" w:type="dxa"/>
            <w:noWrap w:val="0"/>
            <w:vAlign w:val="center"/>
          </w:tcPr>
          <w:p>
            <w:pPr>
              <w:jc w:val="left"/>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szCs w:val="22"/>
                <w:highlight w:val="none"/>
                <w:lang w:val="en-US" w:eastAsia="zh-CN"/>
              </w:rPr>
              <w:t>男性年龄在60周岁以下</w:t>
            </w:r>
            <w:r>
              <w:rPr>
                <w:rFonts w:hint="eastAsia" w:ascii="宋体" w:hAnsi="宋体" w:eastAsia="宋体" w:cs="宋体"/>
                <w:color w:val="auto"/>
                <w:sz w:val="24"/>
                <w:szCs w:val="22"/>
                <w:highlight w:val="none"/>
                <w:lang w:val="zh-CN" w:eastAsia="zh-CN"/>
              </w:rPr>
              <w:t>，女性年龄在55周岁以下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32" w:hRule="atLeast"/>
          <w:jc w:val="center"/>
        </w:trPr>
        <w:tc>
          <w:tcPr>
            <w:tcW w:w="1115"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865" w:type="dxa"/>
            <w:noWrap w:val="0"/>
            <w:vAlign w:val="center"/>
          </w:tcPr>
          <w:p>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szCs w:val="22"/>
                <w:highlight w:val="none"/>
                <w:lang w:eastAsia="zh-CN"/>
              </w:rPr>
              <w:t>牛皮癣清理</w:t>
            </w:r>
          </w:p>
        </w:tc>
        <w:tc>
          <w:tcPr>
            <w:tcW w:w="1648" w:type="dxa"/>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5人</w:t>
            </w:r>
          </w:p>
        </w:tc>
        <w:tc>
          <w:tcPr>
            <w:tcW w:w="3504" w:type="dxa"/>
            <w:noWrap w:val="0"/>
            <w:vAlign w:val="center"/>
          </w:tcPr>
          <w:p>
            <w:pPr>
              <w:jc w:val="left"/>
              <w:rPr>
                <w:rFonts w:hint="eastAsia" w:ascii="宋体" w:hAnsi="宋体" w:eastAsia="宋体" w:cs="宋体"/>
                <w:color w:val="auto"/>
                <w:kern w:val="2"/>
                <w:sz w:val="24"/>
                <w:szCs w:val="24"/>
                <w:highlight w:val="none"/>
                <w:shd w:val="clear" w:color="070000" w:fill="FFFFFF"/>
                <w:lang w:val="en-US" w:eastAsia="zh-CN" w:bidi="ar-SA"/>
              </w:rPr>
            </w:pPr>
            <w:r>
              <w:rPr>
                <w:rFonts w:hint="eastAsia" w:ascii="宋体" w:hAnsi="宋体" w:eastAsia="宋体" w:cs="宋体"/>
                <w:color w:val="auto"/>
                <w:sz w:val="24"/>
                <w:szCs w:val="22"/>
                <w:highlight w:val="none"/>
                <w:lang w:val="en-US" w:eastAsia="zh-CN"/>
              </w:rPr>
              <w:t>男性年龄在60周岁以下</w:t>
            </w:r>
            <w:r>
              <w:rPr>
                <w:rFonts w:hint="eastAsia" w:ascii="宋体" w:hAnsi="宋体" w:eastAsia="宋体" w:cs="宋体"/>
                <w:color w:val="auto"/>
                <w:sz w:val="24"/>
                <w:szCs w:val="22"/>
                <w:highlight w:val="none"/>
                <w:lang w:val="zh-CN" w:eastAsia="zh-CN"/>
              </w:rPr>
              <w:t>，女性年龄在55周岁以下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9132" w:type="dxa"/>
            <w:gridSpan w:val="4"/>
            <w:tcBorders>
              <w:right w:val="single" w:color="auto" w:sz="4" w:space="0"/>
            </w:tcBorders>
            <w:noWrap w:val="0"/>
            <w:vAlign w:val="center"/>
          </w:tcPr>
          <w:p>
            <w:pPr>
              <w:jc w:val="center"/>
              <w:rPr>
                <w:rFonts w:hint="eastAsia" w:ascii="宋体" w:hAnsi="宋体" w:eastAsia="宋体" w:cs="宋体"/>
                <w:b/>
                <w:bCs/>
                <w:color w:val="auto"/>
                <w:sz w:val="24"/>
                <w:szCs w:val="22"/>
                <w:highlight w:val="none"/>
              </w:rPr>
            </w:pPr>
            <w:r>
              <w:rPr>
                <w:rFonts w:hint="eastAsia" w:ascii="宋体" w:hAnsi="宋体" w:eastAsia="宋体" w:cs="宋体"/>
                <w:b/>
                <w:bCs/>
                <w:color w:val="auto"/>
                <w:sz w:val="24"/>
                <w:highlight w:val="none"/>
              </w:rPr>
              <w:t>绿化养护人员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1115" w:type="dxa"/>
            <w:noWrap w:val="0"/>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p>
        </w:tc>
        <w:tc>
          <w:tcPr>
            <w:tcW w:w="2865" w:type="dxa"/>
            <w:noWrap w:val="0"/>
            <w:vAlign w:val="center"/>
          </w:tcPr>
          <w:p>
            <w:pPr>
              <w:ind w:firstLine="240" w:firstLineChars="100"/>
              <w:jc w:val="center"/>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rPr>
              <w:t>绿化养护项目负责人</w:t>
            </w:r>
          </w:p>
        </w:tc>
        <w:tc>
          <w:tcPr>
            <w:tcW w:w="164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1</w:t>
            </w:r>
            <w:r>
              <w:rPr>
                <w:rFonts w:hint="eastAsia" w:ascii="宋体" w:hAnsi="宋体" w:eastAsia="宋体" w:cs="宋体"/>
                <w:color w:val="auto"/>
                <w:sz w:val="24"/>
                <w:highlight w:val="none"/>
              </w:rPr>
              <w:t>人</w:t>
            </w:r>
          </w:p>
        </w:tc>
        <w:tc>
          <w:tcPr>
            <w:tcW w:w="3504" w:type="dxa"/>
            <w:noWrap w:val="0"/>
            <w:vAlign w:val="center"/>
          </w:tcPr>
          <w:p>
            <w:pPr>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年龄</w:t>
            </w:r>
            <w:r>
              <w:rPr>
                <w:rFonts w:hint="eastAsia" w:ascii="宋体" w:hAnsi="宋体" w:eastAsia="宋体" w:cs="宋体"/>
                <w:color w:val="auto"/>
                <w:sz w:val="24"/>
                <w:szCs w:val="22"/>
                <w:highlight w:val="none"/>
                <w:lang w:val="en-US" w:eastAsia="zh-CN"/>
              </w:rPr>
              <w:t>55</w:t>
            </w:r>
            <w:r>
              <w:rPr>
                <w:rFonts w:hint="eastAsia" w:ascii="宋体" w:hAnsi="宋体" w:eastAsia="宋体" w:cs="宋体"/>
                <w:color w:val="auto"/>
                <w:sz w:val="24"/>
                <w:szCs w:val="22"/>
                <w:highlight w:val="none"/>
              </w:rPr>
              <w:t>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1115" w:type="dxa"/>
            <w:noWrap w:val="0"/>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p>
        </w:tc>
        <w:tc>
          <w:tcPr>
            <w:tcW w:w="2865"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rPr>
              <w:t>绿化养护员</w:t>
            </w:r>
          </w:p>
        </w:tc>
        <w:tc>
          <w:tcPr>
            <w:tcW w:w="164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8</w:t>
            </w:r>
            <w:r>
              <w:rPr>
                <w:rFonts w:hint="eastAsia" w:ascii="宋体" w:hAnsi="宋体" w:eastAsia="宋体" w:cs="宋体"/>
                <w:color w:val="auto"/>
                <w:sz w:val="24"/>
                <w:highlight w:val="none"/>
              </w:rPr>
              <w:t>人</w:t>
            </w:r>
          </w:p>
        </w:tc>
        <w:tc>
          <w:tcPr>
            <w:tcW w:w="3504" w:type="dxa"/>
            <w:noWrap w:val="0"/>
            <w:vAlign w:val="center"/>
          </w:tcPr>
          <w:p>
            <w:pPr>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男性年龄在60周岁以下</w:t>
            </w:r>
            <w:r>
              <w:rPr>
                <w:rFonts w:hint="eastAsia" w:ascii="宋体" w:hAnsi="宋体" w:eastAsia="宋体" w:cs="宋体"/>
                <w:color w:val="auto"/>
                <w:sz w:val="24"/>
                <w:szCs w:val="22"/>
                <w:highlight w:val="none"/>
                <w:lang w:val="zh-CN" w:eastAsia="zh-CN"/>
              </w:rPr>
              <w:t>，女性年龄在55周岁以下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9132" w:type="dxa"/>
            <w:gridSpan w:val="4"/>
            <w:noWrap w:val="0"/>
            <w:vAlign w:val="center"/>
          </w:tcPr>
          <w:p>
            <w:pPr>
              <w:jc w:val="center"/>
              <w:rPr>
                <w:rFonts w:hint="eastAsia" w:ascii="宋体" w:hAnsi="宋体" w:eastAsia="宋体" w:cs="宋体"/>
                <w:color w:val="auto"/>
                <w:sz w:val="24"/>
                <w:szCs w:val="22"/>
                <w:highlight w:val="none"/>
              </w:rPr>
            </w:pPr>
            <w:r>
              <w:rPr>
                <w:rFonts w:hint="eastAsia" w:ascii="宋体" w:hAnsi="宋体" w:eastAsia="宋体" w:cs="宋体"/>
                <w:b/>
                <w:bCs/>
                <w:color w:val="auto"/>
                <w:sz w:val="24"/>
                <w:highlight w:val="none"/>
                <w:lang w:val="en-US" w:eastAsia="zh-CN"/>
              </w:rPr>
              <w:t>市政</w:t>
            </w:r>
            <w:r>
              <w:rPr>
                <w:rFonts w:hint="eastAsia" w:ascii="宋体" w:hAnsi="宋体" w:eastAsia="宋体" w:cs="宋体"/>
                <w:b/>
                <w:bCs/>
                <w:color w:val="auto"/>
                <w:sz w:val="24"/>
                <w:highlight w:val="none"/>
              </w:rPr>
              <w:t>养护人员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1115" w:type="dxa"/>
            <w:noWrap w:val="0"/>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2865" w:type="dxa"/>
            <w:noWrap w:val="0"/>
            <w:vAlign w:val="center"/>
          </w:tcPr>
          <w:p>
            <w:pPr>
              <w:jc w:val="center"/>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市政养护项目负责人</w:t>
            </w:r>
          </w:p>
        </w:tc>
        <w:tc>
          <w:tcPr>
            <w:tcW w:w="1648" w:type="dxa"/>
            <w:noWrap w:val="0"/>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1人</w:t>
            </w:r>
          </w:p>
        </w:tc>
        <w:tc>
          <w:tcPr>
            <w:tcW w:w="3504" w:type="dxa"/>
            <w:noWrap w:val="0"/>
            <w:vAlign w:val="center"/>
          </w:tcPr>
          <w:p>
            <w:pPr>
              <w:jc w:val="left"/>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rPr>
              <w:t>年龄55周岁以下</w:t>
            </w:r>
            <w:r>
              <w:rPr>
                <w:rFonts w:hint="eastAsia" w:ascii="宋体" w:hAnsi="宋体" w:eastAsia="宋体" w:cs="宋体"/>
                <w:color w:val="auto"/>
                <w:sz w:val="24"/>
                <w:szCs w:val="22"/>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1115" w:type="dxa"/>
            <w:noWrap w:val="0"/>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2865" w:type="dxa"/>
            <w:noWrap w:val="0"/>
            <w:vAlign w:val="center"/>
          </w:tcPr>
          <w:p>
            <w:pPr>
              <w:jc w:val="center"/>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市政养护</w:t>
            </w:r>
            <w:r>
              <w:rPr>
                <w:rFonts w:hint="eastAsia" w:ascii="宋体" w:hAnsi="宋体" w:eastAsia="宋体" w:cs="宋体"/>
                <w:color w:val="auto"/>
                <w:sz w:val="24"/>
                <w:szCs w:val="22"/>
                <w:highlight w:val="none"/>
              </w:rPr>
              <w:t>员</w:t>
            </w:r>
          </w:p>
        </w:tc>
        <w:tc>
          <w:tcPr>
            <w:tcW w:w="1648" w:type="dxa"/>
            <w:noWrap w:val="0"/>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5人</w:t>
            </w:r>
          </w:p>
        </w:tc>
        <w:tc>
          <w:tcPr>
            <w:tcW w:w="3504" w:type="dxa"/>
            <w:noWrap w:val="0"/>
            <w:vAlign w:val="center"/>
          </w:tcPr>
          <w:p>
            <w:pPr>
              <w:jc w:val="left"/>
              <w:rPr>
                <w:rFonts w:hint="eastAsia" w:ascii="宋体" w:hAnsi="宋体" w:eastAsia="宋体" w:cs="宋体"/>
                <w:bCs/>
                <w:color w:val="auto"/>
                <w:sz w:val="24"/>
                <w:szCs w:val="22"/>
                <w:highlight w:val="none"/>
                <w:lang w:val="en-US" w:eastAsia="zh-CN"/>
              </w:rPr>
            </w:pPr>
            <w:r>
              <w:rPr>
                <w:rFonts w:hint="eastAsia" w:ascii="宋体" w:hAnsi="宋体" w:eastAsia="宋体" w:cs="宋体"/>
                <w:color w:val="auto"/>
                <w:sz w:val="24"/>
                <w:szCs w:val="22"/>
                <w:highlight w:val="none"/>
                <w:lang w:val="en-US" w:eastAsia="zh-CN"/>
              </w:rPr>
              <w:t>男性年龄在60周岁以下</w:t>
            </w:r>
            <w:r>
              <w:rPr>
                <w:rFonts w:hint="eastAsia" w:ascii="宋体" w:hAnsi="宋体" w:eastAsia="宋体" w:cs="宋体"/>
                <w:color w:val="auto"/>
                <w:sz w:val="24"/>
                <w:szCs w:val="22"/>
                <w:highlight w:val="none"/>
                <w:lang w:val="zh-CN" w:eastAsia="zh-CN"/>
              </w:rPr>
              <w:t>，女性年龄在55周岁以下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9132" w:type="dxa"/>
            <w:gridSpan w:val="4"/>
            <w:noWrap w:val="0"/>
            <w:vAlign w:val="center"/>
          </w:tcPr>
          <w:p>
            <w:pPr>
              <w:jc w:val="center"/>
              <w:rPr>
                <w:rFonts w:hint="eastAsia" w:ascii="宋体" w:hAnsi="宋体" w:eastAsia="宋体" w:cs="宋体"/>
                <w:color w:val="auto"/>
                <w:sz w:val="24"/>
                <w:szCs w:val="22"/>
                <w:highlight w:val="none"/>
                <w:lang w:val="en-US" w:eastAsia="zh-CN"/>
              </w:rPr>
            </w:pPr>
            <w:r>
              <w:rPr>
                <w:rFonts w:hint="eastAsia" w:ascii="宋体" w:hAnsi="宋体" w:eastAsia="宋体" w:cs="宋体"/>
                <w:b/>
                <w:bCs/>
                <w:color w:val="auto"/>
                <w:sz w:val="24"/>
                <w:highlight w:val="none"/>
                <w:lang w:val="en-US" w:eastAsia="zh-CN"/>
              </w:rPr>
              <w:t>公厕保洁人员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1115" w:type="dxa"/>
            <w:noWrap w:val="0"/>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2865" w:type="dxa"/>
            <w:noWrap w:val="0"/>
            <w:vAlign w:val="center"/>
          </w:tcPr>
          <w:p>
            <w:pPr>
              <w:jc w:val="center"/>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rPr>
              <w:t>保洁员</w:t>
            </w:r>
            <w:r>
              <w:rPr>
                <w:rFonts w:hint="eastAsia" w:ascii="宋体" w:hAnsi="宋体" w:eastAsia="宋体" w:cs="宋体"/>
                <w:color w:val="auto"/>
                <w:sz w:val="24"/>
                <w:szCs w:val="22"/>
                <w:highlight w:val="none"/>
                <w:lang w:val="en-US" w:eastAsia="zh-CN"/>
              </w:rPr>
              <w:t>相关人员</w:t>
            </w:r>
          </w:p>
        </w:tc>
        <w:tc>
          <w:tcPr>
            <w:tcW w:w="1648" w:type="dxa"/>
            <w:noWrap w:val="0"/>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14人</w:t>
            </w:r>
          </w:p>
        </w:tc>
        <w:tc>
          <w:tcPr>
            <w:tcW w:w="3504" w:type="dxa"/>
            <w:noWrap w:val="0"/>
            <w:vAlign w:val="center"/>
          </w:tcPr>
          <w:p>
            <w:pPr>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男性年龄在60周岁以下</w:t>
            </w:r>
            <w:r>
              <w:rPr>
                <w:rFonts w:hint="eastAsia" w:ascii="宋体" w:hAnsi="宋体" w:eastAsia="宋体" w:cs="宋体"/>
                <w:color w:val="auto"/>
                <w:sz w:val="24"/>
                <w:szCs w:val="22"/>
                <w:highlight w:val="none"/>
                <w:lang w:val="zh-CN" w:eastAsia="zh-CN"/>
              </w:rPr>
              <w:t>，女性年龄在55周岁以下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63" w:hRule="atLeast"/>
          <w:jc w:val="center"/>
        </w:trPr>
        <w:tc>
          <w:tcPr>
            <w:tcW w:w="9132" w:type="dxa"/>
            <w:gridSpan w:val="4"/>
            <w:noWrap w:val="0"/>
            <w:vAlign w:val="center"/>
          </w:tcPr>
          <w:p>
            <w:pPr>
              <w:pStyle w:val="3"/>
              <w:spacing w:line="360" w:lineRule="auto"/>
              <w:ind w:firstLine="0" w:firstLineChars="0"/>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注：1、投入的人数不得少于上表要求的人员数量。二级道路保洁时间均不少于18小时，人均清扫保洁面积按9000平方米，每岗清扫人员安排以作业时间8小时计轮班，供应商应根据以上保洁人员数量做好轮班。</w:t>
            </w:r>
          </w:p>
          <w:p>
            <w:pPr>
              <w:jc w:val="left"/>
              <w:rPr>
                <w:rFonts w:hint="eastAsia" w:ascii="宋体" w:hAnsi="宋体" w:eastAsia="宋体" w:cs="宋体"/>
                <w:bCs/>
                <w:color w:val="auto"/>
                <w:sz w:val="24"/>
                <w:szCs w:val="22"/>
                <w:highlight w:val="none"/>
                <w:lang w:val="en-US" w:eastAsia="zh-CN"/>
              </w:rPr>
            </w:pPr>
            <w:r>
              <w:rPr>
                <w:rFonts w:hint="eastAsia" w:ascii="宋体" w:hAnsi="宋体" w:eastAsia="宋体" w:cs="宋体"/>
                <w:color w:val="auto"/>
                <w:kern w:val="2"/>
                <w:sz w:val="24"/>
                <w:szCs w:val="22"/>
                <w:highlight w:val="none"/>
                <w:lang w:val="en-US" w:eastAsia="zh-CN" w:bidi="ar-SA"/>
              </w:rPr>
              <w:t>2、所有的人工费用均应考虑在投标总价中。</w:t>
            </w:r>
          </w:p>
        </w:tc>
      </w:tr>
    </w:tbl>
    <w:p>
      <w:pPr>
        <w:pStyle w:val="967"/>
        <w:jc w:val="both"/>
        <w:rPr>
          <w:rFonts w:hint="eastAsia" w:ascii="宋体" w:hAnsi="宋体" w:eastAsia="宋体" w:cs="宋体"/>
          <w:b/>
          <w:bCs/>
          <w:color w:val="auto"/>
          <w:sz w:val="24"/>
          <w:highlight w:val="none"/>
          <w:lang w:val="zh-CN" w:eastAsia="zh-CN"/>
        </w:rPr>
      </w:pPr>
    </w:p>
    <w:p>
      <w:pPr>
        <w:pStyle w:val="967"/>
        <w:jc w:val="both"/>
        <w:rPr>
          <w:rFonts w:hint="eastAsia" w:ascii="宋体" w:hAnsi="宋体" w:eastAsia="宋体" w:cs="宋体"/>
          <w:b/>
          <w:bCs/>
          <w:color w:val="auto"/>
          <w:sz w:val="24"/>
          <w:highlight w:val="none"/>
          <w:lang w:val="zh-CN" w:eastAsia="zh-CN"/>
        </w:rPr>
      </w:pPr>
    </w:p>
    <w:p>
      <w:pPr>
        <w:pStyle w:val="967"/>
        <w:jc w:val="both"/>
        <w:rPr>
          <w:rFonts w:hint="eastAsia" w:ascii="宋体" w:hAnsi="宋体" w:eastAsia="宋体" w:cs="宋体"/>
          <w:b/>
          <w:bCs/>
          <w:color w:val="auto"/>
          <w:szCs w:val="24"/>
          <w:highlight w:val="none"/>
          <w:lang w:val="en-US"/>
        </w:rPr>
      </w:pPr>
      <w:r>
        <w:rPr>
          <w:rFonts w:hint="eastAsia" w:ascii="华文仿宋" w:hAnsi="华文仿宋" w:eastAsia="华文仿宋" w:cs="宋体"/>
          <w:b/>
          <w:sz w:val="24"/>
          <w:highlight w:val="none"/>
        </w:rPr>
        <w:t>▲</w:t>
      </w:r>
      <w:r>
        <w:rPr>
          <w:rFonts w:hint="eastAsia" w:ascii="宋体" w:hAnsi="宋体" w:eastAsia="宋体" w:cs="宋体"/>
          <w:b/>
          <w:bCs/>
          <w:color w:val="auto"/>
          <w:szCs w:val="24"/>
          <w:highlight w:val="none"/>
          <w:lang w:val="en-US" w:eastAsia="zh-CN"/>
        </w:rPr>
        <w:t>2、</w:t>
      </w:r>
      <w:r>
        <w:rPr>
          <w:rFonts w:hint="eastAsia" w:ascii="宋体" w:hAnsi="宋体" w:eastAsia="宋体" w:cs="宋体"/>
          <w:b/>
          <w:bCs/>
          <w:color w:val="auto"/>
          <w:kern w:val="2"/>
          <w:sz w:val="24"/>
          <w:szCs w:val="24"/>
          <w:highlight w:val="none"/>
          <w:lang w:val="en-US" w:eastAsia="zh-CN" w:bidi="ar-SA"/>
        </w:rPr>
        <w:t>供应商拟投入本项目机具基本要求（供应商必须根据要求提供证明材料，不提供或提供不全的，视为不满足，作无效标处理）</w:t>
      </w:r>
    </w:p>
    <w:tbl>
      <w:tblPr>
        <w:tblStyle w:val="64"/>
        <w:tblpPr w:leftFromText="180" w:rightFromText="180" w:vertAnchor="text" w:horzAnchor="page" w:tblpX="1500" w:tblpY="838"/>
        <w:tblOverlap w:val="never"/>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018"/>
        <w:gridCol w:w="2550"/>
        <w:gridCol w:w="982"/>
        <w:gridCol w:w="2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tcBorders>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2018" w:type="dxa"/>
            <w:tcBorders>
              <w:left w:val="single" w:color="auto" w:sz="4" w:space="0"/>
              <w:bottom w:val="single" w:color="auto" w:sz="4" w:space="0"/>
              <w:right w:val="single" w:color="auto" w:sz="4" w:space="0"/>
            </w:tcBorders>
            <w:noWrap w:val="0"/>
            <w:vAlign w:val="center"/>
          </w:tcPr>
          <w:p>
            <w:pPr>
              <w:pStyle w:val="3"/>
              <w:wordWrap/>
              <w:spacing w:line="50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设备名称</w:t>
            </w:r>
          </w:p>
        </w:tc>
        <w:tc>
          <w:tcPr>
            <w:tcW w:w="2550" w:type="dxa"/>
            <w:tcBorders>
              <w:left w:val="single" w:color="auto" w:sz="4" w:space="0"/>
              <w:bottom w:val="single" w:color="auto" w:sz="4" w:space="0"/>
              <w:right w:val="single" w:color="auto" w:sz="4" w:space="0"/>
            </w:tcBorders>
            <w:noWrap w:val="0"/>
            <w:vAlign w:val="center"/>
          </w:tcPr>
          <w:p>
            <w:pPr>
              <w:pStyle w:val="3"/>
              <w:wordWrap/>
              <w:spacing w:line="50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规格要求</w:t>
            </w:r>
          </w:p>
        </w:tc>
        <w:tc>
          <w:tcPr>
            <w:tcW w:w="982" w:type="dxa"/>
            <w:tcBorders>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最低数量要求</w:t>
            </w:r>
          </w:p>
        </w:tc>
        <w:tc>
          <w:tcPr>
            <w:tcW w:w="2823" w:type="dxa"/>
            <w:tcBorders>
              <w:left w:val="single" w:color="auto" w:sz="4" w:space="0"/>
              <w:bottom w:val="single" w:color="auto" w:sz="4" w:space="0"/>
            </w:tcBorders>
            <w:noWrap w:val="0"/>
            <w:vAlign w:val="center"/>
          </w:tcPr>
          <w:p>
            <w:pPr>
              <w:pStyle w:val="3"/>
              <w:wordWrap/>
              <w:spacing w:line="500" w:lineRule="exact"/>
              <w:ind w:left="0" w:leftChars="0" w:firstLine="0" w:firstLine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清洗车(洒水车)</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总质量16吨及以上</w:t>
            </w:r>
          </w:p>
        </w:tc>
        <w:tc>
          <w:tcPr>
            <w:tcW w:w="982"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4辆</w:t>
            </w:r>
          </w:p>
        </w:tc>
        <w:tc>
          <w:tcPr>
            <w:tcW w:w="2823" w:type="dxa"/>
            <w:vMerge w:val="restart"/>
            <w:tcBorders>
              <w:top w:val="single" w:color="auto" w:sz="4" w:space="0"/>
              <w:left w:val="single" w:color="auto" w:sz="4" w:space="0"/>
              <w:bottom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1）必须上牌的车辆在投标文件中同时提供车辆行驶证、购车发票、车辆登记证扫描件、清晰带有车牌号的正面、45度斜侧面的照片（其中小型清扫车如为新能源的无需提供车辆行驶证和车辆登记证）；否则不予认可。按国家规定无需上牌的车辆、设备，在投标文件中同时提供购买发票、车辆或设备照片，否则不予认可。</w:t>
            </w:r>
          </w:p>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2）提供车辆、设备仅用于本保洁项目的书面承诺书（格式自拟）。</w:t>
            </w:r>
          </w:p>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3）车辆、设备必须为供应商自有，含分公司自有。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三合一洗扫车</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总质量12吨及以上</w:t>
            </w:r>
          </w:p>
        </w:tc>
        <w:tc>
          <w:tcPr>
            <w:tcW w:w="982"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4辆</w:t>
            </w:r>
          </w:p>
        </w:tc>
        <w:tc>
          <w:tcPr>
            <w:tcW w:w="2823" w:type="dxa"/>
            <w:vMerge w:val="continue"/>
            <w:tcBorders>
              <w:top w:val="single" w:color="auto" w:sz="4" w:space="0"/>
              <w:left w:val="single" w:color="auto" w:sz="4" w:space="0"/>
              <w:bottom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多功能抑尘车</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总质量15吨及以上</w:t>
            </w:r>
          </w:p>
        </w:tc>
        <w:tc>
          <w:tcPr>
            <w:tcW w:w="982"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2辆</w:t>
            </w:r>
          </w:p>
        </w:tc>
        <w:tc>
          <w:tcPr>
            <w:tcW w:w="2823" w:type="dxa"/>
            <w:vMerge w:val="continue"/>
            <w:tcBorders>
              <w:top w:val="single" w:color="auto" w:sz="4" w:space="0"/>
              <w:left w:val="single" w:color="auto" w:sz="4" w:space="0"/>
              <w:bottom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高压冲洗车</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总质量15吨及以上</w:t>
            </w:r>
          </w:p>
        </w:tc>
        <w:tc>
          <w:tcPr>
            <w:tcW w:w="982"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2辆</w:t>
            </w:r>
          </w:p>
        </w:tc>
        <w:tc>
          <w:tcPr>
            <w:tcW w:w="2823" w:type="dxa"/>
            <w:vMerge w:val="continue"/>
            <w:tcBorders>
              <w:top w:val="single" w:color="auto" w:sz="4" w:space="0"/>
              <w:left w:val="single" w:color="auto" w:sz="4" w:space="0"/>
              <w:bottom w:val="single" w:color="auto" w:sz="4" w:space="0"/>
            </w:tcBorders>
            <w:noWrap w:val="0"/>
            <w:vAlign w:val="center"/>
          </w:tcPr>
          <w:p>
            <w:pPr>
              <w:pStyle w:val="3"/>
              <w:wordWrap/>
              <w:spacing w:line="500" w:lineRule="exact"/>
              <w:jc w:val="left"/>
              <w:textAlignment w:val="auto"/>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护栏清洗车</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总质量7吨及以上</w:t>
            </w:r>
          </w:p>
        </w:tc>
        <w:tc>
          <w:tcPr>
            <w:tcW w:w="982"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1辆</w:t>
            </w:r>
          </w:p>
        </w:tc>
        <w:tc>
          <w:tcPr>
            <w:tcW w:w="2823" w:type="dxa"/>
            <w:vMerge w:val="continue"/>
            <w:tcBorders>
              <w:top w:val="single" w:color="auto" w:sz="4" w:space="0"/>
              <w:left w:val="single" w:color="auto" w:sz="4" w:space="0"/>
              <w:bottom w:val="single" w:color="auto" w:sz="4" w:space="0"/>
            </w:tcBorders>
            <w:noWrap w:val="0"/>
            <w:vAlign w:val="center"/>
          </w:tcPr>
          <w:p>
            <w:pPr>
              <w:pStyle w:val="3"/>
              <w:wordWrap/>
              <w:spacing w:line="500" w:lineRule="exact"/>
              <w:jc w:val="left"/>
              <w:textAlignment w:val="auto"/>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机械化除雪设备</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color w:val="auto"/>
                <w:sz w:val="24"/>
                <w:szCs w:val="24"/>
                <w:highlight w:val="none"/>
                <w:lang w:val="en-US" w:eastAsia="zh-CN"/>
              </w:rPr>
              <w:t>（除雪车、大型铲车、加装式铲雪板、滚雪装置、加装式除雪板或山猫、凯斯等大型除雪设备）</w:t>
            </w:r>
          </w:p>
        </w:tc>
        <w:tc>
          <w:tcPr>
            <w:tcW w:w="982"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color w:val="auto"/>
                <w:kern w:val="2"/>
                <w:sz w:val="24"/>
                <w:szCs w:val="28"/>
                <w:highlight w:val="none"/>
                <w:lang w:val="en-US" w:eastAsia="zh-CN" w:bidi="ar-SA"/>
              </w:rPr>
              <w:t>2台</w:t>
            </w:r>
          </w:p>
        </w:tc>
        <w:tc>
          <w:tcPr>
            <w:tcW w:w="2823" w:type="dxa"/>
            <w:vMerge w:val="continue"/>
            <w:tcBorders>
              <w:top w:val="single" w:color="auto" w:sz="4" w:space="0"/>
              <w:left w:val="single" w:color="auto" w:sz="4" w:space="0"/>
              <w:bottom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小型清扫车（用于慢车道作业）</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总质量5吨及以下或新能源</w:t>
            </w:r>
          </w:p>
        </w:tc>
        <w:tc>
          <w:tcPr>
            <w:tcW w:w="982"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color w:val="auto"/>
                <w:sz w:val="24"/>
                <w:highlight w:val="none"/>
                <w:lang w:val="en-US" w:eastAsia="zh-CN"/>
              </w:rPr>
              <w:t>2辆</w:t>
            </w:r>
          </w:p>
        </w:tc>
        <w:tc>
          <w:tcPr>
            <w:tcW w:w="2823" w:type="dxa"/>
            <w:vMerge w:val="continue"/>
            <w:tcBorders>
              <w:top w:val="single" w:color="auto" w:sz="4" w:space="0"/>
              <w:left w:val="single" w:color="auto" w:sz="4" w:space="0"/>
              <w:bottom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巡查保障车</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color w:val="auto"/>
                <w:sz w:val="24"/>
                <w:highlight w:val="none"/>
                <w:lang w:val="en-US" w:eastAsia="zh-CN"/>
              </w:rPr>
              <w:t>1辆</w:t>
            </w:r>
          </w:p>
        </w:tc>
        <w:tc>
          <w:tcPr>
            <w:tcW w:w="2823" w:type="dxa"/>
            <w:vMerge w:val="continue"/>
            <w:tcBorders>
              <w:top w:val="single" w:color="auto" w:sz="4" w:space="0"/>
              <w:left w:val="single" w:color="auto" w:sz="4" w:space="0"/>
              <w:bottom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2018" w:type="dxa"/>
            <w:tcBorders>
              <w:top w:val="single" w:color="auto" w:sz="4" w:space="0"/>
              <w:left w:val="single" w:color="auto" w:sz="4" w:space="0"/>
              <w:bottom w:val="single" w:color="auto" w:sz="4" w:space="0"/>
              <w:right w:val="single" w:color="auto" w:sz="4" w:space="0"/>
            </w:tcBorders>
            <w:noWrap w:val="0"/>
            <w:vAlign w:val="top"/>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高空作业登高车</w:t>
            </w:r>
          </w:p>
        </w:tc>
        <w:tc>
          <w:tcPr>
            <w:tcW w:w="2550" w:type="dxa"/>
            <w:tcBorders>
              <w:top w:val="single" w:color="auto" w:sz="4" w:space="0"/>
              <w:left w:val="single" w:color="auto" w:sz="4" w:space="0"/>
              <w:bottom w:val="single" w:color="auto" w:sz="4" w:space="0"/>
              <w:right w:val="single" w:color="auto" w:sz="4" w:space="0"/>
            </w:tcBorders>
            <w:noWrap w:val="0"/>
            <w:vAlign w:val="top"/>
          </w:tcPr>
          <w:p>
            <w:pPr>
              <w:pStyle w:val="3"/>
              <w:wordWrap/>
              <w:spacing w:line="500" w:lineRule="exact"/>
              <w:ind w:left="0" w:leftChars="0" w:firstLine="0" w:firstLineChars="0"/>
              <w:jc w:val="left"/>
              <w:textAlignment w:val="auto"/>
              <w:rPr>
                <w:rFonts w:hint="eastAsia" w:ascii="宋体" w:hAnsi="宋体" w:eastAsia="宋体" w:cs="宋体"/>
                <w:color w:val="auto"/>
                <w:kern w:val="2"/>
                <w:sz w:val="24"/>
                <w:szCs w:val="28"/>
                <w:highlight w:val="none"/>
                <w:lang w:val="en-US" w:eastAsia="zh-CN" w:bidi="ar-SA"/>
              </w:rPr>
            </w:pPr>
          </w:p>
        </w:tc>
        <w:tc>
          <w:tcPr>
            <w:tcW w:w="982" w:type="dxa"/>
            <w:tcBorders>
              <w:top w:val="single" w:color="auto" w:sz="4" w:space="0"/>
              <w:left w:val="single" w:color="auto" w:sz="4" w:space="0"/>
              <w:bottom w:val="single" w:color="auto" w:sz="4" w:space="0"/>
              <w:right w:val="single" w:color="auto" w:sz="4" w:space="0"/>
            </w:tcBorders>
            <w:noWrap w:val="0"/>
            <w:vAlign w:val="top"/>
          </w:tcPr>
          <w:p>
            <w:pPr>
              <w:pStyle w:val="3"/>
              <w:wordWrap/>
              <w:spacing w:line="500" w:lineRule="exact"/>
              <w:ind w:left="0" w:leftChars="0" w:firstLine="0" w:firstLineChars="0"/>
              <w:jc w:val="left"/>
              <w:textAlignment w:val="auto"/>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color w:val="auto"/>
                <w:sz w:val="24"/>
                <w:highlight w:val="none"/>
                <w:lang w:val="en-US" w:eastAsia="zh-CN"/>
              </w:rPr>
              <w:t>1辆</w:t>
            </w:r>
          </w:p>
        </w:tc>
        <w:tc>
          <w:tcPr>
            <w:tcW w:w="2823" w:type="dxa"/>
            <w:vMerge w:val="continue"/>
            <w:tcBorders>
              <w:top w:val="single" w:color="auto" w:sz="4" w:space="0"/>
              <w:left w:val="single" w:color="auto" w:sz="4" w:space="0"/>
              <w:bottom w:val="single" w:color="auto" w:sz="4" w:space="0"/>
            </w:tcBorders>
            <w:noWrap w:val="0"/>
            <w:vAlign w:val="center"/>
          </w:tcPr>
          <w:p>
            <w:pPr>
              <w:pStyle w:val="3"/>
              <w:wordWrap/>
              <w:spacing w:line="500" w:lineRule="exact"/>
              <w:ind w:firstLine="570" w:firstLineChars="0"/>
              <w:jc w:val="left"/>
              <w:textAlignment w:val="auto"/>
              <w:rPr>
                <w:rFonts w:hint="eastAsia" w:ascii="宋体" w:hAnsi="宋体" w:eastAsia="宋体" w:cs="宋体"/>
                <w:color w:val="auto"/>
                <w:kern w:val="2"/>
                <w:sz w:val="24"/>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color w:val="auto"/>
                <w:sz w:val="24"/>
                <w:highlight w:val="none"/>
                <w:lang w:val="en-US" w:eastAsia="zh-CN"/>
              </w:rPr>
              <w:t>10</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割灌机</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2台</w:t>
            </w:r>
          </w:p>
        </w:tc>
        <w:tc>
          <w:tcPr>
            <w:tcW w:w="2823" w:type="dxa"/>
            <w:vMerge w:val="continue"/>
            <w:tcBorders>
              <w:top w:val="single" w:color="auto" w:sz="4" w:space="0"/>
              <w:left w:val="single" w:color="auto" w:sz="4" w:space="0"/>
              <w:bottom w:val="single" w:color="auto" w:sz="4" w:space="0"/>
            </w:tcBorders>
            <w:noWrap w:val="0"/>
            <w:vAlign w:val="center"/>
          </w:tcPr>
          <w:p>
            <w:pPr>
              <w:pStyle w:val="3"/>
              <w:wordWrap/>
              <w:spacing w:line="500" w:lineRule="exact"/>
              <w:jc w:val="left"/>
              <w:textAlignment w:val="auto"/>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绿篱机（修剪机）</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2台</w:t>
            </w:r>
          </w:p>
        </w:tc>
        <w:tc>
          <w:tcPr>
            <w:tcW w:w="2823" w:type="dxa"/>
            <w:vMerge w:val="continue"/>
            <w:tcBorders>
              <w:top w:val="single" w:color="auto" w:sz="4" w:space="0"/>
              <w:left w:val="single" w:color="auto" w:sz="4" w:space="0"/>
              <w:bottom w:val="single" w:color="auto" w:sz="4" w:space="0"/>
            </w:tcBorders>
            <w:noWrap w:val="0"/>
            <w:vAlign w:val="center"/>
          </w:tcPr>
          <w:p>
            <w:pPr>
              <w:pStyle w:val="3"/>
              <w:wordWrap/>
              <w:spacing w:line="500" w:lineRule="exact"/>
              <w:jc w:val="left"/>
              <w:textAlignment w:val="auto"/>
              <w:rPr>
                <w:rFonts w:hint="eastAsia" w:ascii="宋体" w:hAnsi="宋体" w:eastAsia="宋体" w:cs="宋体"/>
                <w:color w:val="auto"/>
                <w:sz w:val="24"/>
                <w:highlight w:val="none"/>
                <w:lang w:val="en-US" w:eastAsia="zh-CN"/>
              </w:rPr>
            </w:pPr>
          </w:p>
        </w:tc>
      </w:tr>
    </w:tbl>
    <w:p>
      <w:pPr>
        <w:widowControl/>
        <w:numPr>
          <w:ilvl w:val="0"/>
          <w:numId w:val="0"/>
        </w:numPr>
        <w:spacing w:line="600" w:lineRule="exact"/>
        <w:rPr>
          <w:rFonts w:hint="eastAsia" w:asciiTheme="majorEastAsia" w:hAnsiTheme="majorEastAsia" w:eastAsiaTheme="majorEastAsia" w:cstheme="majorEastAsia"/>
          <w:color w:val="auto"/>
          <w:sz w:val="24"/>
          <w:highlight w:val="none"/>
          <w:lang w:val="en-US" w:eastAsia="zh-CN"/>
        </w:rPr>
      </w:pPr>
      <w:r>
        <w:rPr>
          <w:rFonts w:hint="eastAsia" w:ascii="华文仿宋" w:hAnsi="华文仿宋" w:eastAsia="华文仿宋" w:cs="宋体"/>
          <w:b/>
          <w:sz w:val="24"/>
          <w:highlight w:val="none"/>
        </w:rPr>
        <w:t>▲</w:t>
      </w:r>
      <w:r>
        <w:rPr>
          <w:rFonts w:hint="eastAsia" w:asciiTheme="majorEastAsia" w:hAnsiTheme="majorEastAsia" w:eastAsiaTheme="majorEastAsia" w:cstheme="majorEastAsia"/>
          <w:color w:val="auto"/>
          <w:sz w:val="24"/>
          <w:highlight w:val="none"/>
          <w:lang w:val="en-US" w:eastAsia="zh-CN"/>
        </w:rPr>
        <w:t>注：以上设备要求中标单位须在收到中标通知书之日起10天内自行配备到位，并在投标文件中承诺，</w:t>
      </w:r>
      <w:r>
        <w:rPr>
          <w:rFonts w:hint="eastAsia" w:asciiTheme="majorEastAsia" w:hAnsiTheme="majorEastAsia" w:eastAsiaTheme="majorEastAsia" w:cstheme="majorEastAsia"/>
          <w:color w:val="auto"/>
          <w:sz w:val="24"/>
          <w:highlight w:val="none"/>
        </w:rPr>
        <w:t>否则视为不满足</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街道对主要机械设备安装GPS卫星定位系统，纳入系统平台管理，所产生的费用由中标单位承担，以上设备不得在本街道中标区块以外与其他乡镇（街道）承包的服务区域共用。</w:t>
      </w:r>
    </w:p>
    <w:p>
      <w:pPr>
        <w:pStyle w:val="3"/>
        <w:adjustRightInd w:val="0"/>
        <w:spacing w:line="480" w:lineRule="exact"/>
        <w:ind w:firstLine="0"/>
        <w:rPr>
          <w:rFonts w:hint="eastAsia" w:ascii="宋体" w:hAnsi="宋体" w:eastAsia="宋体" w:cs="宋体"/>
          <w:b/>
          <w:color w:val="auto"/>
          <w:kern w:val="0"/>
          <w:highlight w:val="none"/>
          <w:lang w:val="en-US" w:eastAsia="zh-CN"/>
        </w:rPr>
      </w:pPr>
      <w:r>
        <w:rPr>
          <w:rFonts w:hint="eastAsia" w:ascii="宋体" w:hAnsi="宋体" w:eastAsia="宋体" w:cs="宋体"/>
          <w:b/>
          <w:color w:val="auto"/>
          <w:kern w:val="0"/>
          <w:highlight w:val="none"/>
          <w:lang w:val="en-US" w:eastAsia="zh-CN"/>
        </w:rPr>
        <w:t>五、检查考核办法及</w:t>
      </w:r>
      <w:r>
        <w:rPr>
          <w:rFonts w:hint="eastAsia" w:cs="宋体"/>
          <w:b/>
          <w:color w:val="auto"/>
          <w:kern w:val="0"/>
          <w:sz w:val="24"/>
          <w:szCs w:val="24"/>
          <w:highlight w:val="none"/>
          <w:lang w:val="en-US" w:eastAsia="zh-CN"/>
        </w:rPr>
        <w:t>处罚</w:t>
      </w:r>
      <w:r>
        <w:rPr>
          <w:rFonts w:hint="eastAsia" w:ascii="宋体" w:hAnsi="宋体" w:eastAsia="宋体" w:cs="宋体"/>
          <w:b/>
          <w:color w:val="auto"/>
          <w:kern w:val="0"/>
          <w:highlight w:val="none"/>
          <w:lang w:val="en-US" w:eastAsia="zh-CN"/>
        </w:rPr>
        <w:t>制度</w:t>
      </w:r>
    </w:p>
    <w:p>
      <w:pPr>
        <w:adjustRightInd w:val="0"/>
        <w:snapToGrid w:val="0"/>
        <w:spacing w:line="360" w:lineRule="auto"/>
        <w:ind w:firstLine="482"/>
        <w:rPr>
          <w:rFonts w:hint="eastAsia" w:ascii="宋体" w:hAnsi="宋体" w:eastAsia="宋体" w:cs="宋体"/>
          <w:b/>
          <w:color w:val="auto"/>
          <w:kern w:val="0"/>
          <w:sz w:val="24"/>
          <w:szCs w:val="24"/>
          <w:highlight w:val="none"/>
        </w:rPr>
      </w:pPr>
    </w:p>
    <w:p>
      <w:pPr>
        <w:adjustRightInd w:val="0"/>
        <w:snapToGrid w:val="0"/>
        <w:spacing w:line="360" w:lineRule="auto"/>
        <w:ind w:firstLine="482"/>
        <w:rPr>
          <w:rFonts w:hint="eastAsia" w:ascii="宋体" w:hAnsi="宋体" w:eastAsia="宋体" w:cs="宋体"/>
          <w:color w:val="000000"/>
          <w:sz w:val="24"/>
          <w:highlight w:val="none"/>
        </w:rPr>
      </w:pP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val="en-US" w:eastAsia="zh-CN"/>
        </w:rPr>
        <w:t>1</w:t>
      </w:r>
      <w:r>
        <w:rPr>
          <w:rFonts w:hint="eastAsia" w:ascii="宋体" w:hAnsi="宋体" w:eastAsia="宋体" w:cs="宋体"/>
          <w:b/>
          <w:color w:val="auto"/>
          <w:kern w:val="0"/>
          <w:sz w:val="24"/>
          <w:szCs w:val="24"/>
          <w:highlight w:val="none"/>
        </w:rPr>
        <w:t>）</w:t>
      </w:r>
      <w:r>
        <w:rPr>
          <w:rFonts w:hint="eastAsia" w:ascii="宋体" w:hAnsi="宋体" w:eastAsia="宋体" w:cs="宋体"/>
          <w:color w:val="000000"/>
          <w:sz w:val="24"/>
          <w:highlight w:val="none"/>
        </w:rPr>
        <w:t>采购单位将定期和不定期地对供应商管理服务进行检查和抽查，检查记录和整改时限反馈供应商，并将每</w:t>
      </w:r>
      <w:r>
        <w:rPr>
          <w:rFonts w:hint="eastAsia" w:ascii="宋体" w:hAnsi="宋体" w:eastAsia="宋体" w:cs="宋体"/>
          <w:color w:val="000000"/>
          <w:sz w:val="24"/>
          <w:highlight w:val="none"/>
          <w:lang w:eastAsia="zh-CN"/>
        </w:rPr>
        <w:t>月</w:t>
      </w:r>
      <w:r>
        <w:rPr>
          <w:rFonts w:hint="eastAsia" w:ascii="宋体" w:hAnsi="宋体" w:eastAsia="宋体" w:cs="宋体"/>
          <w:color w:val="000000"/>
          <w:sz w:val="24"/>
          <w:highlight w:val="none"/>
        </w:rPr>
        <w:t>考核结果进行反馈。服务方达不到采购单位要求及各项服务承诺，根据附件1、附件2、附件3、附件4的考核细则进行处罚，并且采购单位有权要求其整改，直至扣款或终止合同。</w:t>
      </w:r>
    </w:p>
    <w:p>
      <w:pPr>
        <w:tabs>
          <w:tab w:val="left" w:pos="8400"/>
        </w:tabs>
        <w:spacing w:line="440" w:lineRule="exact"/>
        <w:ind w:firstLine="472" w:firstLineChars="196"/>
        <w:rPr>
          <w:rFonts w:hint="eastAsia" w:ascii="宋体" w:hAnsi="宋体" w:eastAsia="宋体" w:cs="宋体"/>
          <w:b/>
          <w:bCs/>
          <w:color w:val="auto"/>
          <w:kern w:val="0"/>
          <w:sz w:val="30"/>
          <w:szCs w:val="30"/>
          <w:highlight w:val="none"/>
        </w:rPr>
      </w:pP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val="en-US" w:eastAsia="zh-CN"/>
        </w:rPr>
        <w:t>2</w:t>
      </w:r>
      <w:r>
        <w:rPr>
          <w:rFonts w:hint="eastAsia" w:ascii="宋体" w:hAnsi="宋体" w:eastAsia="宋体" w:cs="宋体"/>
          <w:b/>
          <w:color w:val="auto"/>
          <w:kern w:val="0"/>
          <w:sz w:val="24"/>
          <w:szCs w:val="24"/>
          <w:highlight w:val="none"/>
        </w:rPr>
        <w:t>）</w:t>
      </w:r>
      <w:r>
        <w:rPr>
          <w:rFonts w:hint="eastAsia" w:ascii="宋体" w:hAnsi="宋体" w:cs="宋体"/>
          <w:b/>
          <w:color w:val="auto"/>
          <w:kern w:val="0"/>
          <w:sz w:val="24"/>
          <w:szCs w:val="24"/>
          <w:highlight w:val="none"/>
          <w:lang w:val="en-US" w:eastAsia="zh-CN"/>
        </w:rPr>
        <w:t>处罚</w:t>
      </w:r>
      <w:r>
        <w:rPr>
          <w:rFonts w:hint="eastAsia" w:ascii="宋体" w:hAnsi="宋体" w:eastAsia="宋体" w:cs="宋体"/>
          <w:b/>
          <w:color w:val="auto"/>
          <w:kern w:val="0"/>
          <w:sz w:val="24"/>
          <w:szCs w:val="24"/>
          <w:highlight w:val="none"/>
        </w:rPr>
        <w:t>措施</w:t>
      </w:r>
      <w:r>
        <w:rPr>
          <w:rFonts w:hint="eastAsia" w:ascii="宋体" w:hAnsi="宋体" w:cs="宋体"/>
          <w:b/>
          <w:color w:val="auto"/>
          <w:kern w:val="0"/>
          <w:sz w:val="24"/>
          <w:szCs w:val="24"/>
          <w:highlight w:val="none"/>
          <w:lang w:eastAsia="zh-CN"/>
        </w:rPr>
        <w:t>：</w:t>
      </w:r>
      <w:r>
        <w:rPr>
          <w:rFonts w:hint="eastAsia" w:ascii="宋体" w:hAnsi="宋体" w:eastAsia="宋体" w:cs="宋体"/>
          <w:color w:val="auto"/>
          <w:sz w:val="24"/>
          <w:highlight w:val="none"/>
        </w:rPr>
        <w:t>月度考核成绩得分在9</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分（含）以上的，全额支付当月</w:t>
      </w:r>
      <w:r>
        <w:rPr>
          <w:rFonts w:hint="eastAsia" w:ascii="宋体" w:hAnsi="宋体" w:eastAsia="宋体" w:cs="宋体"/>
          <w:color w:val="auto"/>
          <w:sz w:val="24"/>
          <w:highlight w:val="none"/>
          <w:lang w:eastAsia="zh-CN"/>
        </w:rPr>
        <w:t>市政养护、</w:t>
      </w:r>
      <w:r>
        <w:rPr>
          <w:rFonts w:hint="eastAsia" w:ascii="宋体" w:hAnsi="宋体" w:eastAsia="宋体" w:cs="宋体"/>
          <w:color w:val="auto"/>
          <w:sz w:val="24"/>
          <w:highlight w:val="none"/>
        </w:rPr>
        <w:t>保洁</w:t>
      </w:r>
      <w:r>
        <w:rPr>
          <w:rFonts w:hint="eastAsia" w:ascii="宋体" w:hAnsi="宋体" w:eastAsia="宋体" w:cs="宋体"/>
          <w:color w:val="auto"/>
          <w:sz w:val="24"/>
          <w:highlight w:val="none"/>
          <w:lang w:val="en-US" w:eastAsia="zh-CN"/>
        </w:rPr>
        <w:t>及绿化养护</w:t>
      </w:r>
      <w:r>
        <w:rPr>
          <w:rFonts w:hint="eastAsia" w:ascii="宋体" w:hAnsi="宋体" w:eastAsia="宋体" w:cs="宋体"/>
          <w:color w:val="auto"/>
          <w:sz w:val="24"/>
          <w:highlight w:val="none"/>
        </w:rPr>
        <w:t>经费；月度考核得分在9</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分—9</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分（含）的，9</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分以下每扣0.1分扣除当月</w:t>
      </w:r>
      <w:r>
        <w:rPr>
          <w:rFonts w:hint="eastAsia" w:ascii="宋体" w:hAnsi="宋体" w:eastAsia="宋体" w:cs="宋体"/>
          <w:color w:val="auto"/>
          <w:sz w:val="24"/>
          <w:highlight w:val="none"/>
          <w:lang w:eastAsia="zh-CN"/>
        </w:rPr>
        <w:t>市政养护、</w:t>
      </w:r>
      <w:r>
        <w:rPr>
          <w:rFonts w:hint="eastAsia" w:ascii="宋体" w:hAnsi="宋体" w:eastAsia="宋体" w:cs="宋体"/>
          <w:color w:val="auto"/>
          <w:sz w:val="24"/>
          <w:highlight w:val="none"/>
        </w:rPr>
        <w:t>保洁</w:t>
      </w:r>
      <w:r>
        <w:rPr>
          <w:rFonts w:hint="eastAsia" w:ascii="宋体" w:hAnsi="宋体" w:eastAsia="宋体" w:cs="宋体"/>
          <w:color w:val="auto"/>
          <w:sz w:val="24"/>
          <w:highlight w:val="none"/>
          <w:lang w:val="en-US" w:eastAsia="zh-CN"/>
        </w:rPr>
        <w:t>及绿化养护</w:t>
      </w:r>
      <w:r>
        <w:rPr>
          <w:rFonts w:hint="eastAsia" w:ascii="宋体" w:hAnsi="宋体" w:eastAsia="宋体" w:cs="宋体"/>
          <w:color w:val="auto"/>
          <w:sz w:val="24"/>
          <w:highlight w:val="none"/>
        </w:rPr>
        <w:t>经费总额的0.1%，以此类推；月度考核得分90分以下的，除按上述标准扣除外，再加扣90分以下每失0.1分扣除当月</w:t>
      </w:r>
      <w:r>
        <w:rPr>
          <w:rFonts w:hint="eastAsia" w:ascii="宋体" w:hAnsi="宋体" w:eastAsia="宋体" w:cs="宋体"/>
          <w:color w:val="auto"/>
          <w:sz w:val="24"/>
          <w:highlight w:val="none"/>
          <w:lang w:eastAsia="zh-CN"/>
        </w:rPr>
        <w:t>市政养护、</w:t>
      </w:r>
      <w:r>
        <w:rPr>
          <w:rFonts w:hint="eastAsia" w:ascii="宋体" w:hAnsi="宋体" w:eastAsia="宋体" w:cs="宋体"/>
          <w:color w:val="auto"/>
          <w:sz w:val="24"/>
          <w:highlight w:val="none"/>
        </w:rPr>
        <w:t>保洁</w:t>
      </w:r>
      <w:r>
        <w:rPr>
          <w:rFonts w:hint="eastAsia" w:ascii="宋体" w:hAnsi="宋体" w:eastAsia="宋体" w:cs="宋体"/>
          <w:color w:val="auto"/>
          <w:sz w:val="24"/>
          <w:highlight w:val="none"/>
          <w:lang w:val="en-US" w:eastAsia="zh-CN"/>
        </w:rPr>
        <w:t>及绿化养护</w:t>
      </w:r>
      <w:r>
        <w:rPr>
          <w:rFonts w:hint="eastAsia" w:ascii="宋体" w:hAnsi="宋体" w:eastAsia="宋体" w:cs="宋体"/>
          <w:color w:val="auto"/>
          <w:sz w:val="24"/>
          <w:highlight w:val="none"/>
        </w:rPr>
        <w:t>经费总额的0.2%，</w:t>
      </w:r>
      <w:r>
        <w:rPr>
          <w:rFonts w:hint="eastAsia" w:ascii="宋体" w:hAnsi="宋体" w:eastAsia="宋体" w:cs="宋体"/>
          <w:color w:val="auto"/>
          <w:sz w:val="24"/>
          <w:highlight w:val="none"/>
          <w:lang w:val="en-US" w:eastAsia="zh-CN"/>
        </w:rPr>
        <w:t>被市级考核发现的问题每项扣款2000元，被区级考核发现的问题每项扣款1000元，被街道考核发现的问题每项扣款500元（上述扣款如低于合同扣款标准的以合同扣款标准为准）</w:t>
      </w:r>
      <w:r>
        <w:rPr>
          <w:rFonts w:hint="eastAsia" w:ascii="宋体" w:hAnsi="宋体" w:eastAsia="宋体" w:cs="宋体"/>
          <w:color w:val="auto"/>
          <w:sz w:val="24"/>
          <w:highlight w:val="none"/>
        </w:rPr>
        <w:t>以此类推。</w:t>
      </w:r>
      <w:r>
        <w:rPr>
          <w:rFonts w:hint="eastAsia" w:ascii="宋体" w:hAnsi="宋体" w:eastAsia="宋体" w:cs="宋体"/>
          <w:color w:val="auto"/>
          <w:kern w:val="0"/>
          <w:sz w:val="24"/>
          <w:highlight w:val="none"/>
          <w:lang w:eastAsia="zh-CN"/>
        </w:rPr>
        <w:t>除此之外：</w:t>
      </w:r>
      <w:r>
        <w:rPr>
          <w:rFonts w:hint="eastAsia" w:ascii="宋体" w:hAnsi="宋体" w:eastAsia="宋体" w:cs="宋体"/>
          <w:color w:val="auto"/>
          <w:kern w:val="0"/>
          <w:sz w:val="24"/>
          <w:highlight w:val="none"/>
          <w:lang w:val="en-US" w:eastAsia="zh-CN"/>
        </w:rPr>
        <w:t>1、在“数字城管”存在返工案卷、延期未整改案卷的每件扣款500元，在街道复核中存在未整改问题的每件扣款500元，在市、区“城市环境长效管理”工作复核中出现复核不通过，造成街道扣分的按市级每件扣款5000元、区级每件扣款1500元。2、因日常养护不到位，被“公众号”“曝光台”曝光的每件扣款2000元，被主流媒体曝光，造成社会恶劣影响的每件扣款5000元。3、</w:t>
      </w:r>
      <w:r>
        <w:rPr>
          <w:rFonts w:hint="eastAsia" w:ascii="宋体" w:hAnsi="宋体" w:eastAsia="宋体" w:cs="宋体"/>
          <w:color w:val="auto"/>
          <w:kern w:val="0"/>
          <w:sz w:val="24"/>
          <w:highlight w:val="none"/>
          <w:lang w:eastAsia="zh-CN"/>
        </w:rPr>
        <w:t>因</w:t>
      </w:r>
      <w:r>
        <w:rPr>
          <w:rFonts w:hint="eastAsia" w:ascii="宋体" w:hAnsi="宋体" w:eastAsia="宋体" w:cs="宋体"/>
          <w:color w:val="auto"/>
          <w:kern w:val="0"/>
          <w:sz w:val="24"/>
          <w:highlight w:val="none"/>
          <w:lang w:val="en-US" w:eastAsia="zh-CN"/>
        </w:rPr>
        <w:t>被上级部门评比为最不清洁城市道路的每条扣款5万元，最不整洁城市公厕的，每座扣款1万元。</w:t>
      </w:r>
    </w:p>
    <w:p>
      <w:pPr>
        <w:rPr>
          <w:rFonts w:hint="eastAsia" w:ascii="宋体" w:hAnsi="宋体" w:eastAsia="宋体" w:cs="宋体"/>
          <w:highlight w:val="none"/>
        </w:rPr>
      </w:pPr>
    </w:p>
    <w:p>
      <w:pPr>
        <w:widowControl/>
        <w:adjustRightInd w:val="0"/>
        <w:snapToGrid w:val="0"/>
        <w:jc w:val="center"/>
        <w:rPr>
          <w:rFonts w:hint="eastAsia" w:ascii="宋体" w:hAnsi="宋体" w:eastAsia="宋体" w:cs="宋体"/>
          <w:b/>
          <w:color w:val="auto"/>
          <w:kern w:val="0"/>
          <w:sz w:val="30"/>
          <w:szCs w:val="30"/>
          <w:highlight w:val="none"/>
        </w:rPr>
      </w:pPr>
      <w:r>
        <w:rPr>
          <w:rFonts w:hint="eastAsia" w:ascii="宋体" w:hAnsi="宋体" w:eastAsia="宋体" w:cs="宋体"/>
          <w:b/>
          <w:bCs/>
          <w:color w:val="auto"/>
          <w:kern w:val="0"/>
          <w:sz w:val="30"/>
          <w:szCs w:val="30"/>
          <w:highlight w:val="none"/>
        </w:rPr>
        <w:t>附件1、城市道路保洁分类管理考核评分标准</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7"/>
        <w:gridCol w:w="1085"/>
        <w:gridCol w:w="5953"/>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99" w:type="dxa"/>
            <w:gridSpan w:val="2"/>
            <w:noWrap w:val="0"/>
            <w:vAlign w:val="center"/>
          </w:tcPr>
          <w:p>
            <w:pPr>
              <w:spacing w:line="300" w:lineRule="exact"/>
              <w:jc w:val="center"/>
              <w:rPr>
                <w:rFonts w:hint="eastAsia" w:ascii="仿宋_GB2312" w:hAnsi="仿宋" w:eastAsia="仿宋_GB2312" w:cs="仿宋"/>
                <w:b/>
                <w:sz w:val="21"/>
                <w:szCs w:val="21"/>
              </w:rPr>
            </w:pPr>
            <w:r>
              <w:rPr>
                <w:rFonts w:hint="eastAsia" w:ascii="仿宋_GB2312" w:hAnsi="仿宋" w:eastAsia="仿宋_GB2312" w:cs="仿宋"/>
                <w:b/>
                <w:sz w:val="21"/>
                <w:szCs w:val="21"/>
              </w:rPr>
              <w:t>考核项目</w:t>
            </w:r>
          </w:p>
        </w:tc>
        <w:tc>
          <w:tcPr>
            <w:tcW w:w="1085" w:type="dxa"/>
            <w:noWrap w:val="0"/>
            <w:vAlign w:val="center"/>
          </w:tcPr>
          <w:p>
            <w:pPr>
              <w:spacing w:line="300" w:lineRule="exact"/>
              <w:jc w:val="center"/>
              <w:rPr>
                <w:rFonts w:hint="eastAsia" w:ascii="仿宋_GB2312" w:hAnsi="仿宋" w:eastAsia="仿宋_GB2312" w:cs="仿宋"/>
                <w:b/>
                <w:sz w:val="21"/>
                <w:szCs w:val="21"/>
              </w:rPr>
            </w:pPr>
            <w:r>
              <w:rPr>
                <w:rFonts w:hint="eastAsia" w:ascii="仿宋_GB2312" w:hAnsi="仿宋" w:eastAsia="仿宋_GB2312" w:cs="仿宋"/>
                <w:b/>
                <w:sz w:val="21"/>
                <w:szCs w:val="21"/>
              </w:rPr>
              <w:t>项目内容</w:t>
            </w:r>
          </w:p>
        </w:tc>
        <w:tc>
          <w:tcPr>
            <w:tcW w:w="5953" w:type="dxa"/>
            <w:noWrap w:val="0"/>
            <w:vAlign w:val="center"/>
          </w:tcPr>
          <w:p>
            <w:pPr>
              <w:spacing w:line="300" w:lineRule="exact"/>
              <w:jc w:val="center"/>
              <w:rPr>
                <w:rFonts w:hint="eastAsia" w:ascii="仿宋_GB2312" w:hAnsi="仿宋" w:eastAsia="仿宋_GB2312" w:cs="仿宋"/>
                <w:b/>
                <w:sz w:val="21"/>
                <w:szCs w:val="21"/>
              </w:rPr>
            </w:pPr>
            <w:r>
              <w:rPr>
                <w:rFonts w:hint="eastAsia" w:ascii="仿宋_GB2312" w:hAnsi="仿宋" w:eastAsia="仿宋_GB2312" w:cs="仿宋"/>
                <w:b/>
                <w:sz w:val="21"/>
                <w:szCs w:val="21"/>
              </w:rPr>
              <w:t>评分标准</w:t>
            </w:r>
          </w:p>
        </w:tc>
        <w:tc>
          <w:tcPr>
            <w:tcW w:w="818" w:type="dxa"/>
            <w:noWrap w:val="0"/>
            <w:vAlign w:val="center"/>
          </w:tcPr>
          <w:p>
            <w:pPr>
              <w:spacing w:line="300" w:lineRule="exact"/>
              <w:jc w:val="center"/>
              <w:rPr>
                <w:rFonts w:hint="eastAsia" w:ascii="仿宋_GB2312" w:hAnsi="仿宋" w:eastAsia="仿宋_GB2312" w:cs="仿宋"/>
                <w:b/>
                <w:sz w:val="21"/>
                <w:szCs w:val="21"/>
              </w:rPr>
            </w:pPr>
            <w:r>
              <w:rPr>
                <w:rFonts w:hint="eastAsia" w:ascii="仿宋_GB2312" w:hAnsi="仿宋" w:eastAsia="仿宋_GB2312" w:cs="仿宋"/>
                <w:b/>
                <w:sz w:val="21"/>
                <w:szCs w:val="21"/>
              </w:rPr>
              <w:t>考核</w:t>
            </w:r>
          </w:p>
          <w:p>
            <w:pPr>
              <w:spacing w:line="300" w:lineRule="exact"/>
              <w:jc w:val="center"/>
              <w:rPr>
                <w:rFonts w:hint="eastAsia" w:ascii="仿宋_GB2312" w:hAnsi="仿宋" w:eastAsia="仿宋_GB2312" w:cs="仿宋"/>
                <w:b/>
                <w:sz w:val="21"/>
                <w:szCs w:val="21"/>
              </w:rPr>
            </w:pPr>
            <w:r>
              <w:rPr>
                <w:rFonts w:hint="eastAsia" w:ascii="仿宋_GB2312" w:hAnsi="仿宋" w:eastAsia="仿宋_GB2312" w:cs="仿宋"/>
                <w:b/>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099" w:type="dxa"/>
            <w:gridSpan w:val="2"/>
            <w:vMerge w:val="restart"/>
            <w:shd w:val="clear" w:color="auto" w:fill="auto"/>
            <w:noWrap w:val="0"/>
            <w:vAlign w:val="center"/>
          </w:tcPr>
          <w:p>
            <w:pPr>
              <w:spacing w:line="300" w:lineRule="exact"/>
              <w:jc w:val="center"/>
              <w:rPr>
                <w:rFonts w:hint="eastAsia" w:ascii="仿宋_GB2312" w:hAnsi="仿宋" w:eastAsia="仿宋_GB2312" w:cs="仿宋"/>
                <w:sz w:val="21"/>
                <w:szCs w:val="21"/>
              </w:rPr>
            </w:pPr>
            <w:r>
              <w:rPr>
                <w:rFonts w:hint="eastAsia" w:ascii="仿宋_GB2312" w:hAnsi="仿宋" w:eastAsia="仿宋_GB2312" w:cs="仿宋"/>
                <w:sz w:val="21"/>
                <w:szCs w:val="21"/>
              </w:rPr>
              <w:t>道路清扫保洁</w:t>
            </w:r>
          </w:p>
        </w:tc>
        <w:tc>
          <w:tcPr>
            <w:tcW w:w="1085" w:type="dxa"/>
            <w:shd w:val="clear" w:color="auto" w:fill="auto"/>
            <w:noWrap w:val="0"/>
            <w:vAlign w:val="center"/>
          </w:tcPr>
          <w:p>
            <w:pPr>
              <w:spacing w:line="30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日常保洁</w:t>
            </w:r>
          </w:p>
        </w:tc>
        <w:tc>
          <w:tcPr>
            <w:tcW w:w="5953" w:type="dxa"/>
            <w:shd w:val="clear" w:color="auto" w:fill="FFFFFF"/>
            <w:noWrap w:val="0"/>
            <w:vAlign w:val="center"/>
          </w:tcPr>
          <w:p>
            <w:pPr>
              <w:numPr>
                <w:ilvl w:val="0"/>
                <w:numId w:val="3"/>
              </w:numPr>
              <w:spacing w:line="260" w:lineRule="exact"/>
              <w:rPr>
                <w:rFonts w:hint="eastAsia" w:ascii="仿宋_GB2312" w:hAnsi="仿宋" w:eastAsia="仿宋_GB2312" w:cs="仿宋"/>
                <w:sz w:val="21"/>
                <w:szCs w:val="21"/>
              </w:rPr>
            </w:pPr>
            <w:r>
              <w:rPr>
                <w:rFonts w:hint="eastAsia" w:ascii="仿宋_GB2312" w:hAnsi="仿宋" w:eastAsia="仿宋_GB2312" w:cs="仿宋"/>
                <w:sz w:val="21"/>
                <w:szCs w:val="21"/>
              </w:rPr>
              <w:t>未在规定时间内普扫的每条扣5分，未全路段普扫的每条扣</w:t>
            </w:r>
            <w:r>
              <w:rPr>
                <w:rFonts w:hint="eastAsia" w:ascii="仿宋_GB2312" w:hAnsi="仿宋" w:eastAsia="仿宋_GB2312" w:cs="仿宋"/>
                <w:sz w:val="21"/>
                <w:szCs w:val="21"/>
                <w:lang w:val="en-US" w:eastAsia="zh-CN"/>
              </w:rPr>
              <w:t>2</w:t>
            </w:r>
            <w:r>
              <w:rPr>
                <w:rFonts w:hint="eastAsia" w:ascii="仿宋_GB2312" w:hAnsi="仿宋" w:eastAsia="仿宋_GB2312" w:cs="仿宋"/>
                <w:sz w:val="21"/>
                <w:szCs w:val="21"/>
              </w:rPr>
              <w:t>分，机扫路面后垃圾未吸净而形成条或小堆的或清扫时将垃圾扫入窨井、雨水井、绿地等，扣</w:t>
            </w:r>
            <w:r>
              <w:rPr>
                <w:rFonts w:hint="eastAsia" w:ascii="仿宋_GB2312" w:hAnsi="仿宋" w:eastAsia="仿宋_GB2312" w:cs="仿宋"/>
                <w:sz w:val="21"/>
                <w:szCs w:val="21"/>
                <w:lang w:val="en-US" w:eastAsia="zh-CN"/>
              </w:rPr>
              <w:t>2</w:t>
            </w:r>
            <w:r>
              <w:rPr>
                <w:rFonts w:hint="eastAsia" w:ascii="仿宋_GB2312" w:hAnsi="仿宋" w:eastAsia="仿宋_GB2312" w:cs="仿宋"/>
                <w:sz w:val="21"/>
                <w:szCs w:val="21"/>
              </w:rPr>
              <w:t>分；恶劣天气下，应急保障不力的扣3分</w:t>
            </w:r>
            <w:r>
              <w:rPr>
                <w:rFonts w:hint="eastAsia" w:ascii="仿宋_GB2312" w:hAnsi="仿宋" w:eastAsia="仿宋_GB2312" w:cs="仿宋"/>
                <w:sz w:val="21"/>
                <w:szCs w:val="21"/>
                <w:lang w:eastAsia="zh-CN"/>
              </w:rPr>
              <w:t>，有重要保障任务，应急响应不及时的扣</w:t>
            </w:r>
            <w:r>
              <w:rPr>
                <w:rFonts w:hint="eastAsia" w:ascii="仿宋_GB2312" w:hAnsi="仿宋" w:eastAsia="仿宋_GB2312" w:cs="仿宋"/>
                <w:sz w:val="21"/>
                <w:szCs w:val="21"/>
                <w:lang w:val="en-US" w:eastAsia="zh-CN"/>
              </w:rPr>
              <w:t>3分</w:t>
            </w:r>
            <w:r>
              <w:rPr>
                <w:rFonts w:hint="eastAsia" w:ascii="仿宋_GB2312" w:hAnsi="仿宋" w:eastAsia="仿宋_GB2312" w:cs="仿宋"/>
                <w:sz w:val="21"/>
                <w:szCs w:val="21"/>
              </w:rPr>
              <w:t>。2.</w:t>
            </w:r>
            <w:r>
              <w:rPr>
                <w:rFonts w:hint="eastAsia" w:ascii="仿宋_GB2312" w:hAnsi="宋体" w:eastAsia="仿宋_GB2312" w:cs="宋体"/>
                <w:kern w:val="0"/>
                <w:sz w:val="21"/>
                <w:szCs w:val="21"/>
              </w:rPr>
              <w:t>日常保洁及道路红线外3米范围内</w:t>
            </w:r>
            <w:r>
              <w:rPr>
                <w:rFonts w:hint="eastAsia" w:ascii="仿宋_GB2312" w:hAnsi="仿宋" w:eastAsia="仿宋_GB2312" w:cs="仿宋"/>
                <w:sz w:val="21"/>
                <w:szCs w:val="21"/>
              </w:rPr>
              <w:t>不符合环卫保洁要求每处扣</w:t>
            </w:r>
            <w:r>
              <w:rPr>
                <w:rFonts w:hint="eastAsia" w:ascii="仿宋_GB2312" w:hAnsi="仿宋" w:eastAsia="仿宋_GB2312" w:cs="仿宋"/>
                <w:sz w:val="21"/>
                <w:szCs w:val="21"/>
                <w:lang w:val="en-US" w:eastAsia="zh-CN"/>
              </w:rPr>
              <w:t>0.5</w:t>
            </w:r>
            <w:r>
              <w:rPr>
                <w:rFonts w:hint="eastAsia" w:ascii="仿宋_GB2312" w:hAnsi="仿宋" w:eastAsia="仿宋_GB2312" w:cs="仿宋"/>
                <w:sz w:val="21"/>
                <w:szCs w:val="21"/>
              </w:rPr>
              <w:t>-5分，其中，道路路面、绿化带、树圈等有</w:t>
            </w:r>
            <w:r>
              <w:rPr>
                <w:rFonts w:hint="eastAsia" w:ascii="仿宋_GB2312" w:hAnsi="仿宋" w:eastAsia="仿宋_GB2312" w:cs="仿宋"/>
                <w:sz w:val="21"/>
                <w:szCs w:val="21"/>
                <w:lang w:eastAsia="zh-CN"/>
              </w:rPr>
              <w:t>白</w:t>
            </w:r>
            <w:r>
              <w:rPr>
                <w:rFonts w:hint="eastAsia" w:ascii="仿宋_GB2312" w:hAnsi="仿宋" w:eastAsia="仿宋_GB2312" w:cs="仿宋"/>
                <w:sz w:val="21"/>
                <w:szCs w:val="21"/>
              </w:rPr>
              <w:t>色垃圾、烟蒂的，扣</w:t>
            </w:r>
            <w:r>
              <w:rPr>
                <w:rFonts w:hint="eastAsia" w:ascii="仿宋_GB2312" w:hAnsi="仿宋" w:eastAsia="仿宋_GB2312" w:cs="仿宋"/>
                <w:sz w:val="21"/>
                <w:szCs w:val="21"/>
                <w:lang w:val="en-US" w:eastAsia="zh-CN"/>
              </w:rPr>
              <w:t>0</w:t>
            </w:r>
            <w:r>
              <w:rPr>
                <w:rFonts w:hint="eastAsia" w:ascii="仿宋_GB2312" w:hAnsi="仿宋" w:eastAsia="仿宋_GB2312" w:cs="仿宋"/>
                <w:sz w:val="21"/>
                <w:szCs w:val="21"/>
              </w:rPr>
              <w:t>.5分；有卫生死角、道路外成堆暴露垃圾未清理每处扣</w:t>
            </w:r>
            <w:r>
              <w:rPr>
                <w:rFonts w:hint="eastAsia" w:ascii="仿宋_GB2312" w:hAnsi="仿宋" w:eastAsia="仿宋_GB2312" w:cs="仿宋"/>
                <w:sz w:val="21"/>
                <w:szCs w:val="21"/>
                <w:lang w:val="en-US" w:eastAsia="zh-CN"/>
              </w:rPr>
              <w:t>2</w:t>
            </w:r>
            <w:r>
              <w:rPr>
                <w:rFonts w:hint="eastAsia" w:ascii="仿宋_GB2312" w:hAnsi="仿宋" w:eastAsia="仿宋_GB2312" w:cs="仿宋"/>
                <w:sz w:val="21"/>
                <w:szCs w:val="21"/>
              </w:rPr>
              <w:t>分；路面积泥（砂石）的每处扣</w:t>
            </w:r>
            <w:r>
              <w:rPr>
                <w:rFonts w:hint="eastAsia" w:ascii="仿宋_GB2312" w:hAnsi="仿宋" w:eastAsia="仿宋_GB2312" w:cs="仿宋"/>
                <w:sz w:val="21"/>
                <w:szCs w:val="21"/>
                <w:lang w:val="en-US" w:eastAsia="zh-CN"/>
              </w:rPr>
              <w:t>1</w:t>
            </w:r>
            <w:r>
              <w:rPr>
                <w:rFonts w:hint="eastAsia" w:ascii="仿宋_GB2312" w:hAnsi="仿宋" w:eastAsia="仿宋_GB2312" w:cs="仿宋"/>
                <w:sz w:val="21"/>
                <w:szCs w:val="21"/>
              </w:rPr>
              <w:t>分；道路侧石积尘扣</w:t>
            </w:r>
            <w:r>
              <w:rPr>
                <w:rFonts w:hint="eastAsia" w:ascii="仿宋_GB2312" w:hAnsi="仿宋" w:eastAsia="仿宋_GB2312" w:cs="仿宋"/>
                <w:sz w:val="21"/>
                <w:szCs w:val="21"/>
                <w:lang w:val="en-US" w:eastAsia="zh-CN"/>
              </w:rPr>
              <w:t>0.5</w:t>
            </w:r>
            <w:r>
              <w:rPr>
                <w:rFonts w:hint="eastAsia" w:ascii="仿宋_GB2312" w:hAnsi="仿宋" w:eastAsia="仿宋_GB2312" w:cs="仿宋"/>
                <w:sz w:val="21"/>
                <w:szCs w:val="21"/>
              </w:rPr>
              <w:t>分，路面污渍、污水每处扣</w:t>
            </w:r>
            <w:r>
              <w:rPr>
                <w:rFonts w:hint="eastAsia" w:ascii="仿宋_GB2312" w:hAnsi="仿宋" w:eastAsia="仿宋_GB2312" w:cs="仿宋"/>
                <w:sz w:val="21"/>
                <w:szCs w:val="21"/>
                <w:lang w:val="en-US" w:eastAsia="zh-CN"/>
              </w:rPr>
              <w:t>0.5</w:t>
            </w:r>
            <w:r>
              <w:rPr>
                <w:rFonts w:hint="eastAsia" w:ascii="仿宋_GB2312" w:hAnsi="仿宋" w:eastAsia="仿宋_GB2312" w:cs="仿宋"/>
                <w:sz w:val="21"/>
                <w:szCs w:val="21"/>
              </w:rPr>
              <w:t>分；晴天道路明显积水、路面雨水井沟眼堵塞、有积泥（嵌石）每处扣</w:t>
            </w:r>
            <w:r>
              <w:rPr>
                <w:rFonts w:hint="eastAsia" w:ascii="仿宋_GB2312" w:hAnsi="仿宋" w:eastAsia="仿宋_GB2312" w:cs="仿宋"/>
                <w:sz w:val="21"/>
                <w:szCs w:val="21"/>
                <w:lang w:val="en-US" w:eastAsia="zh-CN"/>
              </w:rPr>
              <w:t>1</w:t>
            </w:r>
            <w:r>
              <w:rPr>
                <w:rFonts w:hint="eastAsia" w:ascii="仿宋_GB2312" w:hAnsi="仿宋" w:eastAsia="仿宋_GB2312" w:cs="仿宋"/>
                <w:sz w:val="21"/>
                <w:szCs w:val="21"/>
              </w:rPr>
              <w:t>分；清扫保洁作业不规范导致路面扬尘的扣</w:t>
            </w:r>
            <w:r>
              <w:rPr>
                <w:rFonts w:hint="eastAsia" w:ascii="仿宋_GB2312" w:hAnsi="仿宋" w:eastAsia="仿宋_GB2312" w:cs="仿宋"/>
                <w:sz w:val="21"/>
                <w:szCs w:val="21"/>
                <w:lang w:val="en-US" w:eastAsia="zh-CN"/>
              </w:rPr>
              <w:t>3</w:t>
            </w:r>
            <w:r>
              <w:rPr>
                <w:rFonts w:hint="eastAsia" w:ascii="仿宋_GB2312" w:hAnsi="仿宋" w:eastAsia="仿宋_GB2312" w:cs="仿宋"/>
                <w:sz w:val="21"/>
                <w:szCs w:val="21"/>
              </w:rPr>
              <w:t>分；道路两侧有乱涂写、乱张贴的每处扣</w:t>
            </w:r>
            <w:r>
              <w:rPr>
                <w:rFonts w:hint="eastAsia" w:ascii="仿宋_GB2312" w:hAnsi="仿宋" w:eastAsia="仿宋_GB2312" w:cs="仿宋"/>
                <w:sz w:val="21"/>
                <w:szCs w:val="21"/>
                <w:lang w:val="en-US" w:eastAsia="zh-CN"/>
              </w:rPr>
              <w:t>0.5</w:t>
            </w:r>
            <w:r>
              <w:rPr>
                <w:rFonts w:hint="eastAsia" w:ascii="仿宋_GB2312" w:hAnsi="仿宋" w:eastAsia="仿宋_GB2312" w:cs="仿宋"/>
                <w:sz w:val="21"/>
                <w:szCs w:val="21"/>
              </w:rPr>
              <w:t>分。</w:t>
            </w:r>
          </w:p>
        </w:tc>
        <w:tc>
          <w:tcPr>
            <w:tcW w:w="818" w:type="dxa"/>
            <w:noWrap w:val="0"/>
            <w:vAlign w:val="center"/>
          </w:tcPr>
          <w:p>
            <w:pPr>
              <w:spacing w:line="300" w:lineRule="exact"/>
              <w:rPr>
                <w:rFonts w:hint="eastAsia" w:ascii="仿宋_GB2312" w:hAnsi="仿宋" w:eastAsia="仿宋_GB2312" w:cs="仿宋"/>
                <w:sz w:val="21"/>
                <w:szCs w:val="21"/>
              </w:rPr>
            </w:pPr>
            <w:r>
              <w:rPr>
                <w:rFonts w:hint="eastAsia" w:ascii="仿宋_GB2312" w:hAnsi="仿宋" w:eastAsia="仿宋_GB2312" w:cs="仿宋"/>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099" w:type="dxa"/>
            <w:gridSpan w:val="2"/>
            <w:vMerge w:val="continue"/>
            <w:shd w:val="clear" w:color="auto" w:fill="auto"/>
            <w:noWrap w:val="0"/>
            <w:vAlign w:val="center"/>
          </w:tcPr>
          <w:p>
            <w:pPr>
              <w:spacing w:line="300" w:lineRule="exact"/>
              <w:jc w:val="center"/>
              <w:rPr>
                <w:rFonts w:hint="eastAsia" w:ascii="仿宋_GB2312" w:hAnsi="仿宋" w:eastAsia="仿宋_GB2312" w:cs="仿宋"/>
                <w:sz w:val="21"/>
                <w:szCs w:val="21"/>
              </w:rPr>
            </w:pPr>
          </w:p>
        </w:tc>
        <w:tc>
          <w:tcPr>
            <w:tcW w:w="1085" w:type="dxa"/>
            <w:shd w:val="clear" w:color="auto" w:fill="auto"/>
            <w:noWrap w:val="0"/>
            <w:vAlign w:val="center"/>
          </w:tcPr>
          <w:p>
            <w:pPr>
              <w:spacing w:line="300" w:lineRule="exact"/>
              <w:jc w:val="center"/>
              <w:rPr>
                <w:rFonts w:hint="eastAsia" w:ascii="仿宋_GB2312" w:hAnsi="仿宋" w:eastAsia="仿宋_GB2312" w:cs="仿宋"/>
                <w:sz w:val="21"/>
                <w:szCs w:val="21"/>
              </w:rPr>
            </w:pPr>
            <w:r>
              <w:rPr>
                <w:rFonts w:hint="eastAsia" w:ascii="仿宋_GB2312" w:hAnsi="仿宋" w:eastAsia="仿宋_GB2312" w:cs="仿宋"/>
                <w:sz w:val="21"/>
                <w:szCs w:val="21"/>
              </w:rPr>
              <w:t>车辆管理</w:t>
            </w:r>
          </w:p>
        </w:tc>
        <w:tc>
          <w:tcPr>
            <w:tcW w:w="5953" w:type="dxa"/>
            <w:shd w:val="clear" w:color="auto" w:fill="FFFFFF"/>
            <w:noWrap w:val="0"/>
            <w:vAlign w:val="center"/>
          </w:tcPr>
          <w:p>
            <w:pPr>
              <w:spacing w:line="300" w:lineRule="exact"/>
              <w:rPr>
                <w:rFonts w:hint="eastAsia" w:ascii="仿宋_GB2312" w:hAnsi="仿宋" w:eastAsia="仿宋_GB2312" w:cs="仿宋"/>
                <w:sz w:val="21"/>
                <w:szCs w:val="21"/>
              </w:rPr>
            </w:pPr>
            <w:r>
              <w:rPr>
                <w:rFonts w:hint="eastAsia" w:ascii="仿宋_GB2312" w:hAnsi="仿宋" w:eastAsia="仿宋_GB2312" w:cs="仿宋"/>
                <w:sz w:val="21"/>
                <w:szCs w:val="21"/>
              </w:rPr>
              <w:t>未按照规定进行洒水、机扫、清洗的每次扣</w:t>
            </w:r>
            <w:r>
              <w:rPr>
                <w:rFonts w:hint="eastAsia" w:ascii="仿宋_GB2312" w:hAnsi="仿宋" w:eastAsia="仿宋_GB2312" w:cs="仿宋"/>
                <w:sz w:val="21"/>
                <w:szCs w:val="21"/>
                <w:lang w:val="en-US" w:eastAsia="zh-CN"/>
              </w:rPr>
              <w:t>1</w:t>
            </w:r>
            <w:r>
              <w:rPr>
                <w:rFonts w:hint="eastAsia" w:ascii="仿宋_GB2312" w:hAnsi="仿宋" w:eastAsia="仿宋_GB2312" w:cs="仿宋"/>
                <w:sz w:val="21"/>
                <w:szCs w:val="21"/>
              </w:rPr>
              <w:t>分；机扫车、洒水车未按规定使用警示灯、提示音每次扣</w:t>
            </w:r>
            <w:r>
              <w:rPr>
                <w:rFonts w:hint="eastAsia" w:ascii="仿宋_GB2312" w:hAnsi="仿宋" w:eastAsia="仿宋_GB2312" w:cs="仿宋"/>
                <w:sz w:val="21"/>
                <w:szCs w:val="21"/>
                <w:lang w:val="en-US" w:eastAsia="zh-CN"/>
              </w:rPr>
              <w:t>1</w:t>
            </w:r>
            <w:r>
              <w:rPr>
                <w:rFonts w:hint="eastAsia" w:ascii="仿宋_GB2312" w:hAnsi="仿宋" w:eastAsia="仿宋_GB2312" w:cs="仿宋"/>
                <w:sz w:val="21"/>
                <w:szCs w:val="21"/>
              </w:rPr>
              <w:t>分。</w:t>
            </w:r>
          </w:p>
        </w:tc>
        <w:tc>
          <w:tcPr>
            <w:tcW w:w="818" w:type="dxa"/>
            <w:noWrap w:val="0"/>
            <w:vAlign w:val="center"/>
          </w:tcPr>
          <w:p>
            <w:pPr>
              <w:spacing w:line="300" w:lineRule="exact"/>
              <w:rPr>
                <w:rFonts w:hint="eastAsia" w:ascii="仿宋_GB2312" w:hAnsi="仿宋" w:eastAsia="仿宋_GB2312"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restart"/>
            <w:shd w:val="clear" w:color="auto" w:fill="auto"/>
            <w:noWrap w:val="0"/>
            <w:vAlign w:val="center"/>
          </w:tcPr>
          <w:p>
            <w:pPr>
              <w:spacing w:line="300" w:lineRule="exact"/>
              <w:jc w:val="center"/>
              <w:rPr>
                <w:rFonts w:hint="eastAsia" w:ascii="仿宋_GB2312" w:hAnsi="仿宋" w:eastAsia="仿宋_GB2312" w:cs="仿宋"/>
                <w:sz w:val="21"/>
                <w:szCs w:val="21"/>
              </w:rPr>
            </w:pPr>
            <w:r>
              <w:rPr>
                <w:rFonts w:hint="eastAsia" w:ascii="仿宋_GB2312" w:hAnsi="仿宋" w:eastAsia="仿宋_GB2312" w:cs="仿宋"/>
                <w:sz w:val="21"/>
                <w:szCs w:val="21"/>
              </w:rPr>
              <w:t>环卫</w:t>
            </w:r>
          </w:p>
          <w:p>
            <w:pPr>
              <w:spacing w:line="300" w:lineRule="exact"/>
              <w:jc w:val="center"/>
              <w:rPr>
                <w:rFonts w:hint="eastAsia" w:ascii="仿宋_GB2312" w:hAnsi="仿宋" w:eastAsia="仿宋_GB2312" w:cs="仿宋"/>
                <w:sz w:val="21"/>
                <w:szCs w:val="21"/>
              </w:rPr>
            </w:pPr>
            <w:r>
              <w:rPr>
                <w:rFonts w:hint="eastAsia" w:ascii="仿宋_GB2312" w:hAnsi="仿宋" w:eastAsia="仿宋_GB2312" w:cs="仿宋"/>
                <w:sz w:val="21"/>
                <w:szCs w:val="21"/>
              </w:rPr>
              <w:t>设施</w:t>
            </w:r>
          </w:p>
        </w:tc>
        <w:tc>
          <w:tcPr>
            <w:tcW w:w="1085" w:type="dxa"/>
            <w:shd w:val="clear" w:color="auto" w:fill="auto"/>
            <w:noWrap w:val="0"/>
            <w:vAlign w:val="center"/>
          </w:tcPr>
          <w:p>
            <w:pPr>
              <w:spacing w:line="300" w:lineRule="exact"/>
              <w:jc w:val="center"/>
              <w:rPr>
                <w:rFonts w:hint="eastAsia" w:ascii="仿宋_GB2312" w:hAnsi="仿宋" w:eastAsia="仿宋_GB2312" w:cs="仿宋"/>
                <w:spacing w:val="-4"/>
                <w:sz w:val="21"/>
                <w:szCs w:val="21"/>
              </w:rPr>
            </w:pPr>
            <w:r>
              <w:rPr>
                <w:rFonts w:hint="eastAsia" w:ascii="仿宋_GB2312" w:hAnsi="仿宋" w:eastAsia="仿宋_GB2312" w:cs="仿宋"/>
                <w:color w:val="auto"/>
                <w:spacing w:val="-4"/>
                <w:sz w:val="21"/>
                <w:szCs w:val="21"/>
              </w:rPr>
              <w:t>垃圾收集设施</w:t>
            </w:r>
          </w:p>
        </w:tc>
        <w:tc>
          <w:tcPr>
            <w:tcW w:w="5953" w:type="dxa"/>
            <w:tcBorders>
              <w:bottom w:val="single" w:color="auto" w:sz="4" w:space="0"/>
            </w:tcBorders>
            <w:shd w:val="clear" w:color="auto" w:fill="FFFFFF"/>
            <w:noWrap w:val="0"/>
            <w:vAlign w:val="center"/>
          </w:tcPr>
          <w:p>
            <w:pPr>
              <w:spacing w:line="300" w:lineRule="exact"/>
              <w:rPr>
                <w:rFonts w:hint="eastAsia" w:ascii="仿宋_GB2312" w:hAnsi="仿宋" w:eastAsia="仿宋_GB2312" w:cs="仿宋"/>
                <w:sz w:val="21"/>
                <w:szCs w:val="21"/>
              </w:rPr>
            </w:pPr>
            <w:r>
              <w:rPr>
                <w:rFonts w:hint="eastAsia" w:ascii="仿宋_GB2312" w:hAnsi="仿宋" w:eastAsia="仿宋_GB2312" w:cs="仿宋"/>
                <w:color w:val="auto"/>
                <w:sz w:val="21"/>
                <w:szCs w:val="21"/>
              </w:rPr>
              <w:t>垃圾收集设施设置不规范每处扣</w:t>
            </w:r>
            <w:r>
              <w:rPr>
                <w:rFonts w:hint="eastAsia" w:ascii="仿宋_GB2312" w:hAnsi="仿宋" w:eastAsia="仿宋_GB2312" w:cs="仿宋"/>
                <w:color w:val="auto"/>
                <w:sz w:val="21"/>
                <w:szCs w:val="21"/>
                <w:lang w:val="en-US" w:eastAsia="zh-CN"/>
              </w:rPr>
              <w:t>1</w:t>
            </w:r>
            <w:r>
              <w:rPr>
                <w:rFonts w:hint="eastAsia" w:ascii="仿宋_GB2312" w:hAnsi="仿宋" w:eastAsia="仿宋_GB2312" w:cs="仿宋"/>
                <w:color w:val="auto"/>
                <w:sz w:val="21"/>
                <w:szCs w:val="21"/>
              </w:rPr>
              <w:t>分。垃圾收集设施出现内外不洁、满溢等每处扣</w:t>
            </w:r>
            <w:r>
              <w:rPr>
                <w:rFonts w:hint="eastAsia" w:ascii="仿宋_GB2312" w:hAnsi="仿宋" w:eastAsia="仿宋_GB2312" w:cs="仿宋"/>
                <w:color w:val="auto"/>
                <w:sz w:val="21"/>
                <w:szCs w:val="21"/>
                <w:lang w:val="en-US" w:eastAsia="zh-CN"/>
              </w:rPr>
              <w:t>0</w:t>
            </w:r>
            <w:r>
              <w:rPr>
                <w:rFonts w:hint="eastAsia" w:ascii="仿宋_GB2312" w:hAnsi="仿宋" w:eastAsia="仿宋_GB2312" w:cs="仿宋"/>
                <w:color w:val="auto"/>
                <w:sz w:val="21"/>
                <w:szCs w:val="21"/>
              </w:rPr>
              <w:t>.5分；垃圾收集设施破损每处扣</w:t>
            </w:r>
            <w:r>
              <w:rPr>
                <w:rFonts w:hint="eastAsia" w:ascii="仿宋_GB2312" w:hAnsi="仿宋" w:eastAsia="仿宋_GB2312" w:cs="仿宋"/>
                <w:color w:val="auto"/>
                <w:sz w:val="21"/>
                <w:szCs w:val="21"/>
                <w:lang w:val="en-US" w:eastAsia="zh-CN"/>
              </w:rPr>
              <w:t>1</w:t>
            </w:r>
            <w:r>
              <w:rPr>
                <w:rFonts w:hint="eastAsia" w:ascii="仿宋_GB2312" w:hAnsi="仿宋" w:eastAsia="仿宋_GB2312" w:cs="仿宋"/>
                <w:color w:val="auto"/>
                <w:sz w:val="21"/>
                <w:szCs w:val="21"/>
              </w:rPr>
              <w:t>分。</w:t>
            </w:r>
          </w:p>
        </w:tc>
        <w:tc>
          <w:tcPr>
            <w:tcW w:w="818" w:type="dxa"/>
            <w:tcBorders>
              <w:bottom w:val="single" w:color="auto" w:sz="4" w:space="0"/>
            </w:tcBorders>
            <w:noWrap w:val="0"/>
            <w:vAlign w:val="center"/>
          </w:tcPr>
          <w:p>
            <w:pPr>
              <w:spacing w:line="300" w:lineRule="exact"/>
              <w:rPr>
                <w:rFonts w:hint="eastAsia" w:ascii="仿宋_GB2312" w:hAnsi="仿宋" w:eastAsia="仿宋_GB2312" w:cs="仿宋"/>
                <w:sz w:val="21"/>
                <w:szCs w:val="21"/>
              </w:rPr>
            </w:pPr>
            <w:r>
              <w:rPr>
                <w:rFonts w:hint="eastAsia" w:ascii="仿宋_GB2312" w:hAnsi="仿宋" w:eastAsia="仿宋_GB2312" w:cs="仿宋"/>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noWrap w:val="0"/>
            <w:vAlign w:val="center"/>
          </w:tcPr>
          <w:p>
            <w:pPr>
              <w:spacing w:line="300" w:lineRule="exact"/>
              <w:jc w:val="center"/>
              <w:rPr>
                <w:rFonts w:hint="eastAsia" w:ascii="仿宋_GB2312" w:hAnsi="仿宋" w:eastAsia="仿宋_GB2312" w:cs="仿宋"/>
                <w:sz w:val="21"/>
                <w:szCs w:val="21"/>
              </w:rPr>
            </w:pPr>
          </w:p>
        </w:tc>
        <w:tc>
          <w:tcPr>
            <w:tcW w:w="1085" w:type="dxa"/>
            <w:shd w:val="clear" w:color="auto" w:fill="auto"/>
            <w:noWrap w:val="0"/>
            <w:vAlign w:val="center"/>
          </w:tcPr>
          <w:p>
            <w:pPr>
              <w:spacing w:line="300" w:lineRule="exact"/>
              <w:jc w:val="center"/>
              <w:rPr>
                <w:rFonts w:hint="eastAsia" w:ascii="仿宋_GB2312" w:hAnsi="仿宋" w:eastAsia="仿宋_GB2312" w:cs="仿宋"/>
                <w:color w:val="auto"/>
                <w:spacing w:val="-4"/>
                <w:sz w:val="21"/>
                <w:szCs w:val="21"/>
              </w:rPr>
            </w:pPr>
            <w:r>
              <w:rPr>
                <w:rFonts w:hint="eastAsia" w:ascii="仿宋_GB2312" w:hAnsi="仿宋" w:eastAsia="仿宋_GB2312" w:cs="仿宋"/>
                <w:color w:val="auto"/>
                <w:sz w:val="21"/>
                <w:szCs w:val="21"/>
                <w:lang w:eastAsia="zh-CN"/>
              </w:rPr>
              <w:t>公厕制度、设施管理</w:t>
            </w:r>
          </w:p>
        </w:tc>
        <w:tc>
          <w:tcPr>
            <w:tcW w:w="5953" w:type="dxa"/>
            <w:tcBorders>
              <w:bottom w:val="single" w:color="auto" w:sz="4" w:space="0"/>
            </w:tcBorders>
            <w:shd w:val="clear" w:color="auto" w:fill="FFFFFF"/>
            <w:noWrap w:val="0"/>
            <w:vAlign w:val="center"/>
          </w:tcPr>
          <w:p>
            <w:pPr>
              <w:spacing w:line="300" w:lineRule="exact"/>
              <w:rPr>
                <w:rFonts w:hint="eastAsia" w:ascii="仿宋_GB2312" w:hAnsi="仿宋" w:eastAsia="仿宋_GB2312" w:cs="仿宋"/>
                <w:color w:val="auto"/>
                <w:sz w:val="21"/>
                <w:szCs w:val="21"/>
              </w:rPr>
            </w:pPr>
            <w:r>
              <w:rPr>
                <w:rFonts w:hint="eastAsia" w:ascii="仿宋_GB2312" w:hAnsi="宋体" w:eastAsia="仿宋_GB2312" w:cs="宋体"/>
                <w:color w:val="auto"/>
                <w:kern w:val="0"/>
                <w:sz w:val="21"/>
                <w:szCs w:val="21"/>
              </w:rPr>
              <w:t>未设置公厕管理制度牌和保洁质量监督牌，扣1.5分/处</w:t>
            </w:r>
            <w:r>
              <w:rPr>
                <w:rFonts w:hint="eastAsia" w:ascii="仿宋_GB2312" w:hAnsi="宋体" w:eastAsia="仿宋_GB2312" w:cs="宋体"/>
                <w:color w:val="auto"/>
                <w:kern w:val="0"/>
                <w:sz w:val="21"/>
                <w:szCs w:val="21"/>
                <w:lang w:eastAsia="zh-CN"/>
              </w:rPr>
              <w:t>；</w:t>
            </w:r>
            <w:r>
              <w:rPr>
                <w:rFonts w:hint="eastAsia" w:ascii="仿宋_GB2312" w:hAnsi="宋体" w:eastAsia="仿宋_GB2312" w:cs="宋体"/>
                <w:color w:val="auto"/>
                <w:kern w:val="0"/>
                <w:sz w:val="21"/>
                <w:szCs w:val="21"/>
              </w:rPr>
              <w:t>标识标牌缺失，扣0.</w:t>
            </w:r>
            <w:r>
              <w:rPr>
                <w:rFonts w:hint="eastAsia" w:ascii="仿宋_GB2312" w:hAnsi="宋体" w:eastAsia="仿宋_GB2312" w:cs="宋体"/>
                <w:color w:val="auto"/>
                <w:kern w:val="0"/>
                <w:sz w:val="21"/>
                <w:szCs w:val="21"/>
                <w:lang w:val="en-US" w:eastAsia="zh-CN"/>
              </w:rPr>
              <w:t>5</w:t>
            </w:r>
            <w:r>
              <w:rPr>
                <w:rFonts w:hint="eastAsia" w:ascii="仿宋_GB2312" w:hAnsi="宋体" w:eastAsia="仿宋_GB2312" w:cs="宋体"/>
                <w:color w:val="auto"/>
                <w:kern w:val="0"/>
                <w:sz w:val="21"/>
                <w:szCs w:val="21"/>
              </w:rPr>
              <w:t>分/处</w:t>
            </w:r>
            <w:r>
              <w:rPr>
                <w:rFonts w:hint="eastAsia" w:ascii="仿宋_GB2312" w:hAnsi="宋体" w:eastAsia="仿宋_GB2312" w:cs="宋体"/>
                <w:color w:val="auto"/>
                <w:kern w:val="0"/>
                <w:sz w:val="21"/>
                <w:szCs w:val="21"/>
                <w:lang w:eastAsia="zh-CN"/>
              </w:rPr>
              <w:t>；</w:t>
            </w:r>
            <w:r>
              <w:rPr>
                <w:rFonts w:hint="eastAsia" w:ascii="仿宋_GB2312" w:hAnsi="宋体" w:eastAsia="仿宋_GB2312" w:cs="宋体"/>
                <w:color w:val="auto"/>
                <w:kern w:val="0"/>
                <w:sz w:val="21"/>
                <w:szCs w:val="21"/>
              </w:rPr>
              <w:t>无故关闭第三卫生间、无障碍间、男女厕位，扣3分/处</w:t>
            </w:r>
            <w:r>
              <w:rPr>
                <w:rFonts w:hint="eastAsia" w:ascii="仿宋_GB2312" w:hAnsi="宋体" w:eastAsia="仿宋_GB2312" w:cs="宋体"/>
                <w:color w:val="auto"/>
                <w:kern w:val="0"/>
                <w:sz w:val="21"/>
                <w:szCs w:val="21"/>
                <w:lang w:eastAsia="zh-CN"/>
              </w:rPr>
              <w:t>；</w:t>
            </w:r>
            <w:r>
              <w:rPr>
                <w:rFonts w:hint="eastAsia" w:ascii="仿宋_GB2312" w:hAnsi="宋体" w:eastAsia="仿宋_GB2312" w:cs="宋体"/>
                <w:color w:val="auto"/>
                <w:kern w:val="0"/>
                <w:sz w:val="21"/>
                <w:szCs w:val="21"/>
              </w:rPr>
              <w:t>未免费向公众提供洗手液和手纸服务，扣</w:t>
            </w:r>
            <w:r>
              <w:rPr>
                <w:rFonts w:hint="eastAsia" w:ascii="仿宋_GB2312" w:hAnsi="宋体" w:eastAsia="仿宋_GB2312" w:cs="宋体"/>
                <w:color w:val="auto"/>
                <w:kern w:val="0"/>
                <w:sz w:val="21"/>
                <w:szCs w:val="21"/>
                <w:lang w:val="en-US" w:eastAsia="zh-CN"/>
              </w:rPr>
              <w:t>1</w:t>
            </w:r>
            <w:r>
              <w:rPr>
                <w:rFonts w:hint="eastAsia" w:ascii="仿宋_GB2312" w:hAnsi="宋体" w:eastAsia="仿宋_GB2312" w:cs="宋体"/>
                <w:color w:val="auto"/>
                <w:kern w:val="0"/>
                <w:sz w:val="21"/>
                <w:szCs w:val="21"/>
              </w:rPr>
              <w:t>分/处。</w:t>
            </w:r>
          </w:p>
        </w:tc>
        <w:tc>
          <w:tcPr>
            <w:tcW w:w="818" w:type="dxa"/>
            <w:tcBorders>
              <w:bottom w:val="single" w:color="auto" w:sz="4" w:space="0"/>
            </w:tcBorders>
            <w:noWrap w:val="0"/>
            <w:vAlign w:val="center"/>
          </w:tcPr>
          <w:p>
            <w:pPr>
              <w:spacing w:line="300" w:lineRule="exact"/>
              <w:rPr>
                <w:rFonts w:hint="eastAsia" w:ascii="仿宋_GB2312" w:hAnsi="仿宋" w:eastAsia="仿宋_GB2312"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noWrap w:val="0"/>
            <w:vAlign w:val="center"/>
          </w:tcPr>
          <w:p>
            <w:pPr>
              <w:spacing w:line="300" w:lineRule="exact"/>
              <w:jc w:val="center"/>
              <w:rPr>
                <w:rFonts w:hint="eastAsia" w:ascii="仿宋_GB2312" w:hAnsi="仿宋" w:eastAsia="仿宋_GB2312" w:cs="仿宋"/>
                <w:sz w:val="21"/>
                <w:szCs w:val="21"/>
              </w:rPr>
            </w:pPr>
          </w:p>
        </w:tc>
        <w:tc>
          <w:tcPr>
            <w:tcW w:w="1085" w:type="dxa"/>
            <w:shd w:val="clear" w:color="auto" w:fill="auto"/>
            <w:noWrap w:val="0"/>
            <w:vAlign w:val="center"/>
          </w:tcPr>
          <w:p>
            <w:pPr>
              <w:spacing w:line="300" w:lineRule="exact"/>
              <w:jc w:val="center"/>
              <w:rPr>
                <w:rFonts w:hint="eastAsia" w:ascii="仿宋_GB2312" w:hAnsi="仿宋" w:eastAsia="仿宋_GB2312" w:cs="仿宋"/>
                <w:color w:val="auto"/>
                <w:spacing w:val="-4"/>
                <w:sz w:val="21"/>
                <w:szCs w:val="21"/>
              </w:rPr>
            </w:pPr>
            <w:r>
              <w:rPr>
                <w:rFonts w:hint="eastAsia" w:ascii="仿宋_GB2312" w:hAnsi="仿宋" w:eastAsia="仿宋_GB2312" w:cs="仿宋"/>
                <w:color w:val="auto"/>
                <w:sz w:val="21"/>
                <w:szCs w:val="21"/>
                <w:lang w:eastAsia="zh-CN"/>
              </w:rPr>
              <w:t>公厕保洁管理</w:t>
            </w:r>
          </w:p>
        </w:tc>
        <w:tc>
          <w:tcPr>
            <w:tcW w:w="5953" w:type="dxa"/>
            <w:tcBorders>
              <w:bottom w:val="single" w:color="auto" w:sz="4" w:space="0"/>
            </w:tcBorders>
            <w:shd w:val="clear" w:color="auto" w:fill="FFFFFF"/>
            <w:noWrap w:val="0"/>
            <w:vAlign w:val="center"/>
          </w:tcPr>
          <w:p>
            <w:pPr>
              <w:spacing w:line="300" w:lineRule="exact"/>
              <w:rPr>
                <w:rFonts w:hint="eastAsia" w:ascii="仿宋_GB2312" w:hAnsi="仿宋" w:eastAsia="仿宋_GB2312" w:cs="仿宋"/>
                <w:color w:val="auto"/>
                <w:sz w:val="21"/>
                <w:szCs w:val="21"/>
              </w:rPr>
            </w:pPr>
            <w:r>
              <w:rPr>
                <w:rFonts w:hint="eastAsia" w:ascii="仿宋_GB2312" w:hAnsi="宋体" w:eastAsia="仿宋_GB2312" w:cs="宋体"/>
                <w:color w:val="auto"/>
                <w:kern w:val="0"/>
                <w:sz w:val="21"/>
                <w:szCs w:val="21"/>
              </w:rPr>
              <w:t>内外环境、厕位、墙面、地面和设施设备不洁 ，扣0.5分/处</w:t>
            </w:r>
            <w:r>
              <w:rPr>
                <w:rFonts w:hint="eastAsia" w:ascii="仿宋_GB2312" w:hAnsi="宋体" w:eastAsia="仿宋_GB2312" w:cs="宋体"/>
                <w:color w:val="auto"/>
                <w:kern w:val="0"/>
                <w:sz w:val="21"/>
                <w:szCs w:val="21"/>
                <w:lang w:eastAsia="zh-CN"/>
              </w:rPr>
              <w:t>；</w:t>
            </w:r>
            <w:r>
              <w:rPr>
                <w:rFonts w:hint="eastAsia" w:ascii="仿宋_GB2312" w:hAnsi="宋体" w:eastAsia="仿宋_GB2312" w:cs="宋体"/>
                <w:color w:val="auto"/>
                <w:kern w:val="0"/>
                <w:sz w:val="21"/>
                <w:szCs w:val="21"/>
              </w:rPr>
              <w:t>未设置分类垃圾桶（其他垃圾、可回收物），垃圾桶或纸篓满溢，扣0.5分/处</w:t>
            </w:r>
            <w:r>
              <w:rPr>
                <w:rFonts w:hint="eastAsia" w:ascii="仿宋_GB2312" w:hAnsi="宋体" w:eastAsia="仿宋_GB2312" w:cs="宋体"/>
                <w:color w:val="auto"/>
                <w:kern w:val="0"/>
                <w:sz w:val="21"/>
                <w:szCs w:val="21"/>
                <w:lang w:eastAsia="zh-CN"/>
              </w:rPr>
              <w:t>；</w:t>
            </w:r>
            <w:r>
              <w:rPr>
                <w:rFonts w:hint="eastAsia" w:ascii="仿宋_GB2312" w:hAnsi="宋体" w:eastAsia="仿宋_GB2312" w:cs="宋体"/>
                <w:color w:val="auto"/>
                <w:kern w:val="0"/>
                <w:sz w:val="21"/>
                <w:szCs w:val="21"/>
              </w:rPr>
              <w:t>有明显臭味，扣2分/处</w:t>
            </w:r>
            <w:r>
              <w:rPr>
                <w:rFonts w:hint="eastAsia" w:ascii="仿宋_GB2312" w:hAnsi="宋体" w:eastAsia="仿宋_GB2312" w:cs="宋体"/>
                <w:color w:val="auto"/>
                <w:kern w:val="0"/>
                <w:sz w:val="21"/>
                <w:szCs w:val="21"/>
                <w:lang w:eastAsia="zh-CN"/>
              </w:rPr>
              <w:t>；</w:t>
            </w:r>
            <w:r>
              <w:rPr>
                <w:rFonts w:hint="eastAsia" w:ascii="仿宋_GB2312" w:hAnsi="宋体" w:eastAsia="仿宋_GB2312" w:cs="宋体"/>
                <w:color w:val="auto"/>
                <w:kern w:val="0"/>
                <w:sz w:val="21"/>
                <w:szCs w:val="21"/>
              </w:rPr>
              <w:t>倒粪处以及大、小便器（槽）有水锈、尿垢、积粪，扣0.</w:t>
            </w:r>
            <w:r>
              <w:rPr>
                <w:rFonts w:hint="eastAsia" w:ascii="仿宋_GB2312" w:hAnsi="宋体" w:cs="宋体"/>
                <w:color w:val="auto"/>
                <w:kern w:val="0"/>
                <w:sz w:val="21"/>
                <w:szCs w:val="21"/>
                <w:lang w:val="en-US" w:eastAsia="zh-CN"/>
              </w:rPr>
              <w:t>5</w:t>
            </w:r>
            <w:r>
              <w:rPr>
                <w:rFonts w:hint="eastAsia" w:ascii="仿宋_GB2312" w:hAnsi="宋体" w:eastAsia="仿宋_GB2312" w:cs="宋体"/>
                <w:color w:val="auto"/>
                <w:kern w:val="0"/>
                <w:sz w:val="21"/>
                <w:szCs w:val="21"/>
              </w:rPr>
              <w:t>分/处</w:t>
            </w:r>
            <w:r>
              <w:rPr>
                <w:rFonts w:hint="eastAsia" w:ascii="仿宋_GB2312" w:hAnsi="宋体" w:eastAsia="仿宋_GB2312" w:cs="宋体"/>
                <w:color w:val="auto"/>
                <w:kern w:val="0"/>
                <w:sz w:val="21"/>
                <w:szCs w:val="21"/>
                <w:lang w:eastAsia="zh-CN"/>
              </w:rPr>
              <w:t>。</w:t>
            </w:r>
          </w:p>
        </w:tc>
        <w:tc>
          <w:tcPr>
            <w:tcW w:w="818" w:type="dxa"/>
            <w:tcBorders>
              <w:bottom w:val="single" w:color="auto" w:sz="4" w:space="0"/>
            </w:tcBorders>
            <w:noWrap w:val="0"/>
            <w:vAlign w:val="center"/>
          </w:tcPr>
          <w:p>
            <w:pPr>
              <w:spacing w:line="300" w:lineRule="exact"/>
              <w:rPr>
                <w:rFonts w:hint="eastAsia" w:ascii="仿宋_GB2312" w:hAnsi="仿宋" w:eastAsia="仿宋_GB2312"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eastAsia="仿宋_GB2312"/>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eastAsia="仿宋_GB2312"/>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eastAsia="仿宋_GB2312"/>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eastAsia="仿宋_GB2312"/>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道路    设施</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 w:eastAsia="仿宋_GB2312" w:cs="仿宋"/>
                <w:sz w:val="21"/>
                <w:szCs w:val="21"/>
              </w:rPr>
            </w:pPr>
            <w:r>
              <w:rPr>
                <w:rFonts w:hint="eastAsia" w:ascii="仿宋_GB2312" w:eastAsia="仿宋_GB2312"/>
                <w:sz w:val="21"/>
                <w:szCs w:val="21"/>
              </w:rPr>
              <w:t>养护</w:t>
            </w:r>
          </w:p>
        </w:tc>
        <w:tc>
          <w:tcPr>
            <w:tcW w:w="1085" w:type="dxa"/>
            <w:shd w:val="clear" w:color="auto" w:fill="auto"/>
            <w:noWrap w:val="0"/>
            <w:vAlign w:val="center"/>
          </w:tcPr>
          <w:p>
            <w:pPr>
              <w:spacing w:line="300" w:lineRule="exact"/>
              <w:jc w:val="center"/>
              <w:rPr>
                <w:rFonts w:hint="eastAsia" w:ascii="仿宋_GB2312" w:hAnsi="宋体" w:eastAsia="仿宋_GB2312" w:cs="宋体"/>
                <w:kern w:val="0"/>
                <w:sz w:val="21"/>
                <w:szCs w:val="21"/>
              </w:rPr>
            </w:pPr>
            <w:r>
              <w:rPr>
                <w:rFonts w:hint="eastAsia" w:ascii="仿宋_GB2312" w:eastAsia="仿宋_GB2312"/>
                <w:sz w:val="21"/>
                <w:szCs w:val="21"/>
              </w:rPr>
              <w:t>路面养护</w:t>
            </w:r>
          </w:p>
        </w:tc>
        <w:tc>
          <w:tcPr>
            <w:tcW w:w="5953" w:type="dxa"/>
            <w:shd w:val="clear" w:color="auto" w:fill="FFFFFF"/>
            <w:noWrap w:val="0"/>
            <w:vAlign w:val="center"/>
          </w:tcPr>
          <w:p>
            <w:pPr>
              <w:spacing w:line="300" w:lineRule="exact"/>
              <w:rPr>
                <w:rFonts w:hint="eastAsia" w:ascii="仿宋_GB2312" w:hAnsi="宋体" w:eastAsia="仿宋_GB2312" w:cs="宋体"/>
                <w:kern w:val="0"/>
                <w:sz w:val="21"/>
                <w:szCs w:val="21"/>
              </w:rPr>
            </w:pPr>
            <w:r>
              <w:rPr>
                <w:rFonts w:hint="eastAsia" w:ascii="仿宋_GB2312" w:eastAsia="仿宋_GB2312"/>
                <w:sz w:val="21"/>
                <w:szCs w:val="21"/>
              </w:rPr>
              <w:t>路面裂缝每处扣1分,超出养护标准2倍扣3分；路面破损、网裂、接坡、碎裂等每处扣</w:t>
            </w:r>
            <w:r>
              <w:rPr>
                <w:rFonts w:hint="eastAsia" w:ascii="仿宋_GB2312" w:eastAsia="仿宋_GB2312"/>
                <w:sz w:val="21"/>
                <w:szCs w:val="21"/>
                <w:lang w:val="en-US" w:eastAsia="zh-CN"/>
              </w:rPr>
              <w:t>1</w:t>
            </w:r>
            <w:r>
              <w:rPr>
                <w:rFonts w:hint="eastAsia" w:ascii="仿宋_GB2312" w:eastAsia="仿宋_GB2312"/>
                <w:sz w:val="21"/>
                <w:szCs w:val="21"/>
              </w:rPr>
              <w:t>分；1平方米以内坑洞、坑槽每处扣</w:t>
            </w:r>
            <w:r>
              <w:rPr>
                <w:rFonts w:hint="eastAsia" w:ascii="仿宋_GB2312" w:eastAsia="仿宋_GB2312"/>
                <w:sz w:val="21"/>
                <w:szCs w:val="21"/>
                <w:lang w:val="en-US" w:eastAsia="zh-CN"/>
              </w:rPr>
              <w:t>1</w:t>
            </w:r>
            <w:r>
              <w:rPr>
                <w:rFonts w:hint="eastAsia" w:ascii="仿宋_GB2312" w:eastAsia="仿宋_GB2312"/>
                <w:sz w:val="21"/>
                <w:szCs w:val="21"/>
              </w:rPr>
              <w:t>分、超出1平方米扣</w:t>
            </w:r>
            <w:r>
              <w:rPr>
                <w:rFonts w:hint="eastAsia" w:ascii="仿宋_GB2312" w:eastAsia="仿宋_GB2312"/>
                <w:sz w:val="21"/>
                <w:szCs w:val="21"/>
                <w:lang w:val="en-US" w:eastAsia="zh-CN"/>
              </w:rPr>
              <w:t>3</w:t>
            </w:r>
            <w:r>
              <w:rPr>
                <w:rFonts w:hint="eastAsia" w:ascii="仿宋_GB2312" w:eastAsia="仿宋_GB2312"/>
                <w:sz w:val="21"/>
                <w:szCs w:val="21"/>
              </w:rPr>
              <w:t>分；下沉造成</w:t>
            </w:r>
            <w:r>
              <w:rPr>
                <w:rFonts w:hint="eastAsia" w:ascii="仿宋_GB2312" w:hAnsi="仿宋_GB2312" w:eastAsia="仿宋_GB2312" w:cs="仿宋_GB2312"/>
                <w:sz w:val="21"/>
                <w:szCs w:val="21"/>
              </w:rPr>
              <w:t>较大面积积水</w:t>
            </w:r>
            <w:r>
              <w:rPr>
                <w:rFonts w:hint="eastAsia" w:ascii="仿宋_GB2312" w:eastAsia="仿宋_GB2312"/>
                <w:sz w:val="21"/>
                <w:szCs w:val="21"/>
              </w:rPr>
              <w:t>每处</w:t>
            </w:r>
            <w:r>
              <w:rPr>
                <w:rFonts w:hint="eastAsia" w:ascii="仿宋_GB2312" w:hAnsi="仿宋_GB2312" w:eastAsia="仿宋_GB2312" w:cs="仿宋_GB2312"/>
                <w:sz w:val="21"/>
                <w:szCs w:val="21"/>
              </w:rPr>
              <w:t>扣</w:t>
            </w:r>
            <w:r>
              <w:rPr>
                <w:rFonts w:hint="eastAsia" w:ascii="仿宋_GB2312" w:hAnsi="仿宋_GB2312" w:eastAsia="仿宋_GB2312" w:cs="仿宋_GB2312"/>
                <w:sz w:val="21"/>
                <w:szCs w:val="21"/>
                <w:lang w:val="en-US" w:eastAsia="zh-CN"/>
              </w:rPr>
              <w:t>1</w:t>
            </w:r>
            <w:r>
              <w:rPr>
                <w:rFonts w:hint="eastAsia" w:ascii="仿宋_GB2312" w:eastAsia="仿宋_GB2312"/>
                <w:sz w:val="21"/>
                <w:szCs w:val="21"/>
              </w:rPr>
              <w:t>-</w:t>
            </w:r>
            <w:r>
              <w:rPr>
                <w:rFonts w:hint="eastAsia" w:ascii="仿宋_GB2312" w:eastAsia="仿宋_GB2312"/>
                <w:sz w:val="21"/>
                <w:szCs w:val="21"/>
                <w:lang w:val="en-US" w:eastAsia="zh-CN"/>
              </w:rPr>
              <w:t>3</w:t>
            </w:r>
            <w:r>
              <w:rPr>
                <w:rFonts w:hint="eastAsia" w:ascii="仿宋_GB2312" w:eastAsia="仿宋_GB2312"/>
                <w:sz w:val="21"/>
                <w:szCs w:val="21"/>
              </w:rPr>
              <w:t>分；路面其他病害每处扣2分。</w:t>
            </w:r>
          </w:p>
        </w:tc>
        <w:tc>
          <w:tcPr>
            <w:tcW w:w="818" w:type="dxa"/>
            <w:noWrap w:val="0"/>
            <w:vAlign w:val="center"/>
          </w:tcPr>
          <w:p>
            <w:pPr>
              <w:spacing w:line="300" w:lineRule="exact"/>
              <w:rPr>
                <w:rFonts w:hint="eastAsia" w:ascii="仿宋_GB2312" w:hAnsi="仿宋" w:eastAsia="仿宋_GB2312"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noWrap w:val="0"/>
            <w:vAlign w:val="center"/>
          </w:tcPr>
          <w:p>
            <w:pPr>
              <w:spacing w:line="300" w:lineRule="exact"/>
              <w:jc w:val="left"/>
              <w:rPr>
                <w:rFonts w:hint="eastAsia" w:ascii="仿宋_GB2312" w:hAnsi="仿宋" w:eastAsia="仿宋_GB2312" w:cs="仿宋"/>
                <w:sz w:val="21"/>
                <w:szCs w:val="21"/>
              </w:rPr>
            </w:pPr>
          </w:p>
        </w:tc>
        <w:tc>
          <w:tcPr>
            <w:tcW w:w="1085" w:type="dxa"/>
            <w:shd w:val="clear" w:color="auto" w:fill="auto"/>
            <w:noWrap w:val="0"/>
            <w:vAlign w:val="center"/>
          </w:tcPr>
          <w:p>
            <w:pPr>
              <w:tabs>
                <w:tab w:val="left" w:pos="339"/>
              </w:tabs>
              <w:spacing w:line="300" w:lineRule="exact"/>
              <w:jc w:val="left"/>
              <w:rPr>
                <w:rFonts w:hint="eastAsia" w:ascii="仿宋_GB2312" w:hAnsi="宋体" w:eastAsia="仿宋_GB2312" w:cs="宋体"/>
                <w:kern w:val="0"/>
                <w:sz w:val="21"/>
                <w:szCs w:val="21"/>
                <w:lang w:eastAsia="zh-CN"/>
              </w:rPr>
            </w:pPr>
            <w:r>
              <w:rPr>
                <w:rFonts w:hint="eastAsia" w:ascii="仿宋_GB2312" w:eastAsia="仿宋_GB2312"/>
                <w:sz w:val="21"/>
                <w:szCs w:val="21"/>
              </w:rPr>
              <w:t>人行道养护</w:t>
            </w:r>
          </w:p>
        </w:tc>
        <w:tc>
          <w:tcPr>
            <w:tcW w:w="5953" w:type="dxa"/>
            <w:shd w:val="clear" w:color="auto" w:fill="FFFFFF"/>
            <w:noWrap w:val="0"/>
            <w:vAlign w:val="center"/>
          </w:tcPr>
          <w:p>
            <w:pPr>
              <w:spacing w:line="300" w:lineRule="exact"/>
              <w:rPr>
                <w:rFonts w:hint="eastAsia" w:ascii="仿宋_GB2312" w:hAnsi="宋体" w:eastAsia="仿宋_GB2312" w:cs="宋体"/>
                <w:kern w:val="0"/>
                <w:sz w:val="21"/>
                <w:szCs w:val="21"/>
              </w:rPr>
            </w:pPr>
            <w:r>
              <w:rPr>
                <w:rFonts w:hint="eastAsia" w:ascii="仿宋_GB2312" w:eastAsia="仿宋_GB2312"/>
                <w:sz w:val="21"/>
                <w:szCs w:val="21"/>
              </w:rPr>
              <w:t>人行道破损每处扣</w:t>
            </w:r>
            <w:r>
              <w:rPr>
                <w:rFonts w:hint="eastAsia" w:ascii="仿宋_GB2312" w:eastAsia="仿宋_GB2312"/>
                <w:sz w:val="21"/>
                <w:szCs w:val="21"/>
                <w:lang w:val="en-US" w:eastAsia="zh-CN"/>
              </w:rPr>
              <w:t>1</w:t>
            </w:r>
            <w:r>
              <w:rPr>
                <w:rFonts w:hint="eastAsia" w:ascii="仿宋_GB2312" w:eastAsia="仿宋_GB2312"/>
                <w:sz w:val="21"/>
                <w:szCs w:val="21"/>
              </w:rPr>
              <w:t>分、松动每处扣</w:t>
            </w:r>
            <w:r>
              <w:rPr>
                <w:rFonts w:hint="eastAsia" w:ascii="仿宋_GB2312" w:eastAsia="仿宋_GB2312"/>
                <w:sz w:val="21"/>
                <w:szCs w:val="21"/>
                <w:lang w:val="en-US" w:eastAsia="zh-CN"/>
              </w:rPr>
              <w:t>0.5</w:t>
            </w:r>
            <w:r>
              <w:rPr>
                <w:rFonts w:hint="eastAsia" w:ascii="仿宋_GB2312" w:eastAsia="仿宋_GB2312"/>
                <w:sz w:val="21"/>
                <w:szCs w:val="21"/>
              </w:rPr>
              <w:t>分，超出养护标准2倍扣3分；1平方米以内坑洞、坑槽每处扣</w:t>
            </w:r>
            <w:r>
              <w:rPr>
                <w:rFonts w:hint="eastAsia" w:ascii="仿宋_GB2312" w:eastAsia="仿宋_GB2312"/>
                <w:sz w:val="21"/>
                <w:szCs w:val="21"/>
                <w:lang w:val="en-US" w:eastAsia="zh-CN"/>
              </w:rPr>
              <w:t>1</w:t>
            </w:r>
            <w:r>
              <w:rPr>
                <w:rFonts w:hint="eastAsia" w:ascii="仿宋_GB2312" w:eastAsia="仿宋_GB2312"/>
                <w:sz w:val="21"/>
                <w:szCs w:val="21"/>
              </w:rPr>
              <w:t>分、超出1平方米扣</w:t>
            </w:r>
            <w:r>
              <w:rPr>
                <w:rFonts w:hint="eastAsia" w:ascii="仿宋_GB2312" w:eastAsia="仿宋_GB2312"/>
                <w:sz w:val="21"/>
                <w:szCs w:val="21"/>
                <w:lang w:val="en-US" w:eastAsia="zh-CN"/>
              </w:rPr>
              <w:t>3</w:t>
            </w:r>
            <w:r>
              <w:rPr>
                <w:rFonts w:hint="eastAsia" w:ascii="仿宋_GB2312" w:eastAsia="仿宋_GB2312"/>
                <w:sz w:val="21"/>
                <w:szCs w:val="21"/>
              </w:rPr>
              <w:t>分；平侧石破损缺失每处扣</w:t>
            </w:r>
            <w:r>
              <w:rPr>
                <w:rFonts w:hint="eastAsia" w:ascii="仿宋_GB2312" w:eastAsia="仿宋_GB2312"/>
                <w:sz w:val="21"/>
                <w:szCs w:val="21"/>
                <w:lang w:val="en-US" w:eastAsia="zh-CN"/>
              </w:rPr>
              <w:t>1</w:t>
            </w:r>
            <w:r>
              <w:rPr>
                <w:rFonts w:hint="eastAsia" w:ascii="仿宋_GB2312" w:eastAsia="仿宋_GB2312"/>
                <w:sz w:val="21"/>
                <w:szCs w:val="21"/>
              </w:rPr>
              <w:t>分；无障碍设施不规范每处扣2分；人行道其他病害每处2分。</w:t>
            </w:r>
          </w:p>
        </w:tc>
        <w:tc>
          <w:tcPr>
            <w:tcW w:w="818" w:type="dxa"/>
            <w:noWrap w:val="0"/>
            <w:vAlign w:val="center"/>
          </w:tcPr>
          <w:p>
            <w:pPr>
              <w:spacing w:line="300" w:lineRule="exact"/>
              <w:rPr>
                <w:rFonts w:hint="eastAsia" w:ascii="仿宋_GB2312" w:hAnsi="仿宋" w:eastAsia="仿宋_GB2312"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noWrap w:val="0"/>
            <w:vAlign w:val="center"/>
          </w:tcPr>
          <w:p>
            <w:pPr>
              <w:spacing w:line="300" w:lineRule="exact"/>
              <w:jc w:val="left"/>
              <w:rPr>
                <w:rFonts w:hint="eastAsia" w:ascii="仿宋_GB2312" w:hAnsi="仿宋" w:eastAsia="仿宋_GB2312" w:cs="仿宋"/>
                <w:sz w:val="21"/>
                <w:szCs w:val="21"/>
              </w:rPr>
            </w:pPr>
          </w:p>
        </w:tc>
        <w:tc>
          <w:tcPr>
            <w:tcW w:w="1085" w:type="dxa"/>
            <w:shd w:val="clear" w:color="auto" w:fill="auto"/>
            <w:noWrap w:val="0"/>
            <w:vAlign w:val="center"/>
          </w:tcPr>
          <w:p>
            <w:pPr>
              <w:spacing w:line="300" w:lineRule="exact"/>
              <w:jc w:val="center"/>
              <w:rPr>
                <w:rFonts w:hint="eastAsia" w:ascii="仿宋_GB2312" w:hAnsi="宋体" w:eastAsia="仿宋_GB2312" w:cs="宋体"/>
                <w:kern w:val="0"/>
                <w:sz w:val="21"/>
                <w:szCs w:val="21"/>
              </w:rPr>
            </w:pPr>
            <w:r>
              <w:rPr>
                <w:rFonts w:hint="eastAsia" w:ascii="仿宋_GB2312" w:eastAsia="仿宋_GB2312"/>
                <w:sz w:val="21"/>
                <w:szCs w:val="21"/>
              </w:rPr>
              <w:t>窨井盖养护</w:t>
            </w:r>
          </w:p>
        </w:tc>
        <w:tc>
          <w:tcPr>
            <w:tcW w:w="5953" w:type="dxa"/>
            <w:shd w:val="clear" w:color="auto" w:fill="FFFFFF"/>
            <w:noWrap w:val="0"/>
            <w:vAlign w:val="center"/>
          </w:tcPr>
          <w:p>
            <w:pPr>
              <w:spacing w:line="300" w:lineRule="exact"/>
              <w:rPr>
                <w:rFonts w:hint="eastAsia" w:ascii="仿宋_GB2312" w:hAnsi="宋体" w:eastAsia="仿宋_GB2312" w:cs="宋体"/>
                <w:kern w:val="0"/>
                <w:sz w:val="21"/>
                <w:szCs w:val="21"/>
              </w:rPr>
            </w:pPr>
            <w:r>
              <w:rPr>
                <w:rFonts w:hint="eastAsia" w:ascii="仿宋_GB2312" w:eastAsia="仿宋_GB2312"/>
                <w:sz w:val="21"/>
                <w:szCs w:val="21"/>
              </w:rPr>
              <w:t>雨水检查井盖、雨水篦子与道路存在较大高差或破损每处扣</w:t>
            </w:r>
            <w:r>
              <w:rPr>
                <w:rFonts w:hint="eastAsia" w:ascii="仿宋_GB2312" w:eastAsia="仿宋_GB2312"/>
                <w:sz w:val="21"/>
                <w:szCs w:val="21"/>
                <w:lang w:val="en-US" w:eastAsia="zh-CN"/>
              </w:rPr>
              <w:t>1</w:t>
            </w:r>
            <w:r>
              <w:rPr>
                <w:rFonts w:hint="eastAsia" w:ascii="仿宋_GB2312" w:eastAsia="仿宋_GB2312"/>
                <w:sz w:val="21"/>
                <w:szCs w:val="21"/>
              </w:rPr>
              <w:t>分；其他井盖与道路存在较大高差或破损每处扣</w:t>
            </w:r>
            <w:r>
              <w:rPr>
                <w:rFonts w:hint="eastAsia" w:ascii="仿宋_GB2312" w:eastAsia="仿宋_GB2312"/>
                <w:sz w:val="21"/>
                <w:szCs w:val="21"/>
                <w:lang w:val="en-US" w:eastAsia="zh-CN"/>
              </w:rPr>
              <w:t>1</w:t>
            </w:r>
            <w:r>
              <w:rPr>
                <w:rFonts w:hint="eastAsia" w:ascii="仿宋_GB2312" w:eastAsia="仿宋_GB2312"/>
                <w:sz w:val="21"/>
                <w:szCs w:val="21"/>
              </w:rPr>
              <w:t>分；窨井井圈、盖板存在破损、断裂的每处扣</w:t>
            </w:r>
            <w:r>
              <w:rPr>
                <w:rFonts w:hint="eastAsia" w:ascii="仿宋_GB2312" w:eastAsia="仿宋_GB2312"/>
                <w:sz w:val="21"/>
                <w:szCs w:val="21"/>
                <w:lang w:val="en-US" w:eastAsia="zh-CN"/>
              </w:rPr>
              <w:t>2</w:t>
            </w:r>
            <w:r>
              <w:rPr>
                <w:rFonts w:hint="eastAsia" w:ascii="仿宋_GB2312" w:eastAsia="仿宋_GB2312"/>
                <w:sz w:val="21"/>
                <w:szCs w:val="21"/>
              </w:rPr>
              <w:t>分，窨井盖板缺失等存在安全隐患的每处扣5分，反盖、错盖、松动每处扣</w:t>
            </w:r>
            <w:r>
              <w:rPr>
                <w:rFonts w:hint="eastAsia" w:ascii="仿宋_GB2312" w:eastAsia="仿宋_GB2312"/>
                <w:sz w:val="21"/>
                <w:szCs w:val="21"/>
                <w:lang w:val="en-US" w:eastAsia="zh-CN"/>
              </w:rPr>
              <w:t>1</w:t>
            </w:r>
            <w:r>
              <w:rPr>
                <w:rFonts w:hint="eastAsia" w:ascii="仿宋_GB2312" w:eastAsia="仿宋_GB2312"/>
                <w:sz w:val="21"/>
                <w:szCs w:val="21"/>
              </w:rPr>
              <w:t>分。</w:t>
            </w:r>
          </w:p>
        </w:tc>
        <w:tc>
          <w:tcPr>
            <w:tcW w:w="818" w:type="dxa"/>
            <w:noWrap w:val="0"/>
            <w:vAlign w:val="center"/>
          </w:tcPr>
          <w:p>
            <w:pPr>
              <w:spacing w:line="300" w:lineRule="exact"/>
              <w:rPr>
                <w:rFonts w:hint="eastAsia" w:ascii="仿宋_GB2312" w:hAnsi="仿宋" w:eastAsia="仿宋_GB2312"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noWrap w:val="0"/>
            <w:vAlign w:val="center"/>
          </w:tcPr>
          <w:p>
            <w:pPr>
              <w:spacing w:line="300" w:lineRule="exact"/>
              <w:jc w:val="left"/>
              <w:rPr>
                <w:rFonts w:hint="eastAsia" w:ascii="仿宋_GB2312" w:hAnsi="仿宋" w:eastAsia="仿宋_GB2312" w:cs="仿宋"/>
                <w:sz w:val="21"/>
                <w:szCs w:val="21"/>
              </w:rPr>
            </w:pPr>
          </w:p>
        </w:tc>
        <w:tc>
          <w:tcPr>
            <w:tcW w:w="1085" w:type="dxa"/>
            <w:shd w:val="clear" w:color="auto" w:fill="auto"/>
            <w:noWrap w:val="0"/>
            <w:vAlign w:val="center"/>
          </w:tcPr>
          <w:p>
            <w:pPr>
              <w:tabs>
                <w:tab w:val="left" w:pos="279"/>
              </w:tabs>
              <w:spacing w:line="300" w:lineRule="exact"/>
              <w:jc w:val="left"/>
              <w:rPr>
                <w:rFonts w:hint="eastAsia" w:ascii="仿宋_GB2312" w:eastAsia="仿宋_GB2312"/>
                <w:sz w:val="21"/>
                <w:szCs w:val="21"/>
                <w:lang w:eastAsia="zh-CN"/>
              </w:rPr>
            </w:pPr>
            <w:r>
              <w:rPr>
                <w:rFonts w:hint="eastAsia" w:ascii="仿宋_GB2312" w:eastAsia="仿宋_GB2312"/>
                <w:sz w:val="21"/>
                <w:szCs w:val="21"/>
              </w:rPr>
              <w:t>市政基础设施完整率</w:t>
            </w:r>
          </w:p>
        </w:tc>
        <w:tc>
          <w:tcPr>
            <w:tcW w:w="5953" w:type="dxa"/>
            <w:shd w:val="clear" w:color="auto" w:fill="FFFFFF"/>
            <w:noWrap w:val="0"/>
            <w:vAlign w:val="center"/>
          </w:tcPr>
          <w:p>
            <w:pPr>
              <w:spacing w:line="300" w:lineRule="exact"/>
              <w:rPr>
                <w:rFonts w:hint="eastAsia" w:ascii="仿宋_GB2312" w:eastAsia="仿宋_GB2312"/>
                <w:sz w:val="21"/>
                <w:szCs w:val="21"/>
              </w:rPr>
            </w:pPr>
            <w:r>
              <w:rPr>
                <w:rFonts w:hint="eastAsia" w:ascii="仿宋_GB2312" w:eastAsia="仿宋_GB2312"/>
                <w:sz w:val="21"/>
                <w:szCs w:val="21"/>
              </w:rPr>
              <w:t>道路无人行道设施或人行道成段断缺、未设置无障碍设施、无照明设施等每处扣</w:t>
            </w:r>
            <w:r>
              <w:rPr>
                <w:rFonts w:hint="eastAsia" w:ascii="仿宋_GB2312" w:eastAsia="仿宋_GB2312"/>
                <w:sz w:val="21"/>
                <w:szCs w:val="21"/>
                <w:lang w:val="en-US" w:eastAsia="zh-CN"/>
              </w:rPr>
              <w:t>1</w:t>
            </w:r>
            <w:r>
              <w:rPr>
                <w:rFonts w:hint="eastAsia" w:ascii="仿宋_GB2312" w:eastAsia="仿宋_GB2312"/>
                <w:sz w:val="21"/>
                <w:szCs w:val="21"/>
              </w:rPr>
              <w:t>-</w:t>
            </w:r>
            <w:r>
              <w:rPr>
                <w:rFonts w:hint="eastAsia" w:ascii="仿宋_GB2312" w:eastAsia="仿宋_GB2312"/>
                <w:sz w:val="21"/>
                <w:szCs w:val="21"/>
                <w:lang w:val="en-US" w:eastAsia="zh-CN"/>
              </w:rPr>
              <w:t>5</w:t>
            </w:r>
            <w:r>
              <w:rPr>
                <w:rFonts w:hint="eastAsia" w:ascii="仿宋_GB2312" w:eastAsia="仿宋_GB2312"/>
                <w:sz w:val="21"/>
                <w:szCs w:val="21"/>
              </w:rPr>
              <w:t>分。</w:t>
            </w:r>
          </w:p>
        </w:tc>
        <w:tc>
          <w:tcPr>
            <w:tcW w:w="818" w:type="dxa"/>
            <w:noWrap w:val="0"/>
            <w:vAlign w:val="center"/>
          </w:tcPr>
          <w:p>
            <w:pPr>
              <w:spacing w:line="300" w:lineRule="exact"/>
              <w:rPr>
                <w:rFonts w:hint="eastAsia" w:ascii="仿宋_GB2312" w:hAnsi="仿宋" w:eastAsia="仿宋_GB2312"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 w:eastAsia="仿宋_GB2312" w:cs="仿宋"/>
                <w:sz w:val="21"/>
                <w:szCs w:val="21"/>
              </w:rPr>
            </w:pPr>
            <w:r>
              <w:rPr>
                <w:rFonts w:hint="eastAsia" w:ascii="仿宋_GB2312" w:eastAsia="仿宋_GB2312"/>
                <w:sz w:val="21"/>
                <w:szCs w:val="21"/>
              </w:rPr>
              <w:t>排水设施</w:t>
            </w:r>
          </w:p>
        </w:tc>
        <w:tc>
          <w:tcPr>
            <w:tcW w:w="1085" w:type="dxa"/>
            <w:shd w:val="clear" w:color="auto" w:fill="auto"/>
            <w:noWrap w:val="0"/>
            <w:vAlign w:val="center"/>
          </w:tcPr>
          <w:p>
            <w:pPr>
              <w:spacing w:line="300" w:lineRule="exact"/>
              <w:jc w:val="center"/>
              <w:rPr>
                <w:rFonts w:hint="eastAsia" w:ascii="仿宋_GB2312" w:eastAsia="仿宋_GB2312"/>
                <w:sz w:val="21"/>
                <w:szCs w:val="21"/>
              </w:rPr>
            </w:pPr>
            <w:r>
              <w:rPr>
                <w:rFonts w:hint="eastAsia" w:ascii="仿宋_GB2312" w:eastAsia="仿宋_GB2312"/>
                <w:spacing w:val="-8"/>
                <w:sz w:val="21"/>
                <w:szCs w:val="21"/>
              </w:rPr>
              <w:t>市政管网清淤专项检查</w:t>
            </w:r>
          </w:p>
        </w:tc>
        <w:tc>
          <w:tcPr>
            <w:tcW w:w="5953" w:type="dxa"/>
            <w:shd w:val="clear" w:color="auto" w:fill="FFFFFF"/>
            <w:noWrap w:val="0"/>
            <w:vAlign w:val="center"/>
          </w:tcPr>
          <w:p>
            <w:pPr>
              <w:spacing w:line="300" w:lineRule="exact"/>
              <w:rPr>
                <w:rFonts w:hint="eastAsia" w:ascii="仿宋_GB2312" w:eastAsia="仿宋_GB2312"/>
                <w:sz w:val="21"/>
                <w:szCs w:val="21"/>
              </w:rPr>
            </w:pPr>
            <w:r>
              <w:rPr>
                <w:rFonts w:hint="eastAsia" w:ascii="仿宋_GB2312" w:eastAsia="仿宋_GB2312"/>
                <w:spacing w:val="-8"/>
                <w:sz w:val="21"/>
                <w:szCs w:val="21"/>
              </w:rPr>
              <w:t>市政管网堵塞每处扣2分；积泥严重每处扣2分；</w:t>
            </w:r>
            <w:r>
              <w:rPr>
                <w:rFonts w:hint="eastAsia" w:ascii="仿宋_GB2312" w:eastAsia="仿宋_GB2312"/>
                <w:sz w:val="21"/>
                <w:szCs w:val="21"/>
              </w:rPr>
              <w:t>雨污不分的每处扣3分；</w:t>
            </w:r>
            <w:r>
              <w:rPr>
                <w:rFonts w:hint="eastAsia" w:ascii="仿宋_GB2312" w:eastAsia="仿宋_GB2312"/>
                <w:spacing w:val="-8"/>
                <w:sz w:val="21"/>
                <w:szCs w:val="21"/>
              </w:rPr>
              <w:t>雨污井无防坠网的每处扣3分，存在安全隐患的扣</w:t>
            </w:r>
            <w:r>
              <w:rPr>
                <w:rFonts w:hint="eastAsia" w:ascii="仿宋_GB2312" w:eastAsia="仿宋_GB2312"/>
                <w:spacing w:val="-8"/>
                <w:sz w:val="21"/>
                <w:szCs w:val="21"/>
                <w:lang w:val="en-US" w:eastAsia="zh-CN"/>
              </w:rPr>
              <w:t>5</w:t>
            </w:r>
            <w:r>
              <w:rPr>
                <w:rFonts w:hint="eastAsia" w:ascii="仿宋_GB2312" w:eastAsia="仿宋_GB2312"/>
                <w:spacing w:val="-8"/>
                <w:sz w:val="21"/>
                <w:szCs w:val="21"/>
              </w:rPr>
              <w:t>分。</w:t>
            </w:r>
          </w:p>
        </w:tc>
        <w:tc>
          <w:tcPr>
            <w:tcW w:w="818" w:type="dxa"/>
            <w:noWrap w:val="0"/>
            <w:vAlign w:val="center"/>
          </w:tcPr>
          <w:p>
            <w:pPr>
              <w:spacing w:line="300" w:lineRule="exact"/>
              <w:rPr>
                <w:rFonts w:hint="eastAsia" w:ascii="仿宋_GB2312" w:hAnsi="仿宋" w:eastAsia="仿宋_GB2312"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restart"/>
            <w:shd w:val="clear" w:color="auto" w:fill="auto"/>
            <w:noWrap w:val="0"/>
            <w:vAlign w:val="center"/>
          </w:tcPr>
          <w:p>
            <w:pPr>
              <w:spacing w:line="300" w:lineRule="exact"/>
              <w:jc w:val="center"/>
              <w:rPr>
                <w:rFonts w:hint="eastAsia" w:ascii="仿宋_GB2312" w:eastAsia="仿宋_GB2312"/>
                <w:sz w:val="21"/>
                <w:szCs w:val="21"/>
                <w:lang w:val="en-US" w:eastAsia="zh-CN"/>
              </w:rPr>
            </w:pPr>
            <w:r>
              <w:rPr>
                <w:rFonts w:hint="eastAsia" w:ascii="仿宋_GB2312" w:eastAsia="仿宋_GB2312"/>
                <w:color w:val="auto"/>
                <w:sz w:val="21"/>
                <w:szCs w:val="21"/>
              </w:rPr>
              <w:t>路灯设施养护</w:t>
            </w:r>
          </w:p>
        </w:tc>
        <w:tc>
          <w:tcPr>
            <w:tcW w:w="1085" w:type="dxa"/>
            <w:shd w:val="clear" w:color="auto" w:fill="auto"/>
            <w:noWrap w:val="0"/>
            <w:vAlign w:val="center"/>
          </w:tcPr>
          <w:p>
            <w:pPr>
              <w:spacing w:line="300" w:lineRule="exact"/>
              <w:jc w:val="center"/>
              <w:rPr>
                <w:rFonts w:hint="eastAsia" w:ascii="仿宋_GB2312" w:eastAsia="仿宋_GB2312"/>
                <w:spacing w:val="-8"/>
                <w:sz w:val="21"/>
                <w:szCs w:val="21"/>
              </w:rPr>
            </w:pPr>
            <w:r>
              <w:rPr>
                <w:rFonts w:hint="eastAsia" w:ascii="仿宋_GB2312" w:eastAsia="仿宋_GB2312"/>
                <w:color w:val="auto"/>
                <w:sz w:val="21"/>
                <w:szCs w:val="21"/>
              </w:rPr>
              <w:t>亮灯率</w:t>
            </w:r>
          </w:p>
        </w:tc>
        <w:tc>
          <w:tcPr>
            <w:tcW w:w="5953" w:type="dxa"/>
            <w:shd w:val="clear" w:color="auto" w:fill="FFFFFF"/>
            <w:noWrap w:val="0"/>
            <w:vAlign w:val="center"/>
          </w:tcPr>
          <w:p>
            <w:pPr>
              <w:spacing w:line="300" w:lineRule="exact"/>
              <w:rPr>
                <w:rFonts w:hint="eastAsia" w:ascii="仿宋_GB2312" w:eastAsia="仿宋_GB2312"/>
                <w:spacing w:val="-8"/>
                <w:sz w:val="21"/>
                <w:szCs w:val="21"/>
              </w:rPr>
            </w:pPr>
            <w:r>
              <w:rPr>
                <w:rFonts w:hint="eastAsia" w:ascii="仿宋_GB2312" w:eastAsia="仿宋_GB2312"/>
                <w:color w:val="auto"/>
                <w:sz w:val="21"/>
                <w:szCs w:val="21"/>
              </w:rPr>
              <w:t>亮灯率低于99%的每下降1%扣</w:t>
            </w:r>
            <w:r>
              <w:rPr>
                <w:rFonts w:hint="eastAsia" w:ascii="仿宋_GB2312" w:eastAsia="仿宋_GB2312"/>
                <w:color w:val="auto"/>
                <w:sz w:val="21"/>
                <w:szCs w:val="21"/>
                <w:lang w:val="en-US" w:eastAsia="zh-CN"/>
              </w:rPr>
              <w:t>1</w:t>
            </w:r>
            <w:r>
              <w:rPr>
                <w:rFonts w:hint="eastAsia" w:ascii="仿宋_GB2312" w:eastAsia="仿宋_GB2312"/>
                <w:color w:val="auto"/>
                <w:sz w:val="21"/>
                <w:szCs w:val="21"/>
              </w:rPr>
              <w:t>分。</w:t>
            </w:r>
          </w:p>
        </w:tc>
        <w:tc>
          <w:tcPr>
            <w:tcW w:w="818" w:type="dxa"/>
            <w:noWrap w:val="0"/>
            <w:vAlign w:val="center"/>
          </w:tcPr>
          <w:p>
            <w:pPr>
              <w:spacing w:line="300" w:lineRule="exact"/>
              <w:rPr>
                <w:rFonts w:hint="eastAsia" w:ascii="仿宋_GB2312" w:hAnsi="仿宋" w:eastAsia="仿宋_GB2312"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noWrap w:val="0"/>
            <w:vAlign w:val="center"/>
          </w:tcPr>
          <w:p>
            <w:pPr>
              <w:spacing w:line="300" w:lineRule="exact"/>
              <w:ind w:firstLine="538" w:firstLineChars="0"/>
              <w:jc w:val="left"/>
              <w:rPr>
                <w:rFonts w:hint="eastAsia" w:ascii="仿宋_GB2312" w:eastAsia="仿宋_GB2312"/>
                <w:sz w:val="21"/>
                <w:szCs w:val="21"/>
                <w:lang w:val="en-US" w:eastAsia="zh-CN"/>
              </w:rPr>
            </w:pPr>
          </w:p>
        </w:tc>
        <w:tc>
          <w:tcPr>
            <w:tcW w:w="1085" w:type="dxa"/>
            <w:shd w:val="clear" w:color="auto" w:fill="auto"/>
            <w:noWrap w:val="0"/>
            <w:vAlign w:val="center"/>
          </w:tcPr>
          <w:p>
            <w:pPr>
              <w:spacing w:line="300" w:lineRule="exact"/>
              <w:jc w:val="center"/>
              <w:rPr>
                <w:rFonts w:hint="eastAsia" w:ascii="仿宋_GB2312" w:eastAsia="仿宋_GB2312"/>
                <w:spacing w:val="-8"/>
                <w:sz w:val="21"/>
                <w:szCs w:val="21"/>
              </w:rPr>
            </w:pPr>
            <w:r>
              <w:rPr>
                <w:rFonts w:hint="eastAsia" w:ascii="仿宋_GB2312" w:eastAsia="仿宋_GB2312"/>
                <w:color w:val="auto"/>
                <w:sz w:val="21"/>
                <w:szCs w:val="21"/>
              </w:rPr>
              <w:t>群众投诉</w:t>
            </w:r>
          </w:p>
        </w:tc>
        <w:tc>
          <w:tcPr>
            <w:tcW w:w="5953" w:type="dxa"/>
            <w:shd w:val="clear" w:color="auto" w:fill="FFFFFF"/>
            <w:noWrap w:val="0"/>
            <w:vAlign w:val="center"/>
          </w:tcPr>
          <w:p>
            <w:pPr>
              <w:spacing w:line="300" w:lineRule="exact"/>
              <w:rPr>
                <w:rFonts w:hint="eastAsia" w:ascii="仿宋_GB2312" w:eastAsia="仿宋_GB2312"/>
                <w:spacing w:val="-8"/>
                <w:sz w:val="21"/>
                <w:szCs w:val="21"/>
              </w:rPr>
            </w:pPr>
            <w:r>
              <w:rPr>
                <w:rFonts w:hint="eastAsia" w:ascii="仿宋_GB2312" w:eastAsia="仿宋_GB2312"/>
                <w:color w:val="auto"/>
                <w:sz w:val="21"/>
                <w:szCs w:val="21"/>
              </w:rPr>
              <w:t>投诉未按时亮熄灯，每处每次扣</w:t>
            </w:r>
            <w:r>
              <w:rPr>
                <w:rFonts w:hint="eastAsia" w:ascii="仿宋_GB2312" w:eastAsia="仿宋_GB2312"/>
                <w:color w:val="auto"/>
                <w:sz w:val="21"/>
                <w:szCs w:val="21"/>
                <w:lang w:val="en-US" w:eastAsia="zh-CN"/>
              </w:rPr>
              <w:t>1</w:t>
            </w:r>
            <w:r>
              <w:rPr>
                <w:rFonts w:hint="eastAsia" w:ascii="仿宋_GB2312" w:eastAsia="仿宋_GB2312"/>
                <w:color w:val="auto"/>
                <w:sz w:val="21"/>
                <w:szCs w:val="21"/>
              </w:rPr>
              <w:t>分;投诉管养不到位有一盏不亮，扣</w:t>
            </w:r>
            <w:r>
              <w:rPr>
                <w:rFonts w:hint="eastAsia" w:ascii="仿宋_GB2312" w:eastAsia="仿宋_GB2312"/>
                <w:color w:val="auto"/>
                <w:sz w:val="21"/>
                <w:szCs w:val="21"/>
                <w:lang w:val="en-US" w:eastAsia="zh-CN"/>
              </w:rPr>
              <w:t>0.5</w:t>
            </w:r>
            <w:r>
              <w:rPr>
                <w:rFonts w:hint="eastAsia" w:ascii="仿宋_GB2312" w:eastAsia="仿宋_GB2312"/>
                <w:color w:val="auto"/>
                <w:sz w:val="21"/>
                <w:szCs w:val="21"/>
              </w:rPr>
              <w:t>分。</w:t>
            </w:r>
          </w:p>
        </w:tc>
        <w:tc>
          <w:tcPr>
            <w:tcW w:w="818" w:type="dxa"/>
            <w:noWrap w:val="0"/>
            <w:vAlign w:val="center"/>
          </w:tcPr>
          <w:p>
            <w:pPr>
              <w:spacing w:line="300" w:lineRule="exact"/>
              <w:rPr>
                <w:rFonts w:hint="eastAsia" w:ascii="仿宋_GB2312" w:hAnsi="仿宋" w:eastAsia="仿宋_GB2312"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noWrap w:val="0"/>
            <w:vAlign w:val="center"/>
          </w:tcPr>
          <w:p>
            <w:pPr>
              <w:spacing w:line="300" w:lineRule="exact"/>
              <w:ind w:firstLine="538" w:firstLineChars="0"/>
              <w:jc w:val="left"/>
              <w:rPr>
                <w:rFonts w:hint="eastAsia" w:ascii="仿宋_GB2312" w:eastAsia="仿宋_GB2312"/>
                <w:sz w:val="21"/>
                <w:szCs w:val="21"/>
                <w:lang w:val="en-US" w:eastAsia="zh-CN"/>
              </w:rPr>
            </w:pPr>
          </w:p>
        </w:tc>
        <w:tc>
          <w:tcPr>
            <w:tcW w:w="1085" w:type="dxa"/>
            <w:shd w:val="clear" w:color="auto" w:fill="auto"/>
            <w:noWrap w:val="0"/>
            <w:vAlign w:val="center"/>
          </w:tcPr>
          <w:p>
            <w:pPr>
              <w:tabs>
                <w:tab w:val="left" w:pos="354"/>
              </w:tabs>
              <w:spacing w:line="300" w:lineRule="exact"/>
              <w:jc w:val="left"/>
              <w:rPr>
                <w:rFonts w:hint="eastAsia" w:ascii="仿宋_GB2312" w:eastAsia="仿宋_GB2312"/>
                <w:color w:val="auto"/>
                <w:sz w:val="21"/>
                <w:szCs w:val="21"/>
                <w:lang w:eastAsia="zh-CN"/>
              </w:rPr>
            </w:pPr>
            <w:r>
              <w:rPr>
                <w:rFonts w:hint="eastAsia" w:ascii="仿宋_GB2312" w:eastAsia="仿宋_GB2312"/>
                <w:color w:val="auto"/>
                <w:sz w:val="21"/>
                <w:szCs w:val="21"/>
              </w:rPr>
              <w:t>设施完好率</w:t>
            </w:r>
          </w:p>
        </w:tc>
        <w:tc>
          <w:tcPr>
            <w:tcW w:w="5953" w:type="dxa"/>
            <w:shd w:val="clear" w:color="auto" w:fill="FFFFFF"/>
            <w:noWrap w:val="0"/>
            <w:vAlign w:val="center"/>
          </w:tcPr>
          <w:p>
            <w:pPr>
              <w:spacing w:line="300" w:lineRule="exact"/>
              <w:rPr>
                <w:rFonts w:hint="eastAsia" w:ascii="仿宋_GB2312" w:eastAsia="仿宋_GB2312"/>
                <w:color w:val="auto"/>
                <w:sz w:val="21"/>
                <w:szCs w:val="21"/>
              </w:rPr>
            </w:pPr>
            <w:r>
              <w:rPr>
                <w:rFonts w:hint="eastAsia" w:ascii="仿宋_GB2312" w:eastAsia="仿宋_GB2312"/>
                <w:color w:val="auto"/>
                <w:sz w:val="21"/>
                <w:szCs w:val="21"/>
              </w:rPr>
              <w:t>路灯设施倾斜、缺损每处扣</w:t>
            </w:r>
            <w:r>
              <w:rPr>
                <w:rFonts w:hint="eastAsia" w:ascii="仿宋_GB2312" w:eastAsia="仿宋_GB2312"/>
                <w:color w:val="auto"/>
                <w:sz w:val="21"/>
                <w:szCs w:val="21"/>
                <w:lang w:val="en-US" w:eastAsia="zh-CN"/>
              </w:rPr>
              <w:t>0.5</w:t>
            </w:r>
            <w:r>
              <w:rPr>
                <w:rFonts w:hint="eastAsia" w:ascii="仿宋_GB2312" w:eastAsia="仿宋_GB2312"/>
                <w:color w:val="auto"/>
                <w:sz w:val="21"/>
                <w:szCs w:val="21"/>
              </w:rPr>
              <w:t>分；油漆剥落和锈斑、外观不整洁每处扣</w:t>
            </w:r>
            <w:r>
              <w:rPr>
                <w:rFonts w:hint="eastAsia" w:ascii="仿宋_GB2312" w:eastAsia="仿宋_GB2312"/>
                <w:color w:val="auto"/>
                <w:sz w:val="21"/>
                <w:szCs w:val="21"/>
                <w:lang w:val="en-US" w:eastAsia="zh-CN"/>
              </w:rPr>
              <w:t>0.5</w:t>
            </w:r>
            <w:r>
              <w:rPr>
                <w:rFonts w:hint="eastAsia" w:ascii="仿宋_GB2312" w:eastAsia="仿宋_GB2312"/>
                <w:color w:val="auto"/>
                <w:sz w:val="21"/>
                <w:szCs w:val="21"/>
              </w:rPr>
              <w:t>分。</w:t>
            </w:r>
          </w:p>
        </w:tc>
        <w:tc>
          <w:tcPr>
            <w:tcW w:w="818" w:type="dxa"/>
            <w:noWrap w:val="0"/>
            <w:vAlign w:val="center"/>
          </w:tcPr>
          <w:p>
            <w:pPr>
              <w:spacing w:line="300" w:lineRule="exact"/>
              <w:rPr>
                <w:rFonts w:hint="eastAsia" w:ascii="仿宋_GB2312" w:hAnsi="仿宋" w:eastAsia="仿宋_GB2312"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eastAsia="仿宋_GB2312"/>
                <w:sz w:val="21"/>
                <w:szCs w:val="21"/>
                <w:lang w:val="en-US" w:eastAsia="zh-CN"/>
              </w:rPr>
            </w:pPr>
            <w:r>
              <w:rPr>
                <w:rFonts w:hint="eastAsia" w:ascii="仿宋_GB2312" w:eastAsia="仿宋_GB2312"/>
                <w:sz w:val="21"/>
                <w:szCs w:val="21"/>
              </w:rPr>
              <w:t>安全文明施工</w:t>
            </w:r>
          </w:p>
        </w:tc>
        <w:tc>
          <w:tcPr>
            <w:tcW w:w="1085" w:type="dxa"/>
            <w:shd w:val="clear" w:color="auto" w:fill="auto"/>
            <w:noWrap w:val="0"/>
            <w:vAlign w:val="center"/>
          </w:tcPr>
          <w:p>
            <w:pPr>
              <w:tabs>
                <w:tab w:val="left" w:pos="354"/>
              </w:tabs>
              <w:spacing w:line="300" w:lineRule="exact"/>
              <w:jc w:val="left"/>
              <w:rPr>
                <w:rFonts w:hint="eastAsia" w:ascii="仿宋_GB2312" w:eastAsia="仿宋_GB2312"/>
                <w:color w:val="auto"/>
                <w:sz w:val="21"/>
                <w:szCs w:val="21"/>
                <w:lang w:eastAsia="zh-CN"/>
              </w:rPr>
            </w:pPr>
            <w:r>
              <w:rPr>
                <w:rFonts w:hint="eastAsia" w:ascii="仿宋_GB2312" w:hAnsi="宋体" w:eastAsia="仿宋_GB2312" w:cs="宋体"/>
                <w:kern w:val="0"/>
                <w:sz w:val="21"/>
                <w:szCs w:val="21"/>
              </w:rPr>
              <w:t>安全管理</w:t>
            </w:r>
          </w:p>
        </w:tc>
        <w:tc>
          <w:tcPr>
            <w:tcW w:w="5953" w:type="dxa"/>
            <w:shd w:val="clear" w:color="auto" w:fill="FFFFFF"/>
            <w:noWrap w:val="0"/>
            <w:vAlign w:val="center"/>
          </w:tcPr>
          <w:p>
            <w:pPr>
              <w:spacing w:line="300" w:lineRule="exact"/>
              <w:rPr>
                <w:rFonts w:hint="eastAsia" w:ascii="仿宋_GB2312" w:eastAsia="仿宋_GB2312"/>
                <w:color w:val="auto"/>
                <w:sz w:val="21"/>
                <w:szCs w:val="21"/>
              </w:rPr>
            </w:pPr>
            <w:r>
              <w:rPr>
                <w:rFonts w:hint="eastAsia" w:ascii="仿宋_GB2312" w:hAnsi="宋体" w:eastAsia="仿宋_GB2312" w:cs="宋体"/>
                <w:kern w:val="0"/>
                <w:sz w:val="21"/>
                <w:szCs w:val="21"/>
              </w:rPr>
              <w:t>环卫工人未按规定着装、不遵守交通规则、未文明规范作业，环卫车辆未设置反光标识每处</w:t>
            </w:r>
            <w:r>
              <w:rPr>
                <w:rFonts w:hint="eastAsia" w:ascii="仿宋_GB2312" w:hAnsi="仿宋" w:eastAsia="仿宋_GB2312" w:cs="仿宋"/>
                <w:sz w:val="21"/>
                <w:szCs w:val="21"/>
              </w:rPr>
              <w:t>扣2分</w:t>
            </w:r>
            <w:r>
              <w:rPr>
                <w:rFonts w:hint="eastAsia" w:ascii="仿宋_GB2312" w:hAnsi="宋体" w:eastAsia="仿宋_GB2312" w:cs="宋体"/>
                <w:kern w:val="0"/>
                <w:sz w:val="21"/>
                <w:szCs w:val="21"/>
              </w:rPr>
              <w:t>。</w:t>
            </w:r>
            <w:r>
              <w:rPr>
                <w:rFonts w:hint="eastAsia" w:ascii="仿宋_GB2312" w:hAnsi="仿宋" w:eastAsia="仿宋_GB2312" w:cs="仿宋"/>
                <w:sz w:val="21"/>
                <w:szCs w:val="21"/>
              </w:rPr>
              <w:t>因上述原因造成安全事故未上报扣2分</w:t>
            </w:r>
          </w:p>
        </w:tc>
        <w:tc>
          <w:tcPr>
            <w:tcW w:w="818" w:type="dxa"/>
            <w:noWrap w:val="0"/>
            <w:vAlign w:val="center"/>
          </w:tcPr>
          <w:p>
            <w:pPr>
              <w:spacing w:line="300" w:lineRule="exact"/>
              <w:rPr>
                <w:rFonts w:hint="eastAsia" w:ascii="仿宋_GB2312" w:hAnsi="仿宋" w:eastAsia="仿宋_GB2312"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noWrap w:val="0"/>
            <w:vAlign w:val="center"/>
          </w:tcPr>
          <w:p>
            <w:pPr>
              <w:spacing w:line="300" w:lineRule="exact"/>
              <w:ind w:firstLine="538" w:firstLineChars="0"/>
              <w:jc w:val="left"/>
              <w:rPr>
                <w:rFonts w:hint="eastAsia" w:ascii="仿宋_GB2312" w:eastAsia="仿宋_GB2312"/>
                <w:sz w:val="21"/>
                <w:szCs w:val="21"/>
                <w:lang w:val="en-US" w:eastAsia="zh-CN"/>
              </w:rPr>
            </w:pPr>
          </w:p>
        </w:tc>
        <w:tc>
          <w:tcPr>
            <w:tcW w:w="1085" w:type="dxa"/>
            <w:vMerge w:val="restart"/>
            <w:shd w:val="clear" w:color="auto" w:fill="auto"/>
            <w:noWrap w:val="0"/>
            <w:vAlign w:val="center"/>
          </w:tcPr>
          <w:p>
            <w:pPr>
              <w:tabs>
                <w:tab w:val="left" w:pos="354"/>
              </w:tabs>
              <w:spacing w:line="300" w:lineRule="exact"/>
              <w:jc w:val="left"/>
              <w:rPr>
                <w:rFonts w:hint="eastAsia" w:ascii="仿宋_GB2312" w:hAnsi="宋体" w:eastAsia="仿宋_GB2312" w:cs="宋体"/>
                <w:kern w:val="0"/>
                <w:sz w:val="21"/>
                <w:szCs w:val="21"/>
              </w:rPr>
            </w:pPr>
            <w:r>
              <w:rPr>
                <w:rFonts w:hint="eastAsia" w:ascii="仿宋_GB2312" w:eastAsia="仿宋_GB2312"/>
                <w:sz w:val="21"/>
                <w:szCs w:val="21"/>
              </w:rPr>
              <w:t>养护作业</w:t>
            </w:r>
          </w:p>
        </w:tc>
        <w:tc>
          <w:tcPr>
            <w:tcW w:w="595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宋体" w:eastAsia="仿宋_GB2312" w:cs="宋体"/>
                <w:kern w:val="0"/>
                <w:sz w:val="21"/>
                <w:szCs w:val="21"/>
              </w:rPr>
            </w:pPr>
            <w:r>
              <w:rPr>
                <w:rFonts w:hint="eastAsia" w:ascii="仿宋_GB2312" w:eastAsia="仿宋_GB2312"/>
                <w:sz w:val="21"/>
                <w:szCs w:val="21"/>
              </w:rPr>
              <w:t>发现违章施工每次扣3分，养护不当存在安全隐患的每处扣5分。</w:t>
            </w:r>
          </w:p>
        </w:tc>
        <w:tc>
          <w:tcPr>
            <w:tcW w:w="818" w:type="dxa"/>
            <w:noWrap w:val="0"/>
            <w:vAlign w:val="center"/>
          </w:tcPr>
          <w:p>
            <w:pPr>
              <w:spacing w:line="300" w:lineRule="exact"/>
              <w:rPr>
                <w:rFonts w:hint="eastAsia" w:ascii="仿宋_GB2312" w:hAnsi="仿宋" w:eastAsia="仿宋_GB2312"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noWrap w:val="0"/>
            <w:vAlign w:val="center"/>
          </w:tcPr>
          <w:p>
            <w:pPr>
              <w:spacing w:line="300" w:lineRule="exact"/>
              <w:ind w:firstLine="538" w:firstLineChars="0"/>
              <w:jc w:val="left"/>
              <w:rPr>
                <w:rFonts w:hint="eastAsia" w:ascii="仿宋_GB2312" w:eastAsia="仿宋_GB2312"/>
                <w:sz w:val="21"/>
                <w:szCs w:val="21"/>
                <w:lang w:val="en-US" w:eastAsia="zh-CN"/>
              </w:rPr>
            </w:pPr>
          </w:p>
        </w:tc>
        <w:tc>
          <w:tcPr>
            <w:tcW w:w="1085" w:type="dxa"/>
            <w:vMerge w:val="continue"/>
            <w:shd w:val="clear" w:color="auto" w:fill="auto"/>
            <w:noWrap w:val="0"/>
            <w:vAlign w:val="center"/>
          </w:tcPr>
          <w:p>
            <w:pPr>
              <w:tabs>
                <w:tab w:val="left" w:pos="354"/>
              </w:tabs>
              <w:spacing w:line="300" w:lineRule="exact"/>
              <w:jc w:val="left"/>
              <w:rPr>
                <w:rFonts w:hint="eastAsia" w:ascii="仿宋_GB2312" w:hAnsi="宋体" w:eastAsia="仿宋_GB2312" w:cs="宋体"/>
                <w:kern w:val="0"/>
                <w:sz w:val="21"/>
                <w:szCs w:val="21"/>
              </w:rPr>
            </w:pPr>
          </w:p>
        </w:tc>
        <w:tc>
          <w:tcPr>
            <w:tcW w:w="595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宋体" w:eastAsia="仿宋_GB2312" w:cs="宋体"/>
                <w:kern w:val="0"/>
                <w:sz w:val="21"/>
                <w:szCs w:val="21"/>
              </w:rPr>
            </w:pPr>
            <w:r>
              <w:rPr>
                <w:rFonts w:hint="eastAsia" w:ascii="仿宋_GB2312" w:eastAsia="仿宋_GB2312"/>
                <w:sz w:val="21"/>
                <w:szCs w:val="21"/>
              </w:rPr>
              <w:t>不文明施工，无围护扣5分、围护不到位扣2分、着装不规范扣2分。</w:t>
            </w:r>
          </w:p>
        </w:tc>
        <w:tc>
          <w:tcPr>
            <w:tcW w:w="818" w:type="dxa"/>
            <w:noWrap w:val="0"/>
            <w:vAlign w:val="center"/>
          </w:tcPr>
          <w:p>
            <w:pPr>
              <w:spacing w:line="300" w:lineRule="exact"/>
              <w:rPr>
                <w:rFonts w:hint="eastAsia" w:ascii="仿宋_GB2312" w:hAnsi="仿宋" w:eastAsia="仿宋_GB2312"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noWrap w:val="0"/>
            <w:vAlign w:val="center"/>
          </w:tcPr>
          <w:p>
            <w:pPr>
              <w:spacing w:line="300" w:lineRule="exact"/>
              <w:ind w:firstLine="538" w:firstLineChars="0"/>
              <w:jc w:val="left"/>
              <w:rPr>
                <w:rFonts w:hint="eastAsia" w:ascii="仿宋_GB2312" w:eastAsia="仿宋_GB2312"/>
                <w:sz w:val="21"/>
                <w:szCs w:val="21"/>
                <w:lang w:val="en-US" w:eastAsia="zh-CN"/>
              </w:rPr>
            </w:pPr>
          </w:p>
        </w:tc>
        <w:tc>
          <w:tcPr>
            <w:tcW w:w="1085" w:type="dxa"/>
            <w:shd w:val="clear" w:color="auto" w:fill="auto"/>
            <w:noWrap w:val="0"/>
            <w:vAlign w:val="center"/>
          </w:tcPr>
          <w:p>
            <w:pPr>
              <w:spacing w:line="300" w:lineRule="exact"/>
              <w:jc w:val="center"/>
              <w:rPr>
                <w:rFonts w:hint="eastAsia" w:ascii="仿宋_GB2312" w:hAnsi="宋体" w:eastAsia="仿宋_GB2312" w:cs="宋体"/>
                <w:kern w:val="0"/>
                <w:sz w:val="21"/>
                <w:szCs w:val="21"/>
              </w:rPr>
            </w:pPr>
            <w:r>
              <w:rPr>
                <w:rFonts w:hint="eastAsia" w:ascii="仿宋_GB2312" w:eastAsia="仿宋_GB2312"/>
                <w:sz w:val="21"/>
                <w:szCs w:val="21"/>
              </w:rPr>
              <w:t>监督管理</w:t>
            </w:r>
          </w:p>
        </w:tc>
        <w:tc>
          <w:tcPr>
            <w:tcW w:w="5953" w:type="dxa"/>
            <w:shd w:val="clear" w:color="auto" w:fill="FFFFFF"/>
            <w:noWrap w:val="0"/>
            <w:vAlign w:val="center"/>
          </w:tcPr>
          <w:p>
            <w:pPr>
              <w:spacing w:line="300" w:lineRule="exact"/>
              <w:rPr>
                <w:rFonts w:hint="eastAsia" w:ascii="仿宋_GB2312" w:hAnsi="宋体" w:eastAsia="仿宋_GB2312" w:cs="宋体"/>
                <w:kern w:val="0"/>
                <w:sz w:val="21"/>
                <w:szCs w:val="21"/>
              </w:rPr>
            </w:pPr>
            <w:r>
              <w:rPr>
                <w:rFonts w:hint="eastAsia" w:ascii="仿宋_GB2312" w:eastAsia="仿宋_GB2312"/>
                <w:sz w:val="21"/>
                <w:szCs w:val="21"/>
              </w:rPr>
              <w:t>未经审批私自开挖市政道路或未按市政养护规范要求恢复，及管养区域其他市政设施不规范问题等每处扣</w:t>
            </w:r>
            <w:r>
              <w:rPr>
                <w:rFonts w:ascii="仿宋_GB2312" w:eastAsia="仿宋_GB2312"/>
                <w:sz w:val="21"/>
                <w:szCs w:val="21"/>
              </w:rPr>
              <w:t>2-</w:t>
            </w:r>
            <w:r>
              <w:rPr>
                <w:rFonts w:hint="eastAsia" w:ascii="仿宋_GB2312" w:eastAsia="仿宋_GB2312"/>
                <w:sz w:val="21"/>
                <w:szCs w:val="21"/>
              </w:rPr>
              <w:t>5分。</w:t>
            </w:r>
          </w:p>
        </w:tc>
        <w:tc>
          <w:tcPr>
            <w:tcW w:w="818" w:type="dxa"/>
            <w:noWrap w:val="0"/>
            <w:vAlign w:val="center"/>
          </w:tcPr>
          <w:p>
            <w:pPr>
              <w:spacing w:line="300" w:lineRule="exact"/>
              <w:rPr>
                <w:rFonts w:hint="eastAsia" w:ascii="仿宋_GB2312" w:hAnsi="仿宋" w:eastAsia="仿宋_GB2312"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092" w:type="dxa"/>
            <w:noWrap w:val="0"/>
            <w:vAlign w:val="center"/>
          </w:tcPr>
          <w:p>
            <w:pPr>
              <w:spacing w:line="300" w:lineRule="exact"/>
              <w:jc w:val="center"/>
              <w:rPr>
                <w:rFonts w:hint="eastAsia" w:ascii="仿宋_GB2312" w:hAnsi="宋体" w:eastAsia="仿宋_GB2312" w:cs="宋体"/>
                <w:kern w:val="0"/>
                <w:sz w:val="21"/>
                <w:szCs w:val="21"/>
              </w:rPr>
            </w:pPr>
            <w:r>
              <w:rPr>
                <w:rFonts w:hint="eastAsia" w:ascii="仿宋_GB2312" w:hAnsi="仿宋" w:eastAsia="仿宋_GB2312" w:cs="仿宋"/>
                <w:sz w:val="21"/>
                <w:szCs w:val="21"/>
                <w:lang w:eastAsia="zh-CN"/>
              </w:rPr>
              <w:t>其它事宜</w:t>
            </w:r>
          </w:p>
        </w:tc>
        <w:tc>
          <w:tcPr>
            <w:tcW w:w="7045" w:type="dxa"/>
            <w:gridSpan w:val="3"/>
            <w:noWrap w:val="0"/>
            <w:vAlign w:val="center"/>
          </w:tcPr>
          <w:p>
            <w:pPr>
              <w:spacing w:line="300" w:lineRule="exact"/>
              <w:rPr>
                <w:rFonts w:hint="eastAsia" w:ascii="仿宋_GB2312" w:hAnsi="仿宋" w:eastAsia="仿宋_GB2312" w:cs="仿宋"/>
                <w:sz w:val="21"/>
                <w:szCs w:val="21"/>
              </w:rPr>
            </w:pPr>
          </w:p>
        </w:tc>
        <w:tc>
          <w:tcPr>
            <w:tcW w:w="818" w:type="dxa"/>
            <w:noWrap w:val="0"/>
            <w:vAlign w:val="center"/>
          </w:tcPr>
          <w:p>
            <w:pPr>
              <w:spacing w:line="300" w:lineRule="exact"/>
              <w:rPr>
                <w:rFonts w:hint="eastAsia" w:ascii="仿宋_GB2312" w:hAnsi="仿宋" w:eastAsia="仿宋_GB2312"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137" w:type="dxa"/>
            <w:gridSpan w:val="4"/>
            <w:noWrap w:val="0"/>
            <w:vAlign w:val="center"/>
          </w:tcPr>
          <w:p>
            <w:pPr>
              <w:spacing w:line="300" w:lineRule="exact"/>
              <w:jc w:val="center"/>
              <w:rPr>
                <w:rFonts w:hint="eastAsia" w:ascii="仿宋_GB2312" w:hAnsi="仿宋" w:eastAsia="仿宋_GB2312" w:cs="仿宋"/>
                <w:sz w:val="21"/>
                <w:szCs w:val="21"/>
              </w:rPr>
            </w:pPr>
            <w:r>
              <w:rPr>
                <w:rFonts w:hint="eastAsia" w:ascii="仿宋_GB2312" w:hAnsi="宋体" w:eastAsia="仿宋_GB2312" w:cs="宋体"/>
                <w:kern w:val="0"/>
                <w:sz w:val="21"/>
                <w:szCs w:val="21"/>
              </w:rPr>
              <w:t>评分合计</w:t>
            </w:r>
          </w:p>
        </w:tc>
        <w:tc>
          <w:tcPr>
            <w:tcW w:w="818" w:type="dxa"/>
            <w:noWrap w:val="0"/>
            <w:vAlign w:val="center"/>
          </w:tcPr>
          <w:p>
            <w:pPr>
              <w:spacing w:line="300" w:lineRule="exact"/>
              <w:rPr>
                <w:rFonts w:hint="eastAsia" w:ascii="仿宋_GB2312" w:hAnsi="仿宋" w:eastAsia="仿宋_GB2312"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092" w:type="dxa"/>
            <w:noWrap w:val="0"/>
            <w:vAlign w:val="center"/>
          </w:tcPr>
          <w:p>
            <w:pPr>
              <w:widowControl/>
              <w:spacing w:line="300" w:lineRule="exact"/>
              <w:jc w:val="center"/>
              <w:rPr>
                <w:rFonts w:hint="eastAsia" w:ascii="仿宋_GB2312" w:hAnsi="仿宋" w:eastAsia="仿宋_GB2312" w:cs="仿宋"/>
                <w:sz w:val="21"/>
                <w:szCs w:val="21"/>
              </w:rPr>
            </w:pPr>
            <w:r>
              <w:rPr>
                <w:rFonts w:hint="eastAsia" w:ascii="仿宋_GB2312" w:hAnsi="仿宋" w:eastAsia="仿宋_GB2312" w:cs="仿宋"/>
                <w:sz w:val="21"/>
                <w:szCs w:val="21"/>
              </w:rPr>
              <w:t>备注</w:t>
            </w:r>
          </w:p>
        </w:tc>
        <w:tc>
          <w:tcPr>
            <w:tcW w:w="7045" w:type="dxa"/>
            <w:gridSpan w:val="3"/>
            <w:noWrap w:val="0"/>
            <w:vAlign w:val="center"/>
          </w:tcPr>
          <w:p>
            <w:pPr>
              <w:widowControl/>
              <w:spacing w:line="300" w:lineRule="exact"/>
              <w:rPr>
                <w:rFonts w:hint="eastAsia" w:ascii="仿宋_GB2312" w:eastAsia="仿宋_GB2312"/>
                <w:sz w:val="21"/>
                <w:szCs w:val="21"/>
              </w:rPr>
            </w:pPr>
            <w:r>
              <w:rPr>
                <w:rFonts w:hint="eastAsia" w:ascii="仿宋_GB2312" w:hAnsi="仿宋" w:eastAsia="仿宋_GB2312" w:cs="仿宋"/>
                <w:sz w:val="21"/>
                <w:szCs w:val="21"/>
              </w:rPr>
              <w:t>1.</w:t>
            </w:r>
            <w:r>
              <w:rPr>
                <w:rFonts w:hint="eastAsia" w:ascii="仿宋_GB2312" w:hAnsi="仿宋" w:eastAsia="仿宋_GB2312" w:cs="仿宋"/>
                <w:sz w:val="21"/>
                <w:szCs w:val="21"/>
                <w:lang w:eastAsia="zh-CN"/>
              </w:rPr>
              <w:t>其它</w:t>
            </w:r>
            <w:r>
              <w:rPr>
                <w:rFonts w:hint="eastAsia" w:ascii="仿宋_GB2312" w:hAnsi="仿宋" w:eastAsia="仿宋_GB2312" w:cs="仿宋"/>
                <w:sz w:val="21"/>
                <w:szCs w:val="21"/>
              </w:rPr>
              <w:t>未尽事宜，当月可视情况酌情</w:t>
            </w:r>
            <w:r>
              <w:rPr>
                <w:rFonts w:hint="eastAsia" w:ascii="仿宋_GB2312" w:hAnsi="宋体" w:eastAsia="仿宋_GB2312" w:cs="宋体"/>
                <w:kern w:val="0"/>
                <w:sz w:val="21"/>
                <w:szCs w:val="21"/>
              </w:rPr>
              <w:t>加、扣1-5分。</w:t>
            </w:r>
          </w:p>
        </w:tc>
        <w:tc>
          <w:tcPr>
            <w:tcW w:w="818" w:type="dxa"/>
            <w:noWrap w:val="0"/>
            <w:vAlign w:val="center"/>
          </w:tcPr>
          <w:p>
            <w:pPr>
              <w:spacing w:line="300" w:lineRule="exact"/>
              <w:rPr>
                <w:rFonts w:hint="eastAsia" w:ascii="仿宋_GB2312" w:hAnsi="仿宋" w:eastAsia="仿宋_GB2312" w:cs="仿宋"/>
                <w:sz w:val="21"/>
                <w:szCs w:val="21"/>
              </w:rPr>
            </w:pPr>
          </w:p>
        </w:tc>
      </w:tr>
    </w:tbl>
    <w:p>
      <w:pPr>
        <w:adjustRightInd w:val="0"/>
        <w:snapToGrid w:val="0"/>
        <w:rPr>
          <w:rFonts w:hint="eastAsia" w:ascii="宋体" w:hAnsi="宋体" w:eastAsia="宋体" w:cs="宋体"/>
          <w:color w:val="auto"/>
          <w:kern w:val="0"/>
          <w:sz w:val="24"/>
          <w:highlight w:val="none"/>
        </w:rPr>
      </w:pPr>
    </w:p>
    <w:p>
      <w:pPr>
        <w:adjustRightInd w:val="0"/>
        <w:snapToGrid w:val="0"/>
        <w:rPr>
          <w:rFonts w:hint="eastAsia" w:ascii="宋体" w:hAnsi="宋体" w:eastAsia="宋体" w:cs="宋体"/>
          <w:highlight w:val="none"/>
          <w:lang w:val="en-US" w:eastAsia="zh-CN"/>
        </w:rPr>
      </w:pPr>
      <w:r>
        <w:rPr>
          <w:rFonts w:hint="eastAsia" w:ascii="宋体" w:hAnsi="宋体" w:eastAsia="宋体" w:cs="宋体"/>
          <w:color w:val="auto"/>
          <w:kern w:val="0"/>
          <w:sz w:val="24"/>
          <w:highlight w:val="none"/>
        </w:rPr>
        <w:t>备注：1、未注明从当月清洁度中扣分的项目，均从被检道路中扣分。</w:t>
      </w:r>
    </w:p>
    <w:p>
      <w:pPr>
        <w:pStyle w:val="6"/>
        <w:tabs>
          <w:tab w:val="left" w:pos="1110"/>
          <w:tab w:val="clear" w:pos="432"/>
        </w:tabs>
        <w:jc w:val="center"/>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附件2、园林绿化养护管理考核评分细则</w:t>
      </w:r>
    </w:p>
    <w:tbl>
      <w:tblPr>
        <w:tblStyle w:val="64"/>
        <w:tblW w:w="0" w:type="auto"/>
        <w:tblInd w:w="93" w:type="dxa"/>
        <w:tblLayout w:type="fixed"/>
        <w:tblCellMar>
          <w:top w:w="0" w:type="dxa"/>
          <w:left w:w="108" w:type="dxa"/>
          <w:bottom w:w="0" w:type="dxa"/>
          <w:right w:w="108" w:type="dxa"/>
        </w:tblCellMar>
      </w:tblPr>
      <w:tblGrid>
        <w:gridCol w:w="900"/>
        <w:gridCol w:w="6975"/>
        <w:gridCol w:w="1095"/>
      </w:tblGrid>
      <w:tr>
        <w:tblPrEx>
          <w:tblCellMar>
            <w:top w:w="0" w:type="dxa"/>
            <w:left w:w="108" w:type="dxa"/>
            <w:bottom w:w="0" w:type="dxa"/>
            <w:right w:w="108" w:type="dxa"/>
          </w:tblCellMar>
        </w:tblPrEx>
        <w:trPr>
          <w:trHeight w:val="5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宋体"/>
                <w:b/>
                <w:kern w:val="0"/>
                <w:sz w:val="21"/>
                <w:szCs w:val="21"/>
              </w:rPr>
            </w:pPr>
            <w:r>
              <w:rPr>
                <w:rFonts w:hint="eastAsia" w:ascii="仿宋_GB2312" w:eastAsia="仿宋_GB2312" w:cs="宋体"/>
                <w:b/>
                <w:kern w:val="0"/>
                <w:sz w:val="21"/>
                <w:szCs w:val="21"/>
              </w:rPr>
              <w:t>考核</w:t>
            </w:r>
          </w:p>
          <w:p>
            <w:pPr>
              <w:spacing w:line="320" w:lineRule="exact"/>
              <w:jc w:val="center"/>
              <w:rPr>
                <w:rFonts w:ascii="仿宋_GB2312" w:eastAsia="仿宋_GB2312" w:cs="宋体"/>
                <w:b/>
                <w:kern w:val="0"/>
                <w:sz w:val="21"/>
                <w:szCs w:val="21"/>
              </w:rPr>
            </w:pPr>
            <w:r>
              <w:rPr>
                <w:rFonts w:hint="eastAsia" w:ascii="仿宋_GB2312" w:eastAsia="仿宋_GB2312" w:cs="宋体"/>
                <w:b/>
                <w:kern w:val="0"/>
                <w:sz w:val="21"/>
                <w:szCs w:val="21"/>
              </w:rPr>
              <w:t>项目</w:t>
            </w:r>
          </w:p>
        </w:tc>
        <w:tc>
          <w:tcPr>
            <w:tcW w:w="697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eastAsia="仿宋_GB2312" w:cs="宋体"/>
                <w:b/>
                <w:kern w:val="0"/>
                <w:sz w:val="21"/>
                <w:szCs w:val="21"/>
              </w:rPr>
            </w:pPr>
            <w:r>
              <w:rPr>
                <w:rFonts w:hint="eastAsia" w:ascii="仿宋_GB2312" w:eastAsia="仿宋_GB2312" w:cs="宋体"/>
                <w:b/>
                <w:kern w:val="0"/>
                <w:sz w:val="21"/>
                <w:szCs w:val="21"/>
              </w:rPr>
              <w:t>评分细则</w:t>
            </w:r>
          </w:p>
        </w:tc>
        <w:tc>
          <w:tcPr>
            <w:tcW w:w="109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eastAsia="仿宋_GB2312" w:cs="宋体"/>
                <w:b/>
                <w:kern w:val="0"/>
                <w:sz w:val="21"/>
                <w:szCs w:val="21"/>
              </w:rPr>
            </w:pPr>
            <w:r>
              <w:rPr>
                <w:rFonts w:hint="eastAsia" w:ascii="仿宋_GB2312" w:eastAsia="仿宋_GB2312" w:cs="宋体"/>
                <w:b/>
                <w:kern w:val="0"/>
                <w:sz w:val="21"/>
                <w:szCs w:val="21"/>
              </w:rPr>
              <w:t>考核</w:t>
            </w:r>
          </w:p>
          <w:p>
            <w:pPr>
              <w:spacing w:line="320" w:lineRule="exact"/>
              <w:jc w:val="center"/>
              <w:rPr>
                <w:rFonts w:ascii="仿宋_GB2312" w:eastAsia="仿宋_GB2312" w:cs="宋体"/>
                <w:b/>
                <w:kern w:val="0"/>
                <w:sz w:val="21"/>
                <w:szCs w:val="21"/>
              </w:rPr>
            </w:pPr>
            <w:r>
              <w:rPr>
                <w:rFonts w:hint="eastAsia" w:ascii="仿宋_GB2312" w:eastAsia="仿宋_GB2312" w:cs="宋体"/>
                <w:b/>
                <w:kern w:val="0"/>
                <w:sz w:val="21"/>
                <w:szCs w:val="21"/>
              </w:rPr>
              <w:t>分值</w:t>
            </w:r>
          </w:p>
        </w:tc>
      </w:tr>
      <w:tr>
        <w:tblPrEx>
          <w:tblCellMar>
            <w:top w:w="0" w:type="dxa"/>
            <w:left w:w="108" w:type="dxa"/>
            <w:bottom w:w="0" w:type="dxa"/>
            <w:right w:w="108" w:type="dxa"/>
          </w:tblCellMar>
        </w:tblPrEx>
        <w:trPr>
          <w:trHeight w:val="540" w:hRule="atLeast"/>
        </w:trPr>
        <w:tc>
          <w:tcPr>
            <w:tcW w:w="900" w:type="dxa"/>
            <w:vMerge w:val="restart"/>
            <w:tcBorders>
              <w:top w:val="nil"/>
              <w:left w:val="single" w:color="auto" w:sz="4" w:space="0"/>
              <w:right w:val="single" w:color="auto" w:sz="4" w:space="0"/>
            </w:tcBorders>
            <w:noWrap w:val="0"/>
            <w:vAlign w:val="center"/>
          </w:tcPr>
          <w:p>
            <w:pPr>
              <w:spacing w:line="400" w:lineRule="exact"/>
              <w:jc w:val="center"/>
              <w:rPr>
                <w:rFonts w:hint="eastAsia" w:ascii="仿宋_GB2312" w:eastAsia="仿宋_GB2312" w:cs="宋体"/>
                <w:kern w:val="0"/>
                <w:sz w:val="21"/>
                <w:szCs w:val="21"/>
              </w:rPr>
            </w:pPr>
            <w:r>
              <w:rPr>
                <w:rFonts w:hint="eastAsia" w:ascii="仿宋_GB2312" w:eastAsia="仿宋_GB2312" w:cs="宋体"/>
                <w:kern w:val="0"/>
                <w:sz w:val="21"/>
                <w:szCs w:val="21"/>
              </w:rPr>
              <w:t>植</w:t>
            </w:r>
          </w:p>
          <w:p>
            <w:pPr>
              <w:spacing w:line="400" w:lineRule="exact"/>
              <w:jc w:val="center"/>
              <w:rPr>
                <w:rFonts w:hint="eastAsia" w:ascii="仿宋_GB2312" w:eastAsia="仿宋_GB2312" w:cs="宋体"/>
                <w:kern w:val="0"/>
                <w:sz w:val="21"/>
                <w:szCs w:val="21"/>
              </w:rPr>
            </w:pPr>
            <w:r>
              <w:rPr>
                <w:rFonts w:hint="eastAsia" w:ascii="仿宋_GB2312" w:eastAsia="仿宋_GB2312" w:cs="宋体"/>
                <w:kern w:val="0"/>
                <w:sz w:val="21"/>
                <w:szCs w:val="21"/>
              </w:rPr>
              <w:t>物</w:t>
            </w:r>
          </w:p>
          <w:p>
            <w:pPr>
              <w:spacing w:line="400" w:lineRule="exact"/>
              <w:jc w:val="center"/>
              <w:rPr>
                <w:rFonts w:hint="eastAsia" w:ascii="仿宋_GB2312" w:eastAsia="仿宋_GB2312" w:cs="宋体"/>
                <w:kern w:val="0"/>
                <w:sz w:val="21"/>
                <w:szCs w:val="21"/>
              </w:rPr>
            </w:pPr>
            <w:r>
              <w:rPr>
                <w:rFonts w:hint="eastAsia" w:ascii="仿宋_GB2312" w:eastAsia="仿宋_GB2312" w:cs="宋体"/>
                <w:kern w:val="0"/>
                <w:sz w:val="21"/>
                <w:szCs w:val="21"/>
              </w:rPr>
              <w:t>基</w:t>
            </w:r>
          </w:p>
          <w:p>
            <w:pPr>
              <w:spacing w:line="400" w:lineRule="exact"/>
              <w:jc w:val="center"/>
              <w:rPr>
                <w:rFonts w:hint="eastAsia" w:ascii="仿宋_GB2312" w:eastAsia="仿宋_GB2312" w:cs="宋体"/>
                <w:kern w:val="0"/>
                <w:sz w:val="21"/>
                <w:szCs w:val="21"/>
              </w:rPr>
            </w:pPr>
            <w:r>
              <w:rPr>
                <w:rFonts w:hint="eastAsia" w:ascii="仿宋_GB2312" w:eastAsia="仿宋_GB2312" w:cs="宋体"/>
                <w:kern w:val="0"/>
                <w:sz w:val="21"/>
                <w:szCs w:val="21"/>
              </w:rPr>
              <w:t>本</w:t>
            </w:r>
          </w:p>
          <w:p>
            <w:pPr>
              <w:spacing w:line="400" w:lineRule="exact"/>
              <w:jc w:val="center"/>
              <w:rPr>
                <w:rFonts w:hint="eastAsia" w:ascii="仿宋_GB2312" w:eastAsia="仿宋_GB2312" w:cs="宋体"/>
                <w:kern w:val="0"/>
                <w:sz w:val="21"/>
                <w:szCs w:val="21"/>
              </w:rPr>
            </w:pPr>
            <w:r>
              <w:rPr>
                <w:rFonts w:hint="eastAsia" w:ascii="仿宋_GB2312" w:eastAsia="仿宋_GB2312" w:cs="宋体"/>
                <w:kern w:val="0"/>
                <w:sz w:val="21"/>
                <w:szCs w:val="21"/>
              </w:rPr>
              <w:t>养</w:t>
            </w:r>
          </w:p>
          <w:p>
            <w:pPr>
              <w:spacing w:line="400" w:lineRule="exact"/>
              <w:jc w:val="center"/>
              <w:rPr>
                <w:rFonts w:hint="eastAsia" w:ascii="仿宋_GB2312" w:eastAsia="仿宋_GB2312" w:cs="宋体"/>
                <w:strike/>
                <w:kern w:val="0"/>
                <w:sz w:val="21"/>
                <w:szCs w:val="21"/>
              </w:rPr>
            </w:pPr>
            <w:r>
              <w:rPr>
                <w:rFonts w:hint="eastAsia" w:ascii="仿宋_GB2312" w:eastAsia="仿宋_GB2312" w:cs="宋体"/>
                <w:kern w:val="0"/>
                <w:sz w:val="21"/>
                <w:szCs w:val="21"/>
              </w:rPr>
              <w:t>护</w:t>
            </w: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kern w:val="0"/>
                <w:sz w:val="21"/>
                <w:szCs w:val="21"/>
              </w:rPr>
            </w:pPr>
            <w:r>
              <w:rPr>
                <w:rFonts w:hint="eastAsia" w:ascii="仿宋_GB2312" w:eastAsia="仿宋_GB2312" w:cs="宋体"/>
                <w:kern w:val="0"/>
                <w:sz w:val="21"/>
                <w:szCs w:val="21"/>
              </w:rPr>
              <w:t>行道树和乔木死株、缺株，每处扣</w:t>
            </w:r>
            <w:r>
              <w:rPr>
                <w:rFonts w:hint="eastAsia" w:ascii="仿宋_GB2312" w:cs="宋体"/>
                <w:kern w:val="0"/>
                <w:sz w:val="21"/>
                <w:szCs w:val="21"/>
                <w:lang w:val="en-US" w:eastAsia="zh-CN"/>
              </w:rPr>
              <w:t>1</w:t>
            </w:r>
            <w:r>
              <w:rPr>
                <w:rFonts w:hint="eastAsia" w:ascii="仿宋_GB2312" w:eastAsia="仿宋_GB2312" w:cs="宋体"/>
                <w:kern w:val="0"/>
                <w:sz w:val="21"/>
                <w:szCs w:val="21"/>
              </w:rPr>
              <w:t>-</w:t>
            </w:r>
            <w:r>
              <w:rPr>
                <w:rFonts w:hint="eastAsia" w:ascii="仿宋_GB2312" w:cs="宋体"/>
                <w:kern w:val="0"/>
                <w:sz w:val="21"/>
                <w:szCs w:val="21"/>
                <w:lang w:val="en-US" w:eastAsia="zh-CN"/>
              </w:rPr>
              <w:t>3</w:t>
            </w:r>
            <w:r>
              <w:rPr>
                <w:rFonts w:hint="eastAsia" w:ascii="仿宋_GB2312" w:eastAsia="仿宋_GB2312" w:cs="宋体"/>
                <w:kern w:val="0"/>
                <w:sz w:val="21"/>
                <w:szCs w:val="21"/>
              </w:rPr>
              <w:t>分。</w:t>
            </w:r>
          </w:p>
        </w:tc>
        <w:tc>
          <w:tcPr>
            <w:tcW w:w="1095" w:type="dxa"/>
            <w:tcBorders>
              <w:top w:val="nil"/>
              <w:left w:val="nil"/>
              <w:bottom w:val="single" w:color="auto" w:sz="4" w:space="0"/>
              <w:right w:val="single" w:color="auto" w:sz="4" w:space="0"/>
            </w:tcBorders>
            <w:noWrap w:val="0"/>
            <w:vAlign w:val="center"/>
          </w:tcPr>
          <w:p>
            <w:pPr>
              <w:widowControl/>
              <w:jc w:val="left"/>
              <w:rPr>
                <w:rFonts w:ascii="仿宋_GB2312" w:eastAsia="仿宋_GB2312" w:cs="宋体"/>
                <w:kern w:val="0"/>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ascii="仿宋_GB2312" w:eastAsia="仿宋_GB2312" w:cs="宋体"/>
                <w:kern w:val="0"/>
                <w:sz w:val="21"/>
                <w:szCs w:val="21"/>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kern w:val="0"/>
                <w:sz w:val="21"/>
                <w:szCs w:val="21"/>
              </w:rPr>
            </w:pPr>
            <w:r>
              <w:rPr>
                <w:rFonts w:hint="eastAsia" w:ascii="仿宋_GB2312" w:eastAsia="仿宋_GB2312" w:cs="宋体"/>
                <w:kern w:val="0"/>
                <w:sz w:val="21"/>
                <w:szCs w:val="21"/>
              </w:rPr>
              <w:t>行道树和乔木支撑不规范、支撑架倒塌、断桩、坏桩、树木倾斜严重，每处扣</w:t>
            </w:r>
            <w:r>
              <w:rPr>
                <w:rFonts w:hint="eastAsia" w:ascii="仿宋_GB2312" w:cs="宋体"/>
                <w:kern w:val="0"/>
                <w:sz w:val="21"/>
                <w:szCs w:val="21"/>
                <w:lang w:val="en-US" w:eastAsia="zh-CN"/>
              </w:rPr>
              <w:t>1</w:t>
            </w:r>
            <w:r>
              <w:rPr>
                <w:rFonts w:hint="eastAsia" w:ascii="仿宋_GB2312" w:eastAsia="仿宋_GB2312" w:cs="宋体"/>
                <w:kern w:val="0"/>
                <w:sz w:val="21"/>
                <w:szCs w:val="21"/>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spacing w:val="-8"/>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ascii="仿宋_GB2312" w:eastAsia="仿宋_GB2312" w:cs="宋体"/>
                <w:kern w:val="0"/>
                <w:sz w:val="21"/>
                <w:szCs w:val="21"/>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kern w:val="0"/>
                <w:sz w:val="21"/>
                <w:szCs w:val="21"/>
              </w:rPr>
            </w:pPr>
            <w:r>
              <w:rPr>
                <w:rFonts w:hint="eastAsia" w:ascii="仿宋_GB2312" w:eastAsia="仿宋_GB2312" w:cs="宋体"/>
                <w:kern w:val="0"/>
                <w:sz w:val="21"/>
                <w:szCs w:val="21"/>
              </w:rPr>
              <w:t>行道树和乔木病虫枝、枯枝、伤损枝、徒长枝超过养护标准的，未疏枝、树皮开裂、孔洞未及时填补，每处扣</w:t>
            </w:r>
            <w:r>
              <w:rPr>
                <w:rFonts w:hint="eastAsia" w:ascii="仿宋_GB2312" w:eastAsia="仿宋_GB2312" w:cs="宋体"/>
                <w:kern w:val="0"/>
                <w:sz w:val="21"/>
                <w:szCs w:val="21"/>
                <w:lang w:val="en-US" w:eastAsia="zh-CN"/>
              </w:rPr>
              <w:t>0.5</w:t>
            </w:r>
            <w:r>
              <w:rPr>
                <w:rFonts w:hint="eastAsia" w:ascii="仿宋_GB2312" w:eastAsia="仿宋_GB2312" w:cs="宋体"/>
                <w:kern w:val="0"/>
                <w:sz w:val="21"/>
                <w:szCs w:val="21"/>
              </w:rPr>
              <w:t>分；修剪不规范造成树木严重受损的，每处扣</w:t>
            </w:r>
            <w:r>
              <w:rPr>
                <w:rFonts w:hint="eastAsia" w:ascii="仿宋_GB2312" w:eastAsia="仿宋_GB2312" w:cs="宋体"/>
                <w:kern w:val="0"/>
                <w:sz w:val="21"/>
                <w:szCs w:val="21"/>
                <w:lang w:val="en-US" w:eastAsia="zh-CN"/>
              </w:rPr>
              <w:t>1</w:t>
            </w:r>
            <w:r>
              <w:rPr>
                <w:rFonts w:hint="eastAsia" w:ascii="仿宋_GB2312" w:eastAsia="仿宋_GB2312" w:cs="宋体"/>
                <w:kern w:val="0"/>
                <w:sz w:val="21"/>
                <w:szCs w:val="21"/>
              </w:rPr>
              <w:t>分，沿线出现严重修剪问题每次扣</w:t>
            </w:r>
            <w:r>
              <w:rPr>
                <w:rFonts w:hint="eastAsia" w:ascii="仿宋_GB2312" w:eastAsia="仿宋_GB2312" w:cs="宋体"/>
                <w:kern w:val="0"/>
                <w:sz w:val="21"/>
                <w:szCs w:val="21"/>
                <w:lang w:val="en-US" w:eastAsia="zh-CN"/>
              </w:rPr>
              <w:t>2</w:t>
            </w:r>
            <w:r>
              <w:rPr>
                <w:rFonts w:hint="eastAsia" w:ascii="仿宋_GB2312" w:eastAsia="仿宋_GB2312" w:cs="宋体"/>
                <w:kern w:val="0"/>
                <w:sz w:val="21"/>
                <w:szCs w:val="21"/>
              </w:rPr>
              <w:t>-</w:t>
            </w:r>
            <w:r>
              <w:rPr>
                <w:rFonts w:hint="eastAsia" w:ascii="仿宋_GB2312" w:cs="宋体"/>
                <w:kern w:val="0"/>
                <w:sz w:val="21"/>
                <w:szCs w:val="21"/>
                <w:lang w:val="en-US" w:eastAsia="zh-CN"/>
              </w:rPr>
              <w:t>5</w:t>
            </w:r>
            <w:r>
              <w:rPr>
                <w:rFonts w:hint="eastAsia" w:ascii="仿宋_GB2312" w:eastAsia="仿宋_GB2312" w:cs="宋体"/>
                <w:kern w:val="0"/>
                <w:sz w:val="21"/>
                <w:szCs w:val="21"/>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spacing w:val="-8"/>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ascii="仿宋_GB2312" w:eastAsia="仿宋_GB2312" w:cs="宋体"/>
                <w:kern w:val="0"/>
                <w:sz w:val="21"/>
                <w:szCs w:val="21"/>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kern w:val="0"/>
                <w:sz w:val="21"/>
                <w:szCs w:val="21"/>
              </w:rPr>
            </w:pPr>
            <w:r>
              <w:rPr>
                <w:rFonts w:hint="eastAsia" w:ascii="仿宋_GB2312" w:eastAsia="仿宋_GB2312" w:cs="宋体"/>
                <w:kern w:val="0"/>
                <w:sz w:val="21"/>
                <w:szCs w:val="21"/>
              </w:rPr>
              <w:t>行道树和乔木长势不佳、偏冠严重、无冠幅，每处扣</w:t>
            </w:r>
            <w:r>
              <w:rPr>
                <w:rFonts w:hint="eastAsia" w:ascii="仿宋_GB2312" w:cs="宋体"/>
                <w:kern w:val="0"/>
                <w:sz w:val="21"/>
                <w:szCs w:val="21"/>
                <w:lang w:val="en-US" w:eastAsia="zh-CN"/>
              </w:rPr>
              <w:t>1</w:t>
            </w:r>
            <w:r>
              <w:rPr>
                <w:rFonts w:hint="eastAsia" w:ascii="仿宋_GB2312" w:eastAsia="仿宋_GB2312" w:cs="宋体"/>
                <w:kern w:val="0"/>
                <w:sz w:val="21"/>
                <w:szCs w:val="21"/>
              </w:rPr>
              <w:t>分；树木长势较弱，黄叶、焦叶、落叶株数较多，每处扣</w:t>
            </w:r>
            <w:r>
              <w:rPr>
                <w:rFonts w:hint="eastAsia" w:ascii="仿宋_GB2312" w:cs="宋体"/>
                <w:kern w:val="0"/>
                <w:sz w:val="21"/>
                <w:szCs w:val="21"/>
                <w:lang w:val="en-US" w:eastAsia="zh-CN"/>
              </w:rPr>
              <w:t>1</w:t>
            </w:r>
            <w:r>
              <w:rPr>
                <w:rFonts w:hint="eastAsia" w:ascii="仿宋_GB2312" w:eastAsia="仿宋_GB2312" w:cs="宋体"/>
                <w:kern w:val="0"/>
                <w:sz w:val="21"/>
                <w:szCs w:val="21"/>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spacing w:val="-8"/>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ascii="仿宋_GB2312" w:eastAsia="仿宋_GB2312" w:cs="宋体"/>
                <w:kern w:val="0"/>
                <w:sz w:val="21"/>
                <w:szCs w:val="21"/>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kern w:val="0"/>
                <w:sz w:val="21"/>
                <w:szCs w:val="21"/>
              </w:rPr>
            </w:pPr>
            <w:r>
              <w:rPr>
                <w:rFonts w:hint="eastAsia" w:ascii="仿宋_GB2312" w:eastAsia="仿宋_GB2312" w:cs="宋体"/>
                <w:kern w:val="0"/>
                <w:sz w:val="21"/>
                <w:szCs w:val="21"/>
              </w:rPr>
              <w:t>树穴土壤高于侧石、板结、填充物缺失，每处扣</w:t>
            </w:r>
            <w:r>
              <w:rPr>
                <w:rFonts w:hint="eastAsia" w:ascii="仿宋_GB2312" w:cs="宋体"/>
                <w:kern w:val="0"/>
                <w:sz w:val="21"/>
                <w:szCs w:val="21"/>
                <w:lang w:val="en-US" w:eastAsia="zh-CN"/>
              </w:rPr>
              <w:t>1</w:t>
            </w:r>
            <w:r>
              <w:rPr>
                <w:rFonts w:hint="eastAsia" w:ascii="仿宋_GB2312" w:eastAsia="仿宋_GB2312" w:cs="宋体"/>
                <w:kern w:val="0"/>
                <w:sz w:val="21"/>
                <w:szCs w:val="21"/>
              </w:rPr>
              <w:t>分；0.5平方米以内树穴裸露扣</w:t>
            </w:r>
            <w:r>
              <w:rPr>
                <w:rFonts w:hint="eastAsia" w:ascii="仿宋_GB2312" w:cs="宋体"/>
                <w:kern w:val="0"/>
                <w:sz w:val="21"/>
                <w:szCs w:val="21"/>
                <w:lang w:val="en-US" w:eastAsia="zh-CN"/>
              </w:rPr>
              <w:t>1</w:t>
            </w:r>
            <w:r>
              <w:rPr>
                <w:rFonts w:hint="eastAsia" w:ascii="仿宋_GB2312" w:eastAsia="仿宋_GB2312" w:cs="宋体"/>
                <w:kern w:val="0"/>
                <w:sz w:val="21"/>
                <w:szCs w:val="21"/>
              </w:rPr>
              <w:t>分，超出0.5平方米每处扣</w:t>
            </w:r>
            <w:r>
              <w:rPr>
                <w:rFonts w:hint="eastAsia" w:ascii="仿宋_GB2312" w:cs="宋体"/>
                <w:kern w:val="0"/>
                <w:sz w:val="21"/>
                <w:szCs w:val="21"/>
                <w:lang w:val="en-US" w:eastAsia="zh-CN"/>
              </w:rPr>
              <w:t>2</w:t>
            </w:r>
            <w:r>
              <w:rPr>
                <w:rFonts w:hint="eastAsia" w:ascii="仿宋_GB2312" w:eastAsia="仿宋_GB2312" w:cs="宋体"/>
                <w:kern w:val="0"/>
                <w:sz w:val="21"/>
                <w:szCs w:val="21"/>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spacing w:val="-8"/>
                <w:sz w:val="21"/>
                <w:szCs w:val="21"/>
                <w:lang w:val="en-US" w:eastAsia="zh-CN"/>
              </w:rPr>
            </w:pPr>
            <w:r>
              <w:rPr>
                <w:rFonts w:hint="eastAsia" w:ascii="仿宋_GB2312" w:eastAsia="仿宋_GB2312"/>
                <w:spacing w:val="-8"/>
                <w:sz w:val="21"/>
                <w:szCs w:val="21"/>
                <w:lang w:val="en-US" w:eastAsia="zh-CN"/>
              </w:rPr>
              <w:t xml:space="preserve">  </w:t>
            </w: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ascii="仿宋_GB2312" w:eastAsia="仿宋_GB2312" w:cs="宋体"/>
                <w:kern w:val="0"/>
                <w:sz w:val="21"/>
                <w:szCs w:val="21"/>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kern w:val="0"/>
                <w:sz w:val="21"/>
                <w:szCs w:val="21"/>
              </w:rPr>
            </w:pPr>
            <w:r>
              <w:rPr>
                <w:rFonts w:hint="eastAsia" w:ascii="仿宋_GB2312" w:eastAsia="仿宋_GB2312" w:cs="宋体"/>
                <w:kern w:val="0"/>
                <w:sz w:val="21"/>
                <w:szCs w:val="21"/>
              </w:rPr>
              <w:t>绿篱和灌木出现死株、缺株、混种、小道、杂株返祖的、绿植倒伏，每处</w:t>
            </w:r>
            <w:r>
              <w:rPr>
                <w:rFonts w:hint="eastAsia" w:ascii="仿宋_GB2312" w:eastAsia="仿宋_GB2312" w:cs="宋体"/>
                <w:kern w:val="0"/>
                <w:sz w:val="21"/>
                <w:szCs w:val="21"/>
                <w:lang w:val="en-US" w:eastAsia="zh-CN"/>
              </w:rPr>
              <w:t>0.5</w:t>
            </w:r>
            <w:r>
              <w:rPr>
                <w:rFonts w:hint="eastAsia" w:ascii="仿宋_GB2312" w:eastAsia="仿宋_GB2312" w:cs="宋体"/>
                <w:kern w:val="0"/>
                <w:sz w:val="21"/>
                <w:szCs w:val="21"/>
              </w:rPr>
              <w:t>分；0.5平方米以内黄土裸露每处扣</w:t>
            </w:r>
            <w:r>
              <w:rPr>
                <w:rFonts w:hint="eastAsia" w:ascii="仿宋_GB2312" w:eastAsia="仿宋_GB2312" w:cs="宋体"/>
                <w:kern w:val="0"/>
                <w:sz w:val="21"/>
                <w:szCs w:val="21"/>
                <w:lang w:val="en-US" w:eastAsia="zh-CN"/>
              </w:rPr>
              <w:t>0.5</w:t>
            </w:r>
            <w:r>
              <w:rPr>
                <w:rFonts w:hint="eastAsia" w:ascii="仿宋_GB2312" w:eastAsia="仿宋_GB2312" w:cs="宋体"/>
                <w:kern w:val="0"/>
                <w:sz w:val="21"/>
                <w:szCs w:val="21"/>
              </w:rPr>
              <w:t>分，超出0.5平方米每处扣</w:t>
            </w:r>
            <w:r>
              <w:rPr>
                <w:rFonts w:hint="eastAsia" w:ascii="仿宋_GB2312" w:eastAsia="仿宋_GB2312" w:cs="宋体"/>
                <w:kern w:val="0"/>
                <w:sz w:val="21"/>
                <w:szCs w:val="21"/>
                <w:lang w:val="en-US" w:eastAsia="zh-CN"/>
              </w:rPr>
              <w:t>1.5</w:t>
            </w:r>
            <w:r>
              <w:rPr>
                <w:rFonts w:hint="eastAsia" w:ascii="仿宋_GB2312" w:eastAsia="仿宋_GB2312" w:cs="宋体"/>
                <w:kern w:val="0"/>
                <w:sz w:val="21"/>
                <w:szCs w:val="21"/>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spacing w:val="-8"/>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ascii="仿宋_GB2312" w:eastAsia="仿宋_GB2312" w:cs="宋体"/>
                <w:kern w:val="0"/>
                <w:sz w:val="21"/>
                <w:szCs w:val="21"/>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kern w:val="0"/>
                <w:sz w:val="21"/>
                <w:szCs w:val="21"/>
              </w:rPr>
            </w:pPr>
            <w:r>
              <w:rPr>
                <w:rFonts w:hint="eastAsia" w:ascii="仿宋_GB2312" w:eastAsia="仿宋_GB2312" w:cs="宋体"/>
                <w:kern w:val="0"/>
                <w:sz w:val="21"/>
                <w:szCs w:val="21"/>
              </w:rPr>
              <w:t>绿篱和灌木修剪不规范、不平整、窜条、高度影响交通视线的，每处扣2分。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spacing w:val="-8"/>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ascii="仿宋_GB2312" w:eastAsia="仿宋_GB2312" w:cs="宋体"/>
                <w:kern w:val="0"/>
                <w:sz w:val="21"/>
                <w:szCs w:val="21"/>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kern w:val="0"/>
                <w:sz w:val="21"/>
                <w:szCs w:val="21"/>
              </w:rPr>
            </w:pPr>
            <w:r>
              <w:rPr>
                <w:rFonts w:hint="eastAsia" w:ascii="仿宋_GB2312" w:eastAsia="仿宋_GB2312" w:cs="宋体"/>
                <w:kern w:val="0"/>
                <w:sz w:val="21"/>
                <w:szCs w:val="21"/>
              </w:rPr>
              <w:t>草坪高度超出养护标准、草坪边缘不清淅、草坪空秃、草坪覆盖率低的，每处扣</w:t>
            </w:r>
            <w:r>
              <w:rPr>
                <w:rFonts w:hint="eastAsia" w:ascii="仿宋_GB2312" w:eastAsia="仿宋_GB2312" w:cs="宋体"/>
                <w:kern w:val="0"/>
                <w:sz w:val="21"/>
                <w:szCs w:val="21"/>
                <w:lang w:val="en-US" w:eastAsia="zh-CN"/>
              </w:rPr>
              <w:t>0.5</w:t>
            </w:r>
            <w:r>
              <w:rPr>
                <w:rFonts w:hint="eastAsia" w:ascii="仿宋_GB2312" w:eastAsia="仿宋_GB2312" w:cs="宋体"/>
                <w:kern w:val="0"/>
                <w:sz w:val="21"/>
                <w:szCs w:val="21"/>
              </w:rPr>
              <w:t>分，0.5平方米以内黄土裸露的，每处扣</w:t>
            </w:r>
            <w:r>
              <w:rPr>
                <w:rFonts w:hint="eastAsia" w:ascii="仿宋_GB2312" w:eastAsia="仿宋_GB2312" w:cs="宋体"/>
                <w:kern w:val="0"/>
                <w:sz w:val="21"/>
                <w:szCs w:val="21"/>
                <w:lang w:val="en-US" w:eastAsia="zh-CN"/>
              </w:rPr>
              <w:t>0.5</w:t>
            </w:r>
            <w:r>
              <w:rPr>
                <w:rFonts w:hint="eastAsia" w:ascii="仿宋_GB2312" w:eastAsia="仿宋_GB2312" w:cs="宋体"/>
                <w:kern w:val="0"/>
                <w:sz w:val="21"/>
                <w:szCs w:val="21"/>
              </w:rPr>
              <w:t>分，超出0.5平方米每处扣</w:t>
            </w:r>
            <w:r>
              <w:rPr>
                <w:rFonts w:hint="eastAsia" w:ascii="仿宋_GB2312" w:eastAsia="仿宋_GB2312" w:cs="宋体"/>
                <w:kern w:val="0"/>
                <w:sz w:val="21"/>
                <w:szCs w:val="21"/>
                <w:lang w:val="en-US" w:eastAsia="zh-CN"/>
              </w:rPr>
              <w:t>1.5</w:t>
            </w:r>
            <w:r>
              <w:rPr>
                <w:rFonts w:hint="eastAsia" w:ascii="仿宋_GB2312" w:eastAsia="仿宋_GB2312" w:cs="宋体"/>
                <w:kern w:val="0"/>
                <w:sz w:val="21"/>
                <w:szCs w:val="21"/>
              </w:rPr>
              <w:t>分。</w:t>
            </w:r>
          </w:p>
        </w:tc>
        <w:tc>
          <w:tcPr>
            <w:tcW w:w="1095" w:type="dxa"/>
            <w:tcBorders>
              <w:top w:val="nil"/>
              <w:left w:val="nil"/>
              <w:bottom w:val="single" w:color="auto" w:sz="4" w:space="0"/>
              <w:right w:val="single" w:color="auto" w:sz="4" w:space="0"/>
            </w:tcBorders>
            <w:noWrap w:val="0"/>
            <w:vAlign w:val="center"/>
          </w:tcPr>
          <w:p>
            <w:pPr>
              <w:widowControl/>
              <w:jc w:val="left"/>
              <w:rPr>
                <w:rFonts w:ascii="仿宋_GB2312" w:eastAsia="仿宋_GB2312"/>
                <w:spacing w:val="-8"/>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ascii="仿宋_GB2312" w:eastAsia="仿宋_GB2312" w:cs="宋体"/>
                <w:kern w:val="0"/>
                <w:sz w:val="21"/>
                <w:szCs w:val="21"/>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kern w:val="0"/>
                <w:sz w:val="21"/>
                <w:szCs w:val="21"/>
              </w:rPr>
            </w:pPr>
            <w:r>
              <w:rPr>
                <w:rFonts w:hint="eastAsia" w:ascii="仿宋_GB2312" w:eastAsia="仿宋_GB2312" w:cs="宋体"/>
                <w:kern w:val="0"/>
                <w:sz w:val="21"/>
                <w:szCs w:val="21"/>
              </w:rPr>
              <w:t>绿地内杂草超过养护标准的，每处扣</w:t>
            </w:r>
            <w:r>
              <w:rPr>
                <w:rFonts w:hint="eastAsia" w:ascii="仿宋_GB2312" w:eastAsia="仿宋_GB2312" w:cs="宋体"/>
                <w:kern w:val="0"/>
                <w:sz w:val="21"/>
                <w:szCs w:val="21"/>
                <w:lang w:val="en-US" w:eastAsia="zh-CN"/>
              </w:rPr>
              <w:t>0.5</w:t>
            </w:r>
            <w:r>
              <w:rPr>
                <w:rFonts w:hint="eastAsia" w:ascii="仿宋_GB2312" w:eastAsia="仿宋_GB2312" w:cs="宋体"/>
                <w:kern w:val="0"/>
                <w:sz w:val="21"/>
                <w:szCs w:val="21"/>
              </w:rPr>
              <w:t>分。</w:t>
            </w:r>
            <w:r>
              <w:rPr>
                <w:rFonts w:ascii="仿宋_GB2312" w:eastAsia="仿宋_GB2312" w:cs="宋体"/>
                <w:kern w:val="0"/>
                <w:sz w:val="21"/>
                <w:szCs w:val="21"/>
              </w:rPr>
              <w:t xml:space="preserve"> </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spacing w:val="-8"/>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ascii="仿宋_GB2312" w:eastAsia="仿宋_GB2312" w:cs="宋体"/>
                <w:kern w:val="0"/>
                <w:sz w:val="21"/>
                <w:szCs w:val="21"/>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kern w:val="0"/>
                <w:sz w:val="21"/>
                <w:szCs w:val="21"/>
              </w:rPr>
            </w:pPr>
            <w:r>
              <w:rPr>
                <w:rFonts w:hint="eastAsia" w:ascii="仿宋_GB2312" w:eastAsia="仿宋_GB2312" w:cs="宋体"/>
                <w:kern w:val="0"/>
                <w:sz w:val="21"/>
                <w:szCs w:val="21"/>
              </w:rPr>
              <w:t>花坛花箱内时花缺株、倒伏、枯枝残花、杂草垃圾等每处扣</w:t>
            </w:r>
            <w:r>
              <w:rPr>
                <w:rFonts w:hint="eastAsia" w:ascii="仿宋_GB2312" w:eastAsia="仿宋_GB2312" w:cs="宋体"/>
                <w:kern w:val="0"/>
                <w:sz w:val="21"/>
                <w:szCs w:val="21"/>
                <w:lang w:val="en-US" w:eastAsia="zh-CN"/>
              </w:rPr>
              <w:t>0.5</w:t>
            </w:r>
            <w:r>
              <w:rPr>
                <w:rFonts w:hint="eastAsia" w:ascii="仿宋_GB2312" w:eastAsia="仿宋_GB2312" w:cs="宋体"/>
                <w:kern w:val="0"/>
                <w:sz w:val="21"/>
                <w:szCs w:val="21"/>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spacing w:val="-8"/>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bottom w:val="single" w:color="000000" w:sz="4" w:space="0"/>
              <w:right w:val="single" w:color="auto" w:sz="4" w:space="0"/>
            </w:tcBorders>
            <w:noWrap w:val="0"/>
            <w:vAlign w:val="center"/>
          </w:tcPr>
          <w:p>
            <w:pPr>
              <w:spacing w:line="400" w:lineRule="exact"/>
              <w:jc w:val="center"/>
              <w:rPr>
                <w:rFonts w:ascii="仿宋_GB2312" w:eastAsia="仿宋_GB2312" w:cs="宋体"/>
                <w:kern w:val="0"/>
                <w:sz w:val="21"/>
                <w:szCs w:val="21"/>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eastAsia="仿宋_GB2312" w:cs="宋体"/>
                <w:kern w:val="0"/>
                <w:sz w:val="21"/>
                <w:szCs w:val="21"/>
              </w:rPr>
            </w:pPr>
            <w:r>
              <w:rPr>
                <w:rFonts w:hint="eastAsia" w:ascii="仿宋_GB2312" w:eastAsia="仿宋_GB2312" w:cs="宋体"/>
                <w:kern w:val="0"/>
                <w:sz w:val="21"/>
                <w:szCs w:val="21"/>
              </w:rPr>
              <w:t>绿化补种不规范、以及绿地养护出现其他问题的每处扣</w:t>
            </w:r>
            <w:r>
              <w:rPr>
                <w:rFonts w:hint="eastAsia" w:ascii="仿宋_GB2312" w:cs="宋体"/>
                <w:kern w:val="0"/>
                <w:sz w:val="21"/>
                <w:szCs w:val="21"/>
                <w:lang w:val="en-US" w:eastAsia="zh-CN"/>
              </w:rPr>
              <w:t>1</w:t>
            </w:r>
            <w:r>
              <w:rPr>
                <w:rFonts w:hint="eastAsia" w:ascii="仿宋_GB2312" w:eastAsia="仿宋_GB2312" w:cs="宋体"/>
                <w:kern w:val="0"/>
                <w:sz w:val="21"/>
                <w:szCs w:val="21"/>
              </w:rPr>
              <w:t>分;管养区域内绿地失管每处扣</w:t>
            </w:r>
            <w:r>
              <w:rPr>
                <w:rFonts w:hint="eastAsia" w:ascii="仿宋_GB2312" w:eastAsia="仿宋_GB2312" w:cs="宋体"/>
                <w:kern w:val="0"/>
                <w:sz w:val="21"/>
                <w:szCs w:val="21"/>
                <w:lang w:val="en-US" w:eastAsia="zh-CN"/>
              </w:rPr>
              <w:t>3</w:t>
            </w:r>
            <w:r>
              <w:rPr>
                <w:rFonts w:hint="eastAsia" w:ascii="仿宋_GB2312" w:eastAsia="仿宋_GB2312" w:cs="宋体"/>
                <w:kern w:val="0"/>
                <w:sz w:val="21"/>
                <w:szCs w:val="21"/>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spacing w:val="-8"/>
                <w:sz w:val="21"/>
                <w:szCs w:val="21"/>
              </w:rPr>
            </w:pPr>
          </w:p>
        </w:tc>
      </w:tr>
      <w:tr>
        <w:tblPrEx>
          <w:tblCellMar>
            <w:top w:w="0" w:type="dxa"/>
            <w:left w:w="108" w:type="dxa"/>
            <w:bottom w:w="0" w:type="dxa"/>
            <w:right w:w="108" w:type="dxa"/>
          </w:tblCellMar>
        </w:tblPrEx>
        <w:trPr>
          <w:trHeight w:val="540" w:hRule="atLeast"/>
        </w:trPr>
        <w:tc>
          <w:tcPr>
            <w:tcW w:w="900" w:type="dxa"/>
            <w:vMerge w:val="restart"/>
            <w:tcBorders>
              <w:left w:val="single" w:color="auto" w:sz="4" w:space="0"/>
              <w:right w:val="single" w:color="auto" w:sz="4" w:space="0"/>
            </w:tcBorders>
            <w:noWrap w:val="0"/>
            <w:vAlign w:val="center"/>
          </w:tcPr>
          <w:p>
            <w:pPr>
              <w:spacing w:line="400" w:lineRule="exact"/>
              <w:jc w:val="center"/>
              <w:rPr>
                <w:rFonts w:hint="eastAsia" w:ascii="仿宋_GB2312" w:eastAsia="仿宋_GB2312" w:cs="宋体"/>
                <w:kern w:val="0"/>
                <w:sz w:val="21"/>
                <w:szCs w:val="21"/>
              </w:rPr>
            </w:pPr>
            <w:r>
              <w:rPr>
                <w:rFonts w:hint="eastAsia" w:ascii="仿宋_GB2312" w:eastAsia="仿宋_GB2312" w:cs="宋体"/>
                <w:kern w:val="0"/>
                <w:sz w:val="21"/>
                <w:szCs w:val="21"/>
              </w:rPr>
              <w:t>病</w:t>
            </w:r>
          </w:p>
          <w:p>
            <w:pPr>
              <w:spacing w:line="400" w:lineRule="exact"/>
              <w:jc w:val="center"/>
              <w:rPr>
                <w:rFonts w:hint="eastAsia" w:ascii="仿宋_GB2312" w:eastAsia="仿宋_GB2312" w:cs="宋体"/>
                <w:kern w:val="0"/>
                <w:sz w:val="21"/>
                <w:szCs w:val="21"/>
              </w:rPr>
            </w:pPr>
            <w:r>
              <w:rPr>
                <w:rFonts w:hint="eastAsia" w:ascii="仿宋_GB2312" w:eastAsia="仿宋_GB2312" w:cs="宋体"/>
                <w:kern w:val="0"/>
                <w:sz w:val="21"/>
                <w:szCs w:val="21"/>
              </w:rPr>
              <w:t>虫</w:t>
            </w:r>
          </w:p>
          <w:p>
            <w:pPr>
              <w:spacing w:line="400" w:lineRule="exact"/>
              <w:jc w:val="center"/>
              <w:rPr>
                <w:rFonts w:hint="eastAsia" w:ascii="仿宋_GB2312" w:eastAsia="仿宋_GB2312" w:cs="宋体"/>
                <w:kern w:val="0"/>
                <w:sz w:val="21"/>
                <w:szCs w:val="21"/>
              </w:rPr>
            </w:pPr>
            <w:r>
              <w:rPr>
                <w:rFonts w:hint="eastAsia" w:ascii="仿宋_GB2312" w:eastAsia="仿宋_GB2312" w:cs="宋体"/>
                <w:kern w:val="0"/>
                <w:sz w:val="21"/>
                <w:szCs w:val="21"/>
              </w:rPr>
              <w:t>害</w:t>
            </w:r>
          </w:p>
          <w:p>
            <w:pPr>
              <w:spacing w:line="400" w:lineRule="exact"/>
              <w:jc w:val="center"/>
              <w:rPr>
                <w:rFonts w:hint="eastAsia" w:ascii="仿宋_GB2312" w:eastAsia="仿宋_GB2312" w:cs="宋体"/>
                <w:kern w:val="0"/>
                <w:sz w:val="21"/>
                <w:szCs w:val="21"/>
              </w:rPr>
            </w:pPr>
            <w:r>
              <w:rPr>
                <w:rFonts w:hint="eastAsia" w:ascii="仿宋_GB2312" w:eastAsia="仿宋_GB2312" w:cs="宋体"/>
                <w:kern w:val="0"/>
                <w:sz w:val="21"/>
                <w:szCs w:val="21"/>
              </w:rPr>
              <w:t>防</w:t>
            </w:r>
          </w:p>
          <w:p>
            <w:pPr>
              <w:spacing w:line="400" w:lineRule="exact"/>
              <w:jc w:val="center"/>
              <w:rPr>
                <w:rFonts w:hint="eastAsia" w:ascii="仿宋" w:hAnsi="仿宋" w:eastAsia="仿宋" w:cs="仿宋"/>
                <w:kern w:val="0"/>
                <w:sz w:val="21"/>
                <w:szCs w:val="21"/>
              </w:rPr>
            </w:pPr>
            <w:r>
              <w:rPr>
                <w:rFonts w:hint="eastAsia" w:ascii="仿宋_GB2312" w:eastAsia="仿宋_GB2312" w:cs="宋体"/>
                <w:kern w:val="0"/>
                <w:sz w:val="21"/>
                <w:szCs w:val="21"/>
              </w:rPr>
              <w:t>治</w:t>
            </w: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kern w:val="0"/>
                <w:sz w:val="21"/>
                <w:szCs w:val="21"/>
              </w:rPr>
            </w:pPr>
            <w:r>
              <w:rPr>
                <w:rFonts w:hint="eastAsia" w:ascii="仿宋_GB2312" w:eastAsia="仿宋_GB2312" w:cs="宋体"/>
                <w:kern w:val="0"/>
                <w:sz w:val="21"/>
                <w:szCs w:val="21"/>
              </w:rPr>
              <w:t>发生病虫害每处扣</w:t>
            </w:r>
            <w:r>
              <w:rPr>
                <w:rFonts w:hint="eastAsia" w:ascii="仿宋_GB2312" w:eastAsia="仿宋_GB2312" w:cs="宋体"/>
                <w:kern w:val="0"/>
                <w:sz w:val="21"/>
                <w:szCs w:val="21"/>
                <w:lang w:val="en-US" w:eastAsia="zh-CN"/>
              </w:rPr>
              <w:t>0.5</w:t>
            </w:r>
            <w:r>
              <w:rPr>
                <w:rFonts w:hint="eastAsia" w:ascii="仿宋_GB2312" w:eastAsia="仿宋_GB2312" w:cs="宋体"/>
                <w:kern w:val="0"/>
                <w:sz w:val="21"/>
                <w:szCs w:val="21"/>
              </w:rPr>
              <w:t>分</w:t>
            </w:r>
            <w:r>
              <w:rPr>
                <w:rFonts w:hint="eastAsia" w:ascii="仿宋_GB2312" w:eastAsia="仿宋_GB2312" w:cs="宋体"/>
                <w:b/>
                <w:bCs/>
                <w:kern w:val="0"/>
                <w:sz w:val="21"/>
                <w:szCs w:val="21"/>
              </w:rPr>
              <w:t>，</w:t>
            </w:r>
            <w:r>
              <w:rPr>
                <w:rFonts w:hint="eastAsia" w:ascii="仿宋_GB2312" w:eastAsia="仿宋_GB2312" w:cs="宋体"/>
                <w:kern w:val="0"/>
                <w:sz w:val="21"/>
                <w:szCs w:val="21"/>
              </w:rPr>
              <w:t>大面积爆发扣</w:t>
            </w:r>
            <w:r>
              <w:rPr>
                <w:rFonts w:hint="eastAsia" w:ascii="仿宋_GB2312" w:eastAsia="仿宋_GB2312" w:cs="宋体"/>
                <w:kern w:val="0"/>
                <w:sz w:val="21"/>
                <w:szCs w:val="21"/>
                <w:lang w:val="en-US" w:eastAsia="zh-CN"/>
              </w:rPr>
              <w:t>3</w:t>
            </w:r>
            <w:r>
              <w:rPr>
                <w:rFonts w:hint="eastAsia" w:ascii="仿宋_GB2312" w:eastAsia="仿宋_GB2312" w:cs="宋体"/>
                <w:kern w:val="0"/>
                <w:sz w:val="21"/>
                <w:szCs w:val="21"/>
              </w:rPr>
              <w:t>分</w:t>
            </w:r>
            <w:r>
              <w:rPr>
                <w:rFonts w:hint="eastAsia" w:ascii="仿宋_GB2312" w:eastAsia="仿宋_GB2312" w:cs="宋体"/>
                <w:b/>
                <w:bCs/>
                <w:kern w:val="0"/>
                <w:sz w:val="21"/>
                <w:szCs w:val="21"/>
              </w:rPr>
              <w:t>。</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hint="eastAsia" w:ascii="仿宋" w:hAnsi="仿宋" w:eastAsia="仿宋" w:cs="仿宋"/>
                <w:kern w:val="0"/>
                <w:sz w:val="21"/>
                <w:szCs w:val="21"/>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kern w:val="0"/>
                <w:sz w:val="21"/>
                <w:szCs w:val="21"/>
              </w:rPr>
            </w:pPr>
            <w:r>
              <w:rPr>
                <w:rFonts w:hint="eastAsia" w:ascii="仿宋_GB2312" w:eastAsia="仿宋_GB2312" w:cs="宋体"/>
                <w:kern w:val="0"/>
                <w:sz w:val="21"/>
                <w:szCs w:val="21"/>
              </w:rPr>
              <w:t>发现病虫害未及时进行防治措施的每处扣</w:t>
            </w:r>
            <w:r>
              <w:rPr>
                <w:rFonts w:hint="eastAsia" w:ascii="仿宋_GB2312" w:eastAsia="仿宋_GB2312" w:cs="宋体"/>
                <w:kern w:val="0"/>
                <w:sz w:val="21"/>
                <w:szCs w:val="21"/>
                <w:lang w:val="en-US" w:eastAsia="zh-CN"/>
              </w:rPr>
              <w:t>1</w:t>
            </w:r>
            <w:r>
              <w:rPr>
                <w:rFonts w:hint="eastAsia" w:ascii="仿宋_GB2312" w:eastAsia="仿宋_GB2312" w:cs="宋体"/>
                <w:kern w:val="0"/>
                <w:sz w:val="21"/>
                <w:szCs w:val="21"/>
              </w:rPr>
              <w:t>分。病虫害防治措施不到位的每处扣</w:t>
            </w:r>
            <w:r>
              <w:rPr>
                <w:rFonts w:hint="eastAsia" w:ascii="仿宋_GB2312" w:eastAsia="仿宋_GB2312" w:cs="宋体"/>
                <w:kern w:val="0"/>
                <w:sz w:val="21"/>
                <w:szCs w:val="21"/>
                <w:lang w:val="en-US" w:eastAsia="zh-CN"/>
              </w:rPr>
              <w:t>1</w:t>
            </w:r>
            <w:r>
              <w:rPr>
                <w:rFonts w:hint="eastAsia" w:ascii="仿宋_GB2312" w:eastAsia="仿宋_GB2312" w:cs="宋体"/>
                <w:kern w:val="0"/>
                <w:sz w:val="21"/>
                <w:szCs w:val="21"/>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hint="eastAsia" w:ascii="仿宋" w:hAnsi="仿宋" w:eastAsia="仿宋" w:cs="仿宋"/>
                <w:kern w:val="0"/>
                <w:sz w:val="21"/>
                <w:szCs w:val="21"/>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kern w:val="0"/>
                <w:sz w:val="21"/>
                <w:szCs w:val="21"/>
              </w:rPr>
            </w:pPr>
            <w:r>
              <w:rPr>
                <w:rFonts w:hint="eastAsia" w:ascii="仿宋_GB2312" w:eastAsia="仿宋_GB2312" w:cs="宋体"/>
                <w:kern w:val="0"/>
                <w:sz w:val="21"/>
                <w:szCs w:val="21"/>
              </w:rPr>
              <w:t>食叶性害虫危害树木，每处扣</w:t>
            </w:r>
            <w:r>
              <w:rPr>
                <w:rFonts w:hint="eastAsia" w:ascii="仿宋_GB2312" w:eastAsia="仿宋_GB2312" w:cs="宋体"/>
                <w:kern w:val="0"/>
                <w:sz w:val="21"/>
                <w:szCs w:val="21"/>
                <w:lang w:val="en-US" w:eastAsia="zh-CN"/>
              </w:rPr>
              <w:t>0.5</w:t>
            </w:r>
            <w:r>
              <w:rPr>
                <w:rFonts w:hint="eastAsia" w:ascii="仿宋_GB2312" w:eastAsia="仿宋_GB2312" w:cs="宋体"/>
                <w:kern w:val="0"/>
                <w:sz w:val="21"/>
                <w:szCs w:val="21"/>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bottom w:val="single" w:color="000000" w:sz="4" w:space="0"/>
              <w:right w:val="single" w:color="auto" w:sz="4" w:space="0"/>
            </w:tcBorders>
            <w:noWrap w:val="0"/>
            <w:vAlign w:val="center"/>
          </w:tcPr>
          <w:p>
            <w:pPr>
              <w:spacing w:line="400" w:lineRule="exact"/>
              <w:jc w:val="center"/>
              <w:rPr>
                <w:rFonts w:hint="eastAsia" w:ascii="仿宋" w:hAnsi="仿宋" w:eastAsia="仿宋" w:cs="仿宋"/>
                <w:kern w:val="0"/>
                <w:sz w:val="21"/>
                <w:szCs w:val="21"/>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kern w:val="0"/>
                <w:sz w:val="21"/>
                <w:szCs w:val="21"/>
              </w:rPr>
            </w:pPr>
            <w:r>
              <w:rPr>
                <w:rFonts w:hint="eastAsia" w:ascii="仿宋_GB2312" w:eastAsia="仿宋_GB2312" w:cs="宋体"/>
                <w:kern w:val="0"/>
                <w:sz w:val="21"/>
                <w:szCs w:val="21"/>
              </w:rPr>
              <w:t>发现活蛀虫和活卵，每处扣</w:t>
            </w:r>
            <w:r>
              <w:rPr>
                <w:rFonts w:hint="eastAsia" w:ascii="仿宋_GB2312" w:eastAsia="仿宋_GB2312" w:cs="宋体"/>
                <w:kern w:val="0"/>
                <w:sz w:val="21"/>
                <w:szCs w:val="21"/>
                <w:lang w:val="en-US" w:eastAsia="zh-CN"/>
              </w:rPr>
              <w:t>0.5</w:t>
            </w:r>
            <w:r>
              <w:rPr>
                <w:rFonts w:hint="eastAsia" w:ascii="仿宋_GB2312" w:eastAsia="仿宋_GB2312" w:cs="宋体"/>
                <w:kern w:val="0"/>
                <w:sz w:val="21"/>
                <w:szCs w:val="21"/>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1"/>
                <w:szCs w:val="21"/>
              </w:rPr>
            </w:pPr>
          </w:p>
        </w:tc>
      </w:tr>
      <w:tr>
        <w:tblPrEx>
          <w:tblCellMar>
            <w:top w:w="0" w:type="dxa"/>
            <w:left w:w="108" w:type="dxa"/>
            <w:bottom w:w="0" w:type="dxa"/>
            <w:right w:w="108" w:type="dxa"/>
          </w:tblCellMar>
        </w:tblPrEx>
        <w:trPr>
          <w:trHeight w:val="540" w:hRule="atLeast"/>
        </w:trPr>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eastAsia="仿宋_GB2312" w:cs="宋体"/>
                <w:kern w:val="0"/>
                <w:sz w:val="21"/>
                <w:szCs w:val="21"/>
              </w:rPr>
            </w:pPr>
          </w:p>
          <w:p>
            <w:pPr>
              <w:spacing w:line="420" w:lineRule="exact"/>
              <w:jc w:val="center"/>
              <w:rPr>
                <w:rFonts w:hint="eastAsia" w:ascii="仿宋_GB2312" w:eastAsia="仿宋_GB2312" w:cs="宋体"/>
                <w:kern w:val="0"/>
                <w:sz w:val="21"/>
                <w:szCs w:val="21"/>
              </w:rPr>
            </w:pPr>
            <w:r>
              <w:rPr>
                <w:rFonts w:hint="eastAsia" w:ascii="仿宋_GB2312" w:eastAsia="仿宋_GB2312" w:cs="宋体"/>
                <w:kern w:val="0"/>
                <w:sz w:val="21"/>
                <w:szCs w:val="21"/>
              </w:rPr>
              <w:t>绿化</w:t>
            </w:r>
          </w:p>
          <w:p>
            <w:pPr>
              <w:spacing w:line="420" w:lineRule="exact"/>
              <w:jc w:val="center"/>
              <w:rPr>
                <w:rFonts w:hint="eastAsia" w:ascii="仿宋_GB2312" w:eastAsia="仿宋_GB2312" w:cs="宋体"/>
                <w:strike/>
                <w:kern w:val="0"/>
                <w:sz w:val="21"/>
                <w:szCs w:val="21"/>
              </w:rPr>
            </w:pPr>
            <w:r>
              <w:rPr>
                <w:rFonts w:hint="eastAsia" w:ascii="仿宋_GB2312" w:eastAsia="仿宋_GB2312" w:cs="宋体"/>
                <w:kern w:val="0"/>
                <w:sz w:val="21"/>
                <w:szCs w:val="21"/>
              </w:rPr>
              <w:t>设施</w:t>
            </w: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仿宋_GB2312" w:eastAsia="仿宋_GB2312" w:cs="宋体"/>
                <w:kern w:val="0"/>
                <w:sz w:val="21"/>
                <w:szCs w:val="21"/>
              </w:rPr>
            </w:pPr>
            <w:r>
              <w:rPr>
                <w:rFonts w:hint="eastAsia" w:ascii="仿宋_GB2312" w:eastAsia="仿宋_GB2312" w:cs="宋体"/>
                <w:kern w:val="0"/>
                <w:sz w:val="21"/>
                <w:szCs w:val="21"/>
              </w:rPr>
              <w:t>花箱、花坛、树穴破损、缺失扣</w:t>
            </w:r>
            <w:r>
              <w:rPr>
                <w:rFonts w:hint="eastAsia" w:ascii="仿宋_GB2312" w:eastAsia="仿宋_GB2312" w:cs="宋体"/>
                <w:kern w:val="0"/>
                <w:sz w:val="21"/>
                <w:szCs w:val="21"/>
                <w:lang w:val="en-US" w:eastAsia="zh-CN"/>
              </w:rPr>
              <w:t>0.5</w:t>
            </w:r>
            <w:r>
              <w:rPr>
                <w:rFonts w:hint="eastAsia" w:ascii="仿宋_GB2312" w:eastAsia="仿宋_GB2312" w:cs="宋体"/>
                <w:kern w:val="0"/>
                <w:sz w:val="21"/>
                <w:szCs w:val="21"/>
              </w:rPr>
              <w:t>分，其他设施缺失扣</w:t>
            </w:r>
            <w:r>
              <w:rPr>
                <w:rFonts w:hint="eastAsia" w:ascii="仿宋_GB2312" w:eastAsia="仿宋_GB2312" w:cs="宋体"/>
                <w:kern w:val="0"/>
                <w:sz w:val="21"/>
                <w:szCs w:val="21"/>
                <w:lang w:val="en-US" w:eastAsia="zh-CN"/>
              </w:rPr>
              <w:t>0.5</w:t>
            </w:r>
            <w:r>
              <w:rPr>
                <w:rFonts w:hint="eastAsia" w:ascii="仿宋_GB2312" w:eastAsia="仿宋_GB2312" w:cs="宋体"/>
                <w:kern w:val="0"/>
                <w:sz w:val="21"/>
                <w:szCs w:val="21"/>
              </w:rPr>
              <w:t>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hint="eastAsia" w:ascii="仿宋_GB2312" w:eastAsia="仿宋_GB2312"/>
                <w:spacing w:val="-8"/>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_GB2312" w:eastAsia="仿宋_GB2312" w:cs="宋体"/>
                <w:kern w:val="0"/>
                <w:sz w:val="21"/>
                <w:szCs w:val="21"/>
              </w:rPr>
            </w:pP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仿宋_GB2312" w:eastAsia="仿宋_GB2312" w:cs="宋体"/>
                <w:kern w:val="0"/>
                <w:sz w:val="21"/>
                <w:szCs w:val="21"/>
              </w:rPr>
            </w:pPr>
            <w:r>
              <w:rPr>
                <w:rFonts w:hint="eastAsia" w:ascii="仿宋_GB2312" w:eastAsia="仿宋_GB2312" w:cs="宋体"/>
                <w:kern w:val="0"/>
                <w:sz w:val="21"/>
                <w:szCs w:val="21"/>
              </w:rPr>
              <w:t>公园及绿地内果壳箱有污迹、破损，箱内垃圾未日产日清的，每处扣</w:t>
            </w:r>
            <w:r>
              <w:rPr>
                <w:rFonts w:hint="eastAsia" w:ascii="仿宋_GB2312" w:eastAsia="仿宋_GB2312" w:cs="宋体"/>
                <w:kern w:val="0"/>
                <w:sz w:val="21"/>
                <w:szCs w:val="21"/>
                <w:lang w:val="en-US" w:eastAsia="zh-CN"/>
              </w:rPr>
              <w:t>0.5</w:t>
            </w:r>
            <w:r>
              <w:rPr>
                <w:rFonts w:hint="eastAsia" w:ascii="仿宋_GB2312" w:eastAsia="仿宋_GB2312" w:cs="宋体"/>
                <w:kern w:val="0"/>
                <w:sz w:val="21"/>
                <w:szCs w:val="21"/>
              </w:rPr>
              <w:t>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仿宋_GB2312" w:eastAsia="仿宋_GB2312"/>
                <w:spacing w:val="-8"/>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_GB2312" w:eastAsia="仿宋_GB2312" w:cs="宋体"/>
                <w:kern w:val="0"/>
                <w:sz w:val="21"/>
                <w:szCs w:val="21"/>
              </w:rPr>
            </w:pPr>
          </w:p>
        </w:tc>
        <w:tc>
          <w:tcPr>
            <w:tcW w:w="6975" w:type="dxa"/>
            <w:tcBorders>
              <w:top w:val="single" w:color="auto" w:sz="4" w:space="0"/>
              <w:left w:val="nil"/>
              <w:bottom w:val="single" w:color="auto" w:sz="4" w:space="0"/>
              <w:right w:val="single" w:color="auto" w:sz="4" w:space="0"/>
            </w:tcBorders>
            <w:noWrap w:val="0"/>
            <w:vAlign w:val="center"/>
          </w:tcPr>
          <w:p>
            <w:pPr>
              <w:widowControl/>
              <w:spacing w:line="420" w:lineRule="exact"/>
              <w:jc w:val="left"/>
              <w:rPr>
                <w:rFonts w:ascii="仿宋_GB2312" w:eastAsia="仿宋_GB2312" w:cs="宋体"/>
                <w:kern w:val="0"/>
                <w:sz w:val="21"/>
                <w:szCs w:val="21"/>
              </w:rPr>
            </w:pPr>
            <w:r>
              <w:rPr>
                <w:rFonts w:hint="eastAsia" w:ascii="仿宋_GB2312" w:eastAsia="仿宋_GB2312" w:cs="宋体"/>
                <w:kern w:val="0"/>
                <w:sz w:val="21"/>
                <w:szCs w:val="21"/>
              </w:rPr>
              <w:t>设施有污迹、破损，金属构件设施有锈斑，油漆剥落等现象的每处扣</w:t>
            </w:r>
            <w:r>
              <w:rPr>
                <w:rFonts w:hint="eastAsia" w:ascii="仿宋_GB2312" w:eastAsia="仿宋_GB2312" w:cs="宋体"/>
                <w:kern w:val="0"/>
                <w:sz w:val="21"/>
                <w:szCs w:val="21"/>
                <w:lang w:val="en-US" w:eastAsia="zh-CN"/>
              </w:rPr>
              <w:t>0.5</w:t>
            </w:r>
            <w:r>
              <w:rPr>
                <w:rFonts w:hint="eastAsia" w:ascii="仿宋_GB2312" w:eastAsia="仿宋_GB2312" w:cs="宋体"/>
                <w:kern w:val="0"/>
                <w:sz w:val="21"/>
                <w:szCs w:val="21"/>
              </w:rPr>
              <w:t>分，公园设施存在明显安全隐患，未采取安全措施的，每处扣</w:t>
            </w:r>
            <w:r>
              <w:rPr>
                <w:rFonts w:hint="eastAsia" w:ascii="仿宋_GB2312" w:cs="宋体"/>
                <w:kern w:val="0"/>
                <w:sz w:val="21"/>
                <w:szCs w:val="21"/>
                <w:lang w:val="en-US" w:eastAsia="zh-CN"/>
              </w:rPr>
              <w:t>2</w:t>
            </w:r>
            <w:r>
              <w:rPr>
                <w:rFonts w:hint="eastAsia" w:ascii="仿宋_GB2312" w:eastAsia="仿宋_GB2312" w:cs="宋体"/>
                <w:kern w:val="0"/>
                <w:sz w:val="21"/>
                <w:szCs w:val="21"/>
              </w:rPr>
              <w:t>分。</w:t>
            </w:r>
          </w:p>
        </w:tc>
        <w:tc>
          <w:tcPr>
            <w:tcW w:w="1095" w:type="dxa"/>
            <w:tcBorders>
              <w:top w:val="single" w:color="auto" w:sz="4" w:space="0"/>
              <w:left w:val="nil"/>
              <w:bottom w:val="single" w:color="auto" w:sz="4" w:space="0"/>
              <w:right w:val="single" w:color="auto" w:sz="4" w:space="0"/>
            </w:tcBorders>
            <w:noWrap w:val="0"/>
            <w:vAlign w:val="center"/>
          </w:tcPr>
          <w:p>
            <w:pPr>
              <w:widowControl/>
              <w:spacing w:line="420" w:lineRule="exact"/>
              <w:jc w:val="left"/>
              <w:rPr>
                <w:rFonts w:hint="eastAsia" w:ascii="仿宋_GB2312" w:eastAsia="仿宋_GB2312"/>
                <w:spacing w:val="-8"/>
                <w:sz w:val="21"/>
                <w:szCs w:val="21"/>
              </w:rPr>
            </w:pPr>
          </w:p>
        </w:tc>
      </w:tr>
      <w:tr>
        <w:tblPrEx>
          <w:tblCellMar>
            <w:top w:w="0" w:type="dxa"/>
            <w:left w:w="108" w:type="dxa"/>
            <w:bottom w:w="0" w:type="dxa"/>
            <w:right w:w="108" w:type="dxa"/>
          </w:tblCellMar>
        </w:tblPrEx>
        <w:trPr>
          <w:trHeight w:val="540" w:hRule="atLeast"/>
        </w:trPr>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eastAsia="仿宋_GB2312" w:cs="宋体"/>
                <w:kern w:val="0"/>
                <w:sz w:val="21"/>
                <w:szCs w:val="21"/>
              </w:rPr>
            </w:pPr>
          </w:p>
          <w:p>
            <w:pPr>
              <w:spacing w:line="420" w:lineRule="exact"/>
              <w:jc w:val="center"/>
              <w:rPr>
                <w:rFonts w:hint="eastAsia" w:ascii="仿宋_GB2312" w:eastAsia="仿宋_GB2312" w:cs="宋体"/>
                <w:kern w:val="0"/>
                <w:sz w:val="21"/>
                <w:szCs w:val="21"/>
              </w:rPr>
            </w:pPr>
          </w:p>
          <w:p>
            <w:pPr>
              <w:spacing w:line="420" w:lineRule="exact"/>
              <w:jc w:val="center"/>
              <w:rPr>
                <w:rFonts w:hint="eastAsia" w:ascii="仿宋_GB2312" w:eastAsia="仿宋_GB2312" w:cs="宋体"/>
                <w:kern w:val="0"/>
                <w:sz w:val="21"/>
                <w:szCs w:val="21"/>
              </w:rPr>
            </w:pPr>
          </w:p>
          <w:p>
            <w:pPr>
              <w:spacing w:line="420" w:lineRule="exact"/>
              <w:jc w:val="center"/>
              <w:rPr>
                <w:rFonts w:hint="eastAsia" w:ascii="仿宋_GB2312" w:eastAsia="仿宋_GB2312" w:cs="宋体"/>
                <w:kern w:val="0"/>
                <w:sz w:val="21"/>
                <w:szCs w:val="21"/>
              </w:rPr>
            </w:pPr>
            <w:r>
              <w:rPr>
                <w:rFonts w:hint="eastAsia" w:ascii="仿宋_GB2312" w:eastAsia="仿宋_GB2312" w:cs="宋体"/>
                <w:kern w:val="0"/>
                <w:sz w:val="21"/>
                <w:szCs w:val="21"/>
              </w:rPr>
              <w:t>卫生及</w:t>
            </w:r>
          </w:p>
          <w:p>
            <w:pPr>
              <w:spacing w:line="420" w:lineRule="exact"/>
              <w:jc w:val="center"/>
              <w:rPr>
                <w:rFonts w:ascii="仿宋_GB2312" w:eastAsia="仿宋_GB2312" w:cs="宋体"/>
                <w:kern w:val="0"/>
                <w:sz w:val="21"/>
                <w:szCs w:val="21"/>
              </w:rPr>
            </w:pPr>
            <w:r>
              <w:rPr>
                <w:rFonts w:hint="eastAsia" w:ascii="仿宋_GB2312" w:eastAsia="仿宋_GB2312" w:cs="宋体"/>
                <w:kern w:val="0"/>
                <w:sz w:val="21"/>
                <w:szCs w:val="21"/>
              </w:rPr>
              <w:t>管理</w:t>
            </w:r>
          </w:p>
          <w:p>
            <w:pPr>
              <w:spacing w:line="420" w:lineRule="exact"/>
              <w:jc w:val="center"/>
              <w:rPr>
                <w:rFonts w:ascii="仿宋_GB2312" w:eastAsia="仿宋_GB2312" w:cs="宋体"/>
                <w:kern w:val="0"/>
                <w:sz w:val="21"/>
                <w:szCs w:val="21"/>
              </w:rPr>
            </w:pP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仿宋_GB2312" w:eastAsia="仿宋_GB2312" w:cs="宋体"/>
                <w:kern w:val="0"/>
                <w:sz w:val="21"/>
                <w:szCs w:val="21"/>
              </w:rPr>
            </w:pPr>
            <w:r>
              <w:rPr>
                <w:rFonts w:hint="eastAsia" w:ascii="仿宋_GB2312" w:eastAsia="仿宋_GB2312" w:cs="宋体"/>
                <w:kern w:val="0"/>
                <w:sz w:val="21"/>
                <w:szCs w:val="21"/>
              </w:rPr>
              <w:t>树上及绿带内有垃圾袋、零乱草绳、钉子、扎缚铁丝、电线、挂晾晒衣物、堆物、</w:t>
            </w:r>
            <w:r>
              <w:rPr>
                <w:rFonts w:hint="eastAsia" w:ascii="仿宋_GB2312" w:eastAsia="仿宋_GB2312" w:cs="宋体"/>
                <w:kern w:val="0"/>
                <w:sz w:val="21"/>
                <w:szCs w:val="21"/>
                <w:lang w:eastAsia="zh-CN"/>
              </w:rPr>
              <w:t>渣土积泥</w:t>
            </w:r>
            <w:r>
              <w:rPr>
                <w:rFonts w:hint="eastAsia" w:ascii="仿宋_GB2312" w:eastAsia="仿宋_GB2312" w:cs="宋体"/>
                <w:kern w:val="0"/>
                <w:sz w:val="21"/>
                <w:szCs w:val="21"/>
              </w:rPr>
              <w:t>等，每处扣</w:t>
            </w:r>
            <w:r>
              <w:rPr>
                <w:rFonts w:hint="eastAsia" w:ascii="仿宋_GB2312" w:eastAsia="仿宋_GB2312" w:cs="宋体"/>
                <w:kern w:val="0"/>
                <w:sz w:val="21"/>
                <w:szCs w:val="21"/>
                <w:lang w:val="en-US" w:eastAsia="zh-CN"/>
              </w:rPr>
              <w:t>0.5</w:t>
            </w:r>
            <w:r>
              <w:rPr>
                <w:rFonts w:hint="eastAsia" w:ascii="仿宋_GB2312" w:eastAsia="仿宋_GB2312" w:cs="宋体"/>
                <w:kern w:val="0"/>
                <w:sz w:val="21"/>
                <w:szCs w:val="21"/>
              </w:rPr>
              <w:t>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仿宋_GB2312" w:eastAsia="仿宋_GB2312"/>
                <w:spacing w:val="-8"/>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_GB2312" w:eastAsia="仿宋_GB2312" w:cs="宋体"/>
                <w:kern w:val="0"/>
                <w:sz w:val="21"/>
                <w:szCs w:val="21"/>
              </w:rPr>
            </w:pP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仿宋_GB2312" w:eastAsia="仿宋_GB2312" w:cs="宋体"/>
                <w:kern w:val="0"/>
                <w:sz w:val="21"/>
                <w:szCs w:val="21"/>
              </w:rPr>
            </w:pPr>
            <w:r>
              <w:rPr>
                <w:rFonts w:hint="eastAsia" w:ascii="仿宋_GB2312" w:eastAsia="仿宋_GB2312" w:cs="宋体"/>
                <w:kern w:val="0"/>
                <w:sz w:val="21"/>
                <w:szCs w:val="21"/>
              </w:rPr>
              <w:t>绿地内有明显枯叶堆积、白色垃圾、石块、果壳等杂物的每处扣</w:t>
            </w:r>
            <w:r>
              <w:rPr>
                <w:rFonts w:hint="eastAsia" w:ascii="仿宋_GB2312" w:eastAsia="仿宋_GB2312" w:cs="宋体"/>
                <w:kern w:val="0"/>
                <w:sz w:val="21"/>
                <w:szCs w:val="21"/>
                <w:lang w:val="en-US" w:eastAsia="zh-CN"/>
              </w:rPr>
              <w:t>0.5</w:t>
            </w:r>
            <w:r>
              <w:rPr>
                <w:rFonts w:hint="eastAsia" w:ascii="仿宋_GB2312" w:eastAsia="仿宋_GB2312" w:cs="宋体"/>
                <w:kern w:val="0"/>
                <w:sz w:val="21"/>
                <w:szCs w:val="21"/>
              </w:rPr>
              <w:t>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hint="eastAsia" w:ascii="仿宋_GB2312" w:eastAsia="仿宋_GB2312"/>
                <w:spacing w:val="-8"/>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_GB2312" w:eastAsia="仿宋_GB2312" w:cs="宋体"/>
                <w:kern w:val="0"/>
                <w:sz w:val="21"/>
                <w:szCs w:val="21"/>
              </w:rPr>
            </w:pP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仿宋_GB2312" w:eastAsia="仿宋_GB2312" w:cs="宋体"/>
                <w:kern w:val="0"/>
                <w:sz w:val="21"/>
                <w:szCs w:val="21"/>
              </w:rPr>
            </w:pPr>
            <w:r>
              <w:rPr>
                <w:rFonts w:hint="eastAsia" w:ascii="仿宋_GB2312" w:eastAsia="仿宋_GB2312" w:cs="宋体"/>
                <w:kern w:val="0"/>
                <w:sz w:val="21"/>
                <w:szCs w:val="21"/>
              </w:rPr>
              <w:t>乔木及绿带积尘明显每处扣</w:t>
            </w:r>
            <w:r>
              <w:rPr>
                <w:rFonts w:hint="eastAsia" w:ascii="仿宋_GB2312" w:eastAsia="仿宋_GB2312" w:cs="宋体"/>
                <w:kern w:val="0"/>
                <w:sz w:val="21"/>
                <w:szCs w:val="21"/>
                <w:lang w:val="en-US" w:eastAsia="zh-CN"/>
              </w:rPr>
              <w:t>0.5</w:t>
            </w:r>
            <w:r>
              <w:rPr>
                <w:rFonts w:hint="eastAsia" w:ascii="仿宋_GB2312" w:eastAsia="仿宋_GB2312" w:cs="宋体"/>
                <w:kern w:val="0"/>
                <w:sz w:val="21"/>
                <w:szCs w:val="21"/>
              </w:rPr>
              <w:t>分，沿线绿带色块叶面积灰严重的每处扣</w:t>
            </w:r>
            <w:r>
              <w:rPr>
                <w:rFonts w:hint="eastAsia" w:ascii="仿宋_GB2312" w:eastAsia="仿宋_GB2312" w:cs="宋体"/>
                <w:kern w:val="0"/>
                <w:sz w:val="21"/>
                <w:szCs w:val="21"/>
                <w:lang w:val="en-US" w:eastAsia="zh-CN"/>
              </w:rPr>
              <w:t>2</w:t>
            </w:r>
            <w:r>
              <w:rPr>
                <w:rFonts w:hint="eastAsia" w:ascii="仿宋_GB2312" w:eastAsia="仿宋_GB2312" w:cs="宋体"/>
                <w:kern w:val="0"/>
                <w:sz w:val="21"/>
                <w:szCs w:val="21"/>
              </w:rPr>
              <w:t>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仿宋_GB2312" w:eastAsia="仿宋_GB2312"/>
                <w:spacing w:val="-8"/>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_GB2312" w:eastAsia="仿宋_GB2312" w:cs="宋体"/>
                <w:kern w:val="0"/>
                <w:sz w:val="21"/>
                <w:szCs w:val="21"/>
              </w:rPr>
            </w:pP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hint="eastAsia" w:ascii="仿宋_GB2312" w:eastAsia="仿宋_GB2312" w:cs="宋体"/>
                <w:kern w:val="0"/>
                <w:sz w:val="21"/>
                <w:szCs w:val="21"/>
              </w:rPr>
            </w:pPr>
            <w:r>
              <w:rPr>
                <w:rFonts w:hint="eastAsia" w:ascii="仿宋_GB2312" w:eastAsia="仿宋_GB2312" w:cs="宋体"/>
                <w:kern w:val="0"/>
                <w:sz w:val="21"/>
                <w:szCs w:val="21"/>
              </w:rPr>
              <w:t>抗雪防冻、防寒保暖、抗旱保绿、防高温等应急工作不到位的每处扣5分。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仿宋_GB2312" w:eastAsia="仿宋_GB2312"/>
                <w:spacing w:val="-8"/>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_GB2312" w:eastAsia="仿宋_GB2312" w:cs="宋体"/>
                <w:kern w:val="0"/>
                <w:sz w:val="21"/>
                <w:szCs w:val="21"/>
              </w:rPr>
            </w:pP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hint="eastAsia" w:ascii="仿宋_GB2312" w:eastAsia="仿宋_GB2312" w:cs="宋体"/>
                <w:kern w:val="0"/>
                <w:sz w:val="21"/>
                <w:szCs w:val="21"/>
              </w:rPr>
            </w:pPr>
            <w:r>
              <w:rPr>
                <w:rFonts w:hint="eastAsia" w:ascii="仿宋_GB2312" w:eastAsia="仿宋_GB2312"/>
                <w:sz w:val="21"/>
                <w:szCs w:val="21"/>
              </w:rPr>
              <w:t>未经审批私自开挖绿地或未按绿化养护规范要求恢复等每处扣</w:t>
            </w:r>
            <w:r>
              <w:rPr>
                <w:rFonts w:hint="eastAsia" w:ascii="仿宋_GB2312"/>
                <w:sz w:val="21"/>
                <w:szCs w:val="21"/>
                <w:lang w:val="en-US" w:eastAsia="zh-CN"/>
              </w:rPr>
              <w:t>2</w:t>
            </w:r>
            <w:r>
              <w:rPr>
                <w:rFonts w:hint="eastAsia" w:ascii="仿宋_GB2312" w:eastAsia="仿宋_GB2312"/>
                <w:sz w:val="21"/>
                <w:szCs w:val="21"/>
              </w:rPr>
              <w:t>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仿宋_GB2312" w:eastAsia="仿宋_GB2312"/>
                <w:spacing w:val="-8"/>
                <w:sz w:val="21"/>
                <w:szCs w:val="21"/>
              </w:rPr>
            </w:pPr>
          </w:p>
        </w:tc>
      </w:tr>
      <w:tr>
        <w:tblPrEx>
          <w:tblCellMar>
            <w:top w:w="0" w:type="dxa"/>
            <w:left w:w="108" w:type="dxa"/>
            <w:bottom w:w="0" w:type="dxa"/>
            <w:right w:w="108" w:type="dxa"/>
          </w:tblCellMar>
        </w:tblPrEx>
        <w:trPr>
          <w:trHeight w:val="600" w:hRule="atLeast"/>
        </w:trPr>
        <w:tc>
          <w:tcPr>
            <w:tcW w:w="900" w:type="dxa"/>
            <w:vMerge w:val="restart"/>
            <w:tcBorders>
              <w:top w:val="single" w:color="auto" w:sz="4" w:space="0"/>
              <w:left w:val="single" w:color="auto" w:sz="4" w:space="0"/>
              <w:right w:val="single" w:color="auto" w:sz="4" w:space="0"/>
            </w:tcBorders>
            <w:noWrap w:val="0"/>
            <w:vAlign w:val="center"/>
          </w:tcPr>
          <w:p>
            <w:pPr>
              <w:spacing w:line="420" w:lineRule="exact"/>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河道</w:t>
            </w:r>
          </w:p>
          <w:p>
            <w:pPr>
              <w:spacing w:line="420" w:lineRule="exact"/>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管理</w:t>
            </w: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20" w:lineRule="exact"/>
              <w:jc w:val="left"/>
              <w:rPr>
                <w:rFonts w:hint="eastAsia" w:ascii="仿宋" w:hAnsi="仿宋" w:eastAsia="仿宋" w:cs="仿宋"/>
                <w:kern w:val="0"/>
                <w:sz w:val="21"/>
                <w:szCs w:val="21"/>
              </w:rPr>
            </w:pPr>
            <w:r>
              <w:rPr>
                <w:rFonts w:hint="eastAsia" w:ascii="仿宋_GB2312" w:hAnsi="宋体" w:eastAsia="仿宋_GB2312"/>
                <w:sz w:val="21"/>
                <w:szCs w:val="21"/>
              </w:rPr>
              <w:t>每</w:t>
            </w:r>
            <w:r>
              <w:rPr>
                <w:rFonts w:hint="eastAsia" w:ascii="仿宋_GB2312" w:hAnsi="宋体" w:eastAsia="仿宋_GB2312"/>
                <w:sz w:val="21"/>
                <w:szCs w:val="21"/>
                <w:lang w:eastAsia="zh-CN"/>
              </w:rPr>
              <w:t>50米内河道漂浮物（除固定圈养的水草）超过3处或单处漂浮物面积超过</w:t>
            </w:r>
            <w:r>
              <w:rPr>
                <w:rFonts w:hint="eastAsia" w:ascii="仿宋_GB2312" w:hAnsi="宋体" w:eastAsia="仿宋_GB2312"/>
                <w:sz w:val="21"/>
                <w:szCs w:val="21"/>
                <w:lang w:val="en-US" w:eastAsia="zh-CN"/>
              </w:rPr>
              <w:t>0.5个平方</w:t>
            </w:r>
            <w:r>
              <w:rPr>
                <w:rFonts w:hint="eastAsia" w:ascii="仿宋_GB2312" w:hAnsi="宋体" w:eastAsia="仿宋_GB2312"/>
                <w:sz w:val="21"/>
                <w:szCs w:val="21"/>
                <w:lang w:eastAsia="zh-CN"/>
              </w:rPr>
              <w:t>及以上的每段扣</w:t>
            </w:r>
            <w:r>
              <w:rPr>
                <w:rFonts w:hint="eastAsia" w:ascii="仿宋_GB2312" w:hAnsi="宋体"/>
                <w:sz w:val="21"/>
                <w:szCs w:val="21"/>
                <w:lang w:val="en-US" w:eastAsia="zh-CN"/>
              </w:rPr>
              <w:t>2</w:t>
            </w:r>
            <w:r>
              <w:rPr>
                <w:rFonts w:hint="eastAsia" w:ascii="仿宋_GB2312" w:hAnsi="宋体" w:eastAsia="仿宋_GB2312"/>
                <w:sz w:val="21"/>
                <w:szCs w:val="21"/>
                <w:lang w:eastAsia="zh-CN"/>
              </w:rPr>
              <w:t>分；每发现一处河道内渔网渔具的扣1分；河岸</w:t>
            </w:r>
            <w:r>
              <w:rPr>
                <w:rFonts w:hint="eastAsia" w:ascii="仿宋_GB2312" w:hAnsi="宋体" w:eastAsia="仿宋_GB2312"/>
                <w:sz w:val="21"/>
                <w:szCs w:val="21"/>
                <w:lang w:val="en-US" w:eastAsia="zh-CN"/>
              </w:rPr>
              <w:t>10米范围内</w:t>
            </w:r>
            <w:r>
              <w:rPr>
                <w:rFonts w:hint="eastAsia" w:ascii="仿宋_GB2312" w:hAnsi="宋体" w:eastAsia="仿宋_GB2312"/>
                <w:sz w:val="21"/>
                <w:szCs w:val="21"/>
                <w:lang w:eastAsia="zh-CN"/>
              </w:rPr>
              <w:t>滩地、岸坡上有新增建筑垃圾倾倒和生活垃圾、枯枝杂树堆放未及时清理的，每处扣</w:t>
            </w:r>
            <w:r>
              <w:rPr>
                <w:rFonts w:hint="eastAsia" w:ascii="仿宋_GB2312" w:hAnsi="宋体" w:eastAsia="仿宋_GB2312"/>
                <w:sz w:val="21"/>
                <w:szCs w:val="21"/>
                <w:lang w:val="en-US" w:eastAsia="zh-CN"/>
              </w:rPr>
              <w:t>2分；</w:t>
            </w:r>
            <w:r>
              <w:rPr>
                <w:rFonts w:hint="eastAsia" w:ascii="仿宋_GB2312" w:hAnsi="宋体" w:eastAsia="仿宋_GB2312"/>
                <w:sz w:val="21"/>
                <w:szCs w:val="21"/>
                <w:lang w:eastAsia="zh-CN"/>
              </w:rPr>
              <w:t>如发现用草甘膦等污染水体的药剂处理的每次扣</w:t>
            </w:r>
            <w:r>
              <w:rPr>
                <w:rFonts w:hint="eastAsia" w:ascii="仿宋_GB2312" w:hAnsi="宋体" w:eastAsia="仿宋_GB2312"/>
                <w:sz w:val="21"/>
                <w:szCs w:val="21"/>
                <w:lang w:val="en-US" w:eastAsia="zh-CN"/>
              </w:rPr>
              <w:t>1分。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仿宋" w:hAnsi="仿宋" w:eastAsia="仿宋" w:cs="仿宋"/>
                <w:spacing w:val="-8"/>
                <w:sz w:val="21"/>
                <w:szCs w:val="21"/>
              </w:rPr>
            </w:pPr>
          </w:p>
        </w:tc>
      </w:tr>
      <w:tr>
        <w:tblPrEx>
          <w:tblCellMar>
            <w:top w:w="0" w:type="dxa"/>
            <w:left w:w="108" w:type="dxa"/>
            <w:bottom w:w="0" w:type="dxa"/>
            <w:right w:w="108" w:type="dxa"/>
          </w:tblCellMar>
        </w:tblPrEx>
        <w:trPr>
          <w:trHeight w:val="600" w:hRule="atLeast"/>
        </w:trPr>
        <w:tc>
          <w:tcPr>
            <w:tcW w:w="900" w:type="dxa"/>
            <w:vMerge w:val="continue"/>
            <w:tcBorders>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仿宋"/>
                <w:kern w:val="0"/>
                <w:sz w:val="21"/>
                <w:szCs w:val="21"/>
                <w:lang w:eastAsia="zh-CN"/>
              </w:rPr>
            </w:pP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20" w:lineRule="exact"/>
              <w:jc w:val="left"/>
              <w:rPr>
                <w:rFonts w:hint="eastAsia" w:ascii="仿宋" w:hAnsi="仿宋" w:eastAsia="仿宋" w:cs="仿宋"/>
                <w:kern w:val="0"/>
                <w:sz w:val="21"/>
                <w:szCs w:val="21"/>
              </w:rPr>
            </w:pPr>
            <w:r>
              <w:rPr>
                <w:rFonts w:hint="eastAsia" w:ascii="仿宋" w:hAnsi="仿宋" w:eastAsia="仿宋" w:cs="仿宋"/>
                <w:sz w:val="21"/>
                <w:szCs w:val="21"/>
                <w:lang w:val="en-US" w:eastAsia="zh-CN"/>
              </w:rPr>
              <w:t>保洁人员须两人一船，单独作业的每次扣1分；工作时间不穿着救生衣的每次扣1分；未及时发现</w:t>
            </w:r>
            <w:r>
              <w:rPr>
                <w:rFonts w:hint="eastAsia" w:ascii="仿宋" w:hAnsi="仿宋" w:eastAsia="仿宋" w:cs="仿宋"/>
                <w:sz w:val="21"/>
                <w:szCs w:val="21"/>
              </w:rPr>
              <w:t>电捕网捕等行为</w:t>
            </w:r>
            <w:r>
              <w:rPr>
                <w:rFonts w:hint="eastAsia" w:ascii="仿宋" w:hAnsi="仿宋" w:eastAsia="仿宋" w:cs="仿宋"/>
                <w:sz w:val="21"/>
                <w:szCs w:val="21"/>
                <w:lang w:eastAsia="zh-CN"/>
              </w:rPr>
              <w:t>及新增晴天排污口</w:t>
            </w:r>
            <w:r>
              <w:rPr>
                <w:rFonts w:hint="eastAsia" w:ascii="仿宋" w:hAnsi="仿宋" w:eastAsia="仿宋" w:cs="仿宋"/>
                <w:sz w:val="21"/>
                <w:szCs w:val="21"/>
              </w:rPr>
              <w:t>的每起扣</w:t>
            </w:r>
            <w:r>
              <w:rPr>
                <w:rFonts w:hint="eastAsia" w:ascii="仿宋" w:hAnsi="仿宋" w:eastAsia="仿宋" w:cs="仿宋"/>
                <w:sz w:val="21"/>
                <w:szCs w:val="21"/>
                <w:lang w:val="en-US" w:eastAsia="zh-CN"/>
              </w:rPr>
              <w:t>1</w:t>
            </w:r>
            <w:r>
              <w:rPr>
                <w:rFonts w:hint="eastAsia" w:ascii="仿宋" w:hAnsi="仿宋" w:eastAsia="仿宋" w:cs="仿宋"/>
                <w:sz w:val="21"/>
                <w:szCs w:val="21"/>
              </w:rPr>
              <w:t>分</w:t>
            </w:r>
            <w:r>
              <w:rPr>
                <w:rFonts w:hint="eastAsia" w:ascii="仿宋" w:hAnsi="仿宋" w:eastAsia="仿宋" w:cs="仿宋"/>
                <w:sz w:val="21"/>
                <w:szCs w:val="21"/>
                <w:lang w:eastAsia="zh-CN"/>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仿宋" w:hAnsi="仿宋" w:eastAsia="仿宋" w:cs="仿宋"/>
                <w:spacing w:val="-8"/>
                <w:sz w:val="21"/>
                <w:szCs w:val="21"/>
              </w:rPr>
            </w:pPr>
          </w:p>
        </w:tc>
      </w:tr>
      <w:tr>
        <w:tblPrEx>
          <w:tblCellMar>
            <w:top w:w="0" w:type="dxa"/>
            <w:left w:w="108" w:type="dxa"/>
            <w:bottom w:w="0" w:type="dxa"/>
            <w:right w:w="108" w:type="dxa"/>
          </w:tblCellMar>
        </w:tblPrEx>
        <w:trPr>
          <w:trHeight w:val="60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eastAsia="仿宋_GB2312" w:cs="宋体"/>
                <w:kern w:val="0"/>
                <w:sz w:val="21"/>
                <w:szCs w:val="21"/>
                <w:lang w:eastAsia="zh-CN"/>
              </w:rPr>
            </w:pPr>
            <w:r>
              <w:rPr>
                <w:rFonts w:hint="eastAsia" w:ascii="仿宋_GB2312" w:eastAsia="仿宋_GB2312" w:cs="宋体"/>
                <w:kern w:val="0"/>
                <w:sz w:val="21"/>
                <w:szCs w:val="21"/>
                <w:lang w:eastAsia="zh-CN"/>
              </w:rPr>
              <w:t>其它</w:t>
            </w:r>
            <w:r>
              <w:rPr>
                <w:rFonts w:hint="eastAsia" w:ascii="仿宋_GB2312" w:eastAsia="仿宋_GB2312" w:cs="宋体"/>
                <w:kern w:val="0"/>
                <w:sz w:val="21"/>
                <w:szCs w:val="21"/>
                <w:lang w:val="en-US" w:eastAsia="zh-CN"/>
              </w:rPr>
              <w:t xml:space="preserve"> </w:t>
            </w:r>
            <w:r>
              <w:rPr>
                <w:rFonts w:hint="eastAsia" w:ascii="仿宋_GB2312" w:eastAsia="仿宋_GB2312" w:cs="宋体"/>
                <w:kern w:val="0"/>
                <w:sz w:val="21"/>
                <w:szCs w:val="21"/>
                <w:lang w:eastAsia="zh-CN"/>
              </w:rPr>
              <w:t>事宜</w:t>
            </w: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20" w:lineRule="exact"/>
              <w:jc w:val="left"/>
              <w:rPr>
                <w:rFonts w:hint="eastAsia" w:ascii="仿宋_GB2312" w:eastAsia="仿宋_GB2312" w:cs="宋体"/>
                <w:kern w:val="0"/>
                <w:sz w:val="21"/>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ascii="仿宋_GB2312" w:eastAsia="仿宋_GB2312"/>
                <w:spacing w:val="-8"/>
                <w:sz w:val="21"/>
                <w:szCs w:val="21"/>
              </w:rPr>
            </w:pPr>
          </w:p>
        </w:tc>
      </w:tr>
      <w:tr>
        <w:tblPrEx>
          <w:tblCellMar>
            <w:top w:w="0" w:type="dxa"/>
            <w:left w:w="108" w:type="dxa"/>
            <w:bottom w:w="0" w:type="dxa"/>
            <w:right w:w="108" w:type="dxa"/>
          </w:tblCellMar>
        </w:tblPrEx>
        <w:trPr>
          <w:trHeight w:val="495" w:hRule="atLeast"/>
        </w:trPr>
        <w:tc>
          <w:tcPr>
            <w:tcW w:w="787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ascii="仿宋_GB2312" w:eastAsia="仿宋_GB2312" w:cs="宋体"/>
                <w:kern w:val="0"/>
                <w:sz w:val="21"/>
                <w:szCs w:val="21"/>
              </w:rPr>
            </w:pPr>
            <w:r>
              <w:rPr>
                <w:rFonts w:hint="eastAsia" w:ascii="仿宋_GB2312" w:eastAsia="仿宋_GB2312"/>
                <w:sz w:val="21"/>
                <w:szCs w:val="21"/>
              </w:rPr>
              <w:t>评分合计</w:t>
            </w:r>
          </w:p>
        </w:tc>
        <w:tc>
          <w:tcPr>
            <w:tcW w:w="1095" w:type="dxa"/>
            <w:tcBorders>
              <w:top w:val="single" w:color="auto" w:sz="4" w:space="0"/>
              <w:left w:val="nil"/>
              <w:bottom w:val="single" w:color="auto" w:sz="4" w:space="0"/>
              <w:right w:val="single" w:color="auto" w:sz="4" w:space="0"/>
            </w:tcBorders>
            <w:noWrap w:val="0"/>
            <w:vAlign w:val="center"/>
          </w:tcPr>
          <w:p>
            <w:pPr>
              <w:widowControl/>
              <w:spacing w:line="420" w:lineRule="exact"/>
              <w:jc w:val="left"/>
              <w:rPr>
                <w:rFonts w:hint="eastAsia" w:ascii="仿宋_GB2312" w:eastAsia="仿宋_GB2312"/>
                <w:spacing w:val="-8"/>
                <w:sz w:val="21"/>
                <w:szCs w:val="21"/>
              </w:rPr>
            </w:pPr>
          </w:p>
        </w:tc>
      </w:tr>
      <w:tr>
        <w:tblPrEx>
          <w:tblCellMar>
            <w:top w:w="0" w:type="dxa"/>
            <w:left w:w="108" w:type="dxa"/>
            <w:bottom w:w="0" w:type="dxa"/>
            <w:right w:w="108" w:type="dxa"/>
          </w:tblCellMar>
        </w:tblPrEx>
        <w:trPr>
          <w:trHeight w:val="855" w:hRule="atLeast"/>
        </w:trPr>
        <w:tc>
          <w:tcPr>
            <w:tcW w:w="900" w:type="dxa"/>
            <w:tcBorders>
              <w:top w:val="nil"/>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eastAsia="仿宋_GB2312" w:cs="宋体"/>
                <w:kern w:val="0"/>
                <w:sz w:val="21"/>
                <w:szCs w:val="21"/>
              </w:rPr>
            </w:pPr>
            <w:r>
              <w:rPr>
                <w:rFonts w:hint="eastAsia" w:ascii="仿宋_GB2312" w:eastAsia="仿宋_GB2312" w:cs="宋体"/>
                <w:kern w:val="0"/>
                <w:sz w:val="21"/>
                <w:szCs w:val="21"/>
              </w:rPr>
              <w:t>备注</w:t>
            </w:r>
          </w:p>
        </w:tc>
        <w:tc>
          <w:tcPr>
            <w:tcW w:w="8070" w:type="dxa"/>
            <w:gridSpan w:val="2"/>
            <w:tcBorders>
              <w:top w:val="single" w:color="auto" w:sz="4" w:space="0"/>
              <w:left w:val="nil"/>
              <w:bottom w:val="single" w:color="auto" w:sz="4" w:space="0"/>
              <w:right w:val="single" w:color="000000" w:sz="4" w:space="0"/>
            </w:tcBorders>
            <w:noWrap w:val="0"/>
            <w:vAlign w:val="center"/>
          </w:tcPr>
          <w:p>
            <w:pPr>
              <w:spacing w:line="420" w:lineRule="exact"/>
              <w:rPr>
                <w:rFonts w:hint="eastAsia" w:ascii="仿宋_GB2312" w:eastAsia="仿宋_GB2312"/>
                <w:spacing w:val="-8"/>
                <w:sz w:val="21"/>
                <w:szCs w:val="21"/>
              </w:rPr>
            </w:pPr>
            <w:r>
              <w:rPr>
                <w:rFonts w:hint="eastAsia" w:ascii="仿宋_GB2312" w:eastAsia="仿宋_GB2312"/>
                <w:spacing w:val="-8"/>
                <w:sz w:val="21"/>
                <w:szCs w:val="21"/>
              </w:rPr>
              <w:t>1、</w:t>
            </w:r>
            <w:r>
              <w:rPr>
                <w:rFonts w:hint="eastAsia" w:ascii="仿宋_GB2312" w:eastAsia="仿宋_GB2312"/>
                <w:spacing w:val="-8"/>
                <w:sz w:val="21"/>
                <w:szCs w:val="21"/>
                <w:lang w:eastAsia="zh-CN"/>
              </w:rPr>
              <w:t>其它</w:t>
            </w:r>
            <w:r>
              <w:rPr>
                <w:rFonts w:hint="eastAsia" w:ascii="仿宋_GB2312" w:eastAsia="仿宋_GB2312"/>
                <w:spacing w:val="-8"/>
                <w:sz w:val="21"/>
                <w:szCs w:val="21"/>
              </w:rPr>
              <w:t>未尽事宜（如市“绿化双最”评比等市、区相关绿化工作），考核视情况加或扣1-5分。</w:t>
            </w:r>
          </w:p>
        </w:tc>
      </w:tr>
    </w:tbl>
    <w:p>
      <w:pPr>
        <w:pStyle w:val="967"/>
        <w:rPr>
          <w:rFonts w:hint="eastAsia" w:ascii="宋体" w:hAnsi="宋体" w:eastAsia="宋体" w:cs="宋体"/>
          <w:bCs/>
          <w:color w:val="auto"/>
          <w:highlight w:val="none"/>
        </w:rPr>
      </w:pPr>
    </w:p>
    <w:p>
      <w:pPr>
        <w:spacing w:line="360" w:lineRule="auto"/>
        <w:rPr>
          <w:rFonts w:hint="eastAsia" w:ascii="宋体" w:hAnsi="宋体" w:eastAsia="宋体" w:cs="宋体"/>
          <w:b/>
          <w:bCs/>
          <w:color w:val="auto"/>
          <w:sz w:val="24"/>
          <w:highlight w:val="none"/>
          <w:lang w:val="en-US" w:eastAsia="zh-CN"/>
        </w:rPr>
      </w:pPr>
    </w:p>
    <w:p>
      <w:pPr>
        <w:spacing w:line="360" w:lineRule="auto"/>
        <w:rPr>
          <w:rFonts w:hint="eastAsia" w:ascii="宋体" w:hAnsi="宋体" w:eastAsia="宋体" w:cs="宋体"/>
          <w:b/>
          <w:bCs/>
          <w:color w:val="auto"/>
          <w:sz w:val="24"/>
          <w:highlight w:val="none"/>
          <w:lang w:val="en-US" w:eastAsia="zh-CN"/>
        </w:rPr>
      </w:pPr>
    </w:p>
    <w:p>
      <w:pPr>
        <w:spacing w:line="500" w:lineRule="exact"/>
        <w:ind w:firstLine="482" w:firstLineChars="200"/>
        <w:jc w:val="center"/>
        <w:rPr>
          <w:rFonts w:hint="eastAsia" w:ascii="宋体" w:hAnsi="宋体" w:eastAsia="宋体" w:cs="宋体"/>
          <w:b/>
          <w:color w:val="auto"/>
          <w:sz w:val="30"/>
          <w:szCs w:val="30"/>
          <w:highlight w:val="none"/>
        </w:rPr>
      </w:pPr>
      <w:r>
        <w:rPr>
          <w:rFonts w:hint="eastAsia" w:ascii="宋体" w:hAnsi="宋体" w:eastAsia="宋体" w:cs="宋体"/>
          <w:b/>
          <w:bCs/>
          <w:color w:val="auto"/>
          <w:sz w:val="24"/>
          <w:highlight w:val="none"/>
          <w:lang w:val="en-US" w:eastAsia="zh-CN"/>
        </w:rPr>
        <w:t>附件3、</w:t>
      </w:r>
      <w:r>
        <w:rPr>
          <w:rFonts w:hint="eastAsia" w:ascii="宋体" w:hAnsi="宋体" w:eastAsia="宋体" w:cs="宋体"/>
          <w:b/>
          <w:color w:val="auto"/>
          <w:sz w:val="30"/>
          <w:szCs w:val="30"/>
          <w:highlight w:val="none"/>
        </w:rPr>
        <w:t>公厕管理现场考核评分标准</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832"/>
        <w:gridCol w:w="3628"/>
        <w:gridCol w:w="4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17" w:type="dxa"/>
            <w:noWrap w:val="0"/>
            <w:vAlign w:val="center"/>
          </w:tcPr>
          <w:p>
            <w:pPr>
              <w:widowControl/>
              <w:spacing w:line="3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832" w:type="dxa"/>
            <w:noWrap w:val="0"/>
            <w:vAlign w:val="center"/>
          </w:tcPr>
          <w:p>
            <w:pPr>
              <w:widowControl/>
              <w:spacing w:line="3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检查</w:t>
            </w:r>
          </w:p>
          <w:p>
            <w:pPr>
              <w:widowControl/>
              <w:spacing w:line="3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w:t>
            </w:r>
          </w:p>
        </w:tc>
        <w:tc>
          <w:tcPr>
            <w:tcW w:w="3628" w:type="dxa"/>
            <w:noWrap w:val="0"/>
            <w:vAlign w:val="center"/>
          </w:tcPr>
          <w:p>
            <w:pPr>
              <w:widowControl/>
              <w:spacing w:line="3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管理作业标准</w:t>
            </w:r>
          </w:p>
        </w:tc>
        <w:tc>
          <w:tcPr>
            <w:tcW w:w="4050" w:type="dxa"/>
            <w:noWrap w:val="0"/>
            <w:vAlign w:val="center"/>
          </w:tcPr>
          <w:p>
            <w:pPr>
              <w:widowControl/>
              <w:spacing w:line="3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417" w:type="dxa"/>
            <w:vMerge w:val="restart"/>
            <w:noWrap w:val="0"/>
            <w:vAlign w:val="center"/>
          </w:tcPr>
          <w:p>
            <w:pPr>
              <w:widowControl/>
              <w:spacing w:line="3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w:t>
            </w:r>
          </w:p>
        </w:tc>
        <w:tc>
          <w:tcPr>
            <w:tcW w:w="832" w:type="dxa"/>
            <w:vMerge w:val="restart"/>
            <w:noWrap w:val="0"/>
            <w:vAlign w:val="center"/>
          </w:tcPr>
          <w:p>
            <w:pPr>
              <w:widowControl/>
              <w:spacing w:line="3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管理</w:t>
            </w:r>
          </w:p>
          <w:p>
            <w:pPr>
              <w:widowControl/>
              <w:spacing w:line="300" w:lineRule="exact"/>
              <w:jc w:val="center"/>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制度（10分）</w:t>
            </w:r>
          </w:p>
        </w:tc>
        <w:tc>
          <w:tcPr>
            <w:tcW w:w="3628" w:type="dxa"/>
            <w:noWrap w:val="0"/>
            <w:vAlign w:val="top"/>
          </w:tcPr>
          <w:p>
            <w:p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按照统一要求设置公厕管理制度牌,做到制度上墙。</w:t>
            </w:r>
          </w:p>
        </w:tc>
        <w:tc>
          <w:tcPr>
            <w:tcW w:w="4050" w:type="dxa"/>
            <w:noWrap w:val="0"/>
            <w:vAlign w:val="top"/>
          </w:tcPr>
          <w:p>
            <w:pPr>
              <w:numPr>
                <w:ilvl w:val="0"/>
                <w:numId w:val="4"/>
              </w:num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未设置公厕管理制度牌的扣5分/次，</w:t>
            </w:r>
          </w:p>
          <w:p>
            <w:pPr>
              <w:numPr>
                <w:ilvl w:val="0"/>
                <w:numId w:val="4"/>
              </w:num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制度牌破损、字体不清晰、公示的信息缺项及不准确的扣3分/次。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dxa"/>
            <w:vMerge w:val="continue"/>
            <w:noWrap w:val="0"/>
            <w:vAlign w:val="center"/>
          </w:tcPr>
          <w:p>
            <w:pPr>
              <w:widowControl/>
              <w:spacing w:line="300" w:lineRule="exact"/>
              <w:jc w:val="center"/>
              <w:rPr>
                <w:rFonts w:hint="eastAsia" w:ascii="宋体" w:hAnsi="宋体" w:eastAsia="宋体" w:cs="宋体"/>
                <w:color w:val="auto"/>
                <w:kern w:val="0"/>
                <w:sz w:val="24"/>
                <w:szCs w:val="24"/>
                <w:highlight w:val="none"/>
              </w:rPr>
            </w:pPr>
          </w:p>
        </w:tc>
        <w:tc>
          <w:tcPr>
            <w:tcW w:w="832" w:type="dxa"/>
            <w:vMerge w:val="continue"/>
            <w:noWrap w:val="0"/>
            <w:vAlign w:val="center"/>
          </w:tcPr>
          <w:p>
            <w:pPr>
              <w:widowControl/>
              <w:spacing w:line="300" w:lineRule="exact"/>
              <w:jc w:val="center"/>
              <w:rPr>
                <w:rFonts w:hint="eastAsia" w:ascii="宋体" w:hAnsi="宋体" w:eastAsia="宋体" w:cs="宋体"/>
                <w:color w:val="auto"/>
                <w:kern w:val="0"/>
                <w:sz w:val="24"/>
                <w:szCs w:val="24"/>
                <w:highlight w:val="none"/>
              </w:rPr>
            </w:pPr>
          </w:p>
        </w:tc>
        <w:tc>
          <w:tcPr>
            <w:tcW w:w="3628" w:type="dxa"/>
            <w:noWrap w:val="0"/>
            <w:vAlign w:val="top"/>
          </w:tcPr>
          <w:p>
            <w:pPr>
              <w:widowControl/>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小时免费开放公厕，无障碍间、厕位正常开放使用，并在保洁时段内落实专人管理。16小时免费开放公厕（6:00—22:00），18小时免费开放公厕（5:00—23:00），按人均保洁厕位的定额要求，落实专职保洁人员。四星级（含）以上公厕实行男、女分设保洁管理。</w:t>
            </w:r>
          </w:p>
        </w:tc>
        <w:tc>
          <w:tcPr>
            <w:tcW w:w="4050" w:type="dxa"/>
            <w:noWrap w:val="0"/>
            <w:vAlign w:val="top"/>
          </w:tcPr>
          <w:p>
            <w:pPr>
              <w:numPr>
                <w:ilvl w:val="0"/>
                <w:numId w:val="5"/>
              </w:num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未经审核同意，无故关闭公厕的扣10分/次，</w:t>
            </w:r>
          </w:p>
          <w:p>
            <w:pPr>
              <w:numPr>
                <w:ilvl w:val="0"/>
                <w:numId w:val="5"/>
              </w:num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无故关闭无障碍间、男女厕位的扣2分/次。</w:t>
            </w:r>
          </w:p>
          <w:p>
            <w:pPr>
              <w:numPr>
                <w:ilvl w:val="0"/>
                <w:numId w:val="5"/>
              </w:num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未落实专职保洁员的扣1分/次，保洁员脱岗的2分/次。</w:t>
            </w:r>
          </w:p>
          <w:p>
            <w:pPr>
              <w:numPr>
                <w:ilvl w:val="0"/>
                <w:numId w:val="5"/>
              </w:num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四星级以上公厕未实行男、女分设保洁管理的，扣2分/次。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417" w:type="dxa"/>
            <w:vMerge w:val="restart"/>
            <w:noWrap w:val="0"/>
            <w:vAlign w:val="center"/>
          </w:tcPr>
          <w:p>
            <w:pPr>
              <w:widowControl/>
              <w:spacing w:line="3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w:t>
            </w:r>
          </w:p>
        </w:tc>
        <w:tc>
          <w:tcPr>
            <w:tcW w:w="832" w:type="dxa"/>
            <w:vMerge w:val="restart"/>
            <w:noWrap w:val="0"/>
            <w:vAlign w:val="center"/>
          </w:tcPr>
          <w:p>
            <w:pPr>
              <w:widowControl/>
              <w:spacing w:line="300" w:lineRule="exact"/>
              <w:jc w:val="center"/>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作业规范（30分）</w:t>
            </w:r>
          </w:p>
        </w:tc>
        <w:tc>
          <w:tcPr>
            <w:tcW w:w="3628" w:type="dxa"/>
            <w:noWrap w:val="0"/>
            <w:vAlign w:val="center"/>
          </w:tcPr>
          <w:p>
            <w:p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强化作业规范，不发生有责安全事故事件。一旦发生环卫工人伤亡的事故应立即逐级上报，发生环卫工人群体性事件的，严格做到在2小时内上报。</w:t>
            </w:r>
          </w:p>
          <w:p>
            <w:pPr>
              <w:widowControl/>
              <w:spacing w:line="300" w:lineRule="exact"/>
              <w:jc w:val="left"/>
              <w:rPr>
                <w:rFonts w:hint="eastAsia" w:ascii="宋体" w:hAnsi="宋体" w:eastAsia="宋体" w:cs="宋体"/>
                <w:color w:val="auto"/>
                <w:kern w:val="0"/>
                <w:sz w:val="24"/>
                <w:szCs w:val="24"/>
                <w:highlight w:val="none"/>
              </w:rPr>
            </w:pPr>
          </w:p>
        </w:tc>
        <w:tc>
          <w:tcPr>
            <w:tcW w:w="4050" w:type="dxa"/>
            <w:noWrap w:val="0"/>
            <w:vAlign w:val="center"/>
          </w:tcPr>
          <w:p>
            <w:p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1.发生有责死亡安全事故或直接经济损失30万以上的，每起扣1环扣养护得分3分;有责伤人事故或直接经济损失在20万以上的，每发生一次扣2分；有责事故扣养护得分1分。</w:t>
            </w:r>
          </w:p>
          <w:p>
            <w:p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2.事故未上报的扣2分，未在2小时内及时上报的扣1分。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trPr>
        <w:tc>
          <w:tcPr>
            <w:tcW w:w="417" w:type="dxa"/>
            <w:vMerge w:val="continue"/>
            <w:noWrap w:val="0"/>
            <w:vAlign w:val="center"/>
          </w:tcPr>
          <w:p>
            <w:pPr>
              <w:widowControl/>
              <w:spacing w:line="300" w:lineRule="exact"/>
              <w:jc w:val="left"/>
              <w:rPr>
                <w:rFonts w:hint="eastAsia" w:ascii="宋体" w:hAnsi="宋体" w:eastAsia="宋体" w:cs="宋体"/>
                <w:color w:val="auto"/>
                <w:sz w:val="24"/>
                <w:szCs w:val="24"/>
                <w:highlight w:val="none"/>
              </w:rPr>
            </w:pPr>
          </w:p>
        </w:tc>
        <w:tc>
          <w:tcPr>
            <w:tcW w:w="832" w:type="dxa"/>
            <w:vMerge w:val="continue"/>
            <w:noWrap w:val="0"/>
            <w:vAlign w:val="center"/>
          </w:tcPr>
          <w:p>
            <w:pPr>
              <w:widowControl/>
              <w:spacing w:line="300" w:lineRule="exact"/>
              <w:jc w:val="left"/>
              <w:rPr>
                <w:rFonts w:hint="eastAsia" w:ascii="宋体" w:hAnsi="宋体" w:eastAsia="宋体" w:cs="宋体"/>
                <w:color w:val="auto"/>
                <w:sz w:val="24"/>
                <w:szCs w:val="24"/>
                <w:highlight w:val="none"/>
              </w:rPr>
            </w:pPr>
          </w:p>
        </w:tc>
        <w:tc>
          <w:tcPr>
            <w:tcW w:w="3628" w:type="dxa"/>
            <w:noWrap w:val="0"/>
            <w:vAlign w:val="center"/>
          </w:tcPr>
          <w:p>
            <w:p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强化公厕管理房安全，公厕管理房安全设置100%。</w:t>
            </w:r>
          </w:p>
          <w:p>
            <w:pPr>
              <w:widowControl/>
              <w:spacing w:line="300" w:lineRule="exact"/>
              <w:jc w:val="left"/>
              <w:rPr>
                <w:rFonts w:hint="eastAsia" w:ascii="宋体" w:hAnsi="宋体" w:eastAsia="宋体" w:cs="宋体"/>
                <w:color w:val="auto"/>
                <w:sz w:val="24"/>
                <w:szCs w:val="24"/>
                <w:highlight w:val="none"/>
              </w:rPr>
            </w:pPr>
          </w:p>
        </w:tc>
        <w:tc>
          <w:tcPr>
            <w:tcW w:w="4050" w:type="dxa"/>
            <w:noWrap w:val="0"/>
            <w:vAlign w:val="center"/>
          </w:tcPr>
          <w:p>
            <w:pPr>
              <w:numPr>
                <w:ilvl w:val="0"/>
                <w:numId w:val="6"/>
              </w:num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管理房内、外私拉电线、乱接插头插座、裸露接线现象每处扣2分；</w:t>
            </w:r>
          </w:p>
          <w:p>
            <w:pPr>
              <w:numPr>
                <w:ilvl w:val="0"/>
                <w:numId w:val="6"/>
              </w:num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使用电热毯、电暖炉、热的快等大功率电器设备每处扣2分；</w:t>
            </w:r>
          </w:p>
          <w:p>
            <w:pPr>
              <w:numPr>
                <w:ilvl w:val="0"/>
                <w:numId w:val="6"/>
              </w:num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使用蜡烛、煤油炉等明火设施每处扣2分；</w:t>
            </w:r>
          </w:p>
          <w:p>
            <w:pPr>
              <w:numPr>
                <w:ilvl w:val="0"/>
                <w:numId w:val="6"/>
              </w:num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存放汽油、酒精等易燃、易爆物品每处扣2分。</w:t>
            </w:r>
          </w:p>
          <w:p>
            <w:pPr>
              <w:numPr>
                <w:ilvl w:val="0"/>
                <w:numId w:val="6"/>
              </w:num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在灯具上拴挂蚊帐、晾晒衣物、节日装饰物每处扣2分。</w:t>
            </w:r>
          </w:p>
          <w:p>
            <w:pPr>
              <w:numPr>
                <w:ilvl w:val="0"/>
                <w:numId w:val="6"/>
              </w:num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无消防器材配备每座扣3分，保洁员不会使用扣2分。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trPr>
        <w:tc>
          <w:tcPr>
            <w:tcW w:w="417" w:type="dxa"/>
            <w:vMerge w:val="continue"/>
            <w:noWrap w:val="0"/>
            <w:vAlign w:val="center"/>
          </w:tcPr>
          <w:p>
            <w:pPr>
              <w:widowControl/>
              <w:spacing w:line="300" w:lineRule="exact"/>
              <w:jc w:val="left"/>
              <w:rPr>
                <w:rFonts w:hint="eastAsia" w:ascii="宋体" w:hAnsi="宋体" w:eastAsia="宋体" w:cs="宋体"/>
                <w:color w:val="auto"/>
                <w:kern w:val="0"/>
                <w:sz w:val="24"/>
                <w:szCs w:val="24"/>
                <w:highlight w:val="none"/>
              </w:rPr>
            </w:pPr>
          </w:p>
        </w:tc>
        <w:tc>
          <w:tcPr>
            <w:tcW w:w="832" w:type="dxa"/>
            <w:vMerge w:val="continue"/>
            <w:noWrap w:val="0"/>
            <w:vAlign w:val="center"/>
          </w:tcPr>
          <w:p>
            <w:pPr>
              <w:widowControl/>
              <w:spacing w:line="300" w:lineRule="exact"/>
              <w:jc w:val="left"/>
              <w:rPr>
                <w:rFonts w:hint="eastAsia" w:ascii="宋体" w:hAnsi="宋体" w:eastAsia="宋体" w:cs="宋体"/>
                <w:color w:val="auto"/>
                <w:kern w:val="0"/>
                <w:sz w:val="24"/>
                <w:szCs w:val="24"/>
                <w:highlight w:val="none"/>
              </w:rPr>
            </w:pPr>
          </w:p>
        </w:tc>
        <w:tc>
          <w:tcPr>
            <w:tcW w:w="3628" w:type="dxa"/>
            <w:noWrap w:val="0"/>
            <w:vAlign w:val="center"/>
          </w:tcPr>
          <w:p>
            <w:pPr>
              <w:widowControl/>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保洁员应着统一的工作服并佩带上岗证。免费向公众提供洗手液和手纸服务，保持足够用量。保洁作业时需设置警示牌，冲洗厕所地面和雨雪冰冻天气时需铺设防滑垫。保洁作业时主动避让如厕人员。</w:t>
            </w:r>
          </w:p>
        </w:tc>
        <w:tc>
          <w:tcPr>
            <w:tcW w:w="4050" w:type="dxa"/>
            <w:noWrap w:val="0"/>
            <w:vAlign w:val="center"/>
          </w:tcPr>
          <w:p>
            <w:pPr>
              <w:widowControl/>
              <w:numPr>
                <w:ilvl w:val="0"/>
                <w:numId w:val="7"/>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保洁员工作时间未统一着装或未佩戴上岗证的每项扣3分/次；</w:t>
            </w:r>
          </w:p>
          <w:p>
            <w:pPr>
              <w:widowControl/>
              <w:numPr>
                <w:ilvl w:val="0"/>
                <w:numId w:val="7"/>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未免费向公众提供洗手液和手纸服务的，每发现一次扣2分/次；</w:t>
            </w:r>
          </w:p>
          <w:p>
            <w:pPr>
              <w:widowControl/>
              <w:numPr>
                <w:ilvl w:val="0"/>
                <w:numId w:val="7"/>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作业时未设置警示牌的扣3分/次；</w:t>
            </w:r>
          </w:p>
          <w:p>
            <w:pPr>
              <w:widowControl/>
              <w:numPr>
                <w:ilvl w:val="0"/>
                <w:numId w:val="7"/>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冲洗厕所地面和雨雪冰冻天气时未铺设防滑垫的扣3/次；</w:t>
            </w:r>
          </w:p>
          <w:p>
            <w:pPr>
              <w:widowControl/>
              <w:numPr>
                <w:ilvl w:val="0"/>
                <w:numId w:val="7"/>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保洁作业时未主动避让如厕人员，遇到有责投诉的的扣2分/次。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17" w:type="dxa"/>
            <w:vMerge w:val="continue"/>
            <w:noWrap w:val="0"/>
            <w:vAlign w:val="center"/>
          </w:tcPr>
          <w:p>
            <w:pPr>
              <w:widowControl/>
              <w:spacing w:line="300" w:lineRule="exact"/>
              <w:jc w:val="center"/>
              <w:rPr>
                <w:rFonts w:hint="eastAsia" w:ascii="宋体" w:hAnsi="宋体" w:eastAsia="宋体" w:cs="宋体"/>
                <w:b/>
                <w:color w:val="auto"/>
                <w:kern w:val="0"/>
                <w:sz w:val="24"/>
                <w:szCs w:val="24"/>
                <w:highlight w:val="none"/>
              </w:rPr>
            </w:pPr>
          </w:p>
        </w:tc>
        <w:tc>
          <w:tcPr>
            <w:tcW w:w="832" w:type="dxa"/>
            <w:vMerge w:val="continue"/>
            <w:noWrap w:val="0"/>
            <w:vAlign w:val="center"/>
          </w:tcPr>
          <w:p>
            <w:pPr>
              <w:widowControl/>
              <w:spacing w:line="300" w:lineRule="exact"/>
              <w:jc w:val="center"/>
              <w:rPr>
                <w:rFonts w:hint="eastAsia" w:ascii="宋体" w:hAnsi="宋体" w:eastAsia="宋体" w:cs="宋体"/>
                <w:color w:val="auto"/>
                <w:kern w:val="0"/>
                <w:sz w:val="24"/>
                <w:szCs w:val="24"/>
                <w:highlight w:val="none"/>
              </w:rPr>
            </w:pPr>
          </w:p>
        </w:tc>
        <w:tc>
          <w:tcPr>
            <w:tcW w:w="3628" w:type="dxa"/>
            <w:noWrap w:val="0"/>
            <w:vAlign w:val="center"/>
          </w:tcPr>
          <w:p>
            <w:pPr>
              <w:widowControl/>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厕内外不得乱接水管。公厕管理员上班期间不得在公厕公共区域从事洗衣及洗碗等事情。公厕管理间只能用于公厕保洁管理人员使用，上班时间不得在管理间内干杂活、睡觉，闲杂人员不得随意在管理间内休息等。必须保持管理间内整洁有序，必要物品摆放整齐。不得在管理间内饮酒、吸烟。不得利用公厕从事销售商品（自动售纸机除外）、废品回收等经营性活动。公厕内不得饲养宠物。公厕无障碍间不得容留社会闲杂人员。</w:t>
            </w:r>
          </w:p>
        </w:tc>
        <w:tc>
          <w:tcPr>
            <w:tcW w:w="4050" w:type="dxa"/>
            <w:noWrap w:val="0"/>
            <w:vAlign w:val="center"/>
          </w:tcPr>
          <w:p>
            <w:pPr>
              <w:widowControl/>
              <w:numPr>
                <w:ilvl w:val="0"/>
                <w:numId w:val="8"/>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公厕内外乱接水管的每项扣2/次；</w:t>
            </w:r>
          </w:p>
          <w:p>
            <w:pPr>
              <w:widowControl/>
              <w:numPr>
                <w:ilvl w:val="0"/>
                <w:numId w:val="8"/>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管理间居住与公厕保洁管理无关人员及逗留与公厕保洁管理无关人员的扣2分/次；</w:t>
            </w:r>
          </w:p>
          <w:p>
            <w:pPr>
              <w:widowControl/>
              <w:numPr>
                <w:ilvl w:val="0"/>
                <w:numId w:val="8"/>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上班时间在管理间内干与公厕保洁管理无关的杂活或睡觉的扣2分/次；</w:t>
            </w:r>
          </w:p>
          <w:p>
            <w:pPr>
              <w:widowControl/>
              <w:numPr>
                <w:ilvl w:val="0"/>
                <w:numId w:val="8"/>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管理间物品摆放杂乱、不洁的扣1分/次；</w:t>
            </w:r>
          </w:p>
          <w:p>
            <w:pPr>
              <w:widowControl/>
              <w:numPr>
                <w:ilvl w:val="0"/>
                <w:numId w:val="8"/>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在管理间内饮酒、吸烟的扣2分/次；</w:t>
            </w:r>
          </w:p>
          <w:p>
            <w:pPr>
              <w:widowControl/>
              <w:numPr>
                <w:ilvl w:val="0"/>
                <w:numId w:val="8"/>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利用公厕从事销售商品、废品回收等经营性活动的扣5分/次；</w:t>
            </w:r>
          </w:p>
          <w:p>
            <w:pPr>
              <w:widowControl/>
              <w:numPr>
                <w:ilvl w:val="0"/>
                <w:numId w:val="8"/>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公厕内饲养宠物的扣2分/次。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417" w:type="dxa"/>
            <w:vMerge w:val="continue"/>
            <w:noWrap w:val="0"/>
            <w:vAlign w:val="center"/>
          </w:tcPr>
          <w:p>
            <w:pPr>
              <w:widowControl/>
              <w:spacing w:line="300" w:lineRule="exact"/>
              <w:jc w:val="center"/>
              <w:rPr>
                <w:rFonts w:hint="eastAsia" w:ascii="宋体" w:hAnsi="宋体" w:eastAsia="宋体" w:cs="宋体"/>
                <w:color w:val="auto"/>
                <w:kern w:val="0"/>
                <w:sz w:val="24"/>
                <w:szCs w:val="24"/>
                <w:highlight w:val="none"/>
              </w:rPr>
            </w:pPr>
          </w:p>
        </w:tc>
        <w:tc>
          <w:tcPr>
            <w:tcW w:w="832" w:type="dxa"/>
            <w:vMerge w:val="continue"/>
            <w:noWrap w:val="0"/>
            <w:vAlign w:val="center"/>
          </w:tcPr>
          <w:p>
            <w:pPr>
              <w:widowControl/>
              <w:spacing w:line="300" w:lineRule="exact"/>
              <w:jc w:val="center"/>
              <w:rPr>
                <w:rFonts w:hint="eastAsia" w:ascii="宋体" w:hAnsi="宋体" w:eastAsia="宋体" w:cs="宋体"/>
                <w:color w:val="auto"/>
                <w:kern w:val="0"/>
                <w:sz w:val="24"/>
                <w:szCs w:val="24"/>
                <w:highlight w:val="none"/>
              </w:rPr>
            </w:pPr>
          </w:p>
        </w:tc>
        <w:tc>
          <w:tcPr>
            <w:tcW w:w="3628" w:type="dxa"/>
            <w:noWrap w:val="0"/>
            <w:vAlign w:val="center"/>
          </w:tcPr>
          <w:p>
            <w:pPr>
              <w:widowControl/>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粪污水应排入市政污水管网或经吸粪车转运至粪便处理场所处置，公厕化粪池每半年清理、疏通不少于1次，贮粪池内的粪污水应及时转运。化粪池、贮粪池周围场地应保持整洁，地面无粪迹、垃圾、污水、恶臭、蝇蛆。化粪池、贮粪池无满溢问题，若发生满溢问题应在2小时内予以解决。</w:t>
            </w:r>
          </w:p>
        </w:tc>
        <w:tc>
          <w:tcPr>
            <w:tcW w:w="4050" w:type="dxa"/>
            <w:noWrap w:val="0"/>
            <w:vAlign w:val="center"/>
          </w:tcPr>
          <w:p>
            <w:pPr>
              <w:widowControl/>
              <w:numPr>
                <w:ilvl w:val="0"/>
                <w:numId w:val="9"/>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粪污水未按照规定达到规范化处置排放要求的扣10分/次，粪污水、粪便污染周边水体等环境的扣10分/次。</w:t>
            </w:r>
          </w:p>
          <w:p>
            <w:pPr>
              <w:widowControl/>
              <w:numPr>
                <w:ilvl w:val="0"/>
                <w:numId w:val="9"/>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化粪池、贮粪池臭气外溢的扣5分/次，周围地面有粪迹、垃圾、污水、恶臭、蝇蛆的每项扣2分/次，满溢的扣5分/次，发生满溢问题未在规定时间内妥善处理的扣5分/次。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trPr>
        <w:tc>
          <w:tcPr>
            <w:tcW w:w="417" w:type="dxa"/>
            <w:vMerge w:val="restart"/>
            <w:noWrap w:val="0"/>
            <w:vAlign w:val="center"/>
          </w:tcPr>
          <w:p>
            <w:pPr>
              <w:widowControl/>
              <w:spacing w:line="3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w:t>
            </w:r>
          </w:p>
        </w:tc>
        <w:tc>
          <w:tcPr>
            <w:tcW w:w="832" w:type="dxa"/>
            <w:vMerge w:val="restart"/>
            <w:noWrap w:val="0"/>
            <w:vAlign w:val="center"/>
          </w:tcPr>
          <w:p>
            <w:pPr>
              <w:widowControl/>
              <w:spacing w:line="3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保洁管理（30分）</w:t>
            </w:r>
          </w:p>
          <w:p>
            <w:pPr>
              <w:spacing w:line="300" w:lineRule="exact"/>
              <w:jc w:val="center"/>
              <w:rPr>
                <w:rFonts w:hint="eastAsia" w:ascii="宋体" w:hAnsi="宋体" w:eastAsia="宋体" w:cs="宋体"/>
                <w:b/>
                <w:color w:val="auto"/>
                <w:kern w:val="0"/>
                <w:sz w:val="24"/>
                <w:szCs w:val="24"/>
                <w:highlight w:val="none"/>
              </w:rPr>
            </w:pPr>
          </w:p>
        </w:tc>
        <w:tc>
          <w:tcPr>
            <w:tcW w:w="3628" w:type="dxa"/>
            <w:noWrap w:val="0"/>
            <w:vAlign w:val="center"/>
          </w:tcPr>
          <w:p>
            <w:pPr>
              <w:widowControl/>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厕天花板、内外墙面、门窗、洗手池及台面、拖把池、大小便厕位隔断、搁物台、上下水管、镜子等无积尘、无污迹、无蛛网、无乱涂乱画。公厕内的垃圾桶或厕位纸篓，应及时清理，保持设施完好干净整洁，无满溢现象。公厕内无杂物堆放。公厕及厕位地面清洁无垃圾、污迹、积水。公厕内通风良好，无臭味。三星以上公厕异味0度以上。</w:t>
            </w:r>
          </w:p>
        </w:tc>
        <w:tc>
          <w:tcPr>
            <w:tcW w:w="4050" w:type="dxa"/>
            <w:noWrap w:val="0"/>
            <w:vAlign w:val="center"/>
          </w:tcPr>
          <w:p>
            <w:pPr>
              <w:widowControl/>
              <w:numPr>
                <w:ilvl w:val="0"/>
                <w:numId w:val="10"/>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公厕天花板、内外墙面、门窗、洗手池及台面、拖把池、大小便厕位隔断、搁物台、上下水管、镜子等不洁的每项扣1分/次。</w:t>
            </w:r>
          </w:p>
          <w:p>
            <w:pPr>
              <w:widowControl/>
              <w:numPr>
                <w:ilvl w:val="0"/>
                <w:numId w:val="10"/>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垃圾桶或纸篓破损不洁的，以及垃圾量超过容量2/3的扣1分/次，满溢的扣2分/次。</w:t>
            </w:r>
          </w:p>
          <w:p>
            <w:pPr>
              <w:widowControl/>
              <w:numPr>
                <w:ilvl w:val="0"/>
                <w:numId w:val="10"/>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公厕内堆放杂物、厕位内乱堆放作业工具的扣2分/次。</w:t>
            </w:r>
          </w:p>
          <w:p>
            <w:pPr>
              <w:widowControl/>
              <w:numPr>
                <w:ilvl w:val="0"/>
                <w:numId w:val="10"/>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公厕及厕位地面不洁、湿滑积水的每项扣1分/次。</w:t>
            </w:r>
          </w:p>
          <w:p>
            <w:pPr>
              <w:widowControl/>
              <w:numPr>
                <w:ilvl w:val="0"/>
                <w:numId w:val="10"/>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工具间环境不整洁的扣1分/次。公厕有明显臭味的扣2分/次。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417" w:type="dxa"/>
            <w:vMerge w:val="continue"/>
            <w:noWrap w:val="0"/>
            <w:vAlign w:val="center"/>
          </w:tcPr>
          <w:p>
            <w:pPr>
              <w:spacing w:line="300" w:lineRule="exact"/>
              <w:jc w:val="center"/>
              <w:rPr>
                <w:rFonts w:hint="eastAsia" w:ascii="宋体" w:hAnsi="宋体" w:eastAsia="宋体" w:cs="宋体"/>
                <w:color w:val="auto"/>
                <w:kern w:val="0"/>
                <w:sz w:val="24"/>
                <w:szCs w:val="24"/>
                <w:highlight w:val="none"/>
              </w:rPr>
            </w:pPr>
          </w:p>
        </w:tc>
        <w:tc>
          <w:tcPr>
            <w:tcW w:w="832" w:type="dxa"/>
            <w:vMerge w:val="continue"/>
            <w:noWrap w:val="0"/>
            <w:vAlign w:val="center"/>
          </w:tcPr>
          <w:p>
            <w:pPr>
              <w:spacing w:line="300" w:lineRule="exact"/>
              <w:jc w:val="center"/>
              <w:rPr>
                <w:rFonts w:hint="eastAsia" w:ascii="宋体" w:hAnsi="宋体" w:eastAsia="宋体" w:cs="宋体"/>
                <w:color w:val="auto"/>
                <w:kern w:val="0"/>
                <w:sz w:val="24"/>
                <w:szCs w:val="24"/>
                <w:highlight w:val="none"/>
              </w:rPr>
            </w:pPr>
          </w:p>
        </w:tc>
        <w:tc>
          <w:tcPr>
            <w:tcW w:w="3628" w:type="dxa"/>
            <w:noWrap w:val="0"/>
            <w:vAlign w:val="center"/>
          </w:tcPr>
          <w:p>
            <w:pPr>
              <w:widowControl/>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倒粪处以及大便器、大便槽清洁，无粪便污垢、无积粪、无堵塞、洁净见底。</w:t>
            </w:r>
          </w:p>
        </w:tc>
        <w:tc>
          <w:tcPr>
            <w:tcW w:w="4050" w:type="dxa"/>
            <w:noWrap w:val="0"/>
            <w:vAlign w:val="center"/>
          </w:tcPr>
          <w:p>
            <w:pPr>
              <w:widowControl/>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倒粪处以及大便器、大便槽污垢不洁的每处扣1分/次，有积粪的扣2分/次，堵塞的扣5分/次。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417" w:type="dxa"/>
            <w:vMerge w:val="continue"/>
            <w:noWrap w:val="0"/>
            <w:vAlign w:val="center"/>
          </w:tcPr>
          <w:p>
            <w:pPr>
              <w:widowControl/>
              <w:spacing w:line="300" w:lineRule="exact"/>
              <w:jc w:val="center"/>
              <w:rPr>
                <w:rFonts w:hint="eastAsia" w:ascii="宋体" w:hAnsi="宋体" w:eastAsia="宋体" w:cs="宋体"/>
                <w:b/>
                <w:color w:val="auto"/>
                <w:kern w:val="0"/>
                <w:sz w:val="24"/>
                <w:szCs w:val="24"/>
                <w:highlight w:val="none"/>
              </w:rPr>
            </w:pPr>
          </w:p>
        </w:tc>
        <w:tc>
          <w:tcPr>
            <w:tcW w:w="832" w:type="dxa"/>
            <w:vMerge w:val="continue"/>
            <w:noWrap w:val="0"/>
            <w:vAlign w:val="center"/>
          </w:tcPr>
          <w:p>
            <w:pPr>
              <w:widowControl/>
              <w:spacing w:line="300" w:lineRule="exact"/>
              <w:jc w:val="center"/>
              <w:rPr>
                <w:rFonts w:hint="eastAsia" w:ascii="宋体" w:hAnsi="宋体" w:eastAsia="宋体" w:cs="宋体"/>
                <w:b/>
                <w:color w:val="auto"/>
                <w:kern w:val="0"/>
                <w:sz w:val="24"/>
                <w:szCs w:val="24"/>
                <w:highlight w:val="none"/>
              </w:rPr>
            </w:pPr>
          </w:p>
        </w:tc>
        <w:tc>
          <w:tcPr>
            <w:tcW w:w="3628" w:type="dxa"/>
            <w:noWrap w:val="0"/>
            <w:vAlign w:val="center"/>
          </w:tcPr>
          <w:p>
            <w:pPr>
              <w:widowControl/>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小便器（槽）清洁无水锈、尿垢、垃圾，沟眼、管道保持畅通。</w:t>
            </w:r>
          </w:p>
        </w:tc>
        <w:tc>
          <w:tcPr>
            <w:tcW w:w="4050" w:type="dxa"/>
            <w:noWrap w:val="0"/>
            <w:vAlign w:val="center"/>
          </w:tcPr>
          <w:p>
            <w:pPr>
              <w:widowControl/>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小便器（槽）有水锈、尿垢、垃圾等不洁的每项扣1分/次，沟眼、管道流水不畅通的每项扣2分/次。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417" w:type="dxa"/>
            <w:vMerge w:val="continue"/>
            <w:noWrap w:val="0"/>
            <w:vAlign w:val="center"/>
          </w:tcPr>
          <w:p>
            <w:pPr>
              <w:widowControl/>
              <w:spacing w:line="300" w:lineRule="exact"/>
              <w:jc w:val="left"/>
              <w:rPr>
                <w:rFonts w:hint="eastAsia" w:ascii="宋体" w:hAnsi="宋体" w:eastAsia="宋体" w:cs="宋体"/>
                <w:color w:val="auto"/>
                <w:kern w:val="0"/>
                <w:sz w:val="24"/>
                <w:szCs w:val="24"/>
                <w:highlight w:val="none"/>
              </w:rPr>
            </w:pPr>
          </w:p>
        </w:tc>
        <w:tc>
          <w:tcPr>
            <w:tcW w:w="832" w:type="dxa"/>
            <w:vMerge w:val="continue"/>
            <w:noWrap w:val="0"/>
            <w:vAlign w:val="center"/>
          </w:tcPr>
          <w:p>
            <w:pPr>
              <w:widowControl/>
              <w:spacing w:line="300" w:lineRule="exact"/>
              <w:jc w:val="center"/>
              <w:rPr>
                <w:rFonts w:hint="eastAsia" w:ascii="宋体" w:hAnsi="宋体" w:eastAsia="宋体" w:cs="宋体"/>
                <w:color w:val="auto"/>
                <w:kern w:val="0"/>
                <w:sz w:val="24"/>
                <w:szCs w:val="24"/>
                <w:highlight w:val="none"/>
              </w:rPr>
            </w:pPr>
          </w:p>
        </w:tc>
        <w:tc>
          <w:tcPr>
            <w:tcW w:w="3628" w:type="dxa"/>
            <w:noWrap w:val="0"/>
            <w:vAlign w:val="center"/>
          </w:tcPr>
          <w:p>
            <w:pPr>
              <w:widowControl/>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公厕外环境（有绿化带的以绿化带外围为界限，无绿化带的外墙起4米范围内）整洁有序，无垃圾、无粪便、无晾晒衣物、无杂物堆放吊挂、无落叶积留。</w:t>
            </w:r>
          </w:p>
        </w:tc>
        <w:tc>
          <w:tcPr>
            <w:tcW w:w="4050" w:type="dxa"/>
            <w:noWrap w:val="0"/>
            <w:vAlign w:val="center"/>
          </w:tcPr>
          <w:p>
            <w:pPr>
              <w:widowControl/>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公厕外环境不洁，有作业工具乱放，垃圾、粪便、杂物堆放吊挂、晾晒衣物现象的每项扣1分/次。落叶积留不清扫的扣1分/次。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417" w:type="dxa"/>
            <w:vMerge w:val="restart"/>
            <w:noWrap w:val="0"/>
            <w:vAlign w:val="center"/>
          </w:tcPr>
          <w:p>
            <w:pPr>
              <w:widowControl/>
              <w:spacing w:line="3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4</w:t>
            </w:r>
          </w:p>
        </w:tc>
        <w:tc>
          <w:tcPr>
            <w:tcW w:w="832" w:type="dxa"/>
            <w:vMerge w:val="restart"/>
            <w:noWrap w:val="0"/>
            <w:vAlign w:val="center"/>
          </w:tcPr>
          <w:p>
            <w:pPr>
              <w:widowControl/>
              <w:spacing w:line="300" w:lineRule="exact"/>
              <w:jc w:val="center"/>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设施管理（30分）</w:t>
            </w:r>
          </w:p>
        </w:tc>
        <w:tc>
          <w:tcPr>
            <w:tcW w:w="3628" w:type="dxa"/>
            <w:noWrap w:val="0"/>
            <w:vAlign w:val="center"/>
          </w:tcPr>
          <w:p>
            <w:pPr>
              <w:widowControl/>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要求设置公厕指向牌（各路口方向至少两块）、公厕标识牌、夜间灯光指示牌、厕门男女标识牌、无障碍标识牌、管理间标识牌、工具间标识牌、坐厕位标识牌等。厕所各类标识、标牌设置规范、醒目，无破损、遮挡、残缺、歪斜现象。</w:t>
            </w:r>
          </w:p>
        </w:tc>
        <w:tc>
          <w:tcPr>
            <w:tcW w:w="4050" w:type="dxa"/>
            <w:noWrap w:val="0"/>
            <w:vAlign w:val="center"/>
          </w:tcPr>
          <w:p>
            <w:pPr>
              <w:widowControl/>
              <w:numPr>
                <w:ilvl w:val="0"/>
                <w:numId w:val="11"/>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公厕指向牌、公厕标识牌、夜间灯光指示牌、厕门男女标识牌、无障碍标识牌、管理间标识牌、工具间标识牌、坐厕位标识牌每缺失一块扣2分/次。</w:t>
            </w:r>
          </w:p>
          <w:p>
            <w:pPr>
              <w:widowControl/>
              <w:numPr>
                <w:ilvl w:val="0"/>
                <w:numId w:val="11"/>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公厕各类标牌不规范设置的每项扣1分/次，破损、遮挡、残缺、歪斜的扣1分/次。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trPr>
        <w:tc>
          <w:tcPr>
            <w:tcW w:w="417" w:type="dxa"/>
            <w:vMerge w:val="continue"/>
            <w:noWrap w:val="0"/>
            <w:vAlign w:val="center"/>
          </w:tcPr>
          <w:p>
            <w:pPr>
              <w:widowControl/>
              <w:spacing w:line="300" w:lineRule="exact"/>
              <w:jc w:val="left"/>
              <w:rPr>
                <w:rFonts w:hint="eastAsia" w:ascii="宋体" w:hAnsi="宋体" w:eastAsia="宋体" w:cs="宋体"/>
                <w:color w:val="auto"/>
                <w:kern w:val="0"/>
                <w:sz w:val="24"/>
                <w:szCs w:val="24"/>
                <w:highlight w:val="none"/>
              </w:rPr>
            </w:pPr>
          </w:p>
        </w:tc>
        <w:tc>
          <w:tcPr>
            <w:tcW w:w="832" w:type="dxa"/>
            <w:vMerge w:val="continue"/>
            <w:noWrap w:val="0"/>
            <w:vAlign w:val="center"/>
          </w:tcPr>
          <w:p>
            <w:pPr>
              <w:widowControl/>
              <w:spacing w:line="300" w:lineRule="exact"/>
              <w:jc w:val="center"/>
              <w:rPr>
                <w:rFonts w:hint="eastAsia" w:ascii="宋体" w:hAnsi="宋体" w:eastAsia="宋体" w:cs="宋体"/>
                <w:color w:val="auto"/>
                <w:kern w:val="0"/>
                <w:sz w:val="24"/>
                <w:szCs w:val="24"/>
                <w:highlight w:val="none"/>
              </w:rPr>
            </w:pPr>
          </w:p>
        </w:tc>
        <w:tc>
          <w:tcPr>
            <w:tcW w:w="3628" w:type="dxa"/>
            <w:noWrap w:val="0"/>
            <w:vAlign w:val="center"/>
          </w:tcPr>
          <w:p>
            <w:pPr>
              <w:widowControl/>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持公厕设施完好，功能正常。公厕内外墙面无渗漏、破损，地面平整无破损。天花板、门窗及锁、窗栅、大小便厕位隔断、搁物台及金属扣件、镜子、挂衣钩、洗手池台面及水池、大小便器、水龙头、拖把池、水箱、水阀、上下水管无缺失、破损及生锈。公厕倒粪处门、瓷砖等设施完好。</w:t>
            </w:r>
          </w:p>
        </w:tc>
        <w:tc>
          <w:tcPr>
            <w:tcW w:w="4050" w:type="dxa"/>
            <w:noWrap w:val="0"/>
            <w:vAlign w:val="center"/>
          </w:tcPr>
          <w:p>
            <w:pPr>
              <w:widowControl/>
              <w:numPr>
                <w:ilvl w:val="0"/>
                <w:numId w:val="12"/>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公厕内外墙面渗漏、墙面破损、乳胶漆脱落的每处扣2分/次，地面不平整、破损的每项扣2分/次。</w:t>
            </w:r>
          </w:p>
          <w:p>
            <w:pPr>
              <w:widowControl/>
              <w:numPr>
                <w:ilvl w:val="0"/>
                <w:numId w:val="12"/>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天花板、门窗及锁、窗栅、大小便厕位隔断、搁物台及金属扣件、镜子、挂衣钩、洗手池台面及水池、大小便器、水龙头、拖把池、上下水管、水箱、水阀缺失、破损、生锈或不能正常使用的每项扣1分/次。</w:t>
            </w:r>
          </w:p>
          <w:p>
            <w:pPr>
              <w:widowControl/>
              <w:numPr>
                <w:ilvl w:val="0"/>
                <w:numId w:val="12"/>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公厕倒粪处设施破损、上锁的扣1分/次。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417" w:type="dxa"/>
            <w:vMerge w:val="continue"/>
            <w:noWrap w:val="0"/>
            <w:vAlign w:val="center"/>
          </w:tcPr>
          <w:p>
            <w:pPr>
              <w:spacing w:line="300" w:lineRule="exact"/>
              <w:jc w:val="center"/>
              <w:rPr>
                <w:rFonts w:hint="eastAsia" w:ascii="宋体" w:hAnsi="宋体" w:eastAsia="宋体" w:cs="宋体"/>
                <w:color w:val="auto"/>
                <w:kern w:val="0"/>
                <w:sz w:val="24"/>
                <w:szCs w:val="24"/>
                <w:highlight w:val="none"/>
              </w:rPr>
            </w:pPr>
          </w:p>
        </w:tc>
        <w:tc>
          <w:tcPr>
            <w:tcW w:w="832" w:type="dxa"/>
            <w:vMerge w:val="continue"/>
            <w:noWrap w:val="0"/>
            <w:vAlign w:val="center"/>
          </w:tcPr>
          <w:p>
            <w:pPr>
              <w:spacing w:line="300" w:lineRule="exact"/>
              <w:jc w:val="center"/>
              <w:rPr>
                <w:rFonts w:hint="eastAsia" w:ascii="宋体" w:hAnsi="宋体" w:eastAsia="宋体" w:cs="宋体"/>
                <w:color w:val="auto"/>
                <w:kern w:val="0"/>
                <w:sz w:val="24"/>
                <w:szCs w:val="24"/>
                <w:highlight w:val="none"/>
              </w:rPr>
            </w:pPr>
          </w:p>
        </w:tc>
        <w:tc>
          <w:tcPr>
            <w:tcW w:w="3628" w:type="dxa"/>
            <w:noWrap w:val="0"/>
            <w:vAlign w:val="center"/>
          </w:tcPr>
          <w:p>
            <w:pPr>
              <w:widowControl/>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厕供水、供电系统运行正常，无安全隐患。公厕照明、除臭设备应正常使用。按不同星级公厕的要求维护管理洗手液分配器、干手器、手纸架、空调器，保持设施完好，功能正常。干手器应正常使用，空调器在气温30℃以上，5℃以下启用（特殊情况除外）。除臭设施运行良好，通风无臭味。</w:t>
            </w:r>
          </w:p>
        </w:tc>
        <w:tc>
          <w:tcPr>
            <w:tcW w:w="4050" w:type="dxa"/>
            <w:noWrap w:val="0"/>
            <w:vAlign w:val="center"/>
          </w:tcPr>
          <w:p>
            <w:pPr>
              <w:widowControl/>
              <w:numPr>
                <w:ilvl w:val="0"/>
                <w:numId w:val="13"/>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公厕洗手供水过小，造成无法正常洗手的扣1分/次；存在用电安全隐患的扣2分/次；夜间时段公厕照明光线不足的扣1分/次，照明不亮的每处扣5分/次。</w:t>
            </w:r>
          </w:p>
          <w:p>
            <w:pPr>
              <w:widowControl/>
              <w:numPr>
                <w:ilvl w:val="0"/>
                <w:numId w:val="13"/>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灯具、洗手液分配器、干手器、手纸架、空调器、除臭设备破损或不能正常使用的每项扣1分/次，缺失的扣2分/次。</w:t>
            </w:r>
          </w:p>
          <w:p>
            <w:pPr>
              <w:widowControl/>
              <w:numPr>
                <w:ilvl w:val="0"/>
                <w:numId w:val="13"/>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灯具、除臭设备、夜间灯光指示牌、空调未按照规定启用的扣1分/次。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417" w:type="dxa"/>
            <w:vMerge w:val="continue"/>
            <w:noWrap w:val="0"/>
            <w:vAlign w:val="center"/>
          </w:tcPr>
          <w:p>
            <w:pPr>
              <w:spacing w:line="300" w:lineRule="exact"/>
              <w:rPr>
                <w:rFonts w:hint="eastAsia" w:ascii="宋体" w:hAnsi="宋体" w:eastAsia="宋体" w:cs="宋体"/>
                <w:color w:val="auto"/>
                <w:kern w:val="0"/>
                <w:sz w:val="24"/>
                <w:szCs w:val="24"/>
                <w:highlight w:val="none"/>
              </w:rPr>
            </w:pPr>
          </w:p>
        </w:tc>
        <w:tc>
          <w:tcPr>
            <w:tcW w:w="832" w:type="dxa"/>
            <w:vMerge w:val="continue"/>
            <w:noWrap w:val="0"/>
            <w:vAlign w:val="center"/>
          </w:tcPr>
          <w:p>
            <w:pPr>
              <w:spacing w:line="300" w:lineRule="exact"/>
              <w:jc w:val="center"/>
              <w:rPr>
                <w:rFonts w:hint="eastAsia" w:ascii="宋体" w:hAnsi="宋体" w:eastAsia="宋体" w:cs="宋体"/>
                <w:color w:val="auto"/>
                <w:kern w:val="0"/>
                <w:sz w:val="24"/>
                <w:szCs w:val="24"/>
                <w:highlight w:val="none"/>
              </w:rPr>
            </w:pPr>
          </w:p>
        </w:tc>
        <w:tc>
          <w:tcPr>
            <w:tcW w:w="3628" w:type="dxa"/>
            <w:noWrap w:val="0"/>
            <w:vAlign w:val="center"/>
          </w:tcPr>
          <w:p>
            <w:p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无障碍通道畅通，扶手（含靠墙厕位扶手）完好、牢固。无障碍间卫生洁具及辅助设施完好。</w:t>
            </w:r>
          </w:p>
        </w:tc>
        <w:tc>
          <w:tcPr>
            <w:tcW w:w="4050" w:type="dxa"/>
            <w:noWrap w:val="0"/>
            <w:vAlign w:val="center"/>
          </w:tcPr>
          <w:p>
            <w:pPr>
              <w:numPr>
                <w:ilvl w:val="0"/>
                <w:numId w:val="14"/>
              </w:num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无障碍通道不能正常使用的扣2分/次，扶手（含靠墙厕位扶手）缺失破损、松动不牢固的每项扣1分/次。</w:t>
            </w:r>
          </w:p>
          <w:p>
            <w:pPr>
              <w:numPr>
                <w:ilvl w:val="0"/>
                <w:numId w:val="14"/>
              </w:num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无障碍间卫生洁具及辅助设施缺失、破损的扣1分/次。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17" w:type="dxa"/>
            <w:vMerge w:val="continue"/>
            <w:noWrap w:val="0"/>
            <w:vAlign w:val="center"/>
          </w:tcPr>
          <w:p>
            <w:pPr>
              <w:spacing w:line="300" w:lineRule="exact"/>
              <w:rPr>
                <w:rFonts w:hint="eastAsia" w:ascii="宋体" w:hAnsi="宋体" w:eastAsia="宋体" w:cs="宋体"/>
                <w:color w:val="auto"/>
                <w:kern w:val="0"/>
                <w:sz w:val="24"/>
                <w:szCs w:val="24"/>
                <w:highlight w:val="none"/>
              </w:rPr>
            </w:pPr>
          </w:p>
        </w:tc>
        <w:tc>
          <w:tcPr>
            <w:tcW w:w="832" w:type="dxa"/>
            <w:vMerge w:val="continue"/>
            <w:noWrap w:val="0"/>
            <w:vAlign w:val="center"/>
          </w:tcPr>
          <w:p>
            <w:pPr>
              <w:spacing w:line="300" w:lineRule="exact"/>
              <w:jc w:val="center"/>
              <w:rPr>
                <w:rFonts w:hint="eastAsia" w:ascii="宋体" w:hAnsi="宋体" w:eastAsia="宋体" w:cs="宋体"/>
                <w:color w:val="auto"/>
                <w:kern w:val="0"/>
                <w:sz w:val="24"/>
                <w:szCs w:val="24"/>
                <w:highlight w:val="none"/>
              </w:rPr>
            </w:pPr>
          </w:p>
        </w:tc>
        <w:tc>
          <w:tcPr>
            <w:tcW w:w="3628" w:type="dxa"/>
            <w:noWrap w:val="0"/>
            <w:vAlign w:val="center"/>
          </w:tcPr>
          <w:p>
            <w:p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给水和排污管道完好，保持畅通，闸阀严密，无破损。</w:t>
            </w:r>
          </w:p>
        </w:tc>
        <w:tc>
          <w:tcPr>
            <w:tcW w:w="4050" w:type="dxa"/>
            <w:noWrap w:val="0"/>
            <w:vAlign w:val="center"/>
          </w:tcPr>
          <w:p>
            <w:p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给水、排污管道堵塞、破损的扣2分/次。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17" w:type="dxa"/>
            <w:vMerge w:val="continue"/>
            <w:noWrap w:val="0"/>
            <w:vAlign w:val="center"/>
          </w:tcPr>
          <w:p>
            <w:pPr>
              <w:spacing w:line="300" w:lineRule="exact"/>
              <w:rPr>
                <w:rFonts w:hint="eastAsia" w:ascii="宋体" w:hAnsi="宋体" w:eastAsia="宋体" w:cs="宋体"/>
                <w:color w:val="auto"/>
                <w:kern w:val="0"/>
                <w:sz w:val="24"/>
                <w:szCs w:val="24"/>
                <w:highlight w:val="none"/>
              </w:rPr>
            </w:pPr>
          </w:p>
        </w:tc>
        <w:tc>
          <w:tcPr>
            <w:tcW w:w="832" w:type="dxa"/>
            <w:vMerge w:val="continue"/>
            <w:noWrap w:val="0"/>
            <w:vAlign w:val="center"/>
          </w:tcPr>
          <w:p>
            <w:pPr>
              <w:spacing w:line="300" w:lineRule="exact"/>
              <w:jc w:val="center"/>
              <w:rPr>
                <w:rFonts w:hint="eastAsia" w:ascii="宋体" w:hAnsi="宋体" w:eastAsia="宋体" w:cs="宋体"/>
                <w:color w:val="auto"/>
                <w:kern w:val="0"/>
                <w:sz w:val="24"/>
                <w:szCs w:val="24"/>
                <w:highlight w:val="none"/>
              </w:rPr>
            </w:pPr>
          </w:p>
        </w:tc>
        <w:tc>
          <w:tcPr>
            <w:tcW w:w="3628" w:type="dxa"/>
            <w:noWrap w:val="0"/>
            <w:vAlign w:val="center"/>
          </w:tcPr>
          <w:p>
            <w:p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化粪池、贮粪池密闭性能良好，粪池盖密闭，无缺失、破损、松动现象。</w:t>
            </w:r>
          </w:p>
        </w:tc>
        <w:tc>
          <w:tcPr>
            <w:tcW w:w="4050" w:type="dxa"/>
            <w:noWrap w:val="0"/>
            <w:vAlign w:val="center"/>
          </w:tcPr>
          <w:p>
            <w:p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化粪池、贮粪池、公厕粪池盖不密闭、缺失、破损、松动的扣2分/次。</w:t>
            </w:r>
          </w:p>
        </w:tc>
      </w:tr>
    </w:tbl>
    <w:p>
      <w:pPr>
        <w:pStyle w:val="6"/>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附件4、</w:t>
      </w:r>
      <w:r>
        <w:rPr>
          <w:rFonts w:hint="eastAsia" w:ascii="宋体" w:hAnsi="宋体" w:eastAsia="宋体" w:cs="宋体"/>
          <w:b/>
          <w:kern w:val="0"/>
          <w:sz w:val="28"/>
          <w:szCs w:val="28"/>
          <w:highlight w:val="none"/>
          <w:lang w:val="zh-CN"/>
        </w:rPr>
        <w:t>市政设施维修考核</w:t>
      </w:r>
      <w:r>
        <w:rPr>
          <w:rFonts w:hint="eastAsia" w:ascii="宋体" w:hAnsi="宋体" w:eastAsia="宋体" w:cs="宋体"/>
          <w:b/>
          <w:kern w:val="0"/>
          <w:sz w:val="28"/>
          <w:szCs w:val="28"/>
          <w:highlight w:val="none"/>
          <w:lang w:val="en-US" w:eastAsia="zh-CN"/>
        </w:rPr>
        <w:t>标准</w:t>
      </w:r>
    </w:p>
    <w:p>
      <w:pPr>
        <w:rPr>
          <w:rFonts w:hint="eastAsia" w:ascii="宋体" w:hAnsi="宋体" w:eastAsia="宋体" w:cs="宋体"/>
          <w:b/>
          <w:bCs/>
          <w:color w:val="auto"/>
          <w:sz w:val="24"/>
          <w:highlight w:val="none"/>
          <w:lang w:val="en-US" w:eastAsia="zh-CN"/>
        </w:rPr>
      </w:pPr>
    </w:p>
    <w:tbl>
      <w:tblPr>
        <w:tblStyle w:val="64"/>
        <w:tblW w:w="0" w:type="auto"/>
        <w:jc w:val="center"/>
        <w:tblLayout w:type="fixed"/>
        <w:tblCellMar>
          <w:top w:w="0" w:type="dxa"/>
          <w:left w:w="108" w:type="dxa"/>
          <w:bottom w:w="0" w:type="dxa"/>
          <w:right w:w="108" w:type="dxa"/>
        </w:tblCellMar>
      </w:tblPr>
      <w:tblGrid>
        <w:gridCol w:w="1088"/>
        <w:gridCol w:w="1200"/>
        <w:gridCol w:w="6000"/>
        <w:gridCol w:w="772"/>
      </w:tblGrid>
      <w:tr>
        <w:tblPrEx>
          <w:tblCellMar>
            <w:top w:w="0" w:type="dxa"/>
            <w:left w:w="108" w:type="dxa"/>
            <w:bottom w:w="0" w:type="dxa"/>
            <w:right w:w="108" w:type="dxa"/>
          </w:tblCellMar>
        </w:tblPrEx>
        <w:trPr>
          <w:trHeight w:val="565" w:hRule="atLeast"/>
          <w:jc w:val="center"/>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kinsoku/>
              <w:wordWrap/>
              <w:overflowPunct/>
              <w:topLinePunct w:val="0"/>
              <w:bidi w:val="0"/>
              <w:spacing w:line="360" w:lineRule="auto"/>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考核   项目</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kinsoku/>
              <w:wordWrap/>
              <w:overflowPunct/>
              <w:topLinePunct w:val="0"/>
              <w:bidi w:val="0"/>
              <w:spacing w:line="360" w:lineRule="auto"/>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考核内容</w:t>
            </w:r>
          </w:p>
        </w:tc>
        <w:tc>
          <w:tcPr>
            <w:tcW w:w="6000" w:type="dxa"/>
            <w:tcBorders>
              <w:top w:val="single" w:color="auto" w:sz="4" w:space="0"/>
              <w:left w:val="nil"/>
              <w:bottom w:val="single" w:color="auto" w:sz="4" w:space="0"/>
              <w:right w:val="single" w:color="auto" w:sz="4" w:space="0"/>
            </w:tcBorders>
            <w:noWrap w:val="0"/>
            <w:vAlign w:val="center"/>
          </w:tcPr>
          <w:p>
            <w:pPr>
              <w:keepNext w:val="0"/>
              <w:keepLines w:val="0"/>
              <w:kinsoku/>
              <w:wordWrap/>
              <w:overflowPunct/>
              <w:topLinePunct w:val="0"/>
              <w:bidi w:val="0"/>
              <w:spacing w:line="360" w:lineRule="auto"/>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评分标准</w:t>
            </w:r>
          </w:p>
        </w:tc>
        <w:tc>
          <w:tcPr>
            <w:tcW w:w="772" w:type="dxa"/>
            <w:tcBorders>
              <w:top w:val="single" w:color="auto" w:sz="4" w:space="0"/>
              <w:left w:val="nil"/>
              <w:bottom w:val="single" w:color="auto" w:sz="4" w:space="0"/>
              <w:right w:val="single" w:color="auto" w:sz="4" w:space="0"/>
            </w:tcBorders>
            <w:noWrap w:val="0"/>
            <w:vAlign w:val="center"/>
          </w:tcPr>
          <w:p>
            <w:pPr>
              <w:keepNext w:val="0"/>
              <w:keepLines w:val="0"/>
              <w:kinsoku/>
              <w:wordWrap/>
              <w:overflowPunct/>
              <w:topLinePunct w:val="0"/>
              <w:bidi w:val="0"/>
              <w:spacing w:line="360" w:lineRule="auto"/>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 xml:space="preserve">考核    </w:t>
            </w:r>
          </w:p>
          <w:p>
            <w:pPr>
              <w:keepNext w:val="0"/>
              <w:keepLines w:val="0"/>
              <w:kinsoku/>
              <w:wordWrap/>
              <w:overflowPunct/>
              <w:topLinePunct w:val="0"/>
              <w:bidi w:val="0"/>
              <w:spacing w:line="360" w:lineRule="auto"/>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分数</w:t>
            </w:r>
          </w:p>
        </w:tc>
      </w:tr>
      <w:tr>
        <w:tblPrEx>
          <w:tblCellMar>
            <w:top w:w="0" w:type="dxa"/>
            <w:left w:w="108" w:type="dxa"/>
            <w:bottom w:w="0" w:type="dxa"/>
            <w:right w:w="108" w:type="dxa"/>
          </w:tblCellMar>
        </w:tblPrEx>
        <w:trPr>
          <w:cantSplit/>
          <w:trHeight w:val="1454" w:hRule="atLeast"/>
          <w:jc w:val="center"/>
        </w:trPr>
        <w:tc>
          <w:tcPr>
            <w:tcW w:w="1088" w:type="dxa"/>
            <w:vMerge w:val="restart"/>
            <w:tcBorders>
              <w:top w:val="nil"/>
              <w:left w:val="single" w:color="auto" w:sz="4" w:space="0"/>
              <w:bottom w:val="single" w:color="auto" w:sz="4" w:space="0"/>
              <w:right w:val="single" w:color="auto" w:sz="4" w:space="0"/>
            </w:tcBorders>
            <w:noWrap w:val="0"/>
            <w:vAlign w:val="center"/>
          </w:tcPr>
          <w:p>
            <w:pPr>
              <w:wordWrap/>
              <w:adjustRightInd w:val="0"/>
              <w:snapToGrid w:val="0"/>
              <w:spacing w:line="440" w:lineRule="exact"/>
              <w:ind w:firstLine="448" w:firstLineChars="200"/>
              <w:jc w:val="left"/>
              <w:textAlignment w:val="auto"/>
              <w:outlineLvl w:val="9"/>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rPr>
              <w:t>道路    设施</w:t>
            </w:r>
          </w:p>
          <w:p>
            <w:pPr>
              <w:wordWrap/>
              <w:adjustRightInd w:val="0"/>
              <w:snapToGrid w:val="0"/>
              <w:spacing w:line="440" w:lineRule="exact"/>
              <w:ind w:firstLine="448" w:firstLineChars="200"/>
              <w:jc w:val="left"/>
              <w:textAlignment w:val="auto"/>
              <w:outlineLvl w:val="9"/>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rPr>
              <w:t>养护</w:t>
            </w:r>
          </w:p>
          <w:p>
            <w:pPr>
              <w:wordWrap/>
              <w:adjustRightInd w:val="0"/>
              <w:snapToGrid w:val="0"/>
              <w:spacing w:line="440" w:lineRule="exact"/>
              <w:ind w:firstLine="448" w:firstLineChars="200"/>
              <w:jc w:val="left"/>
              <w:textAlignment w:val="auto"/>
              <w:outlineLvl w:val="9"/>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rPr>
              <w:t>60分</w:t>
            </w:r>
          </w:p>
        </w:tc>
        <w:tc>
          <w:tcPr>
            <w:tcW w:w="1200" w:type="dxa"/>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48" w:firstLineChars="200"/>
              <w:jc w:val="left"/>
              <w:textAlignment w:val="auto"/>
              <w:outlineLvl w:val="9"/>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rPr>
              <w:t>路面养护</w:t>
            </w:r>
          </w:p>
        </w:tc>
        <w:tc>
          <w:tcPr>
            <w:tcW w:w="6000" w:type="dxa"/>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48" w:firstLineChars="200"/>
              <w:jc w:val="left"/>
              <w:textAlignment w:val="auto"/>
              <w:outlineLvl w:val="9"/>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rPr>
              <w:t>路面裂缝每处扣1分,超出养护标准2倍扣1.5分；路面破损、网裂、接坡每处扣1.5分；1平方米以内坑洞、坑槽每处扣1.5分、超出1平方米扣3分；下沉造成较大面积积水每处扣2分；路面其他病害每处扣1分。</w:t>
            </w:r>
          </w:p>
        </w:tc>
        <w:tc>
          <w:tcPr>
            <w:tcW w:w="772" w:type="dxa"/>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48" w:firstLineChars="200"/>
              <w:jc w:val="left"/>
              <w:textAlignment w:val="auto"/>
              <w:outlineLvl w:val="9"/>
              <w:rPr>
                <w:rFonts w:hint="eastAsia" w:ascii="宋体" w:hAnsi="宋体" w:eastAsia="宋体" w:cs="宋体"/>
                <w:color w:val="auto"/>
                <w:spacing w:val="-8"/>
                <w:sz w:val="24"/>
                <w:highlight w:val="none"/>
              </w:rPr>
            </w:pPr>
          </w:p>
        </w:tc>
      </w:tr>
      <w:tr>
        <w:tblPrEx>
          <w:tblCellMar>
            <w:top w:w="0" w:type="dxa"/>
            <w:left w:w="108" w:type="dxa"/>
            <w:bottom w:w="0" w:type="dxa"/>
            <w:right w:w="108" w:type="dxa"/>
          </w:tblCellMar>
        </w:tblPrEx>
        <w:trPr>
          <w:cantSplit/>
          <w:trHeight w:val="1388" w:hRule="atLeast"/>
          <w:jc w:val="center"/>
        </w:trPr>
        <w:tc>
          <w:tcPr>
            <w:tcW w:w="1088" w:type="dxa"/>
            <w:vMerge w:val="continue"/>
            <w:tcBorders>
              <w:top w:val="nil"/>
              <w:left w:val="single" w:color="auto" w:sz="4" w:space="0"/>
              <w:bottom w:val="single" w:color="auto" w:sz="4" w:space="0"/>
              <w:right w:val="single" w:color="auto" w:sz="4" w:space="0"/>
            </w:tcBorders>
            <w:noWrap w:val="0"/>
            <w:vAlign w:val="center"/>
          </w:tcPr>
          <w:p>
            <w:pPr>
              <w:wordWrap/>
              <w:adjustRightInd w:val="0"/>
              <w:snapToGrid w:val="0"/>
              <w:spacing w:line="440" w:lineRule="exact"/>
              <w:ind w:firstLine="448" w:firstLineChars="200"/>
              <w:jc w:val="left"/>
              <w:textAlignment w:val="auto"/>
              <w:outlineLvl w:val="9"/>
              <w:rPr>
                <w:rFonts w:hint="eastAsia" w:ascii="宋体" w:hAnsi="宋体" w:eastAsia="宋体" w:cs="宋体"/>
                <w:color w:val="auto"/>
                <w:spacing w:val="-8"/>
                <w:sz w:val="24"/>
                <w:highlight w:val="none"/>
              </w:rPr>
            </w:pPr>
          </w:p>
        </w:tc>
        <w:tc>
          <w:tcPr>
            <w:tcW w:w="1200" w:type="dxa"/>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48" w:firstLineChars="200"/>
              <w:jc w:val="left"/>
              <w:textAlignment w:val="auto"/>
              <w:outlineLvl w:val="9"/>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rPr>
              <w:t>人行道养护</w:t>
            </w:r>
          </w:p>
        </w:tc>
        <w:tc>
          <w:tcPr>
            <w:tcW w:w="6000" w:type="dxa"/>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48" w:firstLineChars="200"/>
              <w:jc w:val="left"/>
              <w:textAlignment w:val="auto"/>
              <w:outlineLvl w:val="9"/>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rPr>
              <w:t>人行道破损每处扣1分、松动每处扣0.5分，超出养护标准2倍扣1.5分；1平方米以内坑洞、坑槽每处扣1.5分、超出1平方扣3分；平侧石破损每处扣1分；无障碍设施不规范每处扣2分；人行道其他病害每处1分。</w:t>
            </w:r>
          </w:p>
        </w:tc>
        <w:tc>
          <w:tcPr>
            <w:tcW w:w="772" w:type="dxa"/>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48" w:firstLineChars="200"/>
              <w:jc w:val="left"/>
              <w:textAlignment w:val="auto"/>
              <w:outlineLvl w:val="9"/>
              <w:rPr>
                <w:rFonts w:hint="eastAsia" w:ascii="宋体" w:hAnsi="宋体" w:eastAsia="宋体" w:cs="宋体"/>
                <w:color w:val="auto"/>
                <w:spacing w:val="-8"/>
                <w:sz w:val="24"/>
                <w:highlight w:val="none"/>
              </w:rPr>
            </w:pPr>
          </w:p>
        </w:tc>
      </w:tr>
      <w:tr>
        <w:tblPrEx>
          <w:tblCellMar>
            <w:top w:w="0" w:type="dxa"/>
            <w:left w:w="108" w:type="dxa"/>
            <w:bottom w:w="0" w:type="dxa"/>
            <w:right w:w="108" w:type="dxa"/>
          </w:tblCellMar>
        </w:tblPrEx>
        <w:trPr>
          <w:cantSplit/>
          <w:trHeight w:val="744" w:hRule="atLeast"/>
          <w:jc w:val="center"/>
        </w:trPr>
        <w:tc>
          <w:tcPr>
            <w:tcW w:w="1088" w:type="dxa"/>
            <w:vMerge w:val="continue"/>
            <w:tcBorders>
              <w:top w:val="nil"/>
              <w:left w:val="single" w:color="auto" w:sz="4" w:space="0"/>
              <w:bottom w:val="single" w:color="auto" w:sz="4" w:space="0"/>
              <w:right w:val="single" w:color="auto" w:sz="4" w:space="0"/>
            </w:tcBorders>
            <w:noWrap w:val="0"/>
            <w:vAlign w:val="center"/>
          </w:tcPr>
          <w:p>
            <w:pPr>
              <w:wordWrap/>
              <w:adjustRightInd w:val="0"/>
              <w:snapToGrid w:val="0"/>
              <w:spacing w:line="440" w:lineRule="exact"/>
              <w:ind w:firstLine="448" w:firstLineChars="200"/>
              <w:jc w:val="left"/>
              <w:textAlignment w:val="auto"/>
              <w:outlineLvl w:val="9"/>
              <w:rPr>
                <w:rFonts w:hint="eastAsia" w:ascii="宋体" w:hAnsi="宋体" w:eastAsia="宋体" w:cs="宋体"/>
                <w:color w:val="auto"/>
                <w:spacing w:val="-8"/>
                <w:sz w:val="24"/>
                <w:highlight w:val="none"/>
              </w:rPr>
            </w:pPr>
          </w:p>
        </w:tc>
        <w:tc>
          <w:tcPr>
            <w:tcW w:w="1200" w:type="dxa"/>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48" w:firstLineChars="200"/>
              <w:jc w:val="left"/>
              <w:textAlignment w:val="auto"/>
              <w:outlineLvl w:val="9"/>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rPr>
              <w:t>市政基础设施完整率</w:t>
            </w:r>
          </w:p>
        </w:tc>
        <w:tc>
          <w:tcPr>
            <w:tcW w:w="6000" w:type="dxa"/>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48" w:firstLineChars="200"/>
              <w:jc w:val="left"/>
              <w:textAlignment w:val="auto"/>
              <w:outlineLvl w:val="9"/>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rPr>
              <w:t>道路无人行道设施或人行道成段断缺、未设置无障碍设施等每处扣3-5分。</w:t>
            </w:r>
          </w:p>
        </w:tc>
        <w:tc>
          <w:tcPr>
            <w:tcW w:w="772" w:type="dxa"/>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48" w:firstLineChars="200"/>
              <w:jc w:val="left"/>
              <w:textAlignment w:val="auto"/>
              <w:outlineLvl w:val="9"/>
              <w:rPr>
                <w:rFonts w:hint="eastAsia" w:ascii="宋体" w:hAnsi="宋体" w:eastAsia="宋体" w:cs="宋体"/>
                <w:color w:val="auto"/>
                <w:spacing w:val="-8"/>
                <w:sz w:val="24"/>
                <w:highlight w:val="none"/>
              </w:rPr>
            </w:pPr>
          </w:p>
        </w:tc>
      </w:tr>
      <w:tr>
        <w:tblPrEx>
          <w:tblCellMar>
            <w:top w:w="0" w:type="dxa"/>
            <w:left w:w="108" w:type="dxa"/>
            <w:bottom w:w="0" w:type="dxa"/>
            <w:right w:w="108" w:type="dxa"/>
          </w:tblCellMar>
        </w:tblPrEx>
        <w:trPr>
          <w:cantSplit/>
          <w:trHeight w:val="1023" w:hRule="atLeast"/>
          <w:jc w:val="center"/>
        </w:trPr>
        <w:tc>
          <w:tcPr>
            <w:tcW w:w="1088" w:type="dxa"/>
            <w:tcBorders>
              <w:top w:val="nil"/>
              <w:left w:val="single" w:color="auto" w:sz="4" w:space="0"/>
              <w:bottom w:val="single" w:color="auto" w:sz="4" w:space="0"/>
              <w:right w:val="single" w:color="auto" w:sz="4" w:space="0"/>
            </w:tcBorders>
            <w:noWrap w:val="0"/>
            <w:vAlign w:val="center"/>
          </w:tcPr>
          <w:p>
            <w:pPr>
              <w:wordWrap/>
              <w:adjustRightInd w:val="0"/>
              <w:snapToGrid w:val="0"/>
              <w:spacing w:line="440" w:lineRule="exact"/>
              <w:ind w:firstLine="448" w:firstLineChars="200"/>
              <w:jc w:val="left"/>
              <w:textAlignment w:val="auto"/>
              <w:outlineLvl w:val="9"/>
              <w:rPr>
                <w:rFonts w:hint="eastAsia" w:ascii="宋体" w:hAnsi="宋体" w:eastAsia="宋体" w:cs="宋体"/>
                <w:color w:val="auto"/>
                <w:spacing w:val="-8"/>
                <w:sz w:val="24"/>
                <w:highlight w:val="none"/>
                <w:lang w:eastAsia="zh-CN"/>
              </w:rPr>
            </w:pPr>
            <w:r>
              <w:rPr>
                <w:rFonts w:hint="eastAsia" w:ascii="宋体" w:hAnsi="宋体" w:eastAsia="宋体" w:cs="宋体"/>
                <w:color w:val="auto"/>
                <w:spacing w:val="-8"/>
                <w:sz w:val="24"/>
                <w:highlight w:val="none"/>
                <w:lang w:eastAsia="zh-CN"/>
              </w:rPr>
              <w:t>数字城管案件</w:t>
            </w:r>
            <w:r>
              <w:rPr>
                <w:rFonts w:hint="eastAsia" w:ascii="宋体" w:hAnsi="宋体" w:eastAsia="宋体" w:cs="宋体"/>
                <w:color w:val="auto"/>
                <w:spacing w:val="-8"/>
                <w:sz w:val="24"/>
                <w:highlight w:val="none"/>
                <w:lang w:val="en-US" w:eastAsia="zh-CN"/>
              </w:rPr>
              <w:t>20分</w:t>
            </w:r>
          </w:p>
        </w:tc>
        <w:tc>
          <w:tcPr>
            <w:tcW w:w="1200" w:type="dxa"/>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48" w:firstLineChars="200"/>
              <w:jc w:val="left"/>
              <w:textAlignment w:val="auto"/>
              <w:outlineLvl w:val="9"/>
              <w:rPr>
                <w:rFonts w:hint="eastAsia" w:ascii="宋体" w:hAnsi="宋体" w:eastAsia="宋体" w:cs="宋体"/>
                <w:color w:val="auto"/>
                <w:spacing w:val="-8"/>
                <w:sz w:val="24"/>
                <w:highlight w:val="none"/>
                <w:lang w:eastAsia="zh-CN"/>
              </w:rPr>
            </w:pPr>
            <w:r>
              <w:rPr>
                <w:rFonts w:hint="eastAsia" w:ascii="宋体" w:hAnsi="宋体" w:eastAsia="宋体" w:cs="宋体"/>
                <w:color w:val="auto"/>
                <w:spacing w:val="-8"/>
                <w:sz w:val="24"/>
                <w:highlight w:val="none"/>
                <w:lang w:eastAsia="zh-CN"/>
              </w:rPr>
              <w:t>数字城管案件量</w:t>
            </w:r>
          </w:p>
        </w:tc>
        <w:tc>
          <w:tcPr>
            <w:tcW w:w="6000" w:type="dxa"/>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48" w:firstLineChars="200"/>
              <w:jc w:val="left"/>
              <w:textAlignment w:val="auto"/>
              <w:outlineLvl w:val="9"/>
              <w:rPr>
                <w:rFonts w:hint="eastAsia" w:ascii="宋体" w:hAnsi="宋体" w:eastAsia="宋体" w:cs="宋体"/>
                <w:color w:val="auto"/>
                <w:spacing w:val="-8"/>
                <w:sz w:val="24"/>
                <w:highlight w:val="none"/>
                <w:lang w:eastAsia="zh-CN"/>
              </w:rPr>
            </w:pPr>
            <w:r>
              <w:rPr>
                <w:rFonts w:hint="eastAsia" w:ascii="宋体" w:hAnsi="宋体" w:eastAsia="宋体" w:cs="宋体"/>
                <w:color w:val="auto"/>
                <w:spacing w:val="-8"/>
                <w:sz w:val="24"/>
                <w:highlight w:val="none"/>
                <w:lang w:eastAsia="zh-CN"/>
              </w:rPr>
              <w:t>每月</w:t>
            </w:r>
            <w:r>
              <w:rPr>
                <w:rFonts w:hint="eastAsia" w:ascii="宋体" w:hAnsi="宋体" w:eastAsia="宋体" w:cs="宋体"/>
                <w:color w:val="auto"/>
                <w:spacing w:val="-8"/>
                <w:sz w:val="24"/>
                <w:highlight w:val="none"/>
                <w:lang w:val="en-US" w:eastAsia="zh-CN"/>
              </w:rPr>
              <w:t>200起案件为基数，201-250扣2分，251-300扣4分，301-350扣6分，每增加50件扣2分，以此类推上限扣20分。</w:t>
            </w:r>
          </w:p>
        </w:tc>
        <w:tc>
          <w:tcPr>
            <w:tcW w:w="772" w:type="dxa"/>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48" w:firstLineChars="200"/>
              <w:jc w:val="left"/>
              <w:textAlignment w:val="auto"/>
              <w:outlineLvl w:val="9"/>
              <w:rPr>
                <w:rFonts w:hint="eastAsia" w:ascii="宋体" w:hAnsi="宋体" w:eastAsia="宋体" w:cs="宋体"/>
                <w:color w:val="auto"/>
                <w:spacing w:val="-8"/>
                <w:sz w:val="24"/>
                <w:highlight w:val="none"/>
              </w:rPr>
            </w:pPr>
          </w:p>
        </w:tc>
      </w:tr>
      <w:tr>
        <w:tblPrEx>
          <w:tblCellMar>
            <w:top w:w="0" w:type="dxa"/>
            <w:left w:w="108" w:type="dxa"/>
            <w:bottom w:w="0" w:type="dxa"/>
            <w:right w:w="108" w:type="dxa"/>
          </w:tblCellMar>
        </w:tblPrEx>
        <w:trPr>
          <w:cantSplit/>
          <w:trHeight w:val="576" w:hRule="atLeast"/>
          <w:jc w:val="center"/>
        </w:trPr>
        <w:tc>
          <w:tcPr>
            <w:tcW w:w="1088" w:type="dxa"/>
            <w:vMerge w:val="restart"/>
            <w:tcBorders>
              <w:top w:val="nil"/>
              <w:left w:val="single" w:color="auto" w:sz="4" w:space="0"/>
              <w:bottom w:val="single" w:color="auto" w:sz="4" w:space="0"/>
              <w:right w:val="single" w:color="auto" w:sz="4" w:space="0"/>
            </w:tcBorders>
            <w:noWrap w:val="0"/>
            <w:vAlign w:val="center"/>
          </w:tcPr>
          <w:p>
            <w:pPr>
              <w:wordWrap/>
              <w:adjustRightInd w:val="0"/>
              <w:snapToGrid w:val="0"/>
              <w:spacing w:line="440" w:lineRule="exact"/>
              <w:ind w:firstLine="448" w:firstLineChars="200"/>
              <w:jc w:val="left"/>
              <w:textAlignment w:val="auto"/>
              <w:outlineLvl w:val="9"/>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rPr>
              <w:t>桥梁设施养护</w:t>
            </w:r>
          </w:p>
          <w:p>
            <w:pPr>
              <w:wordWrap/>
              <w:adjustRightInd w:val="0"/>
              <w:snapToGrid w:val="0"/>
              <w:spacing w:line="440" w:lineRule="exact"/>
              <w:ind w:firstLine="448" w:firstLineChars="200"/>
              <w:jc w:val="left"/>
              <w:textAlignment w:val="auto"/>
              <w:outlineLvl w:val="9"/>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lang w:val="en-US" w:eastAsia="zh-CN"/>
              </w:rPr>
              <w:t>10</w:t>
            </w:r>
            <w:r>
              <w:rPr>
                <w:rFonts w:hint="eastAsia" w:ascii="宋体" w:hAnsi="宋体" w:eastAsia="宋体" w:cs="宋体"/>
                <w:color w:val="auto"/>
                <w:spacing w:val="-8"/>
                <w:sz w:val="24"/>
                <w:highlight w:val="none"/>
              </w:rPr>
              <w:t>分</w:t>
            </w:r>
          </w:p>
        </w:tc>
        <w:tc>
          <w:tcPr>
            <w:tcW w:w="1200" w:type="dxa"/>
            <w:vMerge w:val="restart"/>
            <w:tcBorders>
              <w:top w:val="nil"/>
              <w:left w:val="nil"/>
              <w:bottom w:val="single" w:color="auto" w:sz="4" w:space="0"/>
              <w:right w:val="single" w:color="auto" w:sz="4" w:space="0"/>
            </w:tcBorders>
            <w:noWrap w:val="0"/>
            <w:vAlign w:val="center"/>
          </w:tcPr>
          <w:p>
            <w:pPr>
              <w:wordWrap/>
              <w:adjustRightInd w:val="0"/>
              <w:snapToGrid w:val="0"/>
              <w:spacing w:line="440" w:lineRule="exact"/>
              <w:ind w:firstLine="448" w:firstLineChars="200"/>
              <w:jc w:val="left"/>
              <w:textAlignment w:val="auto"/>
              <w:outlineLvl w:val="9"/>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rPr>
              <w:t>桥梁上（下）部结构、栏杆、排水设施、附属设施养护</w:t>
            </w:r>
          </w:p>
        </w:tc>
        <w:tc>
          <w:tcPr>
            <w:tcW w:w="6000" w:type="dxa"/>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48" w:firstLineChars="200"/>
              <w:jc w:val="left"/>
              <w:textAlignment w:val="auto"/>
              <w:outlineLvl w:val="9"/>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rPr>
              <w:t>桥面裂缝、坑槽、破损</w:t>
            </w:r>
            <w:r>
              <w:rPr>
                <w:rFonts w:hint="eastAsia" w:ascii="宋体" w:hAnsi="宋体" w:eastAsia="宋体" w:cs="宋体"/>
                <w:color w:val="auto"/>
                <w:spacing w:val="-8"/>
                <w:sz w:val="24"/>
                <w:highlight w:val="none"/>
                <w:lang w:eastAsia="zh-CN"/>
              </w:rPr>
              <w:t>、</w:t>
            </w:r>
            <w:r>
              <w:rPr>
                <w:rFonts w:hint="eastAsia" w:ascii="宋体" w:hAnsi="宋体" w:eastAsia="宋体" w:cs="宋体"/>
                <w:color w:val="auto"/>
                <w:spacing w:val="-8"/>
                <w:sz w:val="24"/>
                <w:highlight w:val="none"/>
              </w:rPr>
              <w:t>伸缩缝破损、支座破损锈蚀等每处扣</w:t>
            </w:r>
            <w:r>
              <w:rPr>
                <w:rFonts w:hint="eastAsia" w:ascii="宋体" w:hAnsi="宋体" w:eastAsia="宋体" w:cs="宋体"/>
                <w:color w:val="auto"/>
                <w:spacing w:val="-8"/>
                <w:sz w:val="24"/>
                <w:highlight w:val="none"/>
                <w:lang w:val="en-US" w:eastAsia="zh-CN"/>
              </w:rPr>
              <w:t>1</w:t>
            </w:r>
            <w:r>
              <w:rPr>
                <w:rFonts w:hint="eastAsia" w:ascii="宋体" w:hAnsi="宋体" w:eastAsia="宋体" w:cs="宋体"/>
                <w:color w:val="auto"/>
                <w:spacing w:val="-8"/>
                <w:sz w:val="24"/>
                <w:highlight w:val="none"/>
              </w:rPr>
              <w:t>分。</w:t>
            </w:r>
          </w:p>
        </w:tc>
        <w:tc>
          <w:tcPr>
            <w:tcW w:w="772" w:type="dxa"/>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48" w:firstLineChars="200"/>
              <w:jc w:val="left"/>
              <w:textAlignment w:val="auto"/>
              <w:outlineLvl w:val="9"/>
              <w:rPr>
                <w:rFonts w:hint="eastAsia" w:ascii="宋体" w:hAnsi="宋体" w:eastAsia="宋体" w:cs="宋体"/>
                <w:color w:val="auto"/>
                <w:spacing w:val="-8"/>
                <w:sz w:val="24"/>
                <w:highlight w:val="none"/>
              </w:rPr>
            </w:pPr>
          </w:p>
        </w:tc>
      </w:tr>
      <w:tr>
        <w:tblPrEx>
          <w:tblCellMar>
            <w:top w:w="0" w:type="dxa"/>
            <w:left w:w="108" w:type="dxa"/>
            <w:bottom w:w="0" w:type="dxa"/>
            <w:right w:w="108" w:type="dxa"/>
          </w:tblCellMar>
        </w:tblPrEx>
        <w:trPr>
          <w:cantSplit/>
          <w:trHeight w:val="455" w:hRule="atLeast"/>
          <w:jc w:val="center"/>
        </w:trPr>
        <w:tc>
          <w:tcPr>
            <w:tcW w:w="1088" w:type="dxa"/>
            <w:vMerge w:val="continue"/>
            <w:tcBorders>
              <w:top w:val="nil"/>
              <w:left w:val="single" w:color="auto" w:sz="4" w:space="0"/>
              <w:bottom w:val="single" w:color="auto" w:sz="4" w:space="0"/>
              <w:right w:val="single" w:color="auto" w:sz="4" w:space="0"/>
            </w:tcBorders>
            <w:noWrap w:val="0"/>
            <w:vAlign w:val="center"/>
          </w:tcPr>
          <w:p>
            <w:pPr>
              <w:wordWrap/>
              <w:adjustRightInd w:val="0"/>
              <w:snapToGrid w:val="0"/>
              <w:spacing w:line="440" w:lineRule="exact"/>
              <w:ind w:firstLine="448" w:firstLineChars="200"/>
              <w:jc w:val="left"/>
              <w:textAlignment w:val="auto"/>
              <w:outlineLvl w:val="9"/>
              <w:rPr>
                <w:rFonts w:hint="eastAsia" w:ascii="宋体" w:hAnsi="宋体" w:eastAsia="宋体" w:cs="宋体"/>
                <w:color w:val="auto"/>
                <w:spacing w:val="-8"/>
                <w:sz w:val="24"/>
                <w:highlight w:val="none"/>
              </w:rPr>
            </w:pPr>
          </w:p>
        </w:tc>
        <w:tc>
          <w:tcPr>
            <w:tcW w:w="1200" w:type="dxa"/>
            <w:vMerge w:val="continue"/>
            <w:tcBorders>
              <w:top w:val="nil"/>
              <w:left w:val="nil"/>
              <w:bottom w:val="single" w:color="auto" w:sz="4" w:space="0"/>
              <w:right w:val="single" w:color="auto" w:sz="4" w:space="0"/>
            </w:tcBorders>
            <w:noWrap w:val="0"/>
            <w:vAlign w:val="center"/>
          </w:tcPr>
          <w:p>
            <w:pPr>
              <w:wordWrap/>
              <w:adjustRightInd w:val="0"/>
              <w:snapToGrid w:val="0"/>
              <w:spacing w:line="440" w:lineRule="exact"/>
              <w:ind w:firstLine="448" w:firstLineChars="200"/>
              <w:jc w:val="left"/>
              <w:textAlignment w:val="auto"/>
              <w:outlineLvl w:val="9"/>
              <w:rPr>
                <w:rFonts w:hint="eastAsia" w:ascii="宋体" w:hAnsi="宋体" w:eastAsia="宋体" w:cs="宋体"/>
                <w:color w:val="auto"/>
                <w:spacing w:val="-8"/>
                <w:sz w:val="24"/>
                <w:highlight w:val="none"/>
              </w:rPr>
            </w:pPr>
          </w:p>
        </w:tc>
        <w:tc>
          <w:tcPr>
            <w:tcW w:w="6000" w:type="dxa"/>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48" w:firstLineChars="200"/>
              <w:jc w:val="left"/>
              <w:textAlignment w:val="auto"/>
              <w:outlineLvl w:val="9"/>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rPr>
              <w:t>墩台墙柱开裂每处扣</w:t>
            </w:r>
            <w:r>
              <w:rPr>
                <w:rFonts w:hint="eastAsia" w:ascii="宋体" w:hAnsi="宋体" w:eastAsia="宋体" w:cs="宋体"/>
                <w:color w:val="auto"/>
                <w:spacing w:val="-8"/>
                <w:sz w:val="24"/>
                <w:highlight w:val="none"/>
                <w:lang w:val="en-US" w:eastAsia="zh-CN"/>
              </w:rPr>
              <w:t>0.5</w:t>
            </w:r>
            <w:r>
              <w:rPr>
                <w:rFonts w:hint="eastAsia" w:ascii="宋体" w:hAnsi="宋体" w:eastAsia="宋体" w:cs="宋体"/>
                <w:color w:val="auto"/>
                <w:spacing w:val="-8"/>
                <w:sz w:val="24"/>
                <w:highlight w:val="none"/>
              </w:rPr>
              <w:t>分，基础下沉扣</w:t>
            </w:r>
            <w:r>
              <w:rPr>
                <w:rFonts w:hint="eastAsia" w:ascii="宋体" w:hAnsi="宋体" w:eastAsia="宋体" w:cs="宋体"/>
                <w:color w:val="auto"/>
                <w:spacing w:val="-8"/>
                <w:sz w:val="24"/>
                <w:highlight w:val="none"/>
                <w:lang w:val="en-US" w:eastAsia="zh-CN"/>
              </w:rPr>
              <w:t>0.5</w:t>
            </w:r>
            <w:r>
              <w:rPr>
                <w:rFonts w:hint="eastAsia" w:ascii="宋体" w:hAnsi="宋体" w:eastAsia="宋体" w:cs="宋体"/>
                <w:color w:val="auto"/>
                <w:spacing w:val="-8"/>
                <w:sz w:val="24"/>
                <w:highlight w:val="none"/>
              </w:rPr>
              <w:t>分， 基础位移扣</w:t>
            </w:r>
            <w:r>
              <w:rPr>
                <w:rFonts w:hint="eastAsia" w:ascii="宋体" w:hAnsi="宋体" w:eastAsia="宋体" w:cs="宋体"/>
                <w:color w:val="auto"/>
                <w:spacing w:val="-8"/>
                <w:sz w:val="24"/>
                <w:highlight w:val="none"/>
                <w:lang w:val="en-US" w:eastAsia="zh-CN"/>
              </w:rPr>
              <w:t>1</w:t>
            </w:r>
            <w:r>
              <w:rPr>
                <w:rFonts w:hint="eastAsia" w:ascii="宋体" w:hAnsi="宋体" w:eastAsia="宋体" w:cs="宋体"/>
                <w:color w:val="auto"/>
                <w:spacing w:val="-8"/>
                <w:sz w:val="24"/>
                <w:highlight w:val="none"/>
              </w:rPr>
              <w:t>分。</w:t>
            </w:r>
          </w:p>
        </w:tc>
        <w:tc>
          <w:tcPr>
            <w:tcW w:w="772" w:type="dxa"/>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48" w:firstLineChars="200"/>
              <w:jc w:val="left"/>
              <w:textAlignment w:val="auto"/>
              <w:outlineLvl w:val="9"/>
              <w:rPr>
                <w:rFonts w:hint="eastAsia" w:ascii="宋体" w:hAnsi="宋体" w:eastAsia="宋体" w:cs="宋体"/>
                <w:color w:val="auto"/>
                <w:spacing w:val="-8"/>
                <w:sz w:val="24"/>
                <w:highlight w:val="none"/>
              </w:rPr>
            </w:pPr>
          </w:p>
        </w:tc>
      </w:tr>
      <w:tr>
        <w:tblPrEx>
          <w:tblCellMar>
            <w:top w:w="0" w:type="dxa"/>
            <w:left w:w="108" w:type="dxa"/>
            <w:bottom w:w="0" w:type="dxa"/>
            <w:right w:w="108" w:type="dxa"/>
          </w:tblCellMar>
        </w:tblPrEx>
        <w:trPr>
          <w:cantSplit/>
          <w:trHeight w:val="686" w:hRule="atLeast"/>
          <w:jc w:val="center"/>
        </w:trPr>
        <w:tc>
          <w:tcPr>
            <w:tcW w:w="1088" w:type="dxa"/>
            <w:vMerge w:val="continue"/>
            <w:tcBorders>
              <w:top w:val="nil"/>
              <w:left w:val="single" w:color="auto" w:sz="4" w:space="0"/>
              <w:bottom w:val="single" w:color="auto" w:sz="4" w:space="0"/>
              <w:right w:val="single" w:color="auto" w:sz="4" w:space="0"/>
            </w:tcBorders>
            <w:noWrap w:val="0"/>
            <w:vAlign w:val="center"/>
          </w:tcPr>
          <w:p>
            <w:pPr>
              <w:wordWrap/>
              <w:adjustRightInd w:val="0"/>
              <w:snapToGrid w:val="0"/>
              <w:spacing w:line="440" w:lineRule="exact"/>
              <w:ind w:firstLine="448" w:firstLineChars="200"/>
              <w:jc w:val="left"/>
              <w:textAlignment w:val="auto"/>
              <w:outlineLvl w:val="9"/>
              <w:rPr>
                <w:rFonts w:hint="eastAsia" w:ascii="宋体" w:hAnsi="宋体" w:eastAsia="宋体" w:cs="宋体"/>
                <w:color w:val="auto"/>
                <w:spacing w:val="-8"/>
                <w:sz w:val="24"/>
                <w:highlight w:val="none"/>
              </w:rPr>
            </w:pPr>
          </w:p>
        </w:tc>
        <w:tc>
          <w:tcPr>
            <w:tcW w:w="1200" w:type="dxa"/>
            <w:vMerge w:val="continue"/>
            <w:tcBorders>
              <w:top w:val="nil"/>
              <w:left w:val="nil"/>
              <w:bottom w:val="single" w:color="auto" w:sz="4" w:space="0"/>
              <w:right w:val="single" w:color="auto" w:sz="4" w:space="0"/>
            </w:tcBorders>
            <w:noWrap w:val="0"/>
            <w:vAlign w:val="center"/>
          </w:tcPr>
          <w:p>
            <w:pPr>
              <w:wordWrap/>
              <w:adjustRightInd w:val="0"/>
              <w:snapToGrid w:val="0"/>
              <w:spacing w:line="440" w:lineRule="exact"/>
              <w:ind w:firstLine="448" w:firstLineChars="200"/>
              <w:jc w:val="left"/>
              <w:textAlignment w:val="auto"/>
              <w:outlineLvl w:val="9"/>
              <w:rPr>
                <w:rFonts w:hint="eastAsia" w:ascii="宋体" w:hAnsi="宋体" w:eastAsia="宋体" w:cs="宋体"/>
                <w:color w:val="auto"/>
                <w:spacing w:val="-8"/>
                <w:sz w:val="24"/>
                <w:highlight w:val="none"/>
              </w:rPr>
            </w:pPr>
          </w:p>
        </w:tc>
        <w:tc>
          <w:tcPr>
            <w:tcW w:w="6000" w:type="dxa"/>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48" w:firstLineChars="200"/>
              <w:jc w:val="left"/>
              <w:textAlignment w:val="auto"/>
              <w:outlineLvl w:val="9"/>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rPr>
              <w:t>栏杆结构不牢、破损、排水设施破损、堵塞、挡墙损坏开裂每处扣</w:t>
            </w:r>
            <w:r>
              <w:rPr>
                <w:rFonts w:hint="eastAsia" w:ascii="宋体" w:hAnsi="宋体" w:eastAsia="宋体" w:cs="宋体"/>
                <w:color w:val="auto"/>
                <w:spacing w:val="-8"/>
                <w:sz w:val="24"/>
                <w:highlight w:val="none"/>
                <w:lang w:val="en-US" w:eastAsia="zh-CN"/>
              </w:rPr>
              <w:t>1</w:t>
            </w:r>
            <w:r>
              <w:rPr>
                <w:rFonts w:hint="eastAsia" w:ascii="宋体" w:hAnsi="宋体" w:eastAsia="宋体" w:cs="宋体"/>
                <w:color w:val="auto"/>
                <w:spacing w:val="-8"/>
                <w:sz w:val="24"/>
                <w:highlight w:val="none"/>
              </w:rPr>
              <w:t>分，特别严重的扣</w:t>
            </w:r>
            <w:r>
              <w:rPr>
                <w:rFonts w:hint="eastAsia" w:ascii="宋体" w:hAnsi="宋体" w:eastAsia="宋体" w:cs="宋体"/>
                <w:color w:val="auto"/>
                <w:spacing w:val="-8"/>
                <w:sz w:val="24"/>
                <w:highlight w:val="none"/>
                <w:lang w:val="en-US" w:eastAsia="zh-CN"/>
              </w:rPr>
              <w:t>2</w:t>
            </w:r>
            <w:r>
              <w:rPr>
                <w:rFonts w:hint="eastAsia" w:ascii="宋体" w:hAnsi="宋体" w:eastAsia="宋体" w:cs="宋体"/>
                <w:color w:val="auto"/>
                <w:spacing w:val="-8"/>
                <w:sz w:val="24"/>
                <w:highlight w:val="none"/>
              </w:rPr>
              <w:t>分，指示牌破损每处扣</w:t>
            </w:r>
            <w:r>
              <w:rPr>
                <w:rFonts w:hint="eastAsia" w:ascii="宋体" w:hAnsi="宋体" w:eastAsia="宋体" w:cs="宋体"/>
                <w:color w:val="auto"/>
                <w:spacing w:val="-8"/>
                <w:sz w:val="24"/>
                <w:highlight w:val="none"/>
                <w:lang w:val="en-US" w:eastAsia="zh-CN"/>
              </w:rPr>
              <w:t>1</w:t>
            </w:r>
            <w:r>
              <w:rPr>
                <w:rFonts w:hint="eastAsia" w:ascii="宋体" w:hAnsi="宋体" w:eastAsia="宋体" w:cs="宋体"/>
                <w:color w:val="auto"/>
                <w:spacing w:val="-8"/>
                <w:sz w:val="24"/>
                <w:highlight w:val="none"/>
              </w:rPr>
              <w:t>分。</w:t>
            </w:r>
          </w:p>
        </w:tc>
        <w:tc>
          <w:tcPr>
            <w:tcW w:w="772" w:type="dxa"/>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48" w:firstLineChars="200"/>
              <w:jc w:val="left"/>
              <w:textAlignment w:val="auto"/>
              <w:outlineLvl w:val="9"/>
              <w:rPr>
                <w:rFonts w:hint="eastAsia" w:ascii="宋体" w:hAnsi="宋体" w:eastAsia="宋体" w:cs="宋体"/>
                <w:color w:val="auto"/>
                <w:spacing w:val="-8"/>
                <w:sz w:val="24"/>
                <w:highlight w:val="none"/>
              </w:rPr>
            </w:pPr>
          </w:p>
        </w:tc>
      </w:tr>
      <w:tr>
        <w:tblPrEx>
          <w:tblCellMar>
            <w:top w:w="0" w:type="dxa"/>
            <w:left w:w="108" w:type="dxa"/>
            <w:bottom w:w="0" w:type="dxa"/>
            <w:right w:w="108" w:type="dxa"/>
          </w:tblCellMar>
        </w:tblPrEx>
        <w:trPr>
          <w:trHeight w:val="653" w:hRule="atLeast"/>
          <w:jc w:val="center"/>
        </w:trPr>
        <w:tc>
          <w:tcPr>
            <w:tcW w:w="1088" w:type="dxa"/>
            <w:vMerge w:val="restart"/>
            <w:tcBorders>
              <w:top w:val="nil"/>
              <w:left w:val="single" w:color="auto" w:sz="4" w:space="0"/>
              <w:bottom w:val="single" w:color="auto" w:sz="4" w:space="0"/>
              <w:right w:val="single" w:color="auto" w:sz="4" w:space="0"/>
            </w:tcBorders>
            <w:noWrap w:val="0"/>
            <w:vAlign w:val="center"/>
          </w:tcPr>
          <w:p>
            <w:pPr>
              <w:wordWrap/>
              <w:adjustRightInd w:val="0"/>
              <w:snapToGrid w:val="0"/>
              <w:spacing w:line="440" w:lineRule="exact"/>
              <w:ind w:firstLine="448" w:firstLineChars="200"/>
              <w:jc w:val="left"/>
              <w:textAlignment w:val="auto"/>
              <w:outlineLvl w:val="9"/>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rPr>
              <w:t>安全文明施工</w:t>
            </w:r>
          </w:p>
          <w:p>
            <w:pPr>
              <w:wordWrap/>
              <w:adjustRightInd w:val="0"/>
              <w:snapToGrid w:val="0"/>
              <w:spacing w:line="440" w:lineRule="exact"/>
              <w:ind w:firstLine="448" w:firstLineChars="200"/>
              <w:jc w:val="left"/>
              <w:textAlignment w:val="auto"/>
              <w:outlineLvl w:val="9"/>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lang w:val="en-US" w:eastAsia="zh-CN"/>
              </w:rPr>
              <w:t>5</w:t>
            </w:r>
            <w:r>
              <w:rPr>
                <w:rFonts w:hint="eastAsia" w:ascii="宋体" w:hAnsi="宋体" w:eastAsia="宋体" w:cs="宋体"/>
                <w:color w:val="auto"/>
                <w:spacing w:val="-8"/>
                <w:sz w:val="24"/>
                <w:highlight w:val="none"/>
              </w:rPr>
              <w:t>分</w:t>
            </w:r>
          </w:p>
        </w:tc>
        <w:tc>
          <w:tcPr>
            <w:tcW w:w="1200" w:type="dxa"/>
            <w:vMerge w:val="restart"/>
            <w:tcBorders>
              <w:top w:val="nil"/>
              <w:left w:val="nil"/>
              <w:bottom w:val="single" w:color="auto" w:sz="4" w:space="0"/>
              <w:right w:val="single" w:color="auto" w:sz="4" w:space="0"/>
            </w:tcBorders>
            <w:noWrap w:val="0"/>
            <w:vAlign w:val="center"/>
          </w:tcPr>
          <w:p>
            <w:pPr>
              <w:wordWrap/>
              <w:adjustRightInd w:val="0"/>
              <w:snapToGrid w:val="0"/>
              <w:spacing w:line="440" w:lineRule="exact"/>
              <w:ind w:firstLine="448" w:firstLineChars="200"/>
              <w:jc w:val="left"/>
              <w:textAlignment w:val="auto"/>
              <w:outlineLvl w:val="9"/>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rPr>
              <w:t>养护作业</w:t>
            </w:r>
          </w:p>
        </w:tc>
        <w:tc>
          <w:tcPr>
            <w:tcW w:w="6000" w:type="dxa"/>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48" w:firstLineChars="200"/>
              <w:jc w:val="left"/>
              <w:textAlignment w:val="auto"/>
              <w:outlineLvl w:val="9"/>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rPr>
              <w:t>发现违章及不规范施工每次扣</w:t>
            </w:r>
            <w:r>
              <w:rPr>
                <w:rFonts w:hint="eastAsia" w:ascii="宋体" w:hAnsi="宋体" w:eastAsia="宋体" w:cs="宋体"/>
                <w:color w:val="auto"/>
                <w:spacing w:val="-8"/>
                <w:sz w:val="24"/>
                <w:highlight w:val="none"/>
                <w:lang w:val="en-US" w:eastAsia="zh-CN"/>
              </w:rPr>
              <w:t>1</w:t>
            </w:r>
            <w:r>
              <w:rPr>
                <w:rFonts w:hint="eastAsia" w:ascii="宋体" w:hAnsi="宋体" w:eastAsia="宋体" w:cs="宋体"/>
                <w:color w:val="auto"/>
                <w:spacing w:val="-8"/>
                <w:sz w:val="24"/>
                <w:highlight w:val="none"/>
              </w:rPr>
              <w:t>分，养护不当存在安全隐患的每处扣</w:t>
            </w:r>
            <w:r>
              <w:rPr>
                <w:rFonts w:hint="eastAsia" w:ascii="宋体" w:hAnsi="宋体" w:eastAsia="宋体" w:cs="宋体"/>
                <w:color w:val="auto"/>
                <w:spacing w:val="-8"/>
                <w:sz w:val="24"/>
                <w:highlight w:val="none"/>
                <w:lang w:val="en-US" w:eastAsia="zh-CN"/>
              </w:rPr>
              <w:t>2</w:t>
            </w:r>
            <w:r>
              <w:rPr>
                <w:rFonts w:hint="eastAsia" w:ascii="宋体" w:hAnsi="宋体" w:eastAsia="宋体" w:cs="宋体"/>
                <w:color w:val="auto"/>
                <w:spacing w:val="-8"/>
                <w:sz w:val="24"/>
                <w:highlight w:val="none"/>
              </w:rPr>
              <w:t>分。</w:t>
            </w:r>
          </w:p>
        </w:tc>
        <w:tc>
          <w:tcPr>
            <w:tcW w:w="772" w:type="dxa"/>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48" w:firstLineChars="200"/>
              <w:jc w:val="left"/>
              <w:textAlignment w:val="auto"/>
              <w:outlineLvl w:val="9"/>
              <w:rPr>
                <w:rFonts w:hint="eastAsia" w:ascii="宋体" w:hAnsi="宋体" w:eastAsia="宋体" w:cs="宋体"/>
                <w:color w:val="auto"/>
                <w:spacing w:val="-8"/>
                <w:sz w:val="24"/>
                <w:highlight w:val="none"/>
              </w:rPr>
            </w:pPr>
          </w:p>
        </w:tc>
      </w:tr>
      <w:tr>
        <w:tblPrEx>
          <w:tblCellMar>
            <w:top w:w="0" w:type="dxa"/>
            <w:left w:w="108" w:type="dxa"/>
            <w:bottom w:w="0" w:type="dxa"/>
            <w:right w:w="108" w:type="dxa"/>
          </w:tblCellMar>
        </w:tblPrEx>
        <w:trPr>
          <w:trHeight w:val="460" w:hRule="atLeast"/>
          <w:jc w:val="center"/>
        </w:trPr>
        <w:tc>
          <w:tcPr>
            <w:tcW w:w="1088" w:type="dxa"/>
            <w:vMerge w:val="continue"/>
            <w:tcBorders>
              <w:top w:val="nil"/>
              <w:left w:val="single" w:color="auto" w:sz="4" w:space="0"/>
              <w:bottom w:val="single" w:color="auto" w:sz="4" w:space="0"/>
              <w:right w:val="single" w:color="auto" w:sz="4" w:space="0"/>
            </w:tcBorders>
            <w:noWrap w:val="0"/>
            <w:vAlign w:val="center"/>
          </w:tcPr>
          <w:p>
            <w:pPr>
              <w:wordWrap/>
              <w:adjustRightInd w:val="0"/>
              <w:snapToGrid w:val="0"/>
              <w:spacing w:line="440" w:lineRule="exact"/>
              <w:ind w:firstLine="448" w:firstLineChars="200"/>
              <w:jc w:val="left"/>
              <w:textAlignment w:val="auto"/>
              <w:outlineLvl w:val="9"/>
              <w:rPr>
                <w:rFonts w:hint="eastAsia" w:ascii="宋体" w:hAnsi="宋体" w:eastAsia="宋体" w:cs="宋体"/>
                <w:color w:val="auto"/>
                <w:spacing w:val="-8"/>
                <w:sz w:val="24"/>
                <w:highlight w:val="none"/>
              </w:rPr>
            </w:pPr>
          </w:p>
        </w:tc>
        <w:tc>
          <w:tcPr>
            <w:tcW w:w="1200" w:type="dxa"/>
            <w:vMerge w:val="continue"/>
            <w:tcBorders>
              <w:top w:val="nil"/>
              <w:left w:val="nil"/>
              <w:bottom w:val="single" w:color="auto" w:sz="4" w:space="0"/>
              <w:right w:val="single" w:color="auto" w:sz="4" w:space="0"/>
            </w:tcBorders>
            <w:noWrap w:val="0"/>
            <w:vAlign w:val="center"/>
          </w:tcPr>
          <w:p>
            <w:pPr>
              <w:wordWrap/>
              <w:adjustRightInd w:val="0"/>
              <w:snapToGrid w:val="0"/>
              <w:spacing w:line="440" w:lineRule="exact"/>
              <w:ind w:firstLine="448" w:firstLineChars="200"/>
              <w:jc w:val="left"/>
              <w:textAlignment w:val="auto"/>
              <w:outlineLvl w:val="9"/>
              <w:rPr>
                <w:rFonts w:hint="eastAsia" w:ascii="宋体" w:hAnsi="宋体" w:eastAsia="宋体" w:cs="宋体"/>
                <w:color w:val="auto"/>
                <w:spacing w:val="-8"/>
                <w:sz w:val="24"/>
                <w:highlight w:val="none"/>
              </w:rPr>
            </w:pPr>
          </w:p>
        </w:tc>
        <w:tc>
          <w:tcPr>
            <w:tcW w:w="6000" w:type="dxa"/>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48" w:firstLineChars="200"/>
              <w:jc w:val="left"/>
              <w:textAlignment w:val="auto"/>
              <w:outlineLvl w:val="9"/>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rPr>
              <w:t>不文明施工，无围护扣</w:t>
            </w:r>
            <w:r>
              <w:rPr>
                <w:rFonts w:hint="eastAsia" w:ascii="宋体" w:hAnsi="宋体" w:eastAsia="宋体" w:cs="宋体"/>
                <w:color w:val="auto"/>
                <w:spacing w:val="-8"/>
                <w:sz w:val="24"/>
                <w:highlight w:val="none"/>
                <w:lang w:val="en-US" w:eastAsia="zh-CN"/>
              </w:rPr>
              <w:t>1</w:t>
            </w:r>
            <w:r>
              <w:rPr>
                <w:rFonts w:hint="eastAsia" w:ascii="宋体" w:hAnsi="宋体" w:eastAsia="宋体" w:cs="宋体"/>
                <w:color w:val="auto"/>
                <w:spacing w:val="-8"/>
                <w:sz w:val="24"/>
                <w:highlight w:val="none"/>
              </w:rPr>
              <w:t>分、围护不到位扣</w:t>
            </w:r>
            <w:r>
              <w:rPr>
                <w:rFonts w:hint="eastAsia" w:ascii="宋体" w:hAnsi="宋体" w:eastAsia="宋体" w:cs="宋体"/>
                <w:color w:val="auto"/>
                <w:spacing w:val="-8"/>
                <w:sz w:val="24"/>
                <w:highlight w:val="none"/>
                <w:lang w:val="en-US" w:eastAsia="zh-CN"/>
              </w:rPr>
              <w:t>1</w:t>
            </w:r>
            <w:r>
              <w:rPr>
                <w:rFonts w:hint="eastAsia" w:ascii="宋体" w:hAnsi="宋体" w:eastAsia="宋体" w:cs="宋体"/>
                <w:color w:val="auto"/>
                <w:spacing w:val="-8"/>
                <w:sz w:val="24"/>
                <w:highlight w:val="none"/>
              </w:rPr>
              <w:t>分、着装不规范扣</w:t>
            </w:r>
            <w:r>
              <w:rPr>
                <w:rFonts w:hint="eastAsia" w:ascii="宋体" w:hAnsi="宋体" w:eastAsia="宋体" w:cs="宋体"/>
                <w:color w:val="auto"/>
                <w:spacing w:val="-8"/>
                <w:sz w:val="24"/>
                <w:highlight w:val="none"/>
                <w:lang w:val="en-US" w:eastAsia="zh-CN"/>
              </w:rPr>
              <w:t>1</w:t>
            </w:r>
            <w:r>
              <w:rPr>
                <w:rFonts w:hint="eastAsia" w:ascii="宋体" w:hAnsi="宋体" w:eastAsia="宋体" w:cs="宋体"/>
                <w:color w:val="auto"/>
                <w:spacing w:val="-8"/>
                <w:sz w:val="24"/>
                <w:highlight w:val="none"/>
              </w:rPr>
              <w:t>分。</w:t>
            </w:r>
          </w:p>
        </w:tc>
        <w:tc>
          <w:tcPr>
            <w:tcW w:w="772" w:type="dxa"/>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48" w:firstLineChars="200"/>
              <w:jc w:val="left"/>
              <w:textAlignment w:val="auto"/>
              <w:outlineLvl w:val="9"/>
              <w:rPr>
                <w:rFonts w:hint="eastAsia" w:ascii="宋体" w:hAnsi="宋体" w:eastAsia="宋体" w:cs="宋体"/>
                <w:color w:val="auto"/>
                <w:spacing w:val="-8"/>
                <w:sz w:val="24"/>
                <w:highlight w:val="none"/>
              </w:rPr>
            </w:pPr>
          </w:p>
        </w:tc>
      </w:tr>
      <w:tr>
        <w:tblPrEx>
          <w:tblCellMar>
            <w:top w:w="0" w:type="dxa"/>
            <w:left w:w="108" w:type="dxa"/>
            <w:bottom w:w="0" w:type="dxa"/>
            <w:right w:w="108" w:type="dxa"/>
          </w:tblCellMar>
        </w:tblPrEx>
        <w:trPr>
          <w:trHeight w:val="610" w:hRule="atLeast"/>
          <w:jc w:val="center"/>
        </w:trPr>
        <w:tc>
          <w:tcPr>
            <w:tcW w:w="1088" w:type="dxa"/>
            <w:vMerge w:val="continue"/>
            <w:tcBorders>
              <w:top w:val="nil"/>
              <w:left w:val="single" w:color="auto" w:sz="4" w:space="0"/>
              <w:bottom w:val="single" w:color="auto" w:sz="4" w:space="0"/>
              <w:right w:val="single" w:color="auto" w:sz="4" w:space="0"/>
            </w:tcBorders>
            <w:noWrap w:val="0"/>
            <w:vAlign w:val="center"/>
          </w:tcPr>
          <w:p>
            <w:pPr>
              <w:wordWrap/>
              <w:adjustRightInd w:val="0"/>
              <w:snapToGrid w:val="0"/>
              <w:spacing w:line="440" w:lineRule="exact"/>
              <w:ind w:firstLine="448" w:firstLineChars="200"/>
              <w:jc w:val="left"/>
              <w:textAlignment w:val="auto"/>
              <w:outlineLvl w:val="9"/>
              <w:rPr>
                <w:rFonts w:hint="eastAsia" w:ascii="宋体" w:hAnsi="宋体" w:eastAsia="宋体" w:cs="宋体"/>
                <w:color w:val="auto"/>
                <w:spacing w:val="-8"/>
                <w:sz w:val="24"/>
                <w:highlight w:val="none"/>
              </w:rPr>
            </w:pPr>
          </w:p>
        </w:tc>
        <w:tc>
          <w:tcPr>
            <w:tcW w:w="1200" w:type="dxa"/>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48" w:firstLineChars="200"/>
              <w:jc w:val="left"/>
              <w:textAlignment w:val="auto"/>
              <w:outlineLvl w:val="9"/>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rPr>
              <w:t>监督管理</w:t>
            </w:r>
          </w:p>
        </w:tc>
        <w:tc>
          <w:tcPr>
            <w:tcW w:w="6000" w:type="dxa"/>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48" w:firstLineChars="200"/>
              <w:jc w:val="left"/>
              <w:textAlignment w:val="auto"/>
              <w:outlineLvl w:val="9"/>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rPr>
              <w:t>未经审批私自开挖市政道路或未按市政养护规范要求恢复等每处扣</w:t>
            </w:r>
            <w:r>
              <w:rPr>
                <w:rFonts w:hint="eastAsia" w:ascii="宋体" w:hAnsi="宋体" w:eastAsia="宋体" w:cs="宋体"/>
                <w:color w:val="auto"/>
                <w:spacing w:val="-8"/>
                <w:sz w:val="24"/>
                <w:highlight w:val="none"/>
                <w:lang w:val="en-US" w:eastAsia="zh-CN"/>
              </w:rPr>
              <w:t>1</w:t>
            </w:r>
            <w:r>
              <w:rPr>
                <w:rFonts w:hint="eastAsia" w:ascii="宋体" w:hAnsi="宋体" w:eastAsia="宋体" w:cs="宋体"/>
                <w:color w:val="auto"/>
                <w:spacing w:val="-8"/>
                <w:sz w:val="24"/>
                <w:highlight w:val="none"/>
              </w:rPr>
              <w:t>分。</w:t>
            </w:r>
          </w:p>
        </w:tc>
        <w:tc>
          <w:tcPr>
            <w:tcW w:w="772" w:type="dxa"/>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48" w:firstLineChars="200"/>
              <w:jc w:val="left"/>
              <w:textAlignment w:val="auto"/>
              <w:outlineLvl w:val="9"/>
              <w:rPr>
                <w:rFonts w:hint="eastAsia" w:ascii="宋体" w:hAnsi="宋体" w:eastAsia="宋体" w:cs="宋体"/>
                <w:color w:val="auto"/>
                <w:spacing w:val="-8"/>
                <w:sz w:val="24"/>
                <w:highlight w:val="none"/>
              </w:rPr>
            </w:pPr>
          </w:p>
        </w:tc>
      </w:tr>
      <w:tr>
        <w:tblPrEx>
          <w:tblCellMar>
            <w:top w:w="0" w:type="dxa"/>
            <w:left w:w="108" w:type="dxa"/>
            <w:bottom w:w="0" w:type="dxa"/>
            <w:right w:w="108" w:type="dxa"/>
          </w:tblCellMar>
        </w:tblPrEx>
        <w:trPr>
          <w:cantSplit/>
          <w:trHeight w:val="1795" w:hRule="atLeast"/>
          <w:jc w:val="center"/>
        </w:trPr>
        <w:tc>
          <w:tcPr>
            <w:tcW w:w="1088" w:type="dxa"/>
            <w:tcBorders>
              <w:top w:val="single" w:color="auto" w:sz="4" w:space="0"/>
              <w:left w:val="single" w:color="auto" w:sz="4" w:space="0"/>
              <w:bottom w:val="single" w:color="auto" w:sz="4" w:space="0"/>
              <w:right w:val="single" w:color="auto" w:sz="4" w:space="0"/>
            </w:tcBorders>
            <w:noWrap w:val="0"/>
            <w:vAlign w:val="center"/>
          </w:tcPr>
          <w:p>
            <w:pPr>
              <w:wordWrap/>
              <w:adjustRightInd w:val="0"/>
              <w:snapToGrid w:val="0"/>
              <w:spacing w:line="440" w:lineRule="exact"/>
              <w:ind w:firstLine="448" w:firstLineChars="200"/>
              <w:jc w:val="left"/>
              <w:textAlignment w:val="auto"/>
              <w:outlineLvl w:val="9"/>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rPr>
              <w:t>抄告信访处理及台帐检查</w:t>
            </w:r>
          </w:p>
          <w:p>
            <w:pPr>
              <w:wordWrap/>
              <w:adjustRightInd w:val="0"/>
              <w:snapToGrid w:val="0"/>
              <w:spacing w:line="440" w:lineRule="exact"/>
              <w:ind w:firstLine="448" w:firstLineChars="200"/>
              <w:jc w:val="left"/>
              <w:textAlignment w:val="auto"/>
              <w:outlineLvl w:val="9"/>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lang w:val="en-US" w:eastAsia="zh-CN"/>
              </w:rPr>
              <w:t>5</w:t>
            </w:r>
            <w:r>
              <w:rPr>
                <w:rFonts w:hint="eastAsia" w:ascii="宋体" w:hAnsi="宋体" w:eastAsia="宋体" w:cs="宋体"/>
                <w:color w:val="auto"/>
                <w:spacing w:val="-8"/>
                <w:sz w:val="24"/>
                <w:highlight w:val="none"/>
              </w:rPr>
              <w:t>分</w:t>
            </w:r>
          </w:p>
        </w:tc>
        <w:tc>
          <w:tcPr>
            <w:tcW w:w="7200" w:type="dxa"/>
            <w:gridSpan w:val="2"/>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48" w:firstLineChars="200"/>
              <w:jc w:val="left"/>
              <w:textAlignment w:val="auto"/>
              <w:outlineLvl w:val="9"/>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rPr>
              <w:t>1.市查、区查的涉及属地管辖内（包括区直部门管养护面积）所有道路的有责抄告及信访问题每件扣0.5分，二次抄告扣1分 ，三次及以上抄告扣2分；发生区级媒体曝光每件扣2分，被区级领导批示批评的每件扣1分；联系函、抄告单等超时回复或不回复的每次扣1—1.5分。</w:t>
            </w:r>
          </w:p>
          <w:p>
            <w:pPr>
              <w:wordWrap/>
              <w:adjustRightInd w:val="0"/>
              <w:snapToGrid w:val="0"/>
              <w:spacing w:line="440" w:lineRule="exact"/>
              <w:ind w:firstLine="448" w:firstLineChars="200"/>
              <w:jc w:val="left"/>
              <w:textAlignment w:val="auto"/>
              <w:outlineLvl w:val="9"/>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rPr>
              <w:t>2.市政养护维修工作未按计划完成的和台账资料抽查，以及其他市政管养台帐资料检查未完成、弄虚作假的扣1—3分。</w:t>
            </w:r>
          </w:p>
        </w:tc>
        <w:tc>
          <w:tcPr>
            <w:tcW w:w="772" w:type="dxa"/>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48" w:firstLineChars="200"/>
              <w:jc w:val="left"/>
              <w:textAlignment w:val="auto"/>
              <w:outlineLvl w:val="9"/>
              <w:rPr>
                <w:rFonts w:hint="eastAsia" w:ascii="宋体" w:hAnsi="宋体" w:eastAsia="宋体" w:cs="宋体"/>
                <w:color w:val="auto"/>
                <w:spacing w:val="-8"/>
                <w:sz w:val="24"/>
                <w:highlight w:val="none"/>
              </w:rPr>
            </w:pPr>
          </w:p>
        </w:tc>
      </w:tr>
    </w:tbl>
    <w:p>
      <w:pPr>
        <w:jc w:val="center"/>
        <w:rPr>
          <w:rFonts w:hint="eastAsia" w:ascii="宋体" w:hAnsi="宋体" w:eastAsia="宋体" w:cs="宋体"/>
          <w:b/>
          <w:bCs/>
          <w:color w:val="auto"/>
          <w:sz w:val="24"/>
          <w:highlight w:val="none"/>
          <w:lang w:val="en-US" w:eastAsia="zh-CN"/>
        </w:rPr>
      </w:pP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六</w:t>
      </w:r>
      <w:r>
        <w:rPr>
          <w:rFonts w:hint="eastAsia" w:ascii="宋体" w:hAnsi="宋体" w:eastAsia="宋体" w:cs="宋体"/>
          <w:b/>
          <w:bCs/>
          <w:color w:val="auto"/>
          <w:sz w:val="24"/>
          <w:highlight w:val="none"/>
        </w:rPr>
        <w:t>、履约保证金：</w:t>
      </w:r>
    </w:p>
    <w:p>
      <w:pPr>
        <w:widowControl/>
        <w:autoSpaceDE w:val="0"/>
        <w:autoSpaceDN w:val="0"/>
        <w:adjustRightInd w:val="0"/>
        <w:spacing w:line="360" w:lineRule="auto"/>
        <w:ind w:firstLine="480" w:firstLineChars="200"/>
        <w:textAlignment w:val="bottom"/>
        <w:rPr>
          <w:rFonts w:hint="eastAsia" w:ascii="宋体" w:hAnsi="宋体" w:eastAsia="宋体" w:cs="宋体"/>
          <w:b/>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b/>
          <w:color w:val="auto"/>
          <w:sz w:val="24"/>
          <w:highlight w:val="none"/>
        </w:rPr>
        <w:t>中标单位在签订合同</w:t>
      </w:r>
      <w:r>
        <w:rPr>
          <w:rFonts w:hint="eastAsia" w:ascii="宋体" w:hAnsi="宋体" w:eastAsia="宋体" w:cs="宋体"/>
          <w:b/>
          <w:color w:val="auto"/>
          <w:sz w:val="24"/>
          <w:highlight w:val="none"/>
          <w:lang w:val="en-US" w:eastAsia="zh-CN"/>
        </w:rPr>
        <w:t>前</w:t>
      </w:r>
      <w:r>
        <w:rPr>
          <w:rFonts w:hint="eastAsia" w:ascii="宋体" w:hAnsi="宋体" w:eastAsia="宋体" w:cs="宋体"/>
          <w:b/>
          <w:color w:val="auto"/>
          <w:sz w:val="24"/>
          <w:highlight w:val="none"/>
        </w:rPr>
        <w:t>向招标人交纳中标价的</w:t>
      </w:r>
      <w:r>
        <w:rPr>
          <w:rFonts w:hint="eastAsia" w:ascii="宋体" w:hAnsi="宋体" w:eastAsia="宋体" w:cs="宋体"/>
          <w:b/>
          <w:color w:val="auto"/>
          <w:sz w:val="24"/>
          <w:highlight w:val="none"/>
          <w:lang w:val="en-US" w:eastAsia="zh-CN"/>
        </w:rPr>
        <w:t>2.5</w:t>
      </w:r>
      <w:r>
        <w:rPr>
          <w:rFonts w:hint="eastAsia" w:ascii="宋体" w:hAnsi="宋体" w:eastAsia="宋体" w:cs="宋体"/>
          <w:b/>
          <w:color w:val="auto"/>
          <w:sz w:val="24"/>
          <w:highlight w:val="none"/>
        </w:rPr>
        <w:t>%作为履约保证金。</w:t>
      </w:r>
    </w:p>
    <w:p>
      <w:pPr>
        <w:widowControl/>
        <w:numPr>
          <w:ilvl w:val="0"/>
          <w:numId w:val="0"/>
        </w:numPr>
        <w:spacing w:line="360" w:lineRule="auto"/>
        <w:jc w:val="left"/>
        <w:rPr>
          <w:rFonts w:hint="eastAsia" w:ascii="宋体" w:hAnsi="宋体" w:eastAsia="宋体" w:cs="宋体"/>
          <w:color w:val="auto"/>
          <w:highlight w:val="none"/>
        </w:rPr>
      </w:pPr>
      <w:r>
        <w:rPr>
          <w:rFonts w:hint="eastAsia" w:ascii="宋体" w:hAnsi="宋体" w:eastAsia="宋体" w:cs="宋体"/>
          <w:b/>
          <w:bCs/>
          <w:color w:val="auto"/>
          <w:sz w:val="24"/>
          <w:highlight w:val="none"/>
          <w:lang w:val="en-US" w:eastAsia="zh-CN"/>
        </w:rPr>
        <w:t>七</w:t>
      </w:r>
      <w:r>
        <w:rPr>
          <w:rFonts w:hint="eastAsia" w:ascii="宋体" w:hAnsi="宋体" w:eastAsia="宋体" w:cs="宋体"/>
          <w:b/>
          <w:bCs/>
          <w:color w:val="auto"/>
          <w:sz w:val="24"/>
          <w:highlight w:val="none"/>
        </w:rPr>
        <w:t>、其他要求及说明</w:t>
      </w:r>
    </w:p>
    <w:p>
      <w:pPr>
        <w:widowControl/>
        <w:autoSpaceDE w:val="0"/>
        <w:autoSpaceDN w:val="0"/>
        <w:adjustRightInd w:val="0"/>
        <w:spacing w:line="360" w:lineRule="auto"/>
        <w:ind w:firstLine="361" w:firstLineChars="150"/>
        <w:textAlignment w:val="bottom"/>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绿化养护、道路保洁、时花养护、公厕保洁、道路养护</w:t>
      </w:r>
      <w:r>
        <w:rPr>
          <w:rFonts w:hint="eastAsia" w:ascii="宋体" w:hAnsi="宋体" w:eastAsia="宋体" w:cs="宋体"/>
          <w:b/>
          <w:bCs/>
          <w:color w:val="auto"/>
          <w:sz w:val="24"/>
          <w:highlight w:val="none"/>
        </w:rPr>
        <w:t>投标报价</w:t>
      </w:r>
      <w:r>
        <w:rPr>
          <w:rFonts w:hint="eastAsia" w:ascii="宋体" w:hAnsi="宋体" w:eastAsia="宋体" w:cs="宋体"/>
          <w:b/>
          <w:bCs/>
          <w:color w:val="auto"/>
          <w:sz w:val="24"/>
          <w:highlight w:val="none"/>
          <w:lang w:eastAsia="zh-CN"/>
        </w:rPr>
        <w:t>说明</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1.1、绿化养护报价要求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1.1.1</w:t>
      </w:r>
      <w:r>
        <w:rPr>
          <w:rFonts w:hint="eastAsia" w:ascii="宋体" w:hAnsi="宋体" w:eastAsia="宋体" w:cs="宋体"/>
          <w:color w:val="auto"/>
          <w:sz w:val="24"/>
          <w:highlight w:val="none"/>
        </w:rPr>
        <w:t>根据招标要求，招标绿</w:t>
      </w:r>
      <w:r>
        <w:rPr>
          <w:rFonts w:hint="eastAsia" w:ascii="宋体" w:hAnsi="宋体" w:eastAsia="宋体" w:cs="宋体"/>
          <w:color w:val="auto"/>
          <w:sz w:val="24"/>
          <w:highlight w:val="none"/>
          <w:lang w:val="en-US" w:eastAsia="zh-CN"/>
        </w:rPr>
        <w:t>化</w:t>
      </w:r>
      <w:r>
        <w:rPr>
          <w:rFonts w:hint="eastAsia" w:ascii="宋体" w:hAnsi="宋体" w:eastAsia="宋体" w:cs="宋体"/>
          <w:color w:val="auto"/>
          <w:sz w:val="24"/>
          <w:highlight w:val="none"/>
        </w:rPr>
        <w:t>养护款的70%属于日常养护费、30%作为招标绿地的苗木调整、土壤改良等绿地提升改造费用。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1.1.2</w:t>
      </w:r>
      <w:r>
        <w:rPr>
          <w:rFonts w:hint="eastAsia" w:ascii="宋体" w:hAnsi="宋体" w:eastAsia="宋体" w:cs="宋体"/>
          <w:color w:val="auto"/>
          <w:sz w:val="24"/>
          <w:highlight w:val="none"/>
        </w:rPr>
        <w:t>日常绿化养护费包括：绿化养护人工工资、绿化施肥费、绿化浇水费、绿化防病防虫用药费、绿化零星补植费、防台抗雪等应急物资储备费、其他费用；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1.1.3</w:t>
      </w:r>
      <w:r>
        <w:rPr>
          <w:rFonts w:hint="eastAsia" w:ascii="宋体" w:hAnsi="宋体" w:eastAsia="宋体" w:cs="宋体"/>
          <w:color w:val="auto"/>
          <w:sz w:val="24"/>
          <w:highlight w:val="none"/>
        </w:rPr>
        <w:t>绿化养护人员不少于2人/万平方米，养护人员工资不得低于杭州市最低工资标准（根据《</w:t>
      </w:r>
      <w:r>
        <w:rPr>
          <w:rFonts w:hint="eastAsia" w:ascii="宋体" w:hAnsi="宋体" w:eastAsia="宋体" w:cs="宋体"/>
          <w:color w:val="auto"/>
          <w:sz w:val="24"/>
          <w:highlight w:val="none"/>
          <w:lang w:val="en-US" w:eastAsia="zh-CN"/>
        </w:rPr>
        <w:t>浙江省</w:t>
      </w:r>
      <w:r>
        <w:rPr>
          <w:rFonts w:hint="eastAsia" w:ascii="宋体" w:hAnsi="宋体" w:eastAsia="宋体" w:cs="宋体"/>
          <w:color w:val="auto"/>
          <w:sz w:val="24"/>
          <w:highlight w:val="none"/>
        </w:rPr>
        <w:t>人民政府关于调整</w:t>
      </w:r>
      <w:r>
        <w:rPr>
          <w:rFonts w:hint="eastAsia" w:ascii="宋体" w:hAnsi="宋体" w:eastAsia="宋体" w:cs="宋体"/>
          <w:color w:val="auto"/>
          <w:sz w:val="24"/>
          <w:highlight w:val="none"/>
          <w:lang w:val="en-US" w:eastAsia="zh-CN"/>
        </w:rPr>
        <w:t>全省</w:t>
      </w:r>
      <w:r>
        <w:rPr>
          <w:rFonts w:hint="eastAsia" w:ascii="宋体" w:hAnsi="宋体" w:eastAsia="宋体" w:cs="宋体"/>
          <w:color w:val="auto"/>
          <w:sz w:val="24"/>
          <w:highlight w:val="none"/>
        </w:rPr>
        <w:t>最低工资标准的通知》（</w:t>
      </w:r>
      <w:r>
        <w:rPr>
          <w:rFonts w:hint="eastAsia" w:ascii="宋体" w:hAnsi="宋体" w:eastAsia="宋体" w:cs="宋体"/>
          <w:color w:val="auto"/>
          <w:sz w:val="24"/>
          <w:highlight w:val="none"/>
          <w:lang w:val="en-US" w:eastAsia="zh-CN"/>
        </w:rPr>
        <w:t>浙政发</w:t>
      </w:r>
      <w:r>
        <w:rPr>
          <w:rFonts w:hint="eastAsia" w:ascii="宋体" w:hAnsi="宋体" w:eastAsia="宋体" w:cs="宋体"/>
          <w:color w:val="auto"/>
          <w:sz w:val="24"/>
          <w:highlight w:val="none"/>
        </w:rPr>
        <w:t>〔20</w:t>
      </w:r>
      <w:r>
        <w:rPr>
          <w:rFonts w:hint="eastAsia" w:ascii="宋体" w:hAnsi="宋体" w:eastAsia="宋体" w:cs="宋体"/>
          <w:color w:val="auto"/>
          <w:sz w:val="24"/>
          <w:highlight w:val="none"/>
          <w:lang w:val="en-US" w:eastAsia="zh-CN"/>
        </w:rPr>
        <w:t>21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号）精神执行，合同期内如遇工作人员的最低工资调整等其他因素，产生的费用由投标单位承担）。人工工资主要包括基本工资、社会保障五险、高温补助、意外伤害险等，人员配备必须附本企业最近一季度交纳的养老保险为依据。养护人员主要做好绿地养护中各类养护工作，其中包括服从采购人派遣任务、绿化施肥、浇水、植物修剪、绿地保洁、除草、设施维修、补种、喷洒农药、应急响应等养护工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1.1.4</w:t>
      </w:r>
      <w:r>
        <w:rPr>
          <w:rFonts w:hint="eastAsia" w:ascii="宋体" w:hAnsi="宋体" w:eastAsia="宋体" w:cs="宋体"/>
          <w:color w:val="auto"/>
          <w:sz w:val="24"/>
          <w:highlight w:val="none"/>
        </w:rPr>
        <w:t>绿化施肥费：每年施肥不少于2次，平日应及时追肥，确保绿化生长所必需的养分，用有机肥或复合肥0.5kg／㎡，该项费用最少不低于日常绿化养护费的</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1.1.5</w:t>
      </w:r>
      <w:r>
        <w:rPr>
          <w:rFonts w:hint="eastAsia" w:ascii="宋体" w:hAnsi="宋体" w:eastAsia="宋体" w:cs="宋体"/>
          <w:color w:val="auto"/>
          <w:sz w:val="24"/>
          <w:highlight w:val="none"/>
        </w:rPr>
        <w:t>绿化浇水费：养护企业需及时发现、及时补充绿化所需水份。天气炎热时，养护企业应抗旱保绿工作，及时给喜阴植物搭建遮阴网，确保绿化不因缺水死亡，并及时交纳绿化水费，该项费用最少不低于日常绿化养护费的</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1.1.6</w:t>
      </w:r>
      <w:r>
        <w:rPr>
          <w:rFonts w:hint="eastAsia" w:ascii="宋体" w:hAnsi="宋体" w:eastAsia="宋体" w:cs="宋体"/>
          <w:color w:val="auto"/>
          <w:sz w:val="24"/>
          <w:highlight w:val="none"/>
        </w:rPr>
        <w:t>绿化防病防虫用药费：要求综合防治，以防为主。病虫害危害应控制在以不影响观赏效果的范围之内，其中食叶性害虫危害的叶片，每株不超过</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%；刺吸性害虫危害的叶片，每株不超过10%；无蛀干性害虫的活虫、活卵，该项费用最少不低于日常绿化养护费的</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1.1.7</w:t>
      </w:r>
      <w:r>
        <w:rPr>
          <w:rFonts w:hint="eastAsia" w:ascii="宋体" w:hAnsi="宋体" w:eastAsia="宋体" w:cs="宋体"/>
          <w:color w:val="auto"/>
          <w:sz w:val="24"/>
          <w:highlight w:val="none"/>
        </w:rPr>
        <w:t>绿化零星补植费：因企业养护不力引起乔木死枯株，或灌木（草坪）枯死株面积在10㎡/处以下，养护企业应无条件进行补植相同品种的苗木，该项费用最少不低于日常绿化养护费的</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1.1.8</w:t>
      </w:r>
      <w:r>
        <w:rPr>
          <w:rFonts w:hint="eastAsia" w:ascii="宋体" w:hAnsi="宋体" w:eastAsia="宋体" w:cs="宋体"/>
          <w:color w:val="auto"/>
          <w:sz w:val="24"/>
          <w:highlight w:val="none"/>
        </w:rPr>
        <w:t>防台抗雪应急物资储备费：绿化养护企业重点做好绿化养护中抗旱遮阴网、防台抗台毛竹和快速支撑钢管、抗雪竹竿等物资储备和响应工作，其中快速支撑钢管只能做为一部分应急物资储备，不是唯一的抗台应急物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1.1.9</w:t>
      </w:r>
      <w:r>
        <w:rPr>
          <w:rFonts w:hint="eastAsia" w:ascii="宋体" w:hAnsi="宋体" w:eastAsia="宋体" w:cs="宋体"/>
          <w:color w:val="auto"/>
          <w:sz w:val="24"/>
          <w:highlight w:val="none"/>
        </w:rPr>
        <w:t>其他费用：主要是项目实施过程中须由投标单位支付的其他所有费用，如养护期限内采购人直接委托中标单位养护管理的本项目3%以下工程量的公共绿地（含新接收公共绿地）费用、管理费用及税金、合同实施过程中不可预见的费用等。</w:t>
      </w:r>
    </w:p>
    <w:p>
      <w:pPr>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1.2、绿化更新改造费：</w:t>
      </w:r>
    </w:p>
    <w:p>
      <w:pPr>
        <w:autoSpaceDE w:val="0"/>
        <w:autoSpaceDN w:val="0"/>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①每一期改造竣工验收后，由</w:t>
      </w:r>
      <w:r>
        <w:rPr>
          <w:rFonts w:hint="eastAsia" w:ascii="宋体" w:hAnsi="宋体" w:eastAsia="宋体" w:cs="宋体"/>
          <w:color w:val="auto"/>
          <w:spacing w:val="4"/>
          <w:kern w:val="0"/>
          <w:sz w:val="24"/>
          <w:szCs w:val="24"/>
          <w:highlight w:val="none"/>
          <w:lang w:val="en-US" w:eastAsia="zh-CN"/>
        </w:rPr>
        <w:t>甲方</w:t>
      </w:r>
      <w:r>
        <w:rPr>
          <w:rFonts w:hint="eastAsia" w:ascii="宋体" w:hAnsi="宋体" w:eastAsia="宋体" w:cs="宋体"/>
          <w:color w:val="auto"/>
          <w:spacing w:val="4"/>
          <w:kern w:val="0"/>
          <w:sz w:val="24"/>
          <w:szCs w:val="24"/>
          <w:highlight w:val="none"/>
        </w:rPr>
        <w:t>送审计部门进行审计，并按最终审计价支付。若更新改造费尾款低于2万以内，</w:t>
      </w:r>
      <w:r>
        <w:rPr>
          <w:rFonts w:hint="eastAsia" w:ascii="宋体" w:hAnsi="宋体" w:eastAsia="宋体" w:cs="宋体"/>
          <w:color w:val="auto"/>
          <w:spacing w:val="4"/>
          <w:kern w:val="0"/>
          <w:sz w:val="24"/>
          <w:szCs w:val="24"/>
          <w:highlight w:val="none"/>
          <w:lang w:val="en-US" w:eastAsia="zh-CN"/>
        </w:rPr>
        <w:t>甲方</w:t>
      </w:r>
      <w:r>
        <w:rPr>
          <w:rFonts w:hint="eastAsia" w:ascii="宋体" w:hAnsi="宋体" w:eastAsia="宋体" w:cs="宋体"/>
          <w:color w:val="auto"/>
          <w:spacing w:val="4"/>
          <w:kern w:val="0"/>
          <w:sz w:val="24"/>
          <w:szCs w:val="24"/>
          <w:highlight w:val="none"/>
        </w:rPr>
        <w:t>可以通过双方签订零星改造协议、并经</w:t>
      </w:r>
      <w:r>
        <w:rPr>
          <w:rFonts w:hint="eastAsia" w:ascii="宋体" w:hAnsi="宋体" w:eastAsia="宋体" w:cs="宋体"/>
          <w:color w:val="auto"/>
          <w:spacing w:val="4"/>
          <w:kern w:val="0"/>
          <w:sz w:val="24"/>
          <w:szCs w:val="24"/>
          <w:highlight w:val="none"/>
          <w:lang w:val="en-US" w:eastAsia="zh-CN"/>
        </w:rPr>
        <w:t>甲方</w:t>
      </w:r>
      <w:r>
        <w:rPr>
          <w:rFonts w:hint="eastAsia" w:ascii="宋体" w:hAnsi="宋体" w:eastAsia="宋体" w:cs="宋体"/>
          <w:color w:val="auto"/>
          <w:spacing w:val="4"/>
          <w:kern w:val="0"/>
          <w:sz w:val="24"/>
          <w:szCs w:val="24"/>
          <w:highlight w:val="none"/>
        </w:rPr>
        <w:t>验收合格后，按照决算价下浮20%后进行支付。</w:t>
      </w:r>
    </w:p>
    <w:p>
      <w:pPr>
        <w:autoSpaceDE w:val="0"/>
        <w:autoSpaceDN w:val="0"/>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②若改造工程中涉及到基本审计费，经</w:t>
      </w:r>
      <w:r>
        <w:rPr>
          <w:rFonts w:hint="eastAsia" w:ascii="宋体" w:hAnsi="宋体" w:eastAsia="宋体" w:cs="宋体"/>
          <w:color w:val="auto"/>
          <w:spacing w:val="4"/>
          <w:kern w:val="0"/>
          <w:sz w:val="24"/>
          <w:szCs w:val="24"/>
          <w:highlight w:val="none"/>
          <w:lang w:val="en-US" w:eastAsia="zh-CN"/>
        </w:rPr>
        <w:t>甲方</w:t>
      </w:r>
      <w:r>
        <w:rPr>
          <w:rFonts w:hint="eastAsia" w:ascii="宋体" w:hAnsi="宋体" w:eastAsia="宋体" w:cs="宋体"/>
          <w:color w:val="auto"/>
          <w:spacing w:val="4"/>
          <w:kern w:val="0"/>
          <w:sz w:val="24"/>
          <w:szCs w:val="24"/>
          <w:highlight w:val="none"/>
        </w:rPr>
        <w:t>审核同意后支付。</w:t>
      </w:r>
    </w:p>
    <w:p>
      <w:pPr>
        <w:autoSpaceDE w:val="0"/>
        <w:autoSpaceDN w:val="0"/>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③超出综合养护中的更新改造费以及超出部分审计产生的审计费，由</w:t>
      </w:r>
      <w:r>
        <w:rPr>
          <w:rFonts w:hint="eastAsia" w:ascii="宋体" w:hAnsi="宋体" w:eastAsia="宋体" w:cs="宋体"/>
          <w:color w:val="auto"/>
          <w:spacing w:val="4"/>
          <w:kern w:val="0"/>
          <w:sz w:val="24"/>
          <w:szCs w:val="24"/>
          <w:highlight w:val="none"/>
          <w:lang w:val="en-US" w:eastAsia="zh-CN"/>
        </w:rPr>
        <w:t>乙方</w:t>
      </w:r>
      <w:r>
        <w:rPr>
          <w:rFonts w:hint="eastAsia" w:ascii="宋体" w:hAnsi="宋体" w:eastAsia="宋体" w:cs="宋体"/>
          <w:color w:val="auto"/>
          <w:spacing w:val="4"/>
          <w:kern w:val="0"/>
          <w:sz w:val="24"/>
          <w:szCs w:val="24"/>
          <w:highlight w:val="none"/>
        </w:rPr>
        <w:t>承担。</w:t>
      </w:r>
    </w:p>
    <w:p>
      <w:pPr>
        <w:snapToGrid w:val="0"/>
        <w:spacing w:before="0" w:beforeAutospacing="0" w:after="0" w:afterAutospacing="0" w:line="400" w:lineRule="atLeast"/>
        <w:ind w:firstLine="486" w:firstLineChars="196"/>
        <w:jc w:val="both"/>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pacing w:val="4"/>
          <w:kern w:val="0"/>
          <w:sz w:val="24"/>
          <w:szCs w:val="24"/>
          <w:highlight w:val="none"/>
        </w:rPr>
        <w:t>④根据招标范围，养护期内如有绿地改造，苗木迁移、补种等零星绿化项目，甲方委托乙方实施，费用结算套用《浙江省园林绿化及仿古建筑工程预算定额》(2018版)，材料价格参照施工期当月《杭州市造价信息》(正刊)和《浙江省造价信息》(正刊)，无价材料按市场价;人工单价按照施工期的当季信息价计取。管理费、利润、组织措施费按定额中值计取;规费、农民工工伤保险、税金按定额计取;结算优惠下浮率为20％。提升改造，地被、色块不计养护费，乔木、大灌木、球形灌木按定额计取养护费;绿地提升改造项目在工程竣工验收合格审计审核后一次性付清绿地提升改造增加面积(养护标段面积以外)的养护费按照养护标段的投标单价实际养护时间进行计取。</w:t>
      </w:r>
    </w:p>
    <w:p>
      <w:pPr>
        <w:spacing w:line="360" w:lineRule="auto"/>
        <w:ind w:firstLine="480" w:firstLineChars="200"/>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highlight w:val="none"/>
          <w:lang w:val="en-US" w:eastAsia="zh-CN"/>
        </w:rPr>
        <w:t>1.3、</w:t>
      </w:r>
      <w:r>
        <w:rPr>
          <w:rFonts w:hint="eastAsia" w:ascii="宋体" w:hAnsi="宋体" w:eastAsia="宋体" w:cs="宋体"/>
          <w:color w:val="auto"/>
          <w:sz w:val="24"/>
          <w:highlight w:val="none"/>
        </w:rPr>
        <w:t>时花更换费：</w:t>
      </w:r>
      <w:r>
        <w:rPr>
          <w:rFonts w:hint="eastAsia" w:ascii="宋体" w:hAnsi="宋体" w:eastAsia="宋体" w:cs="宋体"/>
          <w:color w:val="auto"/>
          <w:sz w:val="24"/>
          <w:highlight w:val="none"/>
          <w:lang w:val="en-US" w:eastAsia="zh-CN"/>
        </w:rPr>
        <w:t>时花更换</w:t>
      </w:r>
      <w:r>
        <w:rPr>
          <w:rFonts w:hint="eastAsia" w:ascii="宋体" w:hAnsi="宋体" w:eastAsia="宋体" w:cs="宋体"/>
          <w:color w:val="auto"/>
          <w:sz w:val="24"/>
          <w:highlight w:val="none"/>
        </w:rPr>
        <w:t>主要用于一年不少于六次的时花更换，根据招标方要求，在养护期限内，由中标方提出时花更换方案，经招标方论证同意后方可实施，时花更换按时花投标报价（除时花种植面积增加或减少外，投标单</w:t>
      </w:r>
      <w:r>
        <w:rPr>
          <w:rFonts w:hint="eastAsia" w:ascii="宋体" w:hAnsi="宋体" w:eastAsia="宋体" w:cs="宋体"/>
          <w:color w:val="auto"/>
          <w:sz w:val="24"/>
          <w:highlight w:val="none"/>
          <w:lang w:val="en-US" w:eastAsia="zh-CN"/>
        </w:rPr>
        <w:t>价</w:t>
      </w:r>
      <w:r>
        <w:rPr>
          <w:rFonts w:hint="eastAsia" w:ascii="宋体" w:hAnsi="宋体" w:eastAsia="宋体" w:cs="宋体"/>
          <w:color w:val="auto"/>
          <w:sz w:val="24"/>
          <w:highlight w:val="none"/>
        </w:rPr>
        <w:t>不变，工程量按实计取）。中标单位在合同期限内有意不实施且阻挠工程改造的，情节严重的，招标方有权中止合同。</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1.4、市政养护费：</w:t>
      </w:r>
    </w:p>
    <w:p>
      <w:pPr>
        <w:snapToGrid w:val="0"/>
        <w:spacing w:line="600" w:lineRule="exact"/>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lang w:val="en-US" w:eastAsia="zh-CN"/>
        </w:rPr>
        <w:t>1.4.1</w:t>
      </w:r>
      <w:r>
        <w:rPr>
          <w:rFonts w:hint="eastAsia" w:ascii="宋体" w:hAnsi="宋体" w:eastAsia="宋体" w:cs="宋体"/>
          <w:snapToGrid w:val="0"/>
          <w:color w:val="auto"/>
          <w:kern w:val="0"/>
          <w:sz w:val="24"/>
          <w:highlight w:val="none"/>
          <w:lang w:val="zh-CN"/>
        </w:rPr>
        <w:t>本项目采用费率招标</w:t>
      </w:r>
      <w:r>
        <w:rPr>
          <w:rFonts w:hint="eastAsia" w:ascii="宋体" w:hAnsi="宋体" w:eastAsia="宋体" w:cs="宋体"/>
          <w:snapToGrid w:val="0"/>
          <w:color w:val="auto"/>
          <w:kern w:val="0"/>
          <w:sz w:val="24"/>
          <w:highlight w:val="none"/>
          <w:lang w:val="en-US" w:eastAsia="zh-CN"/>
        </w:rPr>
        <w:t>(小数点后保留两位小数)，</w:t>
      </w:r>
      <w:r>
        <w:rPr>
          <w:rFonts w:hint="eastAsia" w:ascii="宋体" w:hAnsi="宋体" w:eastAsia="宋体" w:cs="宋体"/>
          <w:b/>
          <w:bCs/>
          <w:color w:val="auto"/>
          <w:sz w:val="24"/>
          <w:highlight w:val="none"/>
          <w:lang w:val="zh-CN"/>
        </w:rPr>
        <w:t>最高限价为基价的</w:t>
      </w:r>
      <w:r>
        <w:rPr>
          <w:rFonts w:hint="eastAsia" w:ascii="宋体" w:hAnsi="宋体" w:eastAsia="宋体" w:cs="宋体"/>
          <w:b/>
          <w:bCs/>
          <w:color w:val="auto"/>
          <w:sz w:val="24"/>
          <w:highlight w:val="none"/>
          <w:lang w:val="en-US" w:eastAsia="zh-CN"/>
        </w:rPr>
        <w:t>10</w:t>
      </w:r>
      <w:r>
        <w:rPr>
          <w:rFonts w:hint="eastAsia" w:ascii="宋体" w:hAnsi="宋体" w:eastAsia="宋体" w:cs="宋体"/>
          <w:b/>
          <w:bCs/>
          <w:color w:val="auto"/>
          <w:sz w:val="24"/>
          <w:highlight w:val="none"/>
          <w:lang w:val="zh-CN"/>
        </w:rPr>
        <w:t>0%</w:t>
      </w:r>
      <w:r>
        <w:rPr>
          <w:rFonts w:hint="eastAsia" w:ascii="宋体" w:hAnsi="宋体" w:cs="宋体"/>
          <w:b/>
          <w:bCs/>
          <w:color w:val="auto"/>
          <w:sz w:val="24"/>
          <w:highlight w:val="none"/>
          <w:lang w:val="zh-CN"/>
        </w:rPr>
        <w:t>；</w:t>
      </w:r>
      <w:r>
        <w:rPr>
          <w:rFonts w:hint="eastAsia" w:ascii="宋体" w:hAnsi="宋体" w:eastAsia="宋体" w:cs="宋体"/>
          <w:snapToGrid w:val="0"/>
          <w:color w:val="auto"/>
          <w:kern w:val="0"/>
          <w:sz w:val="24"/>
          <w:highlight w:val="none"/>
        </w:rPr>
        <w:t>结算方式：工程量按实计算，本工程基价套用《浙江省市政设施养护维修定额》（2018版）相应定额子目、如《浙江省市政设施养护维修定额》（2018版）无相应定额子目的可套用《浙江省市政工程预算定额（2018版）》相应定额子目，相应取费按《浙江省建设工程计价规则》2018版，</w:t>
      </w:r>
      <w:r>
        <w:rPr>
          <w:rFonts w:hint="eastAsia" w:ascii="宋体" w:hAnsi="宋体" w:eastAsia="宋体" w:cs="宋体"/>
          <w:snapToGrid w:val="0"/>
          <w:color w:val="auto"/>
          <w:kern w:val="0"/>
          <w:sz w:val="24"/>
          <w:highlight w:val="none"/>
          <w:lang w:val="en-US" w:eastAsia="zh-CN"/>
        </w:rPr>
        <w:t>套用</w:t>
      </w:r>
      <w:r>
        <w:rPr>
          <w:rFonts w:hint="eastAsia" w:ascii="宋体" w:hAnsi="宋体" w:eastAsia="宋体" w:cs="宋体"/>
          <w:snapToGrid w:val="0"/>
          <w:color w:val="auto"/>
          <w:kern w:val="0"/>
          <w:sz w:val="24"/>
          <w:highlight w:val="none"/>
        </w:rPr>
        <w:t>定额</w:t>
      </w:r>
      <w:r>
        <w:rPr>
          <w:rFonts w:hint="eastAsia" w:ascii="宋体" w:hAnsi="宋体" w:eastAsia="宋体" w:cs="宋体"/>
          <w:snapToGrid w:val="0"/>
          <w:color w:val="auto"/>
          <w:kern w:val="0"/>
          <w:sz w:val="24"/>
          <w:highlight w:val="none"/>
          <w:lang w:val="en-US" w:eastAsia="zh-CN"/>
        </w:rPr>
        <w:t>子目的</w:t>
      </w:r>
      <w:r>
        <w:rPr>
          <w:rFonts w:hint="eastAsia" w:ascii="宋体" w:hAnsi="宋体" w:eastAsia="宋体" w:cs="宋体"/>
          <w:snapToGrid w:val="0"/>
          <w:color w:val="auto"/>
          <w:kern w:val="0"/>
          <w:sz w:val="24"/>
          <w:highlight w:val="none"/>
        </w:rPr>
        <w:t>结算价=基价*投标报价（%）*实际工程量。2、无定额价的：结算按浙江省造价信息当年当月信息价下浮15%结算。3、没有造价信息的，按市场价下浮20%结算。</w:t>
      </w:r>
    </w:p>
    <w:p>
      <w:pPr>
        <w:pStyle w:val="82"/>
        <w:rPr>
          <w:rFonts w:hint="eastAsia" w:ascii="宋体" w:hAnsi="宋体" w:eastAsia="宋体" w:cs="宋体"/>
          <w:highlight w:val="none"/>
          <w:lang w:val="en-US" w:eastAsia="zh-CN"/>
        </w:rPr>
      </w:pPr>
      <w:r>
        <w:rPr>
          <w:rFonts w:hint="eastAsia" w:ascii="宋体" w:hAnsi="宋体" w:eastAsia="宋体" w:cs="宋体"/>
          <w:snapToGrid w:val="0"/>
          <w:color w:val="auto"/>
          <w:kern w:val="0"/>
          <w:sz w:val="24"/>
          <w:szCs w:val="24"/>
          <w:highlight w:val="none"/>
          <w:lang w:val="en-US" w:eastAsia="zh-CN"/>
        </w:rPr>
        <w:t>1.4.2累计合同金额不得超过1102.1920万元。</w:t>
      </w:r>
    </w:p>
    <w:p>
      <w:pPr>
        <w:spacing w:line="360" w:lineRule="auto"/>
        <w:rPr>
          <w:rFonts w:hint="eastAsia" w:ascii="宋体" w:hAnsi="宋体" w:eastAsia="宋体" w:cs="宋体"/>
          <w:color w:val="auto"/>
          <w:sz w:val="24"/>
          <w:highlight w:val="none"/>
        </w:rPr>
      </w:pPr>
    </w:p>
    <w:p>
      <w:pPr>
        <w:widowControl/>
        <w:ind w:firstLine="720" w:firstLineChars="300"/>
        <w:jc w:val="left"/>
        <w:rPr>
          <w:rFonts w:hint="eastAsia" w:ascii="宋体" w:hAnsi="宋体" w:eastAsia="宋体" w:cs="宋体"/>
          <w:bCs/>
          <w:color w:val="auto"/>
          <w:sz w:val="24"/>
          <w:highlight w:val="none"/>
        </w:rPr>
      </w:pPr>
    </w:p>
    <w:p>
      <w:pPr>
        <w:rPr>
          <w:rFonts w:hint="eastAsia" w:ascii="宋体" w:hAnsi="宋体" w:eastAsia="宋体" w:cs="宋体"/>
          <w:snapToGrid w:val="0"/>
          <w:color w:val="auto"/>
          <w:kern w:val="0"/>
          <w:sz w:val="24"/>
          <w:highlight w:val="none"/>
        </w:rPr>
      </w:pPr>
    </w:p>
    <w:p>
      <w:pPr>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6"/>
          <w:szCs w:val="36"/>
          <w:highlight w:val="none"/>
        </w:rPr>
        <w:t xml:space="preserve">第四部分   </w:t>
      </w:r>
      <w:bookmarkStart w:id="26" w:name="_Toc184310278"/>
      <w:bookmarkEnd w:id="26"/>
      <w:bookmarkStart w:id="27" w:name="_Toc184314422"/>
      <w:bookmarkEnd w:id="27"/>
      <w:bookmarkStart w:id="28" w:name="_Toc184313300"/>
      <w:bookmarkEnd w:id="28"/>
      <w:bookmarkStart w:id="29" w:name="_Toc184314461"/>
      <w:bookmarkEnd w:id="29"/>
      <w:bookmarkStart w:id="30" w:name="_Toc184313242"/>
      <w:bookmarkEnd w:id="30"/>
      <w:bookmarkStart w:id="31" w:name="_Toc184308102"/>
      <w:bookmarkEnd w:id="31"/>
      <w:bookmarkStart w:id="32" w:name="_Toc184314460"/>
      <w:bookmarkEnd w:id="32"/>
      <w:bookmarkStart w:id="33" w:name="_Toc184314436"/>
      <w:bookmarkEnd w:id="33"/>
      <w:bookmarkStart w:id="34" w:name="_Toc184314467"/>
      <w:bookmarkEnd w:id="34"/>
      <w:bookmarkStart w:id="35" w:name="_Toc184312134"/>
      <w:bookmarkEnd w:id="35"/>
      <w:bookmarkStart w:id="36" w:name="_Toc184308103"/>
      <w:bookmarkEnd w:id="36"/>
      <w:bookmarkStart w:id="37" w:name="_Toc184313274"/>
      <w:bookmarkEnd w:id="37"/>
      <w:bookmarkStart w:id="38" w:name="_Toc184314466"/>
      <w:bookmarkEnd w:id="38"/>
      <w:bookmarkStart w:id="39" w:name="_Toc184314481"/>
      <w:bookmarkEnd w:id="39"/>
      <w:bookmarkStart w:id="40" w:name="_Toc184312133"/>
      <w:bookmarkEnd w:id="40"/>
      <w:bookmarkStart w:id="41" w:name="_Toc184312067"/>
      <w:bookmarkEnd w:id="41"/>
      <w:bookmarkStart w:id="42" w:name="_Toc184308108"/>
      <w:bookmarkEnd w:id="42"/>
      <w:bookmarkStart w:id="43" w:name="_Toc184312113"/>
      <w:bookmarkEnd w:id="43"/>
      <w:bookmarkStart w:id="44" w:name="_Toc184313298"/>
      <w:bookmarkEnd w:id="44"/>
      <w:bookmarkStart w:id="45" w:name="_Toc184310338"/>
      <w:bookmarkEnd w:id="45"/>
      <w:bookmarkStart w:id="46" w:name="_Toc184314465"/>
      <w:bookmarkEnd w:id="46"/>
      <w:bookmarkStart w:id="47" w:name="_Toc184312138"/>
      <w:bookmarkEnd w:id="47"/>
      <w:bookmarkStart w:id="48" w:name="_Toc184310328"/>
      <w:bookmarkEnd w:id="48"/>
      <w:bookmarkStart w:id="49" w:name="_Toc184308086"/>
      <w:bookmarkEnd w:id="49"/>
      <w:bookmarkStart w:id="50" w:name="_Toc184313255"/>
      <w:bookmarkEnd w:id="50"/>
      <w:bookmarkStart w:id="51" w:name="_Toc184314464"/>
      <w:bookmarkEnd w:id="51"/>
      <w:bookmarkStart w:id="52" w:name="_Toc184310327"/>
      <w:bookmarkEnd w:id="52"/>
      <w:bookmarkStart w:id="53" w:name="_Toc184310324"/>
      <w:bookmarkEnd w:id="53"/>
      <w:bookmarkStart w:id="54" w:name="_Toc184313289"/>
      <w:bookmarkEnd w:id="54"/>
      <w:bookmarkStart w:id="55" w:name="_Toc184313269"/>
      <w:bookmarkEnd w:id="55"/>
      <w:bookmarkStart w:id="56" w:name="_Toc184313250"/>
      <w:bookmarkEnd w:id="56"/>
      <w:bookmarkStart w:id="57" w:name="_Toc184308068"/>
      <w:bookmarkEnd w:id="57"/>
      <w:bookmarkStart w:id="58" w:name="_Toc184313241"/>
      <w:bookmarkEnd w:id="58"/>
      <w:bookmarkStart w:id="59" w:name="_Toc184308094"/>
      <w:bookmarkEnd w:id="59"/>
      <w:bookmarkStart w:id="60" w:name="_Toc184312114"/>
      <w:bookmarkEnd w:id="60"/>
      <w:bookmarkStart w:id="61" w:name="_Toc184310331"/>
      <w:bookmarkEnd w:id="61"/>
      <w:bookmarkStart w:id="62" w:name="_Toc184308095"/>
      <w:bookmarkEnd w:id="62"/>
      <w:bookmarkStart w:id="63" w:name="_Toc184308085"/>
      <w:bookmarkEnd w:id="63"/>
      <w:bookmarkStart w:id="64" w:name="_Toc184310329"/>
      <w:bookmarkEnd w:id="64"/>
      <w:bookmarkStart w:id="65" w:name="_Toc184313256"/>
      <w:bookmarkEnd w:id="65"/>
      <w:bookmarkStart w:id="66" w:name="_Toc184312089"/>
      <w:bookmarkEnd w:id="66"/>
      <w:bookmarkStart w:id="67" w:name="_Toc184308099"/>
      <w:bookmarkEnd w:id="67"/>
      <w:bookmarkStart w:id="68" w:name="_Toc184314463"/>
      <w:bookmarkEnd w:id="68"/>
      <w:bookmarkStart w:id="69" w:name="_Toc184314424"/>
      <w:bookmarkEnd w:id="69"/>
      <w:bookmarkStart w:id="70" w:name="_Toc184310284"/>
      <w:bookmarkEnd w:id="70"/>
      <w:bookmarkStart w:id="71" w:name="_Toc184312090"/>
      <w:bookmarkEnd w:id="71"/>
      <w:bookmarkStart w:id="72" w:name="_Toc184314420"/>
      <w:bookmarkEnd w:id="72"/>
      <w:bookmarkStart w:id="73" w:name="_Toc184313290"/>
      <w:bookmarkEnd w:id="73"/>
      <w:bookmarkStart w:id="74" w:name="_Toc184308087"/>
      <w:bookmarkEnd w:id="74"/>
      <w:bookmarkStart w:id="75" w:name="_Toc184310283"/>
      <w:bookmarkEnd w:id="75"/>
      <w:bookmarkStart w:id="76" w:name="_Toc184310277"/>
      <w:bookmarkEnd w:id="76"/>
      <w:bookmarkStart w:id="77" w:name="_Toc184313310"/>
      <w:bookmarkEnd w:id="77"/>
      <w:bookmarkStart w:id="78" w:name="_Toc184310286"/>
      <w:bookmarkEnd w:id="78"/>
      <w:bookmarkStart w:id="79" w:name="_Toc184313295"/>
      <w:bookmarkEnd w:id="79"/>
      <w:bookmarkStart w:id="80" w:name="_Toc184310313"/>
      <w:bookmarkEnd w:id="80"/>
      <w:bookmarkStart w:id="81" w:name="_Toc184313301"/>
      <w:bookmarkEnd w:id="81"/>
      <w:bookmarkStart w:id="82" w:name="_Toc184313238"/>
      <w:bookmarkEnd w:id="82"/>
      <w:bookmarkStart w:id="83" w:name="_Toc184310295"/>
      <w:bookmarkEnd w:id="83"/>
      <w:bookmarkStart w:id="84" w:name="_Toc184312079"/>
      <w:bookmarkEnd w:id="84"/>
      <w:bookmarkStart w:id="85" w:name="_Toc184312108"/>
      <w:bookmarkEnd w:id="85"/>
      <w:bookmarkStart w:id="86" w:name="_Toc184308090"/>
      <w:bookmarkEnd w:id="86"/>
      <w:bookmarkStart w:id="87" w:name="_Toc184314482"/>
      <w:bookmarkEnd w:id="87"/>
      <w:bookmarkStart w:id="88" w:name="_Toc184313293"/>
      <w:bookmarkEnd w:id="88"/>
      <w:bookmarkStart w:id="89" w:name="_Toc184310340"/>
      <w:bookmarkEnd w:id="89"/>
      <w:bookmarkStart w:id="90" w:name="_Toc184313309"/>
      <w:bookmarkEnd w:id="90"/>
      <w:bookmarkStart w:id="91" w:name="_Toc184308036"/>
      <w:bookmarkEnd w:id="91"/>
      <w:bookmarkStart w:id="92" w:name="_Toc184312099"/>
      <w:bookmarkEnd w:id="92"/>
      <w:bookmarkStart w:id="93" w:name="_Toc184314480"/>
      <w:bookmarkEnd w:id="93"/>
      <w:bookmarkStart w:id="94" w:name="_Toc184312093"/>
      <w:bookmarkEnd w:id="94"/>
      <w:bookmarkStart w:id="95" w:name="_Toc184312105"/>
      <w:bookmarkEnd w:id="95"/>
      <w:bookmarkStart w:id="96" w:name="_Toc184314476"/>
      <w:bookmarkEnd w:id="96"/>
      <w:bookmarkStart w:id="97" w:name="_Toc184314421"/>
      <w:bookmarkEnd w:id="97"/>
      <w:bookmarkStart w:id="98" w:name="_Toc184314462"/>
      <w:bookmarkEnd w:id="98"/>
      <w:bookmarkStart w:id="99" w:name="_Toc184310320"/>
      <w:bookmarkEnd w:id="99"/>
      <w:bookmarkStart w:id="100" w:name="_Toc184308051"/>
      <w:bookmarkEnd w:id="100"/>
      <w:bookmarkStart w:id="101" w:name="_Toc184310312"/>
      <w:bookmarkEnd w:id="101"/>
      <w:bookmarkStart w:id="102" w:name="_Toc184312124"/>
      <w:bookmarkEnd w:id="102"/>
      <w:bookmarkStart w:id="103" w:name="_Toc184308076"/>
      <w:bookmarkEnd w:id="103"/>
      <w:bookmarkStart w:id="104" w:name="_Toc184314469"/>
      <w:bookmarkEnd w:id="104"/>
      <w:bookmarkStart w:id="105" w:name="_Toc184310273"/>
      <w:bookmarkEnd w:id="105"/>
      <w:bookmarkStart w:id="106" w:name="_Toc184313243"/>
      <w:bookmarkEnd w:id="106"/>
      <w:bookmarkStart w:id="107" w:name="_Toc184312121"/>
      <w:bookmarkEnd w:id="107"/>
      <w:bookmarkStart w:id="108" w:name="_Toc184314419"/>
      <w:bookmarkEnd w:id="108"/>
      <w:bookmarkStart w:id="109" w:name="_Toc184312096"/>
      <w:bookmarkEnd w:id="109"/>
      <w:bookmarkStart w:id="110" w:name="_Toc184312129"/>
      <w:bookmarkEnd w:id="110"/>
      <w:bookmarkStart w:id="111" w:name="_Toc184308098"/>
      <w:bookmarkEnd w:id="111"/>
      <w:bookmarkStart w:id="112" w:name="_Toc184313305"/>
      <w:bookmarkEnd w:id="112"/>
      <w:bookmarkStart w:id="113" w:name="_Toc184313302"/>
      <w:bookmarkEnd w:id="113"/>
      <w:bookmarkStart w:id="114" w:name="_Toc184308050"/>
      <w:bookmarkEnd w:id="114"/>
      <w:bookmarkStart w:id="115" w:name="_Toc184312102"/>
      <w:bookmarkEnd w:id="115"/>
      <w:bookmarkStart w:id="116" w:name="_Toc184310326"/>
      <w:bookmarkEnd w:id="116"/>
      <w:bookmarkStart w:id="117" w:name="_Toc184308077"/>
      <w:bookmarkEnd w:id="117"/>
      <w:bookmarkStart w:id="118" w:name="_Toc184312136"/>
      <w:bookmarkEnd w:id="118"/>
      <w:bookmarkStart w:id="119" w:name="_Toc184308107"/>
      <w:bookmarkEnd w:id="119"/>
      <w:bookmarkStart w:id="120" w:name="_Toc184310304"/>
      <w:bookmarkEnd w:id="120"/>
      <w:bookmarkStart w:id="121" w:name="_Toc184314412"/>
      <w:bookmarkEnd w:id="121"/>
      <w:bookmarkStart w:id="122" w:name="_Toc184308089"/>
      <w:bookmarkEnd w:id="122"/>
      <w:bookmarkStart w:id="123" w:name="_Toc184308100"/>
      <w:bookmarkEnd w:id="123"/>
      <w:bookmarkStart w:id="124" w:name="_Toc184308060"/>
      <w:bookmarkEnd w:id="124"/>
      <w:bookmarkStart w:id="125" w:name="_Toc184310332"/>
      <w:bookmarkEnd w:id="125"/>
      <w:bookmarkStart w:id="126" w:name="_Toc184313261"/>
      <w:bookmarkEnd w:id="126"/>
      <w:bookmarkStart w:id="127" w:name="_Toc184313294"/>
      <w:bookmarkEnd w:id="127"/>
      <w:bookmarkStart w:id="128" w:name="_Toc184312080"/>
      <w:bookmarkEnd w:id="128"/>
      <w:bookmarkStart w:id="129" w:name="_Toc184308091"/>
      <w:bookmarkEnd w:id="129"/>
      <w:bookmarkStart w:id="130" w:name="_Toc184313299"/>
      <w:bookmarkEnd w:id="130"/>
      <w:bookmarkStart w:id="131" w:name="_Toc184308106"/>
      <w:bookmarkEnd w:id="131"/>
      <w:bookmarkStart w:id="132" w:name="_Toc184314444"/>
      <w:bookmarkEnd w:id="132"/>
      <w:bookmarkStart w:id="133" w:name="_Toc184312130"/>
      <w:bookmarkEnd w:id="133"/>
      <w:bookmarkStart w:id="134" w:name="_Toc184314479"/>
      <w:bookmarkEnd w:id="134"/>
      <w:bookmarkStart w:id="135" w:name="_Toc184308046"/>
      <w:bookmarkEnd w:id="135"/>
      <w:bookmarkStart w:id="136" w:name="_Toc184314457"/>
      <w:bookmarkEnd w:id="136"/>
      <w:bookmarkStart w:id="137" w:name="_Toc184308073"/>
      <w:bookmarkEnd w:id="137"/>
      <w:bookmarkStart w:id="138" w:name="_Toc184308079"/>
      <w:bookmarkEnd w:id="138"/>
      <w:bookmarkStart w:id="139" w:name="_Toc184312139"/>
      <w:bookmarkEnd w:id="139"/>
      <w:bookmarkStart w:id="140" w:name="_Toc184313252"/>
      <w:bookmarkEnd w:id="140"/>
      <w:bookmarkStart w:id="141" w:name="_Toc184312077"/>
      <w:bookmarkEnd w:id="141"/>
      <w:bookmarkStart w:id="142" w:name="_Toc184313282"/>
      <w:bookmarkEnd w:id="142"/>
      <w:bookmarkStart w:id="143" w:name="_Toc184314423"/>
      <w:bookmarkEnd w:id="143"/>
      <w:bookmarkStart w:id="144" w:name="_Toc184308080"/>
      <w:bookmarkEnd w:id="144"/>
      <w:bookmarkStart w:id="145" w:name="_Toc184314427"/>
      <w:bookmarkEnd w:id="145"/>
      <w:bookmarkStart w:id="146" w:name="_Toc184310321"/>
      <w:bookmarkEnd w:id="146"/>
      <w:bookmarkStart w:id="147" w:name="_Toc184310334"/>
      <w:bookmarkEnd w:id="147"/>
      <w:bookmarkStart w:id="148" w:name="_Toc184314456"/>
      <w:bookmarkEnd w:id="148"/>
      <w:bookmarkStart w:id="149" w:name="_Toc184308092"/>
      <w:bookmarkEnd w:id="149"/>
      <w:bookmarkStart w:id="150" w:name="_Toc184310318"/>
      <w:bookmarkEnd w:id="150"/>
      <w:bookmarkStart w:id="151" w:name="_Toc184314470"/>
      <w:bookmarkEnd w:id="151"/>
      <w:bookmarkStart w:id="152" w:name="_Toc184310309"/>
      <w:bookmarkEnd w:id="152"/>
      <w:bookmarkStart w:id="153" w:name="_Toc184308063"/>
      <w:bookmarkEnd w:id="153"/>
      <w:bookmarkStart w:id="154" w:name="_Toc184313248"/>
      <w:bookmarkEnd w:id="154"/>
      <w:bookmarkStart w:id="155" w:name="_Toc184312092"/>
      <w:bookmarkEnd w:id="155"/>
      <w:bookmarkStart w:id="156" w:name="_Toc184314425"/>
      <w:bookmarkEnd w:id="156"/>
      <w:bookmarkStart w:id="157" w:name="_Toc184308097"/>
      <w:bookmarkEnd w:id="157"/>
      <w:bookmarkStart w:id="158" w:name="_Toc184312118"/>
      <w:bookmarkEnd w:id="158"/>
      <w:bookmarkStart w:id="159" w:name="_Toc184308059"/>
      <w:bookmarkEnd w:id="159"/>
      <w:bookmarkStart w:id="160" w:name="_Toc184308045"/>
      <w:bookmarkEnd w:id="160"/>
      <w:bookmarkStart w:id="161" w:name="_Toc184314471"/>
      <w:bookmarkEnd w:id="161"/>
      <w:bookmarkStart w:id="162" w:name="_Toc184310301"/>
      <w:bookmarkEnd w:id="162"/>
      <w:bookmarkStart w:id="163" w:name="_Toc184310319"/>
      <w:bookmarkEnd w:id="163"/>
      <w:bookmarkStart w:id="164" w:name="_Toc184313296"/>
      <w:bookmarkEnd w:id="164"/>
      <w:bookmarkStart w:id="165" w:name="_Toc184313304"/>
      <w:bookmarkEnd w:id="165"/>
      <w:bookmarkStart w:id="166" w:name="_Toc184312104"/>
      <w:bookmarkEnd w:id="166"/>
      <w:bookmarkStart w:id="167" w:name="_Toc184313276"/>
      <w:bookmarkEnd w:id="167"/>
      <w:bookmarkStart w:id="168" w:name="_Toc184312123"/>
      <w:bookmarkEnd w:id="168"/>
      <w:bookmarkStart w:id="169" w:name="_Toc184314428"/>
      <w:bookmarkEnd w:id="169"/>
      <w:bookmarkStart w:id="170" w:name="_Toc184313262"/>
      <w:bookmarkEnd w:id="170"/>
      <w:bookmarkStart w:id="171" w:name="_Toc184313284"/>
      <w:bookmarkEnd w:id="171"/>
      <w:bookmarkStart w:id="172" w:name="_Toc184312082"/>
      <w:bookmarkEnd w:id="172"/>
      <w:bookmarkStart w:id="173" w:name="_Toc184308043"/>
      <w:bookmarkEnd w:id="173"/>
      <w:bookmarkStart w:id="174" w:name="_Toc184312126"/>
      <w:bookmarkEnd w:id="174"/>
      <w:bookmarkStart w:id="175" w:name="_Toc184314450"/>
      <w:bookmarkEnd w:id="175"/>
      <w:bookmarkStart w:id="176" w:name="_Toc184314435"/>
      <w:bookmarkEnd w:id="176"/>
      <w:bookmarkStart w:id="177" w:name="_Toc184314452"/>
      <w:bookmarkEnd w:id="177"/>
      <w:bookmarkStart w:id="178" w:name="_Toc184312128"/>
      <w:bookmarkEnd w:id="178"/>
      <w:bookmarkStart w:id="179" w:name="_Toc184312120"/>
      <w:bookmarkEnd w:id="179"/>
      <w:bookmarkStart w:id="180" w:name="_Toc184312127"/>
      <w:bookmarkEnd w:id="180"/>
      <w:bookmarkStart w:id="181" w:name="_Toc184312110"/>
      <w:bookmarkEnd w:id="181"/>
      <w:bookmarkStart w:id="182" w:name="_Toc184310290"/>
      <w:bookmarkEnd w:id="182"/>
      <w:bookmarkStart w:id="183" w:name="_Toc184310323"/>
      <w:bookmarkEnd w:id="183"/>
      <w:bookmarkStart w:id="184" w:name="_Toc184308093"/>
      <w:bookmarkEnd w:id="184"/>
      <w:bookmarkStart w:id="185" w:name="_Toc184313278"/>
      <w:bookmarkEnd w:id="185"/>
      <w:bookmarkStart w:id="186" w:name="_Toc184314437"/>
      <w:bookmarkEnd w:id="186"/>
      <w:bookmarkStart w:id="187" w:name="_Toc184310307"/>
      <w:bookmarkEnd w:id="187"/>
      <w:bookmarkStart w:id="188" w:name="_Toc184314477"/>
      <w:bookmarkEnd w:id="188"/>
      <w:bookmarkStart w:id="189" w:name="_Toc184308075"/>
      <w:bookmarkEnd w:id="189"/>
      <w:bookmarkStart w:id="190" w:name="_Toc184312083"/>
      <w:bookmarkEnd w:id="190"/>
      <w:bookmarkStart w:id="191" w:name="_Toc184314451"/>
      <w:bookmarkEnd w:id="191"/>
      <w:bookmarkStart w:id="192" w:name="_Toc184312122"/>
      <w:bookmarkEnd w:id="192"/>
      <w:bookmarkStart w:id="193" w:name="_Toc184312125"/>
      <w:bookmarkEnd w:id="193"/>
      <w:bookmarkStart w:id="194" w:name="_Toc184313297"/>
      <w:bookmarkEnd w:id="194"/>
      <w:bookmarkStart w:id="195" w:name="_Toc184312091"/>
      <w:bookmarkEnd w:id="195"/>
      <w:bookmarkStart w:id="196" w:name="_Toc184314468"/>
      <w:bookmarkEnd w:id="196"/>
      <w:bookmarkStart w:id="197" w:name="_Toc184308078"/>
      <w:bookmarkEnd w:id="197"/>
      <w:bookmarkStart w:id="198" w:name="_Toc184310276"/>
      <w:bookmarkEnd w:id="198"/>
      <w:bookmarkStart w:id="199" w:name="_Toc184308105"/>
      <w:bookmarkEnd w:id="199"/>
      <w:bookmarkStart w:id="200" w:name="_Toc184313288"/>
      <w:bookmarkEnd w:id="200"/>
      <w:bookmarkStart w:id="201" w:name="_Toc184310316"/>
      <w:bookmarkEnd w:id="201"/>
      <w:bookmarkStart w:id="202" w:name="_Toc184310299"/>
      <w:bookmarkEnd w:id="202"/>
      <w:bookmarkStart w:id="203" w:name="_Toc184313265"/>
      <w:bookmarkEnd w:id="203"/>
      <w:bookmarkStart w:id="204" w:name="_Toc184313246"/>
      <w:bookmarkEnd w:id="204"/>
      <w:bookmarkStart w:id="205" w:name="_Toc184310315"/>
      <w:bookmarkEnd w:id="205"/>
      <w:bookmarkStart w:id="206" w:name="_Toc184314443"/>
      <w:bookmarkEnd w:id="206"/>
      <w:bookmarkStart w:id="207" w:name="_Toc184313306"/>
      <w:bookmarkEnd w:id="207"/>
      <w:bookmarkStart w:id="208" w:name="_Toc184308055"/>
      <w:bookmarkEnd w:id="208"/>
      <w:bookmarkStart w:id="209" w:name="_Toc184314414"/>
      <w:bookmarkEnd w:id="209"/>
      <w:bookmarkStart w:id="210" w:name="_Toc184308044"/>
      <w:bookmarkEnd w:id="210"/>
      <w:bookmarkStart w:id="211" w:name="_Toc184310274"/>
      <w:bookmarkEnd w:id="211"/>
      <w:bookmarkStart w:id="212" w:name="_Toc184312109"/>
      <w:bookmarkEnd w:id="212"/>
      <w:bookmarkStart w:id="213" w:name="_Toc184308041"/>
      <w:bookmarkEnd w:id="213"/>
      <w:bookmarkStart w:id="214" w:name="_Toc184314448"/>
      <w:bookmarkEnd w:id="214"/>
      <w:bookmarkStart w:id="215" w:name="_Toc184314415"/>
      <w:bookmarkEnd w:id="215"/>
      <w:bookmarkStart w:id="216" w:name="_Toc184312137"/>
      <w:bookmarkEnd w:id="216"/>
      <w:bookmarkStart w:id="217" w:name="_Toc184310342"/>
      <w:bookmarkEnd w:id="217"/>
      <w:bookmarkStart w:id="218" w:name="_Toc184313244"/>
      <w:bookmarkEnd w:id="218"/>
      <w:bookmarkStart w:id="219" w:name="_Toc184310272"/>
      <w:bookmarkEnd w:id="219"/>
      <w:bookmarkStart w:id="220" w:name="_Toc184314416"/>
      <w:bookmarkEnd w:id="220"/>
      <w:bookmarkStart w:id="221" w:name="_Toc184310344"/>
      <w:bookmarkEnd w:id="221"/>
      <w:bookmarkStart w:id="222" w:name="_Toc184314478"/>
      <w:bookmarkEnd w:id="222"/>
      <w:bookmarkStart w:id="223" w:name="_Toc184308082"/>
      <w:bookmarkEnd w:id="223"/>
      <w:bookmarkStart w:id="224" w:name="_Toc184312107"/>
      <w:bookmarkEnd w:id="224"/>
      <w:bookmarkStart w:id="225" w:name="_Toc184310339"/>
      <w:bookmarkEnd w:id="225"/>
      <w:bookmarkStart w:id="226" w:name="_Toc184310287"/>
      <w:bookmarkEnd w:id="226"/>
      <w:bookmarkStart w:id="227" w:name="_Toc184313286"/>
      <w:bookmarkEnd w:id="227"/>
      <w:bookmarkStart w:id="228" w:name="_Toc184308067"/>
      <w:bookmarkEnd w:id="228"/>
      <w:bookmarkStart w:id="229" w:name="_Toc184312084"/>
      <w:bookmarkEnd w:id="229"/>
      <w:bookmarkStart w:id="230" w:name="_Toc184314475"/>
      <w:bookmarkEnd w:id="230"/>
      <w:bookmarkStart w:id="231" w:name="_Toc184312111"/>
      <w:bookmarkEnd w:id="231"/>
      <w:bookmarkStart w:id="232" w:name="_Toc184308056"/>
      <w:bookmarkEnd w:id="232"/>
      <w:bookmarkStart w:id="233" w:name="_Toc184308042"/>
      <w:bookmarkEnd w:id="233"/>
      <w:bookmarkStart w:id="234" w:name="_Toc184313267"/>
      <w:bookmarkEnd w:id="234"/>
      <w:bookmarkStart w:id="235" w:name="_Toc184312112"/>
      <w:bookmarkEnd w:id="235"/>
      <w:bookmarkStart w:id="236" w:name="_Toc184308049"/>
      <w:bookmarkEnd w:id="236"/>
      <w:bookmarkStart w:id="237" w:name="_Toc184308062"/>
      <w:bookmarkEnd w:id="237"/>
      <w:bookmarkStart w:id="238" w:name="_Toc184313253"/>
      <w:bookmarkEnd w:id="238"/>
      <w:bookmarkStart w:id="239" w:name="_Toc184308039"/>
      <w:bookmarkEnd w:id="239"/>
      <w:bookmarkStart w:id="240" w:name="_Toc184310288"/>
      <w:bookmarkEnd w:id="240"/>
      <w:bookmarkStart w:id="241" w:name="_Toc184314438"/>
      <w:bookmarkEnd w:id="241"/>
      <w:bookmarkStart w:id="242" w:name="_Toc184308054"/>
      <w:bookmarkEnd w:id="242"/>
      <w:bookmarkStart w:id="243" w:name="_Toc184310280"/>
      <w:bookmarkEnd w:id="243"/>
      <w:bookmarkStart w:id="244" w:name="_Toc184308088"/>
      <w:bookmarkEnd w:id="244"/>
      <w:bookmarkStart w:id="245" w:name="_Toc184310310"/>
      <w:bookmarkEnd w:id="245"/>
      <w:bookmarkStart w:id="246" w:name="_Toc184312072"/>
      <w:bookmarkEnd w:id="246"/>
      <w:bookmarkStart w:id="247" w:name="_Toc184312103"/>
      <w:bookmarkEnd w:id="247"/>
      <w:bookmarkStart w:id="248" w:name="_Toc184312132"/>
      <w:bookmarkEnd w:id="248"/>
      <w:bookmarkStart w:id="249" w:name="_Toc184313254"/>
      <w:bookmarkEnd w:id="249"/>
      <w:bookmarkStart w:id="250" w:name="_Toc184310275"/>
      <w:bookmarkEnd w:id="250"/>
      <w:bookmarkStart w:id="251" w:name="_Toc184310293"/>
      <w:bookmarkEnd w:id="251"/>
      <w:bookmarkStart w:id="252" w:name="_Toc184312095"/>
      <w:bookmarkEnd w:id="252"/>
      <w:bookmarkStart w:id="253" w:name="_Toc184310341"/>
      <w:bookmarkEnd w:id="253"/>
      <w:bookmarkStart w:id="254" w:name="_Toc184314434"/>
      <w:bookmarkEnd w:id="254"/>
      <w:bookmarkStart w:id="255" w:name="_Toc184313260"/>
      <w:bookmarkEnd w:id="255"/>
      <w:bookmarkStart w:id="256" w:name="_Toc184308037"/>
      <w:bookmarkEnd w:id="256"/>
      <w:bookmarkStart w:id="257" w:name="_Toc184308096"/>
      <w:bookmarkEnd w:id="257"/>
      <w:bookmarkStart w:id="258" w:name="_Toc184314429"/>
      <w:bookmarkEnd w:id="258"/>
      <w:bookmarkStart w:id="259" w:name="_Toc184312069"/>
      <w:bookmarkEnd w:id="259"/>
      <w:bookmarkStart w:id="260" w:name="_Toc184313273"/>
      <w:bookmarkEnd w:id="260"/>
      <w:bookmarkStart w:id="261" w:name="_Toc184308104"/>
      <w:bookmarkEnd w:id="261"/>
      <w:bookmarkStart w:id="262" w:name="_Toc184308069"/>
      <w:bookmarkEnd w:id="262"/>
      <w:bookmarkStart w:id="263" w:name="_Toc184308064"/>
      <w:bookmarkEnd w:id="263"/>
      <w:bookmarkStart w:id="264" w:name="_Toc184314413"/>
      <w:bookmarkEnd w:id="264"/>
      <w:bookmarkStart w:id="265" w:name="_Toc184314431"/>
      <w:bookmarkEnd w:id="265"/>
      <w:bookmarkStart w:id="266" w:name="_Toc184313275"/>
      <w:bookmarkEnd w:id="266"/>
      <w:bookmarkStart w:id="267" w:name="_Toc184312087"/>
      <w:bookmarkEnd w:id="267"/>
      <w:bookmarkStart w:id="268" w:name="_Toc184312088"/>
      <w:bookmarkEnd w:id="268"/>
      <w:bookmarkStart w:id="269" w:name="_Toc184314472"/>
      <w:bookmarkEnd w:id="269"/>
      <w:bookmarkStart w:id="270" w:name="_Toc184312100"/>
      <w:bookmarkEnd w:id="270"/>
      <w:bookmarkStart w:id="271" w:name="_Toc184313257"/>
      <w:bookmarkEnd w:id="271"/>
      <w:bookmarkStart w:id="272" w:name="_Toc184308081"/>
      <w:bookmarkEnd w:id="272"/>
      <w:bookmarkStart w:id="273" w:name="_Toc184310294"/>
      <w:bookmarkEnd w:id="273"/>
      <w:bookmarkStart w:id="274" w:name="_Toc184312117"/>
      <w:bookmarkEnd w:id="274"/>
      <w:bookmarkStart w:id="275" w:name="_Toc184310335"/>
      <w:bookmarkEnd w:id="275"/>
      <w:bookmarkStart w:id="276" w:name="_Toc184313277"/>
      <w:bookmarkEnd w:id="276"/>
      <w:bookmarkStart w:id="277" w:name="_Toc184308065"/>
      <w:bookmarkEnd w:id="277"/>
      <w:bookmarkStart w:id="278" w:name="_Toc184310291"/>
      <w:bookmarkEnd w:id="278"/>
      <w:bookmarkStart w:id="279" w:name="_Toc184314474"/>
      <w:bookmarkEnd w:id="279"/>
      <w:bookmarkStart w:id="280" w:name="_Toc184313251"/>
      <w:bookmarkEnd w:id="280"/>
      <w:bookmarkStart w:id="281" w:name="_Toc184310292"/>
      <w:bookmarkEnd w:id="281"/>
      <w:bookmarkStart w:id="282" w:name="_Toc184314441"/>
      <w:bookmarkEnd w:id="282"/>
      <w:bookmarkStart w:id="283" w:name="_Toc184310302"/>
      <w:bookmarkEnd w:id="283"/>
      <w:bookmarkStart w:id="284" w:name="_Toc184310314"/>
      <w:bookmarkEnd w:id="284"/>
      <w:bookmarkStart w:id="285" w:name="_Toc184314433"/>
      <w:bookmarkEnd w:id="285"/>
      <w:bookmarkStart w:id="286" w:name="_Toc184312074"/>
      <w:bookmarkEnd w:id="286"/>
      <w:bookmarkStart w:id="287" w:name="_Toc184314446"/>
      <w:bookmarkEnd w:id="287"/>
      <w:bookmarkStart w:id="288" w:name="_Toc184314426"/>
      <w:bookmarkEnd w:id="288"/>
      <w:bookmarkStart w:id="289" w:name="_Toc184313280"/>
      <w:bookmarkEnd w:id="289"/>
      <w:bookmarkStart w:id="290" w:name="_Toc184314455"/>
      <w:bookmarkEnd w:id="290"/>
      <w:bookmarkStart w:id="291" w:name="_Toc184314430"/>
      <w:bookmarkEnd w:id="291"/>
      <w:bookmarkStart w:id="292" w:name="_Toc184312068"/>
      <w:bookmarkEnd w:id="292"/>
      <w:bookmarkStart w:id="293" w:name="_Toc184314418"/>
      <w:bookmarkEnd w:id="293"/>
      <w:bookmarkStart w:id="294" w:name="_Toc184308052"/>
      <w:bookmarkEnd w:id="294"/>
      <w:bookmarkStart w:id="295" w:name="_Toc184313292"/>
      <w:bookmarkEnd w:id="295"/>
      <w:bookmarkStart w:id="296" w:name="_Toc184308047"/>
      <w:bookmarkEnd w:id="296"/>
      <w:bookmarkStart w:id="297" w:name="_Toc184313263"/>
      <w:bookmarkEnd w:id="297"/>
      <w:bookmarkStart w:id="298" w:name="_Toc184313245"/>
      <w:bookmarkEnd w:id="298"/>
      <w:bookmarkStart w:id="299" w:name="_Toc184308040"/>
      <w:bookmarkEnd w:id="299"/>
      <w:bookmarkStart w:id="300" w:name="_Toc184312106"/>
      <w:bookmarkEnd w:id="300"/>
      <w:bookmarkStart w:id="301" w:name="_Toc184313303"/>
      <w:bookmarkEnd w:id="301"/>
      <w:bookmarkStart w:id="302" w:name="_Toc184310289"/>
      <w:bookmarkEnd w:id="302"/>
      <w:bookmarkStart w:id="303" w:name="_Toc184310298"/>
      <w:bookmarkEnd w:id="303"/>
      <w:bookmarkStart w:id="304" w:name="_Toc184314458"/>
      <w:bookmarkEnd w:id="304"/>
      <w:bookmarkStart w:id="305" w:name="_Toc184313281"/>
      <w:bookmarkEnd w:id="305"/>
      <w:bookmarkStart w:id="306" w:name="_Toc184313271"/>
      <w:bookmarkEnd w:id="306"/>
      <w:bookmarkStart w:id="307" w:name="_Toc184308066"/>
      <w:bookmarkEnd w:id="307"/>
      <w:bookmarkStart w:id="308" w:name="_Toc184313287"/>
      <w:bookmarkEnd w:id="308"/>
      <w:bookmarkStart w:id="309" w:name="_Toc184310308"/>
      <w:bookmarkEnd w:id="309"/>
      <w:bookmarkStart w:id="310" w:name="_Toc184312070"/>
      <w:bookmarkEnd w:id="310"/>
      <w:bookmarkStart w:id="311" w:name="_Toc184312116"/>
      <w:bookmarkEnd w:id="311"/>
      <w:bookmarkStart w:id="312" w:name="_Toc184313279"/>
      <w:bookmarkEnd w:id="312"/>
      <w:bookmarkStart w:id="313" w:name="_Toc184308061"/>
      <w:bookmarkEnd w:id="313"/>
      <w:bookmarkStart w:id="314" w:name="_Toc184308074"/>
      <w:bookmarkEnd w:id="314"/>
      <w:bookmarkStart w:id="315" w:name="_Toc184313308"/>
      <w:bookmarkEnd w:id="315"/>
      <w:bookmarkStart w:id="316" w:name="_Toc184314440"/>
      <w:bookmarkEnd w:id="316"/>
      <w:bookmarkStart w:id="317" w:name="_Toc184312094"/>
      <w:bookmarkEnd w:id="317"/>
      <w:bookmarkStart w:id="318" w:name="_Toc184308048"/>
      <w:bookmarkEnd w:id="318"/>
      <w:bookmarkStart w:id="319" w:name="_Toc184308058"/>
      <w:bookmarkEnd w:id="319"/>
      <w:bookmarkStart w:id="320" w:name="_Toc184312097"/>
      <w:bookmarkEnd w:id="320"/>
      <w:bookmarkStart w:id="321" w:name="_Toc184313249"/>
      <w:bookmarkEnd w:id="321"/>
      <w:bookmarkStart w:id="322" w:name="_Toc184310282"/>
      <w:bookmarkEnd w:id="322"/>
      <w:bookmarkStart w:id="323" w:name="_Toc184308038"/>
      <w:bookmarkEnd w:id="323"/>
      <w:bookmarkStart w:id="324" w:name="_Toc184310333"/>
      <w:bookmarkEnd w:id="324"/>
      <w:bookmarkStart w:id="325" w:name="_Toc184312131"/>
      <w:bookmarkEnd w:id="325"/>
      <w:bookmarkStart w:id="326" w:name="_Toc184314410"/>
      <w:bookmarkEnd w:id="326"/>
      <w:bookmarkStart w:id="327" w:name="_Toc184310306"/>
      <w:bookmarkEnd w:id="327"/>
      <w:bookmarkStart w:id="328" w:name="_Toc184314417"/>
      <w:bookmarkEnd w:id="328"/>
      <w:bookmarkStart w:id="329" w:name="_Toc184310297"/>
      <w:bookmarkEnd w:id="329"/>
      <w:bookmarkStart w:id="330" w:name="_Toc184310300"/>
      <w:bookmarkEnd w:id="330"/>
      <w:bookmarkStart w:id="331" w:name="_Toc184310317"/>
      <w:bookmarkEnd w:id="331"/>
      <w:bookmarkStart w:id="332" w:name="_Toc184308101"/>
      <w:bookmarkEnd w:id="332"/>
      <w:bookmarkStart w:id="333" w:name="_Toc184314445"/>
      <w:bookmarkEnd w:id="333"/>
      <w:bookmarkStart w:id="334" w:name="_Toc184313258"/>
      <w:bookmarkEnd w:id="334"/>
      <w:bookmarkStart w:id="335" w:name="_Toc184314459"/>
      <w:bookmarkEnd w:id="335"/>
      <w:bookmarkStart w:id="336" w:name="_Toc184310336"/>
      <w:bookmarkEnd w:id="336"/>
      <w:bookmarkStart w:id="337" w:name="_Toc184312071"/>
      <w:bookmarkEnd w:id="337"/>
      <w:bookmarkStart w:id="338" w:name="_Toc184313266"/>
      <w:bookmarkEnd w:id="338"/>
      <w:bookmarkStart w:id="339" w:name="_Toc184313268"/>
      <w:bookmarkEnd w:id="339"/>
      <w:bookmarkStart w:id="340" w:name="_Toc184310343"/>
      <w:bookmarkEnd w:id="340"/>
      <w:bookmarkStart w:id="341" w:name="_Toc184313307"/>
      <w:bookmarkEnd w:id="341"/>
      <w:bookmarkStart w:id="342" w:name="_Toc184314439"/>
      <w:bookmarkEnd w:id="342"/>
      <w:bookmarkStart w:id="343" w:name="_Toc184312101"/>
      <w:bookmarkEnd w:id="343"/>
      <w:bookmarkStart w:id="344" w:name="_Toc184308071"/>
      <w:bookmarkEnd w:id="344"/>
      <w:bookmarkStart w:id="345" w:name="_Toc184313247"/>
      <w:bookmarkEnd w:id="345"/>
      <w:bookmarkStart w:id="346" w:name="_Toc184312075"/>
      <w:bookmarkEnd w:id="346"/>
      <w:bookmarkStart w:id="347" w:name="_Toc184312078"/>
      <w:bookmarkEnd w:id="347"/>
      <w:bookmarkStart w:id="348" w:name="_Toc184310296"/>
      <w:bookmarkEnd w:id="348"/>
      <w:bookmarkStart w:id="349" w:name="_Toc184310281"/>
      <w:bookmarkEnd w:id="349"/>
      <w:bookmarkStart w:id="350" w:name="_Toc184313259"/>
      <w:bookmarkEnd w:id="350"/>
      <w:bookmarkStart w:id="351" w:name="_Toc184314449"/>
      <w:bookmarkEnd w:id="351"/>
      <w:bookmarkStart w:id="352" w:name="_Toc184312115"/>
      <w:bookmarkEnd w:id="352"/>
      <w:bookmarkStart w:id="353" w:name="_Toc184312085"/>
      <w:bookmarkEnd w:id="353"/>
      <w:bookmarkStart w:id="354" w:name="_Toc184314453"/>
      <w:bookmarkEnd w:id="354"/>
      <w:bookmarkStart w:id="355" w:name="_Toc184313283"/>
      <w:bookmarkEnd w:id="355"/>
      <w:bookmarkStart w:id="356" w:name="_Toc184310325"/>
      <w:bookmarkEnd w:id="356"/>
      <w:bookmarkStart w:id="357" w:name="_Toc184313285"/>
      <w:bookmarkEnd w:id="357"/>
      <w:bookmarkStart w:id="358" w:name="_Toc184314442"/>
      <w:bookmarkEnd w:id="358"/>
      <w:bookmarkStart w:id="359" w:name="_Toc184314454"/>
      <w:bookmarkEnd w:id="359"/>
      <w:bookmarkStart w:id="360" w:name="_Toc184313270"/>
      <w:bookmarkEnd w:id="360"/>
      <w:bookmarkStart w:id="361" w:name="_Toc184308070"/>
      <w:bookmarkEnd w:id="361"/>
      <w:bookmarkStart w:id="362" w:name="_Toc184312098"/>
      <w:bookmarkEnd w:id="362"/>
      <w:bookmarkStart w:id="363" w:name="_Toc184312119"/>
      <w:bookmarkEnd w:id="363"/>
      <w:bookmarkStart w:id="364" w:name="_Toc184314447"/>
      <w:bookmarkEnd w:id="364"/>
      <w:bookmarkStart w:id="365" w:name="_Toc184310337"/>
      <w:bookmarkEnd w:id="365"/>
      <w:bookmarkStart w:id="366" w:name="_Toc184312073"/>
      <w:bookmarkEnd w:id="366"/>
      <w:bookmarkStart w:id="367" w:name="_Toc184313291"/>
      <w:bookmarkEnd w:id="367"/>
      <w:bookmarkStart w:id="368" w:name="_Toc184313272"/>
      <w:bookmarkEnd w:id="368"/>
      <w:bookmarkStart w:id="369" w:name="_Toc184313239"/>
      <w:bookmarkEnd w:id="369"/>
      <w:bookmarkStart w:id="370" w:name="_Toc184310322"/>
      <w:bookmarkEnd w:id="370"/>
      <w:bookmarkStart w:id="371" w:name="_Toc184310279"/>
      <w:bookmarkEnd w:id="371"/>
      <w:bookmarkStart w:id="372" w:name="_Toc184314411"/>
      <w:bookmarkEnd w:id="372"/>
      <w:bookmarkStart w:id="373" w:name="_Toc184314473"/>
      <w:bookmarkEnd w:id="373"/>
      <w:bookmarkStart w:id="374" w:name="_Toc184313264"/>
      <w:bookmarkEnd w:id="374"/>
      <w:bookmarkStart w:id="375" w:name="_Toc184312135"/>
      <w:bookmarkEnd w:id="375"/>
      <w:bookmarkStart w:id="376" w:name="_Toc184310311"/>
      <w:bookmarkEnd w:id="376"/>
      <w:bookmarkStart w:id="377" w:name="_Toc184310305"/>
      <w:bookmarkEnd w:id="377"/>
      <w:bookmarkStart w:id="378" w:name="_Toc184308083"/>
      <w:bookmarkEnd w:id="378"/>
      <w:bookmarkStart w:id="379" w:name="_Toc184308084"/>
      <w:bookmarkEnd w:id="379"/>
      <w:bookmarkStart w:id="380" w:name="_Toc184310303"/>
      <w:bookmarkEnd w:id="380"/>
      <w:bookmarkStart w:id="381" w:name="_Toc184308072"/>
      <w:bookmarkEnd w:id="381"/>
      <w:bookmarkStart w:id="382" w:name="_Toc184314432"/>
      <w:bookmarkEnd w:id="382"/>
      <w:bookmarkStart w:id="383" w:name="_Toc184312086"/>
      <w:bookmarkEnd w:id="383"/>
      <w:bookmarkStart w:id="384" w:name="_Toc184308057"/>
      <w:bookmarkEnd w:id="384"/>
      <w:bookmarkStart w:id="385" w:name="_Toc184312076"/>
      <w:bookmarkEnd w:id="385"/>
      <w:bookmarkStart w:id="386" w:name="_Toc184310330"/>
      <w:bookmarkEnd w:id="386"/>
      <w:bookmarkStart w:id="387" w:name="_Toc184313240"/>
      <w:bookmarkEnd w:id="387"/>
      <w:bookmarkStart w:id="388" w:name="_Toc184308053"/>
      <w:bookmarkEnd w:id="388"/>
      <w:bookmarkStart w:id="389" w:name="_Toc184312081"/>
      <w:bookmarkEnd w:id="389"/>
      <w:bookmarkStart w:id="390" w:name="_Toc184310285"/>
      <w:bookmarkEnd w:id="390"/>
      <w:r>
        <w:rPr>
          <w:rFonts w:hint="eastAsia" w:ascii="宋体" w:hAnsi="宋体" w:eastAsia="宋体" w:cs="宋体"/>
          <w:b/>
          <w:color w:val="auto"/>
          <w:sz w:val="36"/>
          <w:szCs w:val="36"/>
          <w:highlight w:val="none"/>
        </w:rPr>
        <w:t>评标办法</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pPr>
        <w:pStyle w:val="88"/>
        <w:spacing w:before="0"/>
        <w:ind w:firstLine="602" w:firstLineChars="250"/>
        <w:rPr>
          <w:rFonts w:hint="eastAsia" w:ascii="宋体" w:hAnsi="宋体" w:eastAsia="宋体" w:cs="宋体"/>
          <w:szCs w:val="24"/>
          <w:highlight w:val="none"/>
        </w:rPr>
      </w:pPr>
      <w:r>
        <w:rPr>
          <w:rFonts w:hint="eastAsia" w:ascii="宋体" w:hAnsi="宋体" w:eastAsia="宋体" w:cs="宋体"/>
          <w:b/>
          <w:szCs w:val="24"/>
          <w:highlight w:val="none"/>
        </w:rPr>
        <w:t>1、本次评标采用综合评分法，总分为100分。</w:t>
      </w:r>
      <w:r>
        <w:rPr>
          <w:rFonts w:hint="eastAsia" w:ascii="宋体" w:hAnsi="宋体" w:eastAsia="宋体" w:cs="宋体"/>
          <w:szCs w:val="24"/>
          <w:highlight w:val="none"/>
        </w:rPr>
        <w:t>合格投标人的评标得分为各项目汇总得分，中标候选资格按评标得分由高到低顺序排列，得分相同的，按投标报价由低到高顺序排列；得分且投标报价相同的，按技术指标优劣顺序排列。标段排名第一的投标人为第一中标候选人。评分过程中采用四舍五入法，并保留小数2位。</w:t>
      </w:r>
    </w:p>
    <w:p>
      <w:pPr>
        <w:pStyle w:val="88"/>
        <w:spacing w:before="0"/>
        <w:ind w:firstLine="600" w:firstLineChars="250"/>
        <w:rPr>
          <w:rFonts w:hint="eastAsia" w:ascii="宋体" w:hAnsi="宋体" w:eastAsia="宋体" w:cs="宋体"/>
          <w:bCs/>
          <w:szCs w:val="24"/>
          <w:highlight w:val="none"/>
        </w:rPr>
      </w:pPr>
      <w:r>
        <w:rPr>
          <w:rFonts w:hint="eastAsia" w:ascii="宋体" w:hAnsi="宋体" w:eastAsia="宋体" w:cs="宋体"/>
          <w:bCs/>
          <w:szCs w:val="24"/>
          <w:highlight w:val="none"/>
        </w:rPr>
        <w:t>各投标人的综合得分为：投标价格得分+技术商务得分之和，总和为100分，其中：投标价格得分</w:t>
      </w:r>
      <w:r>
        <w:rPr>
          <w:rFonts w:hint="eastAsia" w:ascii="宋体" w:hAnsi="宋体" w:eastAsia="宋体" w:cs="宋体"/>
          <w:bCs/>
          <w:szCs w:val="24"/>
          <w:highlight w:val="none"/>
          <w:lang w:val="en-US" w:eastAsia="zh-CN"/>
        </w:rPr>
        <w:t>10</w:t>
      </w:r>
      <w:r>
        <w:rPr>
          <w:rFonts w:hint="eastAsia" w:ascii="宋体" w:hAnsi="宋体" w:eastAsia="宋体" w:cs="宋体"/>
          <w:bCs/>
          <w:szCs w:val="24"/>
          <w:highlight w:val="none"/>
        </w:rPr>
        <w:t>分，商务技术得分</w:t>
      </w:r>
      <w:r>
        <w:rPr>
          <w:rFonts w:hint="eastAsia" w:ascii="宋体" w:hAnsi="宋体" w:eastAsia="宋体" w:cs="宋体"/>
          <w:bCs/>
          <w:szCs w:val="24"/>
          <w:highlight w:val="none"/>
          <w:lang w:val="en-US" w:eastAsia="zh-CN"/>
        </w:rPr>
        <w:t>90</w:t>
      </w:r>
      <w:r>
        <w:rPr>
          <w:rFonts w:hint="eastAsia" w:ascii="宋体" w:hAnsi="宋体" w:eastAsia="宋体" w:cs="宋体"/>
          <w:bCs/>
          <w:szCs w:val="24"/>
          <w:highlight w:val="none"/>
        </w:rPr>
        <w:t>分。</w:t>
      </w:r>
    </w:p>
    <w:p>
      <w:pPr>
        <w:numPr>
          <w:ilvl w:val="0"/>
          <w:numId w:val="15"/>
        </w:num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商务、技术评标细则（</w:t>
      </w:r>
      <w:r>
        <w:rPr>
          <w:rFonts w:hint="eastAsia" w:ascii="宋体" w:hAnsi="宋体" w:eastAsia="宋体" w:cs="宋体"/>
          <w:sz w:val="24"/>
          <w:highlight w:val="none"/>
          <w:lang w:val="en-US" w:eastAsia="zh-CN"/>
        </w:rPr>
        <w:t>9</w:t>
      </w:r>
      <w:r>
        <w:rPr>
          <w:rFonts w:hint="eastAsia" w:ascii="宋体" w:hAnsi="宋体" w:eastAsia="宋体" w:cs="宋体"/>
          <w:sz w:val="24"/>
          <w:highlight w:val="none"/>
        </w:rPr>
        <w:t>0分）</w:t>
      </w:r>
    </w:p>
    <w:tbl>
      <w:tblPr>
        <w:tblStyle w:val="64"/>
        <w:tblW w:w="101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3"/>
        <w:gridCol w:w="890"/>
        <w:gridCol w:w="7525"/>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63"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890"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7525"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63" w:type="dxa"/>
            <w:vMerge w:val="restar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技术分（80分）</w:t>
            </w:r>
          </w:p>
        </w:tc>
        <w:tc>
          <w:tcPr>
            <w:tcW w:w="8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752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道路养护、保洁、绿化养护方案：</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1）根据投标人针对本项目服务内容及需求制定的项目方案切合项目特点，考虑全面，设置科学合理，具有针对性，可操作性，由评标委员会进行打分；（0—4分）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2）根据投标人健全的管理组织，良好的管理制度方案（包括但不限于人员管理、安全管理、财务管理，由评标委员会进行打分；（0—3分）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3）根据投标人道路养护方案（包括但不限于沥青路面维修、砼路面及人行道维修、路缘石及平石的维修更换及其他市政附属设施的维修），由评标委员会进行打分；（0—5分）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4）根据投标人道路清扫保洁方案是否针对本项目，拟投入的清扫保洁人员组织、机具设备、时间安排、不同类别道路的清扫解决方案等，由评标委员会进行打分；（0—5分），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5）根据投标人绿化养护作业方案的实操性和可行性等，由评标委员会进行打分；（0—5分）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6）根据投标人质量保证体系及质量保证措施方案，文明</w:t>
            </w:r>
            <w:r>
              <w:rPr>
                <w:rFonts w:hint="eastAsia" w:ascii="宋体" w:hAnsi="宋体" w:eastAsia="宋体" w:cs="宋体"/>
                <w:color w:val="auto"/>
                <w:sz w:val="24"/>
                <w:highlight w:val="none"/>
              </w:rPr>
              <w:t>安全保证体系和安全保证措施</w:t>
            </w:r>
            <w:r>
              <w:rPr>
                <w:rFonts w:hint="eastAsia" w:ascii="宋体" w:hAnsi="宋体" w:eastAsia="宋体" w:cs="宋体"/>
                <w:color w:val="auto"/>
                <w:sz w:val="24"/>
                <w:highlight w:val="none"/>
                <w:lang w:val="en-US" w:eastAsia="zh-CN"/>
              </w:rPr>
              <w:t>方案由评标委员会进行打分；（0—3分）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7）根据针对人员管理、车辆管理、设施管理、环卫事件管理，供应商针对本项目的智慧环卫（需纳入采购人智慧平台等）实施方案，由评标委员会进行打分；（0—5分）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根据投标人应急管理方案，能及时响应城市应急（气象灾害、防汛抗台、抗雪防冻）和项目实施过程中各类应急保障任务，有固定应急物资仓储及应急设施设备存放场地，具有丰富的应急管理经验情况，由评标委员会进行打分；（0—5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highlight w:val="none"/>
                <w:lang w:val="en-US" w:eastAsia="zh-CN"/>
              </w:rPr>
            </w:pPr>
            <w:r>
              <w:rPr>
                <w:rFonts w:hint="eastAsia" w:ascii="宋体" w:hAnsi="宋体" w:eastAsia="宋体" w:cs="宋体"/>
                <w:color w:val="auto"/>
                <w:sz w:val="24"/>
                <w:highlight w:val="none"/>
                <w:lang w:val="en-US" w:eastAsia="zh-CN"/>
              </w:rPr>
              <w:t>9）根据投标人重大活动保障方案，方案科学合理，具有针对性及可操作性，能圆满完成大型活动、节庆假日、创优评优等重大活动保障任务情况，由评标委员会进行打分；（0—5分）</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63"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投标人拥有政府有关部门颁发的生活垃圾经营性清扫服务许可证且在有效期内的得2分。</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63"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52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djustRightInd/>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投标人技术人员力量情况：须提供以下相关人员（人员不能重复，若有重复只能按一人次计）：</w:t>
            </w:r>
          </w:p>
          <w:p>
            <w:pPr>
              <w:widowControl w:val="0"/>
              <w:numPr>
                <w:ilvl w:val="0"/>
                <w:numId w:val="0"/>
              </w:numPr>
              <w:wordWrap/>
              <w:adjustRightInd/>
              <w:snapToGrid/>
              <w:spacing w:line="600" w:lineRule="exact"/>
              <w:jc w:val="left"/>
              <w:textAlignment w:val="auto"/>
              <w:rPr>
                <w:rFonts w:hint="eastAsia" w:ascii="宋体" w:hAnsi="宋体" w:eastAsia="宋体" w:cs="宋体"/>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市政</w:t>
            </w:r>
            <w:r>
              <w:rPr>
                <w:rFonts w:hint="eastAsia" w:ascii="宋体" w:hAnsi="宋体" w:eastAsia="宋体" w:cs="宋体"/>
                <w:color w:val="auto"/>
                <w:sz w:val="24"/>
                <w:szCs w:val="24"/>
                <w:highlight w:val="none"/>
                <w:lang w:eastAsia="zh-CN"/>
              </w:rPr>
              <w:t>养护</w:t>
            </w:r>
            <w:r>
              <w:rPr>
                <w:rFonts w:hint="eastAsia" w:ascii="宋体" w:hAnsi="宋体" w:eastAsia="宋体" w:cs="宋体"/>
                <w:color w:val="auto"/>
                <w:sz w:val="24"/>
                <w:szCs w:val="24"/>
                <w:highlight w:val="none"/>
                <w:lang w:val="en-US" w:eastAsia="zh-CN"/>
              </w:rPr>
              <w:t>作业</w:t>
            </w: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lang w:val="en-US" w:eastAsia="zh-CN"/>
              </w:rPr>
              <w:t>同时具有大专及以上学历及</w:t>
            </w:r>
            <w:r>
              <w:rPr>
                <w:rFonts w:hint="eastAsia" w:ascii="宋体" w:hAnsi="宋体" w:eastAsia="宋体" w:cs="宋体"/>
                <w:color w:val="auto"/>
                <w:sz w:val="24"/>
                <w:szCs w:val="24"/>
                <w:highlight w:val="none"/>
                <w:lang w:eastAsia="zh-CN"/>
              </w:rPr>
              <w:t>二级建造师（市政公用工程专业）</w:t>
            </w:r>
            <w:r>
              <w:rPr>
                <w:rFonts w:hint="eastAsia" w:ascii="宋体" w:hAnsi="宋体" w:eastAsia="宋体" w:cs="宋体"/>
                <w:color w:val="auto"/>
                <w:sz w:val="24"/>
                <w:szCs w:val="24"/>
                <w:highlight w:val="none"/>
                <w:lang w:val="en-US" w:eastAsia="zh-CN"/>
              </w:rPr>
              <w:t>证书并具有工程师及以上职称的得2分，</w:t>
            </w:r>
            <w:r>
              <w:rPr>
                <w:rFonts w:hint="eastAsia" w:ascii="宋体" w:hAnsi="宋体" w:eastAsia="宋体" w:cs="宋体"/>
                <w:color w:val="auto"/>
                <w:sz w:val="24"/>
                <w:szCs w:val="24"/>
                <w:highlight w:val="none"/>
              </w:rPr>
              <w:t>没有不得分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w:t>
            </w:r>
            <w:r>
              <w:rPr>
                <w:rFonts w:hint="eastAsia" w:ascii="宋体" w:hAnsi="宋体" w:eastAsia="宋体" w:cs="宋体"/>
                <w:color w:val="auto"/>
                <w:sz w:val="24"/>
                <w:szCs w:val="24"/>
                <w:highlight w:val="none"/>
                <w:lang w:val="en-US" w:eastAsia="zh-CN"/>
              </w:rPr>
              <w:t>最高得2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widowControl w:val="0"/>
              <w:numPr>
                <w:ilvl w:val="0"/>
                <w:numId w:val="0"/>
              </w:numPr>
              <w:wordWrap/>
              <w:adjustRightInd/>
              <w:snapToGrid/>
              <w:spacing w:line="6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2）项目保洁作业负责人同时具有大专及以上学历及环卫项目经理证证书的得2分，没有不得分，本项最高得2分；</w:t>
            </w:r>
          </w:p>
          <w:p>
            <w:pPr>
              <w:spacing w:line="60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kern w:val="2"/>
                <w:sz w:val="24"/>
                <w:szCs w:val="24"/>
                <w:highlight w:val="none"/>
                <w:lang w:val="en-US" w:eastAsia="zh-CN" w:bidi="ar-SA"/>
              </w:rPr>
              <w:t>项目绿化养护作业负责人</w:t>
            </w:r>
            <w:r>
              <w:rPr>
                <w:rFonts w:hint="eastAsia" w:ascii="宋体" w:hAnsi="宋体" w:eastAsia="宋体" w:cs="宋体"/>
                <w:b w:val="0"/>
                <w:bCs w:val="0"/>
                <w:color w:val="auto"/>
                <w:kern w:val="2"/>
                <w:sz w:val="24"/>
                <w:szCs w:val="24"/>
                <w:highlight w:val="none"/>
                <w:lang w:val="en-US" w:eastAsia="zh-CN" w:bidi="ar-SA"/>
              </w:rPr>
              <w:t>有</w:t>
            </w:r>
            <w:r>
              <w:rPr>
                <w:rFonts w:hint="eastAsia" w:ascii="宋体" w:hAnsi="宋体" w:eastAsia="宋体" w:cs="宋体"/>
                <w:color w:val="auto"/>
                <w:kern w:val="2"/>
                <w:sz w:val="24"/>
                <w:szCs w:val="24"/>
                <w:highlight w:val="none"/>
                <w:lang w:val="en-US" w:eastAsia="zh-CN" w:bidi="ar-SA"/>
              </w:rPr>
              <w:t>园林绿化或园林专业工程师中级及以上职称证书的得2分，没有不得分，本项最高得2分；</w:t>
            </w:r>
          </w:p>
          <w:p>
            <w:pPr>
              <w:widowControl w:val="0"/>
              <w:wordWrap/>
              <w:adjustRightInd/>
              <w:snapToGrid/>
              <w:spacing w:line="60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b w:val="0"/>
                <w:bCs w:val="0"/>
                <w:color w:val="auto"/>
                <w:kern w:val="2"/>
                <w:sz w:val="24"/>
                <w:szCs w:val="24"/>
                <w:highlight w:val="none"/>
                <w:lang w:val="en-US" w:eastAsia="zh-CN" w:bidi="ar-SA"/>
              </w:rPr>
              <w:t>项目组成人员中有</w:t>
            </w:r>
            <w:r>
              <w:rPr>
                <w:rFonts w:hint="eastAsia" w:ascii="宋体" w:hAnsi="宋体" w:eastAsia="宋体" w:cs="宋体"/>
                <w:color w:val="auto"/>
                <w:sz w:val="24"/>
                <w:szCs w:val="24"/>
                <w:highlight w:val="none"/>
                <w:lang w:val="en-US" w:eastAsia="zh-CN"/>
              </w:rPr>
              <w:t>项目专职安全管理员同时具有大专及以上学历及安全员证证书的得0.5分，没有不得分，</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项最高得0.5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pStyle w:val="6"/>
              <w:numPr>
                <w:ilvl w:val="0"/>
                <w:numId w:val="0"/>
              </w:numPr>
              <w:tabs>
                <w:tab w:val="left" w:pos="706"/>
                <w:tab w:val="clear" w:pos="432"/>
              </w:tabs>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5）项目组成人员中有绿化工证书，每一人得0.5分，没有不得分，本项最高得1分；</w:t>
            </w:r>
          </w:p>
          <w:p>
            <w:pPr>
              <w:pStyle w:val="6"/>
              <w:numPr>
                <w:ilvl w:val="0"/>
                <w:numId w:val="0"/>
              </w:numPr>
              <w:tabs>
                <w:tab w:val="left" w:pos="706"/>
                <w:tab w:val="clear" w:pos="432"/>
              </w:tabs>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6）项目组成人员中有有害生物防制员证初级(国家职业资格五级)及以上的得0.5分，</w:t>
            </w:r>
            <w:r>
              <w:rPr>
                <w:rFonts w:hint="eastAsia" w:ascii="宋体" w:hAnsi="宋体" w:eastAsia="宋体" w:cs="宋体"/>
                <w:b w:val="0"/>
                <w:bCs w:val="0"/>
                <w:color w:val="auto"/>
                <w:sz w:val="24"/>
                <w:szCs w:val="24"/>
                <w:highlight w:val="none"/>
                <w:lang w:val="en-US" w:eastAsia="zh-CN"/>
              </w:rPr>
              <w:t>没有不得分，</w:t>
            </w:r>
            <w:r>
              <w:rPr>
                <w:rFonts w:hint="eastAsia" w:ascii="宋体" w:hAnsi="宋体" w:eastAsia="宋体" w:cs="宋体"/>
                <w:b w:val="0"/>
                <w:bCs w:val="0"/>
                <w:color w:val="auto"/>
                <w:sz w:val="24"/>
                <w:szCs w:val="24"/>
                <w:highlight w:val="none"/>
              </w:rPr>
              <w:t>本</w:t>
            </w:r>
            <w:r>
              <w:rPr>
                <w:rFonts w:hint="eastAsia" w:ascii="宋体" w:hAnsi="宋体" w:eastAsia="宋体" w:cs="宋体"/>
                <w:b w:val="0"/>
                <w:bCs w:val="0"/>
                <w:color w:val="auto"/>
                <w:sz w:val="24"/>
                <w:szCs w:val="24"/>
                <w:highlight w:val="none"/>
                <w:lang w:val="en-US" w:eastAsia="zh-CN"/>
              </w:rPr>
              <w:t>项最高得0.5</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w:t>
            </w:r>
          </w:p>
          <w:p>
            <w:pPr>
              <w:widowControl w:val="0"/>
              <w:wordWrap/>
              <w:adjustRightInd/>
              <w:snapToGrid/>
              <w:spacing w:line="60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人员不能重复</w:t>
            </w:r>
            <w:r>
              <w:rPr>
                <w:rFonts w:hint="eastAsia" w:ascii="宋体" w:hAnsi="宋体" w:eastAsia="宋体" w:cs="宋体"/>
                <w:color w:val="auto"/>
                <w:sz w:val="24"/>
                <w:szCs w:val="24"/>
                <w:highlight w:val="none"/>
                <w:lang w:val="en-US" w:eastAsia="zh-CN"/>
              </w:rPr>
              <w:t>计分</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sz w:val="24"/>
                <w:highlight w:val="none"/>
              </w:rPr>
              <w:t>注：投标文件中提供拟派人员证书</w:t>
            </w:r>
            <w:r>
              <w:rPr>
                <w:rFonts w:hint="eastAsia" w:ascii="宋体" w:hAnsi="宋体" w:eastAsia="宋体" w:cs="宋体"/>
                <w:b/>
                <w:sz w:val="24"/>
                <w:highlight w:val="none"/>
                <w:lang w:eastAsia="zh-CN"/>
              </w:rPr>
              <w:t>、</w:t>
            </w:r>
            <w:r>
              <w:rPr>
                <w:rFonts w:hint="eastAsia" w:ascii="宋体" w:hAnsi="宋体" w:eastAsia="宋体" w:cs="宋体"/>
                <w:b/>
                <w:sz w:val="24"/>
                <w:highlight w:val="none"/>
                <w:lang w:val="en-US" w:eastAsia="zh-CN"/>
              </w:rPr>
              <w:t>毕业证</w:t>
            </w:r>
            <w:r>
              <w:rPr>
                <w:rFonts w:hint="eastAsia" w:ascii="宋体" w:hAnsi="宋体" w:eastAsia="宋体" w:cs="宋体"/>
                <w:b/>
                <w:sz w:val="24"/>
                <w:highlight w:val="none"/>
              </w:rPr>
              <w:t>及</w:t>
            </w:r>
            <w:r>
              <w:rPr>
                <w:rFonts w:hint="eastAsia" w:ascii="宋体" w:hAnsi="宋体" w:eastAsia="宋体" w:cs="宋体"/>
                <w:b/>
                <w:bCs/>
                <w:color w:val="auto"/>
                <w:sz w:val="24"/>
                <w:szCs w:val="24"/>
                <w:highlight w:val="none"/>
                <w:lang w:val="en-US" w:eastAsia="zh-CN"/>
              </w:rPr>
              <w:t>本人在本单位近</w:t>
            </w:r>
            <w:r>
              <w:rPr>
                <w:rFonts w:hint="eastAsia" w:ascii="宋体" w:hAnsi="宋体" w:eastAsia="宋体" w:cs="宋体"/>
                <w:b/>
                <w:bCs/>
                <w:color w:val="auto"/>
                <w:sz w:val="24"/>
                <w:szCs w:val="24"/>
                <w:highlight w:val="none"/>
              </w:rPr>
              <w:t>6个月</w:t>
            </w:r>
            <w:r>
              <w:rPr>
                <w:rFonts w:hint="eastAsia" w:ascii="宋体" w:hAnsi="宋体" w:eastAsia="宋体" w:cs="宋体"/>
                <w:b/>
                <w:bCs/>
                <w:color w:val="auto"/>
                <w:sz w:val="24"/>
                <w:szCs w:val="24"/>
                <w:highlight w:val="none"/>
                <w:lang w:val="en-US" w:eastAsia="zh-CN"/>
              </w:rPr>
              <w:t>社保缴纳证明复印件</w:t>
            </w:r>
            <w:r>
              <w:rPr>
                <w:rFonts w:hint="eastAsia" w:ascii="宋体" w:hAnsi="宋体" w:eastAsia="宋体" w:cs="宋体"/>
                <w:b/>
                <w:sz w:val="24"/>
                <w:highlight w:val="none"/>
              </w:rPr>
              <w:t>，否则不得分。</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63"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7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投标人自有作业设备用于本项目情况：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保洁设备：</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能够提供总质量16吨及以上清洗车(洒水车)不少于4辆；</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总质量12吨及以上三合一洗扫车不少于4辆；</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总质量15吨及以上多功能抑尘车不少于2辆；</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总质量15吨及以上高压冲洗车不少于2辆；</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总质量7吨及以上护栏清洗车不少于1辆；</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机械化除雪设备不少于2台（除雪车、大型铲车、加装式铲雪板、滚雪装置、加装式除雪板或山猫、凯斯等大型除雪设备）；</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总质量5吨及以下或新能源小型清扫车（用于慢车道作业）不少于2辆；</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巡查保障车不少于1辆；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全部满足得16分，不满足一项扣2分，扣完为止；以上清洗车(洒水车)或高压冲洗车或三合一洗扫车中为纯电动新能源车或天然气清洁能源车辆的每辆加2分，最多加6分，没有不得分。本项最高得22分；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绿化养护设备：</w:t>
            </w:r>
          </w:p>
          <w:p>
            <w:pPr>
              <w:keepNext w:val="0"/>
              <w:keepLines w:val="0"/>
              <w:pageBreakBefore w:val="0"/>
              <w:widowControl w:val="0"/>
              <w:numPr>
                <w:ilvl w:val="0"/>
                <w:numId w:val="17"/>
              </w:numPr>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能够提供专项高空作业登高车不少于1辆；</w:t>
            </w:r>
          </w:p>
          <w:p>
            <w:pPr>
              <w:keepNext w:val="0"/>
              <w:keepLines w:val="0"/>
              <w:pageBreakBefore w:val="0"/>
              <w:widowControl w:val="0"/>
              <w:numPr>
                <w:ilvl w:val="0"/>
                <w:numId w:val="17"/>
              </w:numPr>
              <w:kinsoku/>
              <w:wordWrap/>
              <w:overflowPunct/>
              <w:topLinePunct w:val="0"/>
              <w:autoSpaceDE/>
              <w:autoSpaceDN/>
              <w:bidi w:val="0"/>
              <w:adjustRightInd/>
              <w:snapToGrid/>
              <w:spacing w:line="600" w:lineRule="exact"/>
              <w:jc w:val="left"/>
              <w:textAlignment w:val="auto"/>
              <w:rPr>
                <w:rFonts w:hint="eastAsia" w:ascii="宋体" w:hAnsi="宋体" w:eastAsia="宋体" w:cs="宋体"/>
                <w:highlight w:val="none"/>
                <w:lang w:val="en-US" w:eastAsia="zh-CN"/>
              </w:rPr>
            </w:pPr>
            <w:r>
              <w:rPr>
                <w:rFonts w:hint="eastAsia" w:ascii="宋体" w:hAnsi="宋体" w:eastAsia="宋体" w:cs="宋体"/>
                <w:color w:val="auto"/>
                <w:sz w:val="24"/>
                <w:szCs w:val="24"/>
                <w:highlight w:val="none"/>
                <w:lang w:val="en-US" w:eastAsia="zh-CN"/>
              </w:rPr>
              <w:t>割灌机不少于2台；</w:t>
            </w:r>
          </w:p>
          <w:p>
            <w:pPr>
              <w:keepNext w:val="0"/>
              <w:keepLines w:val="0"/>
              <w:pageBreakBefore w:val="0"/>
              <w:widowControl w:val="0"/>
              <w:numPr>
                <w:ilvl w:val="0"/>
                <w:numId w:val="17"/>
              </w:numPr>
              <w:kinsoku/>
              <w:wordWrap/>
              <w:overflowPunct/>
              <w:topLinePunct w:val="0"/>
              <w:autoSpaceDE/>
              <w:autoSpaceDN/>
              <w:bidi w:val="0"/>
              <w:adjustRightInd/>
              <w:snapToGrid/>
              <w:spacing w:line="600" w:lineRule="exact"/>
              <w:jc w:val="left"/>
              <w:textAlignment w:val="auto"/>
              <w:rPr>
                <w:rFonts w:hint="eastAsia" w:ascii="宋体" w:hAnsi="宋体" w:eastAsia="宋体" w:cs="宋体"/>
                <w:highlight w:val="none"/>
                <w:lang w:val="en-US" w:eastAsia="zh-CN"/>
              </w:rPr>
            </w:pPr>
            <w:r>
              <w:rPr>
                <w:rFonts w:hint="eastAsia" w:ascii="宋体" w:hAnsi="宋体" w:eastAsia="宋体" w:cs="宋体"/>
                <w:color w:val="auto"/>
                <w:sz w:val="24"/>
                <w:szCs w:val="24"/>
                <w:highlight w:val="none"/>
                <w:lang w:val="en-US" w:eastAsia="zh-CN"/>
              </w:rPr>
              <w:t>绿篱机（修剪机）不少于2台；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宋体" w:hAnsi="宋体" w:eastAsia="宋体" w:cs="宋体"/>
                <w:highlight w:val="none"/>
                <w:lang w:val="en-US" w:eastAsia="zh-CN"/>
              </w:rPr>
            </w:pPr>
            <w:r>
              <w:rPr>
                <w:rFonts w:hint="eastAsia" w:ascii="宋体" w:hAnsi="宋体" w:eastAsia="宋体" w:cs="宋体"/>
                <w:color w:val="auto"/>
                <w:sz w:val="24"/>
                <w:szCs w:val="24"/>
                <w:highlight w:val="none"/>
                <w:lang w:val="en-US" w:eastAsia="zh-CN"/>
              </w:rPr>
              <w:t>全部满足</w:t>
            </w:r>
            <w:r>
              <w:rPr>
                <w:rFonts w:hint="eastAsia" w:ascii="宋体" w:hAnsi="宋体" w:cs="宋体"/>
                <w:color w:val="auto"/>
                <w:sz w:val="24"/>
                <w:szCs w:val="24"/>
                <w:highlight w:val="none"/>
                <w:lang w:val="en-US" w:eastAsia="zh-CN"/>
              </w:rPr>
              <w:t>得</w:t>
            </w:r>
            <w:r>
              <w:rPr>
                <w:rFonts w:hint="eastAsia" w:ascii="宋体" w:hAnsi="宋体" w:eastAsia="宋体" w:cs="宋体"/>
                <w:color w:val="auto"/>
                <w:sz w:val="24"/>
                <w:szCs w:val="24"/>
                <w:highlight w:val="none"/>
                <w:lang w:val="en-US" w:eastAsia="zh-CN"/>
              </w:rPr>
              <w:t>6分，不满足一项扣2分，扣完为止。本项最高得6分；</w:t>
            </w:r>
          </w:p>
          <w:p>
            <w:pPr>
              <w:pStyle w:val="3"/>
              <w:wordWrap/>
              <w:spacing w:line="500" w:lineRule="exact"/>
              <w:ind w:left="0" w:leftChars="0" w:firstLine="0" w:firstLineChars="0"/>
              <w:jc w:val="left"/>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highlight w:val="none"/>
                <w:lang w:val="en-US" w:eastAsia="zh-CN"/>
              </w:rPr>
              <w:t>1）必须上牌的车辆在投标文件中同时提供车辆行驶证、购车发票、车辆登记证扫描件、清晰带有车牌号的正面、45度斜侧面的照片</w:t>
            </w:r>
            <w:r>
              <w:rPr>
                <w:rFonts w:hint="eastAsia" w:ascii="宋体" w:hAnsi="宋体" w:eastAsia="宋体" w:cs="宋体"/>
                <w:b/>
                <w:bCs/>
                <w:color w:val="auto"/>
                <w:sz w:val="24"/>
                <w:szCs w:val="24"/>
                <w:highlight w:val="none"/>
                <w:lang w:val="en-US" w:eastAsia="zh-CN"/>
              </w:rPr>
              <w:t>（其中小型清扫车如为新能源的无需提供车辆行驶证和车辆登记证）</w:t>
            </w:r>
            <w:r>
              <w:rPr>
                <w:rFonts w:hint="eastAsia" w:ascii="宋体" w:hAnsi="宋体" w:eastAsia="宋体" w:cs="宋体"/>
                <w:b/>
                <w:bCs/>
                <w:color w:val="auto"/>
                <w:sz w:val="24"/>
                <w:highlight w:val="none"/>
                <w:lang w:val="en-US" w:eastAsia="zh-CN"/>
              </w:rPr>
              <w:t>；否则不予认可。按国家规定无需上牌的车辆、设备，在投标文件中同时提供购买发票、车辆或设备照片，否则不予认可。</w:t>
            </w:r>
          </w:p>
          <w:p>
            <w:pPr>
              <w:pStyle w:val="3"/>
              <w:wordWrap/>
              <w:spacing w:line="500" w:lineRule="exact"/>
              <w:ind w:left="0" w:leftChars="0" w:firstLine="0" w:firstLineChars="0"/>
              <w:jc w:val="left"/>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2）提供车辆、设备仅用于本保洁项目的书面承诺书（格式自拟）。</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highlight w:val="none"/>
                <w:lang w:val="en-US" w:eastAsia="zh-CN"/>
              </w:rPr>
              <w:t>3）车辆、设备必须为供应商自有，含分公司自有。</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63"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szCs w:val="24"/>
                <w:highlight w:val="none"/>
              </w:rPr>
              <w:t>承诺中标后根据项目实际工作要求，配备足额的样式统一的电动</w:t>
            </w:r>
            <w:r>
              <w:rPr>
                <w:rFonts w:hint="eastAsia" w:ascii="宋体" w:hAnsi="宋体" w:eastAsia="宋体" w:cs="宋体"/>
                <w:color w:val="auto"/>
                <w:sz w:val="24"/>
                <w:szCs w:val="24"/>
                <w:highlight w:val="none"/>
                <w:lang w:eastAsia="zh-CN"/>
              </w:rPr>
              <w:t>三轮</w:t>
            </w:r>
            <w:r>
              <w:rPr>
                <w:rFonts w:hint="eastAsia" w:ascii="宋体" w:hAnsi="宋体" w:eastAsia="宋体" w:cs="宋体"/>
                <w:color w:val="auto"/>
                <w:sz w:val="24"/>
                <w:szCs w:val="24"/>
                <w:highlight w:val="none"/>
              </w:rPr>
              <w:t>环卫车辆和人行道除雪设备，提供承诺书（格式自拟）得2分，否则不得分。</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6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商务分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10分</w:t>
            </w:r>
            <w:r>
              <w:rPr>
                <w:rFonts w:hint="eastAsia" w:ascii="宋体" w:hAnsi="宋体" w:eastAsia="宋体" w:cs="宋体"/>
                <w:color w:val="auto"/>
                <w:sz w:val="24"/>
                <w:szCs w:val="24"/>
                <w:highlight w:val="none"/>
                <w:lang w:eastAsia="zh-CN"/>
              </w:rPr>
              <w:t>）</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7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体系认证</w:t>
            </w:r>
            <w:r>
              <w:rPr>
                <w:rFonts w:hint="eastAsia" w:ascii="宋体" w:hAnsi="宋体" w:eastAsia="宋体" w:cs="宋体"/>
                <w:color w:val="auto"/>
                <w:sz w:val="24"/>
                <w:szCs w:val="24"/>
                <w:highlight w:val="none"/>
                <w:lang w:val="en-US" w:eastAsia="zh-CN"/>
              </w:rPr>
              <w:t>证书：</w:t>
            </w:r>
            <w:r>
              <w:rPr>
                <w:rFonts w:hint="eastAsia" w:ascii="宋体" w:hAnsi="宋体" w:eastAsia="宋体" w:cs="宋体"/>
                <w:color w:val="auto"/>
                <w:sz w:val="24"/>
                <w:szCs w:val="24"/>
                <w:highlight w:val="none"/>
              </w:rPr>
              <w:t>投标人具有效的环境管理体系认证、职业健康安全管理体系认证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质量管理体系认证</w:t>
            </w:r>
            <w:r>
              <w:rPr>
                <w:rFonts w:hint="eastAsia" w:ascii="宋体" w:hAnsi="宋体" w:eastAsia="宋体" w:cs="宋体"/>
                <w:color w:val="auto"/>
                <w:sz w:val="24"/>
                <w:szCs w:val="24"/>
                <w:highlight w:val="none"/>
                <w:lang w:val="en-US" w:eastAsia="zh-CN"/>
              </w:rPr>
              <w:t>证书，每</w:t>
            </w:r>
            <w:r>
              <w:rPr>
                <w:rFonts w:hint="eastAsia" w:ascii="宋体" w:hAnsi="宋体" w:eastAsia="宋体" w:cs="宋体"/>
                <w:color w:val="auto"/>
                <w:sz w:val="24"/>
                <w:szCs w:val="24"/>
                <w:highlight w:val="none"/>
                <w:lang w:eastAsia="zh-CN"/>
              </w:rPr>
              <w:t>个</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，最</w:t>
            </w:r>
            <w:r>
              <w:rPr>
                <w:rFonts w:hint="eastAsia" w:ascii="宋体" w:hAnsi="宋体" w:eastAsia="宋体" w:cs="宋体"/>
                <w:color w:val="auto"/>
                <w:sz w:val="24"/>
                <w:szCs w:val="24"/>
                <w:highlight w:val="none"/>
                <w:lang w:val="en-US" w:eastAsia="zh-CN"/>
              </w:rPr>
              <w:t>高</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6分</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sz w:val="24"/>
                <w:highlight w:val="none"/>
              </w:rPr>
              <w:t>注：投标文件中提供有效期内的证书扫描件及全国认证认可信息公共服务平台网站（http://www.cnca.gov.cn/）查询页面截图，否则不得分。</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63"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7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企业荣誉：</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投标人自</w:t>
            </w:r>
            <w:r>
              <w:rPr>
                <w:rFonts w:hint="eastAsia" w:ascii="宋体" w:hAnsi="宋体" w:eastAsia="宋体" w:cs="宋体"/>
                <w:color w:val="auto"/>
                <w:sz w:val="24"/>
                <w:szCs w:val="24"/>
                <w:highlight w:val="none"/>
                <w:lang w:val="en-US" w:eastAsia="zh-CN"/>
              </w:rPr>
              <w:t>2019年1月1日以来（以获奖证书或获奖文件时间为准）获得过省级及以上行业主管部门表彰荣誉的，每个得3分；地市级及以上行业主管部门表彰荣誉的，每个得1.5分；地市级以下不得分；本项最高得3分。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注：投标文件中提供获奖证明扫描件，时间以获奖证明落款为准。</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63"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7525" w:type="dxa"/>
            <w:tcBorders>
              <w:top w:val="single" w:color="000000" w:sz="4" w:space="0"/>
              <w:left w:val="single" w:color="000000" w:sz="4" w:space="0"/>
              <w:bottom w:val="single" w:color="000000" w:sz="4" w:space="0"/>
              <w:right w:val="single" w:color="000000" w:sz="4" w:space="0"/>
            </w:tcBorders>
            <w:noWrap w:val="0"/>
            <w:vAlign w:val="center"/>
          </w:tcPr>
          <w:p>
            <w:pPr>
              <w:pStyle w:val="22"/>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投标人类似业绩：</w:t>
            </w:r>
          </w:p>
          <w:p>
            <w:pPr>
              <w:pStyle w:val="22"/>
              <w:spacing w:line="6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投标人自201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年1月1日以来（时间以合同签订时间为准）承担</w:t>
            </w:r>
            <w:r>
              <w:rPr>
                <w:rFonts w:hint="eastAsia" w:ascii="宋体" w:hAnsi="宋体" w:eastAsia="宋体" w:cs="宋体"/>
                <w:color w:val="auto"/>
                <w:sz w:val="24"/>
                <w:szCs w:val="24"/>
                <w:highlight w:val="none"/>
                <w:lang w:val="en-US" w:eastAsia="zh-CN"/>
              </w:rPr>
              <w:t>过</w:t>
            </w:r>
            <w:r>
              <w:rPr>
                <w:rFonts w:hint="eastAsia" w:ascii="宋体" w:hAnsi="宋体" w:eastAsia="宋体" w:cs="宋体"/>
                <w:color w:val="auto"/>
                <w:sz w:val="24"/>
                <w:szCs w:val="24"/>
                <w:highlight w:val="none"/>
              </w:rPr>
              <w:t>类似业绩</w:t>
            </w:r>
            <w:r>
              <w:rPr>
                <w:rFonts w:hint="eastAsia" w:ascii="宋体" w:hAnsi="宋体" w:eastAsia="宋体" w:cs="宋体"/>
                <w:color w:val="auto"/>
                <w:sz w:val="24"/>
                <w:highlight w:val="none"/>
              </w:rPr>
              <w:t>（合同内容包括道路保洁</w:t>
            </w:r>
            <w:r>
              <w:rPr>
                <w:rFonts w:hint="eastAsia" w:ascii="宋体" w:hAnsi="宋体" w:eastAsia="宋体" w:cs="宋体"/>
                <w:color w:val="auto"/>
                <w:sz w:val="24"/>
                <w:highlight w:val="none"/>
                <w:lang w:val="en-US" w:eastAsia="zh-CN"/>
              </w:rPr>
              <w:t>或市政养护</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每</w:t>
            </w:r>
            <w:r>
              <w:rPr>
                <w:rFonts w:hint="eastAsia" w:ascii="宋体" w:hAnsi="宋体" w:eastAsia="宋体" w:cs="宋体"/>
                <w:color w:val="auto"/>
                <w:sz w:val="24"/>
                <w:szCs w:val="24"/>
                <w:highlight w:val="none"/>
              </w:rPr>
              <w:t>个业绩得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lang w:val="en-US" w:eastAsia="zh-CN"/>
              </w:rPr>
              <w:t>本项</w:t>
            </w:r>
            <w:r>
              <w:rPr>
                <w:rFonts w:hint="eastAsia" w:ascii="宋体" w:hAnsi="宋体" w:eastAsia="宋体" w:cs="宋体"/>
                <w:color w:val="auto"/>
                <w:sz w:val="24"/>
                <w:szCs w:val="24"/>
                <w:highlight w:val="none"/>
                <w:lang w:val="en-US" w:eastAsia="zh-CN"/>
              </w:rPr>
              <w:t>最高得1分；</w:t>
            </w:r>
          </w:p>
          <w:p>
            <w:pPr>
              <w:pStyle w:val="22"/>
              <w:spacing w:line="600" w:lineRule="exact"/>
              <w:rPr>
                <w:rFonts w:hint="eastAsia" w:ascii="宋体" w:hAnsi="宋体" w:eastAsia="宋体" w:cs="宋体"/>
                <w:color w:val="auto"/>
                <w:sz w:val="24"/>
                <w:szCs w:val="24"/>
                <w:highlight w:val="none"/>
                <w:lang w:eastAsia="zh-CN"/>
              </w:rPr>
            </w:pPr>
            <w:r>
              <w:rPr>
                <w:rFonts w:hint="eastAsia" w:ascii="宋体" w:hAnsi="宋体" w:eastAsia="宋体" w:cs="宋体"/>
                <w:b/>
                <w:bCs/>
                <w:color w:val="auto"/>
                <w:kern w:val="2"/>
                <w:sz w:val="24"/>
                <w:szCs w:val="24"/>
                <w:highlight w:val="none"/>
                <w:lang w:val="en-US" w:eastAsia="zh-CN" w:bidi="ar-SA"/>
              </w:rPr>
              <w:t>注：投标文件中提供合同扫描件，否则不得分。</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bl>
    <w:p>
      <w:pPr>
        <w:pStyle w:val="965"/>
        <w:rPr>
          <w:rFonts w:hint="eastAsia" w:ascii="宋体" w:hAnsi="宋体" w:eastAsia="宋体" w:cs="宋体"/>
          <w:highlight w:val="none"/>
        </w:rPr>
      </w:pPr>
    </w:p>
    <w:p>
      <w:pPr>
        <w:snapToGrid w:val="0"/>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3、商务分+技术分=评标委员会所有成员评分合计数/评标委员会组成人员数</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w:t>
      </w:r>
      <w:r>
        <w:rPr>
          <w:rFonts w:hint="eastAsia" w:ascii="宋体" w:hAnsi="宋体" w:eastAsia="宋体" w:cs="宋体"/>
          <w:b/>
          <w:bCs/>
          <w:sz w:val="24"/>
          <w:highlight w:val="none"/>
        </w:rPr>
        <w:t>价格分（</w:t>
      </w:r>
      <w:r>
        <w:rPr>
          <w:rFonts w:hint="eastAsia" w:ascii="宋体" w:hAnsi="宋体" w:eastAsia="宋体" w:cs="宋体"/>
          <w:b/>
          <w:bCs/>
          <w:sz w:val="24"/>
          <w:highlight w:val="none"/>
          <w:lang w:val="en-US" w:eastAsia="zh-CN"/>
        </w:rPr>
        <w:t>1</w:t>
      </w:r>
      <w:r>
        <w:rPr>
          <w:rFonts w:hint="eastAsia" w:ascii="宋体" w:hAnsi="宋体" w:eastAsia="宋体" w:cs="宋体"/>
          <w:b/>
          <w:bCs/>
          <w:sz w:val="24"/>
          <w:highlight w:val="none"/>
        </w:rPr>
        <w:t>0分）</w:t>
      </w:r>
      <w:r>
        <w:rPr>
          <w:rFonts w:hint="eastAsia" w:ascii="宋体" w:hAnsi="宋体" w:eastAsia="宋体" w:cs="宋体"/>
          <w:sz w:val="24"/>
          <w:highlight w:val="none"/>
        </w:rPr>
        <w:t>采用低价优先法计算，即满足招标文件要求且投标价格最低的投标报价为评标基准价，其他投标人的价格分按照下列公式计算：</w:t>
      </w:r>
    </w:p>
    <w:tbl>
      <w:tblPr>
        <w:tblStyle w:val="65"/>
        <w:tblW w:w="10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noWrap w:val="0"/>
            <w:vAlign w:val="top"/>
          </w:tcPr>
          <w:p>
            <w:pPr>
              <w:pStyle w:val="2"/>
              <w:ind w:left="0" w:leftChars="0" w:firstLine="210" w:firstLineChars="100"/>
              <w:jc w:val="center"/>
              <w:rPr>
                <w:rFonts w:hint="eastAsia"/>
                <w:lang w:val="en-US" w:eastAsia="zh-CN"/>
              </w:rPr>
            </w:pPr>
          </w:p>
          <w:p>
            <w:pPr>
              <w:pStyle w:val="2"/>
              <w:ind w:left="0" w:leftChars="0" w:firstLine="210" w:firstLineChars="100"/>
              <w:jc w:val="center"/>
              <w:rPr>
                <w:rFonts w:hint="eastAsia"/>
                <w:lang w:val="en-US" w:eastAsia="zh-CN"/>
              </w:rPr>
            </w:pPr>
          </w:p>
          <w:p>
            <w:pPr>
              <w:pStyle w:val="2"/>
              <w:ind w:left="0" w:leftChars="0" w:firstLine="210" w:firstLineChars="100"/>
              <w:jc w:val="center"/>
              <w:rPr>
                <w:rFonts w:hint="eastAsia"/>
                <w:lang w:val="en-US" w:eastAsia="zh-CN"/>
              </w:rPr>
            </w:pPr>
          </w:p>
          <w:p>
            <w:pPr>
              <w:pStyle w:val="2"/>
              <w:ind w:left="0" w:leftChars="0" w:firstLine="0" w:firstLineChars="0"/>
              <w:jc w:val="both"/>
              <w:rPr>
                <w:rFonts w:hint="default"/>
                <w:lang w:val="en-US" w:eastAsia="zh-CN"/>
              </w:rPr>
            </w:pPr>
            <w:r>
              <w:rPr>
                <w:rFonts w:hint="eastAsia"/>
                <w:sz w:val="24"/>
                <w:szCs w:val="24"/>
                <w:lang w:val="en-US" w:eastAsia="zh-CN"/>
              </w:rPr>
              <w:t>价格分（10分）</w:t>
            </w:r>
          </w:p>
        </w:tc>
        <w:tc>
          <w:tcPr>
            <w:tcW w:w="9288" w:type="dxa"/>
            <w:noWrap w:val="0"/>
            <w:vAlign w:val="top"/>
          </w:tcPr>
          <w:p>
            <w:pPr>
              <w:widowControl/>
              <w:shd w:val="clear" w:color="auto" w:fill="FFFFFF"/>
              <w:adjustRightInd/>
              <w:spacing w:after="225" w:line="315" w:lineRule="atLeast"/>
              <w:jc w:val="left"/>
              <w:rPr>
                <w:rFonts w:hint="eastAsia" w:asciiTheme="majorEastAsia" w:hAnsiTheme="majorEastAsia" w:eastAsiaTheme="majorEastAsia" w:cstheme="majorEastAsia"/>
                <w:b/>
                <w:bCs/>
                <w:color w:val="auto"/>
                <w:kern w:val="2"/>
                <w:sz w:val="24"/>
                <w:szCs w:val="24"/>
                <w:highlight w:val="none"/>
                <w:lang w:val="en-US" w:eastAsia="zh-CN" w:bidi="ar-SA"/>
              </w:rPr>
            </w:pPr>
            <w:r>
              <w:rPr>
                <w:rFonts w:hint="eastAsia" w:asciiTheme="majorEastAsia" w:hAnsiTheme="majorEastAsia" w:eastAsiaTheme="majorEastAsia" w:cstheme="majorEastAsia"/>
                <w:b/>
                <w:bCs/>
                <w:color w:val="auto"/>
                <w:kern w:val="2"/>
                <w:sz w:val="24"/>
                <w:szCs w:val="24"/>
                <w:highlight w:val="none"/>
                <w:lang w:val="en-US" w:eastAsia="zh-CN" w:bidi="ar-SA"/>
              </w:rPr>
              <w:t>1、（道路保洁、绿化养护、时花养护、公厕保洁）价格分=（评标基准价/投标报价）×价格权重7%×100；</w:t>
            </w:r>
          </w:p>
          <w:p>
            <w:pPr>
              <w:widowControl/>
              <w:shd w:val="clear" w:color="auto" w:fill="FFFFFF"/>
              <w:adjustRightInd/>
              <w:spacing w:after="225" w:line="315" w:lineRule="atLeast"/>
              <w:jc w:val="left"/>
              <w:rPr>
                <w:rFonts w:hint="eastAsia" w:asciiTheme="majorEastAsia" w:hAnsiTheme="majorEastAsia" w:eastAsiaTheme="majorEastAsia" w:cstheme="majorEastAsia"/>
                <w:b/>
                <w:bCs/>
                <w:color w:val="auto"/>
                <w:kern w:val="2"/>
                <w:sz w:val="24"/>
                <w:szCs w:val="24"/>
                <w:highlight w:val="none"/>
                <w:lang w:val="en-US" w:eastAsia="zh-CN" w:bidi="ar-SA"/>
              </w:rPr>
            </w:pPr>
            <w:r>
              <w:rPr>
                <w:rFonts w:hint="eastAsia" w:asciiTheme="majorEastAsia" w:hAnsiTheme="majorEastAsia" w:eastAsiaTheme="majorEastAsia" w:cstheme="majorEastAsia"/>
                <w:b/>
                <w:bCs/>
                <w:color w:val="auto"/>
                <w:kern w:val="2"/>
                <w:sz w:val="24"/>
                <w:szCs w:val="24"/>
                <w:highlight w:val="none"/>
                <w:lang w:val="en-US" w:eastAsia="zh-CN" w:bidi="ar-SA"/>
              </w:rPr>
              <w:t>2、（市政养护）价格分=（评标基准价/投标报价）×价格权重3%×100；</w:t>
            </w:r>
          </w:p>
          <w:p>
            <w:pPr>
              <w:widowControl/>
              <w:shd w:val="clear" w:color="auto" w:fill="FFFFFF"/>
              <w:adjustRightInd/>
              <w:spacing w:after="225" w:line="315" w:lineRule="atLeast"/>
              <w:jc w:val="left"/>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b/>
                <w:bCs/>
                <w:color w:val="auto"/>
                <w:kern w:val="2"/>
                <w:sz w:val="24"/>
                <w:szCs w:val="24"/>
                <w:highlight w:val="none"/>
                <w:lang w:val="en-US" w:eastAsia="zh-CN" w:bidi="ar-SA"/>
              </w:rPr>
              <w:t>价格总分=（道路保洁、绿化养护、时花养护、公厕保洁）价格分+（市政养护）价格分</w:t>
            </w:r>
            <w:r>
              <w:rPr>
                <w:rFonts w:hint="eastAsia" w:asciiTheme="majorEastAsia" w:hAnsiTheme="majorEastAsia" w:eastAsiaTheme="majorEastAsia" w:cstheme="majorEastAsia"/>
                <w:color w:val="auto"/>
                <w:kern w:val="2"/>
                <w:sz w:val="24"/>
                <w:szCs w:val="24"/>
                <w:highlight w:val="none"/>
                <w:lang w:val="en-US" w:eastAsia="zh-CN" w:bidi="ar-SA"/>
              </w:rPr>
              <w:t>。</w:t>
            </w:r>
          </w:p>
          <w:p>
            <w:pPr>
              <w:widowControl/>
              <w:shd w:val="clear" w:color="auto" w:fill="FFFFFF"/>
              <w:adjustRightInd/>
              <w:spacing w:after="225" w:line="315" w:lineRule="atLeast"/>
              <w:jc w:val="left"/>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kern w:val="2"/>
                <w:sz w:val="24"/>
                <w:szCs w:val="24"/>
                <w:highlight w:val="none"/>
                <w:lang w:val="en-US" w:eastAsia="zh-CN" w:bidi="ar-SA"/>
              </w:rPr>
              <w:t>评标过程中，不得去掉报价中的最高报价和最低报价。</w:t>
            </w:r>
          </w:p>
          <w:p>
            <w:pPr>
              <w:pStyle w:val="2"/>
              <w:ind w:left="0" w:leftChars="0" w:firstLine="0" w:firstLineChars="0"/>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kern w:val="2"/>
                <w:sz w:val="24"/>
                <w:szCs w:val="24"/>
                <w:highlight w:val="none"/>
                <w:lang w:val="en-US" w:eastAsia="zh-CN" w:bidi="ar-SA"/>
              </w:rPr>
              <w:t>因落实政府采购政策需要进行价格调整的，以调整后的价格计算评标基准价和投标报价。</w:t>
            </w:r>
          </w:p>
        </w:tc>
      </w:tr>
    </w:tbl>
    <w:p>
      <w:pPr>
        <w:pStyle w:val="2"/>
        <w:rPr>
          <w:rFonts w:hint="eastAsia"/>
        </w:rPr>
      </w:pPr>
    </w:p>
    <w:p>
      <w:pPr>
        <w:snapToGrid w:val="0"/>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5、投标人评标综合得分=价格分+商务分+技术分</w:t>
      </w:r>
    </w:p>
    <w:p>
      <w:pPr>
        <w:pStyle w:val="966"/>
        <w:snapToGrid w:val="0"/>
        <w:ind w:left="480" w:firstLine="0" w:firstLineChars="0"/>
        <w:rPr>
          <w:rFonts w:hint="eastAsia" w:ascii="宋体" w:hAnsi="宋体" w:eastAsia="宋体" w:cs="宋体"/>
          <w:b/>
          <w:highlight w:val="none"/>
        </w:rPr>
      </w:pPr>
      <w:r>
        <w:rPr>
          <w:rFonts w:hint="eastAsia" w:ascii="宋体" w:hAnsi="宋体" w:eastAsia="宋体" w:cs="宋体"/>
          <w:b/>
          <w:highlight w:val="none"/>
        </w:rPr>
        <w:t>注：以上所涉及的证明材料，需提供扫描件制作进投标响应文件内，未提供的不得分。</w:t>
      </w:r>
    </w:p>
    <w:p>
      <w:pPr>
        <w:snapToGrid w:val="0"/>
        <w:spacing w:line="360" w:lineRule="auto"/>
        <w:ind w:firstLine="472" w:firstLineChars="196"/>
        <w:rPr>
          <w:rFonts w:hint="eastAsia" w:ascii="宋体" w:hAnsi="宋体" w:eastAsia="宋体" w:cs="宋体"/>
          <w:b/>
          <w:sz w:val="24"/>
          <w:highlight w:val="none"/>
        </w:rPr>
      </w:pPr>
      <w:r>
        <w:rPr>
          <w:rFonts w:hint="eastAsia" w:ascii="宋体" w:hAnsi="宋体" w:eastAsia="宋体" w:cs="宋体"/>
          <w:b/>
          <w:sz w:val="24"/>
          <w:highlight w:val="none"/>
        </w:rPr>
        <w:t>报价是中标的一个重要因素，但最低报价不是中标的唯一依据。</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88"/>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pPr>
        <w:pStyle w:val="8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pPr>
        <w:pStyle w:val="8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8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pPr>
        <w:pStyle w:val="8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8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pPr>
        <w:pStyle w:val="8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pPr>
        <w:pStyle w:val="88"/>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有下列情况之一的，投标无效：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4.2.12投标人仅提交备份投标文件，没有在电子交易平台传输递交投标文件的，投标无效；</w:t>
      </w:r>
    </w:p>
    <w:p>
      <w:pPr>
        <w:pStyle w:val="6"/>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pPr>
        <w:pStyle w:val="3"/>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废标后，采购机构应当将废标理由通知所有投标人。</w:t>
      </w:r>
    </w:p>
    <w:p>
      <w:pPr>
        <w:pStyle w:val="3"/>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有政府采购法第七十一条、第七十二条规定的违法行为之一，影响或者可能影响中标、成交结果的，依照下列规定处理：</w:t>
      </w:r>
    </w:p>
    <w:p>
      <w:pPr>
        <w:pStyle w:val="3"/>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7.1未确定中标或者中标人的，终止本次政府采购活动，重新开展政府采购活动。</w:t>
      </w:r>
    </w:p>
    <w:p>
      <w:pPr>
        <w:pStyle w:val="3"/>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的行为，经改正后仍然影响或者可能影响中标、成交结果或者依法被认定为中标、成交无效的，依照7.1-7.4规定处理。</w:t>
      </w:r>
    </w:p>
    <w:p>
      <w:pPr>
        <w:pStyle w:val="3"/>
        <w:snapToGrid w:val="0"/>
        <w:spacing w:line="360" w:lineRule="auto"/>
        <w:ind w:firstLine="0" w:firstLineChars="0"/>
        <w:rPr>
          <w:rFonts w:hint="eastAsia" w:ascii="宋体" w:hAnsi="宋体" w:eastAsia="宋体" w:cs="宋体"/>
          <w:color w:val="auto"/>
          <w:highlight w:val="none"/>
        </w:rPr>
      </w:pPr>
    </w:p>
    <w:bookmarkEnd w:id="25"/>
    <w:p>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391" w:name="第五部分"/>
      <w:bookmarkStart w:id="392" w:name="_Toc86217003"/>
    </w:p>
    <w:p>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pStyle w:val="82"/>
        <w:rPr>
          <w:rFonts w:hint="eastAsia" w:ascii="宋体" w:hAnsi="宋体" w:eastAsia="宋体" w:cs="宋体"/>
          <w:highlight w:val="none"/>
        </w:rPr>
      </w:pPr>
    </w:p>
    <w:p>
      <w:pPr>
        <w:rPr>
          <w:rFonts w:hint="eastAsia" w:ascii="宋体" w:hAnsi="宋体" w:eastAsia="宋体" w:cs="宋体"/>
          <w:highlight w:val="none"/>
        </w:rPr>
      </w:pPr>
    </w:p>
    <w:p>
      <w:pPr>
        <w:pStyle w:val="82"/>
        <w:rPr>
          <w:rFonts w:hint="eastAsia" w:ascii="宋体" w:hAnsi="宋体" w:eastAsia="宋体" w:cs="宋体"/>
          <w:highlight w:val="none"/>
        </w:rPr>
      </w:pPr>
    </w:p>
    <w:p>
      <w:pPr>
        <w:rPr>
          <w:rFonts w:hint="eastAsia" w:ascii="宋体" w:hAnsi="宋体" w:eastAsia="宋体" w:cs="宋体"/>
          <w:highlight w:val="none"/>
        </w:rPr>
      </w:pPr>
    </w:p>
    <w:p>
      <w:pPr>
        <w:pStyle w:val="82"/>
        <w:rPr>
          <w:rFonts w:hint="eastAsia" w:ascii="宋体" w:hAnsi="宋体" w:eastAsia="宋体" w:cs="宋体"/>
          <w:highlight w:val="none"/>
        </w:rPr>
      </w:pPr>
    </w:p>
    <w:p>
      <w:pPr>
        <w:rPr>
          <w:rFonts w:hint="eastAsia" w:ascii="宋体" w:hAnsi="宋体" w:eastAsia="宋体" w:cs="宋体"/>
          <w:highlight w:val="none"/>
        </w:rPr>
      </w:pPr>
    </w:p>
    <w:p>
      <w:pPr>
        <w:pStyle w:val="6"/>
        <w:rPr>
          <w:rFonts w:hint="eastAsia" w:ascii="宋体" w:hAnsi="宋体" w:eastAsia="宋体" w:cs="宋体"/>
          <w:highlight w:val="none"/>
        </w:rPr>
      </w:pPr>
    </w:p>
    <w:p>
      <w:pPr>
        <w:rPr>
          <w:rFonts w:hint="eastAsia" w:ascii="宋体" w:hAnsi="宋体" w:eastAsia="宋体" w:cs="宋体"/>
          <w:highlight w:val="none"/>
        </w:rPr>
      </w:pPr>
    </w:p>
    <w:p>
      <w:pPr>
        <w:pStyle w:val="6"/>
        <w:rPr>
          <w:rFonts w:hint="eastAsia" w:ascii="宋体" w:hAnsi="宋体" w:eastAsia="宋体" w:cs="宋体"/>
          <w:highlight w:val="none"/>
        </w:rPr>
      </w:pPr>
    </w:p>
    <w:p>
      <w:pPr>
        <w:pStyle w:val="82"/>
        <w:rPr>
          <w:rFonts w:hint="eastAsia" w:ascii="宋体" w:hAnsi="宋体" w:eastAsia="宋体" w:cs="宋体"/>
          <w:highlight w:val="none"/>
        </w:rPr>
      </w:pPr>
    </w:p>
    <w:p>
      <w:pPr>
        <w:rPr>
          <w:rFonts w:hint="eastAsia" w:ascii="宋体" w:hAnsi="宋体" w:eastAsia="宋体" w:cs="宋体"/>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p>
    <w:p>
      <w:pPr>
        <w:spacing w:line="480" w:lineRule="auto"/>
        <w:jc w:val="center"/>
        <w:rPr>
          <w:rFonts w:hint="eastAsia" w:ascii="宋体" w:hAnsi="宋体" w:eastAsia="宋体" w:cs="宋体"/>
          <w:b/>
          <w:color w:val="auto"/>
          <w:sz w:val="28"/>
          <w:szCs w:val="28"/>
          <w:highlight w:val="none"/>
        </w:rPr>
      </w:pPr>
    </w:p>
    <w:p>
      <w:pPr>
        <w:pStyle w:val="82"/>
        <w:rPr>
          <w:rFonts w:hint="eastAsia" w:ascii="宋体" w:hAnsi="宋体" w:eastAsia="宋体" w:cs="宋体"/>
          <w:b/>
          <w:color w:val="auto"/>
          <w:sz w:val="28"/>
          <w:szCs w:val="28"/>
          <w:highlight w:val="none"/>
        </w:rPr>
      </w:pPr>
    </w:p>
    <w:p>
      <w:pPr>
        <w:rPr>
          <w:rFonts w:hint="eastAsia" w:ascii="宋体" w:hAnsi="宋体" w:eastAsia="宋体" w:cs="宋体"/>
          <w:b/>
          <w:color w:val="auto"/>
          <w:sz w:val="28"/>
          <w:szCs w:val="28"/>
          <w:highlight w:val="none"/>
        </w:rPr>
      </w:pPr>
    </w:p>
    <w:p>
      <w:pPr>
        <w:pStyle w:val="82"/>
        <w:rPr>
          <w:rFonts w:hint="eastAsia" w:ascii="宋体" w:hAnsi="宋体" w:eastAsia="宋体" w:cs="宋体"/>
          <w:color w:val="auto"/>
          <w:highlight w:val="none"/>
        </w:rPr>
      </w:pP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政府采购合同参考范本（以实际签订为准）</w:t>
      </w: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pPr>
        <w:pStyle w:val="82"/>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pStyle w:val="82"/>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pStyle w:val="82"/>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pStyle w:val="82"/>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pStyle w:val="82"/>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pStyle w:val="82"/>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pStyle w:val="82"/>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pStyle w:val="82"/>
        <w:rPr>
          <w:rFonts w:hint="eastAsia" w:ascii="宋体" w:hAnsi="宋体" w:eastAsia="宋体" w:cs="宋体"/>
          <w:b/>
          <w:color w:val="auto"/>
          <w:sz w:val="36"/>
          <w:szCs w:val="36"/>
          <w:highlight w:val="none"/>
        </w:rPr>
      </w:pPr>
    </w:p>
    <w:p>
      <w:pPr>
        <w:spacing w:line="480" w:lineRule="auto"/>
        <w:jc w:val="center"/>
        <w:rPr>
          <w:rFonts w:hint="eastAsia" w:ascii="宋体" w:hAnsi="宋体" w:eastAsia="宋体" w:cs="宋体"/>
          <w:b/>
          <w:color w:val="auto"/>
          <w:szCs w:val="24"/>
          <w:highlight w:val="none"/>
        </w:rPr>
      </w:pPr>
    </w:p>
    <w:p>
      <w:pPr>
        <w:pStyle w:val="82"/>
        <w:rPr>
          <w:rFonts w:hint="eastAsia" w:ascii="宋体" w:hAnsi="宋体" w:eastAsia="宋体" w:cs="宋体"/>
          <w:highlight w:val="none"/>
        </w:rPr>
      </w:pPr>
    </w:p>
    <w:p>
      <w:pPr>
        <w:pStyle w:val="35"/>
        <w:snapToGrid w:val="0"/>
        <w:spacing w:line="360" w:lineRule="auto"/>
        <w:jc w:val="center"/>
        <w:rPr>
          <w:rFonts w:hint="eastAsia" w:ascii="宋体" w:hAnsi="宋体" w:eastAsia="宋体" w:cs="宋体"/>
          <w:b/>
          <w:bCs/>
          <w:color w:val="auto"/>
          <w:sz w:val="24"/>
          <w:szCs w:val="24"/>
          <w:highlight w:val="none"/>
        </w:rPr>
      </w:pPr>
      <w:bookmarkStart w:id="393" w:name="_Toc295465365"/>
      <w:bookmarkEnd w:id="393"/>
    </w:p>
    <w:p>
      <w:pPr>
        <w:pStyle w:val="35"/>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（本合同为合同样稿，最终稿由双方协商后确定）</w:t>
      </w:r>
    </w:p>
    <w:p>
      <w:pPr>
        <w:pStyle w:val="35"/>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pPr>
        <w:spacing w:line="360" w:lineRule="auto"/>
        <w:ind w:firstLine="480" w:firstLineChars="200"/>
        <w:rPr>
          <w:rFonts w:ascii="华文仿宋" w:hAnsi="华文仿宋" w:eastAsia="华文仿宋"/>
          <w:sz w:val="24"/>
        </w:rPr>
      </w:pPr>
      <w:r>
        <w:rPr>
          <w:rFonts w:hint="eastAsia" w:ascii="华文仿宋" w:hAnsi="华文仿宋" w:eastAsia="华文仿宋"/>
          <w:sz w:val="24"/>
        </w:rPr>
        <w:t>合同编号：</w:t>
      </w:r>
    </w:p>
    <w:p>
      <w:pPr>
        <w:autoSpaceDE w:val="0"/>
        <w:autoSpaceDN w:val="0"/>
        <w:snapToGrid w:val="0"/>
        <w:spacing w:line="360" w:lineRule="auto"/>
        <w:ind w:firstLine="436" w:firstLineChars="182"/>
        <w:rPr>
          <w:rFonts w:ascii="华文仿宋" w:hAnsi="华文仿宋" w:eastAsia="华文仿宋"/>
          <w:sz w:val="24"/>
        </w:rPr>
      </w:pPr>
      <w:r>
        <w:rPr>
          <w:rFonts w:ascii="华文仿宋" w:hAnsi="华文仿宋" w:eastAsia="华文仿宋"/>
          <w:sz w:val="24"/>
        </w:rPr>
        <w:t>项目名称：</w:t>
      </w:r>
    </w:p>
    <w:p>
      <w:pPr>
        <w:pStyle w:val="35"/>
        <w:snapToGrid w:val="0"/>
        <w:spacing w:line="360" w:lineRule="auto"/>
        <w:ind w:firstLine="480" w:firstLineChars="200"/>
        <w:rPr>
          <w:rFonts w:ascii="华文仿宋" w:hAnsi="华文仿宋" w:eastAsia="华文仿宋"/>
          <w:sz w:val="24"/>
          <w:szCs w:val="24"/>
        </w:rPr>
      </w:pPr>
      <w:r>
        <w:rPr>
          <w:rFonts w:ascii="华文仿宋" w:hAnsi="华文仿宋" w:eastAsia="华文仿宋"/>
          <w:sz w:val="24"/>
          <w:szCs w:val="24"/>
        </w:rPr>
        <w:t>招标编号：</w:t>
      </w:r>
    </w:p>
    <w:p>
      <w:pPr>
        <w:pStyle w:val="35"/>
        <w:snapToGrid w:val="0"/>
        <w:spacing w:line="360" w:lineRule="auto"/>
        <w:ind w:firstLine="480" w:firstLineChars="200"/>
        <w:rPr>
          <w:rFonts w:ascii="华文仿宋" w:hAnsi="华文仿宋" w:eastAsia="华文仿宋"/>
          <w:sz w:val="24"/>
          <w:szCs w:val="24"/>
        </w:rPr>
      </w:pPr>
      <w:r>
        <w:rPr>
          <w:rFonts w:ascii="华文仿宋" w:hAnsi="华文仿宋" w:eastAsia="华文仿宋"/>
          <w:sz w:val="24"/>
          <w:szCs w:val="24"/>
        </w:rPr>
        <w:t>甲方：</w:t>
      </w:r>
    </w:p>
    <w:p>
      <w:pPr>
        <w:snapToGrid w:val="0"/>
        <w:spacing w:line="360" w:lineRule="auto"/>
        <w:ind w:firstLine="480" w:firstLineChars="200"/>
        <w:jc w:val="left"/>
        <w:rPr>
          <w:rFonts w:ascii="华文仿宋" w:hAnsi="华文仿宋" w:eastAsia="华文仿宋"/>
          <w:sz w:val="24"/>
        </w:rPr>
      </w:pPr>
      <w:r>
        <w:rPr>
          <w:rFonts w:ascii="华文仿宋" w:hAnsi="华文仿宋" w:eastAsia="华文仿宋"/>
          <w:sz w:val="24"/>
        </w:rPr>
        <w:t>乙方：</w:t>
      </w:r>
    </w:p>
    <w:p>
      <w:pPr>
        <w:pStyle w:val="89"/>
        <w:snapToGrid w:val="0"/>
        <w:spacing w:line="360" w:lineRule="auto"/>
        <w:ind w:firstLine="480" w:firstLineChars="200"/>
        <w:rPr>
          <w:rFonts w:ascii="华文仿宋" w:hAnsi="华文仿宋" w:eastAsia="华文仿宋"/>
          <w:sz w:val="24"/>
          <w:szCs w:val="24"/>
        </w:rPr>
      </w:pPr>
      <w:r>
        <w:rPr>
          <w:rFonts w:ascii="华文仿宋" w:hAnsi="华文仿宋" w:eastAsia="华文仿宋"/>
          <w:sz w:val="24"/>
          <w:szCs w:val="24"/>
        </w:rPr>
        <w:t>甲、乙双方根据</w:t>
      </w:r>
      <w:r>
        <w:rPr>
          <w:rFonts w:hint="eastAsia" w:ascii="华文仿宋" w:hAnsi="华文仿宋" w:eastAsia="华文仿宋"/>
          <w:sz w:val="24"/>
          <w:szCs w:val="24"/>
        </w:rPr>
        <w:t>政府采购</w:t>
      </w:r>
      <w:r>
        <w:rPr>
          <w:rFonts w:ascii="华文仿宋" w:hAnsi="华文仿宋" w:eastAsia="华文仿宋"/>
          <w:sz w:val="24"/>
          <w:szCs w:val="24"/>
        </w:rPr>
        <w:t>公开招标的结果，</w:t>
      </w:r>
      <w:r>
        <w:rPr>
          <w:rFonts w:hint="eastAsia" w:ascii="华文仿宋" w:hAnsi="华文仿宋" w:eastAsia="华文仿宋"/>
          <w:sz w:val="24"/>
          <w:szCs w:val="24"/>
        </w:rPr>
        <w:t>依照《中华人民共和国民法典》及其他有关法律、法规，遵循平等、自愿、公平和诚实信用的原则，双方就本项目事项协商一致，订立本合同。</w:t>
      </w:r>
    </w:p>
    <w:p>
      <w:pPr>
        <w:pStyle w:val="89"/>
        <w:snapToGrid w:val="0"/>
        <w:spacing w:line="360" w:lineRule="auto"/>
        <w:ind w:firstLine="482" w:firstLineChars="200"/>
        <w:rPr>
          <w:rFonts w:ascii="华文仿宋" w:hAnsi="华文仿宋" w:eastAsia="华文仿宋"/>
          <w:b/>
          <w:sz w:val="24"/>
          <w:szCs w:val="24"/>
        </w:rPr>
      </w:pPr>
      <w:r>
        <w:rPr>
          <w:rFonts w:hint="eastAsia" w:ascii="华文仿宋" w:hAnsi="华文仿宋" w:eastAsia="华文仿宋"/>
          <w:b/>
          <w:sz w:val="24"/>
          <w:szCs w:val="24"/>
        </w:rPr>
        <w:t>一、服务内容</w:t>
      </w:r>
    </w:p>
    <w:p>
      <w:pPr>
        <w:snapToGrid w:val="0"/>
        <w:spacing w:line="360" w:lineRule="auto"/>
        <w:ind w:firstLine="472" w:firstLineChars="196"/>
        <w:rPr>
          <w:rFonts w:hint="eastAsia" w:ascii="华文仿宋" w:hAnsi="华文仿宋" w:eastAsia="华文仿宋"/>
          <w:b/>
          <w:sz w:val="24"/>
        </w:rPr>
      </w:pPr>
      <w:r>
        <w:rPr>
          <w:rFonts w:hint="eastAsia" w:ascii="华文仿宋" w:hAnsi="华文仿宋" w:eastAsia="华文仿宋"/>
          <w:b/>
          <w:sz w:val="24"/>
        </w:rPr>
        <w:t>1.项目需求：</w:t>
      </w:r>
    </w:p>
    <w:p>
      <w:pPr>
        <w:pStyle w:val="89"/>
        <w:snapToGrid w:val="0"/>
        <w:spacing w:line="360" w:lineRule="auto"/>
        <w:ind w:firstLine="480" w:firstLineChars="200"/>
        <w:jc w:val="center"/>
        <w:rPr>
          <w:rFonts w:hint="eastAsia" w:ascii="华文仿宋" w:hAnsi="华文仿宋" w:eastAsia="华文仿宋" w:cs="Times New Roman"/>
          <w:sz w:val="24"/>
          <w:szCs w:val="24"/>
        </w:rPr>
      </w:pPr>
      <w:r>
        <w:rPr>
          <w:rFonts w:hint="eastAsia" w:ascii="华文仿宋" w:hAnsi="华文仿宋" w:eastAsia="华文仿宋"/>
          <w:sz w:val="24"/>
          <w:szCs w:val="24"/>
        </w:rPr>
        <w:t>仓前街道文一西路以北区块道路保洁及绿化养护明细表</w:t>
      </w:r>
    </w:p>
    <w:tbl>
      <w:tblPr>
        <w:tblStyle w:val="64"/>
        <w:tblW w:w="94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3"/>
        <w:gridCol w:w="692"/>
        <w:gridCol w:w="1033"/>
        <w:gridCol w:w="1995"/>
        <w:gridCol w:w="913"/>
        <w:gridCol w:w="846"/>
        <w:gridCol w:w="1186"/>
        <w:gridCol w:w="1132"/>
        <w:gridCol w:w="1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序号 </w:t>
            </w:r>
          </w:p>
        </w:tc>
        <w:tc>
          <w:tcPr>
            <w:tcW w:w="6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w:t>
            </w:r>
          </w:p>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等级</w:t>
            </w: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道路名</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起止点</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长度(m)</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平均 </w:t>
            </w:r>
          </w:p>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宽度(m)</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道路及人行道面积</w:t>
            </w:r>
            <w:r>
              <w:rPr>
                <w:rFonts w:hint="eastAsia" w:ascii="宋体" w:hAnsi="宋体" w:eastAsia="宋体" w:cs="宋体"/>
                <w:color w:val="auto"/>
                <w:kern w:val="0"/>
                <w:sz w:val="21"/>
                <w:szCs w:val="21"/>
                <w:highlight w:val="none"/>
              </w:rPr>
              <w:t>(m2)</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绿化面积 (m2)</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人行道树木 数量(</w:t>
            </w:r>
            <w:r>
              <w:rPr>
                <w:rFonts w:hint="eastAsia" w:ascii="宋体" w:hAnsi="宋体" w:eastAsia="宋体" w:cs="宋体"/>
                <w:color w:val="auto"/>
                <w:kern w:val="0"/>
                <w:sz w:val="21"/>
                <w:szCs w:val="21"/>
                <w:highlight w:val="none"/>
              </w:rPr>
              <w:t>m2</w:t>
            </w:r>
            <w:r>
              <w:rPr>
                <w:rFonts w:hint="eastAsia" w:ascii="宋体" w:hAnsi="宋体" w:eastAsia="宋体" w:cs="宋体"/>
                <w:color w:val="auto"/>
                <w:kern w:val="0"/>
                <w:sz w:val="21"/>
                <w:szCs w:val="21"/>
                <w:highlight w:val="none"/>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692" w:type="dxa"/>
            <w:vMerge w:val="restart"/>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二类</w:t>
            </w:r>
          </w:p>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道路保洁标准</w:t>
            </w:r>
          </w:p>
        </w:tc>
        <w:tc>
          <w:tcPr>
            <w:tcW w:w="103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东莲街</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绿汀路-良睦路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2026</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14</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28356</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vMerge w:val="continue"/>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绿晨路-绿汀路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1361</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15</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15320</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5328</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科凯路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余杭塘路-文一西路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856</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16</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13696</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vMerge w:val="continue"/>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文一西路-葛巷路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735</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16</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11525</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向往街</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绿汀路-良睦路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28</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53700</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2300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vMerge w:val="continue"/>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良睦路-联创街</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1200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29-35</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38060</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1440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龙潭路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绿汀路-东西大道</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1460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18</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27880</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vMerge w:val="continue"/>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创景路--绿汀路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767</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20</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13807</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舒心路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余杭塘路-文一西路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1171</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28</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22360</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2237</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创景路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东莲街-文一西路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1363</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24</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32722</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1184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景兴路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东莲街-文一西路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1380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32</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45963</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海鸥路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余杭塘路-向往街</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917</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12</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11385</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云碧路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余杭塘路-良睦路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862</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12</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11095</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联创街</w:t>
            </w:r>
          </w:p>
        </w:tc>
        <w:tc>
          <w:tcPr>
            <w:tcW w:w="1995"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良睦路-高教路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1005</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40</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35309</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6055</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vMerge w:val="continue"/>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p>
        </w:tc>
        <w:tc>
          <w:tcPr>
            <w:tcW w:w="1995"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绿汀路-良睦路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2006</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20</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41150</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9000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创明路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文一西路-文二西路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966</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25</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22438</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2135</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vMerge w:val="continue"/>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东莲街-文一西路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1500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24</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34382</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1618</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12</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宝瑞港路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余杭塘路-向往街</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460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18</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8640</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海创街</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绿汀路-龙园路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962</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12</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11544</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龙泉路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绿晨路-绿汀路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1333</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14</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18230</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1064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龙舟路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东莲街-文一西路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986</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28</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24358</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5328</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绿晨路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余杭塘路-东莲街</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220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14</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2754</w:t>
            </w:r>
          </w:p>
        </w:tc>
        <w:tc>
          <w:tcPr>
            <w:tcW w:w="1132"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0</w:t>
            </w:r>
          </w:p>
        </w:tc>
        <w:tc>
          <w:tcPr>
            <w:tcW w:w="1063"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绿沙路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东莲街-余杭塘路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410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16</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5807</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0</w:t>
            </w:r>
          </w:p>
        </w:tc>
        <w:tc>
          <w:tcPr>
            <w:tcW w:w="1063"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景腾路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余杭塘路-东莲街</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120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12</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1350</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200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憧憬路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龙潭路-双池街</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240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18</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3825</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775</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亭后路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景兴路-向往街</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107</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15</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1605</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业成街</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创景路-景兴路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475</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15</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7320</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鸥翔街</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创景路-景兴路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281</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15</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4330</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w:t>
            </w:r>
          </w:p>
        </w:tc>
        <w:tc>
          <w:tcPr>
            <w:tcW w:w="692" w:type="dxa"/>
            <w:vMerge w:val="continue"/>
            <w:tcBorders>
              <w:top w:val="nil"/>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爱沙路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余杭塘路-联创街</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163</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13</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2185</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02" w:type="dxa"/>
            <w:gridSpan w:val="6"/>
            <w:tcBorders>
              <w:top w:val="single" w:color="auto" w:sz="4" w:space="0"/>
              <w:left w:val="single" w:color="auto"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小计</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551096</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36416</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02" w:type="dxa"/>
            <w:gridSpan w:val="6"/>
            <w:tcBorders>
              <w:top w:val="single" w:color="auto" w:sz="4" w:space="0"/>
              <w:left w:val="single" w:color="auto"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合计</w:t>
            </w:r>
          </w:p>
        </w:tc>
        <w:tc>
          <w:tcPr>
            <w:tcW w:w="23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587512</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r>
    </w:tbl>
    <w:p>
      <w:pPr>
        <w:snapToGrid w:val="0"/>
        <w:spacing w:line="360" w:lineRule="auto"/>
        <w:ind w:firstLine="472" w:firstLineChars="196"/>
        <w:rPr>
          <w:rFonts w:hint="eastAsia" w:ascii="华文仿宋" w:hAnsi="华文仿宋" w:eastAsia="华文仿宋"/>
          <w:b/>
          <w:sz w:val="24"/>
        </w:rPr>
      </w:pPr>
    </w:p>
    <w:p>
      <w:pPr>
        <w:pStyle w:val="3"/>
        <w:spacing w:beforeLines="0" w:afterLines="0"/>
        <w:ind w:firstLine="0"/>
        <w:jc w:val="center"/>
        <w:rPr>
          <w:rFonts w:hint="eastAsia" w:ascii="华文仿宋" w:hAnsi="华文仿宋" w:eastAsia="华文仿宋" w:cs="Times New Roman"/>
          <w:sz w:val="24"/>
          <w:szCs w:val="24"/>
          <w:lang w:val="en-US" w:eastAsia="zh-CN" w:bidi="ar-SA"/>
        </w:rPr>
      </w:pPr>
      <w:r>
        <w:rPr>
          <w:rFonts w:hint="eastAsia" w:ascii="华文仿宋" w:hAnsi="华文仿宋" w:eastAsia="华文仿宋" w:cs="Times New Roman"/>
          <w:sz w:val="24"/>
          <w:szCs w:val="24"/>
          <w:lang w:val="en-US" w:eastAsia="zh-CN" w:bidi="ar-SA"/>
        </w:rPr>
        <w:t xml:space="preserve"> 仓前街道文一西路以北区块市政养护明细表</w:t>
      </w:r>
    </w:p>
    <w:tbl>
      <w:tblPr>
        <w:tblStyle w:val="64"/>
        <w:tblW w:w="94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3"/>
        <w:gridCol w:w="589"/>
        <w:gridCol w:w="1136"/>
        <w:gridCol w:w="1995"/>
        <w:gridCol w:w="1661"/>
        <w:gridCol w:w="1623"/>
        <w:gridCol w:w="18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序号 </w:t>
            </w:r>
          </w:p>
        </w:tc>
        <w:tc>
          <w:tcPr>
            <w:tcW w:w="5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养护等级</w:t>
            </w: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道路名</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起止点</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长度(m)</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平均 </w:t>
            </w:r>
          </w:p>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宽度(m)</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道路及人行道面积</w:t>
            </w:r>
            <w:r>
              <w:rPr>
                <w:rFonts w:hint="eastAsia" w:ascii="宋体" w:hAnsi="宋体" w:eastAsia="宋体" w:cs="宋体"/>
                <w:color w:val="auto"/>
                <w:kern w:val="0"/>
                <w:sz w:val="21"/>
                <w:szCs w:val="21"/>
                <w:highlight w:val="none"/>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589" w:type="dxa"/>
            <w:vMerge w:val="restart"/>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二级市政</w:t>
            </w:r>
          </w:p>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养护标准</w:t>
            </w:r>
          </w:p>
        </w:tc>
        <w:tc>
          <w:tcPr>
            <w:tcW w:w="1136"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东莲街</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绿汀路-良睦路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2026</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14</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28356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vMerge w:val="continue"/>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绿晨路-绿汀路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1361</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15</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15320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科凯路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余杭塘路-文一西路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856</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16</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13696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vMerge w:val="continue"/>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文一西路-葛巷路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735</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16</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11525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向往街</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绿汀路-良睦路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2000</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28</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53700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vMerge w:val="continue"/>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良睦路-联创街</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1200</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29-35</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38060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龙潭路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绿汀路-东西大道</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1460</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18</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27880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vMerge w:val="continue"/>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创景路--绿汀路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767</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20</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13807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舒心路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余杭塘路-文一西路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1171</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28</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22360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创景路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东莲街-文一西路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1363</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24</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32722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景兴路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东莲街-文一西路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1380</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32</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45963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海鸥路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余杭塘路-向往街</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917</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12</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11385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云碧路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余杭塘路-良睦路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862</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12</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11095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联创街</w:t>
            </w:r>
          </w:p>
        </w:tc>
        <w:tc>
          <w:tcPr>
            <w:tcW w:w="1995"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良睦路-高教路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1005</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40</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35309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vMerge w:val="continue"/>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p>
        </w:tc>
        <w:tc>
          <w:tcPr>
            <w:tcW w:w="1995"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绿汀路-良睦路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2006</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20</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41150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创明路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文一西路-文二西路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966</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25</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22438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vMerge w:val="continue"/>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auto"/>
                <w:sz w:val="21"/>
                <w:szCs w:val="21"/>
                <w:highlight w:val="none"/>
              </w:rPr>
            </w:pP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东莲街-文一西路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1500</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24</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34382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12</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宝瑞港路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余杭塘路-向往街</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460</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18</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8640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海创街</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绿汀路-龙园路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962</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12</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11544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龙泉路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绿晨路-绿汀路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1333</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14</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000000"/>
                <w:kern w:val="0"/>
                <w:sz w:val="20"/>
                <w:szCs w:val="20"/>
                <w:highlight w:val="none"/>
                <w:lang w:bidi="ar"/>
              </w:rPr>
              <w:t>18230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龙舟路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东莲街-文一西路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986</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28</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24358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绿晨路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余杭塘路-东莲街</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220</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14</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2754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绿沙路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东莲街-余杭塘路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410</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16</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5807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景腾路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余杭塘路-东莲街</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120</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12</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憧憬路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龙潭路-双池街</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240</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18</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3825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亭后路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景兴路-向往街</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107</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15</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1605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业成街</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创景路-景兴路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475</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15</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7320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鸥翔街</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创景路-景兴路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281</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15</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4330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爱沙路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余杭塘路-联创街</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163</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13</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0"/>
                <w:szCs w:val="20"/>
                <w:highlight w:val="none"/>
                <w:lang w:bidi="ar"/>
              </w:rPr>
              <w:t>2185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27" w:type="dxa"/>
            <w:gridSpan w:val="6"/>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合计</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auto"/>
                <w:kern w:val="0"/>
                <w:sz w:val="21"/>
                <w:szCs w:val="21"/>
                <w:highlight w:val="none"/>
              </w:rPr>
              <w:t>551096</w:t>
            </w:r>
          </w:p>
        </w:tc>
      </w:tr>
    </w:tbl>
    <w:p>
      <w:pPr>
        <w:spacing w:beforeLines="0" w:afterLines="0"/>
        <w:jc w:val="center"/>
        <w:rPr>
          <w:rFonts w:hint="eastAsia" w:ascii="宋体" w:hAnsi="宋体" w:eastAsia="宋体" w:cs="宋体"/>
          <w:b/>
          <w:color w:val="auto"/>
          <w:kern w:val="0"/>
          <w:sz w:val="30"/>
          <w:szCs w:val="30"/>
          <w:highlight w:val="none"/>
        </w:rPr>
      </w:pPr>
    </w:p>
    <w:p>
      <w:pPr>
        <w:spacing w:beforeLines="0" w:afterLines="0"/>
        <w:jc w:val="center"/>
        <w:rPr>
          <w:rFonts w:hint="eastAsia" w:ascii="宋体" w:hAnsi="宋体" w:eastAsia="宋体" w:cs="宋体"/>
          <w:b/>
          <w:color w:val="auto"/>
          <w:kern w:val="0"/>
          <w:sz w:val="30"/>
          <w:szCs w:val="30"/>
          <w:highlight w:val="none"/>
        </w:rPr>
      </w:pPr>
    </w:p>
    <w:p>
      <w:pPr>
        <w:pStyle w:val="3"/>
        <w:spacing w:beforeLines="0" w:afterLines="0"/>
        <w:ind w:firstLine="0"/>
        <w:jc w:val="center"/>
        <w:rPr>
          <w:rFonts w:hint="eastAsia" w:ascii="华文仿宋" w:hAnsi="华文仿宋" w:eastAsia="华文仿宋" w:cs="Times New Roman"/>
          <w:sz w:val="24"/>
          <w:szCs w:val="24"/>
          <w:lang w:val="en-US" w:eastAsia="zh-CN" w:bidi="ar-SA"/>
        </w:rPr>
      </w:pPr>
      <w:r>
        <w:rPr>
          <w:rFonts w:hint="eastAsia" w:ascii="华文仿宋" w:hAnsi="华文仿宋" w:eastAsia="华文仿宋" w:cs="Times New Roman"/>
          <w:sz w:val="24"/>
          <w:szCs w:val="24"/>
          <w:lang w:val="en-US" w:eastAsia="zh-CN" w:bidi="ar-SA"/>
        </w:rPr>
        <w:t>仓前街道文一西路以北区块时花明细表</w:t>
      </w:r>
    </w:p>
    <w:tbl>
      <w:tblPr>
        <w:tblStyle w:val="6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96"/>
        <w:gridCol w:w="4040"/>
        <w:gridCol w:w="973"/>
        <w:gridCol w:w="973"/>
        <w:gridCol w:w="2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062" w:type="dxa"/>
            <w:gridSpan w:val="5"/>
            <w:tcBorders>
              <w:top w:val="nil"/>
              <w:left w:val="nil"/>
              <w:bottom w:val="nil"/>
              <w:right w:val="nil"/>
              <w:tl2br w:val="nil"/>
              <w:tr2bl w:val="nil"/>
            </w:tcBorders>
            <w:noWrap w:val="0"/>
            <w:vAlign w:val="center"/>
          </w:tcPr>
          <w:p>
            <w:pPr>
              <w:widowControl/>
              <w:spacing w:beforeLines="0" w:afterLines="0"/>
              <w:rPr>
                <w:rFonts w:hint="eastAsia" w:ascii="宋体" w:hAnsi="宋体" w:eastAsia="宋体" w:cs="宋体"/>
                <w:b/>
                <w:color w:val="auto"/>
                <w:kern w:val="0"/>
                <w:sz w:val="21"/>
                <w:highlight w:val="none"/>
              </w:rPr>
            </w:pPr>
            <w:r>
              <w:rPr>
                <w:rFonts w:hint="eastAsia" w:ascii="宋体" w:hAnsi="宋体" w:eastAsia="宋体" w:cs="宋体"/>
                <w:b/>
                <w:color w:val="auto"/>
                <w:kern w:val="0"/>
                <w:sz w:val="21"/>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序号</w:t>
            </w:r>
          </w:p>
        </w:tc>
        <w:tc>
          <w:tcPr>
            <w:tcW w:w="40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地址</w:t>
            </w:r>
          </w:p>
        </w:tc>
        <w:tc>
          <w:tcPr>
            <w:tcW w:w="9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名称</w:t>
            </w:r>
          </w:p>
        </w:tc>
        <w:tc>
          <w:tcPr>
            <w:tcW w:w="9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面积m2</w:t>
            </w:r>
          </w:p>
        </w:tc>
        <w:tc>
          <w:tcPr>
            <w:tcW w:w="2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1</w:t>
            </w:r>
          </w:p>
        </w:tc>
        <w:tc>
          <w:tcPr>
            <w:tcW w:w="40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科凯路（文一西路-葛巷路）</w:t>
            </w:r>
          </w:p>
        </w:tc>
        <w:tc>
          <w:tcPr>
            <w:tcW w:w="9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花坛</w:t>
            </w:r>
          </w:p>
        </w:tc>
        <w:tc>
          <w:tcPr>
            <w:tcW w:w="9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235</w:t>
            </w:r>
          </w:p>
        </w:tc>
        <w:tc>
          <w:tcPr>
            <w:tcW w:w="2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color w:val="auto"/>
                <w:kern w:val="0"/>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2</w:t>
            </w:r>
          </w:p>
        </w:tc>
        <w:tc>
          <w:tcPr>
            <w:tcW w:w="40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向往街（绿汀路-良睦路）</w:t>
            </w:r>
          </w:p>
        </w:tc>
        <w:tc>
          <w:tcPr>
            <w:tcW w:w="9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花钵</w:t>
            </w:r>
            <w:r>
              <w:rPr>
                <w:rFonts w:hint="eastAsia" w:ascii="宋体" w:hAnsi="宋体" w:eastAsia="宋体" w:cs="宋体"/>
                <w:color w:val="auto"/>
                <w:kern w:val="0"/>
                <w:sz w:val="21"/>
                <w:highlight w:val="none"/>
                <w:lang w:eastAsia="zh-CN"/>
              </w:rPr>
              <w:t>、花坛</w:t>
            </w:r>
          </w:p>
        </w:tc>
        <w:tc>
          <w:tcPr>
            <w:tcW w:w="9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88</w:t>
            </w:r>
          </w:p>
        </w:tc>
        <w:tc>
          <w:tcPr>
            <w:tcW w:w="2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color w:val="auto"/>
                <w:kern w:val="0"/>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3</w:t>
            </w:r>
          </w:p>
        </w:tc>
        <w:tc>
          <w:tcPr>
            <w:tcW w:w="40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向往街（良睦路-联创街）</w:t>
            </w:r>
          </w:p>
        </w:tc>
        <w:tc>
          <w:tcPr>
            <w:tcW w:w="9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花坛</w:t>
            </w:r>
          </w:p>
        </w:tc>
        <w:tc>
          <w:tcPr>
            <w:tcW w:w="9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100</w:t>
            </w:r>
          </w:p>
        </w:tc>
        <w:tc>
          <w:tcPr>
            <w:tcW w:w="2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color w:val="auto"/>
                <w:kern w:val="0"/>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4</w:t>
            </w:r>
          </w:p>
        </w:tc>
        <w:tc>
          <w:tcPr>
            <w:tcW w:w="40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舒心路（余杭塘路-文一西路）</w:t>
            </w:r>
          </w:p>
        </w:tc>
        <w:tc>
          <w:tcPr>
            <w:tcW w:w="9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花坛</w:t>
            </w:r>
          </w:p>
        </w:tc>
        <w:tc>
          <w:tcPr>
            <w:tcW w:w="9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50</w:t>
            </w:r>
          </w:p>
        </w:tc>
        <w:tc>
          <w:tcPr>
            <w:tcW w:w="2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color w:val="auto"/>
                <w:kern w:val="0"/>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5</w:t>
            </w:r>
          </w:p>
        </w:tc>
        <w:tc>
          <w:tcPr>
            <w:tcW w:w="40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联创街（良睦路-高教路）</w:t>
            </w:r>
          </w:p>
        </w:tc>
        <w:tc>
          <w:tcPr>
            <w:tcW w:w="9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花坛</w:t>
            </w:r>
          </w:p>
        </w:tc>
        <w:tc>
          <w:tcPr>
            <w:tcW w:w="9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68</w:t>
            </w:r>
          </w:p>
        </w:tc>
        <w:tc>
          <w:tcPr>
            <w:tcW w:w="2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color w:val="auto"/>
                <w:kern w:val="0"/>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6</w:t>
            </w:r>
          </w:p>
        </w:tc>
        <w:tc>
          <w:tcPr>
            <w:tcW w:w="40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联创街（绿汀路-良睦路）</w:t>
            </w:r>
          </w:p>
        </w:tc>
        <w:tc>
          <w:tcPr>
            <w:tcW w:w="9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lang w:val="en-US" w:eastAsia="zh-CN"/>
              </w:rPr>
              <w:t>花坛</w:t>
            </w:r>
          </w:p>
        </w:tc>
        <w:tc>
          <w:tcPr>
            <w:tcW w:w="9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95</w:t>
            </w:r>
          </w:p>
        </w:tc>
        <w:tc>
          <w:tcPr>
            <w:tcW w:w="2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color w:val="auto"/>
                <w:kern w:val="0"/>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7</w:t>
            </w:r>
          </w:p>
        </w:tc>
        <w:tc>
          <w:tcPr>
            <w:tcW w:w="40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创明路（文一西路-文二西路）</w:t>
            </w:r>
          </w:p>
        </w:tc>
        <w:tc>
          <w:tcPr>
            <w:tcW w:w="9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花坛</w:t>
            </w:r>
          </w:p>
        </w:tc>
        <w:tc>
          <w:tcPr>
            <w:tcW w:w="9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58</w:t>
            </w:r>
          </w:p>
        </w:tc>
        <w:tc>
          <w:tcPr>
            <w:tcW w:w="2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color w:val="auto"/>
                <w:kern w:val="0"/>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696" w:type="dxa"/>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合计</w:t>
            </w:r>
          </w:p>
        </w:tc>
        <w:tc>
          <w:tcPr>
            <w:tcW w:w="4040"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auto"/>
                <w:sz w:val="21"/>
                <w:highlight w:val="none"/>
              </w:rPr>
            </w:pPr>
          </w:p>
        </w:tc>
        <w:tc>
          <w:tcPr>
            <w:tcW w:w="973"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auto"/>
                <w:sz w:val="21"/>
                <w:highlight w:val="none"/>
              </w:rPr>
            </w:pPr>
          </w:p>
        </w:tc>
        <w:tc>
          <w:tcPr>
            <w:tcW w:w="973"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694</w:t>
            </w:r>
          </w:p>
        </w:tc>
        <w:tc>
          <w:tcPr>
            <w:tcW w:w="2380"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auto"/>
                <w:sz w:val="21"/>
                <w:highlight w:val="none"/>
              </w:rPr>
            </w:pPr>
          </w:p>
        </w:tc>
      </w:tr>
    </w:tbl>
    <w:p>
      <w:pPr>
        <w:rPr>
          <w:rFonts w:hint="eastAsia"/>
        </w:rPr>
      </w:pPr>
    </w:p>
    <w:p>
      <w:pPr>
        <w:pStyle w:val="3"/>
        <w:spacing w:beforeLines="0" w:afterLines="0"/>
        <w:ind w:firstLine="0"/>
        <w:jc w:val="center"/>
        <w:rPr>
          <w:rFonts w:hint="eastAsia" w:ascii="华文仿宋" w:hAnsi="华文仿宋" w:eastAsia="华文仿宋" w:cs="Times New Roman"/>
          <w:sz w:val="24"/>
          <w:szCs w:val="24"/>
          <w:lang w:val="en-US" w:eastAsia="zh-CN" w:bidi="ar-SA"/>
        </w:rPr>
      </w:pPr>
    </w:p>
    <w:p>
      <w:pPr>
        <w:pStyle w:val="3"/>
        <w:spacing w:beforeLines="0" w:afterLines="0"/>
        <w:ind w:firstLine="0"/>
        <w:jc w:val="center"/>
        <w:rPr>
          <w:rFonts w:hint="eastAsia" w:ascii="华文仿宋" w:hAnsi="华文仿宋" w:eastAsia="华文仿宋" w:cs="Times New Roman"/>
          <w:sz w:val="24"/>
          <w:szCs w:val="24"/>
          <w:lang w:val="en-US" w:eastAsia="zh-CN" w:bidi="ar-SA"/>
        </w:rPr>
      </w:pPr>
      <w:r>
        <w:rPr>
          <w:rFonts w:hint="eastAsia" w:ascii="华文仿宋" w:hAnsi="华文仿宋" w:eastAsia="华文仿宋" w:cs="Times New Roman"/>
          <w:sz w:val="24"/>
          <w:szCs w:val="24"/>
          <w:lang w:val="en-US" w:eastAsia="zh-CN" w:bidi="ar-SA"/>
        </w:rPr>
        <w:t>仓前街道文一西路以北区块公厕保洁明细表</w:t>
      </w:r>
    </w:p>
    <w:tbl>
      <w:tblPr>
        <w:tblStyle w:val="64"/>
        <w:tblpPr w:leftFromText="180" w:rightFromText="180" w:vertAnchor="text" w:horzAnchor="page" w:tblpXSpec="center" w:tblpY="259"/>
        <w:tblOverlap w:val="never"/>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4023"/>
        <w:gridCol w:w="1950"/>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8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序号</w:t>
            </w:r>
          </w:p>
        </w:tc>
        <w:tc>
          <w:tcPr>
            <w:tcW w:w="402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公厕名称</w:t>
            </w:r>
          </w:p>
        </w:tc>
        <w:tc>
          <w:tcPr>
            <w:tcW w:w="195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类别</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时间（</w:t>
            </w:r>
            <w:r>
              <w:rPr>
                <w:rFonts w:hint="eastAsia" w:ascii="宋体" w:hAnsi="宋体" w:eastAsia="宋体" w:cs="宋体"/>
                <w:color w:val="000000"/>
                <w:kern w:val="0"/>
                <w:sz w:val="20"/>
                <w:szCs w:val="20"/>
                <w:highlight w:val="none"/>
                <w:lang w:eastAsia="zh-CN" w:bidi="ar"/>
              </w:rPr>
              <w:t>年</w:t>
            </w:r>
            <w:r>
              <w:rPr>
                <w:rFonts w:hint="eastAsia" w:ascii="宋体" w:hAnsi="宋体" w:eastAsia="宋体" w:cs="宋体"/>
                <w:color w:val="000000"/>
                <w:kern w:val="0"/>
                <w:sz w:val="20"/>
                <w:szCs w:val="20"/>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8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02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闲林港一号公厕</w:t>
            </w:r>
          </w:p>
        </w:tc>
        <w:tc>
          <w:tcPr>
            <w:tcW w:w="195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标准</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8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402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闲林港二号公厕</w:t>
            </w:r>
          </w:p>
        </w:tc>
        <w:tc>
          <w:tcPr>
            <w:tcW w:w="195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标准</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8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402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闲林港三号公厕</w:t>
            </w:r>
          </w:p>
        </w:tc>
        <w:tc>
          <w:tcPr>
            <w:tcW w:w="195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标准</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8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402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红卫港公厕</w:t>
            </w:r>
          </w:p>
        </w:tc>
        <w:tc>
          <w:tcPr>
            <w:tcW w:w="195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标准</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8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w:t>
            </w:r>
          </w:p>
        </w:tc>
        <w:tc>
          <w:tcPr>
            <w:tcW w:w="402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双创中心公厕</w:t>
            </w:r>
          </w:p>
        </w:tc>
        <w:tc>
          <w:tcPr>
            <w:tcW w:w="195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标准</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8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6</w:t>
            </w:r>
          </w:p>
        </w:tc>
        <w:tc>
          <w:tcPr>
            <w:tcW w:w="402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中央公园公厕</w:t>
            </w:r>
          </w:p>
        </w:tc>
        <w:tc>
          <w:tcPr>
            <w:tcW w:w="195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标准</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8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7</w:t>
            </w:r>
          </w:p>
        </w:tc>
        <w:tc>
          <w:tcPr>
            <w:tcW w:w="402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新桥港公厕</w:t>
            </w:r>
          </w:p>
        </w:tc>
        <w:tc>
          <w:tcPr>
            <w:tcW w:w="195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标准</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val="en-US" w:eastAsia="zh-CN" w:bidi="ar"/>
              </w:rPr>
              <w:t>2</w:t>
            </w:r>
          </w:p>
        </w:tc>
      </w:tr>
    </w:tbl>
    <w:p>
      <w:pPr>
        <w:snapToGrid w:val="0"/>
        <w:spacing w:line="360" w:lineRule="auto"/>
        <w:ind w:firstLine="472" w:firstLineChars="196"/>
        <w:rPr>
          <w:rFonts w:hint="eastAsia" w:ascii="华文仿宋" w:hAnsi="华文仿宋" w:eastAsia="华文仿宋"/>
          <w:b/>
          <w:sz w:val="24"/>
        </w:rPr>
      </w:pPr>
    </w:p>
    <w:p>
      <w:pPr>
        <w:snapToGrid w:val="0"/>
        <w:spacing w:line="360" w:lineRule="auto"/>
        <w:ind w:firstLine="472" w:firstLineChars="196"/>
        <w:rPr>
          <w:rFonts w:ascii="华文仿宋" w:hAnsi="华文仿宋" w:eastAsia="华文仿宋"/>
          <w:b/>
          <w:sz w:val="24"/>
        </w:rPr>
      </w:pPr>
      <w:r>
        <w:rPr>
          <w:rFonts w:hint="eastAsia" w:ascii="华文仿宋" w:hAnsi="华文仿宋" w:eastAsia="华文仿宋"/>
          <w:b/>
          <w:sz w:val="24"/>
        </w:rPr>
        <w:t>2.项目范围：</w:t>
      </w:r>
    </w:p>
    <w:p>
      <w:pPr>
        <w:pStyle w:val="89"/>
        <w:snapToGrid w:val="0"/>
        <w:spacing w:line="360" w:lineRule="auto"/>
        <w:ind w:firstLine="480" w:firstLineChars="200"/>
        <w:rPr>
          <w:rFonts w:hint="eastAsia" w:ascii="华文仿宋" w:hAnsi="华文仿宋" w:eastAsia="华文仿宋"/>
          <w:bCs/>
          <w:sz w:val="24"/>
          <w:szCs w:val="24"/>
          <w:shd w:val="clear" w:color="auto" w:fill="FFFFFF"/>
          <w:lang w:val="en-US" w:eastAsia="zh-CN"/>
        </w:rPr>
      </w:pPr>
      <w:r>
        <w:rPr>
          <w:rFonts w:hint="eastAsia" w:ascii="华文仿宋" w:hAnsi="华文仿宋" w:eastAsia="华文仿宋"/>
          <w:bCs/>
          <w:sz w:val="24"/>
          <w:szCs w:val="24"/>
          <w:shd w:val="clear" w:color="auto" w:fill="FFFFFF"/>
          <w:lang w:val="en-US" w:eastAsia="zh-CN"/>
        </w:rPr>
        <w:t>本项目服务范围以仓前街道以文一西路以北区块，北至东莲街（含道路）西至运溪路（不含道路）南至文一西路（不含道路）东至海创路（不含道路）,该区块绿化面积36416平方米，道路及人行道保洁面积551096平方米，道路及人行道养护面积551096平方米，时花种植694平方米，标准公厕7座。</w:t>
      </w:r>
    </w:p>
    <w:p>
      <w:pPr>
        <w:pStyle w:val="89"/>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二、项目技术规范和服务要求</w:t>
      </w:r>
    </w:p>
    <w:p>
      <w:pPr>
        <w:pStyle w:val="89"/>
        <w:snapToGrid w:val="0"/>
        <w:spacing w:line="360" w:lineRule="auto"/>
        <w:ind w:firstLine="480" w:firstLineChars="200"/>
        <w:rPr>
          <w:rFonts w:hint="eastAsia" w:ascii="华文仿宋" w:hAnsi="华文仿宋" w:eastAsia="华文仿宋" w:cs="Times New Roman"/>
          <w:sz w:val="24"/>
          <w:szCs w:val="24"/>
          <w:lang w:val="en-US" w:eastAsia="zh-CN"/>
        </w:rPr>
      </w:pPr>
      <w:r>
        <w:rPr>
          <w:rFonts w:hint="eastAsia" w:ascii="华文仿宋" w:hAnsi="华文仿宋" w:eastAsia="华文仿宋"/>
          <w:sz w:val="24"/>
          <w:szCs w:val="24"/>
        </w:rPr>
        <w:t>1.</w:t>
      </w:r>
      <w:r>
        <w:rPr>
          <w:rFonts w:hint="eastAsia" w:ascii="华文仿宋" w:hAnsi="华文仿宋" w:eastAsia="华文仿宋" w:cs="Times New Roman"/>
          <w:sz w:val="24"/>
          <w:szCs w:val="24"/>
          <w:lang w:val="en-US" w:eastAsia="zh-CN"/>
        </w:rPr>
        <w:t xml:space="preserve">《杭州市城区绿地养护质量标准》（杭园文[2003]42号）、《余杭区城市化管理范围内市政、绿化、保洁、保序分级分类及考核办法（试行）的通知》（余政办[2013]76号）及杭州市现行城市绿地养护质量标准等文件中规定的作业标准。      </w:t>
      </w:r>
    </w:p>
    <w:p>
      <w:pPr>
        <w:pStyle w:val="89"/>
        <w:snapToGrid w:val="0"/>
        <w:spacing w:line="360" w:lineRule="auto"/>
        <w:ind w:firstLine="480" w:firstLineChars="200"/>
        <w:rPr>
          <w:rFonts w:hint="eastAsia" w:ascii="华文仿宋" w:hAnsi="华文仿宋" w:eastAsia="华文仿宋" w:cs="Times New Roman"/>
          <w:sz w:val="24"/>
          <w:szCs w:val="24"/>
        </w:rPr>
      </w:pPr>
      <w:r>
        <w:rPr>
          <w:rFonts w:hint="eastAsia" w:ascii="华文仿宋" w:hAnsi="华文仿宋" w:eastAsia="华文仿宋" w:cs="Times New Roman"/>
          <w:sz w:val="24"/>
          <w:szCs w:val="24"/>
          <w:lang w:val="en-US" w:eastAsia="zh-CN"/>
        </w:rPr>
        <w:t>2.</w:t>
      </w:r>
      <w:r>
        <w:rPr>
          <w:rFonts w:hint="eastAsia" w:ascii="华文仿宋" w:hAnsi="华文仿宋" w:eastAsia="华文仿宋" w:cs="Times New Roman"/>
          <w:sz w:val="24"/>
          <w:szCs w:val="24"/>
        </w:rPr>
        <w:t>《杭城管局[2019]49号文件所附《杭州市清洁度评价实施办法（2019年度）》、杭城管局[2021]138号《关于发布2021年版杭州市道路保洁经费定额的通知》等执行。</w:t>
      </w:r>
    </w:p>
    <w:p>
      <w:pPr>
        <w:pStyle w:val="89"/>
        <w:snapToGrid w:val="0"/>
        <w:spacing w:line="360" w:lineRule="auto"/>
        <w:ind w:firstLine="482" w:firstLineChars="200"/>
        <w:rPr>
          <w:rFonts w:ascii="华文仿宋" w:hAnsi="华文仿宋" w:eastAsia="华文仿宋"/>
          <w:b/>
          <w:bCs/>
          <w:sz w:val="24"/>
          <w:szCs w:val="24"/>
        </w:rPr>
      </w:pPr>
      <w:r>
        <w:rPr>
          <w:rFonts w:hint="eastAsia" w:ascii="华文仿宋" w:hAnsi="华文仿宋" w:eastAsia="华文仿宋"/>
          <w:b/>
          <w:bCs/>
          <w:sz w:val="24"/>
          <w:szCs w:val="24"/>
          <w:lang w:val="en-US" w:eastAsia="zh-CN"/>
        </w:rPr>
        <w:t>3</w:t>
      </w:r>
      <w:r>
        <w:rPr>
          <w:rFonts w:hint="eastAsia" w:ascii="华文仿宋" w:hAnsi="华文仿宋" w:eastAsia="华文仿宋"/>
          <w:b/>
          <w:bCs/>
          <w:sz w:val="24"/>
          <w:szCs w:val="24"/>
        </w:rPr>
        <w:t>.</w:t>
      </w:r>
      <w:r>
        <w:rPr>
          <w:rFonts w:hint="eastAsia" w:ascii="华文仿宋" w:hAnsi="华文仿宋" w:eastAsia="华文仿宋"/>
          <w:b/>
          <w:bCs/>
          <w:sz w:val="24"/>
          <w:szCs w:val="24"/>
          <w:lang w:val="en-US" w:eastAsia="zh-CN"/>
        </w:rPr>
        <w:t>道路保洁</w:t>
      </w:r>
      <w:r>
        <w:rPr>
          <w:rFonts w:hint="eastAsia" w:ascii="华文仿宋" w:hAnsi="华文仿宋" w:eastAsia="华文仿宋"/>
          <w:b/>
          <w:bCs/>
          <w:sz w:val="24"/>
          <w:szCs w:val="24"/>
        </w:rPr>
        <w:t>作业内容：</w:t>
      </w:r>
    </w:p>
    <w:p>
      <w:pPr>
        <w:pStyle w:val="89"/>
        <w:snapToGrid w:val="0"/>
        <w:spacing w:line="360" w:lineRule="auto"/>
        <w:ind w:firstLine="480" w:firstLineChars="200"/>
        <w:rPr>
          <w:rFonts w:hint="eastAsia" w:ascii="华文仿宋" w:hAnsi="华文仿宋" w:eastAsia="华文仿宋"/>
          <w:sz w:val="24"/>
          <w:szCs w:val="24"/>
          <w:lang w:val="en-US" w:eastAsia="zh-CN"/>
        </w:rPr>
      </w:pPr>
      <w:r>
        <w:rPr>
          <w:rFonts w:hint="eastAsia" w:ascii="华文仿宋" w:hAnsi="华文仿宋" w:eastAsia="华文仿宋"/>
          <w:sz w:val="24"/>
          <w:szCs w:val="24"/>
          <w:lang w:val="en-US" w:eastAsia="zh-CN"/>
        </w:rPr>
        <w:t>3.1、道路保洁相关要求</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1.1本项目</w:t>
      </w:r>
      <w:r>
        <w:rPr>
          <w:rFonts w:hint="eastAsia" w:ascii="华文仿宋" w:hAnsi="华文仿宋" w:eastAsia="华文仿宋"/>
          <w:sz w:val="24"/>
          <w:szCs w:val="24"/>
          <w:lang w:val="zh-CN"/>
        </w:rPr>
        <w:t>人员要求</w:t>
      </w:r>
      <w:r>
        <w:rPr>
          <w:rFonts w:hint="eastAsia" w:ascii="华文仿宋" w:hAnsi="华文仿宋" w:eastAsia="华文仿宋"/>
          <w:sz w:val="24"/>
          <w:szCs w:val="24"/>
        </w:rPr>
        <w:t>须符合专职人员基本岗位数量要求</w:t>
      </w:r>
      <w:r>
        <w:rPr>
          <w:rFonts w:hint="eastAsia" w:ascii="华文仿宋" w:hAnsi="华文仿宋" w:eastAsia="华文仿宋"/>
          <w:sz w:val="24"/>
          <w:szCs w:val="24"/>
          <w:lang w:val="zh-CN"/>
        </w:rPr>
        <w:t>。</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.1.2除项目负责人和专职保洁人员以外，供应商应根据项目保洁的实际需要配备管理人员、机械车辆驾驶人员、机修人员等，所需费用应考虑在投标总价中。</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.1.3保洁人员在岗要求男性年龄在60周岁以下</w:t>
      </w:r>
      <w:r>
        <w:rPr>
          <w:rFonts w:hint="eastAsia" w:ascii="华文仿宋" w:hAnsi="华文仿宋" w:eastAsia="华文仿宋"/>
          <w:sz w:val="24"/>
          <w:szCs w:val="24"/>
          <w:lang w:val="zh-CN"/>
        </w:rPr>
        <w:t>，女性年龄在55周岁以下，并按采购人要求完成智慧化管理措施、设施配备。大型活动、节假日、新作业方式调整或未达到管理标准等情况下</w:t>
      </w:r>
      <w:r>
        <w:rPr>
          <w:rFonts w:hint="eastAsia" w:ascii="华文仿宋" w:hAnsi="华文仿宋" w:eastAsia="华文仿宋"/>
          <w:sz w:val="24"/>
          <w:szCs w:val="24"/>
        </w:rPr>
        <w:t>应根据实际情况或采购人要求增派保洁人员、保洁设备，以确保清卫保洁质量，</w:t>
      </w:r>
      <w:r>
        <w:rPr>
          <w:rFonts w:hint="eastAsia" w:ascii="华文仿宋" w:hAnsi="华文仿宋" w:eastAsia="华文仿宋"/>
          <w:sz w:val="24"/>
          <w:szCs w:val="24"/>
          <w:lang w:val="zh-CN"/>
        </w:rPr>
        <w:t>增</w:t>
      </w:r>
      <w:r>
        <w:rPr>
          <w:rFonts w:hint="eastAsia" w:ascii="华文仿宋" w:hAnsi="华文仿宋" w:eastAsia="华文仿宋"/>
          <w:sz w:val="24"/>
          <w:szCs w:val="24"/>
        </w:rPr>
        <w:t>派人员和设备的费用应考虑在投标总报价中。</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.1.4鼓励供应商根据杭州市劳动和社会保障局、杭州市财政局“关于印发《市区“三类岗位”开发管理办法》的通知”及区政府等相关文件要求，鼓励中标供应商招聘失地失业人员参与本项目服务。</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.1.5人员用工必须符合《中华人民共和国劳动民法典》等法规的相关规定，如因违法、违规并造成不良后果的，其责任由供应商自行承担。</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.1.6 作业车辆、作业时间应符合属地交警部门要求，并按要求进行报备后实施。</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.1.7 供应商提供的设施设备，根据采购人要求统一外观，标识。</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.2保洁服务内容</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.2.1本项目涵盖采购文件第三部分采购需求项目概况及要求清单中所有道路的清扫运输、垃圾收集运输、偷倒垃圾清运等服务内容。</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2.2本项目道路中间绿化带含在道路保洁范围内，及道路两侧人行道外建筑物基石边或无建筑物外可视范围内（不少于3米）均包含在保洁范围内。</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.2.3本项目涵盖地铁站（如有）出入口台阶以下周边范围的保洁含在道路保洁范围内。</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.2.4本项目道路所附属的铁路下穿涵洞（如有）、果壳箱、交通隔离栏、路灯杆（2.2米以下部分）、交通信号杆（2.2米以下部分）均属于本项目保洁范围。</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.2.5牛皮癣清理：范围内道路、围墙、道路沿线设施（含一层建筑立面）等区域的“乱涂”、“乱张贴”等牛皮癣日常清理均属于本项目保洁范围。</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.3保洁基本要求</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.3.1</w:t>
      </w:r>
      <w:r>
        <w:rPr>
          <w:rFonts w:hint="eastAsia" w:ascii="华文仿宋" w:hAnsi="华文仿宋" w:eastAsia="华文仿宋"/>
          <w:sz w:val="24"/>
          <w:szCs w:val="24"/>
          <w:lang w:eastAsia="zh-CN"/>
        </w:rPr>
        <w:t>二</w:t>
      </w:r>
      <w:r>
        <w:rPr>
          <w:rFonts w:hint="eastAsia" w:ascii="华文仿宋" w:hAnsi="华文仿宋" w:eastAsia="华文仿宋"/>
          <w:sz w:val="24"/>
          <w:szCs w:val="24"/>
        </w:rPr>
        <w:t>级道路</w:t>
      </w:r>
    </w:p>
    <w:p>
      <w:pPr>
        <w:pStyle w:val="89"/>
        <w:snapToGrid w:val="0"/>
        <w:spacing w:line="360" w:lineRule="auto"/>
        <w:ind w:firstLine="480" w:firstLineChars="200"/>
        <w:rPr>
          <w:rFonts w:hint="eastAsia" w:ascii="华文仿宋" w:hAnsi="华文仿宋" w:eastAsia="华文仿宋"/>
          <w:sz w:val="24"/>
          <w:szCs w:val="24"/>
          <w:lang w:val="en-US" w:eastAsia="zh-CN"/>
        </w:rPr>
      </w:pPr>
      <w:r>
        <w:rPr>
          <w:rFonts w:hint="eastAsia" w:ascii="华文仿宋" w:hAnsi="华文仿宋" w:eastAsia="华文仿宋"/>
          <w:sz w:val="24"/>
          <w:szCs w:val="24"/>
          <w:lang w:val="en-US" w:eastAsia="zh-CN"/>
        </w:rPr>
        <w:t>3.3.1.1保洁时长: 18小时(4:30-22: 30)。</w:t>
      </w:r>
    </w:p>
    <w:p>
      <w:pPr>
        <w:pStyle w:val="89"/>
        <w:snapToGrid w:val="0"/>
        <w:spacing w:line="360" w:lineRule="auto"/>
        <w:ind w:firstLine="480" w:firstLineChars="200"/>
        <w:rPr>
          <w:rFonts w:hint="eastAsia" w:ascii="华文仿宋" w:hAnsi="华文仿宋" w:eastAsia="华文仿宋"/>
          <w:sz w:val="24"/>
          <w:szCs w:val="24"/>
          <w:lang w:val="en-US" w:eastAsia="zh-CN"/>
        </w:rPr>
      </w:pPr>
      <w:r>
        <w:rPr>
          <w:rFonts w:hint="eastAsia" w:ascii="华文仿宋" w:hAnsi="华文仿宋" w:eastAsia="华文仿宋"/>
          <w:sz w:val="24"/>
          <w:szCs w:val="24"/>
          <w:lang w:val="en-US" w:eastAsia="zh-CN"/>
        </w:rPr>
        <w:t>3.3.1.2快车道保洁:洒水6次1日;高压冲洗2次/日;洗扫吸三合一作业2次/日，普通机扫1次/日，要求单向两边侧石、隔高栏底下全部覆盖。</w:t>
      </w:r>
    </w:p>
    <w:p>
      <w:pPr>
        <w:pStyle w:val="89"/>
        <w:snapToGrid w:val="0"/>
        <w:spacing w:line="360" w:lineRule="auto"/>
        <w:ind w:firstLine="480" w:firstLineChars="200"/>
        <w:rPr>
          <w:rFonts w:hint="eastAsia" w:ascii="华文仿宋" w:hAnsi="华文仿宋" w:eastAsia="华文仿宋"/>
          <w:sz w:val="24"/>
          <w:szCs w:val="24"/>
          <w:lang w:val="en-US" w:eastAsia="zh-CN"/>
        </w:rPr>
      </w:pPr>
      <w:r>
        <w:rPr>
          <w:rFonts w:hint="eastAsia" w:ascii="华文仿宋" w:hAnsi="华文仿宋" w:eastAsia="华文仿宋"/>
          <w:sz w:val="24"/>
          <w:szCs w:val="24"/>
          <w:lang w:val="en-US" w:eastAsia="zh-CN"/>
        </w:rPr>
        <w:t>3.3.1.3慢车道和人行道保洁:日常普扫吹风机搭配小型慢车道清扫车作业2次/日:洗、扫、吸一体清洗作业2天1次。</w:t>
      </w:r>
    </w:p>
    <w:p>
      <w:pPr>
        <w:pStyle w:val="89"/>
        <w:snapToGrid w:val="0"/>
        <w:spacing w:line="360" w:lineRule="auto"/>
        <w:ind w:firstLine="480" w:firstLineChars="200"/>
        <w:rPr>
          <w:rFonts w:hint="eastAsia" w:ascii="华文仿宋" w:hAnsi="华文仿宋" w:eastAsia="华文仿宋"/>
          <w:sz w:val="24"/>
          <w:szCs w:val="24"/>
          <w:lang w:val="en-US" w:eastAsia="zh-CN"/>
        </w:rPr>
      </w:pPr>
      <w:r>
        <w:rPr>
          <w:rFonts w:hint="eastAsia" w:ascii="华文仿宋" w:hAnsi="华文仿宋" w:eastAsia="华文仿宋"/>
          <w:sz w:val="24"/>
          <w:szCs w:val="24"/>
          <w:lang w:val="en-US" w:eastAsia="zh-CN"/>
        </w:rPr>
        <w:t>3.3.1.4空气抑尘:配置空气抑尘设备，每天1次洒水、抑尘。</w:t>
      </w:r>
    </w:p>
    <w:p>
      <w:pPr>
        <w:pStyle w:val="89"/>
        <w:snapToGrid w:val="0"/>
        <w:spacing w:line="360" w:lineRule="auto"/>
        <w:ind w:firstLine="480" w:firstLineChars="200"/>
        <w:rPr>
          <w:rFonts w:hint="eastAsia" w:ascii="华文仿宋" w:hAnsi="华文仿宋" w:eastAsia="华文仿宋"/>
          <w:sz w:val="24"/>
          <w:szCs w:val="24"/>
          <w:lang w:val="en-US" w:eastAsia="zh-CN"/>
        </w:rPr>
      </w:pPr>
      <w:r>
        <w:rPr>
          <w:rFonts w:hint="eastAsia" w:ascii="华文仿宋" w:hAnsi="华文仿宋" w:eastAsia="华文仿宋"/>
          <w:sz w:val="24"/>
          <w:szCs w:val="24"/>
          <w:lang w:val="en-US" w:eastAsia="zh-CN"/>
        </w:rPr>
        <w:t>3.3.1.5城市家具:全覆盖擦洗2天1次。</w:t>
      </w:r>
    </w:p>
    <w:p>
      <w:pPr>
        <w:pStyle w:val="89"/>
        <w:snapToGrid w:val="0"/>
        <w:spacing w:line="360" w:lineRule="auto"/>
        <w:ind w:firstLine="480" w:firstLineChars="200"/>
        <w:rPr>
          <w:rFonts w:hint="eastAsia" w:ascii="华文仿宋" w:hAnsi="华文仿宋" w:eastAsia="华文仿宋"/>
          <w:sz w:val="24"/>
          <w:szCs w:val="24"/>
          <w:lang w:val="en-US" w:eastAsia="zh-CN"/>
        </w:rPr>
      </w:pPr>
      <w:r>
        <w:rPr>
          <w:rFonts w:hint="eastAsia" w:ascii="华文仿宋" w:hAnsi="华文仿宋" w:eastAsia="华文仿宋"/>
          <w:sz w:val="24"/>
          <w:szCs w:val="24"/>
          <w:lang w:val="en-US" w:eastAsia="zh-CN"/>
        </w:rPr>
        <w:t>3.3.1.6小广告清除:配备高压冲洗设备，每天清除小广告。</w:t>
      </w:r>
    </w:p>
    <w:p>
      <w:pPr>
        <w:pStyle w:val="89"/>
        <w:snapToGrid w:val="0"/>
        <w:spacing w:line="360" w:lineRule="auto"/>
        <w:ind w:firstLine="480" w:firstLineChars="200"/>
        <w:rPr>
          <w:rFonts w:hint="eastAsia" w:ascii="华文仿宋" w:hAnsi="华文仿宋" w:eastAsia="华文仿宋"/>
          <w:sz w:val="24"/>
          <w:szCs w:val="24"/>
          <w:lang w:val="en-US" w:eastAsia="zh-CN"/>
        </w:rPr>
      </w:pPr>
      <w:r>
        <w:rPr>
          <w:rFonts w:hint="eastAsia" w:ascii="华文仿宋" w:hAnsi="华文仿宋" w:eastAsia="华文仿宋"/>
          <w:sz w:val="24"/>
          <w:szCs w:val="24"/>
          <w:lang w:val="en-US" w:eastAsia="zh-CN"/>
        </w:rPr>
        <w:t>3.3.1.7道路栏杆:配备栏杆清洗车，每周清洗一次。</w:t>
      </w:r>
    </w:p>
    <w:p>
      <w:pPr>
        <w:pStyle w:val="89"/>
        <w:snapToGrid w:val="0"/>
        <w:spacing w:line="360" w:lineRule="auto"/>
        <w:ind w:firstLine="480" w:firstLineChars="200"/>
        <w:rPr>
          <w:rFonts w:hint="eastAsia" w:ascii="华文仿宋" w:hAnsi="华文仿宋" w:eastAsia="华文仿宋"/>
          <w:sz w:val="24"/>
          <w:szCs w:val="24"/>
          <w:lang w:val="en-US" w:eastAsia="zh-CN"/>
        </w:rPr>
      </w:pPr>
      <w:r>
        <w:rPr>
          <w:rFonts w:hint="eastAsia" w:ascii="华文仿宋" w:hAnsi="华文仿宋" w:eastAsia="华文仿宋"/>
          <w:sz w:val="24"/>
          <w:szCs w:val="24"/>
          <w:lang w:val="en-US" w:eastAsia="zh-CN"/>
        </w:rPr>
        <w:t>3.3.1.8绿化带检拾:配置小型设备，人工配合，每天1次。</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.3.1.</w:t>
      </w:r>
      <w:r>
        <w:rPr>
          <w:rFonts w:hint="eastAsia" w:ascii="华文仿宋" w:hAnsi="华文仿宋" w:eastAsia="华文仿宋"/>
          <w:sz w:val="24"/>
          <w:szCs w:val="24"/>
          <w:lang w:val="en-US" w:eastAsia="zh-CN"/>
        </w:rPr>
        <w:t>9</w:t>
      </w:r>
      <w:r>
        <w:rPr>
          <w:rFonts w:hint="eastAsia" w:ascii="华文仿宋" w:hAnsi="华文仿宋" w:eastAsia="华文仿宋"/>
          <w:sz w:val="24"/>
          <w:szCs w:val="24"/>
        </w:rPr>
        <w:t>应做到文明、清洁、安全和有序，最大限度地减少对环境的污染和对公众生活的影响。</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3.1.</w:t>
      </w:r>
      <w:r>
        <w:rPr>
          <w:rFonts w:hint="eastAsia" w:ascii="华文仿宋" w:hAnsi="华文仿宋" w:eastAsia="华文仿宋"/>
          <w:sz w:val="24"/>
          <w:szCs w:val="24"/>
          <w:lang w:val="en-US" w:eastAsia="zh-CN"/>
        </w:rPr>
        <w:t>10</w:t>
      </w:r>
      <w:r>
        <w:rPr>
          <w:rFonts w:hint="eastAsia" w:ascii="华文仿宋" w:hAnsi="华文仿宋" w:eastAsia="华文仿宋"/>
          <w:sz w:val="24"/>
          <w:szCs w:val="24"/>
        </w:rPr>
        <w:t>合理安排作业计划。清晨或深夜在居民住宅小区或周边道路进行环卫作业时，不得大声喧哗，并应注意控制机具噪音。组织机械化清扫、洒水、清洗作业应避开交通高峰时段（7：00—9：00，16：30—18：30）。</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.3.1.1</w:t>
      </w:r>
      <w:r>
        <w:rPr>
          <w:rFonts w:hint="eastAsia" w:ascii="华文仿宋" w:hAnsi="华文仿宋" w:eastAsia="华文仿宋"/>
          <w:sz w:val="24"/>
          <w:szCs w:val="24"/>
          <w:lang w:val="en-US" w:eastAsia="zh-CN"/>
        </w:rPr>
        <w:t>1</w:t>
      </w:r>
      <w:r>
        <w:rPr>
          <w:rFonts w:hint="eastAsia" w:ascii="华文仿宋" w:hAnsi="华文仿宋" w:eastAsia="华文仿宋"/>
          <w:sz w:val="24"/>
          <w:szCs w:val="24"/>
        </w:rPr>
        <w:t>下雪及雪后应根据需要，及时进行路面除雪作业 ，消除路面积雪、结冰，为道路交通畅通创造良好通行条件。清雪作业以机械化清雪为主，人工清雪为辅。清理的积雪不得堆放在雨水井口，禁止向道路路面、绿化带、绿地抛撒积雪。</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.3.1.1</w:t>
      </w:r>
      <w:r>
        <w:rPr>
          <w:rFonts w:hint="eastAsia" w:ascii="华文仿宋" w:hAnsi="华文仿宋" w:eastAsia="华文仿宋"/>
          <w:sz w:val="24"/>
          <w:szCs w:val="24"/>
          <w:lang w:val="en-US" w:eastAsia="zh-CN"/>
        </w:rPr>
        <w:t>2</w:t>
      </w:r>
      <w:r>
        <w:rPr>
          <w:rFonts w:hint="eastAsia" w:ascii="华文仿宋" w:hAnsi="华文仿宋" w:eastAsia="华文仿宋"/>
          <w:sz w:val="24"/>
          <w:szCs w:val="24"/>
        </w:rPr>
        <w:t>日常保洁时间内保洁单位需确保保洁范围干净，如有无主垃圾或其它垃圾，应加强监管，及时劝导并清理干净。</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.3.1.</w:t>
      </w:r>
      <w:r>
        <w:rPr>
          <w:rFonts w:hint="eastAsia" w:ascii="华文仿宋" w:hAnsi="华文仿宋" w:eastAsia="华文仿宋"/>
          <w:sz w:val="24"/>
          <w:szCs w:val="24"/>
          <w:lang w:val="en-US" w:eastAsia="zh-CN"/>
        </w:rPr>
        <w:t>13</w:t>
      </w:r>
      <w:r>
        <w:rPr>
          <w:rFonts w:hint="eastAsia" w:ascii="华文仿宋" w:hAnsi="华文仿宋" w:eastAsia="华文仿宋"/>
          <w:sz w:val="24"/>
          <w:szCs w:val="24"/>
        </w:rPr>
        <w:t>每辆环卫专用车辆应有GPS装置（并实现可视化），如GPS装置故障后应及时报修。GPS或定位系统以及为本项目服务提供的智慧环卫等相关费用均由中标单位承担，同时需纳入城管智慧平台，采购人不另支付任何费用。</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.3.1.1</w:t>
      </w:r>
      <w:r>
        <w:rPr>
          <w:rFonts w:hint="eastAsia" w:ascii="华文仿宋" w:hAnsi="华文仿宋" w:eastAsia="华文仿宋"/>
          <w:sz w:val="24"/>
          <w:szCs w:val="24"/>
          <w:lang w:val="en-US" w:eastAsia="zh-CN"/>
        </w:rPr>
        <w:t>4</w:t>
      </w:r>
      <w:r>
        <w:rPr>
          <w:rFonts w:hint="eastAsia" w:ascii="华文仿宋" w:hAnsi="华文仿宋" w:eastAsia="华文仿宋"/>
          <w:sz w:val="24"/>
          <w:szCs w:val="24"/>
        </w:rPr>
        <w:t>人工辅助清扫、清洗机动车道、非机动车道或清洗机动车道交通隔离栏时，应在距清扫点来车方向100M处设置警示标识，使用荧光锥形筒等警示标识围护清扫保洁区域，面向来车方向清扫，注意车辆动态。</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.3.1.1</w:t>
      </w:r>
      <w:r>
        <w:rPr>
          <w:rFonts w:hint="eastAsia" w:ascii="华文仿宋" w:hAnsi="华文仿宋" w:eastAsia="华文仿宋"/>
          <w:sz w:val="24"/>
          <w:szCs w:val="24"/>
          <w:lang w:val="en-US" w:eastAsia="zh-CN"/>
        </w:rPr>
        <w:t>5</w:t>
      </w:r>
      <w:r>
        <w:rPr>
          <w:rFonts w:hint="eastAsia" w:ascii="华文仿宋" w:hAnsi="华文仿宋" w:eastAsia="华文仿宋"/>
          <w:sz w:val="24"/>
          <w:szCs w:val="24"/>
        </w:rPr>
        <w:t>洗扫车、扫路车、洒水车、清洗车车尾应设置荧光标宽标识（或警示灯）。夜间作业时或雨雾天气等能见度较低的天气，必须启用警示灯光。环卫电动作业车辆、保洁车等小型作业车辆车身设置荧光条，车后部或车顶设置警示灯。</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.3.1.</w:t>
      </w:r>
      <w:r>
        <w:rPr>
          <w:rFonts w:hint="eastAsia" w:ascii="华文仿宋" w:hAnsi="华文仿宋" w:eastAsia="华文仿宋"/>
          <w:sz w:val="24"/>
          <w:szCs w:val="24"/>
          <w:lang w:val="en-US" w:eastAsia="zh-CN"/>
        </w:rPr>
        <w:t>16</w:t>
      </w:r>
      <w:r>
        <w:rPr>
          <w:rFonts w:hint="eastAsia" w:ascii="华文仿宋" w:hAnsi="华文仿宋" w:eastAsia="华文仿宋"/>
          <w:sz w:val="24"/>
          <w:szCs w:val="24"/>
        </w:rPr>
        <w:t>本项目环卫作业车辆须有固定场所停放，严禁停放在消防通道、公交车站、盲道等影响车辆和行人通行的公共通道。</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.3.1.</w:t>
      </w:r>
      <w:r>
        <w:rPr>
          <w:rFonts w:hint="eastAsia" w:ascii="华文仿宋" w:hAnsi="华文仿宋" w:eastAsia="华文仿宋"/>
          <w:sz w:val="24"/>
          <w:szCs w:val="24"/>
          <w:lang w:val="en-US" w:eastAsia="zh-CN"/>
        </w:rPr>
        <w:t>17</w:t>
      </w:r>
      <w:r>
        <w:rPr>
          <w:rFonts w:hint="eastAsia" w:ascii="华文仿宋" w:hAnsi="华文仿宋" w:eastAsia="华文仿宋"/>
          <w:sz w:val="24"/>
          <w:szCs w:val="24"/>
        </w:rPr>
        <w:t>承诺能及时提供人力、设备、技术等支持。</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 xml:space="preserve">.4保洁作业规范 </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.4.1道路普扫次数和时间</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.4.1.1</w:t>
      </w:r>
      <w:r>
        <w:rPr>
          <w:rFonts w:hint="eastAsia" w:ascii="华文仿宋" w:hAnsi="华文仿宋" w:eastAsia="华文仿宋"/>
          <w:sz w:val="24"/>
          <w:szCs w:val="24"/>
          <w:lang w:eastAsia="zh-CN"/>
        </w:rPr>
        <w:t>二</w:t>
      </w:r>
      <w:r>
        <w:rPr>
          <w:rFonts w:hint="eastAsia" w:ascii="华文仿宋" w:hAnsi="华文仿宋" w:eastAsia="华文仿宋"/>
          <w:sz w:val="24"/>
          <w:szCs w:val="24"/>
        </w:rPr>
        <w:t>级道路普扫作业每日不少于</w:t>
      </w:r>
      <w:r>
        <w:rPr>
          <w:rFonts w:hint="eastAsia" w:ascii="华文仿宋" w:hAnsi="华文仿宋" w:eastAsia="华文仿宋"/>
          <w:sz w:val="24"/>
          <w:szCs w:val="24"/>
          <w:lang w:val="en-US" w:eastAsia="zh-CN"/>
        </w:rPr>
        <w:t>1</w:t>
      </w:r>
      <w:r>
        <w:rPr>
          <w:rFonts w:hint="eastAsia" w:ascii="华文仿宋" w:hAnsi="华文仿宋" w:eastAsia="华文仿宋"/>
          <w:sz w:val="24"/>
          <w:szCs w:val="24"/>
        </w:rPr>
        <w:t>次。夏季（6月—8月）第一次普扫应在6：30前完成，春、秋、冬季（9月—次年5月）在7：00前完成；</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 xml:space="preserve">4.1.2应根据重大活动保障、落叶旺季等因素适时增加每日普扫频次。 </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4.2洒水（清洗）</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.4.2.1</w:t>
      </w:r>
      <w:r>
        <w:rPr>
          <w:rFonts w:hint="eastAsia" w:ascii="华文仿宋" w:hAnsi="华文仿宋" w:eastAsia="华文仿宋"/>
          <w:sz w:val="24"/>
          <w:szCs w:val="24"/>
          <w:lang w:eastAsia="zh-CN"/>
        </w:rPr>
        <w:t>二</w:t>
      </w:r>
      <w:r>
        <w:rPr>
          <w:rFonts w:hint="eastAsia" w:ascii="华文仿宋" w:hAnsi="华文仿宋" w:eastAsia="华文仿宋"/>
          <w:sz w:val="24"/>
          <w:szCs w:val="24"/>
        </w:rPr>
        <w:t>级道路作业每日不少于6次，洒水时，洒水车车速不得超过25km/h；清洗时，高压清洗车车速不得超过10km/h；机械化清扫作业。</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.4.2.2洒水时，应调整好洒水车水压和水幅，保持车行道全路段路面湿润。途经地铁站、公交站、人行横道等人流量集中的地点应注意放慢车速，避让行人，调整启闭装置，避免将水洒到行人身上。</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.4.2.3晚22时以后，洒水作业时禁止播放洒水提示音乐。中、高考等重要考试期间，洒水车途经考场周边道路时应及时关闭洒水提示音乐，夏季中午时间（12时-14时）适当降低洒水提示音量。</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.4.2.4小雨及以下雨量时，按计划保持洒水作业；中雨及以上雨量或雷阵雨期间，暂停道路洒水和清洗作业。</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.4.2.5春秋季（3月—5月、9月—11月），每日道路洒水频次作为基准遍次，即</w:t>
      </w:r>
      <w:r>
        <w:rPr>
          <w:rFonts w:hint="eastAsia" w:ascii="华文仿宋" w:hAnsi="华文仿宋" w:eastAsia="华文仿宋"/>
          <w:sz w:val="24"/>
          <w:szCs w:val="24"/>
          <w:lang w:eastAsia="zh-CN"/>
        </w:rPr>
        <w:t>二</w:t>
      </w:r>
      <w:r>
        <w:rPr>
          <w:rFonts w:hint="eastAsia" w:ascii="华文仿宋" w:hAnsi="华文仿宋" w:eastAsia="华文仿宋"/>
          <w:sz w:val="24"/>
          <w:szCs w:val="24"/>
        </w:rPr>
        <w:t>级道路每日</w:t>
      </w:r>
      <w:r>
        <w:rPr>
          <w:rFonts w:hint="eastAsia" w:ascii="华文仿宋" w:hAnsi="华文仿宋" w:eastAsia="华文仿宋"/>
          <w:sz w:val="24"/>
          <w:szCs w:val="24"/>
          <w:lang w:val="en-US" w:eastAsia="zh-CN"/>
        </w:rPr>
        <w:t>6</w:t>
      </w:r>
      <w:r>
        <w:rPr>
          <w:rFonts w:hint="eastAsia" w:ascii="华文仿宋" w:hAnsi="华文仿宋" w:eastAsia="华文仿宋"/>
          <w:sz w:val="24"/>
          <w:szCs w:val="24"/>
        </w:rPr>
        <w:t>次；夏季（6月—8月），在基准频次上每日分别增加1次；冬季（12月—2月），在基准频次上每日分别减少1次。</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.4.2.6气温低于2摄氏度时应停止清洗和洒水。</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.4.2.7根据清雪作业应急保障需要，可使用洒水车、清洗车冲刷路面积雪，并使用清雪车、扫路车等专业车辆或人工辅助，及时清除路面积水、积雪。</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.4.3机械化清扫</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.4.3.1机械化清扫范围主要为机动车道，及便于使用机械化装备清洁机动车道的交通隔离栏。</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.4.3.2清扫车或洗扫车应加足水，根据路面状况调整好扫路车侧刷和吸口，喷雾洁扫无扬尘，在规定时间和路线进行机械化清扫作业。</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.4.3.3机械化清扫作业时，扫路车或洗扫车车速不得超过10km/h。</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.4.3.4清扫时应注意观察路面清扫质量和路面障碍情况，对机械化清扫不能清除的大件垃圾或硬物，在确保作业安全的前提下，及时下车清除。</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.4.3.5当日清扫结束后，应在指定地点卸空机械化清扫车辆中的垃圾。</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.4.3.6机械化清扫车辆所用的扫把丝等消耗品应根据使用状况及时更换。</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.4.4人工普扫</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.4.4.1清扫时，在距清扫点适当位置安全警示标识。</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4.4.2道路两侧、路面等承包区域内乱涂写招贴，应使用铲刀或高压清洗机具予以清除，对粘附力强的要求用清洗剂刷洗，被清洗或清除后物体表面没有明显残留痕迹，不得采用涂料遮盖等方式简单处理，路面有污染或明显肮脏时要及时冲洗。</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.4.4.3清扫的街面垃圾、沿街果壳箱中的垃圾应密闭化运至指定地点，运输过程不得抛洒滴漏。</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.4.5人工保洁</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.4.5.1普扫结束后，应按照规定的责任保洁区域、保洁时间组织巡回保洁。落实责任保洁区域边界管理，保洁时应向保洁边界以外适当延伸（不少于3米），不留保洁盲区和空白点。</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.4.5.2应定时清运沿街果壳箱中的垃圾，做到垃圾不落地、不积存，日产日清。</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.4.5.3突发性环境卫生污染现场清理时，应严格按照应急处置方案进行保洁，及时消除污染物，恢复路面清洁。</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.4.5.4环卫电动专用作业车辆应在非机动车道顺向行驶，不得超载，且行驶速度不得超过20Km/h。</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.4.5.5保洁作业结束后，作业工具应在规定地点摆放，不得在道路路面、墙角、绿化带、绿地中存放。</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.5保洁作业质量要求</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5.1清扫应做到“五无五净”。即无垃圾杂物；无积水积泥，无痰迹烟蒂，无果皮纸屑，无土石杂草；路面干净，绿化带和树圈干净，边角侧石干净，雨水井盖沟眼畅通干净，果壳箱等环卫设施干净、路面见本色。</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5.2三化四分相关要求：本项目的供应商应按照杭州市垃圾分类工作的具体要求，确定生活垃圾分类（易腐垃圾、其他垃圾、可回收物、有害垃圾），并完成保洁范围内四类垃圾的分类、收集以及垃圾的清运工作。</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 xml:space="preserve">.5.3其他要求：   </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 xml:space="preserve">（1）遇有窨井盖丢失、破损等，承包方必须及时上报采购人。  </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 xml:space="preserve">（2）遇有重大活动或突发事件，及时组织力量做好清扫保洁保障工作。   </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（3）遇有重大活动以及抗台、抗雪等突发事件，必须及时组织力量做好清扫保洁等应急保障工作，按照城市管理保障应急机制要求，保证人员及时到位，并根据应急指令服从统一调配。</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.6.管理要求</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.6.1供应商在保洁作业中投入的机械设备、人员配置等必须与投标文件中所承诺的数量规格相符合。加强日常作业质量管理，相关计划及报告按采购人要求准时递交。</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.6.2规范管理、文明作业、自觉接受采购人及其上级各部门领导的检查和社会监督，对出现的问题要及时整改。</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6.3作业时应严格遵守交通规则、遵守劳动纪律、遵守安全操作规程，作业人员须统一穿戴有反光标识的工作服，佩证上岗。加强日常安全生产管理，确保职工人身安全。如遇各种意外事故发生由中标单位自行负责，并依照法律法规妥善处理（事故情况应在30分钟内及时书面告知采购人）。</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.6.4果壳箱应定期保养保持整洁完好无缺失，承包期间因操作或管理不善造成破损、缺失的，由中标单位承担费用并负责修复或更新（果壳箱更换款式应保持原样，或经采购人同意后调整款式）。</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.6.5专用作业车辆（含人力三轮车）符合环卫标准化管理要求，外观喷漆及规格符合采购人要求，机动、人力车辆应按时冲洗保养保持外观整洁，无抛洒滴漏、无满溢、无吊挂。</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.6.6垃圾应倾倒在指定的垃圾堆放场地，不得焚烧垃圾、树叶，确需垃圾二次转运的应在指定地点进行，不得直接在保洁道路上进行。</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 xml:space="preserve">.6.7如遇渣土抛洒污染路面等情况，中标单位应及时上报采购人，并做好照片资料，同时进行道路冲洗清理。   </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.6.8无新闻媒体曝光，对“12345”市长公开电话和有关受理中心及信访处相关问题，处理、回复及时到位。加强管理，确保在国家、省、市、区的各项检查中不失责任分。</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3..7</w:t>
      </w:r>
      <w:r>
        <w:rPr>
          <w:rFonts w:hint="eastAsia" w:ascii="华文仿宋" w:hAnsi="华文仿宋" w:eastAsia="华文仿宋"/>
          <w:sz w:val="24"/>
          <w:szCs w:val="24"/>
        </w:rPr>
        <w:t>、偷倒垃圾清运要求</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w:t>
      </w: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1服务内容：主要为本项目采购人管养范围内偷倒的垃圾清运工作，垃圾运至</w:t>
      </w:r>
      <w:r>
        <w:rPr>
          <w:rFonts w:hint="eastAsia" w:ascii="华文仿宋" w:hAnsi="华文仿宋" w:eastAsia="华文仿宋"/>
          <w:sz w:val="24"/>
          <w:szCs w:val="24"/>
          <w:lang w:eastAsia="zh-CN"/>
        </w:rPr>
        <w:t>仓前街道指</w:t>
      </w:r>
      <w:r>
        <w:rPr>
          <w:rFonts w:hint="eastAsia" w:ascii="华文仿宋" w:hAnsi="华文仿宋" w:eastAsia="华文仿宋"/>
          <w:sz w:val="24"/>
          <w:szCs w:val="24"/>
        </w:rPr>
        <w:t>定的消纳处置场所，相关费包含在本次招标内容中。</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w:t>
      </w: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2具体要求：</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1）在服务期内，供应商应加强所承包范围内防止垃圾偷倒的管理工作。如在所承包范围内发生偷倒，需完成偷倒的垃圾清运工作，垃圾的装车、运输至消纳处置场，因乱倒垃圾不符合相关要求所引发的问题，由供应商承担所有责任及赔偿费用。</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（2）车辆要求：本项目所需的作业车辆应具有有效的道路运输经营许可证，并到采购单位备案。</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（3）装运时必须密封整洁，不得沿路抛撒、滴漏。遵守环境卫生作业标准、规范，装运后及时复位，清理作业场地，保持场地周边环境干净整洁；装运时须铺设地垫等设施，防止污染路面，做到车走地净。</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（4）清理的时间要求：2小时之内清理。</w:t>
      </w:r>
    </w:p>
    <w:p>
      <w:pPr>
        <w:pStyle w:val="89"/>
        <w:snapToGrid w:val="0"/>
        <w:spacing w:line="360" w:lineRule="auto"/>
        <w:rPr>
          <w:rFonts w:hint="eastAsia" w:ascii="华文仿宋" w:hAnsi="华文仿宋" w:eastAsia="华文仿宋" w:cs="Times New Roman"/>
          <w:b/>
          <w:bCs/>
          <w:sz w:val="24"/>
          <w:szCs w:val="24"/>
        </w:rPr>
      </w:pPr>
      <w:r>
        <w:rPr>
          <w:rFonts w:hint="eastAsia" w:ascii="华文仿宋" w:hAnsi="华文仿宋" w:eastAsia="华文仿宋" w:cs="Times New Roman"/>
          <w:b/>
          <w:bCs/>
          <w:sz w:val="24"/>
          <w:szCs w:val="24"/>
          <w:lang w:val="en-US" w:eastAsia="zh-CN"/>
        </w:rPr>
        <w:t>4</w:t>
      </w:r>
      <w:r>
        <w:rPr>
          <w:rFonts w:hint="eastAsia" w:ascii="华文仿宋" w:hAnsi="华文仿宋" w:eastAsia="华文仿宋" w:cs="Times New Roman"/>
          <w:b/>
          <w:bCs/>
          <w:sz w:val="24"/>
          <w:szCs w:val="24"/>
        </w:rPr>
        <w:t>、绿化养护质量服务标准：</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4</w:t>
      </w:r>
      <w:r>
        <w:rPr>
          <w:rFonts w:hint="eastAsia" w:ascii="华文仿宋" w:hAnsi="华文仿宋" w:eastAsia="华文仿宋"/>
          <w:sz w:val="24"/>
          <w:szCs w:val="24"/>
        </w:rPr>
        <w:t>.1.道路绿化带养护标准</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总体标准：指道路绿化带养护的整体质量，内容有养护质量、树木存活率、设施维护、土肥标准、病虫害防治标准及管理标准。</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4</w:t>
      </w:r>
      <w:r>
        <w:rPr>
          <w:rFonts w:hint="eastAsia" w:ascii="华文仿宋" w:hAnsi="华文仿宋" w:eastAsia="华文仿宋"/>
          <w:sz w:val="24"/>
          <w:szCs w:val="24"/>
        </w:rPr>
        <w:t>.1.1.植物养护标准：按道路绿化带的立地条件，对植物进行特殊养护、精心养护，使植物健康生长，具有良好的道路景观。</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4.</w:t>
      </w:r>
      <w:r>
        <w:rPr>
          <w:rFonts w:hint="eastAsia" w:ascii="华文仿宋" w:hAnsi="华文仿宋" w:eastAsia="华文仿宋"/>
          <w:sz w:val="24"/>
          <w:szCs w:val="24"/>
        </w:rPr>
        <w:t>1.2.树木种植成活率标准：当年新栽植物成活率达95%以上，保存率98%以上，无缺株、死株。</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4</w:t>
      </w:r>
      <w:r>
        <w:rPr>
          <w:rFonts w:hint="eastAsia" w:ascii="华文仿宋" w:hAnsi="华文仿宋" w:eastAsia="华文仿宋"/>
          <w:sz w:val="24"/>
          <w:szCs w:val="24"/>
        </w:rPr>
        <w:t>.1.3.土肥标准：土壤疏松，无积水，种植土低于容器（或侧石）上沿5cm；充分利用有机肥，也可用复合肥，增强土壤肥力（要求一年施肥二次，有机肥或复合肥总量不少于0.5kg／㎡），其理化性状应符合下列规定：ph值为6.7—7.5之间；石砾粒径≤5cm（高架挂箱石砾粒径≤2cm），含量≤8%（w/w）；有机质含量≥25g/kg。</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4</w:t>
      </w:r>
      <w:r>
        <w:rPr>
          <w:rFonts w:hint="eastAsia" w:ascii="华文仿宋" w:hAnsi="华文仿宋" w:eastAsia="华文仿宋"/>
          <w:sz w:val="24"/>
          <w:szCs w:val="24"/>
        </w:rPr>
        <w:t>.1.4.病虫害防治标准：提倡综合防治，病虫害应控制在以不影响观赏效果的危害程度之内。</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4</w:t>
      </w:r>
      <w:r>
        <w:rPr>
          <w:rFonts w:hint="eastAsia" w:ascii="华文仿宋" w:hAnsi="华文仿宋" w:eastAsia="华文仿宋"/>
          <w:sz w:val="24"/>
          <w:szCs w:val="24"/>
        </w:rPr>
        <w:t>.1.5.道路绿化带的具体养管标准。</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（1）道路绿化带景观要求。</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（2）采用修剪等特殊手法，控制植物高度，植物高度不得影响交通视线。</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（3）特殊地段的景观应按设计精心养护，形成有特色的植物景观。整形植物必须及时修剪保持形态，悬垂植物生长健壮，及时通过修剪去除枯死枝和调整高度及生长密度，整体效果良好。</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（4）花卉花期整齐，株行距适宜，无空秃、色彩效果好。</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（5）绿带必须无裸地，可种植地被植物或草坪。</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（6）绿带内无枯枝残叶、无杂草，整洁无垃圾；每天冲洗一次以上，植物叶面无积尘。</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（7）辅助设施（包括支撑物和悬挂容器）必须安全、完好、整洁、美观。</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（8）道路绿化带及悬垂挂箱冬季浇水应注意不要让水溢出，避免造成路面结冰。</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4</w:t>
      </w:r>
      <w:r>
        <w:rPr>
          <w:rFonts w:hint="eastAsia" w:ascii="华文仿宋" w:hAnsi="华文仿宋" w:eastAsia="华文仿宋"/>
          <w:sz w:val="24"/>
          <w:szCs w:val="24"/>
        </w:rPr>
        <w:t>.</w:t>
      </w:r>
      <w:r>
        <w:rPr>
          <w:rFonts w:hint="eastAsia" w:ascii="华文仿宋" w:hAnsi="华文仿宋" w:eastAsia="华文仿宋"/>
          <w:sz w:val="24"/>
          <w:szCs w:val="24"/>
          <w:lang w:val="en-US" w:eastAsia="zh-CN"/>
        </w:rPr>
        <w:t>1</w:t>
      </w:r>
      <w:r>
        <w:rPr>
          <w:rFonts w:hint="eastAsia" w:ascii="华文仿宋" w:hAnsi="华文仿宋" w:eastAsia="华文仿宋"/>
          <w:sz w:val="24"/>
          <w:szCs w:val="24"/>
        </w:rPr>
        <w:t>.6.道路绿化带养护作业必须穿着有反光条的工作服，做到文明作业，尽量减少对行车的干扰。</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4</w:t>
      </w:r>
      <w:r>
        <w:rPr>
          <w:rFonts w:hint="eastAsia" w:ascii="华文仿宋" w:hAnsi="华文仿宋" w:eastAsia="华文仿宋"/>
          <w:sz w:val="24"/>
          <w:szCs w:val="24"/>
        </w:rPr>
        <w:t>.2.养护管理其他要求：</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1）投标方在养护作业中投入的机械设备、人员配置等必须与投标文件中所承诺的数量规格相符合。加强日常作业质量管理，做好作业质量自查日记，按时报送工作报表，一般每月25日前将下月工作计划上报采购人。</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（2）规范管理、文明作业、自觉接受采购人及其上级各部门领导的检查和社会监督，对出现的问题要及时整改。</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3）作业时应严格遵守交通规则、遵守安全操作规程，作业人员上路作业时须统一穿戴安全反光背心。加强日常安全生产管理，确保职工人身安全。如遇各种意外事故发生由中标单位自行负责，并依照法律法规妥善处理（事故情况应及时书面告知采购人）。</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4）①对枯死的树木应连同根部在规定时间内挖除，并在挖除后3天内补种完毕，补种苗木的规格、品种和原苗木基本相同，特殊情况无法补种原规格苗木的，需经采购人同意。②建筑废弃物在接到通知后24小时内清理完毕并及时外运。③因养护企业巡查不力，遇到因人为或其它因素造成的苗木损坏，包括因重大活动造成的损坏，养护企业必须无条件在3天内补种完毕，如遇特殊情况无法及时补种，须经采购人同意。④未经采购人同意，中标单位不得擅自挖掘毁坏苗木，一经发现，责令整改，通报批评，情节严重的，终止合同。</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5）制定全年及每月绿地养护工作计划，主要包括绿地的各类养护措施（如施肥、修剪、病虫害防治、植物浇水等）、养护质量及安全保证、养护应急管理预案（抗旱、抗涝、抗台、抗寒、抗雪等）、重点技术措施等，并于中标后及时上报采购人。安排养护管理力量，制定劳动力计划表，做好突击性工作的应急安排等，落实专职养护人员名单，养护管理责任人名单。制定时花调换全年计划，包括图案设计方案、花卉品种、调换时间、养护管理等。</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（6）道路绿化中标后，应给每一个道路绿化工作人员购买人身意外伤害保险；</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（7）加强绿化养护应急响应管理工作，具体要求参照《杭州市城区绿化防台树木支撑工作方案》。</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①制定灾害性天气应急预案，建立应急救灾队伍，将应急预案和人员名单上报采购人备案。</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②建立应急备货制，备货的内容有：抗旱、抗涝、抗台、抗寒、抗雪等物资（支撑钢管、毛竹、水泵、遮阴网、草包等），快速支撑钢管只能做为一部分应急物资储备，不是唯一的抗台应急物资。</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 xml:space="preserve">③遇灾害性天气，听从采购人统一指挥，及时组织人员夏季抗旱、抗台，冬季遇积雪必须及时组织人员进行抗雪。遇到树木斜倒时，根据采购人要求，做好清障扶正工作。 </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④做好防台树木支撑工作，在市气象台发出台风预警信号以后，立即做好树木支撑工作。</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（8）中标单位根据采购人通知要求，做好各类“迎检”和“创建”准备工作。</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（9）经过园林绿化管理部门批准的绿地内挖掘及占用绿地时，中标单位应予以积极配合，复种后的绿地应由中标单位负责正常养护。</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（10）绿化养护期内产生的各种的垃圾必须进入垃圾中转站，其处理产生费用由中标单位负责。</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（11）中标单位在养护管理期间，由于养管不力，采购人有权终止合同，并由中标单位承担一切责任。</w:t>
      </w:r>
    </w:p>
    <w:p>
      <w:pPr>
        <w:pStyle w:val="89"/>
        <w:snapToGrid w:val="0"/>
        <w:spacing w:line="360" w:lineRule="auto"/>
        <w:ind w:firstLine="482" w:firstLineChars="200"/>
        <w:rPr>
          <w:rFonts w:hint="eastAsia" w:ascii="华文仿宋" w:hAnsi="华文仿宋" w:eastAsia="华文仿宋"/>
          <w:b/>
          <w:bCs/>
          <w:sz w:val="24"/>
          <w:szCs w:val="24"/>
          <w:lang w:val="en-US" w:eastAsia="zh-CN"/>
        </w:rPr>
      </w:pPr>
      <w:r>
        <w:rPr>
          <w:rFonts w:hint="eastAsia" w:ascii="华文仿宋" w:hAnsi="华文仿宋" w:eastAsia="华文仿宋"/>
          <w:b/>
          <w:bCs/>
          <w:sz w:val="24"/>
          <w:szCs w:val="24"/>
          <w:lang w:val="en-US" w:eastAsia="zh-CN"/>
        </w:rPr>
        <w:t>5.市政道路养护内容：</w:t>
      </w:r>
    </w:p>
    <w:p>
      <w:pPr>
        <w:pStyle w:val="89"/>
        <w:snapToGrid w:val="0"/>
        <w:spacing w:line="360" w:lineRule="auto"/>
        <w:ind w:firstLine="480" w:firstLineChars="200"/>
        <w:rPr>
          <w:rFonts w:hint="eastAsia" w:ascii="华文仿宋" w:hAnsi="华文仿宋" w:eastAsia="华文仿宋"/>
          <w:sz w:val="24"/>
          <w:szCs w:val="24"/>
          <w:lang w:val="en-US" w:eastAsia="zh-CN"/>
        </w:rPr>
      </w:pPr>
      <w:r>
        <w:rPr>
          <w:rFonts w:hint="eastAsia" w:ascii="华文仿宋" w:hAnsi="华文仿宋" w:eastAsia="华文仿宋"/>
          <w:sz w:val="24"/>
          <w:szCs w:val="24"/>
          <w:lang w:val="en-US" w:eastAsia="zh-CN"/>
        </w:rPr>
        <w:t>5.1、范围内的破损道路、侧石、人行道的维修及养护；</w:t>
      </w:r>
    </w:p>
    <w:p>
      <w:pPr>
        <w:pStyle w:val="89"/>
        <w:snapToGrid w:val="0"/>
        <w:spacing w:line="360" w:lineRule="auto"/>
        <w:ind w:firstLine="480" w:firstLineChars="200"/>
        <w:rPr>
          <w:rFonts w:hint="eastAsia" w:ascii="华文仿宋" w:hAnsi="华文仿宋" w:eastAsia="华文仿宋"/>
          <w:sz w:val="24"/>
          <w:szCs w:val="24"/>
          <w:lang w:val="en-US" w:eastAsia="zh-CN"/>
        </w:rPr>
      </w:pPr>
      <w:r>
        <w:rPr>
          <w:rFonts w:hint="eastAsia" w:ascii="华文仿宋" w:hAnsi="华文仿宋" w:eastAsia="华文仿宋"/>
          <w:sz w:val="24"/>
          <w:szCs w:val="24"/>
          <w:lang w:val="en-US" w:eastAsia="zh-CN"/>
        </w:rPr>
        <w:t>5.2、缺失、破损窨井盖的更换与安装及养护；</w:t>
      </w:r>
    </w:p>
    <w:p>
      <w:pPr>
        <w:pStyle w:val="89"/>
        <w:snapToGrid w:val="0"/>
        <w:spacing w:line="360" w:lineRule="auto"/>
        <w:ind w:firstLine="480" w:firstLineChars="200"/>
        <w:rPr>
          <w:rFonts w:hint="eastAsia" w:ascii="华文仿宋" w:hAnsi="华文仿宋" w:eastAsia="华文仿宋"/>
          <w:sz w:val="24"/>
          <w:szCs w:val="24"/>
          <w:lang w:val="en-US" w:eastAsia="zh-CN"/>
        </w:rPr>
      </w:pPr>
      <w:r>
        <w:rPr>
          <w:rFonts w:hint="eastAsia" w:ascii="华文仿宋" w:hAnsi="华文仿宋" w:eastAsia="华文仿宋"/>
          <w:sz w:val="24"/>
          <w:szCs w:val="24"/>
          <w:lang w:val="en-US" w:eastAsia="zh-CN"/>
        </w:rPr>
        <w:t>5.3、市政雨水管道、雨水检井等设施养护、市政排水管道及窨井淤泥清理外运及管道CCTV检测、检查井检修、雨水管道的疏通；并制作雨水管道详细档案；</w:t>
      </w:r>
    </w:p>
    <w:p>
      <w:pPr>
        <w:pStyle w:val="89"/>
        <w:snapToGrid w:val="0"/>
        <w:spacing w:line="360" w:lineRule="auto"/>
        <w:ind w:firstLine="480" w:firstLineChars="200"/>
        <w:rPr>
          <w:rFonts w:hint="eastAsia" w:ascii="华文仿宋" w:hAnsi="华文仿宋" w:eastAsia="华文仿宋"/>
          <w:sz w:val="24"/>
          <w:szCs w:val="24"/>
          <w:lang w:val="en-US" w:eastAsia="zh-CN"/>
        </w:rPr>
      </w:pPr>
      <w:r>
        <w:rPr>
          <w:rFonts w:hint="eastAsia" w:ascii="华文仿宋" w:hAnsi="华文仿宋" w:eastAsia="华文仿宋"/>
          <w:sz w:val="24"/>
          <w:szCs w:val="24"/>
          <w:lang w:val="en-US" w:eastAsia="zh-CN"/>
        </w:rPr>
        <w:t>5.4、甲方委托的其它市政设施维修、管养工作。</w:t>
      </w:r>
    </w:p>
    <w:p>
      <w:pPr>
        <w:pStyle w:val="89"/>
        <w:snapToGrid w:val="0"/>
        <w:spacing w:line="360" w:lineRule="auto"/>
        <w:ind w:firstLine="480" w:firstLineChars="200"/>
        <w:rPr>
          <w:rFonts w:hint="eastAsia" w:ascii="华文仿宋" w:hAnsi="华文仿宋" w:eastAsia="华文仿宋"/>
          <w:sz w:val="24"/>
          <w:szCs w:val="24"/>
          <w:lang w:val="en-US" w:eastAsia="zh-CN"/>
        </w:rPr>
      </w:pPr>
      <w:r>
        <w:rPr>
          <w:rFonts w:hint="eastAsia" w:ascii="华文仿宋" w:hAnsi="华文仿宋" w:eastAsia="华文仿宋"/>
          <w:sz w:val="24"/>
          <w:szCs w:val="24"/>
          <w:lang w:val="en-US" w:eastAsia="zh-CN"/>
        </w:rPr>
        <w:t>5.5二级市政设施养护标准</w:t>
      </w:r>
    </w:p>
    <w:p>
      <w:pPr>
        <w:pStyle w:val="89"/>
        <w:snapToGrid w:val="0"/>
        <w:spacing w:line="360" w:lineRule="auto"/>
        <w:ind w:firstLine="480" w:firstLineChars="200"/>
        <w:rPr>
          <w:rFonts w:hint="eastAsia" w:ascii="华文仿宋" w:hAnsi="华文仿宋" w:eastAsia="华文仿宋"/>
          <w:sz w:val="24"/>
          <w:szCs w:val="24"/>
          <w:lang w:val="en-US" w:eastAsia="zh-CN"/>
        </w:rPr>
      </w:pPr>
      <w:r>
        <w:rPr>
          <w:rFonts w:hint="eastAsia" w:ascii="华文仿宋" w:hAnsi="华文仿宋" w:eastAsia="华文仿宋"/>
          <w:sz w:val="24"/>
          <w:szCs w:val="24"/>
          <w:lang w:val="en-US" w:eastAsia="zh-CN"/>
        </w:rPr>
        <w:t>路面养护标准：路面平整无裂缝，无坑洼、沉陷、堆积物；沥青路面线裂缝小于0.5cm；网裂、碎裂面积小于0.1㎡；沥青路面车辙、沉陷、拥包面积小于0.1㎡；沥青路面剥落、坑槽、啃边面积小于0.1㎡。</w:t>
      </w:r>
    </w:p>
    <w:p>
      <w:pPr>
        <w:pStyle w:val="89"/>
        <w:snapToGrid w:val="0"/>
        <w:spacing w:line="360" w:lineRule="auto"/>
        <w:ind w:firstLine="480" w:firstLineChars="200"/>
        <w:rPr>
          <w:rFonts w:hint="eastAsia" w:ascii="华文仿宋" w:hAnsi="华文仿宋" w:eastAsia="华文仿宋"/>
          <w:sz w:val="24"/>
          <w:szCs w:val="24"/>
          <w:lang w:val="en-US" w:eastAsia="zh-CN"/>
        </w:rPr>
      </w:pPr>
      <w:r>
        <w:rPr>
          <w:rFonts w:hint="eastAsia" w:ascii="华文仿宋" w:hAnsi="华文仿宋" w:eastAsia="华文仿宋"/>
          <w:sz w:val="24"/>
          <w:szCs w:val="24"/>
          <w:lang w:val="en-US" w:eastAsia="zh-CN"/>
        </w:rPr>
        <w:t>人行道养护标准：人行道板铺砌平整，牢固稳定；侧石、平石整齐稳固，线型顺直；裂缝长度小于3m，宽度小于5mm；人行道下沉或拱起变形小于20mm，面积小于1㎡；人行道铺装材料统一，砌块及平侧石松动破碎面积小于0.1㎡。</w:t>
      </w:r>
    </w:p>
    <w:p>
      <w:pPr>
        <w:pStyle w:val="89"/>
        <w:snapToGrid w:val="0"/>
        <w:spacing w:line="360" w:lineRule="auto"/>
        <w:ind w:firstLine="480" w:firstLineChars="200"/>
        <w:rPr>
          <w:rFonts w:hint="eastAsia" w:ascii="华文仿宋" w:hAnsi="华文仿宋" w:eastAsia="华文仿宋"/>
          <w:sz w:val="24"/>
          <w:szCs w:val="24"/>
          <w:lang w:val="en-US" w:eastAsia="zh-CN"/>
        </w:rPr>
      </w:pPr>
      <w:r>
        <w:rPr>
          <w:rFonts w:hint="eastAsia" w:ascii="华文仿宋" w:hAnsi="华文仿宋" w:eastAsia="华文仿宋"/>
          <w:sz w:val="24"/>
          <w:szCs w:val="24"/>
          <w:lang w:val="en-US" w:eastAsia="zh-CN"/>
        </w:rPr>
        <w:t>路灯设施管养标准：路灯设施完好率达98％，亮灯率达98％，城市照明及其附属设施外观整洁、安全、完好；按时亮灯熄灯，在盛夏高温季节按照有序用电要求实施亮灯；电杆配电箱等附属设施完好，无破损、油漆剥落和锈斑；灯杆无倾斜，路灯设施无缺损现象；照明质量好，照明亮度在标准范围内；无缺亮、断亮现象；控制箱完好无损；内部线路连接整齐、牢固，重大节庆活动、重大会展活动、重大体育赛事、重要接待活动或其他临时应急活动期间的亮灯保障，亮灯保障安全有序，亮灯率达100%；路灯养护采用机械化作业，文明安全施工，无安全责任事故。</w:t>
      </w:r>
    </w:p>
    <w:p>
      <w:pPr>
        <w:pStyle w:val="89"/>
        <w:snapToGrid w:val="0"/>
        <w:spacing w:line="360" w:lineRule="auto"/>
        <w:ind w:firstLine="480" w:firstLineChars="200"/>
        <w:rPr>
          <w:rFonts w:hint="eastAsia" w:ascii="华文仿宋" w:hAnsi="华文仿宋" w:eastAsia="华文仿宋"/>
          <w:sz w:val="24"/>
          <w:szCs w:val="24"/>
          <w:lang w:val="en-US" w:eastAsia="zh-CN"/>
        </w:rPr>
      </w:pPr>
      <w:r>
        <w:rPr>
          <w:rFonts w:hint="eastAsia" w:ascii="华文仿宋" w:hAnsi="华文仿宋" w:eastAsia="华文仿宋"/>
          <w:sz w:val="24"/>
          <w:szCs w:val="24"/>
          <w:lang w:val="en-US" w:eastAsia="zh-CN"/>
        </w:rPr>
        <w:t>排水设施养护标准：排水设施完好，无阻水物，泄水孔畅通，无积水；排水管道通畅，积泥深度不超过1/3管径；雨水口蓖子不得高于路面影响进水；各类管线井框固定平稳，井盖与井框吻合，无破裂、缺失现象。</w:t>
      </w:r>
    </w:p>
    <w:p>
      <w:pPr>
        <w:pStyle w:val="89"/>
        <w:snapToGrid w:val="0"/>
        <w:spacing w:line="360" w:lineRule="auto"/>
        <w:ind w:firstLine="480" w:firstLineChars="200"/>
        <w:rPr>
          <w:rFonts w:hint="eastAsia" w:ascii="华文仿宋" w:hAnsi="华文仿宋" w:eastAsia="华文仿宋"/>
          <w:sz w:val="24"/>
          <w:szCs w:val="24"/>
          <w:lang w:val="en-US" w:eastAsia="zh-CN"/>
        </w:rPr>
      </w:pPr>
      <w:r>
        <w:rPr>
          <w:rFonts w:hint="eastAsia" w:ascii="华文仿宋" w:hAnsi="华文仿宋" w:eastAsia="华文仿宋"/>
          <w:sz w:val="24"/>
          <w:szCs w:val="24"/>
          <w:lang w:val="en-US" w:eastAsia="zh-CN"/>
        </w:rPr>
        <w:t>城市桥梁设施养护标准：桥面平整，无坑洞、波浪；泄水孔无堵塞、损坏；伸缩缝无松动、破损；人行道、栏杆等设施无断裂；翼墙、侧墙无下沉变形；墩台与基础无滑动倾斜；支座完好，无锈蚀、脱位；钢梁构件无扭曲变形、油漆层无起皮脱落、腐蚀生锈等情况。</w:t>
      </w:r>
    </w:p>
    <w:p>
      <w:pPr>
        <w:pStyle w:val="89"/>
        <w:snapToGrid w:val="0"/>
        <w:spacing w:line="360" w:lineRule="auto"/>
        <w:ind w:firstLine="482" w:firstLineChars="200"/>
        <w:rPr>
          <w:rFonts w:hint="eastAsia" w:ascii="华文仿宋" w:hAnsi="华文仿宋" w:eastAsia="华文仿宋"/>
          <w:sz w:val="24"/>
          <w:szCs w:val="24"/>
        </w:rPr>
      </w:pPr>
      <w:r>
        <w:rPr>
          <w:rFonts w:hint="eastAsia" w:ascii="华文仿宋" w:hAnsi="华文仿宋" w:eastAsia="华文仿宋"/>
          <w:b/>
          <w:bCs/>
          <w:sz w:val="24"/>
          <w:szCs w:val="24"/>
          <w:lang w:val="en-US" w:eastAsia="zh-CN"/>
        </w:rPr>
        <w:t>6.</w:t>
      </w:r>
      <w:r>
        <w:rPr>
          <w:rFonts w:hint="eastAsia" w:ascii="华文仿宋" w:hAnsi="华文仿宋" w:eastAsia="华文仿宋"/>
          <w:b/>
          <w:bCs/>
          <w:sz w:val="24"/>
          <w:szCs w:val="24"/>
        </w:rPr>
        <w:t>时花花坛的养护标准：</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（1）布置效果：按设计精心养护，有全年用花计划，做到四季有花，花期整齐，图案美观，布置效果良好。</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（2）花卉生长：花卉植株生长健壮，花色艳丽，始花期方可上花坛种植，株行距适宜，不露底土。无缺株倒伏，无枯枝残花，无杂草垃圾。</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w:t>
      </w: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）参照《杭州市城区花坛、花境养护管理规定（试行）》，加强对花卉的养护管理。</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w:t>
      </w:r>
      <w:r>
        <w:rPr>
          <w:rFonts w:hint="eastAsia" w:ascii="华文仿宋" w:hAnsi="华文仿宋" w:eastAsia="华文仿宋"/>
          <w:sz w:val="24"/>
          <w:szCs w:val="24"/>
          <w:lang w:val="en-US" w:eastAsia="zh-CN"/>
        </w:rPr>
        <w:t>4</w:t>
      </w:r>
      <w:r>
        <w:rPr>
          <w:rFonts w:hint="eastAsia" w:ascii="华文仿宋" w:hAnsi="华文仿宋" w:eastAsia="华文仿宋"/>
          <w:sz w:val="24"/>
          <w:szCs w:val="24"/>
        </w:rPr>
        <w:t xml:space="preserve">）时花更换全年至少为六次，在每一次更换时必须要将时花品种、数量（时花种植每平方不得少于49株、中盆）方案事先向招标方报备，由招标方确定种植方案，否则将作无更换时花处理，种后由招标方现场验收签字确定。 </w:t>
      </w:r>
    </w:p>
    <w:p>
      <w:pPr>
        <w:pStyle w:val="89"/>
        <w:snapToGrid w:val="0"/>
        <w:spacing w:line="360" w:lineRule="auto"/>
        <w:ind w:firstLine="482" w:firstLineChars="200"/>
        <w:rPr>
          <w:rFonts w:hint="eastAsia" w:ascii="华文仿宋" w:hAnsi="华文仿宋" w:eastAsia="华文仿宋" w:cs="Times New Roman"/>
          <w:b/>
          <w:bCs/>
          <w:sz w:val="24"/>
          <w:szCs w:val="24"/>
          <w:lang w:val="en-US" w:eastAsia="zh-CN"/>
        </w:rPr>
      </w:pPr>
      <w:r>
        <w:rPr>
          <w:rFonts w:hint="eastAsia" w:ascii="华文仿宋" w:hAnsi="华文仿宋" w:eastAsia="华文仿宋" w:cs="Times New Roman"/>
          <w:b/>
          <w:bCs/>
          <w:sz w:val="24"/>
          <w:szCs w:val="24"/>
          <w:lang w:val="en-US" w:eastAsia="zh-CN"/>
        </w:rPr>
        <w:t>7.公厕管理质量要求和管理时间</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.1、管理人员和开放时间要求</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.1.1现有公厕 7座，需配备保洁人员不少于14人。标准公厕7座，16小时保洁，人员不少14人，公厕实行免费开放，不得计费，且公厕内不得出现任何经营性行为；</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.1.2公厕内失物应交还失主，未见失主的应交公处理；</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.1.3工作人员要尊重游客和上厕人员，不得与其发生冲突；</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.1.4公厕的管理制度及保洁制度按规定公示；</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.1.5公厕内所产生的垃圾必须每天运到指定的垃圾中转站进行处理。</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.2、公厕内设施的维护要求</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.2.1公厕内设施出现破坏的，承包方要组织维修人员在2日内完成修复或更换；</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.2.2供水、供电、排水、通风等设备完好，有效保证使用，除险问题的必须12小时以内修复；</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.2.3墙壁、地面、隔断板、洗手台、门窗、便器、开关、手柄、门锁等设施损坏的必须要在两天内修复或更换；</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.2.4公厕内设置的标志保持清洁、完整、规范如出现破损的，必须在2小时以内修复或更换。</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.3、清掏公厕（包括化粪池）要求，每年清理化粪池不少于2次（6月和12月各一次）。</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.3.1随时清掏粪便不得外溢；</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.3.2清掏时不得泄漏、遗撒；</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.3.3清掏的废物承包方应按照规定运往粪便无害化处理部门进行无害化处理，并向甲方出示有关无害化处理单据证明，不得乱排乱倒。</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.4、公厕保洁要求</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4.1地面保洁无污物，清洗冲刷地面时应设置国家规定的防滑志；</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.4.2墙壁、门窗、隔断板等整洁无乱涂乱画等污迹物；</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.4.3便器及时冲刷，无粪迹、尿迹和其他污物；</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.4.4定时喷洒灭蚊蝇药物，做到随有随灭；</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.4.5纸篓无污迹、无隔夜垃圾；</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.4.6空气流通无臭味；</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.4.7厕所设施和工具摆放有序，干净整洁；</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.4.8按照规定时间、地点和方式倾倒废物；</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.4.9外墙屋顶及卫生负责区内环境整洁无杂物。</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.5、人员要求</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.5.1人员必须身体健康、年龄男性须小于60周岁，女性须小于55周岁；</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.5.2工作人员上岗前必须经过培训；</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.6、机械设备要求</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.6.1投标单位自行解决作业工具、设备及保洁用品。车辆产生的养路费、油费、水费、维护费等一切费用由投标单位自理。</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.7、台帐资料管理</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.7.1中标单位年度、季度、月度有报表、工作计划，年终有总结；</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.7.2中标单位与主管单位有工作联系单制度和工作落实情况记录；</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7.3中标单位本着以保证环卫保洁管理项目达到优良的标准进行管理，应建立系统、健全的业务管理制度和标准作业规范，加强对作业队伍和作业机械的管理，分工明确，认真落实质量岗位责任制，各项基础设施台帐资料齐全，真实可信，并如实上报；</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7.4中标单位要建立巡查制度，完善巡查日报，建立月报制度。</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.8、组织管理</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.8.1环卫保洁工作由街道环卫所统一管理，保洁经费纳入财政预算。应制定相关管理制度，负责日常监管和年度考核等工作；</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.8.2中标单位应强化内部作业和管理制度，加强对内部人员的安全和责任教育，建立完善的作业和巡查登记制度，强化责任考核和整改制度，自觉接受政府、媒体和社会团体的监督；</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8.3各社区、企事业和个人对环卫保洁工作负有监管责任。</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.9、其他</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.9.1承包方必须按照杭州市地方标准规范〈公共厕所保洁与服务规范〉DB3301/T 74-2016、〈余杭区城市化管理范围内绿化、市政、保洁分级分类办法及相关养护标准的实施意见（试行）〉（余政办[2011]250号）、〈余杭区城市化管理范围内市政设施、公建绿地、环卫保洁管理工作考核办法（试行）〉（余政办[2011]257号）和本招标文件进行作业。如在合同期内，行业主管部门颁发新的检查考核标准则以最新文件标准作业，合同金额不予调整。</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9.2作业人员上岗必须参加养老、人身意外等保险。其中人身意外险必须在签订合同后一个月内办理完毕并提交招标人审核，否则招标人有权终止合同，各种意外伤亡事故，均由承包人自行解决，发包人概不负责；</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.9.3如需车辆作业时遵守交通管理法规，保证安全。确保车辆整洁，设施完好，密闭运输，如有破损及时修复。发生各种意外事故由承包方自行解决，所产生的费用全部由承包方自行承担；</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.9.4鼓励使用本地区的失地或下岗人员，在同等条件下给予优先考虑；</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.9.5规范管理，文明作业，自觉接受城管部门、各级领导的检查和社会舆论的监督；</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.9.6上述保洁标准及要求中未明确的事项按杭州市地方标准规范〈公共厕所保洁与服务规范〉DB3301/T 74-2016、〈余杭区城市化管理范围内绿化、市政、保洁分级分类办法及相关养护标准的实施意见（试行）〉（余政办[2011]250号）、〈余杭区城市化管理范围内市政设施、公建绿地、环卫保洁管理工作考核办法（试行）〉（余政办[2011]257号）执行。</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.10、具体管理要求：</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.10.1、清洁公司责任到人，全日开放，方便群众，优质服务；</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.10.2、照明，供水排水设施完好，如有损坏，及时修复，以保证居民正常使用；</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.10.3、工具、物品等摆放整齐；</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.10.4、所有公厕对公民实行免费；</w:t>
      </w:r>
    </w:p>
    <w:p>
      <w:pPr>
        <w:pStyle w:val="89"/>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.10.5、公厕指示牌、标志牌等规范齐全；</w:t>
      </w:r>
    </w:p>
    <w:p>
      <w:pPr>
        <w:pStyle w:val="89"/>
        <w:snapToGrid w:val="0"/>
        <w:spacing w:line="360" w:lineRule="auto"/>
        <w:ind w:firstLine="480" w:firstLineChars="200"/>
        <w:rPr>
          <w:rFonts w:hint="eastAsia" w:ascii="华文仿宋" w:hAnsi="华文仿宋" w:eastAsia="华文仿宋"/>
          <w:b/>
          <w:bCs/>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.10.6公厕内需有厕纸、垃圾袋、除臭液、清洁用品等易耗品</w:t>
      </w:r>
    </w:p>
    <w:p>
      <w:pPr>
        <w:pStyle w:val="89"/>
        <w:snapToGrid w:val="0"/>
        <w:spacing w:line="360" w:lineRule="auto"/>
        <w:rPr>
          <w:rFonts w:ascii="华文仿宋" w:hAnsi="华文仿宋" w:eastAsia="华文仿宋"/>
          <w:b/>
          <w:bCs/>
          <w:sz w:val="24"/>
          <w:szCs w:val="24"/>
        </w:rPr>
      </w:pPr>
      <w:r>
        <w:rPr>
          <w:rFonts w:hint="eastAsia" w:ascii="华文仿宋" w:hAnsi="华文仿宋" w:eastAsia="华文仿宋"/>
          <w:b/>
          <w:bCs/>
          <w:sz w:val="24"/>
          <w:szCs w:val="24"/>
        </w:rPr>
        <w:t>二、服务时间要求</w:t>
      </w:r>
    </w:p>
    <w:p>
      <w:pPr>
        <w:pStyle w:val="89"/>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本项目承包期限为贰年，具体自2022年月日起至2024年月日止。若在合同期内乙方有严重违约行为，甲方有权提前终止合同，由此造成的一切后果和损失由乙方承担。</w:t>
      </w:r>
    </w:p>
    <w:p>
      <w:pPr>
        <w:pStyle w:val="89"/>
        <w:snapToGrid w:val="0"/>
        <w:spacing w:line="360" w:lineRule="auto"/>
        <w:rPr>
          <w:rFonts w:hint="eastAsia" w:ascii="华文仿宋" w:hAnsi="华文仿宋" w:eastAsia="华文仿宋"/>
          <w:b/>
          <w:bCs/>
          <w:sz w:val="24"/>
          <w:szCs w:val="24"/>
        </w:rPr>
      </w:pPr>
      <w:r>
        <w:rPr>
          <w:rFonts w:hint="eastAsia" w:ascii="华文仿宋" w:hAnsi="华文仿宋" w:eastAsia="华文仿宋"/>
          <w:b/>
          <w:bCs/>
          <w:sz w:val="24"/>
          <w:szCs w:val="24"/>
        </w:rPr>
        <w:t>三、合同金额</w:t>
      </w:r>
    </w:p>
    <w:p>
      <w:pPr>
        <w:pStyle w:val="89"/>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标项合同金额为（大写） 元，（￥ 元）人民币。</w:t>
      </w:r>
    </w:p>
    <w:p>
      <w:pPr>
        <w:pStyle w:val="89"/>
        <w:snapToGrid w:val="0"/>
        <w:spacing w:line="360" w:lineRule="auto"/>
        <w:rPr>
          <w:rFonts w:hint="eastAsia" w:ascii="华文仿宋" w:hAnsi="华文仿宋" w:eastAsia="华文仿宋"/>
          <w:b/>
          <w:bCs/>
          <w:sz w:val="24"/>
          <w:szCs w:val="24"/>
        </w:rPr>
      </w:pPr>
      <w:r>
        <w:rPr>
          <w:rFonts w:hint="eastAsia" w:ascii="华文仿宋" w:hAnsi="华文仿宋" w:eastAsia="华文仿宋"/>
          <w:b/>
          <w:bCs/>
          <w:sz w:val="24"/>
          <w:szCs w:val="24"/>
        </w:rPr>
        <w:t>四、技术资料</w:t>
      </w:r>
    </w:p>
    <w:p>
      <w:pPr>
        <w:pStyle w:val="89"/>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1、乙方应按招标文件规定的时间向甲方提供有关技术资料。</w:t>
      </w:r>
    </w:p>
    <w:p>
      <w:pPr>
        <w:pStyle w:val="89"/>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89"/>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 xml:space="preserve"> 3、乙方应履行保密义务，对于所有与甲方有关的资料和信息，乙方均应作为秘密信息对待。除非甲方事先通知许可，双方均承诺不将对方取得的信息披露或透露给无关人员。</w:t>
      </w:r>
    </w:p>
    <w:p>
      <w:pPr>
        <w:pStyle w:val="89"/>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4、乙方应按规定与队员订立书面劳动合同，并为队员统一缴纳社保。</w:t>
      </w:r>
    </w:p>
    <w:p>
      <w:pPr>
        <w:pStyle w:val="89"/>
        <w:snapToGrid w:val="0"/>
        <w:spacing w:line="360" w:lineRule="auto"/>
        <w:rPr>
          <w:rFonts w:hint="eastAsia" w:ascii="华文仿宋" w:hAnsi="华文仿宋" w:eastAsia="华文仿宋"/>
          <w:b/>
          <w:bCs/>
          <w:sz w:val="24"/>
          <w:szCs w:val="24"/>
        </w:rPr>
      </w:pPr>
      <w:r>
        <w:rPr>
          <w:rFonts w:hint="eastAsia" w:ascii="华文仿宋" w:hAnsi="华文仿宋" w:eastAsia="华文仿宋"/>
          <w:b/>
          <w:bCs/>
          <w:sz w:val="24"/>
          <w:szCs w:val="24"/>
        </w:rPr>
        <w:t>五、知识产权</w:t>
      </w:r>
    </w:p>
    <w:p>
      <w:pPr>
        <w:pStyle w:val="89"/>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乙方应保证提供服务过程中不会侵犯任何第三方的知识产权。</w:t>
      </w:r>
    </w:p>
    <w:p>
      <w:pPr>
        <w:pStyle w:val="89"/>
        <w:snapToGrid w:val="0"/>
        <w:spacing w:line="360" w:lineRule="auto"/>
        <w:rPr>
          <w:rFonts w:hint="eastAsia" w:ascii="华文仿宋" w:hAnsi="华文仿宋" w:eastAsia="华文仿宋"/>
          <w:b/>
          <w:bCs/>
          <w:sz w:val="24"/>
          <w:szCs w:val="24"/>
        </w:rPr>
      </w:pPr>
      <w:r>
        <w:rPr>
          <w:rFonts w:hint="eastAsia" w:ascii="华文仿宋" w:hAnsi="华文仿宋" w:eastAsia="华文仿宋"/>
          <w:b/>
          <w:bCs/>
          <w:sz w:val="24"/>
          <w:szCs w:val="24"/>
        </w:rPr>
        <w:t>六、履约保证金</w:t>
      </w:r>
    </w:p>
    <w:p>
      <w:pPr>
        <w:pStyle w:val="89"/>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合同签订前乙方需向甲方提交中标总额2.5的履约保证金，在服务期满后三十天内退还（不计息）。</w:t>
      </w:r>
    </w:p>
    <w:p>
      <w:pPr>
        <w:pStyle w:val="89"/>
        <w:snapToGrid w:val="0"/>
        <w:spacing w:line="360" w:lineRule="auto"/>
        <w:rPr>
          <w:rFonts w:hint="eastAsia" w:ascii="华文仿宋" w:hAnsi="华文仿宋" w:eastAsia="华文仿宋"/>
          <w:b/>
          <w:bCs/>
          <w:sz w:val="24"/>
          <w:szCs w:val="24"/>
        </w:rPr>
      </w:pPr>
      <w:r>
        <w:rPr>
          <w:rFonts w:hint="eastAsia" w:ascii="华文仿宋" w:hAnsi="华文仿宋" w:eastAsia="华文仿宋"/>
          <w:b/>
          <w:bCs/>
          <w:sz w:val="24"/>
          <w:szCs w:val="24"/>
        </w:rPr>
        <w:t>七、转包或分包</w:t>
      </w:r>
    </w:p>
    <w:p>
      <w:pPr>
        <w:pStyle w:val="89"/>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1、本合同范围的服务，应由乙方直接供应，不得转让他人供应；</w:t>
      </w:r>
    </w:p>
    <w:p>
      <w:pPr>
        <w:pStyle w:val="89"/>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2、除非得到甲方的书面同意，乙方不得将本合同范围的服务全部或部分分包给他人供应；</w:t>
      </w:r>
    </w:p>
    <w:p>
      <w:pPr>
        <w:pStyle w:val="89"/>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3、如有转让和未经甲方同意的分包行为，甲方有权解除合同，没收履约保证金并追究乙方的违约责任。</w:t>
      </w:r>
    </w:p>
    <w:p>
      <w:pPr>
        <w:pStyle w:val="89"/>
        <w:snapToGrid w:val="0"/>
        <w:spacing w:line="360" w:lineRule="auto"/>
        <w:rPr>
          <w:rFonts w:hint="eastAsia" w:ascii="华文仿宋" w:hAnsi="华文仿宋" w:eastAsia="华文仿宋"/>
          <w:b/>
          <w:bCs/>
          <w:sz w:val="24"/>
          <w:szCs w:val="24"/>
        </w:rPr>
      </w:pPr>
      <w:r>
        <w:rPr>
          <w:rFonts w:hint="eastAsia" w:ascii="华文仿宋" w:hAnsi="华文仿宋" w:eastAsia="华文仿宋"/>
          <w:b/>
          <w:bCs/>
          <w:sz w:val="24"/>
          <w:szCs w:val="24"/>
        </w:rPr>
        <w:t>八、合同履行时间、履行方式及履行地点</w:t>
      </w:r>
    </w:p>
    <w:p>
      <w:pPr>
        <w:pStyle w:val="89"/>
        <w:snapToGrid w:val="0"/>
        <w:spacing w:line="360" w:lineRule="auto"/>
        <w:ind w:firstLine="480" w:firstLineChars="200"/>
        <w:rPr>
          <w:rFonts w:ascii="华文仿宋" w:hAnsi="华文仿宋" w:eastAsia="华文仿宋"/>
          <w:sz w:val="24"/>
          <w:szCs w:val="24"/>
        </w:rPr>
      </w:pPr>
      <w:r>
        <w:rPr>
          <w:rFonts w:ascii="华文仿宋" w:hAnsi="华文仿宋" w:eastAsia="华文仿宋"/>
          <w:sz w:val="24"/>
          <w:szCs w:val="24"/>
        </w:rPr>
        <w:t>1</w:t>
      </w:r>
      <w:r>
        <w:rPr>
          <w:rFonts w:hint="eastAsia" w:ascii="华文仿宋" w:hAnsi="华文仿宋" w:eastAsia="华文仿宋"/>
          <w:sz w:val="24"/>
          <w:szCs w:val="24"/>
        </w:rPr>
        <w:t>、履行时间：（2022年月日-</w:t>
      </w:r>
      <w:r>
        <w:rPr>
          <w:rFonts w:ascii="华文仿宋" w:hAnsi="华文仿宋" w:eastAsia="华文仿宋"/>
          <w:sz w:val="24"/>
          <w:szCs w:val="24"/>
        </w:rPr>
        <w:t>202</w:t>
      </w:r>
      <w:r>
        <w:rPr>
          <w:rFonts w:hint="eastAsia" w:ascii="华文仿宋" w:hAnsi="华文仿宋" w:eastAsia="华文仿宋"/>
          <w:sz w:val="24"/>
          <w:szCs w:val="24"/>
        </w:rPr>
        <w:t>4年月日）；</w:t>
      </w:r>
    </w:p>
    <w:p>
      <w:pPr>
        <w:pStyle w:val="89"/>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2、履行</w:t>
      </w:r>
      <w:r>
        <w:rPr>
          <w:rFonts w:ascii="华文仿宋" w:hAnsi="华文仿宋" w:eastAsia="华文仿宋"/>
          <w:sz w:val="24"/>
          <w:szCs w:val="24"/>
        </w:rPr>
        <w:t>地点：</w:t>
      </w:r>
    </w:p>
    <w:p>
      <w:pPr>
        <w:pStyle w:val="89"/>
        <w:snapToGrid w:val="0"/>
        <w:spacing w:line="360" w:lineRule="auto"/>
        <w:rPr>
          <w:rFonts w:hint="eastAsia" w:ascii="华文仿宋" w:hAnsi="华文仿宋" w:eastAsia="华文仿宋"/>
          <w:b/>
          <w:bCs/>
          <w:sz w:val="24"/>
          <w:szCs w:val="24"/>
          <w:lang w:eastAsia="zh-CN"/>
        </w:rPr>
      </w:pPr>
      <w:r>
        <w:rPr>
          <w:rFonts w:hint="eastAsia" w:ascii="华文仿宋" w:hAnsi="华文仿宋" w:eastAsia="华文仿宋"/>
          <w:b/>
          <w:bCs/>
          <w:sz w:val="24"/>
          <w:szCs w:val="24"/>
        </w:rPr>
        <w:t>九、款项支付</w:t>
      </w:r>
      <w:r>
        <w:rPr>
          <w:rFonts w:hint="eastAsia" w:ascii="华文仿宋" w:hAnsi="华文仿宋" w:eastAsia="华文仿宋"/>
          <w:b/>
          <w:bCs/>
          <w:sz w:val="24"/>
          <w:szCs w:val="24"/>
          <w:lang w:eastAsia="zh-CN"/>
        </w:rPr>
        <w:t>：</w:t>
      </w:r>
    </w:p>
    <w:p>
      <w:pPr>
        <w:pStyle w:val="89"/>
        <w:snapToGrid w:val="0"/>
        <w:spacing w:line="360" w:lineRule="auto"/>
        <w:ind w:firstLine="480" w:firstLineChars="200"/>
        <w:rPr>
          <w:rFonts w:hint="eastAsia" w:ascii="华文仿宋" w:hAnsi="华文仿宋" w:eastAsia="华文仿宋"/>
          <w:sz w:val="24"/>
          <w:szCs w:val="24"/>
          <w:lang w:val="en-US" w:eastAsia="zh-CN"/>
        </w:rPr>
      </w:pPr>
      <w:r>
        <w:rPr>
          <w:rFonts w:hint="eastAsia" w:ascii="华文仿宋" w:hAnsi="华文仿宋" w:eastAsia="华文仿宋"/>
          <w:sz w:val="24"/>
          <w:szCs w:val="24"/>
          <w:lang w:val="en-US" w:eastAsia="zh-CN"/>
        </w:rPr>
        <w:t>1、绿化养护、道路保洁、时花养护、公厕保洁付款方式：采用先作业后拨付的方式，根据街道对中标人每季度的考核结果按照处罚措施的约定于次月15日前支付上季度道路保洁、绿化养护、时花养护、公厕保洁款项。甲方付款前，乙方应提供正式发票交甲方审核。因甲方支付上述款项须报财政审批，乙方同意在甲方通过财政审批且取得相应款项后支付，具体审批付款流程按仓前街道办事处规定执行</w:t>
      </w:r>
    </w:p>
    <w:p>
      <w:pPr>
        <w:pStyle w:val="89"/>
        <w:snapToGrid w:val="0"/>
        <w:spacing w:line="360" w:lineRule="auto"/>
        <w:ind w:firstLine="480" w:firstLineChars="200"/>
        <w:rPr>
          <w:rFonts w:hint="eastAsia" w:ascii="华文仿宋" w:hAnsi="华文仿宋" w:eastAsia="华文仿宋"/>
          <w:sz w:val="24"/>
          <w:szCs w:val="24"/>
          <w:lang w:val="en-US" w:eastAsia="zh-CN"/>
        </w:rPr>
      </w:pPr>
      <w:r>
        <w:rPr>
          <w:rFonts w:hint="eastAsia" w:ascii="华文仿宋" w:hAnsi="华文仿宋" w:eastAsia="华文仿宋"/>
          <w:sz w:val="24"/>
          <w:szCs w:val="24"/>
          <w:lang w:val="en-US" w:eastAsia="zh-CN"/>
        </w:rPr>
        <w:t xml:space="preserve">2、市政养护付款方式：根据每季度实际完成维护管养量，经验收合格后，乙方凭甲方签字认可的工作联系单原件和维护管养联系单、竣工验收证书等相关结算凭证准确按时上报甲方。经审计审定后，按照招投标文件中标报价下浮后并结合中标人每季度考核结果按照处罚措施的约定支付市政养护款项。 </w:t>
      </w:r>
    </w:p>
    <w:p>
      <w:pPr>
        <w:pStyle w:val="89"/>
        <w:snapToGrid w:val="0"/>
        <w:spacing w:line="360" w:lineRule="auto"/>
        <w:rPr>
          <w:rFonts w:hint="eastAsia" w:ascii="华文仿宋" w:hAnsi="华文仿宋" w:eastAsia="华文仿宋"/>
          <w:b/>
          <w:bCs/>
          <w:sz w:val="24"/>
          <w:szCs w:val="24"/>
        </w:rPr>
      </w:pPr>
      <w:r>
        <w:rPr>
          <w:rFonts w:hint="eastAsia" w:ascii="华文仿宋" w:hAnsi="华文仿宋" w:eastAsia="华文仿宋"/>
          <w:b/>
          <w:bCs/>
          <w:sz w:val="24"/>
          <w:szCs w:val="24"/>
        </w:rPr>
        <w:t>十、税费</w:t>
      </w:r>
    </w:p>
    <w:p>
      <w:pPr>
        <w:pStyle w:val="89"/>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本合同执行中相关的一切税费均由乙方负担。</w:t>
      </w:r>
    </w:p>
    <w:p>
      <w:pPr>
        <w:pStyle w:val="89"/>
        <w:snapToGrid w:val="0"/>
        <w:spacing w:line="360" w:lineRule="auto"/>
        <w:rPr>
          <w:rFonts w:hint="eastAsia" w:ascii="华文仿宋" w:hAnsi="华文仿宋" w:eastAsia="华文仿宋"/>
          <w:b/>
          <w:bCs/>
          <w:sz w:val="24"/>
          <w:szCs w:val="24"/>
        </w:rPr>
      </w:pPr>
      <w:r>
        <w:rPr>
          <w:rFonts w:hint="eastAsia" w:ascii="华文仿宋" w:hAnsi="华文仿宋" w:eastAsia="华文仿宋"/>
          <w:b/>
          <w:bCs/>
          <w:sz w:val="24"/>
          <w:szCs w:val="24"/>
          <w:lang w:eastAsia="zh-CN"/>
        </w:rPr>
        <w:t>十一、</w:t>
      </w:r>
      <w:r>
        <w:rPr>
          <w:rFonts w:hint="eastAsia" w:ascii="华文仿宋" w:hAnsi="华文仿宋" w:eastAsia="华文仿宋"/>
          <w:b/>
          <w:bCs/>
          <w:sz w:val="24"/>
          <w:szCs w:val="24"/>
        </w:rPr>
        <w:t>保险</w:t>
      </w:r>
    </w:p>
    <w:p>
      <w:pPr>
        <w:pStyle w:val="89"/>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（1）第三者责任保险</w:t>
      </w:r>
    </w:p>
    <w:p>
      <w:pPr>
        <w:pStyle w:val="89"/>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乙方应对乙方人员以及第三方全权责任（如乙方应投保第三责任险），在乙方的责任区内由于乙方原因导致自己员工或者第三方的事故由乙方负责，甲方不承担任何责任。</w:t>
      </w:r>
    </w:p>
    <w:p>
      <w:pPr>
        <w:pStyle w:val="89"/>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（2）员工人身意外</w:t>
      </w:r>
    </w:p>
    <w:p>
      <w:pPr>
        <w:pStyle w:val="89"/>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在承包期内，乙方所有人员的事故由乙方自行全权负责（如乙方应对其员工投保人身意外险），以保证甲方在乙方工作人员索赔时不受任何责任的约束。</w:t>
      </w:r>
    </w:p>
    <w:p>
      <w:pPr>
        <w:pStyle w:val="89"/>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（3）其他保险及费用</w:t>
      </w:r>
    </w:p>
    <w:p>
      <w:pPr>
        <w:pStyle w:val="89"/>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乙方须按劳动合同法和政府有关各部门规定为全体服务人员交纳所有相关的社会保险及其他相关费用，乙方对此全权负责。</w:t>
      </w:r>
    </w:p>
    <w:p>
      <w:pPr>
        <w:pStyle w:val="89"/>
        <w:snapToGrid w:val="0"/>
        <w:spacing w:line="360" w:lineRule="auto"/>
        <w:rPr>
          <w:rFonts w:hint="eastAsia" w:ascii="华文仿宋" w:hAnsi="华文仿宋" w:eastAsia="华文仿宋"/>
          <w:b/>
          <w:bCs/>
          <w:sz w:val="24"/>
          <w:szCs w:val="24"/>
          <w:lang w:eastAsia="zh-CN"/>
        </w:rPr>
      </w:pPr>
      <w:r>
        <w:rPr>
          <w:rFonts w:hint="eastAsia" w:ascii="华文仿宋" w:hAnsi="华文仿宋" w:eastAsia="华文仿宋"/>
          <w:b/>
          <w:bCs/>
          <w:sz w:val="24"/>
          <w:szCs w:val="24"/>
          <w:lang w:eastAsia="zh-CN"/>
        </w:rPr>
        <w:t>十二、质量保证及后续服务</w:t>
      </w:r>
    </w:p>
    <w:p>
      <w:pPr>
        <w:pStyle w:val="89"/>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1、乙方应按招标文件规定向甲方提供服务。</w:t>
      </w:r>
    </w:p>
    <w:p>
      <w:pPr>
        <w:pStyle w:val="89"/>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2、乙方提供的服务成果在服务质量保证期内发生故障，乙方应负责免费提供后续服务。对达不到要求者，根据实际情况，经双方协商，可按以下办法处理：</w:t>
      </w:r>
    </w:p>
    <w:p>
      <w:pPr>
        <w:pStyle w:val="89"/>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（1）重做：由乙方承担所发生的全部费用。</w:t>
      </w:r>
    </w:p>
    <w:p>
      <w:pPr>
        <w:pStyle w:val="89"/>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（2）解除合同。</w:t>
      </w:r>
    </w:p>
    <w:p>
      <w:pPr>
        <w:pStyle w:val="89"/>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3、在服务质量保证期内，乙方应对出现的质量及安全问题负责处理解决并承担一切费用。</w:t>
      </w:r>
    </w:p>
    <w:p>
      <w:pPr>
        <w:pStyle w:val="89"/>
        <w:snapToGrid w:val="0"/>
        <w:spacing w:line="360" w:lineRule="auto"/>
        <w:rPr>
          <w:rFonts w:hint="eastAsia" w:ascii="华文仿宋" w:hAnsi="华文仿宋" w:eastAsia="华文仿宋"/>
          <w:b/>
          <w:bCs/>
          <w:sz w:val="24"/>
          <w:szCs w:val="24"/>
          <w:lang w:eastAsia="zh-CN"/>
        </w:rPr>
      </w:pPr>
      <w:r>
        <w:rPr>
          <w:rFonts w:hint="eastAsia" w:ascii="华文仿宋" w:hAnsi="华文仿宋" w:eastAsia="华文仿宋"/>
          <w:b/>
          <w:bCs/>
          <w:sz w:val="24"/>
          <w:szCs w:val="24"/>
          <w:lang w:eastAsia="zh-CN"/>
        </w:rPr>
        <w:t>十三、违约责任</w:t>
      </w:r>
    </w:p>
    <w:p>
      <w:pPr>
        <w:pStyle w:val="89"/>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1、甲方无正当理由拒收接受服务的，甲方向乙方偿付合同款项百分之五作为违约金。</w:t>
      </w:r>
    </w:p>
    <w:p>
      <w:pPr>
        <w:pStyle w:val="89"/>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2、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pPr>
        <w:pStyle w:val="89"/>
        <w:snapToGrid w:val="0"/>
        <w:spacing w:line="360" w:lineRule="auto"/>
        <w:rPr>
          <w:rFonts w:hint="eastAsia" w:ascii="华文仿宋" w:hAnsi="华文仿宋" w:eastAsia="华文仿宋"/>
          <w:b/>
          <w:bCs/>
          <w:sz w:val="24"/>
          <w:szCs w:val="24"/>
          <w:lang w:eastAsia="zh-CN"/>
        </w:rPr>
      </w:pPr>
      <w:r>
        <w:rPr>
          <w:rFonts w:hint="eastAsia" w:ascii="华文仿宋" w:hAnsi="华文仿宋" w:eastAsia="华文仿宋"/>
          <w:b/>
          <w:bCs/>
          <w:sz w:val="24"/>
          <w:szCs w:val="24"/>
          <w:lang w:eastAsia="zh-CN"/>
        </w:rPr>
        <w:t>十四、不可抗力事件处理</w:t>
      </w:r>
    </w:p>
    <w:p>
      <w:pPr>
        <w:pStyle w:val="89"/>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1、在合同有效期内，任何一方因不可抗力事件导致不能履行合同，则合同履行期可延长，其延长期与不可抗力影响期相同。</w:t>
      </w:r>
    </w:p>
    <w:p>
      <w:pPr>
        <w:pStyle w:val="89"/>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2、不可抗力事件发生后，应立即通知对方，并寄送有关权威机构出具的证明。</w:t>
      </w:r>
    </w:p>
    <w:p>
      <w:pPr>
        <w:pStyle w:val="89"/>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3、不可抗力事件延续120天以上，双方应通过友好协商，确定是否继续履行合同。</w:t>
      </w:r>
    </w:p>
    <w:p>
      <w:pPr>
        <w:pStyle w:val="89"/>
        <w:snapToGrid w:val="0"/>
        <w:spacing w:line="360" w:lineRule="auto"/>
        <w:rPr>
          <w:rFonts w:hint="eastAsia" w:ascii="华文仿宋" w:hAnsi="华文仿宋" w:eastAsia="华文仿宋"/>
          <w:b/>
          <w:bCs/>
          <w:sz w:val="24"/>
          <w:szCs w:val="24"/>
          <w:lang w:eastAsia="zh-CN"/>
        </w:rPr>
      </w:pPr>
      <w:r>
        <w:rPr>
          <w:rFonts w:hint="eastAsia" w:ascii="华文仿宋" w:hAnsi="华文仿宋" w:eastAsia="华文仿宋"/>
          <w:b/>
          <w:bCs/>
          <w:sz w:val="24"/>
          <w:szCs w:val="24"/>
          <w:lang w:eastAsia="zh-CN"/>
        </w:rPr>
        <w:t>十五、诉讼</w:t>
      </w:r>
    </w:p>
    <w:p>
      <w:pPr>
        <w:pStyle w:val="89"/>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双方在执行合同中所发生的一切争议，应通过协商解决。如协商不成，可向甲方所在地法院起诉。</w:t>
      </w:r>
    </w:p>
    <w:p>
      <w:pPr>
        <w:pStyle w:val="89"/>
        <w:snapToGrid w:val="0"/>
        <w:spacing w:line="360" w:lineRule="auto"/>
        <w:rPr>
          <w:rFonts w:hint="eastAsia" w:ascii="华文仿宋" w:hAnsi="华文仿宋" w:eastAsia="华文仿宋"/>
          <w:b/>
          <w:bCs/>
          <w:sz w:val="24"/>
          <w:szCs w:val="24"/>
          <w:lang w:eastAsia="zh-CN"/>
        </w:rPr>
      </w:pPr>
      <w:r>
        <w:rPr>
          <w:rFonts w:hint="eastAsia" w:ascii="华文仿宋" w:hAnsi="华文仿宋" w:eastAsia="华文仿宋"/>
          <w:b/>
          <w:bCs/>
          <w:sz w:val="24"/>
          <w:szCs w:val="24"/>
          <w:lang w:eastAsia="zh-CN"/>
        </w:rPr>
        <w:t>十六、合同生效及其它</w:t>
      </w:r>
    </w:p>
    <w:p>
      <w:pPr>
        <w:pStyle w:val="89"/>
        <w:snapToGrid w:val="0"/>
        <w:spacing w:line="360" w:lineRule="auto"/>
        <w:ind w:firstLine="480" w:firstLineChars="200"/>
        <w:rPr>
          <w:rFonts w:ascii="华文仿宋" w:hAnsi="华文仿宋" w:eastAsia="华文仿宋"/>
          <w:sz w:val="24"/>
          <w:szCs w:val="24"/>
        </w:rPr>
      </w:pPr>
      <w:r>
        <w:rPr>
          <w:rFonts w:ascii="华文仿宋" w:hAnsi="华文仿宋" w:eastAsia="华文仿宋"/>
          <w:sz w:val="24"/>
          <w:szCs w:val="24"/>
        </w:rPr>
        <w:t>1</w:t>
      </w:r>
      <w:r>
        <w:rPr>
          <w:rFonts w:hint="eastAsia" w:ascii="华文仿宋" w:hAnsi="华文仿宋" w:eastAsia="华文仿宋"/>
          <w:sz w:val="24"/>
          <w:szCs w:val="24"/>
        </w:rPr>
        <w:t>、合同经双方法定代表人或授权代表签字并加盖单位公章后生效。</w:t>
      </w:r>
    </w:p>
    <w:p>
      <w:pPr>
        <w:pStyle w:val="89"/>
        <w:snapToGrid w:val="0"/>
        <w:spacing w:line="360" w:lineRule="auto"/>
        <w:ind w:firstLine="480" w:firstLineChars="200"/>
        <w:rPr>
          <w:rFonts w:ascii="华文仿宋" w:hAnsi="华文仿宋" w:eastAsia="华文仿宋"/>
          <w:sz w:val="24"/>
          <w:szCs w:val="24"/>
        </w:rPr>
      </w:pPr>
      <w:r>
        <w:rPr>
          <w:rFonts w:ascii="华文仿宋" w:hAnsi="华文仿宋" w:eastAsia="华文仿宋"/>
          <w:sz w:val="24"/>
          <w:szCs w:val="24"/>
        </w:rPr>
        <w:t>2</w:t>
      </w:r>
      <w:r>
        <w:rPr>
          <w:rFonts w:hint="eastAsia" w:ascii="华文仿宋" w:hAnsi="华文仿宋" w:eastAsia="华文仿宋"/>
          <w:sz w:val="24"/>
          <w:szCs w:val="24"/>
        </w:rPr>
        <w:t>、</w:t>
      </w:r>
      <w:r>
        <w:rPr>
          <w:rFonts w:ascii="华文仿宋" w:hAnsi="华文仿宋" w:eastAsia="华文仿宋"/>
          <w:sz w:val="24"/>
          <w:szCs w:val="24"/>
        </w:rPr>
        <w:t>合同执行中涉及采购资金和采购内容修改或补充的，须经财政部门审批，并签书面补充协议报政府采购监督管理部门备案，方可作为主合同不可分割的一部分。</w:t>
      </w:r>
    </w:p>
    <w:p>
      <w:pPr>
        <w:pStyle w:val="89"/>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3、招标文件、投标文件及评标过程中形成的文字资料、询标纪要均作为本合同的组成部分，具有同等效力。本合同未尽事宜，遵照《合同法》有关条文执行。</w:t>
      </w:r>
    </w:p>
    <w:p>
      <w:pPr>
        <w:pStyle w:val="89"/>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4、本合同一式肆份，具有同等法律效力，甲乙双方各执两份。</w:t>
      </w:r>
    </w:p>
    <w:p>
      <w:pPr>
        <w:pStyle w:val="89"/>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 xml:space="preserve">甲方（盖章）：                             乙方（盖章）：        </w:t>
      </w:r>
    </w:p>
    <w:p>
      <w:pPr>
        <w:pStyle w:val="89"/>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 xml:space="preserve">法定代表人：                              法定代表人：    </w:t>
      </w:r>
    </w:p>
    <w:p>
      <w:pPr>
        <w:pStyle w:val="89"/>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 xml:space="preserve">或受委托人（签字）：                       或受委托人（签字）：  </w:t>
      </w:r>
    </w:p>
    <w:p>
      <w:pPr>
        <w:pStyle w:val="89"/>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联系人：                                  联系人：</w:t>
      </w:r>
    </w:p>
    <w:p>
      <w:pPr>
        <w:pStyle w:val="89"/>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 xml:space="preserve">地址：                                    地址： </w:t>
      </w:r>
    </w:p>
    <w:p>
      <w:pPr>
        <w:pStyle w:val="89"/>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电话：                                    电话：</w:t>
      </w:r>
    </w:p>
    <w:p>
      <w:pPr>
        <w:pStyle w:val="89"/>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传真：                                    传真：</w:t>
      </w:r>
    </w:p>
    <w:p>
      <w:pPr>
        <w:pStyle w:val="89"/>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 xml:space="preserve">开户银行：                                开户银行： </w:t>
      </w:r>
    </w:p>
    <w:p>
      <w:pPr>
        <w:pStyle w:val="89"/>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帐号：                                    帐号：</w:t>
      </w:r>
    </w:p>
    <w:p>
      <w:pPr>
        <w:pStyle w:val="89"/>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签订时间：                                签订时间：</w:t>
      </w:r>
    </w:p>
    <w:p>
      <w:pPr>
        <w:pStyle w:val="89"/>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签订地点：</w:t>
      </w:r>
    </w:p>
    <w:p>
      <w:pPr>
        <w:rPr>
          <w:rFonts w:hint="eastAsia" w:ascii="宋体" w:hAnsi="宋体" w:eastAsia="宋体" w:cs="宋体"/>
          <w:highlight w:val="none"/>
        </w:rPr>
      </w:pPr>
    </w:p>
    <w:p>
      <w:pPr>
        <w:pStyle w:val="967"/>
        <w:rPr>
          <w:rFonts w:hint="eastAsia" w:ascii="宋体" w:hAnsi="宋体" w:eastAsia="宋体" w:cs="宋体"/>
          <w:highlight w:val="none"/>
        </w:rPr>
      </w:pPr>
    </w:p>
    <w:p>
      <w:pPr>
        <w:pStyle w:val="967"/>
        <w:rPr>
          <w:rFonts w:hint="eastAsia" w:ascii="宋体" w:hAnsi="宋体" w:eastAsia="宋体" w:cs="宋体"/>
          <w:highlight w:val="none"/>
        </w:rPr>
      </w:pPr>
    </w:p>
    <w:p>
      <w:pPr>
        <w:pStyle w:val="967"/>
        <w:rPr>
          <w:rFonts w:hint="eastAsia" w:ascii="宋体" w:hAnsi="宋体" w:eastAsia="宋体" w:cs="宋体"/>
          <w:highlight w:val="none"/>
        </w:rPr>
      </w:pPr>
    </w:p>
    <w:p>
      <w:pPr>
        <w:pStyle w:val="967"/>
        <w:rPr>
          <w:rFonts w:hint="eastAsia" w:ascii="宋体" w:hAnsi="宋体" w:eastAsia="宋体" w:cs="宋体"/>
          <w:highlight w:val="none"/>
        </w:rPr>
      </w:pPr>
    </w:p>
    <w:p>
      <w:pPr>
        <w:pStyle w:val="967"/>
        <w:rPr>
          <w:rFonts w:hint="eastAsia" w:ascii="宋体" w:hAnsi="宋体" w:eastAsia="宋体" w:cs="宋体"/>
          <w:highlight w:val="none"/>
        </w:rPr>
      </w:pPr>
    </w:p>
    <w:p>
      <w:pPr>
        <w:pStyle w:val="967"/>
        <w:rPr>
          <w:rFonts w:hint="eastAsia" w:ascii="宋体" w:hAnsi="宋体" w:eastAsia="宋体" w:cs="宋体"/>
          <w:highlight w:val="none"/>
        </w:rPr>
      </w:pPr>
    </w:p>
    <w:p>
      <w:pPr>
        <w:pStyle w:val="967"/>
        <w:rPr>
          <w:rFonts w:hint="eastAsia" w:ascii="宋体" w:hAnsi="宋体" w:eastAsia="宋体" w:cs="宋体"/>
          <w:highlight w:val="none"/>
        </w:rPr>
      </w:pPr>
    </w:p>
    <w:p>
      <w:pPr>
        <w:pStyle w:val="967"/>
        <w:rPr>
          <w:rFonts w:hint="eastAsia" w:ascii="宋体" w:hAnsi="宋体" w:eastAsia="宋体" w:cs="宋体"/>
          <w:highlight w:val="none"/>
        </w:rPr>
      </w:pPr>
    </w:p>
    <w:p>
      <w:pPr>
        <w:pStyle w:val="967"/>
        <w:rPr>
          <w:rFonts w:hint="eastAsia" w:ascii="宋体" w:hAnsi="宋体" w:eastAsia="宋体" w:cs="宋体"/>
          <w:highlight w:val="none"/>
        </w:rPr>
      </w:pPr>
    </w:p>
    <w:p>
      <w:pPr>
        <w:pStyle w:val="967"/>
        <w:rPr>
          <w:rFonts w:hint="eastAsia" w:ascii="宋体" w:hAnsi="宋体" w:eastAsia="宋体" w:cs="宋体"/>
          <w:highlight w:val="none"/>
        </w:rPr>
      </w:pPr>
    </w:p>
    <w:p>
      <w:pPr>
        <w:pStyle w:val="967"/>
        <w:rPr>
          <w:rFonts w:hint="eastAsia" w:ascii="宋体" w:hAnsi="宋体" w:eastAsia="宋体" w:cs="宋体"/>
          <w:highlight w:val="none"/>
        </w:rPr>
      </w:pPr>
    </w:p>
    <w:p>
      <w:pPr>
        <w:pStyle w:val="967"/>
        <w:rPr>
          <w:rFonts w:hint="eastAsia" w:ascii="宋体" w:hAnsi="宋体" w:eastAsia="宋体" w:cs="宋体"/>
          <w:highlight w:val="none"/>
        </w:rPr>
      </w:pPr>
    </w:p>
    <w:p>
      <w:pPr>
        <w:pStyle w:val="967"/>
        <w:rPr>
          <w:rFonts w:hint="eastAsia" w:ascii="宋体" w:hAnsi="宋体" w:eastAsia="宋体" w:cs="宋体"/>
          <w:highlight w:val="none"/>
        </w:rPr>
      </w:pPr>
    </w:p>
    <w:p>
      <w:pPr>
        <w:pStyle w:val="967"/>
        <w:rPr>
          <w:rFonts w:hint="eastAsia" w:ascii="宋体" w:hAnsi="宋体" w:eastAsia="宋体" w:cs="宋体"/>
          <w:highlight w:val="none"/>
        </w:rPr>
      </w:pPr>
    </w:p>
    <w:p>
      <w:pPr>
        <w:pStyle w:val="967"/>
        <w:rPr>
          <w:rFonts w:hint="eastAsia" w:ascii="宋体" w:hAnsi="宋体" w:eastAsia="宋体" w:cs="宋体"/>
          <w:highlight w:val="none"/>
        </w:rPr>
      </w:pPr>
    </w:p>
    <w:p>
      <w:pPr>
        <w:pStyle w:val="967"/>
        <w:rPr>
          <w:rFonts w:hint="eastAsia" w:ascii="宋体" w:hAnsi="宋体" w:eastAsia="宋体" w:cs="宋体"/>
          <w:highlight w:val="none"/>
        </w:rPr>
      </w:pPr>
    </w:p>
    <w:p>
      <w:pPr>
        <w:pStyle w:val="967"/>
        <w:rPr>
          <w:rFonts w:hint="eastAsia" w:ascii="宋体" w:hAnsi="宋体" w:eastAsia="宋体" w:cs="宋体"/>
          <w:highlight w:val="none"/>
        </w:rPr>
      </w:pPr>
    </w:p>
    <w:p>
      <w:pPr>
        <w:pStyle w:val="967"/>
        <w:rPr>
          <w:rFonts w:hint="eastAsia" w:ascii="宋体" w:hAnsi="宋体" w:eastAsia="宋体" w:cs="宋体"/>
          <w:highlight w:val="none"/>
        </w:rPr>
      </w:pPr>
    </w:p>
    <w:p>
      <w:pPr>
        <w:pStyle w:val="967"/>
        <w:rPr>
          <w:rFonts w:hint="eastAsia" w:ascii="宋体" w:hAnsi="宋体" w:eastAsia="宋体" w:cs="宋体"/>
          <w:highlight w:val="none"/>
        </w:rPr>
      </w:pPr>
    </w:p>
    <w:p>
      <w:pPr>
        <w:pStyle w:val="967"/>
        <w:rPr>
          <w:rFonts w:hint="eastAsia" w:ascii="宋体" w:hAnsi="宋体" w:eastAsia="宋体" w:cs="宋体"/>
          <w:highlight w:val="none"/>
        </w:rPr>
      </w:pPr>
    </w:p>
    <w:p>
      <w:pPr>
        <w:pStyle w:val="967"/>
        <w:rPr>
          <w:rFonts w:hint="eastAsia" w:ascii="宋体" w:hAnsi="宋体" w:eastAsia="宋体" w:cs="宋体"/>
          <w:highlight w:val="none"/>
        </w:rPr>
      </w:pPr>
    </w:p>
    <w:p>
      <w:pPr>
        <w:pStyle w:val="967"/>
        <w:rPr>
          <w:rFonts w:hint="eastAsia" w:ascii="宋体" w:hAnsi="宋体" w:eastAsia="宋体" w:cs="宋体"/>
          <w:highlight w:val="none"/>
        </w:rPr>
      </w:pPr>
    </w:p>
    <w:p>
      <w:pPr>
        <w:pStyle w:val="967"/>
        <w:rPr>
          <w:rFonts w:hint="eastAsia" w:ascii="宋体" w:hAnsi="宋体" w:eastAsia="宋体" w:cs="宋体"/>
          <w:highlight w:val="none"/>
        </w:rPr>
      </w:pPr>
    </w:p>
    <w:p>
      <w:pPr>
        <w:pStyle w:val="967"/>
        <w:rPr>
          <w:rFonts w:hint="eastAsia" w:ascii="宋体" w:hAnsi="宋体" w:eastAsia="宋体" w:cs="宋体"/>
          <w:highlight w:val="none"/>
        </w:rPr>
      </w:pPr>
    </w:p>
    <w:p>
      <w:pPr>
        <w:pStyle w:val="967"/>
        <w:rPr>
          <w:rFonts w:hint="eastAsia" w:ascii="宋体" w:hAnsi="宋体" w:eastAsia="宋体" w:cs="宋体"/>
          <w:highlight w:val="none"/>
        </w:rPr>
      </w:pPr>
    </w:p>
    <w:p>
      <w:pPr>
        <w:pStyle w:val="967"/>
        <w:rPr>
          <w:rFonts w:hint="eastAsia" w:ascii="宋体" w:hAnsi="宋体" w:eastAsia="宋体" w:cs="宋体"/>
          <w:highlight w:val="none"/>
        </w:rPr>
      </w:pPr>
    </w:p>
    <w:p>
      <w:pPr>
        <w:pStyle w:val="967"/>
        <w:rPr>
          <w:rFonts w:hint="eastAsia" w:ascii="宋体" w:hAnsi="宋体" w:eastAsia="宋体" w:cs="宋体"/>
          <w:highlight w:val="none"/>
        </w:rPr>
      </w:pPr>
    </w:p>
    <w:p>
      <w:pPr>
        <w:pStyle w:val="967"/>
        <w:rPr>
          <w:rFonts w:hint="eastAsia" w:ascii="宋体" w:hAnsi="宋体" w:eastAsia="宋体" w:cs="宋体"/>
          <w:highlight w:val="none"/>
        </w:rPr>
      </w:pPr>
    </w:p>
    <w:p>
      <w:pPr>
        <w:pStyle w:val="967"/>
        <w:rPr>
          <w:rFonts w:hint="eastAsia" w:ascii="宋体" w:hAnsi="宋体" w:eastAsia="宋体" w:cs="宋体"/>
          <w:highlight w:val="none"/>
        </w:rPr>
      </w:pPr>
    </w:p>
    <w:p>
      <w:pPr>
        <w:pStyle w:val="967"/>
        <w:rPr>
          <w:rFonts w:hint="eastAsia" w:ascii="宋体" w:hAnsi="宋体" w:eastAsia="宋体" w:cs="宋体"/>
          <w:highlight w:val="none"/>
        </w:rPr>
      </w:pPr>
    </w:p>
    <w:p>
      <w:pPr>
        <w:pStyle w:val="967"/>
        <w:rPr>
          <w:rFonts w:hint="eastAsia" w:ascii="宋体" w:hAnsi="宋体" w:eastAsia="宋体" w:cs="宋体"/>
          <w:highlight w:val="none"/>
        </w:rPr>
      </w:pPr>
    </w:p>
    <w:p>
      <w:pPr>
        <w:pStyle w:val="967"/>
        <w:rPr>
          <w:rFonts w:hint="eastAsia" w:ascii="宋体" w:hAnsi="宋体" w:eastAsia="宋体" w:cs="宋体"/>
          <w:highlight w:val="none"/>
        </w:rPr>
      </w:pPr>
    </w:p>
    <w:p>
      <w:pPr>
        <w:pStyle w:val="967"/>
        <w:rPr>
          <w:rFonts w:hint="eastAsia" w:ascii="宋体" w:hAnsi="宋体" w:eastAsia="宋体" w:cs="宋体"/>
          <w:highlight w:val="none"/>
        </w:rPr>
      </w:pPr>
    </w:p>
    <w:p>
      <w:pPr>
        <w:pStyle w:val="967"/>
        <w:rPr>
          <w:rFonts w:hint="eastAsia" w:ascii="宋体" w:hAnsi="宋体" w:eastAsia="宋体" w:cs="宋体"/>
          <w:highlight w:val="none"/>
        </w:rPr>
      </w:pPr>
    </w:p>
    <w:p>
      <w:pPr>
        <w:pStyle w:val="967"/>
        <w:rPr>
          <w:rFonts w:hint="eastAsia" w:ascii="宋体" w:hAnsi="宋体" w:eastAsia="宋体" w:cs="宋体"/>
          <w:highlight w:val="none"/>
        </w:rPr>
      </w:pPr>
    </w:p>
    <w:p>
      <w:pPr>
        <w:pStyle w:val="967"/>
        <w:rPr>
          <w:rFonts w:hint="eastAsia" w:ascii="宋体" w:hAnsi="宋体" w:eastAsia="宋体" w:cs="宋体"/>
          <w:highlight w:val="none"/>
        </w:rPr>
      </w:pPr>
    </w:p>
    <w:p>
      <w:pPr>
        <w:pStyle w:val="967"/>
        <w:rPr>
          <w:rFonts w:hint="eastAsia" w:ascii="宋体" w:hAnsi="宋体" w:eastAsia="宋体" w:cs="宋体"/>
          <w:highlight w:val="none"/>
        </w:rPr>
      </w:pPr>
    </w:p>
    <w:p>
      <w:pPr>
        <w:pStyle w:val="967"/>
        <w:rPr>
          <w:rFonts w:hint="eastAsia" w:ascii="宋体" w:hAnsi="宋体" w:eastAsia="宋体" w:cs="宋体"/>
          <w:highlight w:val="none"/>
        </w:rPr>
      </w:pPr>
    </w:p>
    <w:p>
      <w:pPr>
        <w:pStyle w:val="967"/>
        <w:rPr>
          <w:rFonts w:hint="eastAsia" w:ascii="宋体" w:hAnsi="宋体" w:eastAsia="宋体" w:cs="宋体"/>
          <w:highlight w:val="none"/>
        </w:rPr>
      </w:pPr>
    </w:p>
    <w:p>
      <w:pPr>
        <w:pStyle w:val="967"/>
        <w:rPr>
          <w:rFonts w:hint="eastAsia" w:ascii="宋体" w:hAnsi="宋体" w:eastAsia="宋体" w:cs="宋体"/>
          <w:highlight w:val="none"/>
        </w:rPr>
      </w:pPr>
    </w:p>
    <w:p>
      <w:pPr>
        <w:pStyle w:val="967"/>
        <w:rPr>
          <w:rFonts w:hint="eastAsia" w:ascii="宋体" w:hAnsi="宋体" w:eastAsia="宋体" w:cs="宋体"/>
          <w:highlight w:val="none"/>
        </w:rPr>
      </w:pPr>
    </w:p>
    <w:p>
      <w:pPr>
        <w:pStyle w:val="967"/>
        <w:rPr>
          <w:rFonts w:hint="eastAsia" w:ascii="宋体" w:hAnsi="宋体" w:eastAsia="宋体" w:cs="宋体"/>
          <w:highlight w:val="none"/>
        </w:rPr>
      </w:pPr>
    </w:p>
    <w:p>
      <w:pPr>
        <w:pStyle w:val="967"/>
        <w:rPr>
          <w:rFonts w:hint="eastAsia" w:ascii="宋体" w:hAnsi="宋体" w:eastAsia="宋体" w:cs="宋体"/>
          <w:highlight w:val="none"/>
        </w:rPr>
      </w:pPr>
    </w:p>
    <w:p>
      <w:pPr>
        <w:spacing w:line="360" w:lineRule="auto"/>
        <w:ind w:left="-420" w:leftChars="-200" w:right="-420" w:rightChars="-200" w:firstLine="480" w:firstLineChars="200"/>
        <w:jc w:val="center"/>
        <w:outlineLvl w:val="0"/>
        <w:rPr>
          <w:rFonts w:hint="eastAsia" w:ascii="宋体" w:hAnsi="宋体" w:eastAsia="宋体" w:cs="宋体"/>
          <w:color w:val="auto"/>
          <w:sz w:val="24"/>
          <w:highlight w:val="none"/>
        </w:rPr>
      </w:pPr>
    </w:p>
    <w:p>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1"/>
      <w:r>
        <w:rPr>
          <w:rFonts w:hint="eastAsia" w:ascii="宋体" w:hAnsi="宋体" w:eastAsia="宋体" w:cs="宋体"/>
          <w:b/>
          <w:color w:val="auto"/>
          <w:sz w:val="36"/>
          <w:szCs w:val="20"/>
          <w:highlight w:val="none"/>
        </w:rPr>
        <w:t xml:space="preserve"> </w:t>
      </w:r>
      <w:bookmarkEnd w:id="392"/>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（2）落实政府采购政策需满足的资格要求………………………………（页码）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二、落实政府采购政策需满足的资格要求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宋体" w:hAnsi="宋体" w:eastAsia="宋体" w:cs="宋体"/>
          <w:color w:val="auto"/>
          <w:sz w:val="24"/>
          <w:highlight w:val="none"/>
        </w:rPr>
      </w:pPr>
    </w:p>
    <w:p>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z w:val="24"/>
          <w:highlight w:val="none"/>
        </w:rPr>
        <w:t xml:space="preserve">    </w:t>
      </w:r>
      <w:r>
        <w:rPr>
          <w:rFonts w:hint="eastAsia" w:ascii="宋体" w:hAnsi="宋体" w:eastAsia="宋体" w:cs="宋体"/>
          <w:b/>
          <w:color w:val="auto"/>
          <w:kern w:val="0"/>
          <w:sz w:val="32"/>
          <w:szCs w:val="32"/>
          <w:highlight w:val="none"/>
          <w:lang w:val="zh-CN"/>
        </w:rPr>
        <w:t>联合协议</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6"/>
        <w:ind w:left="664" w:leftChars="316" w:firstLine="229" w:firstLineChars="95"/>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（3）联合协议</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（4）分包意向协议</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（5）符合性审查资料</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（6）评标标准相应的商务技术资料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2.1.2落实政府采购政策需满足的资格要求（如果有）；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2.1.3本项目的特定资格要求（如果有）。</w:t>
      </w:r>
    </w:p>
    <w:p>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2.2.3联合协议（如果有）；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2.2.4分包意向协议（如果有）；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highlight w:val="none"/>
          <w:u w:val="singl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pPr>
        <w:pStyle w:val="9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0"/>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90"/>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rPr>
        <w:t>三、</w:t>
      </w:r>
      <w:r>
        <w:rPr>
          <w:rFonts w:hint="eastAsia" w:ascii="宋体" w:hAnsi="宋体" w:eastAsia="宋体" w:cs="宋体"/>
          <w:b/>
          <w:color w:val="auto"/>
          <w:kern w:val="0"/>
          <w:sz w:val="32"/>
          <w:szCs w:val="32"/>
          <w:highlight w:val="none"/>
          <w:lang w:val="zh-CN"/>
        </w:rPr>
        <w:t>联合协议</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rPr>
        <w:t>提供的全部货物由小微企业制造，其合同份额占到合同总金额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napToGrid w:val="0"/>
        <w:spacing w:line="360" w:lineRule="auto"/>
        <w:ind w:right="480"/>
        <w:rPr>
          <w:rFonts w:hint="eastAsia" w:ascii="宋体" w:hAnsi="宋体" w:eastAsia="宋体" w:cs="宋体"/>
          <w:b/>
          <w:color w:val="auto"/>
          <w:kern w:val="0"/>
          <w:sz w:val="32"/>
          <w:szCs w:val="32"/>
          <w:highlight w:val="none"/>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6"/>
        <w:ind w:left="664" w:leftChars="316" w:firstLine="229" w:firstLineChars="95"/>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u w:val="single"/>
        </w:rPr>
        <w:t>（分包供应商名称）提供的货物全部由小微企业制造，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五、符合性审查资料</w:t>
      </w:r>
    </w:p>
    <w:p>
      <w:pPr>
        <w:jc w:val="center"/>
        <w:rPr>
          <w:rFonts w:hint="eastAsia" w:ascii="宋体" w:hAnsi="宋体" w:eastAsia="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vAlign w:val="top"/>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vAlign w:val="top"/>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vAlign w:val="top"/>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节能产品认证证书（本项目拟采购的产品不属于政府强制采购的节能产品品目清单范围的，无需提供）</w:t>
            </w:r>
          </w:p>
        </w:tc>
        <w:tc>
          <w:tcPr>
            <w:tcW w:w="1418" w:type="dxa"/>
            <w:vAlign w:val="top"/>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pStyle w:val="6"/>
              <w:rPr>
                <w:rFonts w:hint="eastAsia"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vAlign w:val="top"/>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vAlign w:val="top"/>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991" w:type="dxa"/>
            <w:vAlign w:val="top"/>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六、评标标准相应的商务技术资料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vAlign w:val="top"/>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vAlign w:val="top"/>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vAlign w:val="top"/>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vAlign w:val="top"/>
          </w:tcPr>
          <w:p>
            <w:pPr>
              <w:jc w:val="center"/>
              <w:rPr>
                <w:rFonts w:hint="eastAsia" w:ascii="宋体" w:hAnsi="宋体" w:eastAsia="宋体" w:cs="宋体"/>
                <w:b/>
                <w:color w:val="auto"/>
                <w:kern w:val="0"/>
                <w:sz w:val="32"/>
                <w:szCs w:val="32"/>
                <w:highlight w:val="none"/>
              </w:rPr>
            </w:pPr>
          </w:p>
        </w:tc>
        <w:tc>
          <w:tcPr>
            <w:tcW w:w="3546" w:type="dxa"/>
            <w:vAlign w:val="top"/>
          </w:tcPr>
          <w:p>
            <w:pPr>
              <w:jc w:val="center"/>
              <w:rPr>
                <w:rFonts w:hint="eastAsia" w:ascii="宋体" w:hAnsi="宋体" w:eastAsia="宋体" w:cs="宋体"/>
                <w:b/>
                <w:color w:val="auto"/>
                <w:kern w:val="0"/>
                <w:sz w:val="32"/>
                <w:szCs w:val="32"/>
                <w:highlight w:val="none"/>
              </w:rPr>
            </w:pPr>
          </w:p>
        </w:tc>
        <w:tc>
          <w:tcPr>
            <w:tcW w:w="1276" w:type="dxa"/>
            <w:vAlign w:val="top"/>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vAlign w:val="top"/>
          </w:tcPr>
          <w:p>
            <w:pPr>
              <w:jc w:val="center"/>
              <w:rPr>
                <w:rFonts w:hint="eastAsia" w:ascii="宋体" w:hAnsi="宋体" w:eastAsia="宋体" w:cs="宋体"/>
                <w:b/>
                <w:color w:val="auto"/>
                <w:kern w:val="0"/>
                <w:sz w:val="32"/>
                <w:szCs w:val="32"/>
                <w:highlight w:val="none"/>
              </w:rPr>
            </w:pPr>
          </w:p>
        </w:tc>
        <w:tc>
          <w:tcPr>
            <w:tcW w:w="3546" w:type="dxa"/>
            <w:vAlign w:val="top"/>
          </w:tcPr>
          <w:p>
            <w:pPr>
              <w:jc w:val="center"/>
              <w:rPr>
                <w:rFonts w:hint="eastAsia" w:ascii="宋体" w:hAnsi="宋体" w:eastAsia="宋体" w:cs="宋体"/>
                <w:b/>
                <w:color w:val="auto"/>
                <w:kern w:val="0"/>
                <w:sz w:val="32"/>
                <w:szCs w:val="32"/>
                <w:highlight w:val="none"/>
              </w:rPr>
            </w:pPr>
          </w:p>
        </w:tc>
        <w:tc>
          <w:tcPr>
            <w:tcW w:w="1276" w:type="dxa"/>
            <w:vAlign w:val="top"/>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vAlign w:val="top"/>
          </w:tcPr>
          <w:p>
            <w:pPr>
              <w:jc w:val="center"/>
              <w:rPr>
                <w:rFonts w:hint="eastAsia" w:ascii="宋体" w:hAnsi="宋体" w:eastAsia="宋体" w:cs="宋体"/>
                <w:b/>
                <w:color w:val="auto"/>
                <w:kern w:val="0"/>
                <w:sz w:val="32"/>
                <w:szCs w:val="32"/>
                <w:highlight w:val="none"/>
              </w:rPr>
            </w:pPr>
          </w:p>
        </w:tc>
        <w:tc>
          <w:tcPr>
            <w:tcW w:w="3546" w:type="dxa"/>
            <w:vAlign w:val="top"/>
          </w:tcPr>
          <w:p>
            <w:pPr>
              <w:jc w:val="center"/>
              <w:rPr>
                <w:rFonts w:hint="eastAsia" w:ascii="宋体" w:hAnsi="宋体" w:eastAsia="宋体" w:cs="宋体"/>
                <w:b/>
                <w:color w:val="auto"/>
                <w:kern w:val="0"/>
                <w:sz w:val="32"/>
                <w:szCs w:val="32"/>
                <w:highlight w:val="none"/>
              </w:rPr>
            </w:pPr>
          </w:p>
        </w:tc>
        <w:tc>
          <w:tcPr>
            <w:tcW w:w="1276" w:type="dxa"/>
            <w:vAlign w:val="top"/>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bCs/>
          <w:color w:val="auto"/>
          <w:sz w:val="32"/>
          <w:szCs w:val="32"/>
          <w:highlight w:val="none"/>
        </w:rPr>
      </w:pPr>
    </w:p>
    <w:p>
      <w:pPr>
        <w:ind w:firstLine="2891" w:firstLineChars="900"/>
        <w:rPr>
          <w:rFonts w:hint="eastAsia" w:ascii="宋体" w:hAnsi="宋体" w:eastAsia="宋体" w:cs="宋体"/>
          <w:b/>
          <w:bCs/>
          <w:color w:val="auto"/>
          <w:sz w:val="32"/>
          <w:szCs w:val="32"/>
          <w:highlight w:val="none"/>
        </w:rPr>
      </w:pPr>
    </w:p>
    <w:p>
      <w:pPr>
        <w:ind w:firstLine="2891" w:firstLineChars="900"/>
        <w:rPr>
          <w:rFonts w:hint="eastAsia" w:ascii="宋体" w:hAnsi="宋体" w:eastAsia="宋体" w:cs="宋体"/>
          <w:b/>
          <w:bCs/>
          <w:color w:val="auto"/>
          <w:sz w:val="32"/>
          <w:szCs w:val="32"/>
          <w:highlight w:val="none"/>
        </w:rPr>
      </w:pPr>
    </w:p>
    <w:p>
      <w:pPr>
        <w:ind w:firstLine="2891" w:firstLineChars="900"/>
        <w:rPr>
          <w:rFonts w:hint="eastAsia" w:ascii="宋体" w:hAnsi="宋体" w:eastAsia="宋体" w:cs="宋体"/>
          <w:b/>
          <w:bCs/>
          <w:color w:val="auto"/>
          <w:sz w:val="32"/>
          <w:szCs w:val="32"/>
          <w:highlight w:val="none"/>
        </w:rPr>
      </w:pPr>
    </w:p>
    <w:p>
      <w:pPr>
        <w:ind w:firstLine="2891" w:firstLineChars="900"/>
        <w:rPr>
          <w:rFonts w:hint="eastAsia" w:ascii="宋体" w:hAnsi="宋体" w:eastAsia="宋体" w:cs="宋体"/>
          <w:b/>
          <w:bCs/>
          <w:color w:val="auto"/>
          <w:sz w:val="32"/>
          <w:szCs w:val="32"/>
          <w:highlight w:val="none"/>
        </w:rPr>
      </w:pPr>
    </w:p>
    <w:p>
      <w:pPr>
        <w:ind w:firstLine="2891" w:firstLineChars="900"/>
        <w:rPr>
          <w:rFonts w:hint="eastAsia" w:ascii="宋体" w:hAnsi="宋体" w:eastAsia="宋体" w:cs="宋体"/>
          <w:b/>
          <w:bCs/>
          <w:color w:val="auto"/>
          <w:sz w:val="32"/>
          <w:szCs w:val="32"/>
          <w:highlight w:val="none"/>
        </w:rPr>
      </w:pPr>
    </w:p>
    <w:p>
      <w:pPr>
        <w:ind w:firstLine="2891" w:firstLineChars="900"/>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p>
    <w:p>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八、</w:t>
      </w:r>
      <w:r>
        <w:rPr>
          <w:rFonts w:hint="eastAsia" w:ascii="宋体" w:hAnsi="宋体" w:eastAsia="宋体" w:cs="宋体"/>
          <w:b/>
          <w:color w:val="auto"/>
          <w:kern w:val="0"/>
          <w:sz w:val="32"/>
          <w:szCs w:val="32"/>
          <w:highlight w:val="none"/>
          <w:lang w:val="zh-CN"/>
        </w:rPr>
        <w:t>政府采购供应商廉洁自律承诺书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jc w:val="center"/>
        <w:rPr>
          <w:rFonts w:hint="eastAsia" w:ascii="宋体" w:hAnsi="宋体" w:eastAsia="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numPr>
          <w:ilvl w:val="0"/>
          <w:numId w:val="18"/>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开标一览表（报价表）………………………………………………………（页码）</w:t>
      </w:r>
    </w:p>
    <w:p>
      <w:pPr>
        <w:snapToGrid w:val="0"/>
        <w:spacing w:line="360" w:lineRule="auto"/>
        <w:rPr>
          <w:rFonts w:hint="eastAsia" w:ascii="宋体" w:hAnsi="宋体" w:eastAsia="宋体" w:cs="宋体"/>
          <w:highlight w:val="none"/>
        </w:rPr>
      </w:pPr>
      <w:r>
        <w:rPr>
          <w:rFonts w:hint="eastAsia" w:ascii="宋体" w:hAnsi="宋体" w:eastAsia="宋体" w:cs="宋体"/>
          <w:color w:val="auto"/>
          <w:sz w:val="24"/>
          <w:highlight w:val="none"/>
          <w:lang w:val="en-US" w:eastAsia="zh-CN"/>
        </w:rPr>
        <w:t>（2）报价明细清单</w:t>
      </w:r>
      <w:r>
        <w:rPr>
          <w:rFonts w:hint="eastAsia" w:ascii="宋体" w:hAnsi="宋体" w:eastAsia="宋体" w:cs="宋体"/>
          <w:color w:val="auto"/>
          <w:sz w:val="24"/>
          <w:highlight w:val="none"/>
        </w:rPr>
        <w:t>………………………………………………………………（页码）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379"/>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9"/>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pPr>
        <w:numPr>
          <w:ilvl w:val="0"/>
          <w:numId w:val="0"/>
        </w:numPr>
        <w:spacing w:line="360" w:lineRule="auto"/>
        <w:jc w:val="center"/>
        <w:rPr>
          <w:rFonts w:hint="eastAsia" w:ascii="宋体" w:hAnsi="宋体" w:eastAsia="宋体" w:cs="宋体"/>
          <w:highlight w:val="none"/>
          <w:lang w:val="zh-CN"/>
        </w:rPr>
      </w:pP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lang w:val="en-US" w:eastAsia="zh-CN"/>
        </w:rPr>
        <w:t>一</w:t>
      </w:r>
      <w:r>
        <w:rPr>
          <w:rFonts w:hint="eastAsia" w:ascii="宋体" w:hAnsi="宋体" w:eastAsia="宋体" w:cs="宋体"/>
          <w:b/>
          <w:color w:val="auto"/>
          <w:kern w:val="0"/>
          <w:sz w:val="24"/>
          <w:highlight w:val="none"/>
          <w:lang w:val="zh-CN"/>
        </w:rPr>
        <w:t>）开标一览表(单位均为人民币元及</w:t>
      </w:r>
      <w:r>
        <w:rPr>
          <w:rFonts w:hint="eastAsia" w:ascii="宋体" w:hAnsi="宋体" w:eastAsia="宋体" w:cs="宋体"/>
          <w:b/>
          <w:color w:val="auto"/>
          <w:kern w:val="0"/>
          <w:sz w:val="24"/>
          <w:highlight w:val="none"/>
          <w:lang w:val="en-US" w:eastAsia="zh-CN"/>
        </w:rPr>
        <w:t>%</w:t>
      </w:r>
      <w:r>
        <w:rPr>
          <w:rFonts w:hint="eastAsia" w:ascii="宋体" w:hAnsi="宋体" w:eastAsia="宋体" w:cs="宋体"/>
          <w:b/>
          <w:color w:val="auto"/>
          <w:kern w:val="0"/>
          <w:sz w:val="24"/>
          <w:highlight w:val="none"/>
          <w:lang w:val="zh-CN"/>
        </w:rPr>
        <w:t>)</w:t>
      </w:r>
    </w:p>
    <w:tbl>
      <w:tblPr>
        <w:tblStyle w:val="64"/>
        <w:tblW w:w="141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0"/>
        <w:gridCol w:w="1239"/>
        <w:gridCol w:w="2905"/>
        <w:gridCol w:w="638"/>
        <w:gridCol w:w="543"/>
        <w:gridCol w:w="1144"/>
        <w:gridCol w:w="7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2"/>
                <w:sz w:val="18"/>
                <w:szCs w:val="18"/>
                <w:highlight w:val="none"/>
                <w:lang w:val="zh-CN"/>
              </w:rPr>
            </w:pPr>
            <w:r>
              <w:rPr>
                <w:rFonts w:hint="eastAsia" w:ascii="宋体" w:hAnsi="宋体" w:eastAsia="宋体" w:cs="宋体"/>
                <w:color w:val="auto"/>
                <w:kern w:val="2"/>
                <w:sz w:val="18"/>
                <w:szCs w:val="18"/>
                <w:highlight w:val="none"/>
                <w:lang w:val="zh-CN"/>
              </w:rPr>
              <w:t>序号</w:t>
            </w:r>
          </w:p>
        </w:tc>
        <w:tc>
          <w:tcPr>
            <w:tcW w:w="4144" w:type="dxa"/>
            <w:gridSpan w:val="2"/>
            <w:tcBorders>
              <w:top w:val="single" w:color="000000" w:sz="4" w:space="0"/>
              <w:left w:val="single" w:color="000000" w:sz="4" w:space="0"/>
              <w:bottom w:val="single" w:color="000000" w:sz="4" w:space="0"/>
              <w:right w:val="single" w:color="auto" w:sz="4" w:space="0"/>
            </w:tcBorders>
            <w:noWrap w:val="0"/>
            <w:vAlign w:val="center"/>
          </w:tcPr>
          <w:p>
            <w:pPr>
              <w:spacing w:line="240" w:lineRule="auto"/>
              <w:ind w:left="0"/>
              <w:jc w:val="center"/>
              <w:rPr>
                <w:rFonts w:hint="eastAsia" w:ascii="宋体" w:hAnsi="宋体" w:eastAsia="宋体" w:cs="宋体"/>
                <w:color w:val="auto"/>
                <w:kern w:val="2"/>
                <w:sz w:val="18"/>
                <w:szCs w:val="18"/>
                <w:highlight w:val="none"/>
                <w:lang w:val="zh-CN"/>
              </w:rPr>
            </w:pPr>
            <w:r>
              <w:rPr>
                <w:rFonts w:hint="eastAsia" w:ascii="宋体" w:hAnsi="宋体" w:eastAsia="宋体" w:cs="宋体"/>
                <w:color w:val="auto"/>
                <w:kern w:val="2"/>
                <w:sz w:val="18"/>
                <w:szCs w:val="18"/>
                <w:highlight w:val="none"/>
                <w:lang w:val="zh-CN"/>
              </w:rPr>
              <w:t>项目</w:t>
            </w:r>
          </w:p>
        </w:tc>
        <w:tc>
          <w:tcPr>
            <w:tcW w:w="638" w:type="dxa"/>
            <w:tcBorders>
              <w:top w:val="single" w:color="000000" w:sz="4" w:space="0"/>
              <w:left w:val="single" w:color="auto" w:sz="4" w:space="0"/>
              <w:bottom w:val="single" w:color="000000" w:sz="4" w:space="0"/>
              <w:right w:val="single" w:color="auto" w:sz="4" w:space="0"/>
            </w:tcBorders>
            <w:noWrap w:val="0"/>
            <w:vAlign w:val="center"/>
          </w:tcPr>
          <w:p>
            <w:pPr>
              <w:spacing w:line="240" w:lineRule="auto"/>
              <w:ind w:left="0"/>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单位</w:t>
            </w:r>
          </w:p>
        </w:tc>
        <w:tc>
          <w:tcPr>
            <w:tcW w:w="543" w:type="dxa"/>
            <w:tcBorders>
              <w:top w:val="single" w:color="000000" w:sz="4" w:space="0"/>
              <w:left w:val="single" w:color="auto" w:sz="4" w:space="0"/>
              <w:bottom w:val="single" w:color="000000" w:sz="4" w:space="0"/>
              <w:right w:val="single" w:color="000000" w:sz="4" w:space="0"/>
            </w:tcBorders>
            <w:noWrap w:val="0"/>
            <w:vAlign w:val="center"/>
          </w:tcPr>
          <w:p>
            <w:pPr>
              <w:spacing w:line="240" w:lineRule="auto"/>
              <w:ind w:left="0"/>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数量</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合计（元）</w:t>
            </w:r>
          </w:p>
        </w:tc>
        <w:tc>
          <w:tcPr>
            <w:tcW w:w="71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jc w:val="center"/>
              <w:rPr>
                <w:rFonts w:hint="eastAsia" w:ascii="宋体" w:hAnsi="宋体" w:eastAsia="宋体" w:cs="宋体"/>
                <w:color w:val="auto"/>
                <w:kern w:val="2"/>
                <w:sz w:val="18"/>
                <w:szCs w:val="18"/>
                <w:highlight w:val="none"/>
                <w:lang w:val="zh-CN"/>
              </w:rPr>
            </w:pPr>
            <w:r>
              <w:rPr>
                <w:rFonts w:hint="eastAsia" w:ascii="宋体" w:hAnsi="宋体" w:eastAsia="宋体" w:cs="宋体"/>
                <w:color w:val="auto"/>
                <w:kern w:val="2"/>
                <w:sz w:val="18"/>
                <w:szCs w:val="18"/>
                <w:highlight w:val="none"/>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5" w:hRule="atLeast"/>
        </w:trPr>
        <w:tc>
          <w:tcPr>
            <w:tcW w:w="600"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2"/>
                <w:sz w:val="18"/>
                <w:szCs w:val="18"/>
                <w:highlight w:val="none"/>
                <w:lang w:val="zh-CN" w:eastAsia="zh-CN"/>
              </w:rPr>
            </w:pPr>
            <w:r>
              <w:rPr>
                <w:rFonts w:hint="eastAsia" w:ascii="宋体" w:hAnsi="宋体" w:eastAsia="宋体" w:cs="宋体"/>
                <w:color w:val="auto"/>
                <w:kern w:val="2"/>
                <w:sz w:val="18"/>
                <w:szCs w:val="18"/>
                <w:highlight w:val="none"/>
                <w:lang w:val="en-US" w:eastAsia="zh-CN"/>
              </w:rPr>
              <w:t>1</w:t>
            </w:r>
          </w:p>
        </w:tc>
        <w:tc>
          <w:tcPr>
            <w:tcW w:w="1239" w:type="dxa"/>
            <w:vMerge w:val="restart"/>
            <w:tcBorders>
              <w:top w:val="single" w:color="000000" w:sz="4" w:space="0"/>
              <w:left w:val="single" w:color="000000" w:sz="4" w:space="0"/>
              <w:right w:val="single" w:color="auto" w:sz="4" w:space="0"/>
            </w:tcBorders>
            <w:noWrap w:val="0"/>
            <w:vAlign w:val="center"/>
          </w:tcPr>
          <w:p>
            <w:pPr>
              <w:spacing w:line="240" w:lineRule="auto"/>
              <w:jc w:val="left"/>
              <w:rPr>
                <w:rFonts w:hint="eastAsia" w:ascii="宋体" w:hAnsi="宋体" w:eastAsia="宋体" w:cs="宋体"/>
                <w:color w:val="auto"/>
                <w:kern w:val="2"/>
                <w:sz w:val="18"/>
                <w:szCs w:val="18"/>
                <w:highlight w:val="none"/>
                <w:lang w:val="en-US"/>
              </w:rPr>
            </w:pPr>
            <w:r>
              <w:rPr>
                <w:rFonts w:hint="eastAsia" w:ascii="宋体" w:hAnsi="宋体" w:eastAsia="宋体" w:cs="宋体"/>
                <w:color w:val="auto"/>
                <w:kern w:val="2"/>
                <w:sz w:val="18"/>
                <w:szCs w:val="18"/>
                <w:highlight w:val="none"/>
                <w:lang w:val="zh-CN" w:eastAsia="zh-CN"/>
              </w:rPr>
              <w:t>道路保洁</w:t>
            </w:r>
            <w:r>
              <w:rPr>
                <w:rFonts w:hint="eastAsia" w:ascii="宋体" w:hAnsi="宋体" w:eastAsia="宋体" w:cs="宋体"/>
                <w:color w:val="auto"/>
                <w:kern w:val="2"/>
                <w:sz w:val="18"/>
                <w:szCs w:val="18"/>
                <w:highlight w:val="none"/>
                <w:lang w:val="en-US" w:eastAsia="zh-CN"/>
              </w:rPr>
              <w:t>费</w:t>
            </w:r>
          </w:p>
        </w:tc>
        <w:tc>
          <w:tcPr>
            <w:tcW w:w="2905" w:type="dxa"/>
            <w:tcBorders>
              <w:top w:val="single" w:color="000000" w:sz="4" w:space="0"/>
              <w:left w:val="single" w:color="auto" w:sz="4" w:space="0"/>
              <w:right w:val="single" w:color="auto" w:sz="4" w:space="0"/>
            </w:tcBorders>
            <w:noWrap w:val="0"/>
            <w:vAlign w:val="center"/>
          </w:tcPr>
          <w:p>
            <w:pPr>
              <w:spacing w:line="240" w:lineRule="auto"/>
              <w:jc w:val="left"/>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常保洁人员工资</w:t>
            </w:r>
          </w:p>
        </w:tc>
        <w:tc>
          <w:tcPr>
            <w:tcW w:w="638" w:type="dxa"/>
            <w:tcBorders>
              <w:top w:val="single" w:color="000000" w:sz="4" w:space="0"/>
              <w:left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项</w:t>
            </w:r>
          </w:p>
        </w:tc>
        <w:tc>
          <w:tcPr>
            <w:tcW w:w="543" w:type="dxa"/>
            <w:tcBorders>
              <w:top w:val="single" w:color="000000" w:sz="4" w:space="0"/>
              <w:left w:val="single" w:color="auto" w:sz="4" w:space="0"/>
              <w:right w:val="single" w:color="000000" w:sz="4" w:space="0"/>
            </w:tcBorders>
            <w:noWrap w:val="0"/>
            <w:vAlign w:val="center"/>
          </w:tcPr>
          <w:p>
            <w:pPr>
              <w:spacing w:line="240" w:lineRule="auto"/>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1</w:t>
            </w:r>
          </w:p>
        </w:tc>
        <w:tc>
          <w:tcPr>
            <w:tcW w:w="1144"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2"/>
                <w:sz w:val="18"/>
                <w:szCs w:val="18"/>
                <w:highlight w:val="none"/>
                <w:lang w:val="zh-CN"/>
              </w:rPr>
            </w:pPr>
          </w:p>
        </w:tc>
        <w:tc>
          <w:tcPr>
            <w:tcW w:w="71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2"/>
                <w:sz w:val="18"/>
                <w:szCs w:val="18"/>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60" w:hRule="atLeast"/>
        </w:trPr>
        <w:tc>
          <w:tcPr>
            <w:tcW w:w="600"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2"/>
                <w:sz w:val="18"/>
                <w:szCs w:val="18"/>
                <w:highlight w:val="none"/>
                <w:lang w:val="en-US" w:eastAsia="zh-CN"/>
              </w:rPr>
            </w:pPr>
          </w:p>
        </w:tc>
        <w:tc>
          <w:tcPr>
            <w:tcW w:w="1239" w:type="dxa"/>
            <w:vMerge w:val="continue"/>
            <w:tcBorders>
              <w:left w:val="single" w:color="000000" w:sz="4" w:space="0"/>
              <w:right w:val="single" w:color="auto" w:sz="4" w:space="0"/>
            </w:tcBorders>
            <w:noWrap w:val="0"/>
            <w:vAlign w:val="center"/>
          </w:tcPr>
          <w:p>
            <w:pPr>
              <w:spacing w:line="240" w:lineRule="auto"/>
              <w:jc w:val="left"/>
              <w:rPr>
                <w:rFonts w:hint="eastAsia" w:ascii="宋体" w:hAnsi="宋体" w:eastAsia="宋体" w:cs="宋体"/>
                <w:color w:val="auto"/>
                <w:kern w:val="2"/>
                <w:sz w:val="18"/>
                <w:szCs w:val="18"/>
                <w:highlight w:val="none"/>
                <w:lang w:val="zh-CN" w:eastAsia="zh-CN"/>
              </w:rPr>
            </w:pPr>
          </w:p>
        </w:tc>
        <w:tc>
          <w:tcPr>
            <w:tcW w:w="2905" w:type="dxa"/>
            <w:tcBorders>
              <w:top w:val="single" w:color="000000" w:sz="4" w:space="0"/>
              <w:left w:val="single" w:color="auto" w:sz="4" w:space="0"/>
              <w:right w:val="single" w:color="auto" w:sz="4" w:space="0"/>
            </w:tcBorders>
            <w:noWrap w:val="0"/>
            <w:vAlign w:val="center"/>
          </w:tcPr>
          <w:p>
            <w:pPr>
              <w:spacing w:line="240" w:lineRule="auto"/>
              <w:jc w:val="left"/>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设备投入费用</w:t>
            </w:r>
          </w:p>
        </w:tc>
        <w:tc>
          <w:tcPr>
            <w:tcW w:w="638" w:type="dxa"/>
            <w:tcBorders>
              <w:top w:val="single" w:color="000000" w:sz="4" w:space="0"/>
              <w:left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项</w:t>
            </w:r>
          </w:p>
        </w:tc>
        <w:tc>
          <w:tcPr>
            <w:tcW w:w="543" w:type="dxa"/>
            <w:tcBorders>
              <w:top w:val="single" w:color="000000" w:sz="4" w:space="0"/>
              <w:left w:val="single" w:color="auto" w:sz="4" w:space="0"/>
              <w:right w:val="single" w:color="000000" w:sz="4" w:space="0"/>
            </w:tcBorders>
            <w:noWrap w:val="0"/>
            <w:vAlign w:val="center"/>
          </w:tcPr>
          <w:p>
            <w:pPr>
              <w:spacing w:line="240" w:lineRule="auto"/>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1</w:t>
            </w:r>
          </w:p>
        </w:tc>
        <w:tc>
          <w:tcPr>
            <w:tcW w:w="1144"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2"/>
                <w:sz w:val="18"/>
                <w:szCs w:val="18"/>
                <w:highlight w:val="none"/>
                <w:lang w:val="zh-CN"/>
              </w:rPr>
            </w:pPr>
          </w:p>
        </w:tc>
        <w:tc>
          <w:tcPr>
            <w:tcW w:w="71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2"/>
                <w:sz w:val="18"/>
                <w:szCs w:val="18"/>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3" w:hRule="atLeast"/>
        </w:trPr>
        <w:tc>
          <w:tcPr>
            <w:tcW w:w="600" w:type="dxa"/>
            <w:vMerge w:val="restart"/>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2</w:t>
            </w:r>
          </w:p>
        </w:tc>
        <w:tc>
          <w:tcPr>
            <w:tcW w:w="1239" w:type="dxa"/>
            <w:vMerge w:val="restart"/>
            <w:tcBorders>
              <w:left w:val="single" w:color="000000" w:sz="4" w:space="0"/>
              <w:right w:val="single" w:color="auto" w:sz="4" w:space="0"/>
            </w:tcBorders>
            <w:noWrap w:val="0"/>
            <w:vAlign w:val="center"/>
          </w:tcPr>
          <w:p>
            <w:pPr>
              <w:spacing w:line="240" w:lineRule="auto"/>
              <w:ind w:firstLine="0" w:firstLineChars="0"/>
              <w:jc w:val="left"/>
              <w:rPr>
                <w:rFonts w:hint="eastAsia" w:ascii="宋体" w:hAnsi="宋体" w:eastAsia="宋体" w:cs="宋体"/>
                <w:color w:val="auto"/>
                <w:kern w:val="2"/>
                <w:sz w:val="18"/>
                <w:szCs w:val="18"/>
                <w:highlight w:val="none"/>
                <w:lang w:val="en-US"/>
              </w:rPr>
            </w:pPr>
            <w:r>
              <w:rPr>
                <w:rFonts w:hint="eastAsia" w:ascii="宋体" w:hAnsi="宋体" w:eastAsia="宋体" w:cs="宋体"/>
                <w:color w:val="auto"/>
                <w:kern w:val="2"/>
                <w:sz w:val="18"/>
                <w:szCs w:val="18"/>
                <w:highlight w:val="none"/>
                <w:lang w:val="en-US" w:eastAsia="zh-CN"/>
              </w:rPr>
              <w:t>绿化养护费</w:t>
            </w:r>
          </w:p>
        </w:tc>
        <w:tc>
          <w:tcPr>
            <w:tcW w:w="2905" w:type="dxa"/>
            <w:tcBorders>
              <w:left w:val="single" w:color="auto" w:sz="4" w:space="0"/>
              <w:right w:val="single" w:color="auto" w:sz="4" w:space="0"/>
            </w:tcBorders>
            <w:noWrap w:val="0"/>
            <w:vAlign w:val="center"/>
          </w:tcPr>
          <w:p>
            <w:pPr>
              <w:spacing w:line="240" w:lineRule="auto"/>
              <w:ind w:firstLine="0" w:firstLineChars="0"/>
              <w:jc w:val="left"/>
              <w:rPr>
                <w:rFonts w:hint="eastAsia" w:ascii="宋体" w:hAnsi="宋体" w:eastAsia="宋体" w:cs="宋体"/>
                <w:color w:val="auto"/>
                <w:kern w:val="2"/>
                <w:sz w:val="18"/>
                <w:szCs w:val="18"/>
                <w:highlight w:val="none"/>
                <w:lang w:val="zh-CN" w:eastAsia="zh-CN"/>
              </w:rPr>
            </w:pPr>
            <w:r>
              <w:rPr>
                <w:rFonts w:hint="eastAsia" w:ascii="宋体" w:hAnsi="宋体" w:eastAsia="宋体" w:cs="宋体"/>
                <w:color w:val="auto"/>
                <w:sz w:val="18"/>
                <w:szCs w:val="18"/>
                <w:highlight w:val="none"/>
              </w:rPr>
              <w:t>日常养护费 （绿化养护费的70%</w:t>
            </w:r>
            <w:r>
              <w:rPr>
                <w:rFonts w:hint="eastAsia" w:ascii="宋体" w:hAnsi="宋体" w:eastAsia="宋体" w:cs="宋体"/>
                <w:color w:val="auto"/>
                <w:sz w:val="18"/>
                <w:szCs w:val="18"/>
                <w:highlight w:val="none"/>
                <w:lang w:eastAsia="zh-CN"/>
              </w:rPr>
              <w:t>）</w:t>
            </w:r>
          </w:p>
        </w:tc>
        <w:tc>
          <w:tcPr>
            <w:tcW w:w="638"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kern w:val="2"/>
                <w:sz w:val="18"/>
                <w:szCs w:val="18"/>
                <w:highlight w:val="none"/>
                <w:lang w:val="en-US" w:eastAsia="zh-CN"/>
              </w:rPr>
              <w:t>项</w:t>
            </w:r>
          </w:p>
        </w:tc>
        <w:tc>
          <w:tcPr>
            <w:tcW w:w="543" w:type="dxa"/>
            <w:tcBorders>
              <w:left w:val="single" w:color="auto" w:sz="4" w:space="0"/>
              <w:right w:val="single" w:color="000000" w:sz="4" w:space="0"/>
            </w:tcBorders>
            <w:noWrap w:val="0"/>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kern w:val="2"/>
                <w:sz w:val="18"/>
                <w:szCs w:val="18"/>
                <w:highlight w:val="none"/>
                <w:lang w:val="en-US" w:eastAsia="zh-CN"/>
              </w:rPr>
              <w:t>1</w:t>
            </w:r>
          </w:p>
        </w:tc>
        <w:tc>
          <w:tcPr>
            <w:tcW w:w="1144" w:type="dxa"/>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color w:val="auto"/>
                <w:kern w:val="2"/>
                <w:sz w:val="18"/>
                <w:szCs w:val="18"/>
                <w:highlight w:val="none"/>
                <w:lang w:val="zh-CN" w:eastAsia="zh-CN" w:bidi="ar-SA"/>
              </w:rPr>
            </w:pPr>
          </w:p>
        </w:tc>
        <w:tc>
          <w:tcPr>
            <w:tcW w:w="7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kern w:val="2"/>
                <w:sz w:val="18"/>
                <w:szCs w:val="18"/>
                <w:highlight w:val="none"/>
                <w:shd w:val="clear" w:color="auto" w:fill="auto"/>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20" w:hRule="atLeast"/>
        </w:trPr>
        <w:tc>
          <w:tcPr>
            <w:tcW w:w="600"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2"/>
                <w:sz w:val="18"/>
                <w:szCs w:val="18"/>
                <w:highlight w:val="none"/>
                <w:lang w:val="en-US" w:eastAsia="zh-CN"/>
              </w:rPr>
            </w:pPr>
          </w:p>
        </w:tc>
        <w:tc>
          <w:tcPr>
            <w:tcW w:w="1239" w:type="dxa"/>
            <w:vMerge w:val="continue"/>
            <w:tcBorders>
              <w:left w:val="single" w:color="000000" w:sz="4" w:space="0"/>
              <w:right w:val="single" w:color="auto" w:sz="4" w:space="0"/>
            </w:tcBorders>
            <w:noWrap w:val="0"/>
            <w:vAlign w:val="center"/>
          </w:tcPr>
          <w:p>
            <w:pPr>
              <w:spacing w:line="240" w:lineRule="auto"/>
              <w:ind w:firstLine="0" w:firstLineChars="0"/>
              <w:jc w:val="left"/>
              <w:rPr>
                <w:rFonts w:hint="eastAsia" w:ascii="宋体" w:hAnsi="宋体" w:eastAsia="宋体" w:cs="宋体"/>
                <w:color w:val="auto"/>
                <w:kern w:val="2"/>
                <w:sz w:val="18"/>
                <w:szCs w:val="18"/>
                <w:highlight w:val="none"/>
                <w:lang w:val="zh-CN" w:eastAsia="zh-CN"/>
              </w:rPr>
            </w:pPr>
          </w:p>
        </w:tc>
        <w:tc>
          <w:tcPr>
            <w:tcW w:w="2905" w:type="dxa"/>
            <w:tcBorders>
              <w:left w:val="single" w:color="auto" w:sz="4" w:space="0"/>
              <w:right w:val="single" w:color="auto" w:sz="4" w:space="0"/>
            </w:tcBorders>
            <w:noWrap w:val="0"/>
            <w:vAlign w:val="center"/>
          </w:tcPr>
          <w:p>
            <w:pPr>
              <w:spacing w:line="240" w:lineRule="auto"/>
              <w:ind w:firstLine="0" w:firstLineChars="0"/>
              <w:jc w:val="left"/>
              <w:rPr>
                <w:rFonts w:hint="eastAsia" w:ascii="宋体" w:hAnsi="宋体" w:eastAsia="宋体" w:cs="宋体"/>
                <w:color w:val="auto"/>
                <w:kern w:val="2"/>
                <w:sz w:val="18"/>
                <w:szCs w:val="18"/>
                <w:highlight w:val="none"/>
                <w:lang w:val="zh-CN" w:eastAsia="zh-CN"/>
              </w:rPr>
            </w:pPr>
            <w:r>
              <w:rPr>
                <w:rFonts w:hint="eastAsia" w:ascii="宋体" w:hAnsi="宋体" w:eastAsia="宋体" w:cs="宋体"/>
                <w:color w:val="auto"/>
                <w:sz w:val="18"/>
                <w:szCs w:val="18"/>
                <w:highlight w:val="none"/>
                <w:lang w:val="en-US" w:eastAsia="zh-CN"/>
              </w:rPr>
              <w:t>更</w:t>
            </w:r>
            <w:r>
              <w:rPr>
                <w:rFonts w:hint="eastAsia" w:ascii="宋体" w:hAnsi="宋体" w:eastAsia="宋体" w:cs="宋体"/>
                <w:color w:val="auto"/>
                <w:sz w:val="18"/>
                <w:szCs w:val="18"/>
                <w:highlight w:val="none"/>
              </w:rPr>
              <w:t>新改造费 （绿化养护费的30%）</w:t>
            </w:r>
          </w:p>
        </w:tc>
        <w:tc>
          <w:tcPr>
            <w:tcW w:w="638"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rPr>
              <w:t>项</w:t>
            </w:r>
          </w:p>
        </w:tc>
        <w:tc>
          <w:tcPr>
            <w:tcW w:w="543" w:type="dxa"/>
            <w:tcBorders>
              <w:left w:val="single" w:color="auto" w:sz="4" w:space="0"/>
              <w:right w:val="single" w:color="000000" w:sz="4" w:space="0"/>
            </w:tcBorders>
            <w:noWrap w:val="0"/>
            <w:vAlign w:val="center"/>
          </w:tcPr>
          <w:p>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rPr>
              <w:t>1</w:t>
            </w:r>
          </w:p>
        </w:tc>
        <w:tc>
          <w:tcPr>
            <w:tcW w:w="1144" w:type="dxa"/>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color w:val="auto"/>
                <w:kern w:val="2"/>
                <w:sz w:val="18"/>
                <w:szCs w:val="18"/>
                <w:highlight w:val="none"/>
                <w:lang w:val="zh-CN" w:eastAsia="zh-CN" w:bidi="ar-SA"/>
              </w:rPr>
            </w:pPr>
          </w:p>
        </w:tc>
        <w:tc>
          <w:tcPr>
            <w:tcW w:w="7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kern w:val="2"/>
                <w:sz w:val="18"/>
                <w:szCs w:val="18"/>
                <w:highlight w:val="none"/>
                <w:shd w:val="clear" w:color="auto" w:fill="auto"/>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76" w:hRule="atLeast"/>
        </w:trPr>
        <w:tc>
          <w:tcPr>
            <w:tcW w:w="600" w:type="dxa"/>
            <w:tcBorders>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3</w:t>
            </w:r>
          </w:p>
        </w:tc>
        <w:tc>
          <w:tcPr>
            <w:tcW w:w="4144" w:type="dxa"/>
            <w:gridSpan w:val="2"/>
            <w:tcBorders>
              <w:left w:val="single" w:color="000000" w:sz="4" w:space="0"/>
              <w:bottom w:val="single" w:color="000000" w:sz="4" w:space="0"/>
              <w:right w:val="single" w:color="auto" w:sz="4" w:space="0"/>
            </w:tcBorders>
            <w:noWrap w:val="0"/>
            <w:vAlign w:val="center"/>
          </w:tcPr>
          <w:p>
            <w:pPr>
              <w:spacing w:line="240" w:lineRule="auto"/>
              <w:ind w:firstLine="0" w:firstLineChars="0"/>
              <w:jc w:val="left"/>
              <w:rPr>
                <w:rFonts w:hint="eastAsia" w:ascii="宋体" w:hAnsi="宋体" w:eastAsia="宋体" w:cs="宋体"/>
                <w:color w:val="auto"/>
                <w:kern w:val="2"/>
                <w:sz w:val="18"/>
                <w:szCs w:val="18"/>
                <w:highlight w:val="none"/>
                <w:lang w:val="zh-CN" w:eastAsia="zh-CN"/>
              </w:rPr>
            </w:pPr>
            <w:r>
              <w:rPr>
                <w:rFonts w:hint="eastAsia" w:ascii="宋体" w:hAnsi="宋体" w:eastAsia="宋体" w:cs="宋体"/>
                <w:color w:val="auto"/>
                <w:kern w:val="2"/>
                <w:sz w:val="18"/>
                <w:szCs w:val="18"/>
                <w:highlight w:val="none"/>
                <w:lang w:val="zh-CN" w:eastAsia="zh-CN"/>
              </w:rPr>
              <w:t>时花</w:t>
            </w:r>
            <w:r>
              <w:rPr>
                <w:rFonts w:hint="eastAsia" w:ascii="宋体" w:hAnsi="宋体" w:eastAsia="宋体" w:cs="宋体"/>
                <w:color w:val="auto"/>
                <w:kern w:val="2"/>
                <w:sz w:val="18"/>
                <w:szCs w:val="18"/>
                <w:highlight w:val="none"/>
                <w:lang w:val="en-US" w:eastAsia="zh-CN"/>
              </w:rPr>
              <w:t>种植及养护费</w:t>
            </w:r>
          </w:p>
        </w:tc>
        <w:tc>
          <w:tcPr>
            <w:tcW w:w="638" w:type="dxa"/>
            <w:tcBorders>
              <w:left w:val="single" w:color="auto" w:sz="4" w:space="0"/>
              <w:bottom w:val="single" w:color="000000"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highlight w:val="none"/>
                <w:lang w:val="zh-CN" w:eastAsia="zh-CN"/>
              </w:rPr>
            </w:pPr>
            <w:r>
              <w:rPr>
                <w:rFonts w:hint="eastAsia" w:ascii="宋体" w:hAnsi="宋体" w:eastAsia="宋体" w:cs="宋体"/>
                <w:color w:val="auto"/>
                <w:kern w:val="2"/>
                <w:sz w:val="18"/>
                <w:szCs w:val="18"/>
                <w:highlight w:val="none"/>
                <w:lang w:val="en-US" w:eastAsia="zh-CN"/>
              </w:rPr>
              <w:t>项</w:t>
            </w:r>
          </w:p>
        </w:tc>
        <w:tc>
          <w:tcPr>
            <w:tcW w:w="543" w:type="dxa"/>
            <w:tcBorders>
              <w:left w:val="single" w:color="auto"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2"/>
                <w:sz w:val="18"/>
                <w:szCs w:val="18"/>
                <w:highlight w:val="none"/>
                <w:lang w:val="zh-CN" w:eastAsia="zh-CN"/>
              </w:rPr>
            </w:pPr>
            <w:r>
              <w:rPr>
                <w:rFonts w:hint="eastAsia" w:ascii="宋体" w:hAnsi="宋体" w:eastAsia="宋体" w:cs="宋体"/>
                <w:color w:val="auto"/>
                <w:kern w:val="2"/>
                <w:sz w:val="18"/>
                <w:szCs w:val="18"/>
                <w:highlight w:val="none"/>
                <w:lang w:val="en-US" w:eastAsia="zh-CN"/>
              </w:rPr>
              <w:t>1</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2"/>
                <w:sz w:val="18"/>
                <w:szCs w:val="18"/>
                <w:highlight w:val="none"/>
                <w:lang w:val="zh-CN"/>
              </w:rPr>
            </w:pPr>
          </w:p>
        </w:tc>
        <w:tc>
          <w:tcPr>
            <w:tcW w:w="71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2"/>
                <w:sz w:val="18"/>
                <w:szCs w:val="18"/>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14" w:hRule="atLeast"/>
        </w:trPr>
        <w:tc>
          <w:tcPr>
            <w:tcW w:w="600" w:type="dxa"/>
            <w:tcBorders>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4</w:t>
            </w:r>
          </w:p>
        </w:tc>
        <w:tc>
          <w:tcPr>
            <w:tcW w:w="4144" w:type="dxa"/>
            <w:gridSpan w:val="2"/>
            <w:tcBorders>
              <w:left w:val="single" w:color="000000" w:sz="4" w:space="0"/>
              <w:bottom w:val="single" w:color="000000" w:sz="4" w:space="0"/>
              <w:right w:val="single" w:color="auto" w:sz="4" w:space="0"/>
            </w:tcBorders>
            <w:noWrap w:val="0"/>
            <w:vAlign w:val="center"/>
          </w:tcPr>
          <w:p>
            <w:pPr>
              <w:spacing w:line="240" w:lineRule="auto"/>
              <w:ind w:firstLine="0" w:firstLineChars="0"/>
              <w:jc w:val="left"/>
              <w:rPr>
                <w:rFonts w:hint="eastAsia" w:ascii="宋体" w:hAnsi="宋体" w:eastAsia="宋体" w:cs="宋体"/>
                <w:color w:val="auto"/>
                <w:kern w:val="2"/>
                <w:sz w:val="18"/>
                <w:szCs w:val="18"/>
                <w:highlight w:val="none"/>
                <w:lang w:val="zh-CN" w:eastAsia="zh-CN"/>
              </w:rPr>
            </w:pPr>
            <w:r>
              <w:rPr>
                <w:rFonts w:hint="eastAsia" w:ascii="宋体" w:hAnsi="宋体" w:eastAsia="宋体" w:cs="宋体"/>
                <w:color w:val="auto"/>
                <w:kern w:val="2"/>
                <w:sz w:val="18"/>
                <w:szCs w:val="18"/>
                <w:highlight w:val="none"/>
                <w:lang w:val="en-US" w:eastAsia="zh-CN"/>
              </w:rPr>
              <w:t>公厕保洁费</w:t>
            </w:r>
          </w:p>
        </w:tc>
        <w:tc>
          <w:tcPr>
            <w:tcW w:w="638" w:type="dxa"/>
            <w:tcBorders>
              <w:left w:val="single" w:color="auto" w:sz="4" w:space="0"/>
              <w:bottom w:val="single" w:color="000000" w:sz="4" w:space="0"/>
              <w:right w:val="single" w:color="auto" w:sz="4" w:space="0"/>
            </w:tcBorders>
            <w:noWrap w:val="0"/>
            <w:vAlign w:val="center"/>
          </w:tcPr>
          <w:p>
            <w:pPr>
              <w:spacing w:line="240" w:lineRule="auto"/>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项</w:t>
            </w:r>
          </w:p>
        </w:tc>
        <w:tc>
          <w:tcPr>
            <w:tcW w:w="543" w:type="dxa"/>
            <w:tcBorders>
              <w:left w:val="single" w:color="auto"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1</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2"/>
                <w:sz w:val="18"/>
                <w:szCs w:val="18"/>
                <w:highlight w:val="none"/>
                <w:lang w:val="zh-CN"/>
              </w:rPr>
            </w:pPr>
          </w:p>
        </w:tc>
        <w:tc>
          <w:tcPr>
            <w:tcW w:w="71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2"/>
                <w:sz w:val="18"/>
                <w:szCs w:val="18"/>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6" w:hRule="atLeast"/>
        </w:trPr>
        <w:tc>
          <w:tcPr>
            <w:tcW w:w="600" w:type="dxa"/>
            <w:tcBorders>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5</w:t>
            </w:r>
          </w:p>
        </w:tc>
        <w:tc>
          <w:tcPr>
            <w:tcW w:w="4144" w:type="dxa"/>
            <w:gridSpan w:val="2"/>
            <w:tcBorders>
              <w:left w:val="single" w:color="000000" w:sz="4" w:space="0"/>
              <w:bottom w:val="single" w:color="000000" w:sz="4" w:space="0"/>
              <w:right w:val="single" w:color="auto" w:sz="4" w:space="0"/>
            </w:tcBorders>
            <w:noWrap w:val="0"/>
            <w:vAlign w:val="center"/>
          </w:tcPr>
          <w:p>
            <w:pPr>
              <w:spacing w:line="240" w:lineRule="auto"/>
              <w:ind w:firstLine="0" w:firstLineChars="0"/>
              <w:jc w:val="left"/>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市政养护费</w:t>
            </w:r>
          </w:p>
        </w:tc>
        <w:tc>
          <w:tcPr>
            <w:tcW w:w="638" w:type="dxa"/>
            <w:tcBorders>
              <w:left w:val="single" w:color="auto" w:sz="4" w:space="0"/>
              <w:bottom w:val="single" w:color="000000" w:sz="4" w:space="0"/>
              <w:right w:val="single" w:color="auto" w:sz="4" w:space="0"/>
            </w:tcBorders>
            <w:noWrap w:val="0"/>
            <w:vAlign w:val="center"/>
          </w:tcPr>
          <w:p>
            <w:pPr>
              <w:spacing w:line="240" w:lineRule="auto"/>
              <w:ind w:firstLine="0" w:firstLineChars="0"/>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项</w:t>
            </w:r>
          </w:p>
        </w:tc>
        <w:tc>
          <w:tcPr>
            <w:tcW w:w="543" w:type="dxa"/>
            <w:tcBorders>
              <w:left w:val="single" w:color="auto"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1</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2"/>
                <w:sz w:val="18"/>
                <w:szCs w:val="18"/>
                <w:highlight w:val="none"/>
                <w:u w:val="single"/>
                <w:lang w:val="en-US" w:eastAsia="zh-CN"/>
              </w:rPr>
            </w:pPr>
            <w:r>
              <w:rPr>
                <w:rFonts w:hint="eastAsia" w:ascii="宋体" w:hAnsi="宋体" w:eastAsia="宋体" w:cs="宋体"/>
                <w:color w:val="auto"/>
                <w:kern w:val="2"/>
                <w:sz w:val="18"/>
                <w:szCs w:val="18"/>
                <w:highlight w:val="none"/>
                <w:u w:val="single"/>
                <w:lang w:val="en-US" w:eastAsia="zh-CN"/>
              </w:rPr>
              <w:t xml:space="preserve">   </w:t>
            </w:r>
            <w:r>
              <w:rPr>
                <w:rFonts w:hint="eastAsia" w:ascii="宋体" w:hAnsi="宋体" w:eastAsia="宋体" w:cs="宋体"/>
                <w:color w:val="auto"/>
                <w:kern w:val="2"/>
                <w:sz w:val="18"/>
                <w:szCs w:val="18"/>
                <w:highlight w:val="none"/>
                <w:lang w:val="zh-CN"/>
              </w:rPr>
              <w:t>%</w:t>
            </w:r>
          </w:p>
        </w:tc>
        <w:tc>
          <w:tcPr>
            <w:tcW w:w="71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2"/>
                <w:sz w:val="18"/>
                <w:szCs w:val="18"/>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66" w:hRule="atLeast"/>
        </w:trPr>
        <w:tc>
          <w:tcPr>
            <w:tcW w:w="5925"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firstLine="180" w:firstLineChars="100"/>
              <w:jc w:val="left"/>
              <w:rPr>
                <w:rFonts w:hint="eastAsia" w:ascii="宋体" w:hAnsi="宋体" w:eastAsia="宋体" w:cs="宋体"/>
                <w:color w:val="auto"/>
                <w:kern w:val="2"/>
                <w:sz w:val="18"/>
                <w:szCs w:val="18"/>
                <w:highlight w:val="none"/>
                <w:lang w:val="zh-CN"/>
              </w:rPr>
            </w:pPr>
            <w:r>
              <w:rPr>
                <w:rFonts w:hint="eastAsia" w:ascii="宋体" w:hAnsi="宋体" w:eastAsia="宋体" w:cs="宋体"/>
                <w:color w:val="auto"/>
                <w:kern w:val="2"/>
                <w:sz w:val="18"/>
                <w:szCs w:val="18"/>
                <w:highlight w:val="none"/>
                <w:lang w:val="zh-CN"/>
              </w:rPr>
              <w:t>费用</w:t>
            </w:r>
            <w:r>
              <w:rPr>
                <w:rFonts w:hint="eastAsia" w:ascii="宋体" w:hAnsi="宋体" w:cs="宋体"/>
                <w:color w:val="auto"/>
                <w:kern w:val="2"/>
                <w:sz w:val="18"/>
                <w:szCs w:val="18"/>
                <w:highlight w:val="none"/>
                <w:lang w:val="en-US" w:eastAsia="zh-CN"/>
              </w:rPr>
              <w:t>一</w:t>
            </w:r>
            <w:r>
              <w:rPr>
                <w:rFonts w:hint="eastAsia" w:ascii="宋体" w:hAnsi="宋体" w:eastAsia="宋体" w:cs="宋体"/>
                <w:color w:val="auto"/>
                <w:kern w:val="2"/>
                <w:sz w:val="18"/>
                <w:szCs w:val="18"/>
                <w:highlight w:val="none"/>
                <w:lang w:val="zh-CN"/>
              </w:rPr>
              <w:t>合计总价（1+2+3</w:t>
            </w:r>
            <w:r>
              <w:rPr>
                <w:rFonts w:hint="eastAsia" w:ascii="宋体" w:hAnsi="宋体" w:eastAsia="宋体" w:cs="宋体"/>
                <w:color w:val="auto"/>
                <w:kern w:val="2"/>
                <w:sz w:val="18"/>
                <w:szCs w:val="18"/>
                <w:highlight w:val="none"/>
                <w:lang w:val="en-US" w:eastAsia="zh-CN"/>
              </w:rPr>
              <w:t>+4</w:t>
            </w:r>
            <w:r>
              <w:rPr>
                <w:rFonts w:hint="eastAsia" w:ascii="宋体" w:hAnsi="宋体" w:eastAsia="宋体" w:cs="宋体"/>
                <w:color w:val="auto"/>
                <w:kern w:val="2"/>
                <w:sz w:val="18"/>
                <w:szCs w:val="18"/>
                <w:highlight w:val="none"/>
                <w:lang w:val="zh-CN"/>
              </w:rPr>
              <w:t>）</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2"/>
                <w:sz w:val="18"/>
                <w:szCs w:val="18"/>
                <w:highlight w:val="none"/>
                <w:lang w:val="zh-CN"/>
              </w:rPr>
            </w:pPr>
            <w:r>
              <w:rPr>
                <w:rFonts w:hint="eastAsia" w:ascii="宋体" w:hAnsi="宋体" w:eastAsia="宋体" w:cs="宋体"/>
                <w:color w:val="auto"/>
                <w:kern w:val="2"/>
                <w:sz w:val="18"/>
                <w:szCs w:val="18"/>
                <w:highlight w:val="none"/>
                <w:lang w:val="zh-CN"/>
              </w:rPr>
              <w:t>小写（元）</w:t>
            </w:r>
          </w:p>
        </w:tc>
        <w:tc>
          <w:tcPr>
            <w:tcW w:w="7125" w:type="dxa"/>
            <w:tcBorders>
              <w:top w:val="single" w:color="000000" w:sz="4" w:space="0"/>
              <w:left w:val="single" w:color="000000" w:sz="4" w:space="0"/>
              <w:bottom w:val="single" w:color="auto" w:sz="4" w:space="0"/>
              <w:right w:val="single" w:color="000000" w:sz="4" w:space="0"/>
            </w:tcBorders>
            <w:noWrap w:val="0"/>
            <w:vAlign w:val="center"/>
          </w:tcPr>
          <w:p>
            <w:pPr>
              <w:spacing w:line="240" w:lineRule="auto"/>
              <w:jc w:val="left"/>
              <w:rPr>
                <w:rFonts w:hint="eastAsia" w:ascii="宋体" w:hAnsi="宋体" w:eastAsia="宋体" w:cs="宋体"/>
                <w:color w:val="auto"/>
                <w:kern w:val="2"/>
                <w:sz w:val="18"/>
                <w:szCs w:val="18"/>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49" w:hRule="atLeast"/>
        </w:trPr>
        <w:tc>
          <w:tcPr>
            <w:tcW w:w="5925"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2"/>
                <w:sz w:val="18"/>
                <w:szCs w:val="18"/>
                <w:highlight w:val="none"/>
                <w:lang w:val="zh-CN"/>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2"/>
                <w:sz w:val="18"/>
                <w:szCs w:val="18"/>
                <w:highlight w:val="none"/>
                <w:lang w:val="zh-CN"/>
              </w:rPr>
            </w:pPr>
            <w:r>
              <w:rPr>
                <w:rFonts w:hint="eastAsia" w:ascii="宋体" w:hAnsi="宋体" w:eastAsia="宋体" w:cs="宋体"/>
                <w:color w:val="auto"/>
                <w:kern w:val="2"/>
                <w:sz w:val="18"/>
                <w:szCs w:val="18"/>
                <w:highlight w:val="none"/>
                <w:lang w:val="zh-CN"/>
              </w:rPr>
              <w:t>大写（元）</w:t>
            </w:r>
          </w:p>
        </w:tc>
        <w:tc>
          <w:tcPr>
            <w:tcW w:w="7125" w:type="dxa"/>
            <w:tcBorders>
              <w:top w:val="single" w:color="auto" w:sz="4" w:space="0"/>
              <w:left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2"/>
                <w:sz w:val="18"/>
                <w:szCs w:val="18"/>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9" w:hRule="atLeast"/>
        </w:trPr>
        <w:tc>
          <w:tcPr>
            <w:tcW w:w="5925"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180" w:firstLineChars="100"/>
              <w:jc w:val="left"/>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zh-CN"/>
              </w:rPr>
              <w:t>费用</w:t>
            </w:r>
            <w:r>
              <w:rPr>
                <w:rFonts w:hint="eastAsia" w:ascii="宋体" w:hAnsi="宋体" w:cs="宋体"/>
                <w:color w:val="auto"/>
                <w:kern w:val="2"/>
                <w:sz w:val="18"/>
                <w:szCs w:val="18"/>
                <w:highlight w:val="none"/>
                <w:lang w:val="en-US" w:eastAsia="zh-CN"/>
              </w:rPr>
              <w:t>二</w:t>
            </w:r>
            <w:r>
              <w:rPr>
                <w:rFonts w:hint="eastAsia" w:ascii="宋体" w:hAnsi="宋体" w:eastAsia="宋体" w:cs="宋体"/>
                <w:color w:val="auto"/>
                <w:kern w:val="2"/>
                <w:sz w:val="18"/>
                <w:szCs w:val="18"/>
                <w:highlight w:val="none"/>
                <w:lang w:val="en-US" w:eastAsia="zh-CN"/>
              </w:rPr>
              <w:t>合计总价（5）</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2"/>
                <w:sz w:val="18"/>
                <w:szCs w:val="18"/>
                <w:highlight w:val="none"/>
                <w:lang w:val="zh-CN"/>
              </w:rPr>
            </w:pPr>
            <w:r>
              <w:rPr>
                <w:rFonts w:hint="eastAsia" w:ascii="宋体" w:hAnsi="宋体" w:eastAsia="宋体" w:cs="宋体"/>
                <w:color w:val="auto"/>
                <w:kern w:val="2"/>
                <w:sz w:val="18"/>
                <w:szCs w:val="18"/>
                <w:highlight w:val="none"/>
                <w:lang w:val="zh-CN"/>
              </w:rPr>
              <w:t>小写（</w:t>
            </w:r>
            <w:r>
              <w:rPr>
                <w:rFonts w:hint="eastAsia" w:ascii="宋体" w:hAnsi="宋体" w:eastAsia="宋体" w:cs="宋体"/>
                <w:color w:val="auto"/>
                <w:kern w:val="2"/>
                <w:sz w:val="18"/>
                <w:szCs w:val="18"/>
                <w:highlight w:val="none"/>
                <w:lang w:val="en-US" w:eastAsia="zh-CN"/>
              </w:rPr>
              <w:t>%</w:t>
            </w:r>
            <w:r>
              <w:rPr>
                <w:rFonts w:hint="eastAsia" w:ascii="宋体" w:hAnsi="宋体" w:eastAsia="宋体" w:cs="宋体"/>
                <w:color w:val="auto"/>
                <w:kern w:val="2"/>
                <w:sz w:val="18"/>
                <w:szCs w:val="18"/>
                <w:highlight w:val="none"/>
                <w:lang w:val="zh-CN"/>
              </w:rPr>
              <w:t>）</w:t>
            </w:r>
          </w:p>
        </w:tc>
        <w:tc>
          <w:tcPr>
            <w:tcW w:w="7125" w:type="dxa"/>
            <w:tcBorders>
              <w:top w:val="single" w:color="auto" w:sz="4" w:space="0"/>
              <w:left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2"/>
                <w:sz w:val="18"/>
                <w:szCs w:val="18"/>
                <w:highlight w:val="none"/>
                <w:lang w:val="zh-CN"/>
              </w:rPr>
            </w:pPr>
          </w:p>
        </w:tc>
      </w:tr>
    </w:tbl>
    <w:p>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1、投标人需按本表格式填写，不得自行更改。</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投标文件含有采购人不能接受的附加条件的，投标无效</w:t>
      </w:r>
      <w:r>
        <w:rPr>
          <w:rFonts w:hint="eastAsia" w:ascii="宋体" w:hAnsi="宋体" w:eastAsia="宋体" w:cs="宋体"/>
          <w:b/>
          <w:color w:val="auto"/>
          <w:kern w:val="0"/>
          <w:sz w:val="24"/>
          <w:highlight w:val="none"/>
          <w:lang w:val="zh-CN"/>
        </w:rPr>
        <w:t>。</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5、</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967"/>
        <w:numPr>
          <w:ilvl w:val="0"/>
          <w:numId w:val="0"/>
        </w:numPr>
        <w:jc w:val="center"/>
        <w:rPr>
          <w:rFonts w:hint="eastAsia" w:ascii="宋体" w:hAnsi="宋体" w:eastAsia="宋体" w:cs="宋体"/>
          <w:color w:val="auto"/>
          <w:sz w:val="24"/>
          <w:highlight w:val="none"/>
          <w:lang w:val="en-US" w:eastAsia="zh-CN"/>
        </w:rPr>
      </w:pPr>
    </w:p>
    <w:p>
      <w:pPr>
        <w:pStyle w:val="967"/>
        <w:numPr>
          <w:ilvl w:val="0"/>
          <w:numId w:val="0"/>
        </w:numPr>
        <w:jc w:val="center"/>
        <w:rPr>
          <w:rFonts w:hint="eastAsia" w:ascii="宋体" w:hAnsi="宋体" w:eastAsia="宋体" w:cs="宋体"/>
          <w:color w:val="auto"/>
          <w:sz w:val="24"/>
          <w:highlight w:val="none"/>
          <w:lang w:val="en-US" w:eastAsia="zh-CN"/>
        </w:rPr>
      </w:pPr>
    </w:p>
    <w:p>
      <w:pPr>
        <w:pStyle w:val="381"/>
        <w:snapToGrid w:val="0"/>
        <w:spacing w:before="120" w:after="120"/>
        <w:ind w:firstLine="0"/>
        <w:outlineLvl w:val="9"/>
        <w:rPr>
          <w:rFonts w:hint="eastAsia" w:ascii="宋体" w:hAnsi="宋体" w:eastAsia="宋体" w:cs="宋体"/>
          <w:color w:val="auto"/>
          <w:highlight w:val="none"/>
        </w:rPr>
      </w:pP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独立投标：投标人名称(电子签名)：</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或</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采用联合体投标：联合体牵头人名称(电子签名/盖章)：</w:t>
      </w:r>
    </w:p>
    <w:p>
      <w:pPr>
        <w:pStyle w:val="381"/>
        <w:snapToGrid w:val="0"/>
        <w:spacing w:before="120" w:after="120"/>
        <w:ind w:firstLine="0"/>
        <w:jc w:val="right"/>
        <w:outlineLvl w:val="9"/>
        <w:rPr>
          <w:rFonts w:hint="eastAsia" w:ascii="宋体" w:hAnsi="宋体" w:eastAsia="宋体" w:cs="宋体"/>
          <w:color w:val="auto"/>
          <w:highlight w:val="none"/>
        </w:rPr>
        <w:sectPr>
          <w:pgSz w:w="16838" w:h="11906" w:orient="landscape"/>
          <w:pgMar w:top="1418" w:right="1247" w:bottom="1418" w:left="1276" w:header="851" w:footer="992" w:gutter="0"/>
          <w:cols w:space="720" w:num="1"/>
          <w:titlePg/>
          <w:docGrid w:linePitch="312" w:charSpace="0"/>
        </w:sectPr>
      </w:pPr>
      <w:r>
        <w:rPr>
          <w:rFonts w:hint="eastAsia" w:ascii="宋体" w:hAnsi="宋体" w:eastAsia="宋体" w:cs="宋体"/>
          <w:color w:val="auto"/>
          <w:sz w:val="24"/>
          <w:highlight w:val="none"/>
        </w:rPr>
        <w:t xml:space="preserve">   日期：  年   月  </w:t>
      </w:r>
    </w:p>
    <w:p>
      <w:pPr>
        <w:pStyle w:val="967"/>
        <w:numPr>
          <w:ilvl w:val="0"/>
          <w:numId w:val="0"/>
        </w:numPr>
        <w:jc w:val="center"/>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b/>
          <w:color w:val="auto"/>
          <w:kern w:val="0"/>
          <w:sz w:val="24"/>
          <w:szCs w:val="24"/>
          <w:highlight w:val="none"/>
          <w:lang w:val="en-US" w:eastAsia="zh-CN" w:bidi="ar-SA"/>
        </w:rPr>
        <w:t>（二）</w:t>
      </w:r>
      <w:r>
        <w:rPr>
          <w:rFonts w:hint="eastAsia" w:asciiTheme="minorEastAsia" w:hAnsiTheme="minorEastAsia" w:eastAsiaTheme="minorEastAsia" w:cstheme="minorEastAsia"/>
          <w:color w:val="auto"/>
          <w:sz w:val="24"/>
          <w:szCs w:val="24"/>
          <w:highlight w:val="none"/>
          <w:lang w:val="en-US" w:eastAsia="zh-CN"/>
        </w:rPr>
        <w:t>道路保洁报价明细清单1</w:t>
      </w:r>
    </w:p>
    <w:tbl>
      <w:tblPr>
        <w:tblStyle w:val="64"/>
        <w:tblW w:w="14479" w:type="dxa"/>
        <w:tblInd w:w="-4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3"/>
        <w:gridCol w:w="692"/>
        <w:gridCol w:w="1519"/>
        <w:gridCol w:w="2232"/>
        <w:gridCol w:w="1462"/>
        <w:gridCol w:w="1275"/>
        <w:gridCol w:w="1669"/>
        <w:gridCol w:w="1834"/>
        <w:gridCol w:w="1950"/>
        <w:gridCol w:w="12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序号 </w:t>
            </w:r>
          </w:p>
        </w:tc>
        <w:tc>
          <w:tcPr>
            <w:tcW w:w="6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保洁</w:t>
            </w:r>
          </w:p>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等级</w:t>
            </w:r>
          </w:p>
        </w:tc>
        <w:tc>
          <w:tcPr>
            <w:tcW w:w="1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道路名</w:t>
            </w:r>
          </w:p>
        </w:tc>
        <w:tc>
          <w:tcPr>
            <w:tcW w:w="22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起止点</w:t>
            </w:r>
          </w:p>
        </w:tc>
        <w:tc>
          <w:tcPr>
            <w:tcW w:w="1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长度(m)</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平均 </w:t>
            </w:r>
          </w:p>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宽度(m)</w:t>
            </w:r>
          </w:p>
        </w:tc>
        <w:tc>
          <w:tcPr>
            <w:tcW w:w="16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道路及人行道面积</w:t>
            </w:r>
            <w:r>
              <w:rPr>
                <w:rFonts w:hint="eastAsia" w:asciiTheme="minorEastAsia" w:hAnsiTheme="minorEastAsia" w:eastAsiaTheme="minorEastAsia" w:cstheme="minorEastAsia"/>
                <w:color w:val="auto"/>
                <w:kern w:val="0"/>
                <w:sz w:val="24"/>
                <w:szCs w:val="24"/>
                <w:highlight w:val="none"/>
              </w:rPr>
              <w:t>(m2)</w:t>
            </w:r>
          </w:p>
        </w:tc>
        <w:tc>
          <w:tcPr>
            <w:tcW w:w="1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b w:val="0"/>
                <w:color w:val="auto"/>
                <w:kern w:val="0"/>
                <w:sz w:val="24"/>
                <w:szCs w:val="24"/>
                <w:highlight w:val="none"/>
                <w:u w:val="none"/>
                <w:lang w:eastAsia="zh-CN" w:bidi="ar"/>
              </w:rPr>
            </w:pPr>
            <w:r>
              <w:rPr>
                <w:rFonts w:hint="eastAsia" w:asciiTheme="minorEastAsia" w:hAnsiTheme="minorEastAsia" w:eastAsiaTheme="minorEastAsia" w:cstheme="minorEastAsia"/>
                <w:b w:val="0"/>
                <w:color w:val="auto"/>
                <w:kern w:val="0"/>
                <w:sz w:val="24"/>
                <w:szCs w:val="24"/>
                <w:highlight w:val="none"/>
                <w:u w:val="none"/>
                <w:lang w:eastAsia="zh-CN" w:bidi="ar"/>
              </w:rPr>
              <w:t>单项最高限价</w:t>
            </w:r>
          </w:p>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（元/平方米/年）</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综合单价 </w:t>
            </w:r>
          </w:p>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（元/平方米/年） </w:t>
            </w:r>
          </w:p>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rPr>
              <w:t>年合计</w:t>
            </w:r>
            <w:r>
              <w:rPr>
                <w:rFonts w:hint="eastAsia" w:asciiTheme="minorEastAsia" w:hAnsiTheme="minorEastAsia" w:eastAsiaTheme="minorEastAsia" w:cstheme="minorEastAsia"/>
                <w:b/>
                <w:color w:val="auto"/>
                <w:kern w:val="0"/>
                <w:sz w:val="24"/>
                <w:szCs w:val="24"/>
                <w:highlight w:val="none"/>
                <w:lang w:eastAsia="zh-CN"/>
              </w:rPr>
              <w:t>（</w:t>
            </w:r>
            <w:r>
              <w:rPr>
                <w:rFonts w:hint="eastAsia" w:asciiTheme="minorEastAsia" w:hAnsiTheme="minorEastAsia" w:eastAsiaTheme="minorEastAsia" w:cstheme="minorEastAsia"/>
                <w:b/>
                <w:color w:val="auto"/>
                <w:kern w:val="0"/>
                <w:sz w:val="24"/>
                <w:szCs w:val="24"/>
                <w:highlight w:val="none"/>
                <w:lang w:val="en-US" w:eastAsia="zh-CN"/>
              </w:rPr>
              <w:t>元</w:t>
            </w:r>
            <w:r>
              <w:rPr>
                <w:rFonts w:hint="eastAsia" w:asciiTheme="minorEastAsia" w:hAnsiTheme="minorEastAsia" w:eastAsiaTheme="minorEastAsia" w:cstheme="minorEastAsia"/>
                <w:b/>
                <w:color w:val="auto"/>
                <w:kern w:val="0"/>
                <w:sz w:val="24"/>
                <w:szCs w:val="24"/>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1</w:t>
            </w:r>
          </w:p>
        </w:tc>
        <w:tc>
          <w:tcPr>
            <w:tcW w:w="692" w:type="dxa"/>
            <w:vMerge w:val="restart"/>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二类</w:t>
            </w:r>
          </w:p>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道路保洁标准</w:t>
            </w:r>
          </w:p>
        </w:tc>
        <w:tc>
          <w:tcPr>
            <w:tcW w:w="1519"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东莲街</w:t>
            </w:r>
          </w:p>
        </w:tc>
        <w:tc>
          <w:tcPr>
            <w:tcW w:w="22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绿汀路-良睦路</w:t>
            </w:r>
          </w:p>
        </w:tc>
        <w:tc>
          <w:tcPr>
            <w:tcW w:w="1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2026</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14</w:t>
            </w:r>
          </w:p>
        </w:tc>
        <w:tc>
          <w:tcPr>
            <w:tcW w:w="16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28356</w:t>
            </w:r>
          </w:p>
        </w:tc>
        <w:tc>
          <w:tcPr>
            <w:tcW w:w="1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22.98</w:t>
            </w:r>
            <w:r>
              <w:rPr>
                <w:rFonts w:hint="eastAsia" w:asciiTheme="minorEastAsia" w:hAnsiTheme="minorEastAsia" w:eastAsiaTheme="minorEastAsia" w:cstheme="minorEastAsia"/>
                <w:color w:val="000000"/>
                <w:kern w:val="0"/>
                <w:sz w:val="24"/>
                <w:szCs w:val="24"/>
                <w:highlight w:val="none"/>
                <w:lang w:val="en-US" w:eastAsia="zh-CN" w:bidi="ar"/>
              </w:rPr>
              <w:t xml:space="preserve"> </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vMerge w:val="continue"/>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519"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auto"/>
                <w:sz w:val="24"/>
                <w:szCs w:val="24"/>
                <w:highlight w:val="none"/>
              </w:rPr>
            </w:pPr>
          </w:p>
        </w:tc>
        <w:tc>
          <w:tcPr>
            <w:tcW w:w="22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绿晨路-绿汀路</w:t>
            </w:r>
          </w:p>
        </w:tc>
        <w:tc>
          <w:tcPr>
            <w:tcW w:w="1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1361</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15</w:t>
            </w:r>
          </w:p>
        </w:tc>
        <w:tc>
          <w:tcPr>
            <w:tcW w:w="16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15320</w:t>
            </w:r>
          </w:p>
        </w:tc>
        <w:tc>
          <w:tcPr>
            <w:tcW w:w="1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22.98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519"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科凯路</w:t>
            </w:r>
          </w:p>
        </w:tc>
        <w:tc>
          <w:tcPr>
            <w:tcW w:w="22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余杭塘路-文一西路</w:t>
            </w:r>
          </w:p>
        </w:tc>
        <w:tc>
          <w:tcPr>
            <w:tcW w:w="1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856</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16</w:t>
            </w:r>
          </w:p>
        </w:tc>
        <w:tc>
          <w:tcPr>
            <w:tcW w:w="16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13696</w:t>
            </w:r>
          </w:p>
        </w:tc>
        <w:tc>
          <w:tcPr>
            <w:tcW w:w="1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22.98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vMerge w:val="continue"/>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519"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auto"/>
                <w:sz w:val="24"/>
                <w:szCs w:val="24"/>
                <w:highlight w:val="none"/>
              </w:rPr>
            </w:pPr>
          </w:p>
        </w:tc>
        <w:tc>
          <w:tcPr>
            <w:tcW w:w="22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文一西路-葛巷路</w:t>
            </w:r>
          </w:p>
        </w:tc>
        <w:tc>
          <w:tcPr>
            <w:tcW w:w="1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735</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16</w:t>
            </w:r>
          </w:p>
        </w:tc>
        <w:tc>
          <w:tcPr>
            <w:tcW w:w="16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11525</w:t>
            </w:r>
          </w:p>
        </w:tc>
        <w:tc>
          <w:tcPr>
            <w:tcW w:w="1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22.98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3</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519"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向往街</w:t>
            </w:r>
          </w:p>
        </w:tc>
        <w:tc>
          <w:tcPr>
            <w:tcW w:w="22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绿汀路-良睦路</w:t>
            </w:r>
          </w:p>
        </w:tc>
        <w:tc>
          <w:tcPr>
            <w:tcW w:w="1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2000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28</w:t>
            </w:r>
          </w:p>
        </w:tc>
        <w:tc>
          <w:tcPr>
            <w:tcW w:w="16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53700</w:t>
            </w:r>
          </w:p>
        </w:tc>
        <w:tc>
          <w:tcPr>
            <w:tcW w:w="1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22.98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vMerge w:val="continue"/>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519"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auto"/>
                <w:sz w:val="24"/>
                <w:szCs w:val="24"/>
                <w:highlight w:val="none"/>
              </w:rPr>
            </w:pPr>
          </w:p>
        </w:tc>
        <w:tc>
          <w:tcPr>
            <w:tcW w:w="22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良睦路-联创街</w:t>
            </w:r>
          </w:p>
        </w:tc>
        <w:tc>
          <w:tcPr>
            <w:tcW w:w="1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1200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29-35</w:t>
            </w:r>
          </w:p>
        </w:tc>
        <w:tc>
          <w:tcPr>
            <w:tcW w:w="16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38060</w:t>
            </w:r>
          </w:p>
        </w:tc>
        <w:tc>
          <w:tcPr>
            <w:tcW w:w="1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22.98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4</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519"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龙潭路</w:t>
            </w:r>
          </w:p>
        </w:tc>
        <w:tc>
          <w:tcPr>
            <w:tcW w:w="22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绿汀路-东西大道</w:t>
            </w:r>
          </w:p>
        </w:tc>
        <w:tc>
          <w:tcPr>
            <w:tcW w:w="1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1460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18</w:t>
            </w:r>
          </w:p>
        </w:tc>
        <w:tc>
          <w:tcPr>
            <w:tcW w:w="16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27880</w:t>
            </w:r>
          </w:p>
        </w:tc>
        <w:tc>
          <w:tcPr>
            <w:tcW w:w="1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22.98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vMerge w:val="continue"/>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519"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auto"/>
                <w:sz w:val="24"/>
                <w:szCs w:val="24"/>
                <w:highlight w:val="none"/>
              </w:rPr>
            </w:pPr>
          </w:p>
        </w:tc>
        <w:tc>
          <w:tcPr>
            <w:tcW w:w="22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创景路--绿汀路</w:t>
            </w:r>
          </w:p>
        </w:tc>
        <w:tc>
          <w:tcPr>
            <w:tcW w:w="1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767</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20</w:t>
            </w:r>
          </w:p>
        </w:tc>
        <w:tc>
          <w:tcPr>
            <w:tcW w:w="16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13807</w:t>
            </w:r>
          </w:p>
        </w:tc>
        <w:tc>
          <w:tcPr>
            <w:tcW w:w="1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22.98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5</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舒心路</w:t>
            </w:r>
          </w:p>
        </w:tc>
        <w:tc>
          <w:tcPr>
            <w:tcW w:w="22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余杭塘路-文一西路</w:t>
            </w:r>
          </w:p>
        </w:tc>
        <w:tc>
          <w:tcPr>
            <w:tcW w:w="1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1171</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28</w:t>
            </w:r>
          </w:p>
        </w:tc>
        <w:tc>
          <w:tcPr>
            <w:tcW w:w="16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22360</w:t>
            </w:r>
          </w:p>
        </w:tc>
        <w:tc>
          <w:tcPr>
            <w:tcW w:w="1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22.98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6</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创景路</w:t>
            </w:r>
          </w:p>
        </w:tc>
        <w:tc>
          <w:tcPr>
            <w:tcW w:w="22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东莲街-文一西路</w:t>
            </w:r>
          </w:p>
        </w:tc>
        <w:tc>
          <w:tcPr>
            <w:tcW w:w="1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1363</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24</w:t>
            </w:r>
          </w:p>
        </w:tc>
        <w:tc>
          <w:tcPr>
            <w:tcW w:w="16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32722</w:t>
            </w:r>
          </w:p>
        </w:tc>
        <w:tc>
          <w:tcPr>
            <w:tcW w:w="1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22.98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7</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景兴路</w:t>
            </w:r>
          </w:p>
        </w:tc>
        <w:tc>
          <w:tcPr>
            <w:tcW w:w="22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东莲街-文一西路</w:t>
            </w:r>
          </w:p>
        </w:tc>
        <w:tc>
          <w:tcPr>
            <w:tcW w:w="1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1380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32</w:t>
            </w:r>
          </w:p>
        </w:tc>
        <w:tc>
          <w:tcPr>
            <w:tcW w:w="16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45963</w:t>
            </w:r>
          </w:p>
        </w:tc>
        <w:tc>
          <w:tcPr>
            <w:tcW w:w="1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22.98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8</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海鸥路</w:t>
            </w:r>
          </w:p>
        </w:tc>
        <w:tc>
          <w:tcPr>
            <w:tcW w:w="22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余杭塘路-向往街</w:t>
            </w:r>
          </w:p>
        </w:tc>
        <w:tc>
          <w:tcPr>
            <w:tcW w:w="1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917</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12</w:t>
            </w:r>
          </w:p>
        </w:tc>
        <w:tc>
          <w:tcPr>
            <w:tcW w:w="16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11385</w:t>
            </w:r>
          </w:p>
        </w:tc>
        <w:tc>
          <w:tcPr>
            <w:tcW w:w="1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22.98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9</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云碧路</w:t>
            </w:r>
          </w:p>
        </w:tc>
        <w:tc>
          <w:tcPr>
            <w:tcW w:w="22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余杭塘路-良睦路</w:t>
            </w:r>
          </w:p>
        </w:tc>
        <w:tc>
          <w:tcPr>
            <w:tcW w:w="1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862</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12</w:t>
            </w:r>
          </w:p>
        </w:tc>
        <w:tc>
          <w:tcPr>
            <w:tcW w:w="16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11095</w:t>
            </w:r>
          </w:p>
        </w:tc>
        <w:tc>
          <w:tcPr>
            <w:tcW w:w="1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22.98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10</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519"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联创街</w:t>
            </w:r>
          </w:p>
        </w:tc>
        <w:tc>
          <w:tcPr>
            <w:tcW w:w="2232"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良睦路-高教路</w:t>
            </w:r>
          </w:p>
        </w:tc>
        <w:tc>
          <w:tcPr>
            <w:tcW w:w="1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1005</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40</w:t>
            </w:r>
          </w:p>
        </w:tc>
        <w:tc>
          <w:tcPr>
            <w:tcW w:w="16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35309</w:t>
            </w:r>
          </w:p>
        </w:tc>
        <w:tc>
          <w:tcPr>
            <w:tcW w:w="1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22.98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vMerge w:val="continue"/>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519"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auto"/>
                <w:sz w:val="24"/>
                <w:szCs w:val="24"/>
                <w:highlight w:val="none"/>
              </w:rPr>
            </w:pPr>
          </w:p>
        </w:tc>
        <w:tc>
          <w:tcPr>
            <w:tcW w:w="2232"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绿汀路-良睦路</w:t>
            </w:r>
          </w:p>
        </w:tc>
        <w:tc>
          <w:tcPr>
            <w:tcW w:w="1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2006</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20</w:t>
            </w:r>
          </w:p>
        </w:tc>
        <w:tc>
          <w:tcPr>
            <w:tcW w:w="16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41150</w:t>
            </w:r>
          </w:p>
        </w:tc>
        <w:tc>
          <w:tcPr>
            <w:tcW w:w="1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22.98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11</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519"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创明路</w:t>
            </w:r>
          </w:p>
        </w:tc>
        <w:tc>
          <w:tcPr>
            <w:tcW w:w="22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文一西路-文二西路</w:t>
            </w:r>
          </w:p>
        </w:tc>
        <w:tc>
          <w:tcPr>
            <w:tcW w:w="1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966</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25</w:t>
            </w:r>
          </w:p>
        </w:tc>
        <w:tc>
          <w:tcPr>
            <w:tcW w:w="16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22438</w:t>
            </w:r>
          </w:p>
        </w:tc>
        <w:tc>
          <w:tcPr>
            <w:tcW w:w="1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22.98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623" w:type="dxa"/>
            <w:vMerge w:val="continue"/>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519"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auto"/>
                <w:sz w:val="24"/>
                <w:szCs w:val="24"/>
                <w:highlight w:val="none"/>
              </w:rPr>
            </w:pPr>
          </w:p>
        </w:tc>
        <w:tc>
          <w:tcPr>
            <w:tcW w:w="22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东莲街-文一西路</w:t>
            </w:r>
          </w:p>
        </w:tc>
        <w:tc>
          <w:tcPr>
            <w:tcW w:w="1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1500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24</w:t>
            </w:r>
          </w:p>
        </w:tc>
        <w:tc>
          <w:tcPr>
            <w:tcW w:w="16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34382</w:t>
            </w:r>
          </w:p>
        </w:tc>
        <w:tc>
          <w:tcPr>
            <w:tcW w:w="1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22.98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12</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宝瑞港路</w:t>
            </w:r>
          </w:p>
        </w:tc>
        <w:tc>
          <w:tcPr>
            <w:tcW w:w="22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余杭塘路-向往街</w:t>
            </w:r>
          </w:p>
        </w:tc>
        <w:tc>
          <w:tcPr>
            <w:tcW w:w="1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460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18</w:t>
            </w:r>
          </w:p>
        </w:tc>
        <w:tc>
          <w:tcPr>
            <w:tcW w:w="16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8640</w:t>
            </w:r>
          </w:p>
        </w:tc>
        <w:tc>
          <w:tcPr>
            <w:tcW w:w="1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22.98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海创街</w:t>
            </w:r>
          </w:p>
        </w:tc>
        <w:tc>
          <w:tcPr>
            <w:tcW w:w="22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绿汀路-龙园路</w:t>
            </w:r>
          </w:p>
        </w:tc>
        <w:tc>
          <w:tcPr>
            <w:tcW w:w="1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962</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12</w:t>
            </w:r>
          </w:p>
        </w:tc>
        <w:tc>
          <w:tcPr>
            <w:tcW w:w="16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11544</w:t>
            </w:r>
          </w:p>
        </w:tc>
        <w:tc>
          <w:tcPr>
            <w:tcW w:w="1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22.98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519"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龙泉路</w:t>
            </w:r>
          </w:p>
        </w:tc>
        <w:tc>
          <w:tcPr>
            <w:tcW w:w="22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绿晨路-绿汀路</w:t>
            </w:r>
          </w:p>
        </w:tc>
        <w:tc>
          <w:tcPr>
            <w:tcW w:w="1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1333</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14</w:t>
            </w:r>
          </w:p>
        </w:tc>
        <w:tc>
          <w:tcPr>
            <w:tcW w:w="16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18230</w:t>
            </w:r>
          </w:p>
        </w:tc>
        <w:tc>
          <w:tcPr>
            <w:tcW w:w="1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22.98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15</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519"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龙舟路</w:t>
            </w:r>
          </w:p>
        </w:tc>
        <w:tc>
          <w:tcPr>
            <w:tcW w:w="22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东莲街-文一西路</w:t>
            </w:r>
          </w:p>
        </w:tc>
        <w:tc>
          <w:tcPr>
            <w:tcW w:w="1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986</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28</w:t>
            </w:r>
          </w:p>
        </w:tc>
        <w:tc>
          <w:tcPr>
            <w:tcW w:w="16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24358</w:t>
            </w:r>
          </w:p>
        </w:tc>
        <w:tc>
          <w:tcPr>
            <w:tcW w:w="1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22.98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绿晨路</w:t>
            </w:r>
          </w:p>
        </w:tc>
        <w:tc>
          <w:tcPr>
            <w:tcW w:w="22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余杭塘路-东莲街</w:t>
            </w:r>
          </w:p>
        </w:tc>
        <w:tc>
          <w:tcPr>
            <w:tcW w:w="1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220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14</w:t>
            </w:r>
          </w:p>
        </w:tc>
        <w:tc>
          <w:tcPr>
            <w:tcW w:w="16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2754</w:t>
            </w:r>
          </w:p>
        </w:tc>
        <w:tc>
          <w:tcPr>
            <w:tcW w:w="1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22.98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17</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绿沙路</w:t>
            </w:r>
          </w:p>
        </w:tc>
        <w:tc>
          <w:tcPr>
            <w:tcW w:w="22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东莲街-余杭塘路</w:t>
            </w:r>
          </w:p>
        </w:tc>
        <w:tc>
          <w:tcPr>
            <w:tcW w:w="1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410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16</w:t>
            </w:r>
          </w:p>
        </w:tc>
        <w:tc>
          <w:tcPr>
            <w:tcW w:w="16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5807</w:t>
            </w:r>
          </w:p>
        </w:tc>
        <w:tc>
          <w:tcPr>
            <w:tcW w:w="1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22.98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18</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景腾路</w:t>
            </w:r>
          </w:p>
        </w:tc>
        <w:tc>
          <w:tcPr>
            <w:tcW w:w="22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余杭塘路-东莲街</w:t>
            </w:r>
          </w:p>
        </w:tc>
        <w:tc>
          <w:tcPr>
            <w:tcW w:w="1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120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12</w:t>
            </w:r>
          </w:p>
        </w:tc>
        <w:tc>
          <w:tcPr>
            <w:tcW w:w="16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1350</w:t>
            </w:r>
          </w:p>
        </w:tc>
        <w:tc>
          <w:tcPr>
            <w:tcW w:w="1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22.98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19</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憧憬路</w:t>
            </w:r>
          </w:p>
        </w:tc>
        <w:tc>
          <w:tcPr>
            <w:tcW w:w="22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龙潭路-双池街</w:t>
            </w:r>
          </w:p>
        </w:tc>
        <w:tc>
          <w:tcPr>
            <w:tcW w:w="1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240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18</w:t>
            </w:r>
          </w:p>
        </w:tc>
        <w:tc>
          <w:tcPr>
            <w:tcW w:w="16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3825</w:t>
            </w:r>
          </w:p>
        </w:tc>
        <w:tc>
          <w:tcPr>
            <w:tcW w:w="1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22.98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20</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亭后路</w:t>
            </w:r>
          </w:p>
        </w:tc>
        <w:tc>
          <w:tcPr>
            <w:tcW w:w="22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景兴路-向往街</w:t>
            </w:r>
          </w:p>
        </w:tc>
        <w:tc>
          <w:tcPr>
            <w:tcW w:w="1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107</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15</w:t>
            </w:r>
          </w:p>
        </w:tc>
        <w:tc>
          <w:tcPr>
            <w:tcW w:w="16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1605</w:t>
            </w:r>
          </w:p>
        </w:tc>
        <w:tc>
          <w:tcPr>
            <w:tcW w:w="1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22.98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21</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业成街</w:t>
            </w:r>
          </w:p>
        </w:tc>
        <w:tc>
          <w:tcPr>
            <w:tcW w:w="22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创景路-景兴路</w:t>
            </w:r>
          </w:p>
        </w:tc>
        <w:tc>
          <w:tcPr>
            <w:tcW w:w="1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475</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15</w:t>
            </w:r>
          </w:p>
        </w:tc>
        <w:tc>
          <w:tcPr>
            <w:tcW w:w="16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7320</w:t>
            </w:r>
          </w:p>
        </w:tc>
        <w:tc>
          <w:tcPr>
            <w:tcW w:w="1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22.98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22</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鸥翔街</w:t>
            </w:r>
          </w:p>
        </w:tc>
        <w:tc>
          <w:tcPr>
            <w:tcW w:w="22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创景路-景兴路</w:t>
            </w:r>
          </w:p>
        </w:tc>
        <w:tc>
          <w:tcPr>
            <w:tcW w:w="1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281</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15</w:t>
            </w:r>
          </w:p>
        </w:tc>
        <w:tc>
          <w:tcPr>
            <w:tcW w:w="16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4330</w:t>
            </w:r>
          </w:p>
        </w:tc>
        <w:tc>
          <w:tcPr>
            <w:tcW w:w="1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22.98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23"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23</w:t>
            </w:r>
          </w:p>
        </w:tc>
        <w:tc>
          <w:tcPr>
            <w:tcW w:w="692" w:type="dxa"/>
            <w:vMerge w:val="continue"/>
            <w:tcBorders>
              <w:top w:val="nil"/>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爱沙路</w:t>
            </w:r>
          </w:p>
        </w:tc>
        <w:tc>
          <w:tcPr>
            <w:tcW w:w="22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余杭塘路-联创街</w:t>
            </w:r>
          </w:p>
        </w:tc>
        <w:tc>
          <w:tcPr>
            <w:tcW w:w="1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163</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13</w:t>
            </w:r>
          </w:p>
        </w:tc>
        <w:tc>
          <w:tcPr>
            <w:tcW w:w="16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2185</w:t>
            </w:r>
          </w:p>
        </w:tc>
        <w:tc>
          <w:tcPr>
            <w:tcW w:w="1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22.98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03" w:type="dxa"/>
            <w:gridSpan w:val="6"/>
            <w:tcBorders>
              <w:top w:val="single" w:color="auto" w:sz="4" w:space="0"/>
              <w:left w:val="single" w:color="auto"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二年总计投标报价（小写）</w:t>
            </w:r>
          </w:p>
        </w:tc>
        <w:tc>
          <w:tcPr>
            <w:tcW w:w="667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03" w:type="dxa"/>
            <w:gridSpan w:val="6"/>
            <w:tcBorders>
              <w:top w:val="single" w:color="auto" w:sz="4" w:space="0"/>
              <w:left w:val="single" w:color="auto"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二年总计投标报价（大写）</w:t>
            </w:r>
          </w:p>
        </w:tc>
        <w:tc>
          <w:tcPr>
            <w:tcW w:w="667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r>
    </w:tbl>
    <w:p>
      <w:pPr>
        <w:pStyle w:val="967"/>
        <w:numPr>
          <w:ilvl w:val="0"/>
          <w:numId w:val="0"/>
        </w:numPr>
        <w:jc w:val="center"/>
        <w:rPr>
          <w:rFonts w:hint="eastAsia" w:asciiTheme="minorEastAsia" w:hAnsiTheme="minorEastAsia" w:eastAsiaTheme="minorEastAsia" w:cstheme="minorEastAsia"/>
          <w:b/>
          <w:color w:val="auto"/>
          <w:kern w:val="0"/>
          <w:sz w:val="24"/>
          <w:szCs w:val="24"/>
          <w:highlight w:val="none"/>
          <w:lang w:val="en-US" w:eastAsia="zh-CN" w:bidi="ar-SA"/>
        </w:rPr>
      </w:pPr>
    </w:p>
    <w:p>
      <w:pPr>
        <w:pStyle w:val="967"/>
        <w:numPr>
          <w:ilvl w:val="0"/>
          <w:numId w:val="0"/>
        </w:numPr>
        <w:jc w:val="center"/>
        <w:rPr>
          <w:rFonts w:hint="eastAsia" w:ascii="宋体" w:hAnsi="宋体" w:eastAsia="宋体" w:cs="宋体"/>
          <w:b/>
          <w:color w:val="auto"/>
          <w:kern w:val="0"/>
          <w:sz w:val="24"/>
          <w:szCs w:val="24"/>
          <w:highlight w:val="none"/>
          <w:lang w:val="en-US" w:eastAsia="zh-CN" w:bidi="ar-SA"/>
        </w:rPr>
      </w:pPr>
    </w:p>
    <w:p>
      <w:pPr>
        <w:pStyle w:val="967"/>
        <w:numPr>
          <w:ilvl w:val="0"/>
          <w:numId w:val="0"/>
        </w:numPr>
        <w:jc w:val="center"/>
        <w:rPr>
          <w:rFonts w:hint="eastAsia" w:ascii="宋体" w:hAnsi="宋体" w:eastAsia="宋体" w:cs="宋体"/>
          <w:b/>
          <w:color w:val="auto"/>
          <w:kern w:val="0"/>
          <w:sz w:val="24"/>
          <w:szCs w:val="24"/>
          <w:highlight w:val="none"/>
          <w:lang w:val="en-US" w:eastAsia="zh-CN" w:bidi="ar-SA"/>
        </w:rPr>
      </w:pPr>
    </w:p>
    <w:p>
      <w:pPr>
        <w:pStyle w:val="967"/>
        <w:numPr>
          <w:ilvl w:val="0"/>
          <w:numId w:val="0"/>
        </w:numPr>
        <w:jc w:val="center"/>
        <w:rPr>
          <w:rFonts w:hint="eastAsia" w:ascii="宋体" w:hAnsi="宋体" w:eastAsia="宋体" w:cs="宋体"/>
          <w:b/>
          <w:color w:val="auto"/>
          <w:kern w:val="0"/>
          <w:sz w:val="24"/>
          <w:szCs w:val="24"/>
          <w:highlight w:val="none"/>
          <w:lang w:val="en-US" w:eastAsia="zh-CN" w:bidi="ar-SA"/>
        </w:rPr>
      </w:pPr>
    </w:p>
    <w:p>
      <w:pPr>
        <w:pStyle w:val="967"/>
        <w:numPr>
          <w:ilvl w:val="0"/>
          <w:numId w:val="0"/>
        </w:numPr>
        <w:jc w:val="center"/>
        <w:rPr>
          <w:rFonts w:hint="eastAsia" w:ascii="宋体" w:hAnsi="宋体" w:eastAsia="宋体" w:cs="宋体"/>
          <w:b/>
          <w:color w:val="auto"/>
          <w:kern w:val="0"/>
          <w:sz w:val="24"/>
          <w:szCs w:val="24"/>
          <w:highlight w:val="none"/>
          <w:lang w:val="en-US" w:eastAsia="zh-CN" w:bidi="ar-SA"/>
        </w:rPr>
      </w:pPr>
    </w:p>
    <w:p>
      <w:pPr>
        <w:pStyle w:val="967"/>
        <w:numPr>
          <w:ilvl w:val="0"/>
          <w:numId w:val="0"/>
        </w:numPr>
        <w:jc w:val="center"/>
        <w:rPr>
          <w:rFonts w:hint="eastAsia" w:ascii="宋体" w:hAnsi="宋体" w:eastAsia="宋体" w:cs="宋体"/>
          <w:b/>
          <w:color w:val="auto"/>
          <w:kern w:val="0"/>
          <w:sz w:val="24"/>
          <w:szCs w:val="24"/>
          <w:highlight w:val="none"/>
          <w:lang w:val="en-US" w:eastAsia="zh-CN" w:bidi="ar-SA"/>
        </w:rPr>
      </w:pPr>
    </w:p>
    <w:p>
      <w:pPr>
        <w:pStyle w:val="967"/>
        <w:numPr>
          <w:ilvl w:val="0"/>
          <w:numId w:val="0"/>
        </w:numPr>
        <w:jc w:val="center"/>
        <w:rPr>
          <w:rFonts w:hint="eastAsia" w:ascii="宋体" w:hAnsi="宋体" w:eastAsia="宋体" w:cs="宋体"/>
          <w:b/>
          <w:color w:val="auto"/>
          <w:kern w:val="0"/>
          <w:sz w:val="24"/>
          <w:szCs w:val="24"/>
          <w:highlight w:val="none"/>
          <w:lang w:val="en-US" w:eastAsia="zh-CN" w:bidi="ar-SA"/>
        </w:rPr>
      </w:pPr>
    </w:p>
    <w:p>
      <w:pPr>
        <w:pStyle w:val="967"/>
        <w:numPr>
          <w:ilvl w:val="0"/>
          <w:numId w:val="0"/>
        </w:numPr>
        <w:jc w:val="center"/>
        <w:rPr>
          <w:rFonts w:hint="eastAsia" w:ascii="宋体" w:hAnsi="宋体" w:eastAsia="宋体" w:cs="宋体"/>
          <w:b/>
          <w:color w:val="auto"/>
          <w:kern w:val="0"/>
          <w:sz w:val="24"/>
          <w:szCs w:val="24"/>
          <w:highlight w:val="none"/>
          <w:lang w:val="en-US" w:eastAsia="zh-CN" w:bidi="ar-SA"/>
        </w:rPr>
      </w:pPr>
    </w:p>
    <w:p>
      <w:pPr>
        <w:pStyle w:val="967"/>
        <w:numPr>
          <w:ilvl w:val="0"/>
          <w:numId w:val="0"/>
        </w:numPr>
        <w:jc w:val="center"/>
        <w:rPr>
          <w:rFonts w:hint="eastAsia" w:ascii="宋体" w:hAnsi="宋体" w:eastAsia="宋体" w:cs="宋体"/>
          <w:b/>
          <w:color w:val="auto"/>
          <w:kern w:val="0"/>
          <w:sz w:val="24"/>
          <w:szCs w:val="24"/>
          <w:highlight w:val="none"/>
          <w:lang w:val="en-US" w:eastAsia="zh-CN" w:bidi="ar-SA"/>
        </w:rPr>
      </w:pPr>
    </w:p>
    <w:p>
      <w:pPr>
        <w:pStyle w:val="967"/>
        <w:numPr>
          <w:ilvl w:val="0"/>
          <w:numId w:val="0"/>
        </w:numPr>
        <w:jc w:val="center"/>
        <w:rPr>
          <w:rFonts w:hint="eastAsia" w:ascii="宋体" w:hAnsi="宋体" w:eastAsia="宋体" w:cs="宋体"/>
          <w:b/>
          <w:color w:val="auto"/>
          <w:kern w:val="0"/>
          <w:sz w:val="24"/>
          <w:szCs w:val="24"/>
          <w:highlight w:val="none"/>
          <w:lang w:val="en-US" w:eastAsia="zh-CN" w:bidi="ar-SA"/>
        </w:rPr>
      </w:pPr>
    </w:p>
    <w:p>
      <w:pPr>
        <w:pStyle w:val="967"/>
        <w:numPr>
          <w:ilvl w:val="0"/>
          <w:numId w:val="0"/>
        </w:numPr>
        <w:jc w:val="center"/>
        <w:rPr>
          <w:rFonts w:hint="eastAsia" w:ascii="宋体" w:hAnsi="宋体" w:eastAsia="宋体" w:cs="宋体"/>
          <w:b/>
          <w:color w:val="auto"/>
          <w:kern w:val="0"/>
          <w:sz w:val="24"/>
          <w:szCs w:val="24"/>
          <w:highlight w:val="none"/>
          <w:lang w:val="en-US" w:eastAsia="zh-CN" w:bidi="ar-SA"/>
        </w:rPr>
      </w:pPr>
    </w:p>
    <w:p>
      <w:pPr>
        <w:pStyle w:val="967"/>
        <w:numPr>
          <w:ilvl w:val="0"/>
          <w:numId w:val="0"/>
        </w:numPr>
        <w:jc w:val="center"/>
        <w:rPr>
          <w:rFonts w:hint="eastAsia" w:ascii="宋体" w:hAnsi="宋体" w:eastAsia="宋体" w:cs="宋体"/>
          <w:b/>
          <w:color w:val="auto"/>
          <w:kern w:val="0"/>
          <w:sz w:val="24"/>
          <w:szCs w:val="24"/>
          <w:highlight w:val="none"/>
          <w:lang w:val="en-US" w:eastAsia="zh-CN" w:bidi="ar-SA"/>
        </w:rPr>
      </w:pPr>
    </w:p>
    <w:p>
      <w:pPr>
        <w:pStyle w:val="967"/>
        <w:numPr>
          <w:ilvl w:val="0"/>
          <w:numId w:val="0"/>
        </w:numPr>
        <w:jc w:val="center"/>
        <w:rPr>
          <w:rFonts w:hint="eastAsia" w:ascii="宋体" w:hAnsi="宋体" w:eastAsia="宋体" w:cs="宋体"/>
          <w:b/>
          <w:color w:val="auto"/>
          <w:kern w:val="0"/>
          <w:sz w:val="24"/>
          <w:szCs w:val="24"/>
          <w:highlight w:val="none"/>
          <w:lang w:val="en-US" w:eastAsia="zh-CN" w:bidi="ar-SA"/>
        </w:rPr>
      </w:pPr>
    </w:p>
    <w:p>
      <w:pPr>
        <w:pStyle w:val="967"/>
        <w:numPr>
          <w:ilvl w:val="0"/>
          <w:numId w:val="0"/>
        </w:numPr>
        <w:jc w:val="center"/>
        <w:rPr>
          <w:rFonts w:hint="eastAsia" w:ascii="宋体" w:hAnsi="宋体" w:eastAsia="宋体" w:cs="宋体"/>
          <w:b/>
          <w:color w:val="auto"/>
          <w:kern w:val="0"/>
          <w:sz w:val="24"/>
          <w:szCs w:val="24"/>
          <w:highlight w:val="none"/>
          <w:lang w:val="en-US" w:eastAsia="zh-CN" w:bidi="ar-SA"/>
        </w:rPr>
      </w:pPr>
    </w:p>
    <w:p>
      <w:pPr>
        <w:pStyle w:val="967"/>
        <w:numPr>
          <w:ilvl w:val="0"/>
          <w:numId w:val="0"/>
        </w:numPr>
        <w:jc w:val="both"/>
        <w:rPr>
          <w:rFonts w:hint="eastAsia" w:ascii="宋体" w:hAnsi="宋体" w:eastAsia="宋体" w:cs="宋体"/>
          <w:b/>
          <w:color w:val="auto"/>
          <w:kern w:val="0"/>
          <w:sz w:val="24"/>
          <w:szCs w:val="24"/>
          <w:highlight w:val="none"/>
          <w:lang w:val="en-US" w:eastAsia="zh-CN" w:bidi="ar-SA"/>
        </w:rPr>
      </w:pPr>
    </w:p>
    <w:p>
      <w:pPr>
        <w:pStyle w:val="967"/>
        <w:numPr>
          <w:ilvl w:val="0"/>
          <w:numId w:val="0"/>
        </w:numPr>
        <w:jc w:val="center"/>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b/>
          <w:color w:val="auto"/>
          <w:kern w:val="0"/>
          <w:sz w:val="24"/>
          <w:szCs w:val="24"/>
          <w:highlight w:val="none"/>
          <w:lang w:val="en-US" w:eastAsia="zh-CN" w:bidi="ar-SA"/>
        </w:rPr>
        <w:t>（三）</w:t>
      </w:r>
      <w:r>
        <w:rPr>
          <w:rFonts w:hint="eastAsia" w:asciiTheme="minorEastAsia" w:hAnsiTheme="minorEastAsia" w:eastAsiaTheme="minorEastAsia" w:cstheme="minorEastAsia"/>
          <w:color w:val="auto"/>
          <w:sz w:val="24"/>
          <w:szCs w:val="24"/>
          <w:highlight w:val="none"/>
          <w:lang w:val="en-US" w:eastAsia="zh-CN"/>
        </w:rPr>
        <w:t>绿化养护报价明细清单2</w:t>
      </w:r>
    </w:p>
    <w:tbl>
      <w:tblPr>
        <w:tblStyle w:val="64"/>
        <w:tblW w:w="14084" w:type="dxa"/>
        <w:tblInd w:w="-4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3"/>
        <w:gridCol w:w="692"/>
        <w:gridCol w:w="1033"/>
        <w:gridCol w:w="1995"/>
        <w:gridCol w:w="913"/>
        <w:gridCol w:w="1132"/>
        <w:gridCol w:w="1063"/>
        <w:gridCol w:w="1140"/>
        <w:gridCol w:w="986"/>
        <w:gridCol w:w="1063"/>
        <w:gridCol w:w="1063"/>
        <w:gridCol w:w="1200"/>
        <w:gridCol w:w="11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序号 </w:t>
            </w:r>
          </w:p>
        </w:tc>
        <w:tc>
          <w:tcPr>
            <w:tcW w:w="6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eastAsia="zh-CN"/>
              </w:rPr>
              <w:t>养护</w:t>
            </w:r>
            <w:r>
              <w:rPr>
                <w:rFonts w:hint="eastAsia" w:asciiTheme="minorEastAsia" w:hAnsiTheme="minorEastAsia" w:eastAsiaTheme="minorEastAsia" w:cstheme="minorEastAsia"/>
                <w:color w:val="auto"/>
                <w:sz w:val="24"/>
                <w:szCs w:val="24"/>
                <w:highlight w:val="none"/>
              </w:rPr>
              <w:t>等级</w:t>
            </w: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道路名</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起止点</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长度(m)</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绿化面积 (m2)</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b w:val="0"/>
                <w:color w:val="auto"/>
                <w:kern w:val="0"/>
                <w:sz w:val="24"/>
                <w:szCs w:val="24"/>
                <w:highlight w:val="none"/>
                <w:u w:val="none"/>
                <w:lang w:eastAsia="zh-CN" w:bidi="ar"/>
              </w:rPr>
            </w:pPr>
            <w:r>
              <w:rPr>
                <w:rFonts w:hint="eastAsia" w:asciiTheme="minorEastAsia" w:hAnsiTheme="minorEastAsia" w:eastAsiaTheme="minorEastAsia" w:cstheme="minorEastAsia"/>
                <w:color w:val="auto"/>
                <w:sz w:val="24"/>
                <w:szCs w:val="24"/>
                <w:highlight w:val="none"/>
                <w:lang w:val="en-US" w:eastAsia="zh-CN"/>
              </w:rPr>
              <w:t>综合</w:t>
            </w:r>
            <w:r>
              <w:rPr>
                <w:rFonts w:hint="eastAsia" w:asciiTheme="minorEastAsia" w:hAnsiTheme="minorEastAsia" w:eastAsiaTheme="minorEastAsia" w:cstheme="minorEastAsia"/>
                <w:b w:val="0"/>
                <w:color w:val="auto"/>
                <w:kern w:val="0"/>
                <w:sz w:val="24"/>
                <w:szCs w:val="24"/>
                <w:highlight w:val="none"/>
                <w:u w:val="none"/>
                <w:lang w:eastAsia="zh-CN" w:bidi="ar"/>
              </w:rPr>
              <w:t>单项最高限价</w:t>
            </w:r>
          </w:p>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sz w:val="24"/>
                <w:szCs w:val="24"/>
                <w:highlight w:val="none"/>
                <w:lang w:val="en-US" w:eastAsia="zh-CN"/>
              </w:rPr>
              <w:t>（元/平方米·年）</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综合单价 </w:t>
            </w:r>
          </w:p>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（元/平方米·年） </w:t>
            </w:r>
          </w:p>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bidi="ar"/>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rPr>
              <w:t>年合计</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bidi="ar"/>
              </w:rPr>
              <w:t>人行道树木 数量(</w:t>
            </w:r>
            <w:r>
              <w:rPr>
                <w:rFonts w:hint="eastAsia" w:asciiTheme="minorEastAsia" w:hAnsiTheme="minorEastAsia" w:eastAsiaTheme="minorEastAsia" w:cstheme="minorEastAsia"/>
                <w:color w:val="auto"/>
                <w:kern w:val="0"/>
                <w:sz w:val="24"/>
                <w:szCs w:val="24"/>
                <w:highlight w:val="none"/>
              </w:rPr>
              <w:t>m2</w:t>
            </w:r>
            <w:r>
              <w:rPr>
                <w:rFonts w:hint="eastAsia" w:asciiTheme="minorEastAsia" w:hAnsiTheme="minorEastAsia" w:eastAsiaTheme="minorEastAsia" w:cstheme="minorEastAsia"/>
                <w:color w:val="auto"/>
                <w:kern w:val="0"/>
                <w:sz w:val="24"/>
                <w:szCs w:val="24"/>
                <w:highlight w:val="none"/>
                <w:lang w:bidi="ar"/>
              </w:rPr>
              <w:t>)</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sz w:val="24"/>
                <w:szCs w:val="24"/>
                <w:highlight w:val="none"/>
                <w:lang w:val="en-US" w:eastAsia="zh-CN"/>
              </w:rPr>
              <w:t>综合</w:t>
            </w:r>
            <w:r>
              <w:rPr>
                <w:rFonts w:hint="eastAsia" w:asciiTheme="minorEastAsia" w:hAnsiTheme="minorEastAsia" w:eastAsiaTheme="minorEastAsia" w:cstheme="minorEastAsia"/>
                <w:b w:val="0"/>
                <w:color w:val="auto"/>
                <w:kern w:val="0"/>
                <w:sz w:val="24"/>
                <w:szCs w:val="24"/>
                <w:highlight w:val="none"/>
                <w:u w:val="none"/>
                <w:lang w:eastAsia="zh-CN" w:bidi="ar"/>
              </w:rPr>
              <w:t>单项最高限价</w:t>
            </w:r>
            <w:r>
              <w:rPr>
                <w:rFonts w:hint="eastAsia" w:asciiTheme="minorEastAsia" w:hAnsiTheme="minorEastAsia" w:eastAsiaTheme="minorEastAsia" w:cstheme="minorEastAsia"/>
                <w:color w:val="auto"/>
                <w:sz w:val="24"/>
                <w:szCs w:val="24"/>
                <w:highlight w:val="none"/>
                <w:lang w:val="en-US" w:eastAsia="zh-CN"/>
              </w:rPr>
              <w:t>（元/平方米·年）</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综合单价 </w:t>
            </w:r>
          </w:p>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（元/平方米·年） </w:t>
            </w:r>
          </w:p>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bidi="ar"/>
              </w:rPr>
            </w:pP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rPr>
              <w:t>年合计</w:t>
            </w:r>
            <w:r>
              <w:rPr>
                <w:rFonts w:hint="eastAsia" w:asciiTheme="minorEastAsia" w:hAnsiTheme="minorEastAsia" w:eastAsiaTheme="minorEastAsia" w:cstheme="minorEastAsia"/>
                <w:b/>
                <w:color w:val="auto"/>
                <w:kern w:val="0"/>
                <w:sz w:val="24"/>
                <w:szCs w:val="24"/>
                <w:highlight w:val="none"/>
                <w:lang w:eastAsia="zh-CN"/>
              </w:rPr>
              <w:t>（</w:t>
            </w:r>
            <w:r>
              <w:rPr>
                <w:rFonts w:hint="eastAsia" w:asciiTheme="minorEastAsia" w:hAnsiTheme="minorEastAsia" w:eastAsiaTheme="minorEastAsia" w:cstheme="minorEastAsia"/>
                <w:b/>
                <w:color w:val="auto"/>
                <w:kern w:val="0"/>
                <w:sz w:val="24"/>
                <w:szCs w:val="24"/>
                <w:highlight w:val="none"/>
                <w:lang w:val="en-US" w:eastAsia="zh-CN"/>
              </w:rPr>
              <w:t>元</w:t>
            </w:r>
            <w:r>
              <w:rPr>
                <w:rFonts w:hint="eastAsia" w:asciiTheme="minorEastAsia" w:hAnsiTheme="minorEastAsia" w:eastAsiaTheme="minorEastAsia" w:cstheme="minorEastAsia"/>
                <w:b/>
                <w:color w:val="auto"/>
                <w:kern w:val="0"/>
                <w:sz w:val="24"/>
                <w:szCs w:val="24"/>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1</w:t>
            </w:r>
          </w:p>
        </w:tc>
        <w:tc>
          <w:tcPr>
            <w:tcW w:w="692" w:type="dxa"/>
            <w:vMerge w:val="restart"/>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二类</w:t>
            </w:r>
            <w:r>
              <w:rPr>
                <w:rFonts w:hint="eastAsia" w:asciiTheme="minorEastAsia" w:hAnsiTheme="minorEastAsia" w:eastAsiaTheme="minorEastAsia" w:cstheme="minorEastAsia"/>
                <w:color w:val="auto"/>
                <w:sz w:val="24"/>
                <w:szCs w:val="24"/>
                <w:highlight w:val="none"/>
                <w:lang w:eastAsia="zh-CN"/>
              </w:rPr>
              <w:t>养护</w:t>
            </w:r>
          </w:p>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标准</w:t>
            </w:r>
          </w:p>
        </w:tc>
        <w:tc>
          <w:tcPr>
            <w:tcW w:w="103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东莲街</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绿汀路-良睦路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2026</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552</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r>
              <w:rPr>
                <w:rFonts w:hint="eastAsia" w:asciiTheme="minorEastAsia" w:hAnsiTheme="minorEastAsia" w:eastAsiaTheme="minorEastAsia" w:cstheme="minorEastAsia"/>
                <w:sz w:val="24"/>
                <w:szCs w:val="24"/>
                <w:highlight w:val="none"/>
                <w:lang w:val="en-US" w:eastAsia="zh-CN"/>
              </w:rPr>
              <w:t xml:space="preserve"> </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vMerge w:val="continue"/>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033"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绿晨路-绿汀路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1361</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5328</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484</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03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科凯路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余杭塘路-文一西路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856</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328</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vMerge w:val="continue"/>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033"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文一西路-葛巷路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735</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512</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3</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03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向往街</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绿汀路-良睦路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2000</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2300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468</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vMerge w:val="continue"/>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033"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良睦路-联创街</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1200</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1440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796</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4</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03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龙潭路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绿汀路-东西大道</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1460</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800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vMerge w:val="continue"/>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033"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创景路--绿汀路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767</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332</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5</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舒心路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余杭塘路-文一西路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1171</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2237</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408</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6</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创景路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东莲街-文一西路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1363</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1184</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7</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景兴路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东莲街-文一西路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1380</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768</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8</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海鸥路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余杭塘路-向往街</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917</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256</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9</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云碧路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余杭塘路-良睦路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862</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val="en-US" w:eastAsia="zh-CN"/>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val="en-US" w:eastAsia="zh-CN"/>
              </w:rPr>
            </w:pP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rPr>
              <w:t>260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val="en-US" w:eastAsia="zh-CN"/>
              </w:rPr>
            </w:pP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10</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03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联创街</w:t>
            </w:r>
          </w:p>
        </w:tc>
        <w:tc>
          <w:tcPr>
            <w:tcW w:w="1995"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良睦路-高教路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1005</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6055</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364</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23" w:type="dxa"/>
            <w:vMerge w:val="continue"/>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033"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auto"/>
                <w:sz w:val="24"/>
                <w:szCs w:val="24"/>
                <w:highlight w:val="none"/>
              </w:rPr>
            </w:pPr>
          </w:p>
        </w:tc>
        <w:tc>
          <w:tcPr>
            <w:tcW w:w="1995"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绿汀路-良睦路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2006</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9000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208</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11</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03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创明路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文一西路-文二西路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966</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2135</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596</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vMerge w:val="continue"/>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033"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东莲街-文一西路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1500</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1618</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912</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12</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宝瑞港路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余杭塘路-向往街</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460</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316</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海创街</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绿汀路-龙园路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962</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628</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033"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龙泉路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绿晨路-绿汀路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1333</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1064</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15</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033"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龙舟路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东莲街-文一西路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986</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5328</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448</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绿晨路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余杭塘路-东莲街</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220</w:t>
            </w:r>
          </w:p>
        </w:tc>
        <w:tc>
          <w:tcPr>
            <w:tcW w:w="1132"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0</w:t>
            </w:r>
          </w:p>
        </w:tc>
        <w:tc>
          <w:tcPr>
            <w:tcW w:w="1063"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140"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p>
        </w:tc>
        <w:tc>
          <w:tcPr>
            <w:tcW w:w="986"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p>
        </w:tc>
        <w:tc>
          <w:tcPr>
            <w:tcW w:w="1063"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96</w:t>
            </w:r>
          </w:p>
        </w:tc>
        <w:tc>
          <w:tcPr>
            <w:tcW w:w="1063"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200"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p>
        </w:tc>
        <w:tc>
          <w:tcPr>
            <w:tcW w:w="1181"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17</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绿沙路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东莲街-余杭塘路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410</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0</w:t>
            </w:r>
          </w:p>
        </w:tc>
        <w:tc>
          <w:tcPr>
            <w:tcW w:w="1063"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14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p>
        </w:tc>
        <w:tc>
          <w:tcPr>
            <w:tcW w:w="986"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p>
        </w:tc>
        <w:tc>
          <w:tcPr>
            <w:tcW w:w="1063"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416</w:t>
            </w:r>
          </w:p>
        </w:tc>
        <w:tc>
          <w:tcPr>
            <w:tcW w:w="1063"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20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p>
        </w:tc>
        <w:tc>
          <w:tcPr>
            <w:tcW w:w="1181"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18</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景腾路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余杭塘路-东莲街</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120</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200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19</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憧憬路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龙潭路-双池街</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240</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775</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96</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20</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亭后路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景兴路-向往街</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107</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80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21</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业成街</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创景路-景兴路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475</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240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22</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鸥翔街</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创景路-景兴路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281</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p>
        </w:tc>
        <w:tc>
          <w:tcPr>
            <w:tcW w:w="9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144</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23</w:t>
            </w:r>
          </w:p>
        </w:tc>
        <w:tc>
          <w:tcPr>
            <w:tcW w:w="692" w:type="dxa"/>
            <w:vMerge w:val="continue"/>
            <w:tcBorders>
              <w:top w:val="nil"/>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p>
        </w:tc>
        <w:tc>
          <w:tcPr>
            <w:tcW w:w="1033"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爱沙路</w:t>
            </w:r>
          </w:p>
        </w:tc>
        <w:tc>
          <w:tcPr>
            <w:tcW w:w="1995"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余杭塘路-联创街</w:t>
            </w:r>
          </w:p>
        </w:tc>
        <w:tc>
          <w:tcPr>
            <w:tcW w:w="913"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163</w:t>
            </w:r>
          </w:p>
        </w:tc>
        <w:tc>
          <w:tcPr>
            <w:tcW w:w="1132"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0</w:t>
            </w:r>
          </w:p>
        </w:tc>
        <w:tc>
          <w:tcPr>
            <w:tcW w:w="1063"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140"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p>
        </w:tc>
        <w:tc>
          <w:tcPr>
            <w:tcW w:w="986"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p>
        </w:tc>
        <w:tc>
          <w:tcPr>
            <w:tcW w:w="1063"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0</w:t>
            </w:r>
          </w:p>
        </w:tc>
        <w:tc>
          <w:tcPr>
            <w:tcW w:w="1063"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88"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val="en-US" w:eastAsia="zh-CN"/>
              </w:rPr>
              <w:t>二年总计投标报价（小写）</w:t>
            </w:r>
          </w:p>
        </w:tc>
        <w:tc>
          <w:tcPr>
            <w:tcW w:w="7696"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88" w:type="dxa"/>
            <w:gridSpan w:val="6"/>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val="en-US" w:eastAsia="zh-CN"/>
              </w:rPr>
              <w:t>二年总计投标报价（大写）</w:t>
            </w:r>
          </w:p>
        </w:tc>
        <w:tc>
          <w:tcPr>
            <w:tcW w:w="7696"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p>
        </w:tc>
      </w:tr>
    </w:tbl>
    <w:p>
      <w:pPr>
        <w:pStyle w:val="967"/>
        <w:numPr>
          <w:ilvl w:val="0"/>
          <w:numId w:val="0"/>
        </w:numPr>
        <w:jc w:val="both"/>
        <w:rPr>
          <w:rFonts w:hint="eastAsia" w:ascii="宋体" w:hAnsi="宋体" w:eastAsia="宋体" w:cs="宋体"/>
          <w:color w:val="auto"/>
          <w:sz w:val="24"/>
          <w:highlight w:val="none"/>
          <w:lang w:val="en-US" w:eastAsia="zh-CN"/>
        </w:rPr>
      </w:pPr>
    </w:p>
    <w:p>
      <w:pPr>
        <w:pStyle w:val="967"/>
        <w:numPr>
          <w:ilvl w:val="0"/>
          <w:numId w:val="0"/>
        </w:numPr>
        <w:ind w:leftChars="0" w:firstLine="4560" w:firstLineChars="1900"/>
        <w:jc w:val="both"/>
        <w:rPr>
          <w:rFonts w:hint="eastAsia" w:ascii="宋体" w:hAnsi="宋体" w:eastAsia="宋体" w:cs="宋体"/>
          <w:color w:val="auto"/>
          <w:sz w:val="24"/>
          <w:highlight w:val="none"/>
          <w:lang w:val="en-US" w:eastAsia="zh-CN"/>
        </w:rPr>
      </w:pPr>
    </w:p>
    <w:p>
      <w:pPr>
        <w:pStyle w:val="967"/>
        <w:numPr>
          <w:ilvl w:val="0"/>
          <w:numId w:val="0"/>
        </w:numPr>
        <w:ind w:leftChars="0" w:firstLine="4560" w:firstLineChars="1900"/>
        <w:jc w:val="both"/>
        <w:rPr>
          <w:rFonts w:hint="eastAsia" w:ascii="宋体" w:hAnsi="宋体" w:eastAsia="宋体" w:cs="宋体"/>
          <w:color w:val="auto"/>
          <w:sz w:val="24"/>
          <w:highlight w:val="none"/>
          <w:lang w:val="en-US" w:eastAsia="zh-CN"/>
        </w:rPr>
      </w:pPr>
    </w:p>
    <w:p>
      <w:pPr>
        <w:pStyle w:val="967"/>
        <w:numPr>
          <w:ilvl w:val="0"/>
          <w:numId w:val="0"/>
        </w:numPr>
        <w:ind w:leftChars="0" w:firstLine="4560" w:firstLineChars="1900"/>
        <w:jc w:val="both"/>
        <w:rPr>
          <w:rFonts w:hint="eastAsia" w:ascii="宋体" w:hAnsi="宋体" w:eastAsia="宋体" w:cs="宋体"/>
          <w:color w:val="auto"/>
          <w:sz w:val="24"/>
          <w:szCs w:val="24"/>
          <w:highlight w:val="none"/>
          <w:lang w:val="en-US" w:eastAsia="zh-CN"/>
        </w:rPr>
      </w:pPr>
    </w:p>
    <w:p>
      <w:pPr>
        <w:pStyle w:val="967"/>
        <w:numPr>
          <w:ilvl w:val="0"/>
          <w:numId w:val="0"/>
        </w:numPr>
        <w:ind w:leftChars="0" w:firstLine="4560" w:firstLineChars="19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（四）时花种植及养护费报价明细清单3</w:t>
      </w:r>
    </w:p>
    <w:p>
      <w:pPr>
        <w:pStyle w:val="967"/>
        <w:numPr>
          <w:ilvl w:val="0"/>
          <w:numId w:val="0"/>
        </w:numPr>
        <w:jc w:val="both"/>
        <w:rPr>
          <w:rFonts w:hint="eastAsia" w:ascii="宋体" w:hAnsi="宋体" w:eastAsia="宋体" w:cs="宋体"/>
          <w:color w:val="auto"/>
          <w:sz w:val="24"/>
          <w:szCs w:val="24"/>
          <w:highlight w:val="none"/>
          <w:lang w:val="zh-CN" w:eastAsia="zh-CN"/>
        </w:rPr>
      </w:pPr>
    </w:p>
    <w:tbl>
      <w:tblPr>
        <w:tblStyle w:val="64"/>
        <w:tblpPr w:leftFromText="180" w:rightFromText="180" w:vertAnchor="text" w:horzAnchor="page" w:tblpXSpec="center" w:tblpY="276"/>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96"/>
        <w:gridCol w:w="3027"/>
        <w:gridCol w:w="1304"/>
        <w:gridCol w:w="958"/>
        <w:gridCol w:w="1813"/>
        <w:gridCol w:w="1588"/>
        <w:gridCol w:w="1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8" w:hRule="atLeast"/>
          <w:jc w:val="center"/>
        </w:trPr>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30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地址</w:t>
            </w:r>
          </w:p>
        </w:tc>
        <w:tc>
          <w:tcPr>
            <w:tcW w:w="13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名称</w:t>
            </w:r>
          </w:p>
        </w:tc>
        <w:tc>
          <w:tcPr>
            <w:tcW w:w="9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面积</w:t>
            </w:r>
            <w:r>
              <w:rPr>
                <w:rFonts w:hint="eastAsia" w:asciiTheme="majorEastAsia" w:hAnsiTheme="majorEastAsia" w:eastAsiaTheme="majorEastAsia" w:cstheme="majorEastAsia"/>
                <w:b/>
                <w:color w:val="auto"/>
                <w:kern w:val="0"/>
                <w:sz w:val="24"/>
                <w:szCs w:val="24"/>
                <w:highlight w:val="none"/>
                <w:lang w:eastAsia="zh-CN"/>
              </w:rPr>
              <w:t>（</w:t>
            </w:r>
            <w:r>
              <w:rPr>
                <w:rFonts w:hint="eastAsia" w:asciiTheme="majorEastAsia" w:hAnsiTheme="majorEastAsia" w:eastAsiaTheme="majorEastAsia" w:cstheme="majorEastAsia"/>
                <w:b/>
                <w:color w:val="auto"/>
                <w:kern w:val="0"/>
                <w:sz w:val="24"/>
                <w:szCs w:val="24"/>
                <w:highlight w:val="none"/>
                <w:lang w:val="en-US" w:eastAsia="zh-CN"/>
              </w:rPr>
              <w:t>m2</w:t>
            </w:r>
            <w:r>
              <w:rPr>
                <w:rFonts w:hint="eastAsia" w:asciiTheme="majorEastAsia" w:hAnsiTheme="majorEastAsia" w:eastAsiaTheme="majorEastAsia" w:cstheme="majorEastAsia"/>
                <w:b/>
                <w:color w:val="auto"/>
                <w:kern w:val="0"/>
                <w:sz w:val="24"/>
                <w:szCs w:val="24"/>
                <w:highlight w:val="none"/>
                <w:lang w:eastAsia="zh-CN"/>
              </w:rPr>
              <w:t>）</w:t>
            </w:r>
          </w:p>
        </w:tc>
        <w:tc>
          <w:tcPr>
            <w:tcW w:w="18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综合</w:t>
            </w:r>
            <w:r>
              <w:rPr>
                <w:rFonts w:hint="eastAsia" w:ascii="宋体" w:hAnsi="宋体" w:eastAsia="宋体" w:cs="宋体"/>
                <w:b/>
                <w:color w:val="auto"/>
                <w:kern w:val="0"/>
                <w:sz w:val="24"/>
                <w:szCs w:val="24"/>
                <w:highlight w:val="none"/>
                <w:lang w:eastAsia="zh-CN"/>
              </w:rPr>
              <w:t>单项最高限价</w:t>
            </w:r>
          </w:p>
          <w:p>
            <w:pPr>
              <w:widowControl/>
              <w:spacing w:beforeLines="0" w:afterLines="0"/>
              <w:jc w:val="left"/>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lang w:val="en-US" w:eastAsia="zh-CN"/>
              </w:rPr>
              <w:t>（元/平方米·年）</w:t>
            </w:r>
          </w:p>
        </w:tc>
        <w:tc>
          <w:tcPr>
            <w:tcW w:w="15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241" w:firstLineChars="10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综合单价</w:t>
            </w:r>
          </w:p>
          <w:p>
            <w:pPr>
              <w:widowControl/>
              <w:spacing w:beforeLines="0" w:afterLines="0"/>
              <w:jc w:val="left"/>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lang w:val="en-US" w:eastAsia="zh-CN"/>
              </w:rPr>
              <w:t>（元/平米·年）</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lang w:eastAsia="zh-CN"/>
              </w:rPr>
              <w:t>二</w:t>
            </w:r>
            <w:r>
              <w:rPr>
                <w:rFonts w:hint="eastAsia" w:ascii="宋体" w:hAnsi="宋体" w:eastAsia="宋体" w:cs="宋体"/>
                <w:b/>
                <w:color w:val="auto"/>
                <w:kern w:val="0"/>
                <w:sz w:val="24"/>
                <w:szCs w:val="24"/>
                <w:highlight w:val="none"/>
              </w:rPr>
              <w:t>年合计</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lang w:val="en-US" w:eastAsia="zh-CN"/>
              </w:rPr>
              <w:t>元</w:t>
            </w:r>
            <w:r>
              <w:rPr>
                <w:rFonts w:hint="eastAsia" w:ascii="宋体" w:hAnsi="宋体" w:eastAsia="宋体" w:cs="宋体"/>
                <w:b/>
                <w:color w:val="auto"/>
                <w:kern w:val="0"/>
                <w:sz w:val="24"/>
                <w:szCs w:val="24"/>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0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科凯路（文一西路-葛巷路）</w:t>
            </w:r>
          </w:p>
        </w:tc>
        <w:tc>
          <w:tcPr>
            <w:tcW w:w="13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花坛</w:t>
            </w:r>
          </w:p>
        </w:tc>
        <w:tc>
          <w:tcPr>
            <w:tcW w:w="9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235</w:t>
            </w:r>
          </w:p>
        </w:tc>
        <w:tc>
          <w:tcPr>
            <w:tcW w:w="18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sz w:val="24"/>
                <w:szCs w:val="24"/>
                <w:highlight w:val="none"/>
                <w:lang w:val="en-US" w:eastAsia="zh-CN"/>
              </w:rPr>
            </w:pPr>
            <w:r>
              <w:rPr>
                <w:rFonts w:hint="eastAsia" w:ascii="宋体" w:hAnsi="宋体" w:eastAsia="宋体" w:cs="宋体"/>
                <w:color w:val="auto"/>
                <w:kern w:val="0"/>
                <w:sz w:val="24"/>
                <w:szCs w:val="24"/>
                <w:highlight w:val="none"/>
                <w:lang w:val="en-US" w:eastAsia="zh-CN"/>
              </w:rPr>
              <w:t>352.8</w:t>
            </w:r>
          </w:p>
        </w:tc>
        <w:tc>
          <w:tcPr>
            <w:tcW w:w="15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color w:val="auto"/>
                <w:kern w:val="0"/>
                <w:sz w:val="24"/>
                <w:szCs w:val="24"/>
                <w:highlight w:val="none"/>
              </w:rPr>
            </w:pP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7" w:hRule="atLeast"/>
          <w:jc w:val="center"/>
        </w:trPr>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0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向往街（绿汀路-良睦路）</w:t>
            </w:r>
          </w:p>
        </w:tc>
        <w:tc>
          <w:tcPr>
            <w:tcW w:w="13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花钵</w:t>
            </w:r>
            <w:r>
              <w:rPr>
                <w:rFonts w:hint="eastAsia" w:ascii="宋体" w:hAnsi="宋体" w:eastAsia="宋体" w:cs="宋体"/>
                <w:color w:val="auto"/>
                <w:kern w:val="0"/>
                <w:sz w:val="24"/>
                <w:szCs w:val="24"/>
                <w:highlight w:val="none"/>
                <w:lang w:eastAsia="zh-CN"/>
              </w:rPr>
              <w:t>、花坛</w:t>
            </w:r>
          </w:p>
        </w:tc>
        <w:tc>
          <w:tcPr>
            <w:tcW w:w="9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88</w:t>
            </w:r>
          </w:p>
        </w:tc>
        <w:tc>
          <w:tcPr>
            <w:tcW w:w="18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352.8</w:t>
            </w:r>
          </w:p>
        </w:tc>
        <w:tc>
          <w:tcPr>
            <w:tcW w:w="15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color w:val="auto"/>
                <w:kern w:val="0"/>
                <w:sz w:val="24"/>
                <w:szCs w:val="24"/>
                <w:highlight w:val="none"/>
              </w:rPr>
            </w:pP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30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向往街（良睦路-联创街）</w:t>
            </w:r>
          </w:p>
        </w:tc>
        <w:tc>
          <w:tcPr>
            <w:tcW w:w="13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花坛</w:t>
            </w:r>
          </w:p>
        </w:tc>
        <w:tc>
          <w:tcPr>
            <w:tcW w:w="9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w:t>
            </w:r>
          </w:p>
        </w:tc>
        <w:tc>
          <w:tcPr>
            <w:tcW w:w="18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352.8</w:t>
            </w:r>
          </w:p>
        </w:tc>
        <w:tc>
          <w:tcPr>
            <w:tcW w:w="15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color w:val="auto"/>
                <w:kern w:val="0"/>
                <w:sz w:val="24"/>
                <w:szCs w:val="24"/>
                <w:highlight w:val="none"/>
              </w:rPr>
            </w:pP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30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舒心路（余杭塘路-文一西路）</w:t>
            </w:r>
          </w:p>
        </w:tc>
        <w:tc>
          <w:tcPr>
            <w:tcW w:w="13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花坛</w:t>
            </w:r>
          </w:p>
        </w:tc>
        <w:tc>
          <w:tcPr>
            <w:tcW w:w="9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w:t>
            </w:r>
          </w:p>
        </w:tc>
        <w:tc>
          <w:tcPr>
            <w:tcW w:w="18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352.8</w:t>
            </w:r>
          </w:p>
        </w:tc>
        <w:tc>
          <w:tcPr>
            <w:tcW w:w="15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color w:val="auto"/>
                <w:kern w:val="0"/>
                <w:sz w:val="24"/>
                <w:szCs w:val="24"/>
                <w:highlight w:val="none"/>
              </w:rPr>
            </w:pP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30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联创街（良睦路-高教路）</w:t>
            </w:r>
          </w:p>
        </w:tc>
        <w:tc>
          <w:tcPr>
            <w:tcW w:w="13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花坛</w:t>
            </w:r>
          </w:p>
        </w:tc>
        <w:tc>
          <w:tcPr>
            <w:tcW w:w="9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68</w:t>
            </w:r>
          </w:p>
        </w:tc>
        <w:tc>
          <w:tcPr>
            <w:tcW w:w="18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352.8</w:t>
            </w:r>
          </w:p>
        </w:tc>
        <w:tc>
          <w:tcPr>
            <w:tcW w:w="15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color w:val="auto"/>
                <w:kern w:val="0"/>
                <w:sz w:val="24"/>
                <w:szCs w:val="24"/>
                <w:highlight w:val="none"/>
              </w:rPr>
            </w:pP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30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联创街（绿汀路-良睦路）</w:t>
            </w:r>
          </w:p>
        </w:tc>
        <w:tc>
          <w:tcPr>
            <w:tcW w:w="13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花坛</w:t>
            </w:r>
          </w:p>
        </w:tc>
        <w:tc>
          <w:tcPr>
            <w:tcW w:w="9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95</w:t>
            </w:r>
          </w:p>
        </w:tc>
        <w:tc>
          <w:tcPr>
            <w:tcW w:w="18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352.8</w:t>
            </w:r>
          </w:p>
        </w:tc>
        <w:tc>
          <w:tcPr>
            <w:tcW w:w="15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color w:val="auto"/>
                <w:kern w:val="0"/>
                <w:sz w:val="24"/>
                <w:szCs w:val="24"/>
                <w:highlight w:val="none"/>
              </w:rPr>
            </w:pP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696"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3027"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创明路（文一西路-文二西路）</w:t>
            </w:r>
          </w:p>
        </w:tc>
        <w:tc>
          <w:tcPr>
            <w:tcW w:w="1304"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花坛</w:t>
            </w:r>
          </w:p>
        </w:tc>
        <w:tc>
          <w:tcPr>
            <w:tcW w:w="958"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58</w:t>
            </w:r>
          </w:p>
        </w:tc>
        <w:tc>
          <w:tcPr>
            <w:tcW w:w="1813"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352.8</w:t>
            </w:r>
          </w:p>
        </w:tc>
        <w:tc>
          <w:tcPr>
            <w:tcW w:w="1588"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color w:val="auto"/>
                <w:kern w:val="0"/>
                <w:sz w:val="24"/>
                <w:szCs w:val="24"/>
                <w:highlight w:val="none"/>
              </w:rPr>
            </w:pPr>
          </w:p>
        </w:tc>
        <w:tc>
          <w:tcPr>
            <w:tcW w:w="1950"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696"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7102" w:type="dxa"/>
            <w:gridSpan w:val="4"/>
            <w:tcBorders>
              <w:top w:val="single" w:color="000000" w:sz="4" w:space="0"/>
              <w:left w:val="single" w:color="000000" w:sz="4" w:space="0"/>
              <w:bottom w:val="single" w:color="auto" w:sz="4" w:space="0"/>
              <w:right w:val="single" w:color="000000" w:sz="4" w:space="0"/>
              <w:tl2br w:val="nil"/>
              <w:tr2bl w:val="nil"/>
            </w:tcBorders>
            <w:noWrap w:val="0"/>
            <w:vAlign w:val="center"/>
          </w:tcPr>
          <w:p>
            <w:pPr>
              <w:spacing w:line="24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2"/>
                <w:sz w:val="24"/>
                <w:szCs w:val="24"/>
                <w:highlight w:val="none"/>
                <w:lang w:val="en-US" w:eastAsia="zh-CN"/>
              </w:rPr>
              <w:t>管理费</w:t>
            </w:r>
          </w:p>
        </w:tc>
        <w:tc>
          <w:tcPr>
            <w:tcW w:w="3538" w:type="dxa"/>
            <w:gridSpan w:val="2"/>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696"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w:t>
            </w:r>
          </w:p>
        </w:tc>
        <w:tc>
          <w:tcPr>
            <w:tcW w:w="7102" w:type="dxa"/>
            <w:gridSpan w:val="4"/>
            <w:tcBorders>
              <w:top w:val="single" w:color="000000" w:sz="4" w:space="0"/>
              <w:left w:val="single" w:color="000000" w:sz="4" w:space="0"/>
              <w:bottom w:val="single" w:color="auto" w:sz="4" w:space="0"/>
              <w:right w:val="single" w:color="000000" w:sz="4" w:space="0"/>
              <w:tl2br w:val="nil"/>
              <w:tr2bl w:val="nil"/>
            </w:tcBorders>
            <w:noWrap w:val="0"/>
            <w:vAlign w:val="center"/>
          </w:tcPr>
          <w:p>
            <w:pPr>
              <w:spacing w:line="24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2"/>
                <w:sz w:val="24"/>
                <w:szCs w:val="24"/>
                <w:highlight w:val="none"/>
                <w:lang w:val="en-US" w:eastAsia="zh-CN"/>
              </w:rPr>
              <w:t>税费</w:t>
            </w:r>
          </w:p>
        </w:tc>
        <w:tc>
          <w:tcPr>
            <w:tcW w:w="3538" w:type="dxa"/>
            <w:gridSpan w:val="2"/>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left"/>
              <w:rPr>
                <w:rFonts w:hint="eastAsia" w:ascii="宋体" w:hAnsi="宋体" w:eastAsia="宋体" w:cs="宋体"/>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598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二年总计投标报价（小写）</w:t>
            </w:r>
          </w:p>
        </w:tc>
        <w:tc>
          <w:tcPr>
            <w:tcW w:w="535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598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二年总计投标报价（大写）</w:t>
            </w:r>
          </w:p>
        </w:tc>
        <w:tc>
          <w:tcPr>
            <w:tcW w:w="535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hAnsi="宋体" w:eastAsia="宋体" w:cs="宋体"/>
                <w:color w:val="auto"/>
                <w:sz w:val="24"/>
                <w:szCs w:val="24"/>
                <w:highlight w:val="none"/>
              </w:rPr>
            </w:pPr>
          </w:p>
        </w:tc>
      </w:tr>
    </w:tbl>
    <w:p>
      <w:pPr>
        <w:pStyle w:val="967"/>
        <w:numPr>
          <w:ilvl w:val="0"/>
          <w:numId w:val="0"/>
        </w:numPr>
        <w:jc w:val="center"/>
        <w:rPr>
          <w:rFonts w:hint="eastAsia" w:ascii="宋体" w:hAnsi="宋体" w:eastAsia="宋体" w:cs="宋体"/>
          <w:color w:val="auto"/>
          <w:sz w:val="24"/>
          <w:szCs w:val="24"/>
          <w:highlight w:val="none"/>
          <w:lang w:val="zh-CN" w:eastAsia="zh-CN"/>
        </w:rPr>
      </w:pPr>
    </w:p>
    <w:p>
      <w:pPr>
        <w:pStyle w:val="967"/>
        <w:numPr>
          <w:ilvl w:val="0"/>
          <w:numId w:val="0"/>
        </w:numPr>
        <w:jc w:val="center"/>
        <w:rPr>
          <w:rFonts w:hint="eastAsia" w:ascii="宋体" w:hAnsi="宋体" w:eastAsia="宋体" w:cs="宋体"/>
          <w:color w:val="auto"/>
          <w:sz w:val="24"/>
          <w:szCs w:val="24"/>
          <w:highlight w:val="none"/>
          <w:lang w:val="zh-CN" w:eastAsia="zh-CN"/>
        </w:rPr>
      </w:pPr>
    </w:p>
    <w:p>
      <w:pPr>
        <w:pStyle w:val="967"/>
        <w:numPr>
          <w:ilvl w:val="0"/>
          <w:numId w:val="0"/>
        </w:numPr>
        <w:jc w:val="center"/>
        <w:rPr>
          <w:rFonts w:hint="eastAsia" w:ascii="宋体" w:hAnsi="宋体" w:eastAsia="宋体" w:cs="宋体"/>
          <w:sz w:val="24"/>
          <w:szCs w:val="24"/>
          <w:highlight w:val="none"/>
          <w:lang w:val="zh-CN"/>
        </w:rPr>
      </w:pPr>
    </w:p>
    <w:p>
      <w:pPr>
        <w:pStyle w:val="967"/>
        <w:numPr>
          <w:ilvl w:val="0"/>
          <w:numId w:val="0"/>
        </w:numPr>
        <w:jc w:val="center"/>
        <w:rPr>
          <w:rFonts w:hint="eastAsia" w:ascii="宋体" w:hAnsi="宋体" w:eastAsia="宋体" w:cs="宋体"/>
          <w:color w:val="auto"/>
          <w:sz w:val="24"/>
          <w:szCs w:val="24"/>
          <w:highlight w:val="none"/>
          <w:lang w:val="en-US" w:eastAsia="zh-CN"/>
        </w:rPr>
      </w:pPr>
    </w:p>
    <w:p>
      <w:pPr>
        <w:pStyle w:val="967"/>
        <w:numPr>
          <w:ilvl w:val="0"/>
          <w:numId w:val="0"/>
        </w:numPr>
        <w:jc w:val="center"/>
        <w:rPr>
          <w:rFonts w:hint="eastAsia" w:ascii="宋体" w:hAnsi="宋体" w:eastAsia="宋体" w:cs="宋体"/>
          <w:color w:val="auto"/>
          <w:sz w:val="24"/>
          <w:szCs w:val="24"/>
          <w:highlight w:val="none"/>
          <w:lang w:val="en-US" w:eastAsia="zh-CN"/>
        </w:rPr>
      </w:pPr>
    </w:p>
    <w:p>
      <w:pPr>
        <w:pStyle w:val="967"/>
        <w:numPr>
          <w:ilvl w:val="0"/>
          <w:numId w:val="0"/>
        </w:numPr>
        <w:jc w:val="center"/>
        <w:rPr>
          <w:rFonts w:hint="eastAsia" w:ascii="宋体" w:hAnsi="宋体" w:eastAsia="宋体" w:cs="宋体"/>
          <w:color w:val="auto"/>
          <w:sz w:val="24"/>
          <w:szCs w:val="24"/>
          <w:highlight w:val="none"/>
          <w:lang w:val="en-US" w:eastAsia="zh-CN"/>
        </w:rPr>
      </w:pPr>
    </w:p>
    <w:p>
      <w:pPr>
        <w:pStyle w:val="967"/>
        <w:numPr>
          <w:ilvl w:val="0"/>
          <w:numId w:val="0"/>
        </w:numPr>
        <w:jc w:val="center"/>
        <w:rPr>
          <w:rFonts w:hint="eastAsia" w:ascii="宋体" w:hAnsi="宋体" w:eastAsia="宋体" w:cs="宋体"/>
          <w:color w:val="auto"/>
          <w:sz w:val="24"/>
          <w:szCs w:val="24"/>
          <w:highlight w:val="none"/>
          <w:lang w:val="en-US" w:eastAsia="zh-CN"/>
        </w:rPr>
      </w:pPr>
    </w:p>
    <w:p>
      <w:pPr>
        <w:pStyle w:val="967"/>
        <w:numPr>
          <w:ilvl w:val="0"/>
          <w:numId w:val="0"/>
        </w:numPr>
        <w:jc w:val="center"/>
        <w:rPr>
          <w:rFonts w:hint="eastAsia" w:ascii="宋体" w:hAnsi="宋体" w:eastAsia="宋体" w:cs="宋体"/>
          <w:color w:val="auto"/>
          <w:sz w:val="24"/>
          <w:szCs w:val="24"/>
          <w:highlight w:val="none"/>
          <w:lang w:val="en-US" w:eastAsia="zh-CN"/>
        </w:rPr>
      </w:pPr>
    </w:p>
    <w:p>
      <w:pPr>
        <w:pStyle w:val="967"/>
        <w:numPr>
          <w:ilvl w:val="0"/>
          <w:numId w:val="0"/>
        </w:numPr>
        <w:jc w:val="center"/>
        <w:rPr>
          <w:rFonts w:hint="eastAsia" w:ascii="宋体" w:hAnsi="宋体" w:eastAsia="宋体" w:cs="宋体"/>
          <w:color w:val="auto"/>
          <w:sz w:val="24"/>
          <w:szCs w:val="24"/>
          <w:highlight w:val="none"/>
          <w:lang w:val="en-US" w:eastAsia="zh-CN"/>
        </w:rPr>
      </w:pPr>
    </w:p>
    <w:p>
      <w:pPr>
        <w:pStyle w:val="967"/>
        <w:numPr>
          <w:ilvl w:val="0"/>
          <w:numId w:val="0"/>
        </w:numPr>
        <w:jc w:val="center"/>
        <w:rPr>
          <w:rFonts w:hint="eastAsia" w:ascii="宋体" w:hAnsi="宋体" w:eastAsia="宋体" w:cs="宋体"/>
          <w:color w:val="auto"/>
          <w:sz w:val="24"/>
          <w:szCs w:val="24"/>
          <w:highlight w:val="none"/>
          <w:lang w:val="en-US" w:eastAsia="zh-CN"/>
        </w:rPr>
      </w:pPr>
    </w:p>
    <w:p>
      <w:pPr>
        <w:pStyle w:val="967"/>
        <w:numPr>
          <w:ilvl w:val="0"/>
          <w:numId w:val="0"/>
        </w:numPr>
        <w:jc w:val="center"/>
        <w:rPr>
          <w:rFonts w:hint="eastAsia" w:ascii="宋体" w:hAnsi="宋体" w:eastAsia="宋体" w:cs="宋体"/>
          <w:color w:val="auto"/>
          <w:sz w:val="24"/>
          <w:szCs w:val="24"/>
          <w:highlight w:val="none"/>
          <w:lang w:val="en-US" w:eastAsia="zh-CN"/>
        </w:rPr>
      </w:pPr>
    </w:p>
    <w:p>
      <w:pPr>
        <w:pStyle w:val="967"/>
        <w:numPr>
          <w:ilvl w:val="0"/>
          <w:numId w:val="0"/>
        </w:numPr>
        <w:jc w:val="center"/>
        <w:rPr>
          <w:rFonts w:hint="eastAsia" w:ascii="宋体" w:hAnsi="宋体" w:eastAsia="宋体" w:cs="宋体"/>
          <w:color w:val="auto"/>
          <w:sz w:val="24"/>
          <w:szCs w:val="24"/>
          <w:highlight w:val="none"/>
          <w:lang w:val="en-US" w:eastAsia="zh-CN"/>
        </w:rPr>
      </w:pPr>
    </w:p>
    <w:p>
      <w:pPr>
        <w:pStyle w:val="967"/>
        <w:numPr>
          <w:ilvl w:val="0"/>
          <w:numId w:val="0"/>
        </w:numPr>
        <w:jc w:val="center"/>
        <w:rPr>
          <w:rFonts w:hint="eastAsia" w:ascii="宋体" w:hAnsi="宋体" w:eastAsia="宋体" w:cs="宋体"/>
          <w:color w:val="auto"/>
          <w:sz w:val="24"/>
          <w:szCs w:val="24"/>
          <w:highlight w:val="none"/>
          <w:lang w:val="en-US" w:eastAsia="zh-CN"/>
        </w:rPr>
      </w:pPr>
    </w:p>
    <w:p>
      <w:pPr>
        <w:pStyle w:val="967"/>
        <w:numPr>
          <w:ilvl w:val="0"/>
          <w:numId w:val="0"/>
        </w:numPr>
        <w:jc w:val="center"/>
        <w:rPr>
          <w:rFonts w:hint="eastAsia" w:ascii="宋体" w:hAnsi="宋体" w:eastAsia="宋体" w:cs="宋体"/>
          <w:color w:val="auto"/>
          <w:sz w:val="24"/>
          <w:szCs w:val="24"/>
          <w:highlight w:val="none"/>
          <w:lang w:val="en-US" w:eastAsia="zh-CN"/>
        </w:rPr>
      </w:pPr>
    </w:p>
    <w:p>
      <w:pPr>
        <w:pStyle w:val="967"/>
        <w:numPr>
          <w:ilvl w:val="0"/>
          <w:numId w:val="0"/>
        </w:numPr>
        <w:jc w:val="center"/>
        <w:rPr>
          <w:rFonts w:hint="eastAsia" w:ascii="宋体" w:hAnsi="宋体" w:eastAsia="宋体" w:cs="宋体"/>
          <w:color w:val="auto"/>
          <w:sz w:val="24"/>
          <w:szCs w:val="24"/>
          <w:highlight w:val="none"/>
          <w:lang w:val="en-US" w:eastAsia="zh-CN"/>
        </w:rPr>
      </w:pPr>
    </w:p>
    <w:p>
      <w:pPr>
        <w:pStyle w:val="967"/>
        <w:numPr>
          <w:ilvl w:val="0"/>
          <w:numId w:val="0"/>
        </w:numPr>
        <w:jc w:val="center"/>
        <w:rPr>
          <w:rFonts w:hint="eastAsia" w:ascii="宋体" w:hAnsi="宋体" w:eastAsia="宋体" w:cs="宋体"/>
          <w:color w:val="auto"/>
          <w:sz w:val="24"/>
          <w:szCs w:val="24"/>
          <w:highlight w:val="none"/>
          <w:lang w:val="en-US" w:eastAsia="zh-CN"/>
        </w:rPr>
      </w:pPr>
    </w:p>
    <w:p>
      <w:pPr>
        <w:pStyle w:val="967"/>
        <w:numPr>
          <w:ilvl w:val="0"/>
          <w:numId w:val="0"/>
        </w:numPr>
        <w:jc w:val="center"/>
        <w:rPr>
          <w:rFonts w:hint="eastAsia" w:ascii="宋体" w:hAnsi="宋体" w:eastAsia="宋体" w:cs="宋体"/>
          <w:color w:val="auto"/>
          <w:sz w:val="24"/>
          <w:highlight w:val="none"/>
          <w:lang w:val="en-US" w:eastAsia="zh-CN"/>
        </w:rPr>
      </w:pPr>
    </w:p>
    <w:p>
      <w:pPr>
        <w:pStyle w:val="967"/>
        <w:numPr>
          <w:ilvl w:val="0"/>
          <w:numId w:val="0"/>
        </w:numPr>
        <w:jc w:val="center"/>
        <w:rPr>
          <w:rFonts w:hint="eastAsia" w:ascii="宋体" w:hAnsi="宋体" w:eastAsia="宋体" w:cs="宋体"/>
          <w:color w:val="auto"/>
          <w:sz w:val="24"/>
          <w:highlight w:val="none"/>
          <w:lang w:val="en-US" w:eastAsia="zh-CN"/>
        </w:rPr>
      </w:pPr>
    </w:p>
    <w:p>
      <w:pPr>
        <w:pStyle w:val="967"/>
        <w:numPr>
          <w:ilvl w:val="0"/>
          <w:numId w:val="0"/>
        </w:numPr>
        <w:jc w:val="center"/>
        <w:rPr>
          <w:rFonts w:hint="eastAsia" w:ascii="宋体" w:hAnsi="宋体" w:eastAsia="宋体" w:cs="宋体"/>
          <w:color w:val="auto"/>
          <w:sz w:val="24"/>
          <w:highlight w:val="none"/>
          <w:lang w:val="en-US" w:eastAsia="zh-CN"/>
        </w:rPr>
      </w:pPr>
    </w:p>
    <w:p>
      <w:pPr>
        <w:pStyle w:val="967"/>
        <w:numPr>
          <w:ilvl w:val="0"/>
          <w:numId w:val="0"/>
        </w:numPr>
        <w:jc w:val="center"/>
        <w:rPr>
          <w:rFonts w:hint="eastAsia" w:ascii="宋体" w:hAnsi="宋体" w:eastAsia="宋体" w:cs="宋体"/>
          <w:color w:val="auto"/>
          <w:sz w:val="24"/>
          <w:highlight w:val="none"/>
          <w:lang w:val="en-US" w:eastAsia="zh-CN"/>
        </w:rPr>
      </w:pPr>
    </w:p>
    <w:p>
      <w:pPr>
        <w:pStyle w:val="967"/>
        <w:numPr>
          <w:ilvl w:val="0"/>
          <w:numId w:val="0"/>
        </w:numPr>
        <w:jc w:val="center"/>
        <w:rPr>
          <w:rFonts w:hint="eastAsia" w:ascii="宋体" w:hAnsi="宋体" w:eastAsia="宋体" w:cs="宋体"/>
          <w:color w:val="auto"/>
          <w:sz w:val="24"/>
          <w:highlight w:val="none"/>
          <w:lang w:val="en-US" w:eastAsia="zh-CN"/>
        </w:rPr>
      </w:pPr>
    </w:p>
    <w:p>
      <w:pPr>
        <w:pStyle w:val="967"/>
        <w:numPr>
          <w:ilvl w:val="0"/>
          <w:numId w:val="0"/>
        </w:numPr>
        <w:jc w:val="center"/>
        <w:rPr>
          <w:rFonts w:hint="eastAsia" w:ascii="宋体" w:hAnsi="宋体" w:eastAsia="宋体" w:cs="宋体"/>
          <w:color w:val="auto"/>
          <w:sz w:val="24"/>
          <w:highlight w:val="none"/>
          <w:lang w:val="en-US" w:eastAsia="zh-CN"/>
        </w:rPr>
      </w:pPr>
    </w:p>
    <w:p>
      <w:pPr>
        <w:pStyle w:val="967"/>
        <w:numPr>
          <w:ilvl w:val="0"/>
          <w:numId w:val="0"/>
        </w:numPr>
        <w:jc w:val="center"/>
        <w:rPr>
          <w:rFonts w:hint="eastAsia" w:ascii="宋体" w:hAnsi="宋体" w:eastAsia="宋体" w:cs="宋体"/>
          <w:color w:val="auto"/>
          <w:sz w:val="24"/>
          <w:highlight w:val="none"/>
          <w:lang w:val="en-US" w:eastAsia="zh-CN"/>
        </w:rPr>
      </w:pPr>
    </w:p>
    <w:p>
      <w:pPr>
        <w:pStyle w:val="967"/>
        <w:numPr>
          <w:ilvl w:val="0"/>
          <w:numId w:val="0"/>
        </w:numPr>
        <w:jc w:val="center"/>
        <w:rPr>
          <w:rFonts w:hint="eastAsia" w:ascii="宋体" w:hAnsi="宋体" w:eastAsia="宋体" w:cs="宋体"/>
          <w:color w:val="auto"/>
          <w:sz w:val="24"/>
          <w:highlight w:val="none"/>
          <w:lang w:val="en-US" w:eastAsia="zh-CN"/>
        </w:rPr>
      </w:pPr>
    </w:p>
    <w:p>
      <w:pPr>
        <w:pStyle w:val="967"/>
        <w:numPr>
          <w:ilvl w:val="0"/>
          <w:numId w:val="0"/>
        </w:numPr>
        <w:jc w:val="center"/>
        <w:rPr>
          <w:rFonts w:hint="eastAsia" w:ascii="宋体" w:hAnsi="宋体" w:eastAsia="宋体" w:cs="宋体"/>
          <w:color w:val="auto"/>
          <w:sz w:val="24"/>
          <w:highlight w:val="none"/>
          <w:lang w:val="en-US" w:eastAsia="zh-CN"/>
        </w:rPr>
      </w:pPr>
    </w:p>
    <w:p>
      <w:pPr>
        <w:pStyle w:val="967"/>
        <w:numPr>
          <w:ilvl w:val="0"/>
          <w:numId w:val="0"/>
        </w:numPr>
        <w:ind w:left="6090" w:leftChars="0"/>
        <w:jc w:val="both"/>
        <w:rPr>
          <w:rFonts w:hint="eastAsia" w:ascii="宋体" w:hAnsi="宋体" w:eastAsia="宋体" w:cs="宋体"/>
          <w:color w:val="auto"/>
          <w:sz w:val="24"/>
          <w:highlight w:val="none"/>
          <w:lang w:val="en-US" w:eastAsia="zh-CN"/>
        </w:rPr>
      </w:pPr>
    </w:p>
    <w:p>
      <w:pPr>
        <w:pStyle w:val="967"/>
        <w:numPr>
          <w:ilvl w:val="0"/>
          <w:numId w:val="0"/>
        </w:numPr>
        <w:ind w:left="6090" w:left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（五）公厕保洁报价明细清单4</w:t>
      </w:r>
    </w:p>
    <w:tbl>
      <w:tblPr>
        <w:tblStyle w:val="64"/>
        <w:tblpPr w:leftFromText="180" w:rightFromText="180" w:vertAnchor="text" w:horzAnchor="page" w:tblpX="1404" w:tblpY="259"/>
        <w:tblOverlap w:val="never"/>
        <w:tblW w:w="13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4023"/>
        <w:gridCol w:w="1950"/>
        <w:gridCol w:w="3983"/>
        <w:gridCol w:w="1583"/>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8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序号</w:t>
            </w:r>
          </w:p>
        </w:tc>
        <w:tc>
          <w:tcPr>
            <w:tcW w:w="402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公厕名称</w:t>
            </w:r>
          </w:p>
        </w:tc>
        <w:tc>
          <w:tcPr>
            <w:tcW w:w="195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类别</w:t>
            </w:r>
          </w:p>
        </w:tc>
        <w:tc>
          <w:tcPr>
            <w:tcW w:w="39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Theme="minorEastAsia" w:hAnsiTheme="minorEastAsia" w:eastAsiaTheme="minorEastAsia" w:cstheme="minorEastAsia"/>
                <w:b w:val="0"/>
                <w:color w:val="auto"/>
                <w:kern w:val="0"/>
                <w:sz w:val="24"/>
                <w:szCs w:val="24"/>
                <w:highlight w:val="none"/>
                <w:u w:val="none"/>
                <w:lang w:eastAsia="zh-CN" w:bidi="ar"/>
              </w:rPr>
            </w:pPr>
            <w:r>
              <w:rPr>
                <w:rFonts w:hint="eastAsia" w:asciiTheme="minorEastAsia" w:hAnsiTheme="minorEastAsia" w:eastAsiaTheme="minorEastAsia" w:cstheme="minorEastAsia"/>
                <w:color w:val="auto"/>
                <w:kern w:val="0"/>
                <w:sz w:val="24"/>
                <w:szCs w:val="24"/>
                <w:highlight w:val="none"/>
              </w:rPr>
              <w:t>综合</w:t>
            </w:r>
            <w:r>
              <w:rPr>
                <w:rFonts w:hint="eastAsia" w:asciiTheme="minorEastAsia" w:hAnsiTheme="minorEastAsia" w:eastAsiaTheme="minorEastAsia" w:cstheme="minorEastAsia"/>
                <w:b w:val="0"/>
                <w:color w:val="auto"/>
                <w:kern w:val="0"/>
                <w:sz w:val="24"/>
                <w:szCs w:val="24"/>
                <w:highlight w:val="none"/>
                <w:u w:val="none"/>
                <w:lang w:eastAsia="zh-CN" w:bidi="ar"/>
              </w:rPr>
              <w:t>单项最高限价</w:t>
            </w:r>
          </w:p>
          <w:p>
            <w:pPr>
              <w:widowControl/>
              <w:spacing w:beforeLines="0" w:afterLines="0"/>
              <w:jc w:val="center"/>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(元/年/座)</w:t>
            </w:r>
          </w:p>
        </w:tc>
        <w:tc>
          <w:tcPr>
            <w:tcW w:w="15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360" w:lineRule="auto"/>
              <w:jc w:val="center"/>
              <w:textAlignment w:val="bottom"/>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综合单价</w:t>
            </w:r>
          </w:p>
          <w:p>
            <w:pPr>
              <w:widowControl/>
              <w:spacing w:beforeLines="0" w:afterLines="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(元/年/座)</w:t>
            </w:r>
          </w:p>
        </w:tc>
        <w:tc>
          <w:tcPr>
            <w:tcW w:w="15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rPr>
              <w:t>年合计</w:t>
            </w:r>
            <w:r>
              <w:rPr>
                <w:rFonts w:hint="eastAsia" w:asciiTheme="minorEastAsia" w:hAnsiTheme="minorEastAsia" w:eastAsiaTheme="minorEastAsia" w:cstheme="minorEastAsia"/>
                <w:b/>
                <w:color w:val="auto"/>
                <w:kern w:val="0"/>
                <w:sz w:val="24"/>
                <w:szCs w:val="24"/>
                <w:highlight w:val="none"/>
                <w:lang w:eastAsia="zh-CN"/>
              </w:rPr>
              <w:t>（</w:t>
            </w:r>
            <w:r>
              <w:rPr>
                <w:rFonts w:hint="eastAsia" w:asciiTheme="minorEastAsia" w:hAnsiTheme="minorEastAsia" w:eastAsiaTheme="minorEastAsia" w:cstheme="minorEastAsia"/>
                <w:b/>
                <w:color w:val="auto"/>
                <w:kern w:val="0"/>
                <w:sz w:val="24"/>
                <w:szCs w:val="24"/>
                <w:highlight w:val="none"/>
                <w:lang w:val="en-US" w:eastAsia="zh-CN"/>
              </w:rPr>
              <w:t>元</w:t>
            </w:r>
            <w:r>
              <w:rPr>
                <w:rFonts w:hint="eastAsia" w:asciiTheme="minorEastAsia" w:hAnsiTheme="minorEastAsia" w:eastAsiaTheme="minorEastAsia" w:cstheme="minorEastAsia"/>
                <w:b/>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40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闲林港一号公厕</w:t>
            </w:r>
          </w:p>
        </w:tc>
        <w:tc>
          <w:tcPr>
            <w:tcW w:w="19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标准</w:t>
            </w:r>
          </w:p>
        </w:tc>
        <w:tc>
          <w:tcPr>
            <w:tcW w:w="39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tLeas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15</w:t>
            </w:r>
            <w:r>
              <w:rPr>
                <w:rFonts w:hint="eastAsia" w:asciiTheme="minorEastAsia" w:hAnsiTheme="minorEastAsia" w:eastAsiaTheme="minorEastAsia" w:cstheme="minorEastAsia"/>
                <w:sz w:val="24"/>
                <w:szCs w:val="24"/>
                <w:highlight w:val="none"/>
                <w:lang w:val="en-US" w:eastAsia="zh-CN"/>
              </w:rPr>
              <w:t>0000</w:t>
            </w:r>
          </w:p>
        </w:tc>
        <w:tc>
          <w:tcPr>
            <w:tcW w:w="15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tLeast"/>
              <w:jc w:val="center"/>
              <w:rPr>
                <w:rFonts w:hint="eastAsia" w:asciiTheme="minorEastAsia" w:hAnsiTheme="minorEastAsia" w:eastAsiaTheme="minorEastAsia" w:cstheme="minorEastAsia"/>
                <w:color w:val="auto"/>
                <w:sz w:val="24"/>
                <w:szCs w:val="24"/>
                <w:highlight w:val="none"/>
              </w:rPr>
            </w:pPr>
          </w:p>
        </w:tc>
        <w:tc>
          <w:tcPr>
            <w:tcW w:w="15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tLeas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40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闲林港二号公厕</w:t>
            </w:r>
          </w:p>
        </w:tc>
        <w:tc>
          <w:tcPr>
            <w:tcW w:w="19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标准</w:t>
            </w:r>
          </w:p>
        </w:tc>
        <w:tc>
          <w:tcPr>
            <w:tcW w:w="39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highlight w:val="none"/>
              </w:rPr>
              <w:t>15</w:t>
            </w:r>
            <w:r>
              <w:rPr>
                <w:rFonts w:hint="eastAsia" w:asciiTheme="minorEastAsia" w:hAnsiTheme="minorEastAsia" w:eastAsiaTheme="minorEastAsia" w:cstheme="minorEastAsia"/>
                <w:sz w:val="24"/>
                <w:szCs w:val="24"/>
                <w:highlight w:val="none"/>
                <w:lang w:val="en-US" w:eastAsia="zh-CN"/>
              </w:rPr>
              <w:t>0000</w:t>
            </w:r>
          </w:p>
        </w:tc>
        <w:tc>
          <w:tcPr>
            <w:tcW w:w="15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Theme="minorEastAsia" w:hAnsiTheme="minorEastAsia" w:eastAsiaTheme="minorEastAsia" w:cstheme="minorEastAsia"/>
                <w:sz w:val="24"/>
                <w:szCs w:val="24"/>
                <w:highlight w:val="none"/>
              </w:rPr>
            </w:pPr>
          </w:p>
        </w:tc>
        <w:tc>
          <w:tcPr>
            <w:tcW w:w="15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40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闲林港三号公厕</w:t>
            </w:r>
          </w:p>
        </w:tc>
        <w:tc>
          <w:tcPr>
            <w:tcW w:w="19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标准</w:t>
            </w:r>
          </w:p>
        </w:tc>
        <w:tc>
          <w:tcPr>
            <w:tcW w:w="39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highlight w:val="none"/>
              </w:rPr>
              <w:t>15</w:t>
            </w:r>
            <w:r>
              <w:rPr>
                <w:rFonts w:hint="eastAsia" w:asciiTheme="minorEastAsia" w:hAnsiTheme="minorEastAsia" w:eastAsiaTheme="minorEastAsia" w:cstheme="minorEastAsia"/>
                <w:sz w:val="24"/>
                <w:szCs w:val="24"/>
                <w:highlight w:val="none"/>
                <w:lang w:val="en-US" w:eastAsia="zh-CN"/>
              </w:rPr>
              <w:t>0000</w:t>
            </w:r>
          </w:p>
        </w:tc>
        <w:tc>
          <w:tcPr>
            <w:tcW w:w="15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Theme="minorEastAsia" w:hAnsiTheme="minorEastAsia" w:eastAsiaTheme="minorEastAsia" w:cstheme="minorEastAsia"/>
                <w:sz w:val="24"/>
                <w:szCs w:val="24"/>
                <w:highlight w:val="none"/>
              </w:rPr>
            </w:pPr>
          </w:p>
        </w:tc>
        <w:tc>
          <w:tcPr>
            <w:tcW w:w="15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40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红卫港公厕</w:t>
            </w:r>
          </w:p>
        </w:tc>
        <w:tc>
          <w:tcPr>
            <w:tcW w:w="19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标准</w:t>
            </w:r>
          </w:p>
        </w:tc>
        <w:tc>
          <w:tcPr>
            <w:tcW w:w="39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highlight w:val="none"/>
              </w:rPr>
              <w:t>15</w:t>
            </w:r>
            <w:r>
              <w:rPr>
                <w:rFonts w:hint="eastAsia" w:asciiTheme="minorEastAsia" w:hAnsiTheme="minorEastAsia" w:eastAsiaTheme="minorEastAsia" w:cstheme="minorEastAsia"/>
                <w:sz w:val="24"/>
                <w:szCs w:val="24"/>
                <w:highlight w:val="none"/>
                <w:lang w:val="en-US" w:eastAsia="zh-CN"/>
              </w:rPr>
              <w:t>0000</w:t>
            </w:r>
          </w:p>
        </w:tc>
        <w:tc>
          <w:tcPr>
            <w:tcW w:w="15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Theme="minorEastAsia" w:hAnsiTheme="minorEastAsia" w:eastAsiaTheme="minorEastAsia" w:cstheme="minorEastAsia"/>
                <w:sz w:val="24"/>
                <w:szCs w:val="24"/>
                <w:highlight w:val="none"/>
              </w:rPr>
            </w:pPr>
          </w:p>
        </w:tc>
        <w:tc>
          <w:tcPr>
            <w:tcW w:w="15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40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双创中心公厕</w:t>
            </w:r>
          </w:p>
        </w:tc>
        <w:tc>
          <w:tcPr>
            <w:tcW w:w="19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标准</w:t>
            </w:r>
          </w:p>
        </w:tc>
        <w:tc>
          <w:tcPr>
            <w:tcW w:w="39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highlight w:val="none"/>
              </w:rPr>
              <w:t>15</w:t>
            </w:r>
            <w:r>
              <w:rPr>
                <w:rFonts w:hint="eastAsia" w:asciiTheme="minorEastAsia" w:hAnsiTheme="minorEastAsia" w:eastAsiaTheme="minorEastAsia" w:cstheme="minorEastAsia"/>
                <w:sz w:val="24"/>
                <w:szCs w:val="24"/>
                <w:highlight w:val="none"/>
                <w:lang w:val="en-US" w:eastAsia="zh-CN"/>
              </w:rPr>
              <w:t>0000</w:t>
            </w:r>
          </w:p>
        </w:tc>
        <w:tc>
          <w:tcPr>
            <w:tcW w:w="15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Theme="minorEastAsia" w:hAnsiTheme="minorEastAsia" w:eastAsiaTheme="minorEastAsia" w:cstheme="minorEastAsia"/>
                <w:sz w:val="24"/>
                <w:szCs w:val="24"/>
                <w:highlight w:val="none"/>
              </w:rPr>
            </w:pPr>
          </w:p>
        </w:tc>
        <w:tc>
          <w:tcPr>
            <w:tcW w:w="15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40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中央公园公厕</w:t>
            </w:r>
          </w:p>
        </w:tc>
        <w:tc>
          <w:tcPr>
            <w:tcW w:w="19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标准</w:t>
            </w:r>
          </w:p>
        </w:tc>
        <w:tc>
          <w:tcPr>
            <w:tcW w:w="39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highlight w:val="none"/>
              </w:rPr>
              <w:t>15</w:t>
            </w:r>
            <w:r>
              <w:rPr>
                <w:rFonts w:hint="eastAsia" w:asciiTheme="minorEastAsia" w:hAnsiTheme="minorEastAsia" w:eastAsiaTheme="minorEastAsia" w:cstheme="minorEastAsia"/>
                <w:sz w:val="24"/>
                <w:szCs w:val="24"/>
                <w:highlight w:val="none"/>
                <w:lang w:val="en-US" w:eastAsia="zh-CN"/>
              </w:rPr>
              <w:t>0000</w:t>
            </w:r>
          </w:p>
        </w:tc>
        <w:tc>
          <w:tcPr>
            <w:tcW w:w="15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Theme="minorEastAsia" w:hAnsiTheme="minorEastAsia" w:eastAsiaTheme="minorEastAsia" w:cstheme="minorEastAsia"/>
                <w:sz w:val="24"/>
                <w:szCs w:val="24"/>
                <w:highlight w:val="none"/>
              </w:rPr>
            </w:pPr>
          </w:p>
        </w:tc>
        <w:tc>
          <w:tcPr>
            <w:tcW w:w="15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40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新桥港公厕</w:t>
            </w:r>
          </w:p>
        </w:tc>
        <w:tc>
          <w:tcPr>
            <w:tcW w:w="19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标准</w:t>
            </w:r>
          </w:p>
        </w:tc>
        <w:tc>
          <w:tcPr>
            <w:tcW w:w="39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highlight w:val="none"/>
              </w:rPr>
              <w:t>15</w:t>
            </w:r>
            <w:r>
              <w:rPr>
                <w:rFonts w:hint="eastAsia" w:asciiTheme="minorEastAsia" w:hAnsiTheme="minorEastAsia" w:eastAsiaTheme="minorEastAsia" w:cstheme="minorEastAsia"/>
                <w:sz w:val="24"/>
                <w:szCs w:val="24"/>
                <w:highlight w:val="none"/>
                <w:lang w:val="en-US" w:eastAsia="zh-CN"/>
              </w:rPr>
              <w:t>0000</w:t>
            </w:r>
          </w:p>
        </w:tc>
        <w:tc>
          <w:tcPr>
            <w:tcW w:w="15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Theme="minorEastAsia" w:hAnsiTheme="minorEastAsia" w:eastAsiaTheme="minorEastAsia" w:cstheme="minorEastAsia"/>
                <w:sz w:val="24"/>
                <w:szCs w:val="24"/>
                <w:highlight w:val="none"/>
              </w:rPr>
            </w:pPr>
          </w:p>
        </w:tc>
        <w:tc>
          <w:tcPr>
            <w:tcW w:w="15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二年总计投标报价（小写）</w:t>
            </w:r>
          </w:p>
        </w:tc>
        <w:tc>
          <w:tcPr>
            <w:tcW w:w="714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二年总计投标报价（大写）</w:t>
            </w:r>
          </w:p>
        </w:tc>
        <w:tc>
          <w:tcPr>
            <w:tcW w:w="714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Theme="minorEastAsia" w:hAnsiTheme="minorEastAsia" w:eastAsiaTheme="minorEastAsia" w:cstheme="minorEastAsia"/>
                <w:sz w:val="24"/>
                <w:szCs w:val="24"/>
                <w:highlight w:val="none"/>
              </w:rPr>
            </w:pPr>
          </w:p>
        </w:tc>
      </w:tr>
    </w:tbl>
    <w:p>
      <w:pPr>
        <w:pStyle w:val="967"/>
        <w:numPr>
          <w:ilvl w:val="0"/>
          <w:numId w:val="0"/>
        </w:numPr>
        <w:jc w:val="both"/>
        <w:rPr>
          <w:rFonts w:hint="eastAsia" w:ascii="宋体" w:hAnsi="宋体" w:eastAsia="宋体" w:cs="宋体"/>
          <w:color w:val="auto"/>
          <w:sz w:val="24"/>
          <w:highlight w:val="none"/>
          <w:lang w:val="en-US" w:eastAsia="zh-CN"/>
        </w:rPr>
      </w:pPr>
    </w:p>
    <w:p>
      <w:pPr>
        <w:pStyle w:val="381"/>
        <w:wordWrap w:val="0"/>
        <w:snapToGrid w:val="0"/>
        <w:spacing w:before="120" w:after="120"/>
        <w:ind w:firstLine="0"/>
        <w:jc w:val="both"/>
        <w:outlineLvl w:val="9"/>
        <w:rPr>
          <w:rFonts w:hint="eastAsia" w:ascii="宋体" w:hAnsi="宋体" w:eastAsia="宋体" w:cs="宋体"/>
          <w:color w:val="auto"/>
          <w:sz w:val="24"/>
          <w:highlight w:val="none"/>
          <w:lang w:val="en-US" w:eastAsia="zh-CN"/>
        </w:rPr>
      </w:pPr>
    </w:p>
    <w:p>
      <w:pPr>
        <w:pStyle w:val="381"/>
        <w:wordWrap w:val="0"/>
        <w:snapToGrid w:val="0"/>
        <w:spacing w:before="120" w:after="120"/>
        <w:ind w:firstLine="0"/>
        <w:jc w:val="both"/>
        <w:outlineLvl w:val="9"/>
        <w:rPr>
          <w:rFonts w:hint="eastAsia" w:ascii="宋体" w:hAnsi="宋体" w:eastAsia="宋体" w:cs="宋体"/>
          <w:color w:val="auto"/>
          <w:sz w:val="24"/>
          <w:highlight w:val="none"/>
          <w:lang w:val="en-US" w:eastAsia="zh-CN"/>
        </w:rPr>
      </w:pPr>
    </w:p>
    <w:p>
      <w:pPr>
        <w:pStyle w:val="381"/>
        <w:wordWrap w:val="0"/>
        <w:snapToGrid w:val="0"/>
        <w:spacing w:before="120" w:after="120"/>
        <w:ind w:firstLine="0"/>
        <w:jc w:val="both"/>
        <w:outlineLvl w:val="9"/>
        <w:rPr>
          <w:rFonts w:hint="eastAsia" w:ascii="宋体" w:hAnsi="宋体" w:eastAsia="宋体" w:cs="宋体"/>
          <w:color w:val="auto"/>
          <w:sz w:val="24"/>
          <w:highlight w:val="none"/>
          <w:lang w:val="en-US" w:eastAsia="zh-CN"/>
        </w:rPr>
      </w:pPr>
    </w:p>
    <w:p>
      <w:pPr>
        <w:pStyle w:val="381"/>
        <w:wordWrap w:val="0"/>
        <w:snapToGrid w:val="0"/>
        <w:spacing w:before="120" w:after="120"/>
        <w:ind w:firstLine="0"/>
        <w:jc w:val="both"/>
        <w:outlineLvl w:val="9"/>
        <w:rPr>
          <w:rFonts w:hint="eastAsia" w:ascii="宋体" w:hAnsi="宋体" w:eastAsia="宋体" w:cs="宋体"/>
          <w:color w:val="auto"/>
          <w:sz w:val="24"/>
          <w:highlight w:val="none"/>
          <w:lang w:val="en-US" w:eastAsia="zh-CN"/>
        </w:rPr>
      </w:pPr>
    </w:p>
    <w:p>
      <w:pPr>
        <w:pStyle w:val="381"/>
        <w:wordWrap w:val="0"/>
        <w:snapToGrid w:val="0"/>
        <w:spacing w:before="120" w:after="120"/>
        <w:ind w:firstLine="0"/>
        <w:jc w:val="both"/>
        <w:outlineLvl w:val="9"/>
        <w:rPr>
          <w:rFonts w:hint="eastAsia" w:ascii="宋体" w:hAnsi="宋体" w:eastAsia="宋体" w:cs="宋体"/>
          <w:color w:val="auto"/>
          <w:sz w:val="24"/>
          <w:highlight w:val="none"/>
          <w:lang w:val="en-US" w:eastAsia="zh-CN"/>
        </w:rPr>
      </w:pPr>
    </w:p>
    <w:p>
      <w:pPr>
        <w:pStyle w:val="381"/>
        <w:wordWrap w:val="0"/>
        <w:snapToGrid w:val="0"/>
        <w:spacing w:before="120" w:after="120"/>
        <w:ind w:firstLine="0"/>
        <w:jc w:val="both"/>
        <w:outlineLvl w:val="9"/>
        <w:rPr>
          <w:rFonts w:hint="eastAsia" w:ascii="宋体" w:hAnsi="宋体" w:eastAsia="宋体" w:cs="宋体"/>
          <w:color w:val="auto"/>
          <w:sz w:val="24"/>
          <w:highlight w:val="none"/>
          <w:lang w:val="en-US" w:eastAsia="zh-CN"/>
        </w:rPr>
      </w:pPr>
    </w:p>
    <w:p>
      <w:pPr>
        <w:pStyle w:val="967"/>
        <w:numPr>
          <w:ilvl w:val="0"/>
          <w:numId w:val="0"/>
        </w:num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（六）市政养护报价明细清单5</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1419"/>
        <w:gridCol w:w="2100"/>
        <w:gridCol w:w="876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jc w:val="center"/>
        </w:trPr>
        <w:tc>
          <w:tcPr>
            <w:tcW w:w="1686" w:type="dxa"/>
            <w:tcBorders>
              <w:top w:val="single" w:color="auto" w:sz="4" w:space="0"/>
              <w:right w:val="single" w:color="auto" w:sz="4" w:space="0"/>
            </w:tcBorders>
            <w:vAlign w:val="center"/>
          </w:tcPr>
          <w:p>
            <w:pPr>
              <w:spacing w:line="600" w:lineRule="exact"/>
              <w:jc w:val="center"/>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项目</w:t>
            </w:r>
          </w:p>
        </w:tc>
        <w:tc>
          <w:tcPr>
            <w:tcW w:w="1419" w:type="dxa"/>
            <w:tcBorders>
              <w:top w:val="single" w:color="auto" w:sz="4" w:space="0"/>
              <w:left w:val="single" w:color="auto" w:sz="4" w:space="0"/>
              <w:right w:val="single" w:color="auto" w:sz="4" w:space="0"/>
            </w:tcBorders>
            <w:vAlign w:val="center"/>
          </w:tcPr>
          <w:p>
            <w:pPr>
              <w:spacing w:line="6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服务期</w:t>
            </w:r>
          </w:p>
        </w:tc>
        <w:tc>
          <w:tcPr>
            <w:tcW w:w="2100" w:type="dxa"/>
            <w:tcBorders>
              <w:top w:val="single" w:color="auto" w:sz="4" w:space="0"/>
              <w:left w:val="single" w:color="auto" w:sz="4" w:space="0"/>
            </w:tcBorders>
            <w:vAlign w:val="center"/>
          </w:tcPr>
          <w:p>
            <w:pPr>
              <w:spacing w:line="600" w:lineRule="exact"/>
              <w:jc w:val="center"/>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投标报价（</w:t>
            </w:r>
            <w:r>
              <w:rPr>
                <w:rFonts w:hint="eastAsia" w:ascii="宋体" w:hAnsi="宋体" w:eastAsia="宋体" w:cs="宋体"/>
                <w:kern w:val="0"/>
                <w:sz w:val="24"/>
                <w:szCs w:val="24"/>
                <w:highlight w:val="none"/>
                <w:lang w:val="zh-CN"/>
              </w:rPr>
              <w:t>%</w:t>
            </w:r>
            <w:r>
              <w:rPr>
                <w:rFonts w:hint="eastAsia" w:ascii="宋体" w:hAnsi="宋体" w:eastAsia="宋体" w:cs="宋体"/>
                <w:sz w:val="24"/>
                <w:szCs w:val="24"/>
                <w:highlight w:val="none"/>
                <w:lang w:val="en-GB"/>
              </w:rPr>
              <w:t>）</w:t>
            </w:r>
          </w:p>
        </w:tc>
        <w:tc>
          <w:tcPr>
            <w:tcW w:w="8761" w:type="dxa"/>
            <w:tcBorders>
              <w:top w:val="single" w:color="auto" w:sz="4" w:space="0"/>
              <w:left w:val="single" w:color="auto" w:sz="4" w:space="0"/>
            </w:tcBorders>
            <w:vAlign w:val="center"/>
          </w:tcPr>
          <w:p>
            <w:pPr>
              <w:spacing w:line="600" w:lineRule="exact"/>
              <w:jc w:val="center"/>
              <w:rPr>
                <w:rFonts w:hint="eastAsia" w:ascii="宋体" w:hAnsi="宋体" w:eastAsia="宋体" w:cs="宋体"/>
                <w:sz w:val="24"/>
                <w:szCs w:val="24"/>
                <w:highlight w:val="none"/>
                <w:lang w:val="en-GB" w:eastAsia="zh-CN"/>
              </w:rPr>
            </w:pPr>
            <w:r>
              <w:rPr>
                <w:rFonts w:hint="eastAsia" w:ascii="宋体" w:hAnsi="宋体" w:eastAsia="宋体" w:cs="宋体"/>
                <w:sz w:val="24"/>
                <w:szCs w:val="24"/>
                <w:highlight w:val="none"/>
                <w:lang w:val="en-GB"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1686" w:type="dxa"/>
            <w:tcBorders>
              <w:right w:val="single" w:color="auto" w:sz="4" w:space="0"/>
            </w:tcBorders>
            <w:vAlign w:val="center"/>
          </w:tcPr>
          <w:p>
            <w:pPr>
              <w:spacing w:line="600" w:lineRule="exact"/>
              <w:jc w:val="center"/>
              <w:rPr>
                <w:rFonts w:hint="eastAsia" w:ascii="宋体" w:hAnsi="宋体" w:eastAsia="宋体" w:cs="宋体"/>
                <w:sz w:val="24"/>
                <w:szCs w:val="24"/>
                <w:highlight w:val="none"/>
                <w:lang w:val="en-GB" w:eastAsia="zh-CN"/>
              </w:rPr>
            </w:pPr>
            <w:r>
              <w:rPr>
                <w:rFonts w:hint="eastAsia" w:ascii="宋体" w:hAnsi="宋体" w:eastAsia="宋体" w:cs="宋体"/>
                <w:sz w:val="24"/>
                <w:szCs w:val="24"/>
                <w:highlight w:val="none"/>
                <w:lang w:val="en-US" w:eastAsia="zh-CN"/>
              </w:rPr>
              <w:t xml:space="preserve"> 市政养护费</w:t>
            </w:r>
          </w:p>
        </w:tc>
        <w:tc>
          <w:tcPr>
            <w:tcW w:w="1419" w:type="dxa"/>
            <w:tcBorders>
              <w:left w:val="single" w:color="auto" w:sz="4" w:space="0"/>
              <w:right w:val="single" w:color="auto" w:sz="4" w:space="0"/>
            </w:tcBorders>
            <w:vAlign w:val="center"/>
          </w:tcPr>
          <w:p>
            <w:pPr>
              <w:spacing w:line="6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2年</w:t>
            </w:r>
          </w:p>
        </w:tc>
        <w:tc>
          <w:tcPr>
            <w:tcW w:w="2100" w:type="dxa"/>
            <w:tcBorders>
              <w:left w:val="single" w:color="auto" w:sz="4" w:space="0"/>
            </w:tcBorders>
            <w:vAlign w:val="center"/>
          </w:tcPr>
          <w:p>
            <w:pPr>
              <w:spacing w:line="600" w:lineRule="exact"/>
              <w:jc w:val="center"/>
              <w:rPr>
                <w:rFonts w:hint="eastAsia" w:ascii="宋体" w:hAnsi="宋体" w:eastAsia="宋体" w:cs="宋体"/>
                <w:sz w:val="24"/>
                <w:szCs w:val="24"/>
                <w:highlight w:val="none"/>
              </w:rPr>
            </w:pPr>
          </w:p>
        </w:tc>
        <w:tc>
          <w:tcPr>
            <w:tcW w:w="8761" w:type="dxa"/>
            <w:tcBorders>
              <w:left w:val="single" w:color="auto" w:sz="4" w:space="0"/>
            </w:tcBorders>
            <w:vAlign w:val="center"/>
          </w:tcPr>
          <w:p>
            <w:pPr>
              <w:snapToGrid w:val="0"/>
              <w:spacing w:line="600" w:lineRule="exact"/>
              <w:rPr>
                <w:rFonts w:hint="eastAsia" w:ascii="宋体" w:hAnsi="宋体" w:eastAsia="宋体" w:cs="宋体"/>
                <w:color w:val="auto"/>
                <w:kern w:val="2"/>
                <w:sz w:val="24"/>
                <w:szCs w:val="24"/>
                <w:highlight w:val="none"/>
                <w:lang w:val="en-US" w:eastAsia="zh-CN"/>
              </w:rPr>
            </w:pPr>
            <w:r>
              <w:rPr>
                <w:rFonts w:hint="eastAsia" w:ascii="宋体" w:hAnsi="宋体" w:eastAsia="宋体" w:cs="宋体"/>
                <w:snapToGrid w:val="0"/>
                <w:color w:val="auto"/>
                <w:kern w:val="0"/>
                <w:sz w:val="24"/>
                <w:szCs w:val="24"/>
                <w:highlight w:val="none"/>
                <w:lang w:val="zh-CN"/>
              </w:rPr>
              <w:t>本项目采用费率招标</w:t>
            </w:r>
            <w:r>
              <w:rPr>
                <w:rFonts w:hint="eastAsia" w:ascii="宋体" w:hAnsi="宋体" w:eastAsia="宋体" w:cs="宋体"/>
                <w:snapToGrid w:val="0"/>
                <w:color w:val="auto"/>
                <w:kern w:val="0"/>
                <w:sz w:val="24"/>
                <w:szCs w:val="24"/>
                <w:highlight w:val="none"/>
                <w:lang w:val="en-US" w:eastAsia="zh-CN"/>
              </w:rPr>
              <w:t>(小数点后保留两位小数)，</w:t>
            </w:r>
            <w:r>
              <w:rPr>
                <w:rFonts w:hint="eastAsia" w:ascii="宋体" w:hAnsi="宋体" w:eastAsia="宋体" w:cs="宋体"/>
                <w:b/>
                <w:bCs/>
                <w:color w:val="auto"/>
                <w:sz w:val="24"/>
                <w:szCs w:val="24"/>
                <w:highlight w:val="none"/>
                <w:lang w:val="zh-CN"/>
              </w:rPr>
              <w:t>最高限价为基价的</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lang w:val="zh-CN"/>
              </w:rPr>
              <w:t>0%；</w:t>
            </w:r>
            <w:r>
              <w:rPr>
                <w:rFonts w:hint="eastAsia" w:ascii="宋体" w:hAnsi="宋体" w:eastAsia="宋体" w:cs="宋体"/>
                <w:snapToGrid w:val="0"/>
                <w:color w:val="auto"/>
                <w:kern w:val="0"/>
                <w:sz w:val="24"/>
                <w:szCs w:val="24"/>
                <w:highlight w:val="none"/>
              </w:rPr>
              <w:t>结算方式：工程量按实计算，本工程基价套用《浙江省市政设施养护维修定额》（2018版）相应定额子目、如《浙江省市政设施养护维修定额》（2018版）无相应定额子目的可套用《浙江省市政工程预算定额（2018版）》相应定额子目，相应取费按《浙江省建设工程计价规则》2018版，</w:t>
            </w:r>
            <w:r>
              <w:rPr>
                <w:rFonts w:hint="eastAsia" w:ascii="宋体" w:hAnsi="宋体" w:eastAsia="宋体" w:cs="宋体"/>
                <w:b/>
                <w:bCs/>
                <w:snapToGrid w:val="0"/>
                <w:color w:val="auto"/>
                <w:kern w:val="0"/>
                <w:sz w:val="24"/>
                <w:szCs w:val="24"/>
                <w:highlight w:val="none"/>
                <w:lang w:val="en-US" w:eastAsia="zh-CN"/>
              </w:rPr>
              <w:t>套用</w:t>
            </w:r>
            <w:r>
              <w:rPr>
                <w:rFonts w:hint="eastAsia" w:ascii="宋体" w:hAnsi="宋体" w:eastAsia="宋体" w:cs="宋体"/>
                <w:b/>
                <w:bCs/>
                <w:snapToGrid w:val="0"/>
                <w:color w:val="auto"/>
                <w:kern w:val="0"/>
                <w:sz w:val="24"/>
                <w:szCs w:val="24"/>
                <w:highlight w:val="none"/>
              </w:rPr>
              <w:t>定额</w:t>
            </w:r>
            <w:r>
              <w:rPr>
                <w:rFonts w:hint="eastAsia" w:ascii="宋体" w:hAnsi="宋体" w:eastAsia="宋体" w:cs="宋体"/>
                <w:b/>
                <w:bCs/>
                <w:snapToGrid w:val="0"/>
                <w:color w:val="auto"/>
                <w:kern w:val="0"/>
                <w:sz w:val="24"/>
                <w:szCs w:val="24"/>
                <w:highlight w:val="none"/>
                <w:lang w:val="en-US" w:eastAsia="zh-CN"/>
              </w:rPr>
              <w:t>子目的</w:t>
            </w:r>
            <w:r>
              <w:rPr>
                <w:rFonts w:hint="eastAsia" w:ascii="宋体" w:hAnsi="宋体" w:eastAsia="宋体" w:cs="宋体"/>
                <w:b/>
                <w:bCs/>
                <w:snapToGrid w:val="0"/>
                <w:color w:val="auto"/>
                <w:kern w:val="0"/>
                <w:sz w:val="24"/>
                <w:szCs w:val="24"/>
                <w:highlight w:val="none"/>
              </w:rPr>
              <w:t>结算价=基价*投标报价（%）</w:t>
            </w:r>
            <w:r>
              <w:rPr>
                <w:rFonts w:hint="eastAsia" w:ascii="宋体" w:hAnsi="宋体" w:eastAsia="宋体" w:cs="宋体"/>
                <w:snapToGrid w:val="0"/>
                <w:color w:val="auto"/>
                <w:kern w:val="0"/>
                <w:sz w:val="24"/>
                <w:szCs w:val="24"/>
                <w:highlight w:val="none"/>
              </w:rPr>
              <w:t>*实际工程量。2、无定额价的：结算按浙江省造价信息当年当月信息价下浮15%结算。3、没有造价信息的，按市场价下浮20%结算。</w:t>
            </w:r>
            <w:r>
              <w:rPr>
                <w:rFonts w:hint="eastAsia" w:ascii="宋体" w:hAnsi="宋体" w:eastAsia="宋体" w:cs="宋体"/>
                <w:color w:val="auto"/>
                <w:kern w:val="2"/>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71" w:hRule="atLeast"/>
          <w:jc w:val="center"/>
        </w:trPr>
        <w:tc>
          <w:tcPr>
            <w:tcW w:w="1686" w:type="dxa"/>
            <w:tcBorders>
              <w:bottom w:val="single" w:color="auto" w:sz="4" w:space="0"/>
              <w:right w:val="single" w:color="auto" w:sz="4" w:space="0"/>
            </w:tcBorders>
            <w:vAlign w:val="center"/>
          </w:tcPr>
          <w:p>
            <w:pPr>
              <w:spacing w:line="600" w:lineRule="exact"/>
              <w:jc w:val="center"/>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总价（</w:t>
            </w:r>
            <w:r>
              <w:rPr>
                <w:rFonts w:hint="eastAsia" w:ascii="宋体" w:hAnsi="宋体" w:eastAsia="宋体" w:cs="宋体"/>
                <w:kern w:val="0"/>
                <w:sz w:val="24"/>
                <w:szCs w:val="24"/>
                <w:highlight w:val="none"/>
                <w:lang w:val="zh-CN"/>
              </w:rPr>
              <w:t>%</w:t>
            </w:r>
            <w:r>
              <w:rPr>
                <w:rFonts w:hint="eastAsia" w:ascii="宋体" w:hAnsi="宋体" w:eastAsia="宋体" w:cs="宋体"/>
                <w:sz w:val="24"/>
                <w:szCs w:val="24"/>
                <w:highlight w:val="none"/>
                <w:lang w:val="en-GB"/>
              </w:rPr>
              <w:t>）</w:t>
            </w:r>
          </w:p>
        </w:tc>
        <w:tc>
          <w:tcPr>
            <w:tcW w:w="12280" w:type="dxa"/>
            <w:gridSpan w:val="3"/>
            <w:tcBorders>
              <w:left w:val="single" w:color="auto" w:sz="4" w:space="0"/>
              <w:bottom w:val="single" w:color="auto" w:sz="4" w:space="0"/>
            </w:tcBorders>
            <w:vAlign w:val="center"/>
          </w:tcPr>
          <w:p>
            <w:pPr>
              <w:spacing w:line="6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小</w:t>
            </w:r>
            <w:r>
              <w:rPr>
                <w:rFonts w:hint="eastAsia" w:ascii="宋体" w:hAnsi="宋体" w:eastAsia="宋体" w:cs="宋体"/>
                <w:sz w:val="24"/>
                <w:szCs w:val="24"/>
                <w:highlight w:val="none"/>
              </w:rPr>
              <w:t>写）</w:t>
            </w:r>
          </w:p>
        </w:tc>
      </w:tr>
    </w:tbl>
    <w:p>
      <w:pPr>
        <w:snapToGrid w:val="0"/>
        <w:spacing w:line="360" w:lineRule="auto"/>
        <w:jc w:val="righ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独立投标：投标人名称(电子签名)：</w:t>
      </w:r>
    </w:p>
    <w:p>
      <w:pPr>
        <w:snapToGrid w:val="0"/>
        <w:spacing w:line="360" w:lineRule="auto"/>
        <w:jc w:val="righ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或</w:t>
      </w:r>
    </w:p>
    <w:p>
      <w:pPr>
        <w:snapToGrid w:val="0"/>
        <w:spacing w:line="360" w:lineRule="auto"/>
        <w:jc w:val="righ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采用联合体投标：联合体牵头人名称(电子签名/盖章)：</w:t>
      </w:r>
    </w:p>
    <w:p>
      <w:pPr>
        <w:pStyle w:val="381"/>
        <w:wordWrap w:val="0"/>
        <w:snapToGrid w:val="0"/>
        <w:spacing w:before="120" w:after="120"/>
        <w:ind w:firstLine="0"/>
        <w:jc w:val="right"/>
        <w:outlineLvl w:val="9"/>
        <w:rPr>
          <w:rFonts w:hint="eastAsia" w:ascii="宋体" w:hAnsi="宋体" w:eastAsia="宋体" w:cs="宋体"/>
          <w:color w:val="auto"/>
          <w:kern w:val="2"/>
          <w:sz w:val="24"/>
          <w:szCs w:val="24"/>
          <w:highlight w:val="none"/>
          <w:lang w:val="en-US" w:eastAsia="zh-CN"/>
        </w:rPr>
        <w:sectPr>
          <w:pgSz w:w="16838" w:h="11906" w:orient="landscape"/>
          <w:pgMar w:top="1418" w:right="1247" w:bottom="1418" w:left="1276" w:header="851" w:footer="992" w:gutter="0"/>
          <w:cols w:space="720" w:num="1"/>
          <w:titlePg/>
          <w:docGrid w:linePitch="312" w:charSpace="0"/>
        </w:sectPr>
      </w:pPr>
      <w:r>
        <w:rPr>
          <w:rFonts w:hint="eastAsia" w:ascii="宋体" w:hAnsi="宋体" w:eastAsia="宋体" w:cs="宋体"/>
          <w:color w:val="auto"/>
          <w:sz w:val="24"/>
          <w:szCs w:val="24"/>
          <w:highlight w:val="none"/>
        </w:rPr>
        <w:t xml:space="preserve">   日期：  年   月   日</w:t>
      </w:r>
      <w:r>
        <w:rPr>
          <w:rFonts w:hint="eastAsia" w:ascii="宋体" w:hAnsi="宋体" w:eastAsia="宋体" w:cs="宋体"/>
          <w:color w:val="auto"/>
          <w:sz w:val="24"/>
          <w:szCs w:val="24"/>
          <w:highlight w:val="none"/>
          <w:lang w:val="en-US" w:eastAsia="zh-CN"/>
        </w:rPr>
        <w:t xml:space="preserve"> </w:t>
      </w:r>
    </w:p>
    <w:p>
      <w:pPr>
        <w:pStyle w:val="379"/>
        <w:tabs>
          <w:tab w:val="clear" w:pos="720"/>
        </w:tabs>
        <w:snapToGrid w:val="0"/>
        <w:spacing w:before="120" w:after="120"/>
        <w:ind w:firstLine="3534" w:firstLineChars="1100"/>
        <w:jc w:val="both"/>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p>
    <w:p>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政府采购支持中小企业信用融资相关事项通知</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一、适用对象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二、相关信息获取方式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　政府采购信用融资操作流程：</w:t>
      </w:r>
    </w:p>
    <w:p>
      <w:pPr>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（一）线上融资模式：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1.供应商根据合作银行提供的方案，自行选择金融产品，并办理开户等手续；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2.供应商中标后，可通过杭州市政府采购网或“浙里办”测算授信额度；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3.采购合同签订后，供应商在杭州市政府采购网或“浙里办”向合作银行发出融资申请；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4.审批通过后，在线办理放贷手续。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（二）线下融资模式：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2.采购合同签订后，供应商在杭州市政府采购网或“浙里办”向合作银行发出融资申请；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4.审批通过后，合作银行应按照合作备忘录中约定的审批放款期限和优惠利率及时予以放款。</w:t>
      </w:r>
    </w:p>
    <w:p>
      <w:pPr>
        <w:pStyle w:val="6"/>
        <w:numPr>
          <w:ilvl w:val="0"/>
          <w:numId w:val="0"/>
        </w:numPr>
        <w:ind w:firstLine="960" w:firstLineChars="4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（三）杭州e融平台申请融资</w:t>
      </w:r>
    </w:p>
    <w:p>
      <w:pPr>
        <w:pStyle w:val="6"/>
        <w:numPr>
          <w:ilvl w:val="0"/>
          <w:numId w:val="0"/>
        </w:numPr>
        <w:ind w:firstLine="960" w:firstLineChars="4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四、注意事项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宋体" w:hAnsi="宋体" w:eastAsia="宋体" w:cs="宋体"/>
          <w:b/>
          <w:bCs/>
          <w:color w:val="auto"/>
          <w:kern w:val="0"/>
          <w:sz w:val="24"/>
          <w:highlight w:val="none"/>
        </w:rPr>
      </w:pPr>
    </w:p>
    <w:p>
      <w:pPr>
        <w:pStyle w:val="5"/>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bookmarkStart w:id="394" w:name="_Toc465665161"/>
      <w:r>
        <w:rPr>
          <w:rFonts w:hint="eastAsia" w:ascii="宋体" w:hAnsi="宋体" w:eastAsia="宋体" w:cs="宋体"/>
          <w:color w:val="auto"/>
          <w:highlight w:val="none"/>
        </w:rPr>
        <w:t>附件</w:t>
      </w:r>
      <w:bookmarkEnd w:id="394"/>
    </w:p>
    <w:p>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pPr>
        <w:spacing w:line="360" w:lineRule="auto"/>
        <w:jc w:val="center"/>
        <w:rPr>
          <w:rFonts w:hint="eastAsia" w:ascii="宋体" w:hAnsi="宋体" w:eastAsia="宋体" w:cs="宋体"/>
          <w:b/>
          <w:color w:val="auto"/>
          <w:spacing w:val="6"/>
          <w:sz w:val="32"/>
          <w:szCs w:val="32"/>
          <w:highlight w:val="none"/>
        </w:rPr>
      </w:pPr>
      <w:bookmarkStart w:id="395" w:name="OLE_LINK13"/>
      <w:bookmarkStart w:id="396" w:name="OLE_LINK14"/>
      <w:r>
        <w:rPr>
          <w:rFonts w:hint="eastAsia" w:ascii="宋体" w:hAnsi="宋体" w:eastAsia="宋体" w:cs="宋体"/>
          <w:b/>
          <w:color w:val="auto"/>
          <w:spacing w:val="6"/>
          <w:sz w:val="32"/>
          <w:szCs w:val="32"/>
          <w:highlight w:val="none"/>
        </w:rPr>
        <w:t>残疾人福利性单位声明函</w:t>
      </w:r>
    </w:p>
    <w:bookmarkEnd w:id="395"/>
    <w:bookmarkEnd w:id="396"/>
    <w:p>
      <w:pPr>
        <w:spacing w:line="360" w:lineRule="auto"/>
        <w:rPr>
          <w:rFonts w:hint="eastAsia" w:ascii="宋体" w:hAnsi="宋体" w:eastAsia="宋体" w:cs="宋体"/>
          <w:b/>
          <w:color w:val="auto"/>
          <w:spacing w:val="6"/>
          <w:sz w:val="30"/>
          <w:szCs w:val="30"/>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你方组织的（项目名称）项目【招标编号：（采购编号）】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0" b="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pPr>
                        <w:jc w:val="center"/>
                      </w:pPr>
                    </w:p>
                  </w:txbxContent>
                </v:textbox>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pPr>
                        <w:jc w:val="center"/>
                      </w:pPr>
                    </w:p>
                  </w:txbxContent>
                </v:textbox>
              </v:rect>
            </w:pict>
          </mc:Fallback>
        </mc:AlternateConten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sz w:val="32"/>
          <w:szCs w:val="32"/>
          <w:highlight w:val="none"/>
        </w:rPr>
        <w:t>中小企业声明函</w:t>
      </w:r>
    </w:p>
    <w:p>
      <w:pPr>
        <w:spacing w:line="360" w:lineRule="auto"/>
        <w:jc w:val="center"/>
        <w:rPr>
          <w:rFonts w:hint="eastAsia" w:ascii="宋体" w:hAnsi="宋体" w:eastAsia="宋体" w:cs="宋体"/>
          <w:color w:val="auto"/>
          <w:sz w:val="24"/>
          <w:highlight w:val="none"/>
          <w:u w:val="singl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中小企业声明函（工程、服务）</w:t>
      </w:r>
    </w:p>
    <w:p>
      <w:pPr>
        <w:spacing w:line="360" w:lineRule="auto"/>
        <w:rPr>
          <w:rFonts w:hint="eastAsia" w:ascii="宋体" w:hAnsi="宋体" w:eastAsia="宋体" w:cs="宋体"/>
          <w:color w:val="auto"/>
          <w:highlight w:val="none"/>
        </w:rPr>
      </w:pPr>
    </w:p>
    <w:p>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pPr>
        <w:spacing w:line="360" w:lineRule="auto"/>
        <w:ind w:right="420"/>
        <w:rPr>
          <w:rFonts w:hint="eastAsia" w:ascii="宋体" w:hAnsi="宋体" w:eastAsia="宋体" w:cs="宋体"/>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6"/>
        <w:rPr>
          <w:rFonts w:hint="eastAsia" w:ascii="宋体" w:hAnsi="宋体" w:eastAsia="宋体" w:cs="宋体"/>
          <w:color w:val="auto"/>
          <w:highlight w:val="none"/>
          <w:lang w:val="en-US"/>
        </w:rPr>
      </w:pPr>
    </w:p>
    <w:p>
      <w:pPr>
        <w:spacing w:line="360" w:lineRule="auto"/>
        <w:ind w:right="420"/>
        <w:rPr>
          <w:rFonts w:hint="eastAsia" w:ascii="宋体" w:hAnsi="宋体" w:eastAsia="宋体" w:cs="宋体"/>
          <w:color w:val="auto"/>
          <w:highlight w:val="none"/>
        </w:rPr>
      </w:pPr>
    </w:p>
    <w:p>
      <w:pPr>
        <w:spacing w:line="360" w:lineRule="auto"/>
        <w:rPr>
          <w:rFonts w:hint="eastAsia" w:ascii="宋体" w:hAnsi="宋体" w:eastAsia="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altName w:val="NumberOnly"/>
    <w:panose1 w:val="020B0502020202020204"/>
    <w:charset w:val="00"/>
    <w:family w:val="auto"/>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397" w:name="_Toc131845147"/>
    <w:bookmarkStart w:id="398" w:name="_Toc164085800"/>
    <w:bookmarkStart w:id="399" w:name="_Toc91899912"/>
    <w:bookmarkStart w:id="400" w:name="_Toc36110187"/>
    <w:r>
      <w:rPr>
        <w:rFonts w:hint="eastAsia" w:ascii="仿宋_GB2312" w:eastAsia="仿宋_GB2312"/>
        <w:kern w:val="0"/>
        <w:szCs w:val="21"/>
      </w:rPr>
      <w:t xml:space="preserve"> 页</w:t>
    </w:r>
    <w:bookmarkEnd w:id="397"/>
    <w:bookmarkEnd w:id="398"/>
    <w:bookmarkEnd w:id="399"/>
    <w:bookmarkEnd w:id="4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w:t>
    </w:r>
    <w:r>
      <w:t>杭州市政府采购公开招标文件</w:t>
    </w:r>
  </w:p>
  <w:p>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845A9"/>
    <w:multiLevelType w:val="singleLevel"/>
    <w:tmpl w:val="865845A9"/>
    <w:lvl w:ilvl="0" w:tentative="0">
      <w:start w:val="1"/>
      <w:numFmt w:val="decimal"/>
      <w:suff w:val="nothing"/>
      <w:lvlText w:val="%1）"/>
      <w:lvlJc w:val="left"/>
    </w:lvl>
  </w:abstractNum>
  <w:abstractNum w:abstractNumId="1">
    <w:nsid w:val="ADB62350"/>
    <w:multiLevelType w:val="singleLevel"/>
    <w:tmpl w:val="ADB62350"/>
    <w:lvl w:ilvl="0" w:tentative="0">
      <w:start w:val="1"/>
      <w:numFmt w:val="chineseCounting"/>
      <w:suff w:val="nothing"/>
      <w:lvlText w:val="%1、"/>
      <w:lvlJc w:val="left"/>
      <w:rPr>
        <w:rFonts w:hint="eastAsia"/>
      </w:rPr>
    </w:lvl>
  </w:abstractNum>
  <w:abstractNum w:abstractNumId="2">
    <w:nsid w:val="F335B78A"/>
    <w:multiLevelType w:val="singleLevel"/>
    <w:tmpl w:val="F335B78A"/>
    <w:lvl w:ilvl="0" w:tentative="0">
      <w:start w:val="1"/>
      <w:numFmt w:val="decimal"/>
      <w:suff w:val="nothing"/>
      <w:lvlText w:val="%1）"/>
      <w:lvlJc w:val="left"/>
    </w:lvl>
  </w:abstractNum>
  <w:abstractNum w:abstractNumId="3">
    <w:nsid w:val="F59D58E8"/>
    <w:multiLevelType w:val="singleLevel"/>
    <w:tmpl w:val="F59D58E8"/>
    <w:lvl w:ilvl="0" w:tentative="0">
      <w:start w:val="1"/>
      <w:numFmt w:val="decimal"/>
      <w:suff w:val="nothing"/>
      <w:lvlText w:val="（%1）"/>
      <w:lvlJc w:val="left"/>
    </w:lvl>
  </w:abstractNum>
  <w:abstractNum w:abstractNumId="4">
    <w:nsid w:val="59BF248F"/>
    <w:multiLevelType w:val="singleLevel"/>
    <w:tmpl w:val="59BF248F"/>
    <w:lvl w:ilvl="0" w:tentative="0">
      <w:start w:val="1"/>
      <w:numFmt w:val="decimal"/>
      <w:suff w:val="nothing"/>
      <w:lvlText w:val="%1."/>
      <w:lvlJc w:val="left"/>
    </w:lvl>
  </w:abstractNum>
  <w:abstractNum w:abstractNumId="5">
    <w:nsid w:val="59BF24C6"/>
    <w:multiLevelType w:val="singleLevel"/>
    <w:tmpl w:val="59BF24C6"/>
    <w:lvl w:ilvl="0" w:tentative="0">
      <w:start w:val="1"/>
      <w:numFmt w:val="decimal"/>
      <w:suff w:val="nothing"/>
      <w:lvlText w:val="%1."/>
      <w:lvlJc w:val="left"/>
    </w:lvl>
  </w:abstractNum>
  <w:abstractNum w:abstractNumId="6">
    <w:nsid w:val="59BF2569"/>
    <w:multiLevelType w:val="singleLevel"/>
    <w:tmpl w:val="59BF2569"/>
    <w:lvl w:ilvl="0" w:tentative="0">
      <w:start w:val="1"/>
      <w:numFmt w:val="decimal"/>
      <w:suff w:val="nothing"/>
      <w:lvlText w:val="%1."/>
      <w:lvlJc w:val="left"/>
    </w:lvl>
  </w:abstractNum>
  <w:abstractNum w:abstractNumId="7">
    <w:nsid w:val="59BF25A1"/>
    <w:multiLevelType w:val="singleLevel"/>
    <w:tmpl w:val="59BF25A1"/>
    <w:lvl w:ilvl="0" w:tentative="0">
      <w:start w:val="1"/>
      <w:numFmt w:val="decimal"/>
      <w:suff w:val="nothing"/>
      <w:lvlText w:val="%1."/>
      <w:lvlJc w:val="left"/>
    </w:lvl>
  </w:abstractNum>
  <w:abstractNum w:abstractNumId="8">
    <w:nsid w:val="59BF25FA"/>
    <w:multiLevelType w:val="singleLevel"/>
    <w:tmpl w:val="59BF25FA"/>
    <w:lvl w:ilvl="0" w:tentative="0">
      <w:start w:val="1"/>
      <w:numFmt w:val="decimal"/>
      <w:suff w:val="nothing"/>
      <w:lvlText w:val="%1."/>
      <w:lvlJc w:val="left"/>
    </w:lvl>
  </w:abstractNum>
  <w:abstractNum w:abstractNumId="9">
    <w:nsid w:val="59BF2713"/>
    <w:multiLevelType w:val="singleLevel"/>
    <w:tmpl w:val="59BF2713"/>
    <w:lvl w:ilvl="0" w:tentative="0">
      <w:start w:val="1"/>
      <w:numFmt w:val="decimal"/>
      <w:suff w:val="nothing"/>
      <w:lvlText w:val="%1."/>
      <w:lvlJc w:val="left"/>
    </w:lvl>
  </w:abstractNum>
  <w:abstractNum w:abstractNumId="10">
    <w:nsid w:val="59BF2736"/>
    <w:multiLevelType w:val="singleLevel"/>
    <w:tmpl w:val="59BF2736"/>
    <w:lvl w:ilvl="0" w:tentative="0">
      <w:start w:val="1"/>
      <w:numFmt w:val="decimal"/>
      <w:suff w:val="nothing"/>
      <w:lvlText w:val="%1."/>
      <w:lvlJc w:val="left"/>
    </w:lvl>
  </w:abstractNum>
  <w:abstractNum w:abstractNumId="11">
    <w:nsid w:val="59BF275F"/>
    <w:multiLevelType w:val="singleLevel"/>
    <w:tmpl w:val="59BF275F"/>
    <w:lvl w:ilvl="0" w:tentative="0">
      <w:start w:val="1"/>
      <w:numFmt w:val="decimal"/>
      <w:suff w:val="nothing"/>
      <w:lvlText w:val="%1."/>
      <w:lvlJc w:val="left"/>
    </w:lvl>
  </w:abstractNum>
  <w:abstractNum w:abstractNumId="12">
    <w:nsid w:val="59BF2777"/>
    <w:multiLevelType w:val="singleLevel"/>
    <w:tmpl w:val="59BF2777"/>
    <w:lvl w:ilvl="0" w:tentative="0">
      <w:start w:val="1"/>
      <w:numFmt w:val="decimal"/>
      <w:suff w:val="nothing"/>
      <w:lvlText w:val="%1."/>
      <w:lvlJc w:val="left"/>
    </w:lvl>
  </w:abstractNum>
  <w:abstractNum w:abstractNumId="13">
    <w:nsid w:val="59BF279C"/>
    <w:multiLevelType w:val="singleLevel"/>
    <w:tmpl w:val="59BF279C"/>
    <w:lvl w:ilvl="0" w:tentative="0">
      <w:start w:val="1"/>
      <w:numFmt w:val="decimal"/>
      <w:suff w:val="nothing"/>
      <w:lvlText w:val="%1."/>
      <w:lvlJc w:val="left"/>
    </w:lvl>
  </w:abstractNum>
  <w:abstractNum w:abstractNumId="14">
    <w:nsid w:val="59BF27B9"/>
    <w:multiLevelType w:val="singleLevel"/>
    <w:tmpl w:val="59BF27B9"/>
    <w:lvl w:ilvl="0" w:tentative="0">
      <w:start w:val="1"/>
      <w:numFmt w:val="decimal"/>
      <w:suff w:val="nothing"/>
      <w:lvlText w:val="%1."/>
      <w:lvlJc w:val="left"/>
    </w:lvl>
  </w:abstractNum>
  <w:abstractNum w:abstractNumId="15">
    <w:nsid w:val="5E7C160A"/>
    <w:multiLevelType w:val="singleLevel"/>
    <w:tmpl w:val="5E7C160A"/>
    <w:lvl w:ilvl="0" w:tentative="0">
      <w:start w:val="1"/>
      <w:numFmt w:val="decimal"/>
      <w:suff w:val="nothing"/>
      <w:lvlText w:val="%1."/>
      <w:lvlJc w:val="left"/>
    </w:lvl>
  </w:abstractNum>
  <w:abstractNum w:abstractNumId="16">
    <w:nsid w:val="601AB719"/>
    <w:multiLevelType w:val="singleLevel"/>
    <w:tmpl w:val="601AB719"/>
    <w:lvl w:ilvl="0" w:tentative="0">
      <w:start w:val="2"/>
      <w:numFmt w:val="decimal"/>
      <w:suff w:val="nothing"/>
      <w:lvlText w:val="%1、"/>
      <w:lvlJc w:val="left"/>
    </w:lvl>
  </w:abstractNum>
  <w:abstractNum w:abstractNumId="17">
    <w:nsid w:val="63F824D2"/>
    <w:multiLevelType w:val="singleLevel"/>
    <w:tmpl w:val="63F824D2"/>
    <w:lvl w:ilvl="0" w:tentative="0">
      <w:start w:val="3"/>
      <w:numFmt w:val="chineseCounting"/>
      <w:suff w:val="space"/>
      <w:lvlText w:val="第%1部分"/>
      <w:lvlJc w:val="left"/>
      <w:rPr>
        <w:rFonts w:hint="eastAsia"/>
      </w:rPr>
    </w:lvl>
  </w:abstractNum>
  <w:num w:numId="1">
    <w:abstractNumId w:val="1"/>
  </w:num>
  <w:num w:numId="2">
    <w:abstractNumId w:val="17"/>
  </w:num>
  <w:num w:numId="3">
    <w:abstractNumId w:val="15"/>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6"/>
  </w:num>
  <w:num w:numId="16">
    <w:abstractNumId w:val="2"/>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F3B4F"/>
    <w:rsid w:val="011F6449"/>
    <w:rsid w:val="01236AFB"/>
    <w:rsid w:val="019451DA"/>
    <w:rsid w:val="019F7441"/>
    <w:rsid w:val="01B37585"/>
    <w:rsid w:val="01BA1319"/>
    <w:rsid w:val="01D55165"/>
    <w:rsid w:val="01DF6BF8"/>
    <w:rsid w:val="01E15354"/>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E36894"/>
    <w:rsid w:val="060E5941"/>
    <w:rsid w:val="06110FAF"/>
    <w:rsid w:val="06493CA7"/>
    <w:rsid w:val="065A6178"/>
    <w:rsid w:val="066F1CF3"/>
    <w:rsid w:val="06930BB8"/>
    <w:rsid w:val="07245D42"/>
    <w:rsid w:val="07264C62"/>
    <w:rsid w:val="0779354C"/>
    <w:rsid w:val="07AA2823"/>
    <w:rsid w:val="07D73528"/>
    <w:rsid w:val="08061376"/>
    <w:rsid w:val="081F7F59"/>
    <w:rsid w:val="08452D77"/>
    <w:rsid w:val="0849203C"/>
    <w:rsid w:val="086401F8"/>
    <w:rsid w:val="08751CAA"/>
    <w:rsid w:val="087E4C40"/>
    <w:rsid w:val="08D66AD6"/>
    <w:rsid w:val="08DA33A3"/>
    <w:rsid w:val="08E11701"/>
    <w:rsid w:val="08E80F13"/>
    <w:rsid w:val="08F47AEB"/>
    <w:rsid w:val="09012EFA"/>
    <w:rsid w:val="09335624"/>
    <w:rsid w:val="094445B2"/>
    <w:rsid w:val="0944690F"/>
    <w:rsid w:val="09535675"/>
    <w:rsid w:val="095F057D"/>
    <w:rsid w:val="09642282"/>
    <w:rsid w:val="09733572"/>
    <w:rsid w:val="09772C16"/>
    <w:rsid w:val="097A0F86"/>
    <w:rsid w:val="098353B5"/>
    <w:rsid w:val="09A92330"/>
    <w:rsid w:val="09B06B87"/>
    <w:rsid w:val="09C13146"/>
    <w:rsid w:val="09E04166"/>
    <w:rsid w:val="0A1C0718"/>
    <w:rsid w:val="0A3E7710"/>
    <w:rsid w:val="0A5B7E63"/>
    <w:rsid w:val="0A642BB8"/>
    <w:rsid w:val="0AA374A5"/>
    <w:rsid w:val="0AAB7649"/>
    <w:rsid w:val="0ABC5606"/>
    <w:rsid w:val="0B30404E"/>
    <w:rsid w:val="0B4C6C14"/>
    <w:rsid w:val="0B631A88"/>
    <w:rsid w:val="0B683D45"/>
    <w:rsid w:val="0B7F3F11"/>
    <w:rsid w:val="0B884417"/>
    <w:rsid w:val="0BB56FE4"/>
    <w:rsid w:val="0BF6188C"/>
    <w:rsid w:val="0BF73C91"/>
    <w:rsid w:val="0C117D32"/>
    <w:rsid w:val="0C170175"/>
    <w:rsid w:val="0C571A41"/>
    <w:rsid w:val="0C5C1171"/>
    <w:rsid w:val="0C5E1CBC"/>
    <w:rsid w:val="0C615B50"/>
    <w:rsid w:val="0C8445DA"/>
    <w:rsid w:val="0C87121B"/>
    <w:rsid w:val="0CC007F7"/>
    <w:rsid w:val="0CC62AA3"/>
    <w:rsid w:val="0CFE707A"/>
    <w:rsid w:val="0D063BDA"/>
    <w:rsid w:val="0D08375F"/>
    <w:rsid w:val="0D184CFB"/>
    <w:rsid w:val="0D4A7419"/>
    <w:rsid w:val="0D827401"/>
    <w:rsid w:val="0D84094E"/>
    <w:rsid w:val="0D8A00E9"/>
    <w:rsid w:val="0D8D589E"/>
    <w:rsid w:val="0DA01C73"/>
    <w:rsid w:val="0DA6235F"/>
    <w:rsid w:val="0DD2300E"/>
    <w:rsid w:val="0DD63300"/>
    <w:rsid w:val="0DF50604"/>
    <w:rsid w:val="0DF702FE"/>
    <w:rsid w:val="0E060E51"/>
    <w:rsid w:val="0E5604B2"/>
    <w:rsid w:val="0E6D5D79"/>
    <w:rsid w:val="0E9D0089"/>
    <w:rsid w:val="0EB803EE"/>
    <w:rsid w:val="0EE815E2"/>
    <w:rsid w:val="0EF94D4B"/>
    <w:rsid w:val="0F4958DC"/>
    <w:rsid w:val="0F515DF7"/>
    <w:rsid w:val="0F596BA8"/>
    <w:rsid w:val="0F6248D2"/>
    <w:rsid w:val="0F693536"/>
    <w:rsid w:val="0F7B0511"/>
    <w:rsid w:val="0F7B76D9"/>
    <w:rsid w:val="0F816ACD"/>
    <w:rsid w:val="0F9832DB"/>
    <w:rsid w:val="0FBF3FD2"/>
    <w:rsid w:val="0FBF7FF3"/>
    <w:rsid w:val="10460ECD"/>
    <w:rsid w:val="10646583"/>
    <w:rsid w:val="107D4B15"/>
    <w:rsid w:val="108A3C80"/>
    <w:rsid w:val="109F0AC7"/>
    <w:rsid w:val="10C26171"/>
    <w:rsid w:val="10F33360"/>
    <w:rsid w:val="10FC16EA"/>
    <w:rsid w:val="110F1D40"/>
    <w:rsid w:val="11266F33"/>
    <w:rsid w:val="118963A1"/>
    <w:rsid w:val="11A55E09"/>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1F6008"/>
    <w:rsid w:val="146D271E"/>
    <w:rsid w:val="14982588"/>
    <w:rsid w:val="149A5AD9"/>
    <w:rsid w:val="14A7619D"/>
    <w:rsid w:val="150536C3"/>
    <w:rsid w:val="150C1963"/>
    <w:rsid w:val="151447A0"/>
    <w:rsid w:val="154A6454"/>
    <w:rsid w:val="15762120"/>
    <w:rsid w:val="16A8729C"/>
    <w:rsid w:val="16B33777"/>
    <w:rsid w:val="16BC70A7"/>
    <w:rsid w:val="16C6339E"/>
    <w:rsid w:val="16C66908"/>
    <w:rsid w:val="16E95660"/>
    <w:rsid w:val="172F2D79"/>
    <w:rsid w:val="17557BEF"/>
    <w:rsid w:val="178C5650"/>
    <w:rsid w:val="17BF5F86"/>
    <w:rsid w:val="17D349C1"/>
    <w:rsid w:val="1830729E"/>
    <w:rsid w:val="1870062C"/>
    <w:rsid w:val="18817102"/>
    <w:rsid w:val="18830A15"/>
    <w:rsid w:val="18852B28"/>
    <w:rsid w:val="188B5321"/>
    <w:rsid w:val="19932372"/>
    <w:rsid w:val="19A20DD5"/>
    <w:rsid w:val="19AE03F1"/>
    <w:rsid w:val="1A023DF9"/>
    <w:rsid w:val="1A071A03"/>
    <w:rsid w:val="1A1F16AE"/>
    <w:rsid w:val="1A3B5C77"/>
    <w:rsid w:val="1A984BAD"/>
    <w:rsid w:val="1AB8220E"/>
    <w:rsid w:val="1ABF0FF7"/>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816151"/>
    <w:rsid w:val="1D9247AE"/>
    <w:rsid w:val="1DB567EC"/>
    <w:rsid w:val="1DBF6192"/>
    <w:rsid w:val="1DF51A98"/>
    <w:rsid w:val="1E3D060F"/>
    <w:rsid w:val="1E3F7D2E"/>
    <w:rsid w:val="1E4134E4"/>
    <w:rsid w:val="1E5062B3"/>
    <w:rsid w:val="1E523514"/>
    <w:rsid w:val="1E714A66"/>
    <w:rsid w:val="1E802593"/>
    <w:rsid w:val="1EA703CC"/>
    <w:rsid w:val="1EB7330C"/>
    <w:rsid w:val="1F0A0FF3"/>
    <w:rsid w:val="1F5771FF"/>
    <w:rsid w:val="1F771C14"/>
    <w:rsid w:val="1FE868A9"/>
    <w:rsid w:val="20034907"/>
    <w:rsid w:val="20173E4B"/>
    <w:rsid w:val="204E48BC"/>
    <w:rsid w:val="208921B3"/>
    <w:rsid w:val="20973DEB"/>
    <w:rsid w:val="20B26522"/>
    <w:rsid w:val="20B44310"/>
    <w:rsid w:val="211116EB"/>
    <w:rsid w:val="211641D5"/>
    <w:rsid w:val="216133FC"/>
    <w:rsid w:val="21CE589C"/>
    <w:rsid w:val="21D56769"/>
    <w:rsid w:val="21E52EF3"/>
    <w:rsid w:val="21E93F72"/>
    <w:rsid w:val="21FB5D7B"/>
    <w:rsid w:val="220B1C3D"/>
    <w:rsid w:val="221D1D20"/>
    <w:rsid w:val="22334A87"/>
    <w:rsid w:val="2245341D"/>
    <w:rsid w:val="22BE6801"/>
    <w:rsid w:val="233500BF"/>
    <w:rsid w:val="23377FF7"/>
    <w:rsid w:val="23515DF1"/>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A78C3"/>
    <w:rsid w:val="253D662D"/>
    <w:rsid w:val="258B00E2"/>
    <w:rsid w:val="25A917A6"/>
    <w:rsid w:val="25BE27CC"/>
    <w:rsid w:val="25F74A5C"/>
    <w:rsid w:val="2628662C"/>
    <w:rsid w:val="262D45DE"/>
    <w:rsid w:val="26A53EF9"/>
    <w:rsid w:val="26A94201"/>
    <w:rsid w:val="26AC274F"/>
    <w:rsid w:val="27044A29"/>
    <w:rsid w:val="271D34C8"/>
    <w:rsid w:val="27256712"/>
    <w:rsid w:val="276142BF"/>
    <w:rsid w:val="27783712"/>
    <w:rsid w:val="27907362"/>
    <w:rsid w:val="28333E1D"/>
    <w:rsid w:val="28454BD6"/>
    <w:rsid w:val="28455253"/>
    <w:rsid w:val="28551971"/>
    <w:rsid w:val="285B1C53"/>
    <w:rsid w:val="289B4B81"/>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BFF1D8B"/>
    <w:rsid w:val="2C09049E"/>
    <w:rsid w:val="2C0A653C"/>
    <w:rsid w:val="2C191F85"/>
    <w:rsid w:val="2CBB4911"/>
    <w:rsid w:val="2CE82D6F"/>
    <w:rsid w:val="2D343236"/>
    <w:rsid w:val="2DD15014"/>
    <w:rsid w:val="2DF72DE4"/>
    <w:rsid w:val="2E0220AF"/>
    <w:rsid w:val="2E4B082A"/>
    <w:rsid w:val="2E4B710B"/>
    <w:rsid w:val="2E5D4E86"/>
    <w:rsid w:val="2E5D790B"/>
    <w:rsid w:val="2E9A3C18"/>
    <w:rsid w:val="2EBB0FEE"/>
    <w:rsid w:val="2EC63002"/>
    <w:rsid w:val="2F0A6B38"/>
    <w:rsid w:val="2F946CCB"/>
    <w:rsid w:val="2FD25781"/>
    <w:rsid w:val="2FFD7934"/>
    <w:rsid w:val="30733ACD"/>
    <w:rsid w:val="308C3862"/>
    <w:rsid w:val="309379D8"/>
    <w:rsid w:val="30A270F7"/>
    <w:rsid w:val="30D57F70"/>
    <w:rsid w:val="30D910F0"/>
    <w:rsid w:val="30DF1478"/>
    <w:rsid w:val="30EC586F"/>
    <w:rsid w:val="319C6071"/>
    <w:rsid w:val="31AC537E"/>
    <w:rsid w:val="31E3679B"/>
    <w:rsid w:val="31E732FD"/>
    <w:rsid w:val="31FB3BEE"/>
    <w:rsid w:val="32517576"/>
    <w:rsid w:val="32AB4D4D"/>
    <w:rsid w:val="32B93BE1"/>
    <w:rsid w:val="32BE5C2C"/>
    <w:rsid w:val="32FB6478"/>
    <w:rsid w:val="33263B3F"/>
    <w:rsid w:val="336963EB"/>
    <w:rsid w:val="33816EEB"/>
    <w:rsid w:val="338F55F3"/>
    <w:rsid w:val="33AB42D4"/>
    <w:rsid w:val="33AB6E04"/>
    <w:rsid w:val="33EB55CD"/>
    <w:rsid w:val="33EC4C02"/>
    <w:rsid w:val="340D2360"/>
    <w:rsid w:val="3410665D"/>
    <w:rsid w:val="34211214"/>
    <w:rsid w:val="342E63AB"/>
    <w:rsid w:val="34303663"/>
    <w:rsid w:val="343D057B"/>
    <w:rsid w:val="34950E68"/>
    <w:rsid w:val="34986E94"/>
    <w:rsid w:val="34AF62C9"/>
    <w:rsid w:val="34CB4388"/>
    <w:rsid w:val="34FA6E12"/>
    <w:rsid w:val="35016021"/>
    <w:rsid w:val="358D5588"/>
    <w:rsid w:val="363A3B40"/>
    <w:rsid w:val="365302AE"/>
    <w:rsid w:val="36607A0A"/>
    <w:rsid w:val="366E227C"/>
    <w:rsid w:val="366F2E0D"/>
    <w:rsid w:val="367B6A5C"/>
    <w:rsid w:val="36A74ADA"/>
    <w:rsid w:val="36AD60D5"/>
    <w:rsid w:val="36B224F9"/>
    <w:rsid w:val="36EC0CC9"/>
    <w:rsid w:val="3737440E"/>
    <w:rsid w:val="373F410B"/>
    <w:rsid w:val="37606C26"/>
    <w:rsid w:val="379320DC"/>
    <w:rsid w:val="37EE7094"/>
    <w:rsid w:val="38296C89"/>
    <w:rsid w:val="383002EB"/>
    <w:rsid w:val="38586797"/>
    <w:rsid w:val="38BC0149"/>
    <w:rsid w:val="38D87D1C"/>
    <w:rsid w:val="394F6A60"/>
    <w:rsid w:val="39636459"/>
    <w:rsid w:val="396B7F6C"/>
    <w:rsid w:val="39B417A9"/>
    <w:rsid w:val="39FC5695"/>
    <w:rsid w:val="3A006D8E"/>
    <w:rsid w:val="3A3651E5"/>
    <w:rsid w:val="3A744481"/>
    <w:rsid w:val="3A8C7BEF"/>
    <w:rsid w:val="3A906246"/>
    <w:rsid w:val="3B11572B"/>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D6D5C"/>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0510"/>
    <w:rsid w:val="43174B3D"/>
    <w:rsid w:val="434B790E"/>
    <w:rsid w:val="4360274F"/>
    <w:rsid w:val="43707776"/>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7C288A"/>
    <w:rsid w:val="46893F2B"/>
    <w:rsid w:val="46C4686E"/>
    <w:rsid w:val="475064D9"/>
    <w:rsid w:val="477B778F"/>
    <w:rsid w:val="478203EC"/>
    <w:rsid w:val="47B025FA"/>
    <w:rsid w:val="47E013C4"/>
    <w:rsid w:val="4809698F"/>
    <w:rsid w:val="4811697D"/>
    <w:rsid w:val="487A3E25"/>
    <w:rsid w:val="488B5503"/>
    <w:rsid w:val="48937E21"/>
    <w:rsid w:val="489A0361"/>
    <w:rsid w:val="48B94FF3"/>
    <w:rsid w:val="48E37AAB"/>
    <w:rsid w:val="48FD4B4C"/>
    <w:rsid w:val="490A68E0"/>
    <w:rsid w:val="491055FE"/>
    <w:rsid w:val="495F5B3E"/>
    <w:rsid w:val="496F77D7"/>
    <w:rsid w:val="497654FD"/>
    <w:rsid w:val="498429AA"/>
    <w:rsid w:val="49B64211"/>
    <w:rsid w:val="49F6167F"/>
    <w:rsid w:val="4A064FA0"/>
    <w:rsid w:val="4A16615C"/>
    <w:rsid w:val="4A4424D7"/>
    <w:rsid w:val="4A6B7C50"/>
    <w:rsid w:val="4AB82D0F"/>
    <w:rsid w:val="4AEB7664"/>
    <w:rsid w:val="4AF6258E"/>
    <w:rsid w:val="4AFD7C19"/>
    <w:rsid w:val="4B0567D1"/>
    <w:rsid w:val="4B1B18ED"/>
    <w:rsid w:val="4B236AAE"/>
    <w:rsid w:val="4B707271"/>
    <w:rsid w:val="4B9739F7"/>
    <w:rsid w:val="4BEE2503"/>
    <w:rsid w:val="4C245A30"/>
    <w:rsid w:val="4CB6685F"/>
    <w:rsid w:val="4CC367FE"/>
    <w:rsid w:val="4D077F3C"/>
    <w:rsid w:val="4D123355"/>
    <w:rsid w:val="4D260D93"/>
    <w:rsid w:val="4D2A3B31"/>
    <w:rsid w:val="4D312C52"/>
    <w:rsid w:val="4D461C73"/>
    <w:rsid w:val="4D905305"/>
    <w:rsid w:val="4D964A72"/>
    <w:rsid w:val="4D9C1254"/>
    <w:rsid w:val="4E3E0B1E"/>
    <w:rsid w:val="4E6D66C7"/>
    <w:rsid w:val="4E76105A"/>
    <w:rsid w:val="4E793892"/>
    <w:rsid w:val="4E800872"/>
    <w:rsid w:val="4EC569ED"/>
    <w:rsid w:val="4ED50EA1"/>
    <w:rsid w:val="4EEC050C"/>
    <w:rsid w:val="4F104EC3"/>
    <w:rsid w:val="4F47354A"/>
    <w:rsid w:val="4F911C54"/>
    <w:rsid w:val="4FC87F99"/>
    <w:rsid w:val="4FE41CC0"/>
    <w:rsid w:val="4FE625E0"/>
    <w:rsid w:val="5021480F"/>
    <w:rsid w:val="503724AD"/>
    <w:rsid w:val="50750E8F"/>
    <w:rsid w:val="50962ECB"/>
    <w:rsid w:val="50A42E38"/>
    <w:rsid w:val="50A4577F"/>
    <w:rsid w:val="50B73D1F"/>
    <w:rsid w:val="50BD5BC9"/>
    <w:rsid w:val="50C11EEE"/>
    <w:rsid w:val="50E97CFC"/>
    <w:rsid w:val="50F525C8"/>
    <w:rsid w:val="50FA4028"/>
    <w:rsid w:val="510D65B7"/>
    <w:rsid w:val="511157AB"/>
    <w:rsid w:val="5142540C"/>
    <w:rsid w:val="518832C8"/>
    <w:rsid w:val="51966964"/>
    <w:rsid w:val="51A0432A"/>
    <w:rsid w:val="51A86090"/>
    <w:rsid w:val="51B7396D"/>
    <w:rsid w:val="522E4CC3"/>
    <w:rsid w:val="5244713B"/>
    <w:rsid w:val="52615633"/>
    <w:rsid w:val="52977FD4"/>
    <w:rsid w:val="52A20C63"/>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6E0802"/>
    <w:rsid w:val="557A4C8B"/>
    <w:rsid w:val="558931E1"/>
    <w:rsid w:val="55923347"/>
    <w:rsid w:val="55925180"/>
    <w:rsid w:val="55970E8B"/>
    <w:rsid w:val="55983B1B"/>
    <w:rsid w:val="55A8376B"/>
    <w:rsid w:val="55C2414A"/>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9F73C0"/>
    <w:rsid w:val="59F80043"/>
    <w:rsid w:val="5A09252F"/>
    <w:rsid w:val="5A0B2778"/>
    <w:rsid w:val="5A2A7C7B"/>
    <w:rsid w:val="5A3E2560"/>
    <w:rsid w:val="5A5D3B6E"/>
    <w:rsid w:val="5A637A76"/>
    <w:rsid w:val="5A6D33BA"/>
    <w:rsid w:val="5A792B1F"/>
    <w:rsid w:val="5A874767"/>
    <w:rsid w:val="5AAD6F28"/>
    <w:rsid w:val="5AD50114"/>
    <w:rsid w:val="5AD63A24"/>
    <w:rsid w:val="5B2E1A1D"/>
    <w:rsid w:val="5B843A1C"/>
    <w:rsid w:val="5B873E3F"/>
    <w:rsid w:val="5C02690E"/>
    <w:rsid w:val="5C196DA7"/>
    <w:rsid w:val="5C2A048C"/>
    <w:rsid w:val="5C80234E"/>
    <w:rsid w:val="5C8A680C"/>
    <w:rsid w:val="5C964CAD"/>
    <w:rsid w:val="5D0C4701"/>
    <w:rsid w:val="5D0F0395"/>
    <w:rsid w:val="5D170F36"/>
    <w:rsid w:val="5D221076"/>
    <w:rsid w:val="5D26732D"/>
    <w:rsid w:val="5D2D5D20"/>
    <w:rsid w:val="5D397964"/>
    <w:rsid w:val="5D5A391C"/>
    <w:rsid w:val="5D5F10C0"/>
    <w:rsid w:val="5D5F17A5"/>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011A2A"/>
    <w:rsid w:val="60232584"/>
    <w:rsid w:val="607330CE"/>
    <w:rsid w:val="60825176"/>
    <w:rsid w:val="609F2AC4"/>
    <w:rsid w:val="60FA2EE8"/>
    <w:rsid w:val="61054A27"/>
    <w:rsid w:val="610A52BC"/>
    <w:rsid w:val="611D2366"/>
    <w:rsid w:val="61421856"/>
    <w:rsid w:val="615227C4"/>
    <w:rsid w:val="61654E3F"/>
    <w:rsid w:val="6182292A"/>
    <w:rsid w:val="619F7F92"/>
    <w:rsid w:val="61B7248C"/>
    <w:rsid w:val="61F94C26"/>
    <w:rsid w:val="62000E56"/>
    <w:rsid w:val="620152D8"/>
    <w:rsid w:val="622301BA"/>
    <w:rsid w:val="624F3E49"/>
    <w:rsid w:val="62632286"/>
    <w:rsid w:val="62885958"/>
    <w:rsid w:val="62F40B65"/>
    <w:rsid w:val="62FC2CFE"/>
    <w:rsid w:val="63024505"/>
    <w:rsid w:val="63501431"/>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5C56262"/>
    <w:rsid w:val="66195831"/>
    <w:rsid w:val="662E75B1"/>
    <w:rsid w:val="66342C2E"/>
    <w:rsid w:val="663D3CE4"/>
    <w:rsid w:val="663E784C"/>
    <w:rsid w:val="668B6A45"/>
    <w:rsid w:val="672F3F24"/>
    <w:rsid w:val="673632F5"/>
    <w:rsid w:val="673E055F"/>
    <w:rsid w:val="67551CE3"/>
    <w:rsid w:val="67917D9F"/>
    <w:rsid w:val="67A22552"/>
    <w:rsid w:val="67B22DCC"/>
    <w:rsid w:val="67BE71AA"/>
    <w:rsid w:val="67D90273"/>
    <w:rsid w:val="67DE5875"/>
    <w:rsid w:val="67E55852"/>
    <w:rsid w:val="67EB1AB4"/>
    <w:rsid w:val="67FA1285"/>
    <w:rsid w:val="68345480"/>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905B5"/>
    <w:rsid w:val="6A0B1C62"/>
    <w:rsid w:val="6A22716C"/>
    <w:rsid w:val="6A2406C8"/>
    <w:rsid w:val="6ADE0BD1"/>
    <w:rsid w:val="6AE96859"/>
    <w:rsid w:val="6AEA1A38"/>
    <w:rsid w:val="6B147746"/>
    <w:rsid w:val="6B24787C"/>
    <w:rsid w:val="6B573233"/>
    <w:rsid w:val="6B5B6274"/>
    <w:rsid w:val="6B935D53"/>
    <w:rsid w:val="6C074500"/>
    <w:rsid w:val="6C196F71"/>
    <w:rsid w:val="6C1A63E9"/>
    <w:rsid w:val="6C226FCB"/>
    <w:rsid w:val="6C31226F"/>
    <w:rsid w:val="6C552F0B"/>
    <w:rsid w:val="6C8C67B7"/>
    <w:rsid w:val="6C9D744C"/>
    <w:rsid w:val="6D167928"/>
    <w:rsid w:val="6D26299B"/>
    <w:rsid w:val="6D4772EC"/>
    <w:rsid w:val="6D9078AF"/>
    <w:rsid w:val="6D9F5F45"/>
    <w:rsid w:val="6DAA3FEF"/>
    <w:rsid w:val="6DC0172B"/>
    <w:rsid w:val="6DCB690C"/>
    <w:rsid w:val="6DD41A5B"/>
    <w:rsid w:val="6DF43C2E"/>
    <w:rsid w:val="6DF51CA3"/>
    <w:rsid w:val="6E8335BD"/>
    <w:rsid w:val="6E8E12EF"/>
    <w:rsid w:val="6E972936"/>
    <w:rsid w:val="6ED446C5"/>
    <w:rsid w:val="6F2A7D94"/>
    <w:rsid w:val="6F354CD2"/>
    <w:rsid w:val="6F8331F1"/>
    <w:rsid w:val="6FAE1A09"/>
    <w:rsid w:val="6FD75BF8"/>
    <w:rsid w:val="707723D0"/>
    <w:rsid w:val="70AB4566"/>
    <w:rsid w:val="70F5661B"/>
    <w:rsid w:val="71260E18"/>
    <w:rsid w:val="71360107"/>
    <w:rsid w:val="713B688E"/>
    <w:rsid w:val="71A36DE5"/>
    <w:rsid w:val="71D43752"/>
    <w:rsid w:val="71E272BF"/>
    <w:rsid w:val="71F1796A"/>
    <w:rsid w:val="72154626"/>
    <w:rsid w:val="72262B5D"/>
    <w:rsid w:val="72283FF7"/>
    <w:rsid w:val="722E7212"/>
    <w:rsid w:val="723A0474"/>
    <w:rsid w:val="725923E4"/>
    <w:rsid w:val="72864BF7"/>
    <w:rsid w:val="729023FC"/>
    <w:rsid w:val="72A116D3"/>
    <w:rsid w:val="73C0646E"/>
    <w:rsid w:val="742222F5"/>
    <w:rsid w:val="74476126"/>
    <w:rsid w:val="74706664"/>
    <w:rsid w:val="747F3682"/>
    <w:rsid w:val="749C4185"/>
    <w:rsid w:val="75067759"/>
    <w:rsid w:val="752D31A7"/>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380D5E"/>
    <w:rsid w:val="77472422"/>
    <w:rsid w:val="774A3380"/>
    <w:rsid w:val="777F31F2"/>
    <w:rsid w:val="77D1700D"/>
    <w:rsid w:val="77EC04CC"/>
    <w:rsid w:val="78775729"/>
    <w:rsid w:val="78A42DB0"/>
    <w:rsid w:val="78A656AB"/>
    <w:rsid w:val="78B2245C"/>
    <w:rsid w:val="78E172CC"/>
    <w:rsid w:val="78EA1D1F"/>
    <w:rsid w:val="7904172F"/>
    <w:rsid w:val="790F7E27"/>
    <w:rsid w:val="792A231A"/>
    <w:rsid w:val="79316829"/>
    <w:rsid w:val="797E66A9"/>
    <w:rsid w:val="79960FDD"/>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3F5F83"/>
    <w:rsid w:val="7B5A2978"/>
    <w:rsid w:val="7B5A7E4C"/>
    <w:rsid w:val="7B667AF9"/>
    <w:rsid w:val="7B7468F8"/>
    <w:rsid w:val="7BAD6ADF"/>
    <w:rsid w:val="7BEE0103"/>
    <w:rsid w:val="7C0A0FE4"/>
    <w:rsid w:val="7C254906"/>
    <w:rsid w:val="7C590818"/>
    <w:rsid w:val="7C7C10F6"/>
    <w:rsid w:val="7C853BEA"/>
    <w:rsid w:val="7C881368"/>
    <w:rsid w:val="7CAD556F"/>
    <w:rsid w:val="7CBA4FE2"/>
    <w:rsid w:val="7CE27788"/>
    <w:rsid w:val="7D0C32F1"/>
    <w:rsid w:val="7D0F408D"/>
    <w:rsid w:val="7D491C6C"/>
    <w:rsid w:val="7D5429C0"/>
    <w:rsid w:val="7D6E6D43"/>
    <w:rsid w:val="7DB57A34"/>
    <w:rsid w:val="7DE60973"/>
    <w:rsid w:val="7DEF0916"/>
    <w:rsid w:val="7E1E5218"/>
    <w:rsid w:val="7E7D1A26"/>
    <w:rsid w:val="7E9A4E1F"/>
    <w:rsid w:val="7EA7723A"/>
    <w:rsid w:val="7EF56FBB"/>
    <w:rsid w:val="7EF944E8"/>
    <w:rsid w:val="7F0768EB"/>
    <w:rsid w:val="7F143BEC"/>
    <w:rsid w:val="7F715AF2"/>
    <w:rsid w:val="7F886E69"/>
    <w:rsid w:val="7FE676AC"/>
    <w:rsid w:val="7FEC5DFB"/>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68"/>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9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83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809"/>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67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821"/>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8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70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styleId="2">
    <w:name w:val="Body Text First Indent 2"/>
    <w:basedOn w:val="3"/>
    <w:link w:val="654"/>
    <w:qFormat/>
    <w:uiPriority w:val="0"/>
    <w:pPr>
      <w:adjustRightInd/>
      <w:spacing w:after="120" w:line="240" w:lineRule="auto"/>
      <w:ind w:left="420" w:leftChars="200" w:firstLine="210"/>
    </w:pPr>
    <w:rPr>
      <w:sz w:val="21"/>
    </w:rPr>
  </w:style>
  <w:style w:type="paragraph" w:styleId="3">
    <w:name w:val="Body Text Indent"/>
    <w:basedOn w:val="1"/>
    <w:next w:val="4"/>
    <w:link w:val="782"/>
    <w:qFormat/>
    <w:uiPriority w:val="0"/>
    <w:pPr>
      <w:spacing w:line="480" w:lineRule="exact"/>
      <w:ind w:firstLine="480" w:firstLineChars="200"/>
    </w:pPr>
    <w:rPr>
      <w:rFonts w:ascii="宋体" w:hAnsi="宋体"/>
      <w:sz w:val="24"/>
    </w:rPr>
  </w:style>
  <w:style w:type="paragraph" w:customStyle="1" w:styleId="4">
    <w:name w:val="正文文本首行缩进 2"/>
    <w:basedOn w:val="3"/>
    <w:qFormat/>
    <w:uiPriority w:val="99"/>
    <w:pPr>
      <w:spacing w:line="200" w:lineRule="atLeast"/>
      <w:ind w:firstLine="420"/>
    </w:pPr>
    <w:rPr>
      <w:rFonts w:ascii="宋体" w:hAnsi="Courier New"/>
      <w:spacing w:val="-4"/>
      <w:sz w:val="18"/>
    </w:rPr>
  </w:style>
  <w:style w:type="paragraph" w:styleId="8">
    <w:name w:val="Normal Indent"/>
    <w:basedOn w:val="1"/>
    <w:next w:val="3"/>
    <w:link w:val="719"/>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75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726"/>
    <w:qFormat/>
    <w:uiPriority w:val="0"/>
    <w:pPr>
      <w:shd w:val="clear" w:color="auto" w:fill="000080"/>
    </w:pPr>
  </w:style>
  <w:style w:type="paragraph" w:styleId="22">
    <w:name w:val="annotation text"/>
    <w:basedOn w:val="1"/>
    <w:link w:val="854"/>
    <w:qFormat/>
    <w:uiPriority w:val="99"/>
    <w:pPr>
      <w:jc w:val="left"/>
    </w:pPr>
  </w:style>
  <w:style w:type="paragraph" w:styleId="23">
    <w:name w:val="Salutation"/>
    <w:basedOn w:val="1"/>
    <w:next w:val="1"/>
    <w:link w:val="814"/>
    <w:qFormat/>
    <w:uiPriority w:val="0"/>
    <w:rPr>
      <w:rFonts w:ascii="仿宋_GB2312" w:eastAsia="仿宋_GB2312"/>
      <w:sz w:val="28"/>
      <w:szCs w:val="20"/>
    </w:rPr>
  </w:style>
  <w:style w:type="paragraph" w:styleId="24">
    <w:name w:val="Body Text 3"/>
    <w:basedOn w:val="1"/>
    <w:link w:val="842"/>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931"/>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1"/>
    <w:link w:val="833"/>
    <w:qFormat/>
    <w:uiPriority w:val="0"/>
    <w:pPr>
      <w:ind w:firstLine="420"/>
    </w:pPr>
    <w:rPr>
      <w:rFonts w:hAnsi="Calibri" w:cs="Times New Roman"/>
      <w:szCs w:val="20"/>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3"/>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658"/>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08"/>
    <w:qFormat/>
    <w:uiPriority w:val="0"/>
    <w:pPr>
      <w:ind w:left="100" w:leftChars="2500"/>
    </w:pPr>
    <w:rPr>
      <w:rFonts w:ascii="宋体"/>
      <w:sz w:val="24"/>
      <w:szCs w:val="21"/>
      <w:lang w:val="zh-CN"/>
    </w:rPr>
  </w:style>
  <w:style w:type="paragraph" w:styleId="39">
    <w:name w:val="Body Text Indent 2"/>
    <w:basedOn w:val="1"/>
    <w:link w:val="822"/>
    <w:qFormat/>
    <w:uiPriority w:val="0"/>
    <w:pPr>
      <w:spacing w:line="360" w:lineRule="auto"/>
      <w:ind w:firstLine="601"/>
      <w:textAlignment w:val="baseline"/>
    </w:pPr>
    <w:rPr>
      <w:rFonts w:ascii="宋体"/>
      <w:kern w:val="0"/>
      <w:sz w:val="28"/>
      <w:szCs w:val="20"/>
    </w:rPr>
  </w:style>
  <w:style w:type="paragraph" w:styleId="40">
    <w:name w:val="endnote text"/>
    <w:basedOn w:val="1"/>
    <w:link w:val="939"/>
    <w:qFormat/>
    <w:uiPriority w:val="0"/>
    <w:rPr>
      <w:lang w:val="zh-CN"/>
    </w:rPr>
  </w:style>
  <w:style w:type="paragraph" w:styleId="41">
    <w:name w:val="Balloon Text"/>
    <w:basedOn w:val="1"/>
    <w:link w:val="715"/>
    <w:qFormat/>
    <w:uiPriority w:val="0"/>
    <w:rPr>
      <w:sz w:val="18"/>
      <w:szCs w:val="18"/>
    </w:rPr>
  </w:style>
  <w:style w:type="paragraph" w:styleId="42">
    <w:name w:val="footer"/>
    <w:basedOn w:val="1"/>
    <w:link w:val="890"/>
    <w:qFormat/>
    <w:uiPriority w:val="99"/>
    <w:pPr>
      <w:tabs>
        <w:tab w:val="center" w:pos="4153"/>
        <w:tab w:val="right" w:pos="8306"/>
      </w:tabs>
      <w:snapToGrid w:val="0"/>
      <w:jc w:val="left"/>
    </w:pPr>
    <w:rPr>
      <w:sz w:val="18"/>
      <w:szCs w:val="18"/>
    </w:rPr>
  </w:style>
  <w:style w:type="paragraph" w:styleId="43">
    <w:name w:val="envelope return"/>
    <w:basedOn w:val="1"/>
    <w:qFormat/>
    <w:uiPriority w:val="99"/>
    <w:pPr>
      <w:snapToGrid w:val="0"/>
    </w:pPr>
    <w:rPr>
      <w:rFonts w:ascii="Arial" w:hAnsi="Arial" w:cs="Arial"/>
    </w:rPr>
  </w:style>
  <w:style w:type="paragraph" w:styleId="44">
    <w:name w:val="header"/>
    <w:basedOn w:val="1"/>
    <w:link w:val="898"/>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55"/>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6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8"/>
    <w:link w:val="824"/>
    <w:qFormat/>
    <w:uiPriority w:val="0"/>
    <w:pPr>
      <w:adjustRightInd/>
      <w:snapToGrid/>
      <w:spacing w:before="60" w:after="60" w:line="300" w:lineRule="exact"/>
      <w:ind w:firstLine="0"/>
    </w:pPr>
    <w:rPr>
      <w:rFonts w:ascii="Calibri"/>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883"/>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818"/>
    <w:qFormat/>
    <w:uiPriority w:val="0"/>
    <w:pPr>
      <w:spacing w:after="120" w:line="480" w:lineRule="auto"/>
    </w:pPr>
  </w:style>
  <w:style w:type="paragraph" w:styleId="60">
    <w:name w:val="HTML Preformatted"/>
    <w:basedOn w:val="1"/>
    <w:link w:val="8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802"/>
    <w:qFormat/>
    <w:uiPriority w:val="10"/>
    <w:pPr>
      <w:widowControl/>
      <w:overflowPunct w:val="0"/>
      <w:autoSpaceDE w:val="0"/>
      <w:autoSpaceDN w:val="0"/>
      <w:jc w:val="center"/>
      <w:textAlignment w:val="baseline"/>
    </w:pPr>
    <w:rPr>
      <w:b/>
      <w:kern w:val="0"/>
      <w:sz w:val="24"/>
      <w:szCs w:val="20"/>
    </w:rPr>
  </w:style>
  <w:style w:type="paragraph" w:styleId="63">
    <w:name w:val="annotation subject"/>
    <w:basedOn w:val="22"/>
    <w:next w:val="22"/>
    <w:link w:val="631"/>
    <w:qFormat/>
    <w:uiPriority w:val="0"/>
    <w:rPr>
      <w:b/>
      <w:bCs/>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styleId="81">
    <w:name w:val="HTML Sample"/>
    <w:basedOn w:val="71"/>
    <w:uiPriority w:val="0"/>
    <w:rPr>
      <w:rFonts w:ascii="Courier New" w:hAnsi="Courier New"/>
    </w:rPr>
  </w:style>
  <w:style w:type="paragraph" w:customStyle="1" w:styleId="82">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83">
    <w:name w:val="表格非标题文字"/>
    <w:link w:val="62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21"/>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29"/>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36"/>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4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link w:val="663"/>
    <w:qFormat/>
    <w:uiPriority w:val="0"/>
    <w:pPr>
      <w:spacing w:before="156" w:line="360" w:lineRule="auto"/>
      <w:ind w:firstLine="510" w:firstLineChars="200"/>
    </w:pPr>
    <w:rPr>
      <w:sz w:val="24"/>
      <w:szCs w:val="20"/>
    </w:rPr>
  </w:style>
  <w:style w:type="paragraph" w:customStyle="1" w:styleId="89">
    <w:name w:val="无间隔1"/>
    <w:link w:val="671"/>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79"/>
    <w:qFormat/>
    <w:uiPriority w:val="0"/>
    <w:rPr>
      <w:rFonts w:ascii="宋体" w:hAnsi="Courier New"/>
      <w:szCs w:val="21"/>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89"/>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6"/>
    <w:link w:val="698"/>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18"/>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24"/>
    <w:qFormat/>
    <w:uiPriority w:val="0"/>
    <w:pPr>
      <w:ind w:left="0" w:right="466" w:firstLine="288"/>
    </w:pPr>
    <w:rPr>
      <w:rFonts w:hAnsi="宋体"/>
    </w:rPr>
  </w:style>
  <w:style w:type="paragraph" w:customStyle="1" w:styleId="96">
    <w:name w:val="样式 标题 3h33rd level3BOD 0H3l3CTHeading 3 - oldLevel 3 He..."/>
    <w:basedOn w:val="7"/>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9"/>
    <w:link w:val="7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48"/>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Default"/>
    <w:link w:val="75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样式"/>
    <w:basedOn w:val="1"/>
    <w:link w:val="766"/>
    <w:qFormat/>
    <w:uiPriority w:val="0"/>
    <w:pPr>
      <w:adjustRightInd/>
      <w:spacing w:line="360" w:lineRule="auto"/>
      <w:ind w:firstLine="480" w:firstLineChars="200"/>
    </w:pPr>
    <w:rPr>
      <w:kern w:val="0"/>
      <w:sz w:val="24"/>
    </w:rPr>
  </w:style>
  <w:style w:type="paragraph" w:customStyle="1" w:styleId="101">
    <w:name w:val="gf正文1"/>
    <w:basedOn w:val="1"/>
    <w:link w:val="77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7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List Paragraph"/>
    <w:basedOn w:val="1"/>
    <w:qFormat/>
    <w:uiPriority w:val="34"/>
    <w:pPr>
      <w:spacing w:line="360" w:lineRule="auto"/>
      <w:ind w:firstLine="200" w:firstLineChars="200"/>
    </w:pPr>
    <w:rPr>
      <w:rFonts w:eastAsia="楷体_GB2312" w:cs="Lucida Sans"/>
      <w:sz w:val="24"/>
    </w:rPr>
  </w:style>
  <w:style w:type="paragraph" w:customStyle="1" w:styleId="104">
    <w:name w:val="此正文"/>
    <w:basedOn w:val="1"/>
    <w:link w:val="797"/>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19"/>
    <w:qFormat/>
    <w:uiPriority w:val="0"/>
    <w:pPr>
      <w:tabs>
        <w:tab w:val="left" w:pos="2356"/>
      </w:tabs>
    </w:pPr>
  </w:style>
  <w:style w:type="paragraph" w:customStyle="1" w:styleId="106">
    <w:name w:val="样式 标题 4h4H4Fab-4T5Ref Heading 1rh1Heading sqlsect 1.2.3...."/>
    <w:basedOn w:val="9"/>
    <w:link w:val="9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32"/>
    <w:qFormat/>
    <w:uiPriority w:val="0"/>
    <w:pPr>
      <w:adjustRightInd/>
    </w:pPr>
    <w:rPr>
      <w:rFonts w:ascii="宋体" w:hAnsi="Courier New"/>
      <w:kern w:val="0"/>
      <w:sz w:val="20"/>
      <w:szCs w:val="20"/>
    </w:rPr>
  </w:style>
  <w:style w:type="paragraph" w:customStyle="1" w:styleId="109">
    <w:name w:val="正文说明"/>
    <w:basedOn w:val="1"/>
    <w:link w:val="844"/>
    <w:qFormat/>
    <w:uiPriority w:val="0"/>
    <w:pPr>
      <w:adjustRightInd/>
      <w:spacing w:line="360" w:lineRule="auto"/>
    </w:pPr>
    <w:rPr>
      <w:kern w:val="0"/>
      <w:sz w:val="24"/>
    </w:rPr>
  </w:style>
  <w:style w:type="paragraph" w:customStyle="1" w:styleId="110">
    <w:name w:val="Table Text"/>
    <w:basedOn w:val="1"/>
    <w:link w:val="850"/>
    <w:qFormat/>
    <w:uiPriority w:val="0"/>
    <w:pPr>
      <w:widowControl/>
      <w:spacing w:before="60" w:after="60"/>
      <w:jc w:val="left"/>
    </w:pPr>
    <w:rPr>
      <w:kern w:val="0"/>
      <w:sz w:val="24"/>
    </w:rPr>
  </w:style>
  <w:style w:type="paragraph" w:customStyle="1" w:styleId="111">
    <w:name w:val="公文正文"/>
    <w:basedOn w:val="1"/>
    <w:link w:val="862"/>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895"/>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02"/>
    <w:qFormat/>
    <w:uiPriority w:val="0"/>
    <w:pPr>
      <w:widowControl/>
      <w:snapToGrid w:val="0"/>
      <w:spacing w:after="156" w:afterLines="50"/>
      <w:ind w:firstLine="200" w:firstLineChars="200"/>
    </w:pPr>
    <w:rPr>
      <w:kern w:val="0"/>
      <w:sz w:val="24"/>
      <w:szCs w:val="20"/>
    </w:rPr>
  </w:style>
  <w:style w:type="paragraph" w:customStyle="1" w:styleId="116">
    <w:name w:val="冯广丽"/>
    <w:basedOn w:val="1"/>
    <w:link w:val="905"/>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11"/>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18"/>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8"/>
    <w:link w:val="93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9"/>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qFormat/>
    <w:uiPriority w:val="0"/>
    <w:pPr>
      <w:spacing w:before="120" w:line="360" w:lineRule="auto"/>
      <w:ind w:firstLine="567"/>
    </w:pPr>
    <w:rPr>
      <w:rFonts w:ascii="Arial" w:hAnsi="Arial"/>
      <w:sz w:val="20"/>
      <w:szCs w:val="20"/>
    </w:rPr>
  </w:style>
  <w:style w:type="paragraph" w:customStyle="1" w:styleId="13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7">
    <w:name w:val="封面公司名"/>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qFormat/>
    <w:uiPriority w:val="0"/>
    <w:pPr>
      <w:adjustRightInd/>
      <w:ind w:firstLine="200" w:firstLineChars="200"/>
    </w:pPr>
    <w:rPr>
      <w:rFonts w:ascii="Tahoma" w:hAnsi="Tahoma"/>
      <w:sz w:val="24"/>
      <w:szCs w:val="20"/>
    </w:rPr>
  </w:style>
  <w:style w:type="paragraph" w:customStyle="1" w:styleId="1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qFormat/>
    <w:uiPriority w:val="0"/>
    <w:pPr>
      <w:tabs>
        <w:tab w:val="left" w:pos="360"/>
      </w:tabs>
    </w:pPr>
    <w:rPr>
      <w:sz w:val="24"/>
      <w:szCs w:val="20"/>
    </w:rPr>
  </w:style>
  <w:style w:type="paragraph" w:customStyle="1" w:styleId="142">
    <w:name w:val="Char Char11 Char Char Char"/>
    <w:basedOn w:val="1"/>
    <w:qFormat/>
    <w:uiPriority w:val="0"/>
    <w:pPr>
      <w:spacing w:line="360" w:lineRule="auto"/>
    </w:pPr>
    <w:rPr>
      <w:szCs w:val="20"/>
    </w:rPr>
  </w:style>
  <w:style w:type="paragraph" w:customStyle="1" w:styleId="14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qFormat/>
    <w:uiPriority w:val="0"/>
    <w:pPr>
      <w:tabs>
        <w:tab w:val="left" w:pos="2790"/>
        <w:tab w:val="left" w:pos="4230"/>
      </w:tabs>
      <w:spacing w:before="312" w:beforeLines="100"/>
      <w:jc w:val="left"/>
    </w:pPr>
  </w:style>
  <w:style w:type="paragraph" w:customStyle="1" w:styleId="14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qFormat/>
    <w:uiPriority w:val="0"/>
    <w:pPr>
      <w:tabs>
        <w:tab w:val="left" w:pos="840"/>
      </w:tabs>
      <w:ind w:left="840" w:hanging="420"/>
    </w:pPr>
    <w:rPr>
      <w:rFonts w:ascii="Tahoma" w:hAnsi="Tahoma"/>
      <w:sz w:val="24"/>
    </w:rPr>
  </w:style>
  <w:style w:type="paragraph" w:customStyle="1" w:styleId="14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6"/>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qFormat/>
    <w:uiPriority w:val="0"/>
    <w:pPr>
      <w:adjustRightInd/>
      <w:spacing w:before="156" w:line="360" w:lineRule="auto"/>
      <w:ind w:firstLine="510" w:firstLineChars="200"/>
    </w:pPr>
    <w:rPr>
      <w:sz w:val="24"/>
      <w:szCs w:val="20"/>
    </w:rPr>
  </w:style>
  <w:style w:type="paragraph" w:customStyle="1" w:styleId="152">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Char1"/>
    <w:basedOn w:val="1"/>
    <w:qFormat/>
    <w:uiPriority w:val="0"/>
    <w:rPr>
      <w:rFonts w:ascii="仿宋_GB2312" w:eastAsia="仿宋_GB2312"/>
      <w:b/>
      <w:sz w:val="32"/>
      <w:szCs w:val="32"/>
    </w:rPr>
  </w:style>
  <w:style w:type="paragraph" w:customStyle="1" w:styleId="15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9">
    <w:name w:val="6级标题"/>
    <w:basedOn w:val="160"/>
    <w:qFormat/>
    <w:uiPriority w:val="0"/>
    <w:pPr>
      <w:keepNext/>
      <w:tabs>
        <w:tab w:val="left" w:pos="360"/>
      </w:tabs>
      <w:spacing w:before="0" w:after="0"/>
      <w:outlineLvl w:val="5"/>
    </w:pPr>
  </w:style>
  <w:style w:type="paragraph" w:customStyle="1" w:styleId="160">
    <w:name w:val="5级标题"/>
    <w:basedOn w:val="161"/>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1">
    <w:name w:val="4级标题"/>
    <w:basedOn w:val="10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2">
    <w:name w:val="样式 正文文本缩进 + 段前: 2 字符"/>
    <w:basedOn w:val="1"/>
    <w:qFormat/>
    <w:uiPriority w:val="0"/>
    <w:pPr>
      <w:adjustRightInd/>
      <w:ind w:left="420" w:leftChars="200"/>
      <w:jc w:val="left"/>
    </w:pPr>
    <w:rPr>
      <w:sz w:val="28"/>
      <w:szCs w:val="20"/>
      <w:lang w:eastAsia="zh-TW"/>
    </w:rPr>
  </w:style>
  <w:style w:type="paragraph" w:customStyle="1" w:styleId="163">
    <w:name w:val="Char2 Char Char"/>
    <w:basedOn w:val="1"/>
    <w:qFormat/>
    <w:uiPriority w:val="0"/>
    <w:pPr>
      <w:adjustRightInd/>
    </w:pPr>
    <w:rPr>
      <w:rFonts w:ascii="Tahoma" w:hAnsi="Tahoma"/>
      <w:sz w:val="24"/>
      <w:szCs w:val="20"/>
    </w:rPr>
  </w:style>
  <w:style w:type="paragraph" w:customStyle="1" w:styleId="164">
    <w:name w:val="_Style 11"/>
    <w:basedOn w:val="1"/>
    <w:qFormat/>
    <w:uiPriority w:val="34"/>
    <w:pPr>
      <w:adjustRightInd/>
      <w:ind w:firstLine="420" w:firstLineChars="200"/>
    </w:pPr>
    <w:rPr>
      <w:rFonts w:eastAsia="仿宋_GB2312"/>
      <w:sz w:val="28"/>
    </w:rPr>
  </w:style>
  <w:style w:type="paragraph" w:customStyle="1" w:styleId="16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6">
    <w:name w:val="Char Char Char"/>
    <w:basedOn w:val="1"/>
    <w:qFormat/>
    <w:uiPriority w:val="0"/>
    <w:rPr>
      <w:rFonts w:ascii="Tahoma" w:hAnsi="Tahoma"/>
      <w:sz w:val="24"/>
      <w:szCs w:val="20"/>
    </w:rPr>
  </w:style>
  <w:style w:type="paragraph" w:customStyle="1" w:styleId="167">
    <w:name w:val="数字标题6"/>
    <w:basedOn w:val="11"/>
    <w:next w:val="1"/>
    <w:qFormat/>
    <w:uiPriority w:val="0"/>
    <w:pPr>
      <w:tabs>
        <w:tab w:val="left" w:pos="1080"/>
        <w:tab w:val="clear" w:pos="1152"/>
      </w:tabs>
      <w:ind w:left="1080" w:hanging="1080"/>
    </w:pPr>
    <w:rPr>
      <w:rFonts w:ascii="Times New Roman" w:hAnsi="Times New Roman" w:eastAsia="宋体"/>
      <w:i/>
    </w:rPr>
  </w:style>
  <w:style w:type="paragraph" w:customStyle="1" w:styleId="16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9">
    <w:name w:val="No Spacing"/>
    <w:basedOn w:val="1"/>
    <w:link w:val="940"/>
    <w:qFormat/>
    <w:uiPriority w:val="99"/>
    <w:rPr>
      <w:szCs w:val="22"/>
    </w:rPr>
  </w:style>
  <w:style w:type="paragraph" w:customStyle="1" w:styleId="17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1">
    <w:name w:val="Char Char Char Char Char Char Char Char Char Char Char Char1 Char1"/>
    <w:basedOn w:val="1"/>
    <w:qFormat/>
    <w:uiPriority w:val="6"/>
    <w:rPr>
      <w:rFonts w:ascii="Tahoma" w:hAnsi="Tahoma" w:cs="仿宋_GB2312"/>
      <w:sz w:val="24"/>
      <w:szCs w:val="20"/>
    </w:rPr>
  </w:style>
  <w:style w:type="paragraph" w:customStyle="1" w:styleId="17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5">
    <w:name w:val="MM Topic 2"/>
    <w:basedOn w:val="6"/>
    <w:qFormat/>
    <w:uiPriority w:val="0"/>
    <w:pPr>
      <w:tabs>
        <w:tab w:val="left" w:pos="1260"/>
        <w:tab w:val="clear" w:pos="432"/>
      </w:tabs>
      <w:ind w:left="1260" w:hanging="420"/>
    </w:pPr>
    <w:rPr>
      <w:rFonts w:ascii="Arial" w:hAnsi="Arial" w:eastAsia="黑体"/>
      <w:lang w:val="en-US"/>
    </w:rPr>
  </w:style>
  <w:style w:type="paragraph" w:customStyle="1" w:styleId="176">
    <w:name w:val="五级无标题条"/>
    <w:basedOn w:val="1"/>
    <w:qFormat/>
    <w:uiPriority w:val="0"/>
    <w:pPr>
      <w:adjustRightInd/>
    </w:pPr>
  </w:style>
  <w:style w:type="paragraph" w:customStyle="1" w:styleId="177">
    <w:name w:val="Char5"/>
    <w:basedOn w:val="1"/>
    <w:qFormat/>
    <w:uiPriority w:val="0"/>
    <w:rPr>
      <w:rFonts w:ascii="仿宋_GB2312" w:eastAsia="仿宋_GB2312"/>
      <w:b/>
      <w:sz w:val="32"/>
      <w:szCs w:val="32"/>
    </w:rPr>
  </w:style>
  <w:style w:type="paragraph" w:customStyle="1" w:styleId="178">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9">
    <w:name w:val="彩色列表 - 强调文字颜色 12"/>
    <w:basedOn w:val="1"/>
    <w:qFormat/>
    <w:uiPriority w:val="0"/>
    <w:pPr>
      <w:adjustRightInd/>
      <w:ind w:firstLine="420" w:firstLineChars="200"/>
    </w:pPr>
    <w:rPr>
      <w:rFonts w:ascii="Calibri" w:hAnsi="Calibri"/>
      <w:szCs w:val="22"/>
    </w:rPr>
  </w:style>
  <w:style w:type="paragraph" w:customStyle="1" w:styleId="18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1">
    <w:name w:val="Char2"/>
    <w:basedOn w:val="1"/>
    <w:qFormat/>
    <w:uiPriority w:val="0"/>
    <w:rPr>
      <w:rFonts w:ascii="仿宋_GB2312" w:eastAsia="仿宋_GB2312"/>
      <w:b/>
      <w:sz w:val="32"/>
      <w:szCs w:val="32"/>
    </w:rPr>
  </w:style>
  <w:style w:type="paragraph" w:customStyle="1" w:styleId="182">
    <w:name w:val="数字标题3"/>
    <w:basedOn w:val="7"/>
    <w:next w:val="1"/>
    <w:qFormat/>
    <w:uiPriority w:val="0"/>
    <w:pPr>
      <w:spacing w:line="240" w:lineRule="auto"/>
    </w:pPr>
    <w:rPr>
      <w:sz w:val="28"/>
      <w:szCs w:val="28"/>
    </w:rPr>
  </w:style>
  <w:style w:type="paragraph" w:customStyle="1" w:styleId="183">
    <w:name w:val="FA正文"/>
    <w:basedOn w:val="1"/>
    <w:qFormat/>
    <w:uiPriority w:val="0"/>
    <w:pPr>
      <w:spacing w:line="360" w:lineRule="auto"/>
      <w:ind w:firstLine="480" w:firstLineChars="200"/>
    </w:pPr>
    <w:rPr>
      <w:rFonts w:hAnsi="宋体"/>
      <w:sz w:val="24"/>
      <w:szCs w:val="20"/>
    </w:rPr>
  </w:style>
  <w:style w:type="paragraph" w:customStyle="1" w:styleId="184">
    <w:name w:val="MM Topic 5"/>
    <w:basedOn w:val="10"/>
    <w:qFormat/>
    <w:uiPriority w:val="0"/>
    <w:pPr>
      <w:tabs>
        <w:tab w:val="left" w:pos="2520"/>
        <w:tab w:val="clear" w:pos="1008"/>
      </w:tabs>
      <w:adjustRightInd/>
      <w:ind w:left="2520" w:hanging="420"/>
    </w:pPr>
  </w:style>
  <w:style w:type="paragraph" w:customStyle="1" w:styleId="185">
    <w:name w:val="Char Char Char Char Char Char Char Char Char Char1"/>
    <w:basedOn w:val="1"/>
    <w:qFormat/>
    <w:uiPriority w:val="0"/>
    <w:rPr>
      <w:rFonts w:ascii="仿宋_GB2312" w:eastAsia="仿宋_GB2312"/>
      <w:b/>
      <w:sz w:val="32"/>
      <w:szCs w:val="32"/>
    </w:rPr>
  </w:style>
  <w:style w:type="paragraph" w:customStyle="1" w:styleId="18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7">
    <w:name w:val="修订1"/>
    <w:qFormat/>
    <w:uiPriority w:val="3"/>
    <w:rPr>
      <w:rFonts w:ascii="Times New Roman" w:hAnsi="Times New Roman" w:eastAsia="宋体" w:cs="Times New Roman"/>
      <w:color w:val="000000"/>
      <w:kern w:val="1"/>
      <w:sz w:val="21"/>
      <w:lang w:val="en-US" w:eastAsia="zh-CN" w:bidi="ar-SA"/>
    </w:rPr>
  </w:style>
  <w:style w:type="paragraph" w:customStyle="1" w:styleId="188">
    <w:name w:val="Char2 Char Char Char"/>
    <w:basedOn w:val="1"/>
    <w:qFormat/>
    <w:uiPriority w:val="0"/>
    <w:rPr>
      <w:rFonts w:ascii="仿宋_GB2312" w:eastAsia="仿宋_GB2312"/>
      <w:b/>
      <w:sz w:val="32"/>
      <w:szCs w:val="32"/>
    </w:rPr>
  </w:style>
  <w:style w:type="paragraph" w:customStyle="1" w:styleId="189">
    <w:name w:val="Char2 Char Char Char1"/>
    <w:basedOn w:val="1"/>
    <w:qFormat/>
    <w:uiPriority w:val="6"/>
    <w:rPr>
      <w:rFonts w:ascii="仿宋_GB2312" w:eastAsia="仿宋_GB2312"/>
      <w:b/>
      <w:sz w:val="32"/>
      <w:szCs w:val="32"/>
    </w:rPr>
  </w:style>
  <w:style w:type="paragraph" w:customStyle="1" w:styleId="190">
    <w:name w:val="默认段落样式"/>
    <w:basedOn w:val="88"/>
    <w:qFormat/>
    <w:uiPriority w:val="0"/>
    <w:pPr>
      <w:spacing w:before="0"/>
      <w:ind w:firstLine="480"/>
      <w:outlineLvl w:val="2"/>
    </w:pPr>
    <w:rPr>
      <w:rFonts w:ascii="仿宋_GB2312" w:hAnsi="宋体" w:eastAsia="仿宋_GB2312"/>
      <w:color w:val="000000"/>
      <w:szCs w:val="24"/>
    </w:rPr>
  </w:style>
  <w:style w:type="paragraph" w:customStyle="1" w:styleId="191">
    <w:name w:val="图中文字"/>
    <w:basedOn w:val="1"/>
    <w:qFormat/>
    <w:uiPriority w:val="0"/>
    <w:pPr>
      <w:snapToGrid w:val="0"/>
      <w:spacing w:line="0" w:lineRule="atLeast"/>
      <w:ind w:firstLine="200" w:firstLineChars="200"/>
      <w:jc w:val="center"/>
    </w:pPr>
    <w:rPr>
      <w:sz w:val="24"/>
      <w:szCs w:val="20"/>
    </w:rPr>
  </w:style>
  <w:style w:type="paragraph" w:customStyle="1" w:styleId="19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3">
    <w:name w:val="MM Topic 3"/>
    <w:basedOn w:val="7"/>
    <w:qFormat/>
    <w:uiPriority w:val="0"/>
    <w:pPr>
      <w:tabs>
        <w:tab w:val="left" w:pos="1680"/>
        <w:tab w:val="clear" w:pos="900"/>
      </w:tabs>
      <w:adjustRightInd/>
      <w:ind w:left="1680" w:hanging="420"/>
    </w:pPr>
  </w:style>
  <w:style w:type="paragraph" w:customStyle="1" w:styleId="194">
    <w:name w:val="标准小四"/>
    <w:basedOn w:val="1"/>
    <w:qFormat/>
    <w:uiPriority w:val="0"/>
    <w:pPr>
      <w:spacing w:line="360" w:lineRule="auto"/>
      <w:ind w:firstLine="480" w:firstLineChars="200"/>
    </w:pPr>
    <w:rPr>
      <w:rFonts w:ascii="Arial" w:hAnsi="Arial"/>
      <w:sz w:val="24"/>
      <w:szCs w:val="21"/>
    </w:rPr>
  </w:style>
  <w:style w:type="paragraph" w:customStyle="1" w:styleId="195">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196">
    <w:name w:val="表格（小）"/>
    <w:basedOn w:val="1"/>
    <w:qFormat/>
    <w:uiPriority w:val="0"/>
    <w:pPr>
      <w:adjustRightInd/>
      <w:snapToGrid w:val="0"/>
      <w:spacing w:line="300" w:lineRule="auto"/>
    </w:pPr>
    <w:rPr>
      <w:rFonts w:eastAsia="仿宋"/>
      <w:szCs w:val="21"/>
    </w:rPr>
  </w:style>
  <w:style w:type="paragraph" w:customStyle="1" w:styleId="19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8">
    <w:name w:val="Char2 Char Char1"/>
    <w:basedOn w:val="1"/>
    <w:qFormat/>
    <w:uiPriority w:val="6"/>
    <w:pPr>
      <w:adjustRightInd/>
    </w:pPr>
    <w:rPr>
      <w:rFonts w:ascii="Tahoma" w:hAnsi="Tahoma"/>
      <w:sz w:val="24"/>
      <w:szCs w:val="20"/>
    </w:rPr>
  </w:style>
  <w:style w:type="paragraph" w:customStyle="1" w:styleId="199">
    <w:name w:val="列出段落5"/>
    <w:basedOn w:val="1"/>
    <w:qFormat/>
    <w:uiPriority w:val="0"/>
    <w:pPr>
      <w:spacing w:line="360" w:lineRule="auto"/>
      <w:ind w:firstLine="200" w:firstLineChars="200"/>
    </w:pPr>
    <w:rPr>
      <w:rFonts w:eastAsia="楷体_GB2312" w:cs="Lucida Sans"/>
      <w:sz w:val="24"/>
    </w:rPr>
  </w:style>
  <w:style w:type="paragraph" w:customStyle="1" w:styleId="20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20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3">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7">
    <w:name w:val="_Style 3"/>
    <w:basedOn w:val="1"/>
    <w:qFormat/>
    <w:uiPriority w:val="0"/>
    <w:pPr>
      <w:adjustRightInd/>
      <w:ind w:firstLine="420" w:firstLineChars="200"/>
    </w:pPr>
    <w:rPr>
      <w:rFonts w:eastAsia="仿宋_GB2312"/>
      <w:sz w:val="28"/>
    </w:rPr>
  </w:style>
  <w:style w:type="paragraph" w:customStyle="1" w:styleId="20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27"/>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qFormat/>
    <w:uiPriority w:val="0"/>
    <w:pPr>
      <w:adjustRightInd/>
      <w:ind w:firstLine="200" w:firstLineChars="200"/>
      <w:jc w:val="right"/>
    </w:p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正文1.25"/>
    <w:basedOn w:val="1"/>
    <w:qFormat/>
    <w:uiPriority w:val="0"/>
    <w:pPr>
      <w:adjustRightInd/>
      <w:spacing w:line="300" w:lineRule="auto"/>
      <w:ind w:firstLine="480" w:firstLineChars="200"/>
    </w:pPr>
    <w:rPr>
      <w:sz w:val="24"/>
      <w:szCs w:val="20"/>
    </w:rPr>
  </w:style>
  <w:style w:type="paragraph" w:customStyle="1" w:styleId="21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qFormat/>
    <w:uiPriority w:val="6"/>
    <w:rPr>
      <w:rFonts w:ascii="仿宋_GB2312" w:eastAsia="仿宋_GB2312"/>
      <w:b/>
      <w:sz w:val="32"/>
      <w:szCs w:val="20"/>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qFormat/>
    <w:uiPriority w:val="0"/>
    <w:rPr>
      <w:rFonts w:eastAsia="仿宋_GB2312"/>
      <w:sz w:val="28"/>
      <w:szCs w:val="20"/>
    </w:rPr>
  </w:style>
  <w:style w:type="paragraph" w:customStyle="1" w:styleId="21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9"/>
    <w:qFormat/>
    <w:uiPriority w:val="0"/>
    <w:pPr>
      <w:widowControl/>
      <w:jc w:val="left"/>
    </w:pPr>
    <w:rPr>
      <w:rFonts w:cs="宋体"/>
      <w:sz w:val="24"/>
      <w:szCs w:val="20"/>
    </w:rPr>
  </w:style>
  <w:style w:type="paragraph" w:customStyle="1" w:styleId="221">
    <w:name w:val="彩色列表 - 强调文字颜色 11"/>
    <w:basedOn w:val="1"/>
    <w:qFormat/>
    <w:uiPriority w:val="0"/>
    <w:pPr>
      <w:adjustRightInd/>
      <w:ind w:firstLine="420" w:firstLineChars="200"/>
    </w:pPr>
    <w:rPr>
      <w:rFonts w:ascii="Calibri" w:hAnsi="Calibri"/>
      <w:szCs w:val="22"/>
    </w:rPr>
  </w:style>
  <w:style w:type="paragraph" w:customStyle="1" w:styleId="22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qFormat/>
    <w:uiPriority w:val="6"/>
    <w:rPr>
      <w:szCs w:val="20"/>
    </w:rPr>
  </w:style>
  <w:style w:type="paragraph" w:customStyle="1" w:styleId="22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99"/>
    <w:next w:val="99"/>
    <w:qFormat/>
    <w:uiPriority w:val="0"/>
    <w:pPr>
      <w:spacing w:after="68"/>
    </w:pPr>
    <w:rPr>
      <w:rFonts w:ascii="FHLHE E+ Futura Bk" w:eastAsia="FHLHE E+ Futura Bk" w:cs="Times New Roman"/>
      <w:color w:val="auto"/>
    </w:rPr>
  </w:style>
  <w:style w:type="paragraph" w:customStyle="1" w:styleId="23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99"/>
    <w:next w:val="99"/>
    <w:qFormat/>
    <w:uiPriority w:val="0"/>
    <w:rPr>
      <w:rFonts w:ascii="宋体" w:eastAsia="宋体" w:cs="Times New Roman"/>
      <w:color w:val="auto"/>
    </w:rPr>
  </w:style>
  <w:style w:type="paragraph" w:customStyle="1" w:styleId="23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qFormat/>
    <w:uiPriority w:val="0"/>
    <w:rPr>
      <w:rFonts w:ascii="仿宋_GB2312" w:eastAsia="仿宋_GB2312"/>
      <w:b/>
      <w:sz w:val="32"/>
      <w:szCs w:val="32"/>
    </w:rPr>
  </w:style>
  <w:style w:type="paragraph" w:customStyle="1" w:styleId="23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qFormat/>
    <w:uiPriority w:val="0"/>
    <w:pPr>
      <w:spacing w:line="360" w:lineRule="auto"/>
    </w:pPr>
    <w:rPr>
      <w:szCs w:val="20"/>
    </w:rPr>
  </w:style>
  <w:style w:type="paragraph" w:customStyle="1" w:styleId="241">
    <w:name w:val="Char"/>
    <w:basedOn w:val="1"/>
    <w:qFormat/>
    <w:uiPriority w:val="0"/>
    <w:rPr>
      <w:rFonts w:ascii="仿宋_GB2312" w:eastAsia="仿宋_GB2312"/>
      <w:b/>
      <w:sz w:val="32"/>
      <w:szCs w:val="32"/>
    </w:rPr>
  </w:style>
  <w:style w:type="paragraph" w:customStyle="1" w:styleId="24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qFormat/>
    <w:uiPriority w:val="0"/>
    <w:rPr>
      <w:szCs w:val="20"/>
    </w:rPr>
  </w:style>
  <w:style w:type="paragraph" w:customStyle="1" w:styleId="245">
    <w:name w:val="正文标准"/>
    <w:basedOn w:val="1"/>
    <w:qFormat/>
    <w:uiPriority w:val="0"/>
    <w:pPr>
      <w:adjustRightInd/>
      <w:spacing w:line="360" w:lineRule="auto"/>
      <w:ind w:firstLine="200" w:firstLineChars="200"/>
    </w:pPr>
    <w:rPr>
      <w:rFonts w:ascii="宋体" w:hAnsi="Calibri"/>
      <w:sz w:val="24"/>
    </w:rPr>
  </w:style>
  <w:style w:type="paragraph" w:customStyle="1" w:styleId="24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8"/>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0">
    <w:name w:val="_正文段落"/>
    <w:basedOn w:val="1"/>
    <w:qFormat/>
    <w:uiPriority w:val="0"/>
    <w:pPr>
      <w:adjustRightInd/>
      <w:ind w:firstLine="560"/>
    </w:pPr>
    <w:rPr>
      <w:rFonts w:ascii="仿宋_GB2312" w:hAnsi="仿宋" w:eastAsia="仿宋_GB2312"/>
      <w:kern w:val="0"/>
      <w:sz w:val="28"/>
      <w:szCs w:val="28"/>
    </w:rPr>
  </w:style>
  <w:style w:type="paragraph" w:customStyle="1" w:styleId="26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0"/>
    <w:rPr>
      <w:szCs w:val="20"/>
    </w:rPr>
  </w:style>
  <w:style w:type="paragraph" w:customStyle="1" w:styleId="26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qFormat/>
    <w:uiPriority w:val="0"/>
    <w:rPr>
      <w:rFonts w:ascii="Tahoma" w:hAnsi="Tahoma"/>
      <w:sz w:val="24"/>
      <w:szCs w:val="20"/>
    </w:rPr>
  </w:style>
  <w:style w:type="paragraph" w:customStyle="1" w:styleId="270">
    <w:name w:val="标题五"/>
    <w:basedOn w:val="1"/>
    <w:qFormat/>
    <w:uiPriority w:val="0"/>
    <w:pPr>
      <w:adjustRightInd/>
      <w:spacing w:before="156" w:beforeLines="50" w:line="360" w:lineRule="auto"/>
    </w:pPr>
    <w:rPr>
      <w:b/>
      <w:sz w:val="24"/>
    </w:rPr>
  </w:style>
  <w:style w:type="paragraph" w:customStyle="1" w:styleId="271">
    <w:name w:val="Char Char1101"/>
    <w:basedOn w:val="1"/>
    <w:qFormat/>
    <w:uiPriority w:val="0"/>
    <w:pPr>
      <w:spacing w:line="360" w:lineRule="auto"/>
    </w:pPr>
    <w:rPr>
      <w:rFonts w:ascii="Tahoma" w:hAnsi="Tahoma"/>
      <w:sz w:val="24"/>
      <w:szCs w:val="20"/>
    </w:rPr>
  </w:style>
  <w:style w:type="paragraph" w:customStyle="1" w:styleId="272">
    <w:name w:val="Char Char Char Char Char Char Char Char1"/>
    <w:basedOn w:val="1"/>
    <w:qFormat/>
    <w:uiPriority w:val="0"/>
    <w:pPr>
      <w:tabs>
        <w:tab w:val="left" w:pos="360"/>
      </w:tabs>
    </w:pPr>
    <w:rPr>
      <w:sz w:val="24"/>
      <w:szCs w:val="20"/>
    </w:rPr>
  </w:style>
  <w:style w:type="paragraph" w:customStyle="1" w:styleId="273">
    <w:name w:val="Char Char Char 字元 字元"/>
    <w:basedOn w:val="1"/>
    <w:qFormat/>
    <w:uiPriority w:val="0"/>
    <w:pPr>
      <w:adjustRightInd/>
      <w:spacing w:line="360" w:lineRule="auto"/>
      <w:ind w:firstLine="200" w:firstLineChars="200"/>
    </w:pPr>
    <w:rPr>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qFormat/>
    <w:uiPriority w:val="0"/>
    <w:rPr>
      <w:rFonts w:ascii="仿宋_GB2312" w:eastAsia="仿宋_GB2312"/>
      <w:b/>
      <w:sz w:val="32"/>
      <w:szCs w:val="32"/>
    </w:rPr>
  </w:style>
  <w:style w:type="paragraph" w:customStyle="1" w:styleId="2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qFormat/>
    <w:uiPriority w:val="0"/>
    <w:pPr>
      <w:adjustRightInd/>
    </w:pPr>
    <w:rPr>
      <w:sz w:val="18"/>
      <w:szCs w:val="20"/>
    </w:rPr>
  </w:style>
  <w:style w:type="paragraph" w:customStyle="1" w:styleId="28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sz w:val="24"/>
      <w:szCs w:val="20"/>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9"/>
    <w:qFormat/>
    <w:uiPriority w:val="0"/>
    <w:pPr>
      <w:snapToGrid w:val="0"/>
      <w:spacing w:line="360" w:lineRule="auto"/>
    </w:pPr>
    <w:rPr>
      <w:rFonts w:ascii="宋体"/>
      <w:b/>
      <w:sz w:val="24"/>
      <w:szCs w:val="20"/>
    </w:rPr>
  </w:style>
  <w:style w:type="paragraph" w:customStyle="1" w:styleId="2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2">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qFormat/>
    <w:uiPriority w:val="7"/>
    <w:pPr>
      <w:adjustRightInd/>
    </w:pPr>
    <w:rPr>
      <w:rFonts w:ascii="宋体" w:hAnsi="Courier New"/>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6"/>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qFormat/>
    <w:uiPriority w:val="0"/>
    <w:pPr>
      <w:widowControl/>
      <w:adjustRightInd/>
      <w:spacing w:after="160" w:line="240" w:lineRule="exact"/>
      <w:jc w:val="left"/>
    </w:pPr>
    <w:rPr>
      <w:szCs w:val="20"/>
    </w:rPr>
  </w:style>
  <w:style w:type="paragraph" w:customStyle="1" w:styleId="303">
    <w:name w:val="表格标题2"/>
    <w:basedOn w:val="304"/>
    <w:qFormat/>
    <w:uiPriority w:val="0"/>
    <w:rPr>
      <w:b/>
    </w:rPr>
  </w:style>
  <w:style w:type="paragraph" w:customStyle="1" w:styleId="304">
    <w:name w:val="表格内文"/>
    <w:basedOn w:val="1"/>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qFormat/>
    <w:uiPriority w:val="0"/>
    <w:rPr>
      <w:rFonts w:ascii="仿宋_GB2312" w:eastAsia="仿宋_GB2312"/>
      <w:b/>
      <w:sz w:val="32"/>
      <w:szCs w:val="32"/>
    </w:rPr>
  </w:style>
  <w:style w:type="paragraph" w:customStyle="1" w:styleId="30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qFormat/>
    <w:uiPriority w:val="0"/>
    <w:pPr>
      <w:spacing w:line="360" w:lineRule="auto"/>
    </w:pPr>
    <w:rPr>
      <w:szCs w:val="20"/>
    </w:rPr>
  </w:style>
  <w:style w:type="paragraph" w:customStyle="1" w:styleId="30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1">
    <w:name w:val="MM Topic 1"/>
    <w:basedOn w:val="5"/>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qFormat/>
    <w:uiPriority w:val="0"/>
    <w:pPr>
      <w:spacing w:line="360" w:lineRule="auto"/>
      <w:ind w:firstLine="200" w:firstLineChars="200"/>
    </w:pPr>
    <w:rPr>
      <w:kern w:val="0"/>
      <w:sz w:val="24"/>
      <w:szCs w:val="20"/>
    </w:rPr>
  </w:style>
  <w:style w:type="paragraph" w:customStyle="1" w:styleId="314">
    <w:name w:val="表格"/>
    <w:basedOn w:val="1"/>
    <w:qFormat/>
    <w:uiPriority w:val="0"/>
    <w:pPr>
      <w:snapToGrid w:val="0"/>
      <w:ind w:firstLine="42" w:firstLineChars="21"/>
    </w:pPr>
    <w:rPr>
      <w:rFonts w:ascii="宋体" w:hAnsi="宋体"/>
      <w:kern w:val="0"/>
      <w:sz w:val="20"/>
      <w:szCs w:val="20"/>
    </w:rPr>
  </w:style>
  <w:style w:type="paragraph" w:customStyle="1" w:styleId="315">
    <w:name w:val="标书标题4"/>
    <w:basedOn w:val="9"/>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qFormat/>
    <w:uiPriority w:val="0"/>
    <w:pPr>
      <w:adjustRightInd/>
      <w:spacing w:line="300" w:lineRule="auto"/>
      <w:jc w:val="center"/>
    </w:pPr>
  </w:style>
  <w:style w:type="paragraph" w:customStyle="1" w:styleId="320">
    <w:name w:val="_Style 6"/>
    <w:basedOn w:val="1"/>
    <w:qFormat/>
    <w:uiPriority w:val="34"/>
    <w:pPr>
      <w:adjustRightInd/>
      <w:ind w:firstLine="420" w:firstLineChars="200"/>
    </w:pPr>
    <w:rPr>
      <w:rFonts w:eastAsia="仿宋_GB2312"/>
      <w:sz w:val="28"/>
    </w:rPr>
  </w:style>
  <w:style w:type="paragraph" w:customStyle="1" w:styleId="32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6"/>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8">
    <w:name w:val="trademark"/>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qFormat/>
    <w:uiPriority w:val="0"/>
    <w:rPr>
      <w:rFonts w:ascii="仿宋_GB2312" w:eastAsia="仿宋_GB2312"/>
      <w:b/>
      <w:sz w:val="32"/>
      <w:szCs w:val="20"/>
    </w:rPr>
  </w:style>
  <w:style w:type="paragraph" w:customStyle="1" w:styleId="3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qFormat/>
    <w:uiPriority w:val="0"/>
    <w:pPr>
      <w:adjustRightInd/>
      <w:ind w:firstLine="200" w:firstLineChars="200"/>
    </w:pPr>
    <w:rPr>
      <w:rFonts w:ascii="Tahoma" w:hAnsi="Tahoma"/>
      <w:sz w:val="24"/>
      <w:szCs w:val="20"/>
    </w:rPr>
  </w:style>
  <w:style w:type="paragraph" w:customStyle="1" w:styleId="333">
    <w:name w:val="a1"/>
    <w:basedOn w:val="1"/>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qFormat/>
    <w:uiPriority w:val="0"/>
    <w:pPr>
      <w:spacing w:after="156" w:afterLines="50"/>
      <w:jc w:val="left"/>
      <w:outlineLvl w:val="3"/>
    </w:pPr>
    <w:rPr>
      <w:sz w:val="24"/>
      <w:szCs w:val="24"/>
    </w:rPr>
  </w:style>
  <w:style w:type="paragraph" w:customStyle="1" w:styleId="3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qFormat/>
    <w:uiPriority w:val="0"/>
    <w:pPr>
      <w:adjustRightInd/>
    </w:pPr>
    <w:rPr>
      <w:rFonts w:ascii="Tahoma" w:hAnsi="Tahoma"/>
      <w:sz w:val="24"/>
      <w:szCs w:val="20"/>
    </w:rPr>
  </w:style>
  <w:style w:type="paragraph" w:customStyle="1" w:styleId="34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0"/>
    <w:pPr>
      <w:tabs>
        <w:tab w:val="left" w:pos="1260"/>
        <w:tab w:val="left" w:pos="1680"/>
        <w:tab w:val="left" w:pos="2100"/>
      </w:tabs>
      <w:ind w:left="0"/>
      <w:outlineLvl w:val="3"/>
    </w:pPr>
  </w:style>
  <w:style w:type="paragraph" w:customStyle="1" w:styleId="343">
    <w:name w:val="一级条标题"/>
    <w:basedOn w:val="344"/>
    <w:next w:val="326"/>
    <w:qFormat/>
    <w:uiPriority w:val="0"/>
    <w:pPr>
      <w:tabs>
        <w:tab w:val="left" w:pos="1260"/>
        <w:tab w:val="left" w:pos="1680"/>
      </w:tabs>
      <w:spacing w:before="0" w:beforeLines="0" w:after="0" w:afterLines="0"/>
      <w:ind w:left="1680"/>
      <w:outlineLvl w:val="2"/>
    </w:pPr>
  </w:style>
  <w:style w:type="paragraph" w:customStyle="1" w:styleId="344">
    <w:name w:val="章标题"/>
    <w:next w:val="32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6"/>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5"/>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5"/>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qFormat/>
    <w:uiPriority w:val="0"/>
    <w:pPr>
      <w:tabs>
        <w:tab w:val="left" w:pos="840"/>
      </w:tabs>
      <w:spacing w:after="0"/>
      <w:ind w:left="900"/>
    </w:pPr>
  </w:style>
  <w:style w:type="paragraph" w:customStyle="1" w:styleId="35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qFormat/>
    <w:uiPriority w:val="6"/>
    <w:pPr>
      <w:widowControl/>
      <w:adjustRightInd/>
      <w:ind w:left="720" w:hanging="720"/>
    </w:pPr>
    <w:rPr>
      <w:color w:val="000000"/>
      <w:kern w:val="0"/>
      <w:sz w:val="24"/>
      <w:szCs w:val="20"/>
    </w:rPr>
  </w:style>
  <w:style w:type="paragraph" w:customStyle="1" w:styleId="354">
    <w:name w:val="表1"/>
    <w:basedOn w:val="1"/>
    <w:qFormat/>
    <w:uiPriority w:val="0"/>
    <w:pPr>
      <w:tabs>
        <w:tab w:val="left" w:pos="703"/>
      </w:tabs>
      <w:adjustRightInd/>
      <w:spacing w:line="360" w:lineRule="auto"/>
      <w:ind w:left="703"/>
      <w:jc w:val="center"/>
    </w:pPr>
  </w:style>
  <w:style w:type="paragraph" w:customStyle="1" w:styleId="35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9"/>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6"/>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after="160"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39"/>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7"/>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after="160"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399"/>
    <w:next w:val="39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3">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qFormat/>
    <w:uiPriority w:val="0"/>
    <w:pPr>
      <w:adjustRightInd/>
      <w:spacing w:line="360" w:lineRule="auto"/>
    </w:pPr>
    <w:rPr>
      <w:rFonts w:ascii="宋体" w:hAnsi="宋体"/>
      <w:szCs w:val="20"/>
    </w:rPr>
  </w:style>
  <w:style w:type="paragraph" w:customStyle="1" w:styleId="43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qFormat/>
    <w:uiPriority w:val="0"/>
    <w:pPr>
      <w:adjustRightInd/>
    </w:pPr>
    <w:rPr>
      <w:rFonts w:ascii="Tahoma" w:hAnsi="Tahoma"/>
      <w:sz w:val="24"/>
    </w:rPr>
  </w:style>
  <w:style w:type="paragraph" w:customStyle="1" w:styleId="440">
    <w:name w:val="Char Char Char Char11"/>
    <w:basedOn w:val="1"/>
    <w:qFormat/>
    <w:uiPriority w:val="0"/>
    <w:rPr>
      <w:rFonts w:ascii="Tahoma" w:hAnsi="Tahoma"/>
      <w:sz w:val="24"/>
      <w:szCs w:val="20"/>
    </w:rPr>
  </w:style>
  <w:style w:type="paragraph" w:customStyle="1" w:styleId="4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6"/>
    <w:qFormat/>
    <w:uiPriority w:val="0"/>
    <w:pPr>
      <w:snapToGrid w:val="0"/>
      <w:ind w:firstLine="480" w:firstLineChars="200"/>
    </w:pPr>
    <w:rPr>
      <w:rFonts w:ascii="Times New Roman"/>
      <w:szCs w:val="24"/>
      <w:lang w:val="en-US"/>
    </w:rPr>
  </w:style>
  <w:style w:type="paragraph" w:customStyle="1" w:styleId="45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62"/>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7"/>
    <w:next w:val="56"/>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5"/>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qFormat/>
    <w:uiPriority w:val="0"/>
    <w:rPr>
      <w:rFonts w:ascii="仿宋_GB2312" w:eastAsia="仿宋_GB2312"/>
      <w:b/>
      <w:sz w:val="32"/>
      <w:szCs w:val="32"/>
    </w:rPr>
  </w:style>
  <w:style w:type="paragraph" w:customStyle="1" w:styleId="480">
    <w:name w:val="五级条标题"/>
    <w:basedOn w:val="481"/>
    <w:next w:val="326"/>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1"/>
    <w:next w:val="326"/>
    <w:qFormat/>
    <w:uiPriority w:val="0"/>
    <w:pPr>
      <w:tabs>
        <w:tab w:val="left" w:pos="2940"/>
        <w:tab w:val="clear" w:pos="2520"/>
      </w:tabs>
      <w:ind w:left="2940"/>
      <w:outlineLvl w:val="5"/>
    </w:pPr>
  </w:style>
  <w:style w:type="paragraph" w:customStyle="1" w:styleId="48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qFormat/>
    <w:uiPriority w:val="0"/>
    <w:rPr>
      <w:rFonts w:ascii="仿宋_GB2312" w:eastAsia="仿宋_GB2312"/>
      <w:b/>
      <w:sz w:val="32"/>
      <w:szCs w:val="32"/>
    </w:rPr>
  </w:style>
  <w:style w:type="paragraph" w:customStyle="1" w:styleId="4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8">
    <w:name w:val="单元格左对齐"/>
    <w:basedOn w:val="1"/>
    <w:qFormat/>
    <w:uiPriority w:val="0"/>
    <w:pPr>
      <w:adjustRightInd/>
      <w:spacing w:line="360" w:lineRule="auto"/>
    </w:pPr>
    <w:rPr>
      <w:sz w:val="24"/>
    </w:rPr>
  </w:style>
  <w:style w:type="paragraph" w:customStyle="1" w:styleId="489">
    <w:name w:val="正文主体"/>
    <w:basedOn w:val="310"/>
    <w:qFormat/>
    <w:uiPriority w:val="0"/>
  </w:style>
  <w:style w:type="paragraph" w:customStyle="1" w:styleId="4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qFormat/>
    <w:uiPriority w:val="0"/>
    <w:pPr>
      <w:adjustRightInd/>
      <w:spacing w:line="360" w:lineRule="auto"/>
      <w:ind w:firstLine="480" w:firstLineChars="200"/>
    </w:pPr>
    <w:rPr>
      <w:sz w:val="24"/>
      <w:szCs w:val="20"/>
    </w:rPr>
  </w:style>
  <w:style w:type="paragraph" w:customStyle="1" w:styleId="494">
    <w:name w:val="P1"/>
    <w:basedOn w:val="1"/>
    <w:qFormat/>
    <w:uiPriority w:val="0"/>
    <w:pPr>
      <w:adjustRightInd/>
      <w:spacing w:line="288" w:lineRule="auto"/>
      <w:ind w:firstLine="425" w:firstLineChars="200"/>
    </w:pPr>
  </w:style>
  <w:style w:type="paragraph" w:customStyle="1" w:styleId="495">
    <w:name w:val="列表内容"/>
    <w:basedOn w:val="1"/>
    <w:next w:val="1"/>
    <w:qFormat/>
    <w:uiPriority w:val="0"/>
    <w:pPr>
      <w:widowControl/>
      <w:tabs>
        <w:tab w:val="left" w:pos="840"/>
      </w:tabs>
      <w:ind w:left="840" w:hanging="420"/>
      <w:jc w:val="left"/>
    </w:pPr>
    <w:rPr>
      <w:kern w:val="0"/>
      <w:sz w:val="18"/>
    </w:rPr>
  </w:style>
  <w:style w:type="paragraph" w:customStyle="1" w:styleId="496">
    <w:name w:val="Char Char11 Char Char Char1"/>
    <w:basedOn w:val="1"/>
    <w:qFormat/>
    <w:uiPriority w:val="6"/>
    <w:pPr>
      <w:spacing w:line="360" w:lineRule="auto"/>
    </w:pPr>
    <w:rPr>
      <w:szCs w:val="20"/>
    </w:rPr>
  </w:style>
  <w:style w:type="paragraph" w:customStyle="1" w:styleId="49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8">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6"/>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qFormat/>
    <w:uiPriority w:val="0"/>
    <w:pPr>
      <w:spacing w:line="360" w:lineRule="auto"/>
    </w:pPr>
    <w:rPr>
      <w:szCs w:val="20"/>
    </w:rPr>
  </w:style>
  <w:style w:type="paragraph" w:customStyle="1" w:styleId="50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qFormat/>
    <w:uiPriority w:val="0"/>
    <w:rPr>
      <w:rFonts w:ascii="仿宋_GB2312" w:eastAsia="仿宋_GB2312"/>
      <w:b/>
      <w:sz w:val="32"/>
      <w:szCs w:val="32"/>
    </w:rPr>
  </w:style>
  <w:style w:type="paragraph" w:customStyle="1" w:styleId="50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qFormat/>
    <w:uiPriority w:val="0"/>
    <w:pPr>
      <w:adjustRightInd/>
      <w:spacing w:line="360" w:lineRule="auto"/>
      <w:ind w:firstLine="480"/>
    </w:pPr>
    <w:rPr>
      <w:rFonts w:cs="宋体"/>
      <w:sz w:val="24"/>
      <w:szCs w:val="20"/>
    </w:rPr>
  </w:style>
  <w:style w:type="paragraph" w:customStyle="1" w:styleId="509">
    <w:name w:val="Char Char4 Char Char"/>
    <w:basedOn w:val="1"/>
    <w:qFormat/>
    <w:uiPriority w:val="0"/>
    <w:pPr>
      <w:widowControl/>
      <w:adjustRightInd/>
      <w:spacing w:after="160" w:line="240" w:lineRule="exact"/>
      <w:jc w:val="left"/>
    </w:pPr>
  </w:style>
  <w:style w:type="paragraph" w:customStyle="1" w:styleId="5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qFormat/>
    <w:uiPriority w:val="0"/>
    <w:pPr>
      <w:spacing w:line="360" w:lineRule="auto"/>
    </w:pPr>
    <w:rPr>
      <w:szCs w:val="20"/>
    </w:rPr>
  </w:style>
  <w:style w:type="paragraph" w:customStyle="1" w:styleId="51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0"/>
    <w:pPr>
      <w:adjustRightInd/>
      <w:ind w:firstLine="200" w:firstLineChars="200"/>
    </w:pPr>
    <w:rPr>
      <w:rFonts w:ascii="Tahoma" w:hAnsi="Tahoma"/>
      <w:sz w:val="24"/>
      <w:szCs w:val="20"/>
    </w:rPr>
  </w:style>
  <w:style w:type="paragraph" w:customStyle="1" w:styleId="51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qFormat/>
    <w:uiPriority w:val="0"/>
    <w:pPr>
      <w:tabs>
        <w:tab w:val="left" w:pos="0"/>
      </w:tabs>
      <w:ind w:left="900" w:firstLine="0" w:firstLineChars="0"/>
    </w:pPr>
  </w:style>
  <w:style w:type="paragraph" w:customStyle="1" w:styleId="522">
    <w:name w:val="Bulleted List"/>
    <w:basedOn w:val="1"/>
    <w:qFormat/>
    <w:uiPriority w:val="0"/>
    <w:pPr>
      <w:tabs>
        <w:tab w:val="left" w:pos="1260"/>
      </w:tabs>
      <w:adjustRightInd/>
      <w:ind w:left="1260" w:hanging="420"/>
    </w:pPr>
  </w:style>
  <w:style w:type="paragraph" w:customStyle="1" w:styleId="523">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qFormat/>
    <w:uiPriority w:val="0"/>
    <w:rPr>
      <w:rFonts w:ascii="Tahoma" w:hAnsi="Tahoma" w:cs="仿宋_GB2312"/>
      <w:sz w:val="24"/>
      <w:szCs w:val="20"/>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21"/>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3"/>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8"/>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4"/>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7"/>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5"/>
    <w:qFormat/>
    <w:uiPriority w:val="0"/>
    <w:rPr>
      <w:b w:val="0"/>
      <w:sz w:val="20"/>
    </w:rPr>
  </w:style>
  <w:style w:type="paragraph" w:customStyle="1" w:styleId="579">
    <w:name w:val="正文首行缩进1"/>
    <w:basedOn w:val="26"/>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10"/>
    <w:next w:val="1"/>
    <w:qFormat/>
    <w:uiPriority w:val="0"/>
    <w:pPr>
      <w:tabs>
        <w:tab w:val="left" w:pos="1080"/>
        <w:tab w:val="clear" w:pos="1008"/>
      </w:tabs>
      <w:ind w:left="1080" w:hanging="1080"/>
    </w:pPr>
  </w:style>
  <w:style w:type="paragraph" w:customStyle="1" w:styleId="582">
    <w:name w:val="数字标题1"/>
    <w:basedOn w:val="5"/>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29"/>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8"/>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1"/>
    <w:qFormat/>
    <w:uiPriority w:val="0"/>
    <w:pPr>
      <w:adjustRightInd/>
      <w:spacing w:line="360" w:lineRule="auto"/>
      <w:ind w:firstLine="480" w:firstLineChars="200"/>
    </w:pPr>
    <w:rPr>
      <w:rFonts w:cs="宋体"/>
      <w:sz w:val="24"/>
      <w:szCs w:val="20"/>
    </w:rPr>
  </w:style>
  <w:style w:type="paragraph" w:customStyle="1" w:styleId="608">
    <w:name w:val="_Style 947"/>
    <w:basedOn w:val="1"/>
    <w:next w:val="103"/>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20">
    <w:name w:val="表格非标题文字 Char"/>
    <w:link w:val="83"/>
    <w:qFormat/>
    <w:uiPriority w:val="0"/>
    <w:rPr>
      <w:rFonts w:ascii="Futura Bk" w:hAnsi="Futura Bk"/>
      <w:kern w:val="2"/>
      <w:sz w:val="18"/>
      <w:szCs w:val="21"/>
      <w:lang w:val="en-US" w:eastAsia="zh-CN" w:bidi="ar-SA"/>
    </w:rPr>
  </w:style>
  <w:style w:type="character" w:customStyle="1" w:styleId="621">
    <w:name w:val="*正文 Char"/>
    <w:link w:val="84"/>
    <w:qFormat/>
    <w:locked/>
    <w:uiPriority w:val="0"/>
    <w:rPr>
      <w:rFonts w:ascii="宋体" w:hAnsi="宋体"/>
      <w:sz w:val="24"/>
    </w:rPr>
  </w:style>
  <w:style w:type="character" w:customStyle="1" w:styleId="622">
    <w:name w:val="Char Char71"/>
    <w:semiHidden/>
    <w:qFormat/>
    <w:uiPriority w:val="0"/>
    <w:rPr>
      <w:rFonts w:eastAsia="宋体"/>
      <w:kern w:val="2"/>
      <w:sz w:val="21"/>
      <w:szCs w:val="24"/>
      <w:lang w:val="en-US" w:eastAsia="zh-CN" w:bidi="ar-SA"/>
    </w:rPr>
  </w:style>
  <w:style w:type="character" w:customStyle="1" w:styleId="623">
    <w:name w:val="Char Char6"/>
    <w:qFormat/>
    <w:uiPriority w:val="0"/>
    <w:rPr>
      <w:rFonts w:eastAsia="宋体"/>
      <w:kern w:val="2"/>
      <w:sz w:val="21"/>
      <w:szCs w:val="24"/>
      <w:lang w:val="en-US" w:eastAsia="zh-CN" w:bidi="ar-SA"/>
    </w:rPr>
  </w:style>
  <w:style w:type="character" w:customStyle="1" w:styleId="624">
    <w:name w:val="正文缩进 Char"/>
    <w:qFormat/>
    <w:uiPriority w:val="0"/>
    <w:rPr>
      <w:rFonts w:eastAsia="宋体"/>
      <w:kern w:val="2"/>
      <w:sz w:val="21"/>
      <w:lang w:val="en-US" w:eastAsia="zh-CN"/>
    </w:rPr>
  </w:style>
  <w:style w:type="character" w:customStyle="1" w:styleId="625">
    <w:name w:val="正文首行缩进 Char1"/>
    <w:qFormat/>
    <w:uiPriority w:val="0"/>
    <w:rPr>
      <w:rFonts w:ascii="宋体" w:hAnsi="Times New Roman" w:eastAsia="宋体" w:cs="Times New Roman"/>
      <w:snapToGrid w:val="0"/>
      <w:kern w:val="2"/>
      <w:sz w:val="24"/>
      <w:szCs w:val="21"/>
      <w:lang w:val="zh-CN"/>
    </w:rPr>
  </w:style>
  <w:style w:type="character" w:customStyle="1" w:styleId="626">
    <w:name w:val="Char Char28"/>
    <w:qFormat/>
    <w:uiPriority w:val="6"/>
    <w:rPr>
      <w:rFonts w:ascii="仿宋_GB2312" w:hAnsi="仿宋_GB2312" w:eastAsia="仿宋_GB2312"/>
      <w:kern w:val="1"/>
      <w:sz w:val="28"/>
    </w:rPr>
  </w:style>
  <w:style w:type="character" w:customStyle="1" w:styleId="62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qFormat/>
    <w:uiPriority w:val="6"/>
    <w:rPr>
      <w:rFonts w:ascii="Times New Roman" w:hAnsi="Times New Roman" w:eastAsia="黑体" w:cs="Times New Roman"/>
      <w:b/>
      <w:kern w:val="0"/>
      <w:sz w:val="24"/>
      <w:szCs w:val="24"/>
    </w:rPr>
  </w:style>
  <w:style w:type="character" w:customStyle="1" w:styleId="629">
    <w:name w:val="U_正文 Char"/>
    <w:link w:val="85"/>
    <w:qFormat/>
    <w:uiPriority w:val="0"/>
    <w:rPr>
      <w:sz w:val="24"/>
      <w:szCs w:val="24"/>
    </w:rPr>
  </w:style>
  <w:style w:type="character" w:customStyle="1" w:styleId="630">
    <w:name w:val="HTML 地址 Char1"/>
    <w:qFormat/>
    <w:uiPriority w:val="0"/>
    <w:rPr>
      <w:rFonts w:ascii="Times New Roman" w:hAnsi="Times New Roman" w:eastAsia="宋体" w:cs="Times New Roman"/>
      <w:i/>
      <w:iCs/>
      <w:szCs w:val="24"/>
    </w:rPr>
  </w:style>
  <w:style w:type="character" w:customStyle="1" w:styleId="631">
    <w:name w:val="批注主题 Char1"/>
    <w:link w:val="63"/>
    <w:qFormat/>
    <w:uiPriority w:val="0"/>
    <w:rPr>
      <w:b/>
      <w:bCs/>
      <w:kern w:val="2"/>
      <w:sz w:val="21"/>
      <w:szCs w:val="24"/>
    </w:rPr>
  </w:style>
  <w:style w:type="character" w:customStyle="1" w:styleId="632">
    <w:name w:val="Char Char51"/>
    <w:qFormat/>
    <w:uiPriority w:val="0"/>
    <w:rPr>
      <w:rFonts w:ascii="宋体" w:hAnsi="Courier New" w:eastAsia="宋体"/>
      <w:kern w:val="2"/>
      <w:sz w:val="21"/>
      <w:lang w:val="en-US" w:eastAsia="zh-CN"/>
    </w:rPr>
  </w:style>
  <w:style w:type="character" w:customStyle="1" w:styleId="633">
    <w:name w:val="表正文 Char"/>
    <w:qFormat/>
    <w:uiPriority w:val="0"/>
    <w:rPr>
      <w:rFonts w:ascii="宋体" w:eastAsia="宋体"/>
      <w:snapToGrid w:val="0"/>
      <w:color w:val="000000"/>
      <w:kern w:val="28"/>
      <w:sz w:val="28"/>
      <w:lang w:val="en-US" w:eastAsia="zh-CN" w:bidi="ar-SA"/>
    </w:rPr>
  </w:style>
  <w:style w:type="character" w:customStyle="1" w:styleId="634">
    <w:name w:val="Char Char34"/>
    <w:qFormat/>
    <w:uiPriority w:val="6"/>
    <w:rPr>
      <w:b/>
      <w:kern w:val="1"/>
      <w:sz w:val="28"/>
      <w:szCs w:val="28"/>
    </w:rPr>
  </w:style>
  <w:style w:type="character" w:customStyle="1" w:styleId="63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86"/>
    <w:qFormat/>
    <w:uiPriority w:val="0"/>
    <w:rPr>
      <w:rFonts w:ascii="宋体" w:hAnsi="宋体" w:eastAsia="宋体"/>
      <w:kern w:val="2"/>
      <w:sz w:val="24"/>
      <w:lang w:bidi="ar-SA"/>
    </w:rPr>
  </w:style>
  <w:style w:type="character" w:customStyle="1" w:styleId="637">
    <w:name w:val="未处理的提及1"/>
    <w:qFormat/>
    <w:uiPriority w:val="0"/>
    <w:rPr>
      <w:color w:val="808080"/>
      <w:shd w:val="clear" w:color="auto" w:fill="E6E6E6"/>
    </w:rPr>
  </w:style>
  <w:style w:type="character" w:customStyle="1" w:styleId="638">
    <w:name w:val="txt"/>
    <w:qFormat/>
    <w:uiPriority w:val="0"/>
    <w:rPr>
      <w:rFonts w:ascii="仿宋_GB2312" w:eastAsia="微软雅黑"/>
      <w:b/>
      <w:kern w:val="2"/>
      <w:sz w:val="32"/>
      <w:szCs w:val="32"/>
      <w:lang w:val="en-US" w:eastAsia="zh-CN" w:bidi="ar-SA"/>
    </w:rPr>
  </w:style>
  <w:style w:type="character" w:customStyle="1" w:styleId="639">
    <w:name w:val="二级标题 Char Char"/>
    <w:qFormat/>
    <w:uiPriority w:val="0"/>
    <w:rPr>
      <w:rFonts w:ascii="宋体" w:hAnsi="宋体" w:eastAsia="宋体"/>
      <w:b/>
      <w:snapToGrid w:val="0"/>
      <w:kern w:val="2"/>
      <w:sz w:val="24"/>
      <w:szCs w:val="24"/>
      <w:lang w:val="en-US" w:eastAsia="zh-CN" w:bidi="ar-SA"/>
    </w:rPr>
  </w:style>
  <w:style w:type="character" w:customStyle="1" w:styleId="640">
    <w:name w:val="Char Char32"/>
    <w:qFormat/>
    <w:uiPriority w:val="6"/>
    <w:rPr>
      <w:b/>
      <w:kern w:val="1"/>
      <w:sz w:val="24"/>
      <w:szCs w:val="24"/>
    </w:rPr>
  </w:style>
  <w:style w:type="character" w:customStyle="1" w:styleId="641">
    <w:name w:val="PI Char1"/>
    <w:qFormat/>
    <w:uiPriority w:val="0"/>
    <w:rPr>
      <w:rFonts w:ascii="宋体" w:hAnsi="宋体"/>
      <w:kern w:val="2"/>
      <w:sz w:val="24"/>
      <w:szCs w:val="24"/>
    </w:rPr>
  </w:style>
  <w:style w:type="character" w:customStyle="1" w:styleId="642">
    <w:name w:val="tw4winTerm"/>
    <w:qFormat/>
    <w:uiPriority w:val="0"/>
    <w:rPr>
      <w:color w:val="0000FF"/>
    </w:rPr>
  </w:style>
  <w:style w:type="character" w:customStyle="1" w:styleId="643">
    <w:name w:val="Footer Char"/>
    <w:qFormat/>
    <w:locked/>
    <w:uiPriority w:val="0"/>
    <w:rPr>
      <w:rFonts w:eastAsia="宋体"/>
      <w:kern w:val="2"/>
      <w:sz w:val="18"/>
      <w:lang w:val="en-US" w:eastAsia="zh-CN" w:bidi="ar-SA"/>
    </w:rPr>
  </w:style>
  <w:style w:type="character" w:customStyle="1" w:styleId="644">
    <w:name w:val="普通文字 Char Char1"/>
    <w:qFormat/>
    <w:uiPriority w:val="0"/>
    <w:rPr>
      <w:rFonts w:ascii="宋体" w:hAnsi="Courier New"/>
      <w:kern w:val="2"/>
      <w:sz w:val="21"/>
    </w:rPr>
  </w:style>
  <w:style w:type="character" w:customStyle="1" w:styleId="645">
    <w:name w:val="Char Char101"/>
    <w:qFormat/>
    <w:uiPriority w:val="6"/>
    <w:rPr>
      <w:rFonts w:ascii="宋体" w:hAnsi="宋体"/>
      <w:kern w:val="2"/>
      <w:sz w:val="21"/>
      <w:szCs w:val="24"/>
      <w:lang w:val="en-US" w:eastAsia="zh-CN"/>
    </w:rPr>
  </w:style>
  <w:style w:type="character" w:customStyle="1" w:styleId="646">
    <w:name w:val="标题 4 Char"/>
    <w:qFormat/>
    <w:uiPriority w:val="0"/>
    <w:rPr>
      <w:rFonts w:ascii="Arial" w:hAnsi="Arial" w:eastAsia="黑体"/>
      <w:b/>
      <w:kern w:val="2"/>
      <w:sz w:val="28"/>
    </w:rPr>
  </w:style>
  <w:style w:type="character" w:customStyle="1" w:styleId="647">
    <w:name w:val="链接"/>
    <w:qFormat/>
    <w:uiPriority w:val="0"/>
    <w:rPr>
      <w:color w:val="0000FF"/>
      <w:sz w:val="21"/>
      <w:szCs w:val="21"/>
      <w:u w:val="single"/>
    </w:rPr>
  </w:style>
  <w:style w:type="character" w:customStyle="1" w:styleId="648">
    <w:name w:val="h4 Char"/>
    <w:qFormat/>
    <w:uiPriority w:val="0"/>
    <w:rPr>
      <w:rFonts w:ascii="Arial" w:hAnsi="Arial" w:eastAsia="黑体"/>
      <w:b/>
      <w:bCs/>
      <w:kern w:val="2"/>
      <w:sz w:val="28"/>
      <w:szCs w:val="28"/>
      <w:lang w:val="zh-CN" w:eastAsia="zh-CN" w:bidi="ar-SA"/>
    </w:rPr>
  </w:style>
  <w:style w:type="character" w:customStyle="1" w:styleId="649">
    <w:name w:val="5正文 Char"/>
    <w:link w:val="87"/>
    <w:qFormat/>
    <w:uiPriority w:val="0"/>
    <w:rPr>
      <w:rFonts w:ascii="仿宋_GB2312" w:hAnsi="微软雅黑" w:eastAsia="仿宋_GB2312"/>
      <w:sz w:val="28"/>
      <w:szCs w:val="21"/>
    </w:rPr>
  </w:style>
  <w:style w:type="character" w:customStyle="1" w:styleId="650">
    <w:name w:val="标题 3 字符"/>
    <w:qFormat/>
    <w:uiPriority w:val="9"/>
    <w:rPr>
      <w:b/>
      <w:bCs/>
      <w:kern w:val="2"/>
      <w:sz w:val="32"/>
      <w:szCs w:val="32"/>
    </w:rPr>
  </w:style>
  <w:style w:type="character" w:customStyle="1" w:styleId="651">
    <w:name w:val="样式6 Char"/>
    <w:qFormat/>
    <w:uiPriority w:val="0"/>
    <w:rPr>
      <w:rFonts w:ascii="仿宋_GB2312" w:hAnsi="宋体" w:eastAsia="仿宋_GB2312"/>
      <w:b/>
      <w:bCs/>
      <w:kern w:val="2"/>
      <w:sz w:val="24"/>
      <w:szCs w:val="24"/>
      <w:lang w:val="en-US" w:eastAsia="zh-CN" w:bidi="ar-SA"/>
    </w:rPr>
  </w:style>
  <w:style w:type="character" w:customStyle="1" w:styleId="652">
    <w:name w:val="Char Char14"/>
    <w:qFormat/>
    <w:uiPriority w:val="6"/>
    <w:rPr>
      <w:rFonts w:ascii="黑体" w:hAnsi="黑体" w:eastAsia="黑体"/>
    </w:rPr>
  </w:style>
  <w:style w:type="character" w:customStyle="1" w:styleId="653">
    <w:name w:val="Heading 2 Hidden Char"/>
    <w:qFormat/>
    <w:uiPriority w:val="0"/>
    <w:rPr>
      <w:rFonts w:ascii="仿宋_GB2312" w:eastAsia="仿宋_GB2312"/>
      <w:b/>
      <w:bCs/>
      <w:kern w:val="2"/>
      <w:sz w:val="24"/>
      <w:szCs w:val="24"/>
      <w:lang w:val="zh-CN" w:eastAsia="zh-CN" w:bidi="ar-SA"/>
    </w:rPr>
  </w:style>
  <w:style w:type="character" w:customStyle="1" w:styleId="654">
    <w:name w:val="正文首行缩进 2 Char"/>
    <w:link w:val="2"/>
    <w:qFormat/>
    <w:uiPriority w:val="0"/>
    <w:rPr>
      <w:rFonts w:ascii="宋体" w:hAnsi="宋体"/>
      <w:kern w:val="2"/>
      <w:sz w:val="21"/>
      <w:szCs w:val="24"/>
    </w:rPr>
  </w:style>
  <w:style w:type="character" w:customStyle="1" w:styleId="655">
    <w:name w:val="font11"/>
    <w:qFormat/>
    <w:uiPriority w:val="0"/>
    <w:rPr>
      <w:rFonts w:hint="default" w:ascii="Times New Roman" w:hAnsi="Times New Roman" w:cs="Times New Roman"/>
      <w:color w:val="000000"/>
      <w:sz w:val="22"/>
      <w:szCs w:val="22"/>
      <w:u w:val="none"/>
    </w:rPr>
  </w:style>
  <w:style w:type="character" w:customStyle="1" w:styleId="656">
    <w:name w:val="表正文 Char1"/>
    <w:qFormat/>
    <w:uiPriority w:val="0"/>
    <w:rPr>
      <w:rFonts w:ascii="宋体" w:eastAsia="宋体"/>
      <w:snapToGrid w:val="0"/>
      <w:color w:val="000000"/>
      <w:kern w:val="28"/>
      <w:sz w:val="28"/>
    </w:rPr>
  </w:style>
  <w:style w:type="character" w:customStyle="1" w:styleId="657">
    <w:name w:val="blue1"/>
    <w:basedOn w:val="71"/>
    <w:qFormat/>
    <w:uiPriority w:val="0"/>
    <w:rPr>
      <w:rFonts w:ascii="Arial" w:hAnsi="Arial" w:eastAsia="黑体" w:cs="Arial"/>
      <w:snapToGrid w:val="0"/>
      <w:kern w:val="0"/>
      <w:szCs w:val="21"/>
    </w:rPr>
  </w:style>
  <w:style w:type="character" w:customStyle="1" w:styleId="658">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59">
    <w:name w:val="标书1 Char"/>
    <w:qFormat/>
    <w:uiPriority w:val="0"/>
    <w:rPr>
      <w:rFonts w:eastAsia="宋体"/>
      <w:b/>
      <w:bCs/>
      <w:kern w:val="44"/>
      <w:sz w:val="44"/>
      <w:szCs w:val="44"/>
      <w:lang w:val="en-US" w:eastAsia="zh-CN" w:bidi="ar-SA"/>
    </w:rPr>
  </w:style>
  <w:style w:type="character" w:customStyle="1" w:styleId="660">
    <w:name w:val="样式5 Char"/>
    <w:qFormat/>
    <w:uiPriority w:val="0"/>
    <w:rPr>
      <w:rFonts w:ascii="仿宋_GB2312" w:hAnsi="仿宋" w:eastAsia="仿宋_GB2312"/>
      <w:kern w:val="2"/>
      <w:sz w:val="24"/>
      <w:szCs w:val="24"/>
    </w:rPr>
  </w:style>
  <w:style w:type="character" w:customStyle="1" w:styleId="661">
    <w:name w:val="样式4 Char"/>
    <w:qFormat/>
    <w:uiPriority w:val="0"/>
    <w:rPr>
      <w:rFonts w:ascii="仿宋_GB2312" w:hAnsi="仿宋" w:eastAsia="仿宋_GB2312"/>
      <w:b/>
      <w:kern w:val="2"/>
      <w:sz w:val="32"/>
      <w:szCs w:val="32"/>
      <w:lang w:bidi="ar-SA"/>
    </w:rPr>
  </w:style>
  <w:style w:type="character" w:customStyle="1" w:styleId="662">
    <w:name w:val="插图说明 Char"/>
    <w:qFormat/>
    <w:uiPriority w:val="0"/>
    <w:rPr>
      <w:rFonts w:eastAsia="黑体"/>
      <w:sz w:val="24"/>
      <w:lang w:val="en-US" w:eastAsia="zh-CN"/>
    </w:rPr>
  </w:style>
  <w:style w:type="character" w:customStyle="1" w:styleId="663">
    <w:name w:val="正文2 Char Char"/>
    <w:link w:val="88"/>
    <w:qFormat/>
    <w:uiPriority w:val="0"/>
    <w:rPr>
      <w:rFonts w:eastAsia="宋体"/>
      <w:kern w:val="2"/>
      <w:sz w:val="24"/>
      <w:lang w:val="en-US" w:eastAsia="zh-CN" w:bidi="ar-SA"/>
    </w:rPr>
  </w:style>
  <w:style w:type="character" w:customStyle="1" w:styleId="664">
    <w:name w:val="Char Char24"/>
    <w:qFormat/>
    <w:uiPriority w:val="6"/>
    <w:rPr>
      <w:kern w:val="1"/>
      <w:sz w:val="21"/>
    </w:rPr>
  </w:style>
  <w:style w:type="character" w:customStyle="1" w:styleId="665">
    <w:name w:val="副标题 Char"/>
    <w:link w:val="50"/>
    <w:qFormat/>
    <w:uiPriority w:val="0"/>
    <w:rPr>
      <w:rFonts w:ascii="Arial" w:hAnsi="Arial" w:eastAsia="隶书"/>
      <w:b/>
      <w:bCs/>
      <w:kern w:val="28"/>
      <w:sz w:val="44"/>
      <w:szCs w:val="32"/>
      <w:lang w:val="en-US" w:eastAsia="zh-CN" w:bidi="ar-SA"/>
    </w:rPr>
  </w:style>
  <w:style w:type="character" w:customStyle="1" w:styleId="666">
    <w:name w:val="普通文字 Char1 Char"/>
    <w:qFormat/>
    <w:uiPriority w:val="0"/>
    <w:rPr>
      <w:rFonts w:ascii="宋体" w:hAnsi="Courier New" w:eastAsia="宋体"/>
      <w:kern w:val="2"/>
      <w:sz w:val="21"/>
      <w:szCs w:val="24"/>
      <w:lang w:val="en-US" w:eastAsia="zh-CN" w:bidi="ar-SA"/>
    </w:rPr>
  </w:style>
  <w:style w:type="character" w:customStyle="1" w:styleId="667">
    <w:name w:val="h3 Char1"/>
    <w:qFormat/>
    <w:uiPriority w:val="0"/>
    <w:rPr>
      <w:rFonts w:eastAsia="宋体"/>
      <w:b/>
      <w:bCs/>
      <w:kern w:val="2"/>
      <w:sz w:val="32"/>
      <w:szCs w:val="32"/>
      <w:lang w:bidi="ar-SA"/>
    </w:rPr>
  </w:style>
  <w:style w:type="character" w:customStyle="1" w:styleId="668">
    <w:name w:val="标题 Char1"/>
    <w:qFormat/>
    <w:uiPriority w:val="0"/>
    <w:rPr>
      <w:rFonts w:ascii="Cambria" w:hAnsi="Cambria" w:eastAsia="宋体" w:cs="Times New Roman"/>
      <w:b/>
      <w:bCs/>
      <w:sz w:val="32"/>
      <w:szCs w:val="32"/>
      <w:lang w:bidi="ar-SA"/>
    </w:rPr>
  </w:style>
  <w:style w:type="character" w:customStyle="1" w:styleId="669">
    <w:name w:val="gf正文1 Char"/>
    <w:qFormat/>
    <w:uiPriority w:val="0"/>
    <w:rPr>
      <w:rFonts w:ascii="宋体" w:hAnsi="宋体" w:eastAsia="宋体" w:cs="宋体"/>
      <w:kern w:val="2"/>
      <w:sz w:val="24"/>
      <w:szCs w:val="24"/>
      <w:lang w:val="en-US" w:eastAsia="zh-CN" w:bidi="ar-SA"/>
    </w:rPr>
  </w:style>
  <w:style w:type="character" w:customStyle="1" w:styleId="670">
    <w:name w:val="正文文本缩进 Char1"/>
    <w:qFormat/>
    <w:uiPriority w:val="0"/>
    <w:rPr>
      <w:rFonts w:ascii="Calibri" w:hAnsi="Calibri"/>
      <w:sz w:val="28"/>
    </w:rPr>
  </w:style>
  <w:style w:type="character" w:customStyle="1" w:styleId="671">
    <w:name w:val="No Spacing Char"/>
    <w:link w:val="89"/>
    <w:qFormat/>
    <w:uiPriority w:val="1"/>
    <w:rPr>
      <w:sz w:val="22"/>
      <w:szCs w:val="22"/>
      <w:lang w:val="en-US" w:eastAsia="zh-CN" w:bidi="ar-SA"/>
    </w:rPr>
  </w:style>
  <w:style w:type="character" w:customStyle="1" w:styleId="672">
    <w:name w:val="样式7 Char"/>
    <w:qFormat/>
    <w:uiPriority w:val="0"/>
    <w:rPr>
      <w:rFonts w:ascii="仿宋_GB2312" w:hAnsi="仿宋" w:eastAsia="仿宋_GB2312"/>
      <w:b/>
      <w:kern w:val="2"/>
      <w:sz w:val="24"/>
      <w:szCs w:val="24"/>
    </w:rPr>
  </w:style>
  <w:style w:type="character" w:customStyle="1" w:styleId="673">
    <w:name w:val="font12gray1"/>
    <w:qFormat/>
    <w:uiPriority w:val="0"/>
    <w:rPr>
      <w:rFonts w:ascii="仿宋_GB2312" w:eastAsia="微软雅黑"/>
      <w:b/>
      <w:spacing w:val="300"/>
      <w:kern w:val="2"/>
      <w:sz w:val="18"/>
      <w:szCs w:val="18"/>
      <w:lang w:val="en-US" w:eastAsia="zh-CN" w:bidi="ar-SA"/>
    </w:rPr>
  </w:style>
  <w:style w:type="character" w:customStyle="1" w:styleId="674">
    <w:name w:val="Char Char7"/>
    <w:semiHidden/>
    <w:qFormat/>
    <w:uiPriority w:val="0"/>
    <w:rPr>
      <w:rFonts w:eastAsia="宋体"/>
      <w:kern w:val="2"/>
      <w:sz w:val="21"/>
      <w:szCs w:val="24"/>
      <w:lang w:val="en-US" w:eastAsia="zh-CN" w:bidi="ar-SA"/>
    </w:rPr>
  </w:style>
  <w:style w:type="character" w:customStyle="1" w:styleId="675">
    <w:name w:val="表名 Char"/>
    <w:qFormat/>
    <w:uiPriority w:val="0"/>
    <w:rPr>
      <w:rFonts w:eastAsia="宋体"/>
      <w:b/>
      <w:bCs/>
      <w:kern w:val="2"/>
      <w:sz w:val="24"/>
      <w:szCs w:val="24"/>
      <w:lang w:val="en-US" w:eastAsia="zh-CN" w:bidi="ar-SA"/>
    </w:rPr>
  </w:style>
  <w:style w:type="character" w:customStyle="1" w:styleId="676">
    <w:name w:val="Document Map Char"/>
    <w:qFormat/>
    <w:locked/>
    <w:uiPriority w:val="0"/>
    <w:rPr>
      <w:rFonts w:eastAsia="宋体"/>
      <w:kern w:val="2"/>
      <w:sz w:val="21"/>
      <w:szCs w:val="24"/>
      <w:lang w:val="en-US" w:eastAsia="zh-CN" w:bidi="ar-SA"/>
    </w:rPr>
  </w:style>
  <w:style w:type="character" w:customStyle="1" w:styleId="677">
    <w:name w:val="font41"/>
    <w:qFormat/>
    <w:uiPriority w:val="0"/>
    <w:rPr>
      <w:rFonts w:hint="eastAsia" w:ascii="仿宋_GB2312" w:eastAsia="仿宋_GB2312" w:cs="仿宋_GB2312"/>
      <w:color w:val="000000"/>
      <w:sz w:val="22"/>
      <w:szCs w:val="22"/>
      <w:u w:val="none"/>
    </w:rPr>
  </w:style>
  <w:style w:type="character" w:customStyle="1" w:styleId="678">
    <w:name w:val="标题 6 Char"/>
    <w:link w:val="11"/>
    <w:qFormat/>
    <w:uiPriority w:val="0"/>
    <w:rPr>
      <w:rFonts w:ascii="Arial" w:hAnsi="Arial" w:eastAsia="黑体"/>
      <w:b/>
      <w:bCs/>
      <w:kern w:val="2"/>
      <w:sz w:val="24"/>
      <w:szCs w:val="24"/>
    </w:rPr>
  </w:style>
  <w:style w:type="character" w:customStyle="1" w:styleId="679">
    <w:name w:val="纯文本 Char_0"/>
    <w:link w:val="90"/>
    <w:qFormat/>
    <w:uiPriority w:val="0"/>
    <w:rPr>
      <w:rFonts w:ascii="宋体" w:hAnsi="Courier New"/>
      <w:kern w:val="2"/>
      <w:sz w:val="21"/>
      <w:szCs w:val="21"/>
      <w:lang w:val="en-US" w:eastAsia="zh-CN"/>
    </w:rPr>
  </w:style>
  <w:style w:type="character" w:customStyle="1" w:styleId="680">
    <w:name w:val="Balloon Text Char"/>
    <w:qFormat/>
    <w:locked/>
    <w:uiPriority w:val="0"/>
    <w:rPr>
      <w:rFonts w:eastAsia="宋体"/>
      <w:kern w:val="2"/>
      <w:sz w:val="18"/>
      <w:szCs w:val="18"/>
      <w:lang w:val="en-US" w:eastAsia="zh-CN" w:bidi="ar-SA"/>
    </w:rPr>
  </w:style>
  <w:style w:type="character" w:customStyle="1" w:styleId="681">
    <w:name w:val="正文 项目2 Char"/>
    <w:basedOn w:val="682"/>
    <w:qFormat/>
    <w:uiPriority w:val="0"/>
    <w:rPr>
      <w:rFonts w:ascii="仿宋_GB2312" w:hAnsi="仿宋_GB2312" w:eastAsia="仿宋_GB2312"/>
      <w:kern w:val="2"/>
      <w:sz w:val="24"/>
      <w:lang w:bidi="ar-SA"/>
    </w:rPr>
  </w:style>
  <w:style w:type="character" w:customStyle="1" w:styleId="682">
    <w:name w:val="正文 项目 Char"/>
    <w:qFormat/>
    <w:uiPriority w:val="0"/>
    <w:rPr>
      <w:rFonts w:ascii="仿宋_GB2312" w:hAnsi="仿宋_GB2312" w:eastAsia="仿宋_GB2312"/>
      <w:kern w:val="2"/>
      <w:sz w:val="24"/>
      <w:lang w:bidi="ar-SA"/>
    </w:rPr>
  </w:style>
  <w:style w:type="character" w:customStyle="1" w:styleId="683">
    <w:name w:val="h Char Char1"/>
    <w:qFormat/>
    <w:uiPriority w:val="0"/>
    <w:rPr>
      <w:rFonts w:eastAsia="宋体"/>
      <w:kern w:val="2"/>
      <w:sz w:val="18"/>
      <w:szCs w:val="18"/>
      <w:lang w:val="en-US" w:eastAsia="zh-CN" w:bidi="ar-SA"/>
    </w:rPr>
  </w:style>
  <w:style w:type="character" w:customStyle="1" w:styleId="684">
    <w:name w:val="Char Char27"/>
    <w:qFormat/>
    <w:uiPriority w:val="6"/>
    <w:rPr>
      <w:rFonts w:ascii="宋体" w:hAnsi="宋体" w:eastAsia="宋体"/>
      <w:color w:val="000000"/>
      <w:kern w:val="1"/>
      <w:sz w:val="28"/>
      <w:lang w:val="en-US" w:eastAsia="zh-CN" w:bidi="ar-SA"/>
    </w:rPr>
  </w:style>
  <w:style w:type="character" w:customStyle="1" w:styleId="685">
    <w:name w:val="px14"/>
    <w:qFormat/>
    <w:uiPriority w:val="0"/>
    <w:rPr>
      <w:rFonts w:ascii="仿宋_GB2312" w:eastAsia="微软雅黑" w:cs="Times New Roman"/>
      <w:b/>
      <w:kern w:val="2"/>
      <w:sz w:val="32"/>
      <w:szCs w:val="32"/>
      <w:lang w:val="en-US" w:eastAsia="zh-CN" w:bidi="ar-SA"/>
    </w:rPr>
  </w:style>
  <w:style w:type="character" w:customStyle="1" w:styleId="686">
    <w:name w:val="HTML 预设格式 Char1"/>
    <w:qFormat/>
    <w:uiPriority w:val="0"/>
    <w:rPr>
      <w:rFonts w:ascii="Courier New" w:hAnsi="Courier New" w:eastAsia="宋体" w:cs="Courier New"/>
      <w:sz w:val="20"/>
      <w:szCs w:val="20"/>
    </w:rPr>
  </w:style>
  <w:style w:type="character" w:customStyle="1" w:styleId="687">
    <w:name w:val="普通文字 Char1"/>
    <w:qFormat/>
    <w:uiPriority w:val="0"/>
    <w:rPr>
      <w:rFonts w:ascii="宋体" w:hAnsi="Courier New" w:eastAsia="宋体"/>
      <w:kern w:val="2"/>
      <w:sz w:val="21"/>
      <w:lang w:val="en-US" w:eastAsia="zh-CN"/>
    </w:rPr>
  </w:style>
  <w:style w:type="character" w:customStyle="1" w:styleId="688">
    <w:name w:val="hei16b1"/>
    <w:qFormat/>
    <w:uiPriority w:val="0"/>
    <w:rPr>
      <w:rFonts w:hint="default" w:ascii="Arial" w:hAnsi="Arial" w:cs="Arial"/>
      <w:b/>
      <w:bCs/>
      <w:color w:val="000000"/>
      <w:sz w:val="24"/>
      <w:szCs w:val="24"/>
    </w:rPr>
  </w:style>
  <w:style w:type="character" w:customStyle="1" w:styleId="689">
    <w:name w:val="正文（绿盟科技） Char"/>
    <w:link w:val="92"/>
    <w:qFormat/>
    <w:uiPriority w:val="0"/>
    <w:rPr>
      <w:rFonts w:ascii="Arial" w:hAnsi="Arial"/>
      <w:sz w:val="21"/>
      <w:szCs w:val="21"/>
    </w:rPr>
  </w:style>
  <w:style w:type="character" w:customStyle="1" w:styleId="690">
    <w:name w:val="Char Char19"/>
    <w:qFormat/>
    <w:uiPriority w:val="6"/>
    <w:rPr>
      <w:rFonts w:ascii="宋体" w:hAnsi="宋体"/>
      <w:i/>
      <w:sz w:val="24"/>
      <w:szCs w:val="24"/>
    </w:rPr>
  </w:style>
  <w:style w:type="character" w:customStyle="1" w:styleId="691">
    <w:name w:val="页脚 Char"/>
    <w:qFormat/>
    <w:uiPriority w:val="0"/>
    <w:rPr>
      <w:rFonts w:eastAsia="仿宋_GB2312"/>
      <w:kern w:val="2"/>
      <w:sz w:val="18"/>
      <w:lang w:val="en-US" w:eastAsia="zh-CN"/>
    </w:rPr>
  </w:style>
  <w:style w:type="character" w:customStyle="1" w:styleId="692">
    <w:name w:val="批注主题 Char"/>
    <w:qFormat/>
    <w:uiPriority w:val="0"/>
    <w:rPr>
      <w:rFonts w:eastAsia="宋体"/>
      <w:b/>
      <w:bCs/>
      <w:kern w:val="2"/>
      <w:sz w:val="21"/>
      <w:szCs w:val="24"/>
      <w:lang w:val="en-US" w:eastAsia="zh-CN" w:bidi="ar-SA"/>
    </w:rPr>
  </w:style>
  <w:style w:type="character" w:customStyle="1" w:styleId="693">
    <w:name w:val="Comment Text Char"/>
    <w:qFormat/>
    <w:locked/>
    <w:uiPriority w:val="0"/>
    <w:rPr>
      <w:rFonts w:ascii="宋体" w:hAnsi="宋体" w:eastAsia="宋体"/>
      <w:kern w:val="2"/>
      <w:sz w:val="24"/>
      <w:lang w:val="en-US" w:eastAsia="zh-CN" w:bidi="ar-SA"/>
    </w:rPr>
  </w:style>
  <w:style w:type="character" w:customStyle="1" w:styleId="694">
    <w:name w:val="标题 2 字符"/>
    <w:qFormat/>
    <w:uiPriority w:val="1"/>
    <w:rPr>
      <w:rFonts w:ascii="仿宋_GB2312" w:hAnsi="Times New Roman" w:eastAsia="仿宋_GB2312" w:cs="Times New Roman"/>
      <w:b/>
      <w:kern w:val="2"/>
      <w:sz w:val="24"/>
      <w:lang w:val="zh-CN"/>
    </w:rPr>
  </w:style>
  <w:style w:type="character" w:customStyle="1" w:styleId="695">
    <w:name w:val="Char Char72"/>
    <w:qFormat/>
    <w:uiPriority w:val="0"/>
    <w:rPr>
      <w:rFonts w:eastAsia="宋体"/>
      <w:kern w:val="2"/>
      <w:sz w:val="21"/>
      <w:szCs w:val="24"/>
      <w:lang w:val="en-US" w:eastAsia="zh-CN" w:bidi="ar-SA"/>
    </w:rPr>
  </w:style>
  <w:style w:type="character" w:customStyle="1" w:styleId="696">
    <w:name w:val="正文文本缩进 Char2"/>
    <w:qFormat/>
    <w:uiPriority w:val="0"/>
    <w:rPr>
      <w:rFonts w:ascii="Times New Roman" w:hAnsi="Times New Roman" w:eastAsia="宋体" w:cs="Times New Roman"/>
      <w:snapToGrid w:val="0"/>
      <w:kern w:val="0"/>
      <w:szCs w:val="24"/>
    </w:rPr>
  </w:style>
  <w:style w:type="character" w:customStyle="1" w:styleId="697">
    <w:name w:val="样式2 Char"/>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93"/>
    <w:qFormat/>
    <w:uiPriority w:val="0"/>
    <w:rPr>
      <w:sz w:val="32"/>
    </w:rPr>
  </w:style>
  <w:style w:type="character" w:customStyle="1" w:styleId="699">
    <w:name w:val="Char Char4"/>
    <w:qFormat/>
    <w:uiPriority w:val="0"/>
    <w:rPr>
      <w:rFonts w:eastAsia="宋体"/>
      <w:b/>
      <w:sz w:val="24"/>
      <w:lang w:eastAsia="zh-CN" w:bidi="ar-SA"/>
    </w:rPr>
  </w:style>
  <w:style w:type="character" w:customStyle="1" w:styleId="700">
    <w:name w:val="c7 style3"/>
    <w:qFormat/>
    <w:uiPriority w:val="0"/>
  </w:style>
  <w:style w:type="character" w:customStyle="1" w:styleId="701">
    <w:name w:val="正文文本 3 Char1"/>
    <w:semiHidden/>
    <w:qFormat/>
    <w:uiPriority w:val="99"/>
    <w:rPr>
      <w:rFonts w:ascii="Times New Roman" w:hAnsi="Times New Roman" w:eastAsia="宋体" w:cs="Times New Roman"/>
      <w:sz w:val="16"/>
      <w:szCs w:val="16"/>
    </w:rPr>
  </w:style>
  <w:style w:type="character" w:customStyle="1" w:styleId="702">
    <w:name w:val="tw4winInternal"/>
    <w:qFormat/>
    <w:uiPriority w:val="0"/>
    <w:rPr>
      <w:rFonts w:ascii="Courier New" w:hAnsi="Courier New" w:cs="Courier New"/>
      <w:color w:val="FF0000"/>
      <w:lang w:val="en-US" w:eastAsia="zh-CN"/>
    </w:rPr>
  </w:style>
  <w:style w:type="character" w:customStyle="1" w:styleId="703">
    <w:name w:val="Char Char10"/>
    <w:semiHidden/>
    <w:qFormat/>
    <w:uiPriority w:val="0"/>
    <w:rPr>
      <w:rFonts w:ascii="宋体" w:hAnsi="宋体"/>
      <w:kern w:val="2"/>
      <w:sz w:val="21"/>
      <w:szCs w:val="24"/>
      <w:lang w:val="en-US" w:eastAsia="zh-CN"/>
    </w:rPr>
  </w:style>
  <w:style w:type="character" w:customStyle="1" w:styleId="704">
    <w:name w:val="shadow11"/>
    <w:qFormat/>
    <w:uiPriority w:val="0"/>
    <w:rPr>
      <w:color w:val="000000"/>
      <w:sz w:val="21"/>
    </w:rPr>
  </w:style>
  <w:style w:type="character" w:customStyle="1" w:styleId="705">
    <w:name w:val="正文非缩进 Char3"/>
    <w:qFormat/>
    <w:uiPriority w:val="0"/>
    <w:rPr>
      <w:rFonts w:ascii="宋体" w:eastAsia="宋体"/>
      <w:snapToGrid w:val="0"/>
      <w:color w:val="000000"/>
      <w:kern w:val="28"/>
      <w:sz w:val="28"/>
      <w:lang w:val="en-US" w:eastAsia="zh-CN" w:bidi="ar-SA"/>
    </w:rPr>
  </w:style>
  <w:style w:type="character" w:customStyle="1" w:styleId="706">
    <w:name w:val="Char Char"/>
    <w:qFormat/>
    <w:uiPriority w:val="0"/>
    <w:rPr>
      <w:rFonts w:ascii="宋体" w:hAnsi="Courier New" w:eastAsia="宋体"/>
      <w:kern w:val="2"/>
      <w:sz w:val="21"/>
      <w:lang w:val="en-US" w:eastAsia="zh-CN" w:bidi="ar-SA"/>
    </w:rPr>
  </w:style>
  <w:style w:type="character" w:customStyle="1" w:styleId="707">
    <w:name w:val="签名 Char1"/>
    <w:qFormat/>
    <w:uiPriority w:val="0"/>
    <w:rPr>
      <w:rFonts w:ascii="Times New Roman" w:hAnsi="Times New Roman" w:eastAsia="宋体" w:cs="Times New Roman"/>
      <w:szCs w:val="24"/>
    </w:rPr>
  </w:style>
  <w:style w:type="character" w:customStyle="1" w:styleId="708">
    <w:name w:val="日期 Char"/>
    <w:link w:val="38"/>
    <w:qFormat/>
    <w:uiPriority w:val="0"/>
    <w:rPr>
      <w:rFonts w:ascii="宋体"/>
      <w:kern w:val="2"/>
      <w:sz w:val="24"/>
      <w:szCs w:val="21"/>
      <w:lang w:val="zh-CN"/>
    </w:rPr>
  </w:style>
  <w:style w:type="character" w:customStyle="1" w:styleId="709">
    <w:name w:val="标题 9 Char"/>
    <w:link w:val="14"/>
    <w:qFormat/>
    <w:uiPriority w:val="0"/>
    <w:rPr>
      <w:rFonts w:ascii="Arial" w:hAnsi="Arial" w:eastAsia="黑体"/>
      <w:kern w:val="2"/>
      <w:sz w:val="21"/>
      <w:szCs w:val="21"/>
    </w:rPr>
  </w:style>
  <w:style w:type="character" w:customStyle="1" w:styleId="710">
    <w:name w:val="Char Char18"/>
    <w:qFormat/>
    <w:uiPriority w:val="6"/>
    <w:rPr>
      <w:rFonts w:ascii="宋体" w:hAnsi="宋体"/>
      <w:sz w:val="28"/>
    </w:rPr>
  </w:style>
  <w:style w:type="character" w:customStyle="1" w:styleId="711">
    <w:name w:val="批注文字 Char"/>
    <w:qFormat/>
    <w:uiPriority w:val="99"/>
    <w:rPr>
      <w:kern w:val="2"/>
      <w:sz w:val="21"/>
      <w:szCs w:val="24"/>
    </w:rPr>
  </w:style>
  <w:style w:type="character" w:customStyle="1" w:styleId="712">
    <w:name w:val="Char Char22"/>
    <w:qFormat/>
    <w:uiPriority w:val="6"/>
    <w:rPr>
      <w:rFonts w:ascii="宋体" w:hAnsi="宋体"/>
      <w:kern w:val="1"/>
      <w:sz w:val="24"/>
      <w:szCs w:val="24"/>
    </w:rPr>
  </w:style>
  <w:style w:type="character" w:customStyle="1" w:styleId="713">
    <w:name w:val="pt141"/>
    <w:qFormat/>
    <w:uiPriority w:val="0"/>
    <w:rPr>
      <w:color w:val="330066"/>
      <w:sz w:val="22"/>
      <w:szCs w:val="22"/>
    </w:rPr>
  </w:style>
  <w:style w:type="character" w:customStyle="1" w:styleId="714">
    <w:name w:val="正文文本缩进 2 Char1"/>
    <w:semiHidden/>
    <w:qFormat/>
    <w:uiPriority w:val="99"/>
    <w:rPr>
      <w:rFonts w:ascii="Times New Roman" w:hAnsi="Times New Roman" w:eastAsia="宋体" w:cs="Times New Roman"/>
      <w:szCs w:val="24"/>
    </w:rPr>
  </w:style>
  <w:style w:type="character" w:customStyle="1" w:styleId="715">
    <w:name w:val="批注框文本 Char"/>
    <w:link w:val="41"/>
    <w:qFormat/>
    <w:uiPriority w:val="0"/>
    <w:rPr>
      <w:kern w:val="2"/>
      <w:sz w:val="18"/>
      <w:szCs w:val="18"/>
    </w:rPr>
  </w:style>
  <w:style w:type="character" w:customStyle="1" w:styleId="716">
    <w:name w:val="Char Char611"/>
    <w:qFormat/>
    <w:uiPriority w:val="0"/>
    <w:rPr>
      <w:rFonts w:eastAsia="宋体"/>
      <w:kern w:val="2"/>
      <w:sz w:val="21"/>
      <w:szCs w:val="24"/>
      <w:lang w:val="en-US" w:eastAsia="zh-CN" w:bidi="ar-SA"/>
    </w:rPr>
  </w:style>
  <w:style w:type="character" w:customStyle="1" w:styleId="717">
    <w:name w:val="highlight1"/>
    <w:qFormat/>
    <w:uiPriority w:val="0"/>
    <w:rPr>
      <w:rFonts w:ascii="仿宋_GB2312" w:eastAsia="微软雅黑"/>
      <w:b/>
      <w:kern w:val="2"/>
      <w:sz w:val="23"/>
      <w:szCs w:val="23"/>
      <w:lang w:val="en-US" w:eastAsia="zh-CN" w:bidi="ar-SA"/>
    </w:rPr>
  </w:style>
  <w:style w:type="character" w:customStyle="1" w:styleId="718">
    <w:name w:val="my正文 Char"/>
    <w:link w:val="94"/>
    <w:qFormat/>
    <w:locked/>
    <w:uiPriority w:val="0"/>
    <w:rPr>
      <w:rFonts w:ascii="Tahoma" w:hAnsi="Tahoma"/>
      <w:sz w:val="24"/>
      <w:szCs w:val="24"/>
    </w:rPr>
  </w:style>
  <w:style w:type="character" w:customStyle="1" w:styleId="719">
    <w:name w:val="正文缩进 Char2"/>
    <w:link w:val="8"/>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qFormat/>
    <w:uiPriority w:val="0"/>
    <w:rPr>
      <w:color w:val="0000FF"/>
      <w:sz w:val="21"/>
    </w:rPr>
  </w:style>
  <w:style w:type="character" w:customStyle="1" w:styleId="721">
    <w:name w:val="页眉 Char"/>
    <w:qFormat/>
    <w:uiPriority w:val="0"/>
    <w:rPr>
      <w:rFonts w:eastAsia="仿宋_GB2312"/>
      <w:kern w:val="2"/>
      <w:sz w:val="18"/>
      <w:lang w:val="en-US" w:eastAsia="zh-CN"/>
    </w:rPr>
  </w:style>
  <w:style w:type="character" w:customStyle="1" w:styleId="722">
    <w:name w:val="FA正文 Char Char"/>
    <w:qFormat/>
    <w:uiPriority w:val="0"/>
    <w:rPr>
      <w:rFonts w:hAnsi="宋体"/>
      <w:kern w:val="2"/>
      <w:sz w:val="24"/>
      <w:lang w:bidi="ar-SA"/>
    </w:rPr>
  </w:style>
  <w:style w:type="character" w:customStyle="1" w:styleId="723">
    <w:name w:val="纯文本 字符"/>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5"/>
    <w:qFormat/>
    <w:uiPriority w:val="0"/>
    <w:rPr>
      <w:rFonts w:ascii="宋体" w:hAnsi="宋体"/>
      <w:b/>
      <w:bCs/>
      <w:sz w:val="28"/>
    </w:rPr>
  </w:style>
  <w:style w:type="character" w:customStyle="1" w:styleId="725">
    <w:name w:val="myp11"/>
    <w:qFormat/>
    <w:uiPriority w:val="0"/>
    <w:rPr>
      <w:rFonts w:ascii="仿宋_GB2312" w:eastAsia="微软雅黑"/>
      <w:b/>
      <w:kern w:val="2"/>
      <w:sz w:val="32"/>
      <w:szCs w:val="32"/>
      <w:lang w:val="en-US" w:eastAsia="zh-CN" w:bidi="ar-SA"/>
    </w:rPr>
  </w:style>
  <w:style w:type="character" w:customStyle="1" w:styleId="726">
    <w:name w:val="文档结构图 Char1"/>
    <w:link w:val="21"/>
    <w:qFormat/>
    <w:uiPriority w:val="0"/>
    <w:rPr>
      <w:kern w:val="2"/>
      <w:sz w:val="21"/>
      <w:szCs w:val="24"/>
      <w:shd w:val="clear" w:color="auto" w:fill="000080"/>
    </w:rPr>
  </w:style>
  <w:style w:type="character" w:customStyle="1" w:styleId="727">
    <w:name w:val="H6 Char"/>
    <w:qFormat/>
    <w:uiPriority w:val="0"/>
    <w:rPr>
      <w:rFonts w:ascii="Arial" w:hAnsi="Arial" w:eastAsia="黑体"/>
      <w:b/>
      <w:bCs/>
      <w:kern w:val="2"/>
      <w:sz w:val="24"/>
      <w:szCs w:val="24"/>
    </w:rPr>
  </w:style>
  <w:style w:type="character" w:customStyle="1" w:styleId="728">
    <w:name w:val="Char Char91"/>
    <w:qFormat/>
    <w:uiPriority w:val="0"/>
    <w:rPr>
      <w:rFonts w:eastAsia="宋体"/>
      <w:kern w:val="2"/>
      <w:sz w:val="18"/>
      <w:szCs w:val="18"/>
      <w:lang w:val="en-US" w:eastAsia="zh-CN" w:bidi="ar-SA"/>
    </w:rPr>
  </w:style>
  <w:style w:type="character" w:customStyle="1" w:styleId="729">
    <w:name w:val="副标题 Char1"/>
    <w:qFormat/>
    <w:uiPriority w:val="0"/>
    <w:rPr>
      <w:rFonts w:ascii="Cambria" w:hAnsi="Cambria" w:eastAsia="宋体" w:cs="Times New Roman"/>
      <w:b/>
      <w:bCs/>
      <w:snapToGrid w:val="0"/>
      <w:kern w:val="28"/>
      <w:sz w:val="32"/>
      <w:szCs w:val="32"/>
    </w:rPr>
  </w:style>
  <w:style w:type="character" w:customStyle="1" w:styleId="730">
    <w:name w:val="font61"/>
    <w:qFormat/>
    <w:uiPriority w:val="0"/>
    <w:rPr>
      <w:rFonts w:hint="eastAsia" w:ascii="仿宋" w:hAnsi="仿宋" w:eastAsia="仿宋" w:cs="仿宋"/>
      <w:color w:val="000000"/>
      <w:sz w:val="20"/>
      <w:szCs w:val="20"/>
      <w:u w:val="none"/>
    </w:rPr>
  </w:style>
  <w:style w:type="character" w:customStyle="1" w:styleId="7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qFormat/>
    <w:uiPriority w:val="0"/>
    <w:rPr>
      <w:rFonts w:eastAsia="宋体"/>
      <w:b/>
      <w:bCs/>
      <w:kern w:val="2"/>
      <w:sz w:val="21"/>
      <w:szCs w:val="24"/>
      <w:lang w:val="en-US" w:eastAsia="zh-CN" w:bidi="ar-SA"/>
    </w:rPr>
  </w:style>
  <w:style w:type="character" w:customStyle="1" w:styleId="733">
    <w:name w:val="标题 2 Char"/>
    <w:qFormat/>
    <w:uiPriority w:val="0"/>
    <w:rPr>
      <w:rFonts w:ascii="Arial" w:hAnsi="Arial" w:eastAsia="黑体"/>
      <w:b/>
      <w:kern w:val="2"/>
      <w:sz w:val="32"/>
      <w:lang w:val="en-US" w:eastAsia="zh-CN"/>
    </w:rPr>
  </w:style>
  <w:style w:type="character" w:customStyle="1" w:styleId="734">
    <w:name w:val="maywed421"/>
    <w:qFormat/>
    <w:uiPriority w:val="0"/>
    <w:rPr>
      <w:color w:val="366FB6"/>
      <w:u w:val="none"/>
    </w:rPr>
  </w:style>
  <w:style w:type="character" w:customStyle="1" w:styleId="735">
    <w:name w:val="正文文本缩进 Char"/>
    <w:qFormat/>
    <w:uiPriority w:val="0"/>
    <w:rPr>
      <w:rFonts w:ascii="宋体" w:hAnsi="宋体"/>
      <w:kern w:val="2"/>
      <w:sz w:val="24"/>
      <w:szCs w:val="24"/>
    </w:rPr>
  </w:style>
  <w:style w:type="character" w:customStyle="1" w:styleId="736">
    <w:name w:val="Char Char102"/>
    <w:semiHidden/>
    <w:qFormat/>
    <w:uiPriority w:val="0"/>
    <w:rPr>
      <w:rFonts w:ascii="宋体" w:hAnsi="宋体"/>
      <w:kern w:val="2"/>
      <w:sz w:val="21"/>
      <w:szCs w:val="24"/>
      <w:lang w:val="en-US" w:eastAsia="zh-CN"/>
    </w:rPr>
  </w:style>
  <w:style w:type="character" w:customStyle="1" w:styleId="737">
    <w:name w:val="页眉 Char1"/>
    <w:qFormat/>
    <w:uiPriority w:val="0"/>
    <w:rPr>
      <w:rFonts w:eastAsia="宋体"/>
      <w:kern w:val="2"/>
      <w:sz w:val="18"/>
      <w:szCs w:val="18"/>
      <w:lang w:val="en-US" w:eastAsia="zh-CN" w:bidi="ar-SA"/>
    </w:rPr>
  </w:style>
  <w:style w:type="character" w:customStyle="1" w:styleId="738">
    <w:name w:val="md"/>
    <w:basedOn w:val="71"/>
    <w:qFormat/>
    <w:uiPriority w:val="0"/>
    <w:rPr>
      <w:rFonts w:ascii="Arial" w:hAnsi="Arial" w:eastAsia="黑体" w:cs="Arial"/>
      <w:snapToGrid w:val="0"/>
      <w:kern w:val="0"/>
      <w:szCs w:val="21"/>
    </w:rPr>
  </w:style>
  <w:style w:type="character" w:customStyle="1" w:styleId="739">
    <w:name w:val="big1"/>
    <w:qFormat/>
    <w:uiPriority w:val="0"/>
    <w:rPr>
      <w:rFonts w:hint="eastAsia" w:ascii="宋体" w:hAnsi="宋体" w:eastAsia="宋体"/>
      <w:color w:val="333333"/>
      <w:sz w:val="22"/>
      <w:szCs w:val="22"/>
    </w:rPr>
  </w:style>
  <w:style w:type="character" w:customStyle="1" w:styleId="740">
    <w:name w:val="Char Char311"/>
    <w:qFormat/>
    <w:uiPriority w:val="0"/>
    <w:rPr>
      <w:rFonts w:eastAsia="宋体"/>
      <w:kern w:val="2"/>
      <w:sz w:val="21"/>
      <w:szCs w:val="24"/>
      <w:lang w:val="en-US" w:eastAsia="zh-CN" w:bidi="ar-SA"/>
    </w:rPr>
  </w:style>
  <w:style w:type="character" w:customStyle="1" w:styleId="741">
    <w:name w:val="Char Char81"/>
    <w:qFormat/>
    <w:uiPriority w:val="6"/>
    <w:rPr>
      <w:rFonts w:eastAsia="宋体"/>
      <w:b/>
      <w:sz w:val="24"/>
      <w:lang w:eastAsia="zh-CN"/>
    </w:rPr>
  </w:style>
  <w:style w:type="character" w:customStyle="1" w:styleId="742">
    <w:name w:val="样式3 Char"/>
    <w:basedOn w:val="697"/>
    <w:qFormat/>
    <w:uiPriority w:val="0"/>
    <w:rPr>
      <w:rFonts w:ascii="仿宋_GB2312" w:hAnsi="仿宋" w:eastAsia="仿宋_GB2312" w:cs="仿宋_GB2312"/>
      <w:sz w:val="32"/>
      <w:szCs w:val="30"/>
      <w:lang w:val="zh-CN"/>
    </w:rPr>
  </w:style>
  <w:style w:type="character" w:customStyle="1" w:styleId="743">
    <w:name w:val="HTML 地址 Char"/>
    <w:link w:val="32"/>
    <w:qFormat/>
    <w:uiPriority w:val="0"/>
    <w:rPr>
      <w:rFonts w:ascii="宋体" w:hAnsi="宋体"/>
      <w:i/>
      <w:iCs/>
      <w:sz w:val="24"/>
      <w:szCs w:val="24"/>
    </w:rPr>
  </w:style>
  <w:style w:type="character" w:customStyle="1" w:styleId="744">
    <w:name w:val="正文首行缩进 2 Char1"/>
    <w:qFormat/>
    <w:uiPriority w:val="0"/>
    <w:rPr>
      <w:rFonts w:ascii="Times New Roman" w:hAnsi="Times New Roman" w:eastAsia="宋体" w:cs="Times New Roman"/>
      <w:kern w:val="2"/>
      <w:sz w:val="24"/>
      <w:szCs w:val="24"/>
    </w:rPr>
  </w:style>
  <w:style w:type="character" w:customStyle="1" w:styleId="745">
    <w:name w:val="副标题 Char2"/>
    <w:qFormat/>
    <w:uiPriority w:val="0"/>
    <w:rPr>
      <w:rFonts w:ascii="Cambria" w:hAnsi="Cambria" w:eastAsia="宋体" w:cs="Times New Roman"/>
      <w:b/>
      <w:bCs/>
      <w:snapToGrid w:val="0"/>
      <w:kern w:val="28"/>
      <w:sz w:val="32"/>
      <w:szCs w:val="32"/>
    </w:rPr>
  </w:style>
  <w:style w:type="character" w:customStyle="1" w:styleId="746">
    <w:name w:val="标题4-dyf Char"/>
    <w:link w:val="97"/>
    <w:qFormat/>
    <w:uiPriority w:val="0"/>
    <w:rPr>
      <w:rFonts w:ascii="Cambria" w:hAnsi="Cambria"/>
      <w:b/>
      <w:bCs/>
      <w:color w:val="000000"/>
      <w:kern w:val="2"/>
      <w:sz w:val="21"/>
      <w:szCs w:val="21"/>
    </w:rPr>
  </w:style>
  <w:style w:type="character" w:customStyle="1" w:styleId="747">
    <w:name w:val="dectext1"/>
    <w:qFormat/>
    <w:uiPriority w:val="0"/>
    <w:rPr>
      <w:rFonts w:ascii="宋体" w:hAnsi="宋体" w:eastAsia="宋体"/>
      <w:color w:val="333333"/>
      <w:sz w:val="21"/>
      <w:szCs w:val="21"/>
      <w:u w:val="none"/>
    </w:rPr>
  </w:style>
  <w:style w:type="character" w:customStyle="1" w:styleId="748">
    <w:name w:val="冯 Char"/>
    <w:link w:val="98"/>
    <w:qFormat/>
    <w:uiPriority w:val="0"/>
    <w:rPr>
      <w:rFonts w:ascii="宋体" w:hAnsi="宋体"/>
      <w:color w:val="000000"/>
      <w:sz w:val="24"/>
      <w:szCs w:val="24"/>
    </w:rPr>
  </w:style>
  <w:style w:type="character" w:customStyle="1" w:styleId="749">
    <w:name w:val="Header Char"/>
    <w:qFormat/>
    <w:locked/>
    <w:uiPriority w:val="0"/>
    <w:rPr>
      <w:rFonts w:eastAsia="宋体"/>
      <w:kern w:val="2"/>
      <w:sz w:val="18"/>
      <w:szCs w:val="18"/>
      <w:lang w:val="en-US" w:eastAsia="zh-CN" w:bidi="ar-SA"/>
    </w:rPr>
  </w:style>
  <w:style w:type="character" w:customStyle="1" w:styleId="750">
    <w:name w:val="Char Char12"/>
    <w:qFormat/>
    <w:uiPriority w:val="0"/>
    <w:rPr>
      <w:rFonts w:ascii="仿宋_GB2312" w:eastAsia="仿宋_GB2312"/>
      <w:b/>
      <w:bCs/>
      <w:kern w:val="2"/>
      <w:sz w:val="24"/>
      <w:szCs w:val="24"/>
      <w:lang w:val="zh-CN" w:eastAsia="zh-CN" w:bidi="ar-SA"/>
    </w:rPr>
  </w:style>
  <w:style w:type="character" w:customStyle="1" w:styleId="751">
    <w:name w:val="题注 Char"/>
    <w:link w:val="19"/>
    <w:qFormat/>
    <w:uiPriority w:val="0"/>
    <w:rPr>
      <w:b/>
      <w:kern w:val="2"/>
      <w:sz w:val="28"/>
    </w:rPr>
  </w:style>
  <w:style w:type="character" w:customStyle="1" w:styleId="752">
    <w:name w:val="普通文字 Char3"/>
    <w:qFormat/>
    <w:uiPriority w:val="0"/>
    <w:rPr>
      <w:rFonts w:ascii="宋体" w:hAnsi="Courier New" w:eastAsia="宋体"/>
      <w:kern w:val="2"/>
      <w:sz w:val="21"/>
      <w:lang w:val="en-US" w:eastAsia="zh-CN" w:bidi="ar-SA"/>
    </w:rPr>
  </w:style>
  <w:style w:type="character" w:customStyle="1" w:styleId="753">
    <w:name w:val="公文正文 Char"/>
    <w:qFormat/>
    <w:uiPriority w:val="0"/>
    <w:rPr>
      <w:rFonts w:ascii="仿宋_GB2312" w:eastAsia="仿宋_GB2312"/>
      <w:kern w:val="2"/>
      <w:sz w:val="24"/>
      <w:szCs w:val="24"/>
      <w:lang w:val="en-US" w:eastAsia="zh-CN" w:bidi="ar-SA"/>
    </w:rPr>
  </w:style>
  <w:style w:type="character" w:customStyle="1" w:styleId="754">
    <w:name w:val="正文首行缩进 Char Char Char Char Char"/>
    <w:qFormat/>
    <w:uiPriority w:val="0"/>
    <w:rPr>
      <w:rFonts w:ascii="宋体"/>
      <w:kern w:val="2"/>
      <w:sz w:val="24"/>
      <w:lang w:val="zh-CN"/>
    </w:rPr>
  </w:style>
  <w:style w:type="character" w:customStyle="1" w:styleId="755">
    <w:name w:val="PI Char"/>
    <w:qFormat/>
    <w:uiPriority w:val="0"/>
    <w:rPr>
      <w:rFonts w:ascii="宋体" w:hAnsi="宋体" w:eastAsia="宋体"/>
      <w:kern w:val="2"/>
      <w:sz w:val="24"/>
      <w:szCs w:val="24"/>
      <w:lang w:val="en-US" w:eastAsia="zh-CN" w:bidi="ar-SA"/>
    </w:rPr>
  </w:style>
  <w:style w:type="character" w:customStyle="1" w:styleId="756">
    <w:name w:val="Default Char"/>
    <w:link w:val="99"/>
    <w:qFormat/>
    <w:uiPriority w:val="0"/>
    <w:rPr>
      <w:rFonts w:ascii="仿宋_GB2312" w:eastAsia="仿宋_GB2312" w:cs="仿宋_GB2312"/>
      <w:color w:val="000000"/>
      <w:sz w:val="24"/>
      <w:szCs w:val="24"/>
      <w:lang w:val="en-US" w:eastAsia="zh-CN" w:bidi="ar-SA"/>
    </w:rPr>
  </w:style>
  <w:style w:type="character" w:customStyle="1" w:styleId="757">
    <w:name w:val="style91"/>
    <w:qFormat/>
    <w:uiPriority w:val="0"/>
    <w:rPr>
      <w:color w:val="333333"/>
    </w:rPr>
  </w:style>
  <w:style w:type="character" w:customStyle="1" w:styleId="758">
    <w:name w:val="列出段落 Char2"/>
    <w:qFormat/>
    <w:uiPriority w:val="34"/>
    <w:rPr>
      <w:rFonts w:ascii="Calibri" w:hAnsi="Calibri"/>
      <w:kern w:val="2"/>
      <w:sz w:val="28"/>
    </w:rPr>
  </w:style>
  <w:style w:type="character" w:customStyle="1" w:styleId="759">
    <w:name w:val="mdeck"/>
    <w:qFormat/>
    <w:uiPriority w:val="0"/>
    <w:rPr>
      <w:rFonts w:ascii="仿宋_GB2312" w:eastAsia="微软雅黑"/>
      <w:b/>
      <w:kern w:val="2"/>
      <w:sz w:val="32"/>
      <w:szCs w:val="32"/>
      <w:lang w:val="en-US" w:eastAsia="zh-CN" w:bidi="ar-SA"/>
    </w:rPr>
  </w:style>
  <w:style w:type="character" w:customStyle="1" w:styleId="760">
    <w:name w:val="unnamed11"/>
    <w:qFormat/>
    <w:uiPriority w:val="0"/>
    <w:rPr>
      <w:sz w:val="20"/>
      <w:szCs w:val="20"/>
    </w:rPr>
  </w:style>
  <w:style w:type="character" w:customStyle="1" w:styleId="761">
    <w:name w:val="正文文本 Char2"/>
    <w:semiHidden/>
    <w:qFormat/>
    <w:uiPriority w:val="99"/>
    <w:rPr>
      <w:rFonts w:ascii="Times New Roman" w:hAnsi="Times New Roman" w:eastAsia="宋体" w:cs="Times New Roman"/>
      <w:snapToGrid w:val="0"/>
      <w:kern w:val="0"/>
      <w:szCs w:val="24"/>
    </w:rPr>
  </w:style>
  <w:style w:type="character" w:customStyle="1" w:styleId="762">
    <w:name w:val="标书正文格式 Char"/>
    <w:qFormat/>
    <w:uiPriority w:val="0"/>
    <w:rPr>
      <w:rFonts w:eastAsia="楷体_GB2312"/>
      <w:kern w:val="2"/>
      <w:sz w:val="24"/>
      <w:szCs w:val="24"/>
      <w:lang w:bidi="ar-SA"/>
    </w:rPr>
  </w:style>
  <w:style w:type="character" w:customStyle="1" w:styleId="763">
    <w:name w:val="Char Char11"/>
    <w:qFormat/>
    <w:locked/>
    <w:uiPriority w:val="0"/>
    <w:rPr>
      <w:rFonts w:ascii="宋体" w:hAnsi="宋体" w:eastAsia="宋体"/>
      <w:b/>
      <w:kern w:val="2"/>
      <w:sz w:val="24"/>
      <w:szCs w:val="24"/>
      <w:lang w:val="en-US" w:eastAsia="zh-CN" w:bidi="ar-SA"/>
    </w:rPr>
  </w:style>
  <w:style w:type="character" w:customStyle="1" w:styleId="764">
    <w:name w:val="ca-131"/>
    <w:qFormat/>
    <w:uiPriority w:val="0"/>
    <w:rPr>
      <w:rFonts w:hint="eastAsia" w:ascii="仿宋_GB2312" w:eastAsia="仿宋_GB2312"/>
      <w:b/>
      <w:bCs/>
      <w:color w:val="000000"/>
      <w:spacing w:val="-20"/>
      <w:sz w:val="24"/>
      <w:szCs w:val="24"/>
    </w:rPr>
  </w:style>
  <w:style w:type="character" w:customStyle="1" w:styleId="765">
    <w:name w:val="tw4winMark"/>
    <w:qFormat/>
    <w:uiPriority w:val="0"/>
    <w:rPr>
      <w:rFonts w:ascii="Courier New" w:hAnsi="Courier New" w:cs="Courier New"/>
      <w:vanish/>
      <w:color w:val="800080"/>
      <w:sz w:val="24"/>
      <w:szCs w:val="24"/>
      <w:vertAlign w:val="subscript"/>
    </w:rPr>
  </w:style>
  <w:style w:type="character" w:customStyle="1" w:styleId="766">
    <w:name w:val="正文样式 Char"/>
    <w:link w:val="100"/>
    <w:qFormat/>
    <w:uiPriority w:val="0"/>
    <w:rPr>
      <w:rFonts w:ascii="Calibri" w:hAnsi="Calibri"/>
      <w:sz w:val="24"/>
      <w:szCs w:val="24"/>
    </w:rPr>
  </w:style>
  <w:style w:type="character" w:customStyle="1" w:styleId="767">
    <w:name w:val="表正文 Char3"/>
    <w:qFormat/>
    <w:uiPriority w:val="0"/>
    <w:rPr>
      <w:rFonts w:eastAsia="宋体"/>
    </w:rPr>
  </w:style>
  <w:style w:type="character" w:customStyle="1" w:styleId="768">
    <w:name w:val="H5 Char"/>
    <w:qFormat/>
    <w:uiPriority w:val="0"/>
    <w:rPr>
      <w:b/>
      <w:bCs/>
      <w:kern w:val="2"/>
      <w:sz w:val="28"/>
      <w:szCs w:val="28"/>
    </w:rPr>
  </w:style>
  <w:style w:type="character" w:customStyle="1" w:styleId="769">
    <w:name w:val="Char Char3"/>
    <w:qFormat/>
    <w:uiPriority w:val="0"/>
    <w:rPr>
      <w:rFonts w:eastAsia="宋体"/>
      <w:kern w:val="2"/>
      <w:sz w:val="21"/>
      <w:szCs w:val="24"/>
      <w:lang w:val="en-US" w:eastAsia="zh-CN" w:bidi="ar-SA"/>
    </w:rPr>
  </w:style>
  <w:style w:type="character" w:customStyle="1" w:styleId="770">
    <w:name w:val="正文 编号 Char"/>
    <w:qFormat/>
    <w:uiPriority w:val="0"/>
    <w:rPr>
      <w:rFonts w:ascii="仿宋_GB2312" w:hAnsi="仿宋_GB2312" w:eastAsia="仿宋_GB2312"/>
      <w:kern w:val="2"/>
      <w:sz w:val="24"/>
      <w:lang w:bidi="ar-SA"/>
    </w:rPr>
  </w:style>
  <w:style w:type="character" w:customStyle="1" w:styleId="771">
    <w:name w:val="question-title2"/>
    <w:qFormat/>
    <w:uiPriority w:val="6"/>
    <w:rPr>
      <w:rFonts w:ascii="Arial" w:hAnsi="Arial" w:eastAsia="黑体" w:cs="Arial"/>
      <w:snapToGrid w:val="0"/>
      <w:kern w:val="0"/>
      <w:szCs w:val="21"/>
    </w:rPr>
  </w:style>
  <w:style w:type="character" w:customStyle="1" w:styleId="772">
    <w:name w:val="gf正文1 Char Char"/>
    <w:link w:val="101"/>
    <w:qFormat/>
    <w:uiPriority w:val="0"/>
    <w:rPr>
      <w:rFonts w:ascii="宋体" w:hAnsi="宋体" w:cs="宋体"/>
      <w:kern w:val="2"/>
      <w:sz w:val="24"/>
      <w:szCs w:val="24"/>
    </w:rPr>
  </w:style>
  <w:style w:type="character" w:customStyle="1" w:styleId="773">
    <w:name w:val="Char Char15"/>
    <w:qFormat/>
    <w:uiPriority w:val="6"/>
    <w:rPr>
      <w:rFonts w:ascii="宋体" w:hAnsi="宋体"/>
      <w:kern w:val="1"/>
      <w:sz w:val="21"/>
    </w:rPr>
  </w:style>
  <w:style w:type="character" w:customStyle="1" w:styleId="774">
    <w:name w:val="正文缩进 Char3"/>
    <w:qFormat/>
    <w:uiPriority w:val="0"/>
    <w:rPr>
      <w:rFonts w:ascii="宋体" w:eastAsia="宋体"/>
      <w:snapToGrid w:val="0"/>
      <w:color w:val="000000"/>
      <w:kern w:val="28"/>
      <w:sz w:val="28"/>
      <w:lang w:val="en-US" w:eastAsia="zh-CN" w:bidi="ar-SA"/>
    </w:rPr>
  </w:style>
  <w:style w:type="character" w:customStyle="1" w:styleId="775">
    <w:name w:val="列出段落 Char1"/>
    <w:link w:val="102"/>
    <w:qFormat/>
    <w:uiPriority w:val="0"/>
    <w:rPr>
      <w:rFonts w:ascii="Calibri" w:hAnsi="Calibri"/>
      <w:sz w:val="24"/>
      <w:lang w:eastAsia="en-US"/>
    </w:rPr>
  </w:style>
  <w:style w:type="character" w:customStyle="1" w:styleId="776">
    <w:name w:val="Char Char8"/>
    <w:qFormat/>
    <w:uiPriority w:val="0"/>
    <w:rPr>
      <w:rFonts w:eastAsia="宋体"/>
      <w:b/>
      <w:sz w:val="24"/>
      <w:lang w:eastAsia="zh-CN"/>
    </w:rPr>
  </w:style>
  <w:style w:type="character" w:customStyle="1" w:styleId="777">
    <w:name w:val="Normal Indent Char Char"/>
    <w:qFormat/>
    <w:uiPriority w:val="0"/>
    <w:rPr>
      <w:rFonts w:eastAsia="宋体"/>
      <w:kern w:val="2"/>
      <w:sz w:val="21"/>
      <w:lang w:val="en-US" w:eastAsia="zh-CN" w:bidi="ar-SA"/>
    </w:rPr>
  </w:style>
  <w:style w:type="character" w:customStyle="1" w:styleId="778">
    <w:name w:val="列表段落 字符"/>
    <w:qFormat/>
    <w:uiPriority w:val="99"/>
  </w:style>
  <w:style w:type="character" w:customStyle="1" w:styleId="779">
    <w:name w:val="Ò³Ã¼ Char Char1"/>
    <w:qFormat/>
    <w:uiPriority w:val="0"/>
    <w:rPr>
      <w:rFonts w:eastAsia="宋体"/>
      <w:kern w:val="2"/>
      <w:sz w:val="18"/>
      <w:szCs w:val="18"/>
      <w:lang w:val="en-US" w:eastAsia="zh-CN" w:bidi="ar-SA"/>
    </w:rPr>
  </w:style>
  <w:style w:type="character" w:customStyle="1" w:styleId="780">
    <w:name w:val="方案正文 Char"/>
    <w:qFormat/>
    <w:uiPriority w:val="0"/>
    <w:rPr>
      <w:rFonts w:ascii="仿宋_GB2312" w:eastAsia="仿宋_GB2312"/>
      <w:b/>
      <w:color w:val="000000"/>
      <w:kern w:val="2"/>
      <w:sz w:val="24"/>
      <w:lang w:val="en-US" w:eastAsia="zh-CN" w:bidi="ar-SA"/>
    </w:rPr>
  </w:style>
  <w:style w:type="character" w:customStyle="1" w:styleId="781">
    <w:name w:val="Char Char30"/>
    <w:qFormat/>
    <w:uiPriority w:val="6"/>
    <w:rPr>
      <w:rFonts w:ascii="Arial" w:hAnsi="Arial" w:eastAsia="黑体"/>
      <w:kern w:val="1"/>
      <w:sz w:val="21"/>
      <w:szCs w:val="21"/>
    </w:rPr>
  </w:style>
  <w:style w:type="character" w:customStyle="1" w:styleId="782">
    <w:name w:val="正文文本缩进 Char3"/>
    <w:link w:val="3"/>
    <w:qFormat/>
    <w:uiPriority w:val="0"/>
    <w:rPr>
      <w:rFonts w:ascii="宋体" w:hAnsi="宋体"/>
      <w:kern w:val="2"/>
      <w:sz w:val="24"/>
      <w:szCs w:val="24"/>
    </w:rPr>
  </w:style>
  <w:style w:type="character" w:customStyle="1" w:styleId="783">
    <w:name w:val="font01"/>
    <w:qFormat/>
    <w:uiPriority w:val="0"/>
    <w:rPr>
      <w:rFonts w:hint="eastAsia" w:ascii="微软雅黑" w:hAnsi="微软雅黑" w:eastAsia="微软雅黑" w:cs="微软雅黑"/>
      <w:color w:val="000000"/>
      <w:sz w:val="20"/>
      <w:szCs w:val="20"/>
      <w:u w:val="none"/>
    </w:rPr>
  </w:style>
  <w:style w:type="character" w:customStyle="1" w:styleId="784">
    <w:name w:val="Char Char20"/>
    <w:qFormat/>
    <w:uiPriority w:val="6"/>
    <w:rPr>
      <w:kern w:val="1"/>
      <w:sz w:val="24"/>
    </w:rPr>
  </w:style>
  <w:style w:type="character" w:customStyle="1" w:styleId="785">
    <w:name w:val="tw4winExternal"/>
    <w:qFormat/>
    <w:uiPriority w:val="0"/>
    <w:rPr>
      <w:rFonts w:ascii="Courier New" w:hAnsi="Courier New" w:cs="Courier New"/>
      <w:color w:val="808080"/>
      <w:lang w:val="en-US" w:eastAsia="zh-CN"/>
    </w:rPr>
  </w:style>
  <w:style w:type="character" w:customStyle="1" w:styleId="786">
    <w:name w:val="标题 4 Char1"/>
    <w:qFormat/>
    <w:uiPriority w:val="9"/>
    <w:rPr>
      <w:rFonts w:ascii="Cambria" w:hAnsi="Cambria" w:eastAsia="宋体" w:cs="Times New Roman"/>
      <w:b/>
      <w:bCs/>
      <w:kern w:val="2"/>
      <w:sz w:val="28"/>
      <w:szCs w:val="28"/>
    </w:rPr>
  </w:style>
  <w:style w:type="character" w:customStyle="1" w:styleId="787">
    <w:name w:val="批注文字 Char2"/>
    <w:qFormat/>
    <w:uiPriority w:val="99"/>
    <w:rPr>
      <w:rFonts w:ascii="Times New Roman" w:hAnsi="Times New Roman" w:eastAsia="宋体" w:cs="Times New Roman"/>
      <w:snapToGrid w:val="0"/>
      <w:kern w:val="0"/>
      <w:szCs w:val="24"/>
    </w:rPr>
  </w:style>
  <w:style w:type="character" w:customStyle="1" w:styleId="788">
    <w:name w:val="正文文本 2 Char"/>
    <w:qFormat/>
    <w:uiPriority w:val="0"/>
    <w:rPr>
      <w:rFonts w:eastAsia="宋体"/>
      <w:kern w:val="2"/>
      <w:sz w:val="21"/>
      <w:szCs w:val="24"/>
      <w:lang w:val="en-US" w:eastAsia="zh-CN" w:bidi="ar-SA"/>
    </w:rPr>
  </w:style>
  <w:style w:type="character" w:customStyle="1" w:styleId="789">
    <w:name w:val="Ò³Ã¼ Char Char"/>
    <w:qFormat/>
    <w:uiPriority w:val="0"/>
    <w:rPr>
      <w:rFonts w:eastAsia="宋体"/>
      <w:kern w:val="2"/>
      <w:sz w:val="18"/>
      <w:lang w:val="en-US" w:eastAsia="zh-CN" w:bidi="ar-SA"/>
    </w:rPr>
  </w:style>
  <w:style w:type="character" w:customStyle="1" w:styleId="790">
    <w:name w:val="message1"/>
    <w:qFormat/>
    <w:uiPriority w:val="0"/>
    <w:rPr>
      <w:rFonts w:hint="default" w:ascii="Tahoma" w:hAnsi="Tahoma" w:cs="Tahoma"/>
      <w:sz w:val="18"/>
      <w:szCs w:val="18"/>
    </w:rPr>
  </w:style>
  <w:style w:type="character" w:customStyle="1" w:styleId="791">
    <w:name w:val="Char Char23"/>
    <w:qFormat/>
    <w:uiPriority w:val="6"/>
    <w:rPr>
      <w:color w:val="0000FF"/>
      <w:sz w:val="21"/>
    </w:rPr>
  </w:style>
  <w:style w:type="character" w:customStyle="1" w:styleId="792">
    <w:name w:val="批注框文本 字符"/>
    <w:qFormat/>
    <w:uiPriority w:val="0"/>
    <w:rPr>
      <w:rFonts w:ascii="Arial" w:hAnsi="Arial" w:eastAsia="黑体" w:cs="Arial"/>
      <w:snapToGrid w:val="0"/>
      <w:kern w:val="0"/>
      <w:sz w:val="18"/>
      <w:szCs w:val="18"/>
    </w:rPr>
  </w:style>
  <w:style w:type="character" w:customStyle="1" w:styleId="793">
    <w:name w:val="纯文本 Char2"/>
    <w:semiHidden/>
    <w:qFormat/>
    <w:uiPriority w:val="99"/>
    <w:rPr>
      <w:rFonts w:ascii="宋体" w:hAnsi="Courier New" w:eastAsia="宋体" w:cs="Courier New"/>
    </w:rPr>
  </w:style>
  <w:style w:type="character" w:customStyle="1" w:styleId="794">
    <w:name w:val="Char Char25"/>
    <w:qFormat/>
    <w:uiPriority w:val="6"/>
    <w:rPr>
      <w:rFonts w:ascii="宋体" w:hAnsi="宋体"/>
      <w:kern w:val="1"/>
      <w:sz w:val="24"/>
      <w:lang w:val="zh-CN"/>
    </w:rPr>
  </w:style>
  <w:style w:type="character" w:customStyle="1" w:styleId="795">
    <w:name w:val="Char Char411"/>
    <w:qFormat/>
    <w:uiPriority w:val="0"/>
    <w:rPr>
      <w:rFonts w:eastAsia="宋体"/>
      <w:b/>
      <w:sz w:val="24"/>
      <w:lang w:eastAsia="zh-CN" w:bidi="ar-SA"/>
    </w:rPr>
  </w:style>
  <w:style w:type="character" w:customStyle="1" w:styleId="796">
    <w:name w:val="Heading 7 Char"/>
    <w:qFormat/>
    <w:locked/>
    <w:uiPriority w:val="0"/>
    <w:rPr>
      <w:rFonts w:ascii="宋体" w:hAnsi="宋体" w:eastAsia="宋体"/>
      <w:b/>
      <w:bCs/>
      <w:kern w:val="2"/>
      <w:sz w:val="24"/>
      <w:szCs w:val="24"/>
      <w:lang w:val="en-US" w:eastAsia="zh-CN" w:bidi="ar-SA"/>
    </w:rPr>
  </w:style>
  <w:style w:type="character" w:customStyle="1" w:styleId="797">
    <w:name w:val="此正文 Char"/>
    <w:link w:val="104"/>
    <w:qFormat/>
    <w:uiPriority w:val="0"/>
    <w:rPr>
      <w:kern w:val="2"/>
      <w:sz w:val="24"/>
      <w:szCs w:val="24"/>
    </w:rPr>
  </w:style>
  <w:style w:type="character" w:customStyle="1" w:styleId="798">
    <w:name w:val="Char Char2"/>
    <w:qFormat/>
    <w:uiPriority w:val="0"/>
    <w:rPr>
      <w:rFonts w:eastAsia="宋体"/>
      <w:b/>
      <w:bCs/>
      <w:kern w:val="2"/>
      <w:sz w:val="21"/>
      <w:szCs w:val="24"/>
      <w:lang w:val="en-US" w:eastAsia="zh-CN" w:bidi="ar-SA"/>
    </w:rPr>
  </w:style>
  <w:style w:type="character" w:customStyle="1" w:styleId="799">
    <w:name w:val="标题 1 Char"/>
    <w:link w:val="5"/>
    <w:qFormat/>
    <w:uiPriority w:val="9"/>
    <w:rPr>
      <w:b/>
      <w:bCs/>
      <w:kern w:val="44"/>
      <w:sz w:val="44"/>
      <w:szCs w:val="44"/>
    </w:rPr>
  </w:style>
  <w:style w:type="character" w:customStyle="1" w:styleId="800">
    <w:name w:val="Footer-Even Char1"/>
    <w:qFormat/>
    <w:uiPriority w:val="0"/>
    <w:rPr>
      <w:rFonts w:eastAsia="宋体"/>
      <w:kern w:val="2"/>
      <w:sz w:val="18"/>
      <w:szCs w:val="18"/>
      <w:lang w:val="en-US" w:eastAsia="zh-CN" w:bidi="ar-SA"/>
    </w:rPr>
  </w:style>
  <w:style w:type="character" w:customStyle="1" w:styleId="801">
    <w:name w:val="Char Char29"/>
    <w:qFormat/>
    <w:uiPriority w:val="6"/>
    <w:rPr>
      <w:rFonts w:ascii="Arial" w:hAnsi="Arial" w:eastAsia="微软雅黑"/>
      <w:b/>
      <w:kern w:val="1"/>
      <w:sz w:val="44"/>
      <w:szCs w:val="32"/>
      <w:lang w:val="en-US" w:eastAsia="zh-CN" w:bidi="ar-SA"/>
    </w:rPr>
  </w:style>
  <w:style w:type="character" w:customStyle="1" w:styleId="802">
    <w:name w:val="标题 Char2"/>
    <w:link w:val="62"/>
    <w:qFormat/>
    <w:uiPriority w:val="10"/>
    <w:rPr>
      <w:b/>
      <w:sz w:val="24"/>
    </w:rPr>
  </w:style>
  <w:style w:type="character" w:customStyle="1" w:styleId="803">
    <w:name w:val="font81"/>
    <w:qFormat/>
    <w:uiPriority w:val="0"/>
    <w:rPr>
      <w:rFonts w:ascii="微软雅黑" w:hAnsi="微软雅黑" w:eastAsia="微软雅黑" w:cs="微软雅黑"/>
      <w:color w:val="000000"/>
      <w:sz w:val="20"/>
      <w:szCs w:val="20"/>
      <w:u w:val="none"/>
    </w:rPr>
  </w:style>
  <w:style w:type="character" w:customStyle="1" w:styleId="804">
    <w:name w:val="Char Char312"/>
    <w:qFormat/>
    <w:uiPriority w:val="0"/>
    <w:rPr>
      <w:rFonts w:ascii="Times New Roman" w:hAnsi="Times New Roman" w:eastAsia="宋体" w:cs="Times New Roman"/>
      <w:b/>
      <w:kern w:val="2"/>
      <w:sz w:val="32"/>
      <w:szCs w:val="24"/>
      <w:lang w:val="en-US" w:eastAsia="zh-CN" w:bidi="ar-SA"/>
    </w:rPr>
  </w:style>
  <w:style w:type="character" w:customStyle="1" w:styleId="805">
    <w:name w:val="t21"/>
    <w:qFormat/>
    <w:uiPriority w:val="0"/>
    <w:rPr>
      <w:rFonts w:ascii="仿宋_GB2312" w:eastAsia="微软雅黑"/>
      <w:b/>
      <w:kern w:val="2"/>
      <w:sz w:val="23"/>
      <w:szCs w:val="23"/>
      <w:lang w:val="en-US" w:eastAsia="zh-CN" w:bidi="ar-SA"/>
    </w:rPr>
  </w:style>
  <w:style w:type="character" w:customStyle="1" w:styleId="806">
    <w:name w:val="样式8 Char"/>
    <w:qFormat/>
    <w:uiPriority w:val="0"/>
    <w:rPr>
      <w:rFonts w:ascii="仿宋_GB2312" w:hAnsi="宋体" w:eastAsia="仿宋_GB2312"/>
      <w:b/>
      <w:bCs/>
      <w:kern w:val="2"/>
      <w:sz w:val="24"/>
      <w:szCs w:val="24"/>
    </w:rPr>
  </w:style>
  <w:style w:type="character" w:customStyle="1" w:styleId="807">
    <w:name w:val="表格 Char Char"/>
    <w:qFormat/>
    <w:uiPriority w:val="0"/>
    <w:rPr>
      <w:rFonts w:ascii="宋体" w:hAnsi="宋体" w:eastAsia="宋体"/>
      <w:lang w:bidi="ar-SA"/>
    </w:rPr>
  </w:style>
  <w:style w:type="character" w:customStyle="1" w:styleId="808">
    <w:name w:val="正文文本 字符1"/>
    <w:qFormat/>
    <w:uiPriority w:val="0"/>
    <w:rPr>
      <w:rFonts w:ascii="Calibri" w:hAnsi="Calibri" w:eastAsia="黑体" w:cs="Arial"/>
      <w:snapToGrid w:val="0"/>
      <w:kern w:val="2"/>
      <w:sz w:val="28"/>
      <w:szCs w:val="21"/>
    </w:rPr>
  </w:style>
  <w:style w:type="character" w:customStyle="1" w:styleId="809">
    <w:name w:val="标题 5 Char"/>
    <w:link w:val="10"/>
    <w:qFormat/>
    <w:uiPriority w:val="9"/>
    <w:rPr>
      <w:b/>
      <w:bCs/>
      <w:kern w:val="2"/>
      <w:sz w:val="28"/>
      <w:szCs w:val="28"/>
    </w:rPr>
  </w:style>
  <w:style w:type="character" w:customStyle="1" w:styleId="810">
    <w:name w:val="标题 6 Char1"/>
    <w:qFormat/>
    <w:uiPriority w:val="0"/>
    <w:rPr>
      <w:rFonts w:ascii="Arial" w:hAnsi="Arial" w:eastAsia="黑体" w:cs="Times New Roman"/>
      <w:b/>
      <w:sz w:val="24"/>
      <w:szCs w:val="20"/>
      <w:lang w:bidi="ar-SA"/>
    </w:rPr>
  </w:style>
  <w:style w:type="character" w:customStyle="1" w:styleId="811">
    <w:name w:val="带编号样式 Char"/>
    <w:qFormat/>
    <w:uiPriority w:val="0"/>
    <w:rPr>
      <w:rFonts w:ascii="仿宋_GB2312" w:eastAsia="仿宋_GB2312"/>
      <w:color w:val="000000"/>
      <w:sz w:val="24"/>
      <w:lang w:bidi="ar-SA"/>
    </w:rPr>
  </w:style>
  <w:style w:type="character" w:customStyle="1" w:styleId="812">
    <w:name w:val="unnamed31"/>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qFormat/>
    <w:uiPriority w:val="0"/>
    <w:rPr>
      <w:rFonts w:ascii="宋体" w:eastAsia="宋体"/>
      <w:kern w:val="2"/>
      <w:sz w:val="24"/>
      <w:szCs w:val="24"/>
      <w:lang w:val="zh-CN" w:bidi="ar-SA"/>
    </w:rPr>
  </w:style>
  <w:style w:type="character" w:customStyle="1" w:styleId="814">
    <w:name w:val="称呼 Char"/>
    <w:link w:val="23"/>
    <w:qFormat/>
    <w:uiPriority w:val="0"/>
    <w:rPr>
      <w:rFonts w:ascii="仿宋_GB2312" w:eastAsia="仿宋_GB2312"/>
      <w:kern w:val="2"/>
      <w:sz w:val="28"/>
    </w:rPr>
  </w:style>
  <w:style w:type="character" w:customStyle="1" w:styleId="815">
    <w:name w:val="文本正文 Char Char"/>
    <w:qFormat/>
    <w:locked/>
    <w:uiPriority w:val="0"/>
    <w:rPr>
      <w:sz w:val="24"/>
      <w:lang w:bidi="ar-SA"/>
    </w:rPr>
  </w:style>
  <w:style w:type="character" w:customStyle="1" w:styleId="816">
    <w:name w:val="正文缩进 字符"/>
    <w:qFormat/>
    <w:uiPriority w:val="0"/>
    <w:rPr>
      <w:rFonts w:ascii="宋体" w:eastAsia="宋体"/>
      <w:snapToGrid w:val="0"/>
      <w:color w:val="000000"/>
      <w:kern w:val="28"/>
      <w:sz w:val="28"/>
      <w:lang w:val="en-US" w:eastAsia="zh-CN" w:bidi="ar-SA"/>
    </w:rPr>
  </w:style>
  <w:style w:type="character" w:customStyle="1" w:styleId="817">
    <w:name w:val="HTML 预设格式 Char"/>
    <w:link w:val="60"/>
    <w:qFormat/>
    <w:uiPriority w:val="0"/>
    <w:rPr>
      <w:rFonts w:ascii="黑体" w:hAnsi="Courier New" w:eastAsia="黑体"/>
    </w:rPr>
  </w:style>
  <w:style w:type="character" w:customStyle="1" w:styleId="818">
    <w:name w:val="正文文本 2 Char1"/>
    <w:link w:val="59"/>
    <w:qFormat/>
    <w:uiPriority w:val="0"/>
    <w:rPr>
      <w:kern w:val="2"/>
      <w:sz w:val="21"/>
      <w:szCs w:val="24"/>
    </w:rPr>
  </w:style>
  <w:style w:type="character" w:customStyle="1" w:styleId="819">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20">
    <w:name w:val="正文非缩进 Char"/>
    <w:qFormat/>
    <w:uiPriority w:val="0"/>
    <w:rPr>
      <w:rFonts w:ascii="宋体" w:eastAsia="宋体"/>
      <w:snapToGrid w:val="0"/>
      <w:color w:val="000000"/>
      <w:kern w:val="28"/>
      <w:sz w:val="28"/>
      <w:lang w:val="en-US" w:eastAsia="zh-CN" w:bidi="ar-SA"/>
    </w:rPr>
  </w:style>
  <w:style w:type="character" w:customStyle="1" w:styleId="821">
    <w:name w:val="标题 7 Char"/>
    <w:link w:val="12"/>
    <w:qFormat/>
    <w:uiPriority w:val="0"/>
    <w:rPr>
      <w:b/>
      <w:bCs/>
      <w:kern w:val="2"/>
      <w:sz w:val="24"/>
      <w:szCs w:val="24"/>
    </w:rPr>
  </w:style>
  <w:style w:type="character" w:customStyle="1" w:styleId="822">
    <w:name w:val="正文文本缩进 2 Char"/>
    <w:link w:val="39"/>
    <w:qFormat/>
    <w:uiPriority w:val="0"/>
    <w:rPr>
      <w:rFonts w:ascii="宋体"/>
      <w:sz w:val="28"/>
    </w:rPr>
  </w:style>
  <w:style w:type="character" w:customStyle="1" w:styleId="823">
    <w:name w:val="Char Char5"/>
    <w:qFormat/>
    <w:uiPriority w:val="0"/>
    <w:rPr>
      <w:rFonts w:ascii="宋体" w:hAnsi="Courier New" w:eastAsia="宋体"/>
      <w:kern w:val="2"/>
      <w:sz w:val="21"/>
      <w:lang w:val="en-US" w:eastAsia="zh-CN"/>
    </w:rPr>
  </w:style>
  <w:style w:type="character" w:customStyle="1" w:styleId="824">
    <w:name w:val="脚注文本 Char"/>
    <w:link w:val="53"/>
    <w:qFormat/>
    <w:uiPriority w:val="0"/>
    <w:rPr>
      <w:color w:val="0000FF"/>
      <w:sz w:val="21"/>
    </w:rPr>
  </w:style>
  <w:style w:type="character" w:customStyle="1" w:styleId="825">
    <w:name w:val="称呼 Char1"/>
    <w:qFormat/>
    <w:uiPriority w:val="0"/>
    <w:rPr>
      <w:rFonts w:ascii="Times New Roman" w:hAnsi="Times New Roman" w:eastAsia="宋体" w:cs="Times New Roman"/>
      <w:szCs w:val="24"/>
    </w:rPr>
  </w:style>
  <w:style w:type="character" w:customStyle="1" w:styleId="826">
    <w:name w:val="正文1 Char"/>
    <w:qFormat/>
    <w:uiPriority w:val="0"/>
    <w:rPr>
      <w:rFonts w:ascii="宋体" w:eastAsia="宋体"/>
      <w:snapToGrid w:val="0"/>
      <w:color w:val="000000"/>
      <w:kern w:val="28"/>
      <w:sz w:val="28"/>
      <w:lang w:val="en-US" w:eastAsia="zh-CN" w:bidi="ar-SA"/>
    </w:rPr>
  </w:style>
  <w:style w:type="character" w:customStyle="1" w:styleId="827">
    <w:name w:val="正文缩进 Char1"/>
    <w:qFormat/>
    <w:uiPriority w:val="0"/>
    <w:rPr>
      <w:rFonts w:ascii="宋体" w:eastAsia="宋体"/>
      <w:snapToGrid w:val="0"/>
      <w:color w:val="000000"/>
      <w:kern w:val="28"/>
      <w:sz w:val="28"/>
      <w:lang w:val="en-US" w:eastAsia="zh-CN" w:bidi="ar-SA"/>
    </w:rPr>
  </w:style>
  <w:style w:type="character" w:customStyle="1" w:styleId="828">
    <w:name w:val="font21"/>
    <w:qFormat/>
    <w:uiPriority w:val="0"/>
    <w:rPr>
      <w:rFonts w:hint="eastAsia" w:ascii="宋体" w:hAnsi="宋体" w:eastAsia="宋体"/>
      <w:kern w:val="2"/>
      <w:sz w:val="28"/>
      <w:szCs w:val="28"/>
      <w:lang w:val="en-US" w:eastAsia="zh-CN" w:bidi="ar-SA"/>
    </w:rPr>
  </w:style>
  <w:style w:type="character" w:customStyle="1" w:styleId="829">
    <w:name w:val="Char Char26"/>
    <w:qFormat/>
    <w:uiPriority w:val="6"/>
    <w:rPr>
      <w:kern w:val="1"/>
      <w:sz w:val="21"/>
      <w:szCs w:val="24"/>
    </w:rPr>
  </w:style>
  <w:style w:type="character" w:customStyle="1" w:styleId="830">
    <w:name w:val="Item List Char"/>
    <w:link w:val="107"/>
    <w:qFormat/>
    <w:uiPriority w:val="0"/>
    <w:rPr>
      <w:rFonts w:ascii="Arial"/>
      <w:bCs/>
      <w:sz w:val="21"/>
      <w:szCs w:val="21"/>
      <w:lang w:val="en-US" w:eastAsia="zh-CN" w:bidi="ar-SA"/>
    </w:rPr>
  </w:style>
  <w:style w:type="character" w:customStyle="1" w:styleId="831">
    <w:name w:val="批注框文本 Char1"/>
    <w:qFormat/>
    <w:uiPriority w:val="0"/>
    <w:rPr>
      <w:rFonts w:ascii="Times New Roman" w:hAnsi="Times New Roman" w:eastAsia="宋体" w:cs="Times New Roman"/>
      <w:sz w:val="18"/>
      <w:szCs w:val="18"/>
    </w:rPr>
  </w:style>
  <w:style w:type="character" w:customStyle="1" w:styleId="832">
    <w:name w:val="纯文本 Char1"/>
    <w:link w:val="108"/>
    <w:qFormat/>
    <w:uiPriority w:val="0"/>
    <w:rPr>
      <w:rFonts w:ascii="宋体" w:hAnsi="Courier New"/>
    </w:rPr>
  </w:style>
  <w:style w:type="character" w:customStyle="1" w:styleId="833">
    <w:name w:val="正文首行缩进 Char"/>
    <w:link w:val="27"/>
    <w:qFormat/>
    <w:uiPriority w:val="0"/>
    <w:rPr>
      <w:rFonts w:ascii="宋体"/>
      <w:kern w:val="2"/>
      <w:sz w:val="24"/>
      <w:lang w:val="zh-CN"/>
    </w:rPr>
  </w:style>
  <w:style w:type="character" w:customStyle="1" w:styleId="834">
    <w:name w:val="h3 Char"/>
    <w:qFormat/>
    <w:uiPriority w:val="0"/>
    <w:rPr>
      <w:rFonts w:eastAsia="宋体"/>
      <w:b/>
      <w:kern w:val="2"/>
      <w:sz w:val="32"/>
      <w:lang w:val="en-US" w:eastAsia="zh-CN" w:bidi="ar-SA"/>
    </w:rPr>
  </w:style>
  <w:style w:type="character" w:customStyle="1" w:styleId="835">
    <w:name w:val="dandyren_title1"/>
    <w:qFormat/>
    <w:uiPriority w:val="0"/>
    <w:rPr>
      <w:b/>
      <w:bCs/>
      <w:color w:val="FF6633"/>
      <w:sz w:val="18"/>
      <w:szCs w:val="18"/>
    </w:rPr>
  </w:style>
  <w:style w:type="character" w:customStyle="1" w:styleId="836">
    <w:name w:val="Char Char31"/>
    <w:qFormat/>
    <w:uiPriority w:val="6"/>
    <w:rPr>
      <w:rFonts w:ascii="Arial" w:hAnsi="Arial" w:eastAsia="黑体"/>
      <w:kern w:val="1"/>
      <w:sz w:val="24"/>
      <w:szCs w:val="24"/>
    </w:rPr>
  </w:style>
  <w:style w:type="character" w:customStyle="1" w:styleId="837">
    <w:name w:val="h Char1"/>
    <w:qFormat/>
    <w:uiPriority w:val="0"/>
    <w:rPr>
      <w:sz w:val="18"/>
      <w:szCs w:val="18"/>
    </w:rPr>
  </w:style>
  <w:style w:type="character" w:customStyle="1" w:styleId="838">
    <w:name w:val="solutionfonts"/>
    <w:qFormat/>
    <w:uiPriority w:val="0"/>
  </w:style>
  <w:style w:type="character" w:customStyle="1" w:styleId="839">
    <w:name w:val="标题 4 Char2"/>
    <w:link w:val="9"/>
    <w:qFormat/>
    <w:uiPriority w:val="9"/>
    <w:rPr>
      <w:rFonts w:ascii="Arial" w:hAnsi="Arial" w:eastAsia="黑体"/>
      <w:b/>
      <w:bCs/>
      <w:kern w:val="2"/>
      <w:sz w:val="28"/>
      <w:szCs w:val="28"/>
      <w:lang w:val="zh-CN"/>
    </w:rPr>
  </w:style>
  <w:style w:type="character" w:customStyle="1" w:styleId="840">
    <w:name w:val="首行缩进 Char"/>
    <w:qFormat/>
    <w:uiPriority w:val="0"/>
    <w:rPr>
      <w:rFonts w:ascii="宋体" w:eastAsia="宋体"/>
      <w:kern w:val="2"/>
      <w:sz w:val="24"/>
      <w:lang w:val="en-US" w:eastAsia="zh-CN" w:bidi="ar-SA"/>
    </w:rPr>
  </w:style>
  <w:style w:type="character" w:customStyle="1" w:styleId="841">
    <w:name w:val="Char Char52"/>
    <w:qFormat/>
    <w:uiPriority w:val="0"/>
    <w:rPr>
      <w:rFonts w:ascii="宋体" w:hAnsi="Courier New" w:eastAsia="宋体"/>
      <w:kern w:val="2"/>
      <w:sz w:val="21"/>
      <w:lang w:val="en-US" w:eastAsia="zh-CN"/>
    </w:rPr>
  </w:style>
  <w:style w:type="character" w:customStyle="1" w:styleId="842">
    <w:name w:val="正文文本 3 Char"/>
    <w:link w:val="24"/>
    <w:qFormat/>
    <w:uiPriority w:val="0"/>
    <w:rPr>
      <w:kern w:val="2"/>
      <w:sz w:val="21"/>
    </w:rPr>
  </w:style>
  <w:style w:type="character" w:customStyle="1" w:styleId="843">
    <w:name w:val="font31"/>
    <w:qFormat/>
    <w:uiPriority w:val="0"/>
    <w:rPr>
      <w:rFonts w:hint="eastAsia" w:ascii="仿宋" w:hAnsi="仿宋" w:eastAsia="仿宋" w:cs="仿宋"/>
      <w:color w:val="000000"/>
      <w:sz w:val="20"/>
      <w:szCs w:val="20"/>
      <w:u w:val="none"/>
    </w:rPr>
  </w:style>
  <w:style w:type="character" w:customStyle="1" w:styleId="844">
    <w:name w:val="正文说明 Char"/>
    <w:link w:val="109"/>
    <w:qFormat/>
    <w:uiPriority w:val="0"/>
    <w:rPr>
      <w:sz w:val="24"/>
      <w:szCs w:val="24"/>
    </w:rPr>
  </w:style>
  <w:style w:type="character" w:customStyle="1" w:styleId="845">
    <w:name w:val="脚注文本 Char1"/>
    <w:qFormat/>
    <w:uiPriority w:val="0"/>
    <w:rPr>
      <w:rFonts w:ascii="Times New Roman" w:hAnsi="Times New Roman" w:eastAsia="宋体" w:cs="Times New Roman"/>
      <w:sz w:val="18"/>
      <w:szCs w:val="18"/>
    </w:rPr>
  </w:style>
  <w:style w:type="character" w:customStyle="1" w:styleId="846">
    <w:name w:val="Char Char1211"/>
    <w:qFormat/>
    <w:uiPriority w:val="0"/>
    <w:rPr>
      <w:rFonts w:ascii="仿宋_GB2312" w:eastAsia="仿宋_GB2312"/>
      <w:b/>
      <w:bCs/>
      <w:kern w:val="2"/>
      <w:sz w:val="24"/>
      <w:szCs w:val="24"/>
      <w:lang w:val="zh-CN" w:eastAsia="zh-CN" w:bidi="ar-SA"/>
    </w:rPr>
  </w:style>
  <w:style w:type="character" w:customStyle="1" w:styleId="847">
    <w:name w:val="标题 Char"/>
    <w:qFormat/>
    <w:uiPriority w:val="0"/>
    <w:rPr>
      <w:rFonts w:eastAsia="宋体"/>
      <w:b/>
      <w:sz w:val="24"/>
      <w:lang w:eastAsia="zh-CN" w:bidi="ar-SA"/>
    </w:rPr>
  </w:style>
  <w:style w:type="character" w:customStyle="1" w:styleId="848">
    <w:name w:val="Char Char35"/>
    <w:qFormat/>
    <w:uiPriority w:val="6"/>
    <w:rPr>
      <w:rFonts w:ascii="Arial" w:hAnsi="Arial" w:eastAsia="黑体"/>
      <w:b/>
      <w:kern w:val="1"/>
      <w:sz w:val="28"/>
      <w:szCs w:val="28"/>
      <w:lang w:val="zh-CN"/>
    </w:rPr>
  </w:style>
  <w:style w:type="character" w:customStyle="1" w:styleId="849">
    <w:name w:val="纯文本 Char Char Char"/>
    <w:qFormat/>
    <w:uiPriority w:val="0"/>
    <w:rPr>
      <w:rFonts w:ascii="宋体" w:hAnsi="Courier New" w:eastAsia="宋体"/>
      <w:kern w:val="2"/>
      <w:sz w:val="21"/>
      <w:lang w:val="en-US" w:eastAsia="zh-CN" w:bidi="ar-SA"/>
    </w:rPr>
  </w:style>
  <w:style w:type="character" w:customStyle="1" w:styleId="850">
    <w:name w:val="Table Text Char"/>
    <w:link w:val="110"/>
    <w:qFormat/>
    <w:uiPriority w:val="0"/>
    <w:rPr>
      <w:sz w:val="24"/>
      <w:szCs w:val="24"/>
    </w:rPr>
  </w:style>
  <w:style w:type="character" w:customStyle="1" w:styleId="851">
    <w:name w:val="正文1 Char1"/>
    <w:qFormat/>
    <w:uiPriority w:val="0"/>
    <w:rPr>
      <w:rFonts w:ascii="仿宋_GB2312" w:hAnsi="Courier New" w:eastAsia="仿宋_GB2312"/>
      <w:kern w:val="28"/>
      <w:sz w:val="24"/>
      <w:szCs w:val="24"/>
      <w:lang w:val="en-US" w:eastAsia="zh-CN"/>
    </w:rPr>
  </w:style>
  <w:style w:type="character" w:customStyle="1" w:styleId="852">
    <w:name w:val="页脚 Char1"/>
    <w:qFormat/>
    <w:uiPriority w:val="0"/>
    <w:rPr>
      <w:rFonts w:eastAsia="宋体"/>
      <w:kern w:val="2"/>
      <w:sz w:val="18"/>
      <w:szCs w:val="18"/>
      <w:lang w:val="en-US" w:eastAsia="zh-CN" w:bidi="ar-SA"/>
    </w:rPr>
  </w:style>
  <w:style w:type="character" w:customStyle="1" w:styleId="853">
    <w:name w:val="Bold"/>
    <w:qFormat/>
    <w:uiPriority w:val="0"/>
    <w:rPr>
      <w:rFonts w:ascii="Arial" w:hAnsi="Arial" w:eastAsia="黑体" w:cs="Times New Roman"/>
      <w:b/>
      <w:kern w:val="2"/>
      <w:sz w:val="32"/>
      <w:szCs w:val="32"/>
      <w:lang w:val="en-US" w:eastAsia="zh-CN" w:bidi="ar-SA"/>
    </w:rPr>
  </w:style>
  <w:style w:type="character" w:customStyle="1" w:styleId="854">
    <w:name w:val="批注文字 Char1"/>
    <w:link w:val="22"/>
    <w:qFormat/>
    <w:uiPriority w:val="0"/>
    <w:rPr>
      <w:kern w:val="2"/>
      <w:sz w:val="21"/>
      <w:szCs w:val="24"/>
    </w:rPr>
  </w:style>
  <w:style w:type="character" w:customStyle="1" w:styleId="855">
    <w:name w:val="签名 Char"/>
    <w:link w:val="45"/>
    <w:qFormat/>
    <w:uiPriority w:val="0"/>
    <w:rPr>
      <w:rFonts w:eastAsia="仿宋_GB2312"/>
      <w:sz w:val="24"/>
    </w:rPr>
  </w:style>
  <w:style w:type="character" w:customStyle="1" w:styleId="856">
    <w:name w:val="hui3"/>
    <w:qFormat/>
    <w:uiPriority w:val="0"/>
    <w:rPr>
      <w:color w:val="333333"/>
    </w:rPr>
  </w:style>
  <w:style w:type="character" w:customStyle="1" w:styleId="857">
    <w:name w:val="Char Char17"/>
    <w:qFormat/>
    <w:uiPriority w:val="6"/>
    <w:rPr>
      <w:rFonts w:eastAsia="仿宋_GB2312"/>
      <w:sz w:val="24"/>
    </w:rPr>
  </w:style>
  <w:style w:type="character" w:customStyle="1" w:styleId="858">
    <w:name w:val="标题 4 字符"/>
    <w:qFormat/>
    <w:uiPriority w:val="9"/>
    <w:rPr>
      <w:rFonts w:ascii="等线 Light" w:hAnsi="等线 Light" w:eastAsia="等线 Light" w:cs="Times New Roman"/>
      <w:b/>
      <w:bCs/>
      <w:snapToGrid w:val="0"/>
      <w:kern w:val="0"/>
      <w:sz w:val="28"/>
      <w:szCs w:val="28"/>
    </w:rPr>
  </w:style>
  <w:style w:type="character" w:customStyle="1" w:styleId="859">
    <w:name w:val="Char Char37"/>
    <w:qFormat/>
    <w:uiPriority w:val="6"/>
    <w:rPr>
      <w:b/>
      <w:kern w:val="1"/>
      <w:sz w:val="44"/>
      <w:szCs w:val="44"/>
    </w:rPr>
  </w:style>
  <w:style w:type="character" w:customStyle="1" w:styleId="860">
    <w:name w:val="列出段落 Char"/>
    <w:qFormat/>
    <w:uiPriority w:val="0"/>
    <w:rPr>
      <w:rFonts w:eastAsia="楷体_GB2312" w:cs="Lucida Sans"/>
      <w:kern w:val="2"/>
      <w:sz w:val="24"/>
      <w:szCs w:val="24"/>
      <w:lang w:val="en-US" w:eastAsia="zh-CN" w:bidi="ar-SA"/>
    </w:rPr>
  </w:style>
  <w:style w:type="character" w:customStyle="1" w:styleId="861">
    <w:name w:val="正文文本缩进 3 Char1"/>
    <w:semiHidden/>
    <w:qFormat/>
    <w:uiPriority w:val="99"/>
    <w:rPr>
      <w:rFonts w:ascii="Times New Roman" w:hAnsi="Times New Roman" w:eastAsia="宋体" w:cs="Times New Roman"/>
      <w:sz w:val="16"/>
      <w:szCs w:val="16"/>
    </w:rPr>
  </w:style>
  <w:style w:type="character" w:customStyle="1" w:styleId="862">
    <w:name w:val="公文正文 Char Char"/>
    <w:link w:val="111"/>
    <w:qFormat/>
    <w:uiPriority w:val="0"/>
    <w:rPr>
      <w:rFonts w:ascii="仿宋_GB2312" w:eastAsia="仿宋_GB2312"/>
      <w:kern w:val="2"/>
      <w:sz w:val="24"/>
      <w:szCs w:val="24"/>
    </w:rPr>
  </w:style>
  <w:style w:type="character" w:customStyle="1" w:styleId="863">
    <w:name w:val="Table Text Char1"/>
    <w:qFormat/>
    <w:uiPriority w:val="0"/>
    <w:rPr>
      <w:rFonts w:eastAsia="宋体"/>
      <w:sz w:val="24"/>
      <w:szCs w:val="24"/>
      <w:lang w:val="en-US" w:eastAsia="zh-CN" w:bidi="ar-SA"/>
    </w:rPr>
  </w:style>
  <w:style w:type="character" w:customStyle="1" w:styleId="864">
    <w:name w:val="标题 1 Char Char"/>
    <w:qFormat/>
    <w:uiPriority w:val="0"/>
    <w:rPr>
      <w:rFonts w:hint="eastAsia" w:ascii="宋体" w:hAnsi="宋体" w:eastAsia="宋体"/>
      <w:b/>
      <w:spacing w:val="-2"/>
      <w:sz w:val="24"/>
      <w:lang w:val="en-US" w:eastAsia="zh-CN" w:bidi="ar-SA"/>
    </w:rPr>
  </w:style>
  <w:style w:type="character" w:customStyle="1" w:styleId="865">
    <w:name w:val="正文（缩进2汉字） Char"/>
    <w:link w:val="112"/>
    <w:qFormat/>
    <w:uiPriority w:val="0"/>
    <w:rPr>
      <w:rFonts w:ascii="宋体"/>
    </w:rPr>
  </w:style>
  <w:style w:type="character" w:customStyle="1" w:styleId="866">
    <w:name w:val="标题 8 Char"/>
    <w:link w:val="13"/>
    <w:qFormat/>
    <w:uiPriority w:val="0"/>
    <w:rPr>
      <w:rFonts w:ascii="Arial" w:hAnsi="Arial" w:eastAsia="黑体"/>
      <w:kern w:val="2"/>
      <w:sz w:val="24"/>
      <w:szCs w:val="24"/>
    </w:rPr>
  </w:style>
  <w:style w:type="character" w:customStyle="1" w:styleId="867">
    <w:name w:val="标书表格字体格式 Char"/>
    <w:qFormat/>
    <w:uiPriority w:val="0"/>
    <w:rPr>
      <w:kern w:val="2"/>
      <w:sz w:val="21"/>
      <w:szCs w:val="24"/>
      <w:lang w:bidi="ar-SA"/>
    </w:rPr>
  </w:style>
  <w:style w:type="character" w:customStyle="1" w:styleId="868">
    <w:name w:val="tw4winError"/>
    <w:qFormat/>
    <w:uiPriority w:val="0"/>
    <w:rPr>
      <w:rFonts w:ascii="Courier New" w:hAnsi="Courier New" w:cs="Courier New"/>
      <w:color w:val="00FF00"/>
      <w:sz w:val="40"/>
      <w:szCs w:val="40"/>
    </w:rPr>
  </w:style>
  <w:style w:type="character" w:customStyle="1" w:styleId="869">
    <w:name w:val="Body Text(ch) Char Char"/>
    <w:qFormat/>
    <w:uiPriority w:val="0"/>
    <w:rPr>
      <w:rFonts w:ascii="宋体"/>
      <w:kern w:val="2"/>
      <w:sz w:val="24"/>
      <w:szCs w:val="21"/>
      <w:lang w:val="zh-CN"/>
    </w:rPr>
  </w:style>
  <w:style w:type="character" w:customStyle="1" w:styleId="870">
    <w:name w:val="正文首行缩进两字 Char"/>
    <w:qFormat/>
    <w:uiPriority w:val="0"/>
    <w:rPr>
      <w:sz w:val="24"/>
      <w:szCs w:val="24"/>
      <w:lang w:val="en-US" w:eastAsia="zh-CN" w:bidi="ar-SA"/>
    </w:rPr>
  </w:style>
  <w:style w:type="character" w:customStyle="1" w:styleId="871">
    <w:name w:val="正文文本 Char"/>
    <w:qFormat/>
    <w:uiPriority w:val="0"/>
    <w:rPr>
      <w:rFonts w:eastAsia="宋体"/>
      <w:kern w:val="2"/>
      <w:sz w:val="24"/>
      <w:szCs w:val="24"/>
      <w:lang w:val="en-US" w:eastAsia="zh-CN" w:bidi="ar-SA"/>
    </w:rPr>
  </w:style>
  <w:style w:type="character" w:customStyle="1" w:styleId="872">
    <w:name w:val="文档结构图 字符1"/>
    <w:qFormat/>
    <w:uiPriority w:val="0"/>
    <w:rPr>
      <w:rFonts w:ascii="宋体" w:hAnsi="Calibri" w:eastAsia="黑体" w:cs="Arial"/>
      <w:snapToGrid w:val="0"/>
      <w:kern w:val="2"/>
      <w:sz w:val="18"/>
      <w:szCs w:val="18"/>
    </w:rPr>
  </w:style>
  <w:style w:type="character" w:customStyle="1" w:styleId="873">
    <w:name w:val="content"/>
    <w:qFormat/>
    <w:uiPriority w:val="0"/>
  </w:style>
  <w:style w:type="character" w:customStyle="1" w:styleId="874">
    <w:name w:val="tw4winPopup"/>
    <w:qFormat/>
    <w:uiPriority w:val="0"/>
    <w:rPr>
      <w:rFonts w:ascii="Courier New" w:hAnsi="Courier New" w:cs="Courier New"/>
      <w:color w:val="008000"/>
      <w:lang w:val="en-US" w:eastAsia="zh-CN"/>
    </w:rPr>
  </w:style>
  <w:style w:type="character" w:customStyle="1" w:styleId="875">
    <w:name w:val="param-name"/>
    <w:qFormat/>
    <w:uiPriority w:val="99"/>
    <w:rPr>
      <w:rFonts w:ascii="Arial" w:hAnsi="Arial" w:eastAsia="黑体" w:cs="Arial"/>
      <w:snapToGrid w:val="0"/>
      <w:kern w:val="0"/>
      <w:szCs w:val="21"/>
    </w:rPr>
  </w:style>
  <w:style w:type="character" w:customStyle="1" w:styleId="876">
    <w:name w:val="标准正文格式 Char"/>
    <w:qFormat/>
    <w:uiPriority w:val="0"/>
    <w:rPr>
      <w:rFonts w:ascii="宋体" w:eastAsia="仿宋_GB2312" w:cs="宋体"/>
      <w:color w:val="000000"/>
      <w:sz w:val="24"/>
      <w:lang w:val="en-US" w:eastAsia="zh-CN" w:bidi="ar-SA"/>
    </w:rPr>
  </w:style>
  <w:style w:type="character" w:customStyle="1" w:styleId="877">
    <w:name w:val="Char Char212"/>
    <w:qFormat/>
    <w:uiPriority w:val="0"/>
    <w:rPr>
      <w:rFonts w:eastAsia="宋体"/>
      <w:b/>
      <w:bCs/>
      <w:kern w:val="2"/>
      <w:sz w:val="21"/>
      <w:szCs w:val="24"/>
      <w:lang w:val="en-US" w:eastAsia="zh-CN" w:bidi="ar-SA"/>
    </w:rPr>
  </w:style>
  <w:style w:type="character" w:customStyle="1" w:styleId="878">
    <w:name w:val="文档结构图 Char"/>
    <w:qFormat/>
    <w:uiPriority w:val="0"/>
    <w:rPr>
      <w:rFonts w:eastAsia="宋体"/>
      <w:kern w:val="2"/>
      <w:sz w:val="21"/>
      <w:szCs w:val="24"/>
      <w:lang w:val="en-US" w:eastAsia="zh-CN" w:bidi="ar-SA"/>
    </w:rPr>
  </w:style>
  <w:style w:type="character" w:customStyle="1" w:styleId="879">
    <w:name w:val="zbggmain style9"/>
    <w:qFormat/>
    <w:uiPriority w:val="0"/>
  </w:style>
  <w:style w:type="character" w:customStyle="1" w:styleId="880">
    <w:name w:val="Char Char16"/>
    <w:qFormat/>
    <w:uiPriority w:val="6"/>
    <w:rPr>
      <w:kern w:val="1"/>
      <w:sz w:val="18"/>
      <w:szCs w:val="18"/>
    </w:rPr>
  </w:style>
  <w:style w:type="character" w:customStyle="1" w:styleId="881">
    <w:name w:val="font51"/>
    <w:qFormat/>
    <w:uiPriority w:val="0"/>
    <w:rPr>
      <w:rFonts w:hint="eastAsia" w:ascii="仿宋" w:hAnsi="仿宋" w:eastAsia="仿宋" w:cs="仿宋"/>
      <w:color w:val="000000"/>
      <w:sz w:val="20"/>
      <w:szCs w:val="20"/>
      <w:u w:val="none"/>
    </w:rPr>
  </w:style>
  <w:style w:type="character" w:customStyle="1" w:styleId="882">
    <w:name w:val="Char Char82"/>
    <w:qFormat/>
    <w:uiPriority w:val="0"/>
    <w:rPr>
      <w:rFonts w:eastAsia="宋体"/>
      <w:b/>
      <w:sz w:val="24"/>
      <w:lang w:eastAsia="zh-CN"/>
    </w:rPr>
  </w:style>
  <w:style w:type="character" w:customStyle="1" w:styleId="883">
    <w:name w:val="正文文本缩进 3 Char"/>
    <w:link w:val="56"/>
    <w:qFormat/>
    <w:uiPriority w:val="0"/>
    <w:rPr>
      <w:kern w:val="2"/>
      <w:sz w:val="24"/>
    </w:rPr>
  </w:style>
  <w:style w:type="character" w:customStyle="1" w:styleId="884">
    <w:name w:val="日期 Char1"/>
    <w:semiHidden/>
    <w:qFormat/>
    <w:uiPriority w:val="99"/>
    <w:rPr>
      <w:rFonts w:ascii="Times New Roman" w:hAnsi="Times New Roman" w:eastAsia="宋体" w:cs="Times New Roman"/>
      <w:szCs w:val="24"/>
    </w:rPr>
  </w:style>
  <w:style w:type="character" w:customStyle="1" w:styleId="885">
    <w:name w:val="页眉 字符"/>
    <w:qFormat/>
    <w:uiPriority w:val="99"/>
    <w:rPr>
      <w:kern w:val="2"/>
      <w:sz w:val="18"/>
      <w:szCs w:val="18"/>
    </w:rPr>
  </w:style>
  <w:style w:type="character" w:customStyle="1" w:styleId="886">
    <w:name w:val="Char Char33"/>
    <w:qFormat/>
    <w:uiPriority w:val="6"/>
    <w:rPr>
      <w:rFonts w:ascii="Arial" w:hAnsi="Arial" w:eastAsia="黑体"/>
      <w:b/>
      <w:kern w:val="1"/>
      <w:sz w:val="24"/>
      <w:szCs w:val="24"/>
    </w:rPr>
  </w:style>
  <w:style w:type="character" w:customStyle="1" w:styleId="887">
    <w:name w:val="b11_01b Char"/>
    <w:link w:val="113"/>
    <w:qFormat/>
    <w:uiPriority w:val="0"/>
    <w:rPr>
      <w:rFonts w:ascii="Verdana" w:hAnsi="Verdana"/>
      <w:b/>
      <w:bCs/>
      <w:color w:val="4A82CA"/>
      <w:sz w:val="17"/>
      <w:szCs w:val="17"/>
    </w:rPr>
  </w:style>
  <w:style w:type="character" w:customStyle="1" w:styleId="888">
    <w:name w:val="Char Char121"/>
    <w:qFormat/>
    <w:uiPriority w:val="6"/>
    <w:rPr>
      <w:rFonts w:ascii="仿宋_GB2312" w:eastAsia="仿宋_GB2312"/>
      <w:b/>
      <w:bCs/>
      <w:kern w:val="2"/>
      <w:sz w:val="24"/>
      <w:szCs w:val="24"/>
      <w:lang w:val="zh-CN" w:eastAsia="zh-CN" w:bidi="ar-SA"/>
    </w:rPr>
  </w:style>
  <w:style w:type="character" w:customStyle="1" w:styleId="889">
    <w:name w:val="Footer-Even Char"/>
    <w:qFormat/>
    <w:uiPriority w:val="0"/>
    <w:rPr>
      <w:rFonts w:eastAsia="宋体"/>
      <w:kern w:val="2"/>
      <w:sz w:val="18"/>
      <w:lang w:val="en-US" w:eastAsia="zh-CN" w:bidi="ar-SA"/>
    </w:rPr>
  </w:style>
  <w:style w:type="character" w:customStyle="1" w:styleId="890">
    <w:name w:val="页脚 Char2"/>
    <w:link w:val="42"/>
    <w:qFormat/>
    <w:locked/>
    <w:uiPriority w:val="99"/>
    <w:rPr>
      <w:kern w:val="2"/>
      <w:sz w:val="18"/>
      <w:szCs w:val="18"/>
    </w:rPr>
  </w:style>
  <w:style w:type="character" w:customStyle="1" w:styleId="891">
    <w:name w:val="Char Char36"/>
    <w:qFormat/>
    <w:uiPriority w:val="6"/>
    <w:rPr>
      <w:rFonts w:ascii="仿宋_GB2312" w:hAnsi="仿宋_GB2312" w:eastAsia="仿宋_GB2312" w:cs="Arial"/>
      <w:b/>
      <w:kern w:val="1"/>
      <w:sz w:val="32"/>
      <w:szCs w:val="32"/>
      <w:lang w:val="zh-CN" w:eastAsia="zh-CN" w:bidi="ar-SA"/>
    </w:rPr>
  </w:style>
  <w:style w:type="character" w:customStyle="1" w:styleId="892">
    <w:name w:val="Char Char61"/>
    <w:qFormat/>
    <w:uiPriority w:val="6"/>
    <w:rPr>
      <w:rFonts w:eastAsia="宋体"/>
      <w:kern w:val="2"/>
      <w:sz w:val="21"/>
      <w:szCs w:val="24"/>
      <w:lang w:val="en-US" w:eastAsia="zh-CN" w:bidi="ar-SA"/>
    </w:rPr>
  </w:style>
  <w:style w:type="character" w:customStyle="1" w:styleId="893">
    <w:name w:val="正文文字缩进 2 Char Char"/>
    <w:qFormat/>
    <w:uiPriority w:val="0"/>
    <w:rPr>
      <w:rFonts w:ascii="宋体"/>
      <w:sz w:val="28"/>
    </w:rPr>
  </w:style>
  <w:style w:type="character" w:customStyle="1" w:styleId="894">
    <w:name w:val="f141"/>
    <w:qFormat/>
    <w:uiPriority w:val="0"/>
    <w:rPr>
      <w:rFonts w:ascii="Tahoma" w:hAnsi="Tahoma" w:eastAsia="宋体"/>
      <w:b/>
      <w:kern w:val="2"/>
      <w:sz w:val="21"/>
      <w:szCs w:val="21"/>
      <w:lang w:val="en-US" w:eastAsia="zh-CN" w:bidi="ar-SA"/>
    </w:rPr>
  </w:style>
  <w:style w:type="character" w:customStyle="1" w:styleId="895">
    <w:name w:val="段落 Char Char"/>
    <w:link w:val="114"/>
    <w:qFormat/>
    <w:uiPriority w:val="0"/>
    <w:rPr>
      <w:rFonts w:ascii="宋体" w:hAnsi="宋体"/>
      <w:sz w:val="24"/>
    </w:rPr>
  </w:style>
  <w:style w:type="character" w:customStyle="1" w:styleId="896">
    <w:name w:val="标题 3 Char2"/>
    <w:qFormat/>
    <w:uiPriority w:val="0"/>
    <w:rPr>
      <w:rFonts w:eastAsia="宋体"/>
      <w:b/>
      <w:bCs/>
      <w:kern w:val="2"/>
      <w:sz w:val="32"/>
      <w:szCs w:val="32"/>
      <w:lang w:val="en-US" w:eastAsia="zh-CN" w:bidi="ar-SA"/>
    </w:rPr>
  </w:style>
  <w:style w:type="character" w:customStyle="1" w:styleId="897">
    <w:name w:val="apple-converted-space"/>
    <w:qFormat/>
    <w:uiPriority w:val="0"/>
  </w:style>
  <w:style w:type="character" w:customStyle="1" w:styleId="898">
    <w:name w:val="页眉 Char2"/>
    <w:link w:val="44"/>
    <w:qFormat/>
    <w:uiPriority w:val="99"/>
    <w:rPr>
      <w:kern w:val="2"/>
      <w:sz w:val="18"/>
      <w:szCs w:val="18"/>
    </w:rPr>
  </w:style>
  <w:style w:type="character" w:customStyle="1" w:styleId="899">
    <w:name w:val="Char Char9"/>
    <w:qFormat/>
    <w:uiPriority w:val="0"/>
    <w:rPr>
      <w:rFonts w:eastAsia="宋体"/>
      <w:kern w:val="2"/>
      <w:sz w:val="18"/>
      <w:szCs w:val="18"/>
      <w:lang w:val="en-US" w:eastAsia="zh-CN" w:bidi="ar-SA"/>
    </w:rPr>
  </w:style>
  <w:style w:type="character" w:customStyle="1" w:styleId="900">
    <w:name w:val="Char Char41"/>
    <w:qFormat/>
    <w:uiPriority w:val="0"/>
    <w:rPr>
      <w:rFonts w:eastAsia="宋体"/>
      <w:b/>
      <w:sz w:val="24"/>
      <w:lang w:eastAsia="zh-CN" w:bidi="ar-SA"/>
    </w:rPr>
  </w:style>
  <w:style w:type="character" w:customStyle="1" w:styleId="901">
    <w:name w:val="large1"/>
    <w:qFormat/>
    <w:uiPriority w:val="0"/>
    <w:rPr>
      <w:rFonts w:hint="eastAsia" w:ascii="宋体" w:hAnsi="宋体" w:eastAsia="宋体"/>
      <w:sz w:val="21"/>
      <w:szCs w:val="21"/>
    </w:rPr>
  </w:style>
  <w:style w:type="character" w:customStyle="1" w:styleId="902">
    <w:name w:val="正文段 Char"/>
    <w:link w:val="115"/>
    <w:qFormat/>
    <w:uiPriority w:val="0"/>
    <w:rPr>
      <w:sz w:val="24"/>
    </w:rPr>
  </w:style>
  <w:style w:type="character" w:customStyle="1" w:styleId="903">
    <w:name w:val="Char Char13"/>
    <w:qFormat/>
    <w:uiPriority w:val="6"/>
    <w:rPr>
      <w:rFonts w:ascii="宋体" w:hAnsi="宋体"/>
      <w:kern w:val="1"/>
      <w:sz w:val="21"/>
      <w:szCs w:val="24"/>
    </w:rPr>
  </w:style>
  <w:style w:type="character" w:customStyle="1" w:styleId="9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6"/>
    <w:qFormat/>
    <w:uiPriority w:val="0"/>
    <w:rPr>
      <w:rFonts w:ascii="宋体" w:hAnsi="宋体"/>
      <w:kern w:val="2"/>
      <w:sz w:val="24"/>
      <w:szCs w:val="22"/>
    </w:rPr>
  </w:style>
  <w:style w:type="character" w:customStyle="1" w:styleId="906">
    <w:name w:val="批注文字 字符"/>
    <w:qFormat/>
    <w:uiPriority w:val="0"/>
    <w:rPr>
      <w:rFonts w:ascii="Arial" w:hAnsi="Arial" w:eastAsia="黑体" w:cs="Arial"/>
      <w:snapToGrid w:val="0"/>
      <w:kern w:val="0"/>
      <w:szCs w:val="21"/>
    </w:rPr>
  </w:style>
  <w:style w:type="character" w:customStyle="1" w:styleId="907">
    <w:name w:val="Char Char161"/>
    <w:qFormat/>
    <w:uiPriority w:val="0"/>
    <w:rPr>
      <w:rFonts w:eastAsia="宋体"/>
      <w:b/>
      <w:kern w:val="2"/>
      <w:sz w:val="32"/>
      <w:lang w:val="en-US" w:eastAsia="zh-CN"/>
    </w:rPr>
  </w:style>
  <w:style w:type="character" w:customStyle="1" w:styleId="908">
    <w:name w:val="javascript"/>
    <w:qFormat/>
    <w:uiPriority w:val="0"/>
  </w:style>
  <w:style w:type="character" w:customStyle="1" w:styleId="909">
    <w:name w:val="图名 Char"/>
    <w:qFormat/>
    <w:uiPriority w:val="0"/>
    <w:rPr>
      <w:rFonts w:ascii="Arial" w:hAnsi="Arial" w:eastAsia="黑体"/>
      <w:kern w:val="2"/>
      <w:sz w:val="24"/>
      <w:szCs w:val="24"/>
      <w:lang w:val="en-US" w:eastAsia="zh-CN" w:bidi="ar-SA"/>
    </w:rPr>
  </w:style>
  <w:style w:type="character" w:customStyle="1" w:styleId="910">
    <w:name w:val="Used by Word for text of Help footnotes Char Char"/>
    <w:qFormat/>
    <w:uiPriority w:val="0"/>
    <w:rPr>
      <w:rFonts w:ascii="Times New Roman" w:hAnsi="Times New Roman" w:eastAsia="宋体" w:cs="Times New Roman"/>
      <w:sz w:val="20"/>
      <w:szCs w:val="20"/>
    </w:rPr>
  </w:style>
  <w:style w:type="character" w:customStyle="1" w:styleId="911">
    <w:name w:val="编号，小四 Char"/>
    <w:link w:val="117"/>
    <w:qFormat/>
    <w:uiPriority w:val="0"/>
    <w:rPr>
      <w:rFonts w:ascii="Arial" w:hAnsi="Arial"/>
      <w:sz w:val="24"/>
    </w:rPr>
  </w:style>
  <w:style w:type="character" w:customStyle="1" w:styleId="912">
    <w:name w:val="Font Style82"/>
    <w:qFormat/>
    <w:uiPriority w:val="99"/>
    <w:rPr>
      <w:rFonts w:ascii="宋体" w:eastAsia="宋体" w:cs="宋体"/>
      <w:color w:val="000000"/>
      <w:sz w:val="14"/>
      <w:szCs w:val="14"/>
    </w:rPr>
  </w:style>
  <w:style w:type="character" w:customStyle="1" w:styleId="913">
    <w:name w:val="标题 2 Char Char"/>
    <w:qFormat/>
    <w:uiPriority w:val="0"/>
    <w:rPr>
      <w:rFonts w:ascii="楷体_GB2312" w:hAnsi="Arial" w:eastAsia="楷体_GB2312"/>
      <w:b/>
      <w:bCs/>
      <w:kern w:val="2"/>
      <w:sz w:val="24"/>
      <w:szCs w:val="32"/>
      <w:lang w:val="en-US" w:eastAsia="zh-CN" w:bidi="ar-SA"/>
    </w:rPr>
  </w:style>
  <w:style w:type="character" w:customStyle="1" w:styleId="914">
    <w:name w:val="未用 Char"/>
    <w:qFormat/>
    <w:uiPriority w:val="0"/>
    <w:rPr>
      <w:rFonts w:ascii="Arial" w:hAnsi="Arial" w:eastAsia="黑体"/>
      <w:kern w:val="2"/>
      <w:sz w:val="21"/>
      <w:szCs w:val="21"/>
      <w:lang w:val="en-US" w:eastAsia="zh-CN" w:bidi="ar-SA"/>
    </w:rPr>
  </w:style>
  <w:style w:type="character" w:customStyle="1" w:styleId="915">
    <w:name w:val="myp1111"/>
    <w:qFormat/>
    <w:uiPriority w:val="0"/>
    <w:rPr>
      <w:rFonts w:hint="default" w:ascii="ˎ̥" w:hAnsi="ˎ̥"/>
      <w:color w:val="000000"/>
      <w:sz w:val="20"/>
      <w:szCs w:val="20"/>
      <w:u w:val="none"/>
    </w:rPr>
  </w:style>
  <w:style w:type="character" w:customStyle="1" w:styleId="916">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17">
    <w:name w:val="h Char Char"/>
    <w:qFormat/>
    <w:uiPriority w:val="0"/>
    <w:rPr>
      <w:rFonts w:eastAsia="宋体"/>
      <w:kern w:val="2"/>
      <w:sz w:val="18"/>
      <w:lang w:val="en-US" w:eastAsia="zh-CN" w:bidi="ar-SA"/>
    </w:rPr>
  </w:style>
  <w:style w:type="character" w:customStyle="1" w:styleId="918">
    <w:name w:val="仿宋正文 Char"/>
    <w:link w:val="118"/>
    <w:qFormat/>
    <w:uiPriority w:val="0"/>
    <w:rPr>
      <w:rFonts w:ascii="仿宋_GB2312" w:eastAsia="仿宋_GB2312"/>
      <w:kern w:val="2"/>
      <w:sz w:val="24"/>
      <w:lang w:val="en-US" w:eastAsia="zh-CN" w:bidi="ar-SA"/>
    </w:rPr>
  </w:style>
  <w:style w:type="character" w:customStyle="1" w:styleId="919">
    <w:name w:val="正文首行缩进 Char Char Char Char Char Char"/>
    <w:qFormat/>
    <w:uiPriority w:val="0"/>
    <w:rPr>
      <w:rFonts w:ascii="宋体" w:eastAsia="宋体"/>
      <w:kern w:val="2"/>
      <w:sz w:val="24"/>
      <w:lang w:val="zh-CN" w:bidi="ar-SA"/>
    </w:rPr>
  </w:style>
  <w:style w:type="character" w:customStyle="1" w:styleId="920">
    <w:name w:val="样式 宋体"/>
    <w:qFormat/>
    <w:uiPriority w:val="0"/>
    <w:rPr>
      <w:rFonts w:ascii="宋体" w:hAnsi="宋体"/>
      <w:sz w:val="24"/>
    </w:rPr>
  </w:style>
  <w:style w:type="character" w:customStyle="1" w:styleId="921">
    <w:name w:val="tw4winJump"/>
    <w:qFormat/>
    <w:uiPriority w:val="0"/>
    <w:rPr>
      <w:rFonts w:ascii="Courier New" w:hAnsi="Courier New" w:cs="Courier New"/>
      <w:color w:val="008080"/>
      <w:lang w:val="en-US" w:eastAsia="zh-CN"/>
    </w:rPr>
  </w:style>
  <w:style w:type="character" w:customStyle="1" w:styleId="922">
    <w:name w:val="标题 1 字符"/>
    <w:qFormat/>
    <w:uiPriority w:val="9"/>
    <w:rPr>
      <w:rFonts w:ascii="Arial" w:hAnsi="Arial" w:eastAsia="黑体" w:cs="Arial"/>
      <w:b/>
      <w:bCs/>
      <w:snapToGrid w:val="0"/>
      <w:kern w:val="44"/>
      <w:sz w:val="44"/>
      <w:szCs w:val="44"/>
    </w:rPr>
  </w:style>
  <w:style w:type="character" w:customStyle="1" w:styleId="923">
    <w:name w:val="style36"/>
    <w:basedOn w:val="71"/>
    <w:qFormat/>
    <w:uiPriority w:val="0"/>
    <w:rPr>
      <w:rFonts w:ascii="Arial" w:hAnsi="Arial" w:eastAsia="黑体" w:cs="Arial"/>
      <w:snapToGrid w:val="0"/>
      <w:kern w:val="0"/>
      <w:szCs w:val="21"/>
    </w:rPr>
  </w:style>
  <w:style w:type="character" w:customStyle="1" w:styleId="924">
    <w:name w:val="pt9"/>
    <w:qFormat/>
    <w:uiPriority w:val="0"/>
    <w:rPr>
      <w:rFonts w:ascii="仿宋_GB2312" w:eastAsia="微软雅黑"/>
      <w:b/>
      <w:kern w:val="2"/>
      <w:sz w:val="32"/>
      <w:szCs w:val="32"/>
      <w:lang w:val="en-US" w:eastAsia="zh-CN" w:bidi="ar-SA"/>
    </w:rPr>
  </w:style>
  <w:style w:type="character" w:customStyle="1" w:styleId="925">
    <w:name w:val="DO_NOT_TRANSLATE"/>
    <w:qFormat/>
    <w:uiPriority w:val="0"/>
    <w:rPr>
      <w:rFonts w:ascii="Courier New" w:hAnsi="Courier New" w:cs="Courier New"/>
      <w:color w:val="800000"/>
      <w:lang w:val="en-US" w:eastAsia="zh-CN"/>
    </w:rPr>
  </w:style>
  <w:style w:type="character" w:customStyle="1" w:styleId="926">
    <w:name w:val="标书1 Char1"/>
    <w:qFormat/>
    <w:uiPriority w:val="0"/>
    <w:rPr>
      <w:rFonts w:eastAsia="宋体"/>
      <w:b/>
      <w:bCs/>
      <w:kern w:val="44"/>
      <w:sz w:val="44"/>
      <w:szCs w:val="44"/>
      <w:lang w:val="en-US" w:eastAsia="zh-CN" w:bidi="ar-SA"/>
    </w:rPr>
  </w:style>
  <w:style w:type="character" w:customStyle="1" w:styleId="927">
    <w:name w:val="页脚 字符"/>
    <w:qFormat/>
    <w:uiPriority w:val="99"/>
    <w:rPr>
      <w:kern w:val="2"/>
      <w:sz w:val="18"/>
      <w:szCs w:val="18"/>
    </w:rPr>
  </w:style>
  <w:style w:type="character" w:customStyle="1" w:styleId="928">
    <w:name w:val="正文2 Char"/>
    <w:qFormat/>
    <w:uiPriority w:val="0"/>
    <w:rPr>
      <w:rFonts w:eastAsia="宋体"/>
      <w:kern w:val="2"/>
      <w:sz w:val="24"/>
      <w:lang w:val="en-US" w:eastAsia="zh-CN" w:bidi="ar-SA"/>
    </w:rPr>
  </w:style>
  <w:style w:type="character" w:customStyle="1" w:styleId="929">
    <w:name w:val="Char Char21"/>
    <w:qFormat/>
    <w:uiPriority w:val="6"/>
    <w:rPr>
      <w:rFonts w:ascii="宋体" w:hAnsi="宋体"/>
      <w:kern w:val="1"/>
      <w:sz w:val="24"/>
      <w:szCs w:val="21"/>
      <w:lang w:val="zh-CN"/>
    </w:rPr>
  </w:style>
  <w:style w:type="character" w:customStyle="1" w:styleId="930">
    <w:name w:val="样式 正文缩进 + 首行缩进:  2 字符 Char Char"/>
    <w:link w:val="119"/>
    <w:qFormat/>
    <w:uiPriority w:val="0"/>
    <w:rPr>
      <w:rFonts w:cs="宋体"/>
      <w:kern w:val="2"/>
      <w:sz w:val="24"/>
    </w:rPr>
  </w:style>
  <w:style w:type="character" w:customStyle="1" w:styleId="931">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932">
    <w:name w:val="gray6"/>
    <w:basedOn w:val="71"/>
    <w:qFormat/>
    <w:uiPriority w:val="0"/>
    <w:rPr>
      <w:rFonts w:ascii="Arial" w:hAnsi="Arial" w:eastAsia="黑体" w:cs="Arial"/>
      <w:snapToGrid w:val="0"/>
      <w:kern w:val="0"/>
      <w:szCs w:val="21"/>
    </w:rPr>
  </w:style>
  <w:style w:type="character" w:customStyle="1" w:styleId="933">
    <w:name w:val="hui"/>
    <w:basedOn w:val="71"/>
    <w:qFormat/>
    <w:uiPriority w:val="0"/>
    <w:rPr>
      <w:rFonts w:ascii="Arial" w:hAnsi="Arial" w:eastAsia="黑体" w:cs="Arial"/>
      <w:snapToGrid w:val="0"/>
      <w:kern w:val="0"/>
      <w:szCs w:val="21"/>
    </w:rPr>
  </w:style>
  <w:style w:type="character" w:customStyle="1" w:styleId="934">
    <w:name w:val="哈哈正文 Char Char"/>
    <w:qFormat/>
    <w:uiPriority w:val="0"/>
    <w:rPr>
      <w:rFonts w:ascii="宋体" w:hAnsi="宋体" w:eastAsia="宋体" w:cs="宋体"/>
      <w:kern w:val="2"/>
      <w:sz w:val="24"/>
      <w:lang w:val="en-US" w:eastAsia="zh-CN" w:bidi="ar-SA"/>
    </w:r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Char"/>
    <w:link w:val="40"/>
    <w:qFormat/>
    <w:uiPriority w:val="0"/>
    <w:rPr>
      <w:kern w:val="2"/>
      <w:sz w:val="21"/>
      <w:szCs w:val="24"/>
      <w:lang w:val="zh-CN"/>
    </w:rPr>
  </w:style>
  <w:style w:type="character" w:customStyle="1" w:styleId="940">
    <w:name w:val="无间隔 Char"/>
    <w:link w:val="169"/>
    <w:qFormat/>
    <w:uiPriority w:val="99"/>
    <w:rPr>
      <w:kern w:val="2"/>
      <w:sz w:val="21"/>
      <w:szCs w:val="22"/>
    </w:rPr>
  </w:style>
  <w:style w:type="character" w:customStyle="1" w:styleId="941">
    <w:name w:val="标准文本 Char Char"/>
    <w:link w:val="607"/>
    <w:qFormat/>
    <w:uiPriority w:val="0"/>
    <w:rPr>
      <w:rFonts w:cs="宋体"/>
      <w:kern w:val="2"/>
      <w:sz w:val="24"/>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character" w:customStyle="1" w:styleId="955">
    <w:name w:val="ksfind_class_select1"/>
    <w:basedOn w:val="71"/>
    <w:qFormat/>
    <w:uiPriority w:val="0"/>
    <w:rPr>
      <w:color w:val="000000"/>
      <w:shd w:val="clear" w:color="auto" w:fill="EFD200"/>
    </w:rPr>
  </w:style>
  <w:style w:type="character" w:customStyle="1" w:styleId="956">
    <w:name w:val="font71"/>
    <w:qFormat/>
    <w:uiPriority w:val="0"/>
    <w:rPr>
      <w:rFonts w:hint="eastAsia" w:ascii="宋体" w:hAnsi="宋体" w:eastAsia="宋体" w:cs="宋体"/>
      <w:color w:val="000000"/>
      <w:sz w:val="22"/>
      <w:szCs w:val="22"/>
      <w:u w:val="none"/>
    </w:rPr>
  </w:style>
  <w:style w:type="character" w:customStyle="1" w:styleId="957">
    <w:name w:val="font91"/>
    <w:qFormat/>
    <w:uiPriority w:val="0"/>
    <w:rPr>
      <w:rFonts w:hint="eastAsia" w:ascii="仿宋" w:hAnsi="仿宋" w:eastAsia="仿宋" w:cs="仿宋"/>
      <w:color w:val="000000"/>
      <w:sz w:val="22"/>
      <w:szCs w:val="22"/>
      <w:u w:val="none"/>
    </w:rPr>
  </w:style>
  <w:style w:type="table" w:customStyle="1" w:styleId="958">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Table Normal"/>
    <w:qFormat/>
    <w:uiPriority w:val="0"/>
    <w:tblPr>
      <w:tblCellMar>
        <w:top w:w="0" w:type="dxa"/>
        <w:left w:w="0" w:type="dxa"/>
        <w:bottom w:w="0" w:type="dxa"/>
        <w:right w:w="0" w:type="dxa"/>
      </w:tblCellMar>
    </w:tblPr>
  </w:style>
  <w:style w:type="paragraph" w:customStyle="1" w:styleId="965">
    <w:name w:val="正文文本首行缩进 21"/>
    <w:basedOn w:val="3"/>
    <w:qFormat/>
    <w:uiPriority w:val="99"/>
    <w:pPr>
      <w:spacing w:line="200" w:lineRule="atLeast"/>
      <w:ind w:firstLine="420"/>
    </w:pPr>
    <w:rPr>
      <w:rFonts w:ascii="宋体" w:hAnsi="Courier New"/>
      <w:spacing w:val="-4"/>
      <w:sz w:val="18"/>
    </w:rPr>
  </w:style>
  <w:style w:type="paragraph" w:customStyle="1" w:styleId="966">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paragraph" w:customStyle="1" w:styleId="967">
    <w:name w:val="[Normal]"/>
    <w:qFormat/>
    <w:uiPriority w:val="0"/>
    <w:rPr>
      <w:rFonts w:ascii="宋体" w:hAnsi="宋体" w:eastAsia="宋体" w:cs="Times New Roman"/>
      <w:sz w:val="24"/>
      <w:szCs w:val="22"/>
      <w:lang w:val="zh-CN" w:eastAsia="zh-CN" w:bidi="ar-SA"/>
    </w:rPr>
  </w:style>
  <w:style w:type="character" w:customStyle="1" w:styleId="968">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969">
    <w:name w:val="BodyTextIndent"/>
    <w:basedOn w:val="1"/>
    <w:next w:val="970"/>
    <w:qFormat/>
    <w:uiPriority w:val="0"/>
    <w:pPr>
      <w:spacing w:line="480" w:lineRule="atLeast"/>
      <w:ind w:firstLine="570"/>
      <w:jc w:val="both"/>
      <w:textAlignment w:val="baseline"/>
    </w:pPr>
    <w:rPr>
      <w:rFonts w:ascii="??" w:hAnsi="??" w:eastAsia="??"/>
      <w:kern w:val="2"/>
      <w:sz w:val="28"/>
      <w:szCs w:val="28"/>
      <w:lang w:val="en-US" w:eastAsia="zh-CN" w:bidi="ar-SA"/>
    </w:rPr>
  </w:style>
  <w:style w:type="paragraph" w:customStyle="1" w:styleId="970">
    <w:name w:val="UserStyle_460"/>
    <w:basedOn w:val="969"/>
    <w:qFormat/>
    <w:uiPriority w:val="0"/>
    <w:pPr>
      <w:spacing w:line="240" w:lineRule="atLeast"/>
      <w:ind w:firstLine="420"/>
      <w:jc w:val="both"/>
      <w:textAlignment w:val="baseline"/>
    </w:pPr>
    <w:rPr>
      <w:rFonts w:ascii="宋体" w:hAnsi="Courier New" w:eastAsia="??"/>
      <w:spacing w:val="-4"/>
      <w:kern w:val="2"/>
      <w:sz w:val="1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70</Pages>
  <Words>6061</Words>
  <Characters>34550</Characters>
  <Lines>287</Lines>
  <Paragraphs>81</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余靖</cp:lastModifiedBy>
  <cp:lastPrinted>2021-12-27T03:06:00Z</cp:lastPrinted>
  <dcterms:modified xsi:type="dcterms:W3CDTF">2022-03-05T15:22:04Z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0CEBA4B2770A41F682CC7C509F913628</vt:lpwstr>
  </property>
</Properties>
</file>