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仓前街道未来科技城划转区块城市管理服务</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ZJDL-2022-014</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lang w:eastAsia="zh-CN"/>
        </w:rPr>
      </w:pPr>
    </w:p>
    <w:p>
      <w:pPr>
        <w:pStyle w:val="6"/>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pStyle w:val="6"/>
        <w:rPr>
          <w:rFonts w:hint="eastAsia" w:ascii="仿宋" w:hAnsi="仿宋" w:eastAsia="仿宋" w:cs="仿宋"/>
          <w:color w:val="auto"/>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：杭州市余杭区人民政府仓前街道办事处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：浙江中际工程项目管理有限公司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二</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三</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rPr>
        <w:t>日</w:t>
      </w: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pStyle w:val="61"/>
        <w:keepNext w:val="0"/>
        <w:keepLines w:val="0"/>
        <w:widowControl/>
        <w:numPr>
          <w:ilvl w:val="0"/>
          <w:numId w:val="1"/>
        </w:numPr>
        <w:suppressLineNumbers w:val="0"/>
        <w:spacing w:before="75" w:beforeAutospacing="0" w:after="75" w:afterAutospacing="0"/>
        <w:ind w:left="0" w:right="0"/>
        <w:jc w:val="center"/>
        <w:rPr>
          <w:rFonts w:hint="eastAsia" w:ascii="仿宋" w:hAnsi="仿宋" w:eastAsia="仿宋" w:cs="仿宋"/>
          <w:b/>
          <w:color w:val="auto"/>
          <w:sz w:val="36"/>
          <w:szCs w:val="20"/>
          <w:highlight w:val="none"/>
        </w:rPr>
      </w:pPr>
      <w:bookmarkStart w:id="2" w:name="第一部分"/>
      <w:r>
        <w:rPr>
          <w:rFonts w:hint="eastAsia" w:ascii="仿宋" w:hAnsi="仿宋" w:eastAsia="仿宋" w:cs="仿宋"/>
          <w:b/>
          <w:color w:val="auto"/>
          <w:sz w:val="36"/>
          <w:szCs w:val="36"/>
          <w:highlight w:val="none"/>
        </w:rPr>
        <w:br w:type="page"/>
      </w:r>
      <w:bookmarkEnd w:id="1"/>
      <w:bookmarkEnd w:id="2"/>
      <w:bookmarkStart w:id="3" w:name="_Hlt74729822"/>
      <w:bookmarkEnd w:id="3"/>
      <w:bookmarkStart w:id="4" w:name="_Hlt74728647"/>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招标公告</w:t>
      </w:r>
    </w:p>
    <w:p>
      <w:pPr>
        <w:pStyle w:val="61"/>
        <w:keepNext w:val="0"/>
        <w:keepLines w:val="0"/>
        <w:widowControl/>
        <w:numPr>
          <w:numId w:val="0"/>
        </w:numPr>
        <w:suppressLineNumbers w:val="0"/>
        <w:spacing w:before="75" w:beforeAutospacing="0" w:after="75" w:afterAutospacing="0"/>
        <w:ind w:right="0" w:rightChars="0"/>
      </w:pPr>
      <w:r>
        <w:rPr>
          <w:rFonts w:hint="eastAsia" w:ascii="仿宋" w:hAnsi="仿宋" w:eastAsia="仿宋" w:cs="仿宋"/>
          <w:sz w:val="27"/>
          <w:szCs w:val="27"/>
        </w:rPr>
        <w:t>项目概况</w:t>
      </w:r>
      <w:r>
        <w:rPr>
          <w:rFonts w:hint="eastAsia" w:ascii="仿宋" w:hAnsi="仿宋" w:eastAsia="仿宋" w:cs="仿宋"/>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仓前街道未来科技城划转区块城市管理服务招标项目的潜在投标人应在</w:t>
      </w:r>
      <w:r>
        <w:rPr>
          <w:rFonts w:hint="eastAsia" w:ascii="仿宋" w:hAnsi="仿宋" w:eastAsia="仿宋" w:cs="仿宋"/>
          <w:sz w:val="27"/>
          <w:szCs w:val="27"/>
          <w:u w:val="none"/>
        </w:rPr>
        <w:t>政采云平台（https://www.zcygov.cn/） </w:t>
      </w:r>
      <w:r>
        <w:rPr>
          <w:rFonts w:hint="eastAsia" w:ascii="仿宋" w:hAnsi="仿宋" w:eastAsia="仿宋" w:cs="仿宋"/>
          <w:sz w:val="27"/>
          <w:szCs w:val="27"/>
        </w:rPr>
        <w:t>获取（下载）招标文件，并于 2022年03月28日 14:00（北京时间）前递交（上传）投标文件。</w:t>
      </w:r>
      <w:r>
        <w:rPr>
          <w:rFonts w:hint="eastAsia" w:ascii="仿宋" w:hAnsi="仿宋" w:eastAsia="仿宋" w:cs="仿宋"/>
        </w:rPr>
        <w:t>                             </w:t>
      </w:r>
    </w:p>
    <w:p>
      <w:pPr>
        <w:pStyle w:val="61"/>
        <w:keepNext w:val="0"/>
        <w:keepLines w:val="0"/>
        <w:widowControl/>
        <w:numPr>
          <w:ilvl w:val="0"/>
          <w:numId w:val="2"/>
        </w:numPr>
        <w:suppressLineNumbers w:val="0"/>
        <w:spacing w:before="255" w:beforeAutospacing="0" w:after="255" w:afterAutospacing="0" w:line="300" w:lineRule="atLeast"/>
        <w:ind w:left="0" w:right="0"/>
        <w:jc w:val="left"/>
        <w:rPr>
          <w:rFonts w:ascii="黑体" w:hAnsi="宋体" w:eastAsia="黑体" w:cs="黑体"/>
          <w:sz w:val="27"/>
          <w:szCs w:val="27"/>
        </w:rPr>
      </w:pPr>
      <w:r>
        <w:rPr>
          <w:rStyle w:val="72"/>
          <w:rFonts w:ascii="黑体" w:hAnsi="宋体" w:eastAsia="黑体" w:cs="黑体"/>
          <w:sz w:val="27"/>
          <w:szCs w:val="27"/>
        </w:rPr>
        <w:t>项目基本情况</w:t>
      </w:r>
      <w:r>
        <w:rPr>
          <w:rFonts w:ascii="黑体" w:hAnsi="宋体" w:eastAsia="黑体" w:cs="黑体"/>
          <w:sz w:val="27"/>
          <w:szCs w:val="27"/>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项目编号：ZJDL-2022-014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项目名称：仓前街道未来科技城划转区块城市管理服务</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预算金额（元）：9000000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最高限价（元）：9000000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杭州市余杭区人民政府仓前街道办事处仓前街道未来科技城划转区块城市管理服务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9000000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简要规格描述或项目基本概况介绍、用途：仓前街道未来科技城划转区块城市管理服务，主要内容：详见招标文件第三部分采购需求。 </w:t>
      </w:r>
      <w:r>
        <w:rPr>
          <w:rFonts w:hint="eastAsia" w:ascii="仿宋" w:hAnsi="仿宋" w:eastAsia="仿宋" w:cs="仿宋"/>
          <w:sz w:val="27"/>
          <w:szCs w:val="27"/>
        </w:rPr>
        <w:br w:type="textWrapping"/>
      </w:r>
      <w:r>
        <w:rPr>
          <w:rFonts w:hint="eastAsia" w:ascii="仿宋" w:hAnsi="仿宋" w:eastAsia="仿宋" w:cs="仿宋"/>
          <w:sz w:val="27"/>
          <w:szCs w:val="27"/>
        </w:rPr>
        <w:t>    备注：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1，1年。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61"/>
        <w:keepNext w:val="0"/>
        <w:keepLines w:val="0"/>
        <w:widowControl/>
        <w:suppressLineNumbers w:val="0"/>
        <w:spacing w:before="225" w:beforeAutospacing="0" w:after="225" w:afterAutospacing="0" w:line="300" w:lineRule="atLeast"/>
        <w:ind w:left="0" w:right="0"/>
      </w:pPr>
      <w:r>
        <w:rPr>
          <w:rStyle w:val="72"/>
          <w:rFonts w:ascii="黑体" w:hAnsi="宋体" w:eastAsia="黑体" w:cs="黑体"/>
          <w:sz w:val="27"/>
          <w:szCs w:val="27"/>
        </w:rPr>
        <w:t>二、申请人的资格要求：</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2.落实政府采购政策需满足的资格要求：无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三、获取招标文件</w:t>
      </w:r>
      <w:r>
        <w:rPr>
          <w:rFonts w:ascii="黑体" w:hAnsi="宋体" w:eastAsia="黑体" w:cs="黑体"/>
          <w:sz w:val="27"/>
          <w:szCs w:val="27"/>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时间：/至2022年03月28日 ，每天上午00:00至12:00 ，下午12:00至23:59（北京时间，线上获取法定节假日均可，线下获取文件法定节假日除外）</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地点（网址）：政采云平台（https://www.zcygov.cn/）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四、提交投标文件截止时间、开标时间和地点</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提交投标文件截止时间：2022年03月28日 14:00（北京时间）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投标地点（网址）：政采云平台（https://www.zcygov.cn/）</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开标时间：2022年03月28日 14:00</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开标地点（网址）：余杭区五常街道荆长路81号迪兴西溪双创园A座201室</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五、采购意向公开链接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1"/>
          <w:rFonts w:hint="eastAsia" w:ascii="仿宋" w:hAnsi="仿宋" w:eastAsia="仿宋" w:cs="仿宋"/>
          <w:sz w:val="27"/>
          <w:szCs w:val="27"/>
        </w:rPr>
        <w:t>https://zfcg.czt.zj.gov.cn/innerUsed_noticeDetails/index.html?noticeId=8527611&amp;utm=web-government-front.2e418808.0.0.7a8ef5309c8711ec9ca2458c7c067c2c</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六、公告期限</w:t>
      </w:r>
      <w:r>
        <w:rPr>
          <w:rFonts w:ascii="黑体" w:hAnsi="宋体" w:eastAsia="黑体" w:cs="黑体"/>
          <w:sz w:val="31"/>
          <w:szCs w:val="31"/>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七、其他补充事宜</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61"/>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2"/>
          <w:rFonts w:ascii="黑体" w:hAnsi="宋体" w:eastAsia="黑体" w:cs="黑体"/>
          <w:sz w:val="27"/>
          <w:szCs w:val="27"/>
        </w:rPr>
        <w:t>八、对本次采购提出询问、质疑、投诉，请按以下方式联系</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称：杭州市余杭区人民政府仓前街道办事处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址：仓前街道向往街1008号乐富海邦园18幢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项目联系人（询问）：陈文钟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项目联系方式（询问）：0571-88611800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质疑联系人：周国平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质疑联系方式：13777592253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址：临平区南苑街道嘉信国际6楼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项目联系方式（询问）：13362030720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r>
        <w:rPr>
          <w:rFonts w:hint="eastAsia" w:ascii="仿宋" w:hAnsi="仿宋" w:eastAsia="仿宋" w:cs="仿宋"/>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址：杭州市余杭区五常街道溪沁路8号中国电信浙江创新园1号楼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监督投诉电话：0571-88728858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61"/>
        <w:keepNext w:val="0"/>
        <w:keepLines w:val="0"/>
        <w:widowControl/>
        <w:suppressLineNumbers w:val="0"/>
        <w:spacing w:before="75" w:beforeAutospacing="0" w:after="75" w:afterAutospacing="0"/>
        <w:ind w:left="0" w:right="0"/>
      </w:pPr>
    </w:p>
    <w:p>
      <w:pPr>
        <w:adjustRightInd/>
        <w:spacing w:line="360" w:lineRule="auto"/>
        <w:jc w:val="center"/>
        <w:outlineLvl w:val="0"/>
        <w:rPr>
          <w:rFonts w:hint="eastAsia" w:ascii="仿宋" w:hAnsi="仿宋" w:eastAsia="仿宋" w:cs="仿宋"/>
          <w:b/>
          <w:color w:val="auto"/>
          <w:sz w:val="36"/>
          <w:szCs w:val="20"/>
          <w:highlight w:val="none"/>
        </w:rPr>
      </w:pPr>
      <w:r>
        <w:rPr>
          <w:rFonts w:ascii="宋体" w:hAnsi="宋体" w:eastAsia="宋体" w:cs="宋体"/>
          <w:kern w:val="0"/>
          <w:sz w:val="24"/>
          <w:szCs w:val="24"/>
          <w:lang w:val="en-US" w:eastAsia="zh-CN" w:bidi="ar"/>
        </w:rPr>
        <w:t>    </w:t>
      </w: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w:t>
            </w:r>
            <w:r>
              <w:rPr>
                <w:rFonts w:hint="eastAsia" w:ascii="仿宋" w:hAnsi="仿宋" w:eastAsia="仿宋" w:cs="仿宋"/>
                <w:color w:val="auto"/>
                <w:kern w:val="0"/>
                <w:sz w:val="24"/>
                <w:highlight w:val="none"/>
                <w:lang w:val="zh-CN"/>
              </w:rPr>
              <w:t>载体。投标文件中价格全部采用人民币报价。招标文件未列明，而投标人认为必需的费用也需列入报价。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bookmarkStart w:id="432" w:name="_GoBack"/>
            <w:bookmarkEnd w:id="432"/>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w:t>
            </w:r>
            <w:r>
              <w:rPr>
                <w:rFonts w:hint="eastAsia" w:ascii="仿宋" w:hAnsi="仿宋" w:eastAsia="仿宋" w:cs="仿宋"/>
                <w:b/>
                <w:bCs/>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lang w:eastAsia="zh-CN"/>
              </w:rPr>
              <w:t>序化整治项目</w:t>
            </w:r>
            <w:r>
              <w:rPr>
                <w:rFonts w:hint="eastAsia" w:ascii="仿宋" w:hAnsi="仿宋" w:eastAsia="仿宋" w:cs="仿宋"/>
                <w:color w:val="auto"/>
                <w:kern w:val="0"/>
                <w:sz w:val="24"/>
                <w:highlight w:val="none"/>
              </w:rPr>
              <w:t>，属于其他租赁和商务服务业；具体详见《中小企业划型标准规定》。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杭州市临平区南苑街道嘉信国际6楼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val="en-US" w:eastAsia="zh-CN"/>
              </w:rPr>
              <w:t>13362030720</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7"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p>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xml:space="preserve">联合体成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员（含联合体牵头人）不得超过 3 个。</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b/>
                <w:bCs/>
                <w:color w:val="auto"/>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tbl>
    <w:p>
      <w:pPr>
        <w:snapToGrid w:val="0"/>
        <w:spacing w:line="360" w:lineRule="auto"/>
        <w:jc w:val="center"/>
        <w:rPr>
          <w:rFonts w:hint="eastAsia" w:ascii="仿宋" w:hAnsi="仿宋" w:eastAsia="仿宋" w:cs="仿宋"/>
          <w:b/>
          <w:color w:val="auto"/>
          <w:sz w:val="32"/>
          <w:szCs w:val="20"/>
          <w:highlight w:val="none"/>
        </w:rPr>
      </w:pPr>
    </w:p>
    <w:bookmarkEnd w:id="9"/>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0" w:name="第三部分"/>
      <w:bookmarkStart w:id="11" w:name="_Toc164416483"/>
    </w:p>
    <w:p>
      <w:pPr>
        <w:adjustRightInd/>
        <w:spacing w:line="360" w:lineRule="auto"/>
        <w:ind w:firstLine="3845" w:firstLineChars="1197"/>
        <w:outlineLvl w:val="0"/>
        <w:rPr>
          <w:rFonts w:hint="eastAsia" w:ascii="仿宋" w:hAnsi="仿宋" w:eastAsia="仿宋" w:cs="仿宋"/>
          <w:b/>
          <w:color w:val="auto"/>
          <w:sz w:val="32"/>
          <w:szCs w:val="20"/>
          <w:highlight w:val="none"/>
        </w:rPr>
      </w:pPr>
    </w:p>
    <w:p>
      <w:pPr>
        <w:pStyle w:val="8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8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8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8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84"/>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5"/>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w:t>
      </w:r>
      <w:r>
        <w:rPr>
          <w:rFonts w:hint="eastAsia" w:ascii="仿宋" w:hAnsi="仿宋" w:eastAsia="仿宋" w:cs="仿宋"/>
          <w:color w:val="auto"/>
          <w:sz w:val="28"/>
          <w:szCs w:val="28"/>
          <w:highlight w:val="none"/>
        </w:rPr>
        <w:t>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4.2</w:t>
      </w:r>
      <w:r>
        <w:rPr>
          <w:rFonts w:hint="eastAsia" w:ascii="仿宋" w:hAnsi="仿宋" w:eastAsia="仿宋" w:cs="仿宋"/>
          <w:color w:val="auto"/>
          <w:sz w:val="28"/>
          <w:szCs w:val="28"/>
          <w:highlight w:val="none"/>
        </w:rPr>
        <w:t>.5询问或者质疑事项可能影响采购结果的，采购人应当暂停签订合同，已经签订合同的，应当中止履行合同。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560" w:firstLineChars="200"/>
        <w:contextualSpacing/>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4.3供应商投诉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11.3.2报价明细清单；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5"/>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3"/>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hint="eastAsia" w:ascii="仿宋" w:hAnsi="仿宋" w:eastAsia="仿宋" w:cs="仿宋"/>
          <w:b/>
          <w:color w:val="auto"/>
          <w:sz w:val="32"/>
          <w:highlight w:val="none"/>
        </w:rPr>
      </w:pPr>
    </w:p>
    <w:p>
      <w:pPr>
        <w:pStyle w:val="9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5"/>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5"/>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5"/>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5"/>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0"/>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9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9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none"/>
          <w:lang w:val="en-US" w:eastAsia="zh-CN"/>
        </w:rPr>
        <w:t>2.5</w:t>
      </w:r>
      <w:r>
        <w:rPr>
          <w:rFonts w:hint="eastAsia" w:ascii="仿宋" w:hAnsi="仿宋" w:eastAsia="仿宋" w:cs="仿宋"/>
          <w:color w:val="auto"/>
          <w:sz w:val="24"/>
          <w:szCs w:val="20"/>
          <w:highlight w:val="none"/>
        </w:rPr>
        <w:t>%。</w:t>
      </w:r>
    </w:p>
    <w:p>
      <w:pPr>
        <w:pStyle w:val="6"/>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9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9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3"/>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72998"/>
      <w:bookmarkEnd w:id="13"/>
      <w:bookmarkStart w:id="14" w:name="_Hlt75236011"/>
      <w:bookmarkEnd w:id="14"/>
      <w:bookmarkStart w:id="15" w:name="_Hlt75236101"/>
      <w:bookmarkEnd w:id="15"/>
      <w:bookmarkStart w:id="16" w:name="_Hlt68403820"/>
      <w:bookmarkEnd w:id="16"/>
      <w:bookmarkStart w:id="17" w:name="_Hlt74714665"/>
      <w:bookmarkEnd w:id="17"/>
      <w:bookmarkStart w:id="18" w:name="_Hlt74730295"/>
      <w:bookmarkEnd w:id="18"/>
      <w:bookmarkStart w:id="19" w:name="_Hlt68072990"/>
      <w:bookmarkEnd w:id="19"/>
      <w:bookmarkStart w:id="20" w:name="_Hlt75236290"/>
      <w:bookmarkEnd w:id="20"/>
      <w:bookmarkStart w:id="21" w:name="_Hlt68073093"/>
      <w:bookmarkEnd w:id="21"/>
      <w:bookmarkStart w:id="22" w:name="_Hlt74729768"/>
      <w:bookmarkEnd w:id="22"/>
      <w:bookmarkStart w:id="23" w:name="_Hlt74707468"/>
      <w:bookmarkEnd w:id="23"/>
      <w:bookmarkStart w:id="24" w:name="_Hlt68057669"/>
      <w:bookmarkEnd w:id="24"/>
    </w:p>
    <w:bookmarkEnd w:id="10"/>
    <w:bookmarkEnd w:id="11"/>
    <w:p>
      <w:pPr>
        <w:numPr>
          <w:ilvl w:val="0"/>
          <w:numId w:val="3"/>
        </w:numPr>
        <w:spacing w:line="360" w:lineRule="auto"/>
        <w:jc w:val="center"/>
        <w:outlineLvl w:val="0"/>
        <w:rPr>
          <w:rFonts w:hint="eastAsia" w:ascii="仿宋" w:hAnsi="仿宋" w:eastAsia="仿宋" w:cs="仿宋"/>
          <w:b/>
          <w:color w:val="auto"/>
          <w:sz w:val="36"/>
          <w:szCs w:val="36"/>
          <w:highlight w:val="none"/>
        </w:rPr>
      </w:pPr>
      <w:bookmarkStart w:id="25" w:name="第四部分"/>
      <w:r>
        <w:rPr>
          <w:rFonts w:hint="eastAsia" w:ascii="仿宋" w:hAnsi="仿宋" w:eastAsia="仿宋" w:cs="仿宋"/>
          <w:b/>
          <w:color w:val="auto"/>
          <w:sz w:val="36"/>
          <w:szCs w:val="36"/>
          <w:highlight w:val="none"/>
        </w:rPr>
        <w:t xml:space="preserve">  采购需求</w:t>
      </w:r>
    </w:p>
    <w:p>
      <w:pPr>
        <w:pStyle w:val="62"/>
        <w:spacing w:line="360" w:lineRule="auto"/>
        <w:jc w:val="both"/>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lang w:val="en-US" w:eastAsia="zh-CN"/>
        </w:rPr>
        <w:t>一、采购内容</w:t>
      </w:r>
      <w:r>
        <w:rPr>
          <w:rFonts w:hint="eastAsia" w:ascii="仿宋" w:hAnsi="仿宋" w:eastAsia="仿宋" w:cs="仿宋"/>
          <w:bCs/>
          <w:color w:val="auto"/>
          <w:sz w:val="28"/>
          <w:szCs w:val="28"/>
          <w:highlight w:val="none"/>
          <w:lang w:val="en-US"/>
        </w:rPr>
        <w:t>：</w:t>
      </w:r>
    </w:p>
    <w:p>
      <w:pPr>
        <w:tabs>
          <w:tab w:val="left" w:pos="0"/>
        </w:tabs>
        <w:spacing w:line="360" w:lineRule="auto"/>
        <w:ind w:firstLine="48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 xml:space="preserve"> 项目采购内容为</w:t>
      </w:r>
      <w:r>
        <w:rPr>
          <w:rFonts w:hint="eastAsia" w:ascii="仿宋" w:hAnsi="仿宋" w:eastAsia="仿宋" w:cs="仿宋"/>
          <w:color w:val="auto"/>
          <w:kern w:val="0"/>
          <w:sz w:val="24"/>
          <w:highlight w:val="none"/>
          <w:lang w:eastAsia="zh-CN"/>
        </w:rPr>
        <w:t>仓前街道</w:t>
      </w:r>
      <w:r>
        <w:rPr>
          <w:rFonts w:hint="eastAsia" w:ascii="仿宋" w:hAnsi="仿宋" w:eastAsia="仿宋" w:cs="仿宋"/>
          <w:color w:val="auto"/>
          <w:kern w:val="0"/>
          <w:sz w:val="24"/>
          <w:highlight w:val="none"/>
          <w:lang w:val="en-US" w:eastAsia="zh-CN"/>
        </w:rPr>
        <w:t>2022年未来科技城移交区块序化整治采购项目，协助开展日常城市综合管理整治巡逻以及其他授权的辅助工作以及其他临时性工作、在服务期内为采购人提供合格的日常管理协助与特殊时间段的管理协助服务；投标报价包括所有外包人员的工资、社保、加班费、培训费、住宿、餐费、通讯设备、交通工具及维保费、统一服装费、低值易耗品、工具及相关设备费、临时性杂项服务费、政策性文件规定及合同包含的所有风险、责任、税费、合理利润等各项全部费用。</w:t>
      </w:r>
    </w:p>
    <w:p>
      <w:pPr>
        <w:spacing w:line="360" w:lineRule="auto"/>
        <w:jc w:val="left"/>
        <w:outlineLvl w:val="0"/>
        <w:rPr>
          <w:rFonts w:hint="eastAsia" w:ascii="仿宋" w:hAnsi="仿宋" w:eastAsia="仿宋" w:cs="仿宋"/>
          <w:color w:val="auto"/>
          <w:sz w:val="28"/>
          <w:szCs w:val="28"/>
          <w:highlight w:val="none"/>
        </w:rPr>
      </w:pPr>
    </w:p>
    <w:p>
      <w:pPr>
        <w:pStyle w:val="62"/>
        <w:spacing w:line="360" w:lineRule="auto"/>
        <w:jc w:val="both"/>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lang w:val="en-US"/>
        </w:rPr>
        <w:t>二、具体服务内容：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rPr>
        <w:t>服务人员必须服从采购人指挥、管理和安排，服务人员工作期间必须穿戴统一工作服装及工作所需设备设施，遵守采购人制定的工作纪律，接受采购人督查考核；中标单位必须确定专人负责对服务人员的管理和督查，定期对服务人员的业务培训，确保服务人员工作稳定性。</w:t>
      </w:r>
      <w:r>
        <w:rPr>
          <w:rFonts w:hint="eastAsia" w:ascii="仿宋" w:hAnsi="仿宋" w:eastAsia="仿宋" w:cs="仿宋"/>
          <w:color w:val="auto"/>
          <w:kern w:val="0"/>
          <w:sz w:val="24"/>
          <w:highlight w:val="none"/>
        </w:rPr>
        <w:t>协助甲方相关工作，包括日常开展巡查并及时上报巡查结果；负责联合执法工作的现场秩序维护；负责涉访涉诉类事件的现场情况调查及现场处置工作；配合甲方实施的违建拆除工作；协助开展沿街店铺食品安全等市场监管相关工作；及合同内未列明的工作内容由甲方协调明确。</w:t>
      </w:r>
    </w:p>
    <w:p>
      <w:pPr>
        <w:numPr>
          <w:ilvl w:val="0"/>
          <w:numId w:val="4"/>
        </w:numPr>
        <w:spacing w:line="600" w:lineRule="exact"/>
        <w:jc w:val="left"/>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人员</w:t>
      </w:r>
      <w:r>
        <w:rPr>
          <w:rFonts w:hint="eastAsia" w:ascii="仿宋" w:hAnsi="仿宋" w:eastAsia="仿宋" w:cs="仿宋"/>
          <w:b/>
          <w:color w:val="auto"/>
          <w:sz w:val="28"/>
          <w:szCs w:val="28"/>
          <w:highlight w:val="none"/>
          <w:lang w:val="en-US" w:eastAsia="zh-CN"/>
        </w:rPr>
        <w:t>配置</w:t>
      </w:r>
      <w:r>
        <w:rPr>
          <w:rFonts w:hint="eastAsia" w:ascii="仿宋" w:hAnsi="仿宋" w:eastAsia="仿宋" w:cs="仿宋"/>
          <w:b/>
          <w:color w:val="auto"/>
          <w:sz w:val="28"/>
          <w:szCs w:val="28"/>
          <w:highlight w:val="none"/>
        </w:rPr>
        <w:t>要求：</w:t>
      </w:r>
    </w:p>
    <w:tbl>
      <w:tblPr>
        <w:tblStyle w:val="64"/>
        <w:tblW w:w="822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261"/>
        <w:gridCol w:w="1235"/>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6" w:type="dxa"/>
            <w:noWrap w:val="0"/>
            <w:vAlign w:val="top"/>
          </w:tcPr>
          <w:p>
            <w:pPr>
              <w:adjustRightInd w:val="0"/>
              <w:spacing w:line="570" w:lineRule="exact"/>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2261" w:type="dxa"/>
            <w:noWrap w:val="0"/>
            <w:vAlign w:val="top"/>
          </w:tcPr>
          <w:p>
            <w:pPr>
              <w:adjustRightInd w:val="0"/>
              <w:spacing w:line="570" w:lineRule="exact"/>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岗位</w:t>
            </w:r>
          </w:p>
        </w:tc>
        <w:tc>
          <w:tcPr>
            <w:tcW w:w="1235" w:type="dxa"/>
            <w:noWrap w:val="0"/>
            <w:vAlign w:val="top"/>
          </w:tcPr>
          <w:p>
            <w:pPr>
              <w:adjustRightInd w:val="0"/>
              <w:spacing w:line="570" w:lineRule="exact"/>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人员数量</w:t>
            </w:r>
          </w:p>
        </w:tc>
        <w:tc>
          <w:tcPr>
            <w:tcW w:w="3811" w:type="dxa"/>
            <w:noWrap w:val="0"/>
            <w:vAlign w:val="top"/>
          </w:tcPr>
          <w:p>
            <w:pPr>
              <w:adjustRightInd w:val="0"/>
              <w:spacing w:line="570" w:lineRule="exact"/>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16" w:type="dxa"/>
            <w:noWrap w:val="0"/>
            <w:vAlign w:val="center"/>
          </w:tcPr>
          <w:p>
            <w:pPr>
              <w:adjustRightInd w:val="0"/>
              <w:spacing w:line="570" w:lineRule="exact"/>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2261" w:type="dxa"/>
            <w:noWrap w:val="0"/>
            <w:vAlign w:val="center"/>
          </w:tcPr>
          <w:p>
            <w:pPr>
              <w:adjustRightInd w:val="0"/>
              <w:spacing w:line="570" w:lineRule="exact"/>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sz w:val="28"/>
                <w:szCs w:val="28"/>
                <w:highlight w:val="none"/>
                <w:lang w:eastAsia="zh-CN"/>
              </w:rPr>
              <w:t>仓前街道未来科技城划转区块城市管理服务</w:t>
            </w:r>
          </w:p>
        </w:tc>
        <w:tc>
          <w:tcPr>
            <w:tcW w:w="1235" w:type="dxa"/>
            <w:noWrap w:val="0"/>
            <w:vAlign w:val="center"/>
          </w:tcPr>
          <w:p>
            <w:pPr>
              <w:adjustRightInd w:val="0"/>
              <w:spacing w:line="570" w:lineRule="exact"/>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56</w:t>
            </w:r>
            <w:r>
              <w:rPr>
                <w:rFonts w:hint="eastAsia" w:ascii="仿宋" w:hAnsi="仿宋" w:eastAsia="仿宋" w:cs="仿宋"/>
                <w:color w:val="auto"/>
                <w:kern w:val="0"/>
                <w:sz w:val="28"/>
                <w:szCs w:val="28"/>
                <w:highlight w:val="none"/>
              </w:rPr>
              <w:t>人</w:t>
            </w:r>
          </w:p>
        </w:tc>
        <w:tc>
          <w:tcPr>
            <w:tcW w:w="3811" w:type="dxa"/>
            <w:vMerge w:val="restart"/>
            <w:noWrap w:val="0"/>
            <w:vAlign w:val="center"/>
          </w:tcPr>
          <w:p>
            <w:pPr>
              <w:adjustRightInd w:val="0"/>
              <w:spacing w:line="57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项目负责人年龄40周岁以下，其他人员要求35周岁及以下</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177" w:type="dxa"/>
            <w:gridSpan w:val="2"/>
            <w:noWrap w:val="0"/>
            <w:vAlign w:val="center"/>
          </w:tcPr>
          <w:p>
            <w:pPr>
              <w:adjustRightInd w:val="0"/>
              <w:spacing w:line="570" w:lineRule="exact"/>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合计</w:t>
            </w:r>
          </w:p>
        </w:tc>
        <w:tc>
          <w:tcPr>
            <w:tcW w:w="1235" w:type="dxa"/>
            <w:noWrap w:val="0"/>
            <w:vAlign w:val="center"/>
          </w:tcPr>
          <w:p>
            <w:pPr>
              <w:adjustRightInd w:val="0"/>
              <w:spacing w:line="570" w:lineRule="exact"/>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56</w:t>
            </w:r>
            <w:r>
              <w:rPr>
                <w:rFonts w:hint="eastAsia" w:ascii="仿宋" w:hAnsi="仿宋" w:eastAsia="仿宋" w:cs="仿宋"/>
                <w:color w:val="auto"/>
                <w:kern w:val="0"/>
                <w:sz w:val="28"/>
                <w:szCs w:val="28"/>
                <w:highlight w:val="none"/>
              </w:rPr>
              <w:t>人</w:t>
            </w:r>
          </w:p>
        </w:tc>
        <w:tc>
          <w:tcPr>
            <w:tcW w:w="3811" w:type="dxa"/>
            <w:vMerge w:val="continue"/>
            <w:noWrap w:val="0"/>
            <w:vAlign w:val="center"/>
          </w:tcPr>
          <w:p>
            <w:pPr>
              <w:adjustRightInd w:val="0"/>
              <w:spacing w:line="570" w:lineRule="exact"/>
              <w:jc w:val="left"/>
              <w:rPr>
                <w:rFonts w:hint="eastAsia" w:ascii="仿宋" w:hAnsi="仿宋" w:eastAsia="仿宋" w:cs="仿宋"/>
                <w:b/>
                <w:bCs/>
                <w:color w:val="auto"/>
                <w:kern w:val="0"/>
                <w:sz w:val="28"/>
                <w:szCs w:val="28"/>
                <w:highlight w:val="none"/>
              </w:rPr>
            </w:pPr>
          </w:p>
        </w:tc>
      </w:tr>
    </w:tbl>
    <w:p>
      <w:pPr>
        <w:adjustRightInd w:val="0"/>
        <w:spacing w:line="570" w:lineRule="exact"/>
        <w:ind w:firstLine="281" w:firstLineChars="100"/>
        <w:rPr>
          <w:rFonts w:hint="eastAsia" w:ascii="仿宋" w:hAnsi="仿宋" w:eastAsia="仿宋" w:cs="仿宋"/>
          <w:color w:val="auto"/>
          <w:sz w:val="28"/>
          <w:szCs w:val="28"/>
          <w:highlight w:val="none"/>
        </w:rPr>
      </w:pPr>
      <w:r>
        <w:rPr>
          <w:rFonts w:hint="eastAsia" w:ascii="仿宋" w:hAnsi="仿宋" w:eastAsia="仿宋" w:cs="仿宋"/>
          <w:b/>
          <w:bCs/>
          <w:color w:val="auto"/>
          <w:kern w:val="0"/>
          <w:sz w:val="28"/>
          <w:szCs w:val="28"/>
          <w:highlight w:val="none"/>
        </w:rPr>
        <w:t>注：投标人拟派人员配备必须满足本表</w:t>
      </w:r>
      <w:r>
        <w:rPr>
          <w:rFonts w:hint="eastAsia" w:ascii="仿宋" w:hAnsi="仿宋" w:eastAsia="仿宋" w:cs="仿宋"/>
          <w:b/>
          <w:bCs/>
          <w:color w:val="auto"/>
          <w:kern w:val="0"/>
          <w:sz w:val="28"/>
          <w:szCs w:val="28"/>
          <w:highlight w:val="none"/>
          <w:lang w:val="en-US" w:eastAsia="zh-CN"/>
        </w:rPr>
        <w:t>56</w:t>
      </w:r>
      <w:r>
        <w:rPr>
          <w:rFonts w:hint="eastAsia" w:ascii="仿宋" w:hAnsi="仿宋" w:eastAsia="仿宋" w:cs="仿宋"/>
          <w:b/>
          <w:bCs/>
          <w:color w:val="auto"/>
          <w:kern w:val="0"/>
          <w:sz w:val="28"/>
          <w:szCs w:val="28"/>
          <w:highlight w:val="none"/>
        </w:rPr>
        <w:t>人的最低配置数量要求，否则作无效标处理。</w:t>
      </w:r>
      <w:r>
        <w:rPr>
          <w:rFonts w:hint="eastAsia" w:ascii="仿宋" w:hAnsi="仿宋" w:eastAsia="仿宋" w:cs="仿宋"/>
          <w:color w:val="auto"/>
          <w:kern w:val="0"/>
          <w:sz w:val="28"/>
          <w:szCs w:val="28"/>
          <w:highlight w:val="none"/>
        </w:rPr>
        <w:t>同时要求合同签订后七日内人员必须配备完成，并开展相关工作。</w:t>
      </w:r>
      <w:r>
        <w:rPr>
          <w:rFonts w:hint="eastAsia" w:ascii="仿宋" w:hAnsi="仿宋" w:eastAsia="仿宋" w:cs="仿宋"/>
          <w:color w:val="auto"/>
          <w:sz w:val="28"/>
          <w:szCs w:val="28"/>
          <w:highlight w:val="none"/>
        </w:rPr>
        <w:t>人员全部到位后方可计算服务费用。未达到相关要求的，招标人有权解除合同。</w:t>
      </w:r>
    </w:p>
    <w:p>
      <w:pPr>
        <w:numPr>
          <w:ilvl w:val="0"/>
          <w:numId w:val="5"/>
        </w:numPr>
        <w:spacing w:line="360" w:lineRule="auto"/>
        <w:ind w:firstLine="560" w:firstLineChars="200"/>
        <w:rPr>
          <w:rFonts w:hint="eastAsia"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rPr>
        <w:t>项目负责人</w:t>
      </w:r>
      <w:r>
        <w:rPr>
          <w:rFonts w:hint="eastAsia" w:ascii="仿宋" w:hAnsi="仿宋" w:eastAsia="仿宋" w:cs="仿宋"/>
          <w:snapToGrid w:val="0"/>
          <w:color w:val="auto"/>
          <w:kern w:val="0"/>
          <w:sz w:val="28"/>
          <w:szCs w:val="28"/>
          <w:highlight w:val="none"/>
          <w:lang w:val="en-US" w:eastAsia="zh-CN"/>
        </w:rPr>
        <w:t>要求：</w:t>
      </w:r>
      <w:r>
        <w:rPr>
          <w:rFonts w:hint="eastAsia" w:ascii="仿宋" w:hAnsi="仿宋" w:eastAsia="仿宋" w:cs="仿宋"/>
          <w:snapToGrid w:val="0"/>
          <w:color w:val="auto"/>
          <w:kern w:val="0"/>
          <w:sz w:val="28"/>
          <w:szCs w:val="28"/>
          <w:highlight w:val="none"/>
        </w:rPr>
        <w:t>工作责任心强，身体健康，须服从采购人及相关部门的日常检查、监督和指导</w:t>
      </w:r>
      <w:r>
        <w:rPr>
          <w:rFonts w:hint="eastAsia" w:ascii="仿宋" w:hAnsi="仿宋" w:eastAsia="仿宋" w:cs="仿宋"/>
          <w:snapToGrid w:val="0"/>
          <w:color w:val="auto"/>
          <w:kern w:val="0"/>
          <w:sz w:val="28"/>
          <w:szCs w:val="28"/>
          <w:highlight w:val="none"/>
          <w:lang w:eastAsia="zh-CN"/>
        </w:rPr>
        <w:t>，其他</w:t>
      </w:r>
      <w:r>
        <w:rPr>
          <w:rFonts w:hint="eastAsia" w:ascii="仿宋" w:hAnsi="仿宋" w:eastAsia="仿宋" w:cs="仿宋"/>
          <w:snapToGrid w:val="0"/>
          <w:color w:val="auto"/>
          <w:kern w:val="0"/>
          <w:sz w:val="28"/>
          <w:szCs w:val="28"/>
          <w:highlight w:val="none"/>
        </w:rPr>
        <w:t>人员要求</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身高170cm以上，退伍军衔上士；中士；下士的退伍军人优先；政治素养好、品行端正、责任心强的党员优先、无违法犯罪记录、身体健康，仪表端庄，精力充沛，无不良嗜好，工作认真负责并定期接受培训；</w:t>
      </w:r>
    </w:p>
    <w:p>
      <w:pPr>
        <w:numPr>
          <w:ilvl w:val="0"/>
          <w:numId w:val="0"/>
        </w:numPr>
        <w:spacing w:line="360" w:lineRule="auto"/>
        <w:ind w:firstLine="560" w:firstLineChars="200"/>
        <w:rPr>
          <w:rFonts w:hint="eastAsia"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lang w:val="en-US" w:eastAsia="zh-CN"/>
        </w:rPr>
        <w:t>2</w:t>
      </w:r>
      <w:r>
        <w:rPr>
          <w:rFonts w:hint="eastAsia" w:ascii="仿宋" w:hAnsi="仿宋" w:eastAsia="仿宋" w:cs="仿宋"/>
          <w:snapToGrid w:val="0"/>
          <w:color w:val="auto"/>
          <w:kern w:val="0"/>
          <w:sz w:val="28"/>
          <w:szCs w:val="28"/>
          <w:highlight w:val="none"/>
        </w:rPr>
        <w:t>、人员上岗时佩戴统一标志，按需求穿戴统一制服（投标人自行配备，服装款式须征得招标人同意），装备佩戴规范，仪容仪表规范整齐，当值时坐姿挺直，站岗时不倚不靠、采用跨立站岗。</w:t>
      </w:r>
    </w:p>
    <w:p>
      <w:pPr>
        <w:spacing w:line="360" w:lineRule="auto"/>
        <w:ind w:firstLine="560" w:firstLineChars="200"/>
        <w:rPr>
          <w:rFonts w:hint="eastAsia" w:ascii="仿宋" w:hAnsi="仿宋" w:eastAsia="仿宋" w:cs="仿宋"/>
          <w:snapToGrid w:val="0"/>
          <w:color w:val="auto"/>
          <w:kern w:val="0"/>
          <w:sz w:val="28"/>
          <w:szCs w:val="28"/>
          <w:highlight w:val="none"/>
        </w:rPr>
      </w:pPr>
      <w:r>
        <w:rPr>
          <w:rFonts w:hint="eastAsia" w:ascii="仿宋" w:hAnsi="仿宋" w:eastAsia="仿宋" w:cs="仿宋"/>
          <w:snapToGrid w:val="0"/>
          <w:color w:val="auto"/>
          <w:kern w:val="0"/>
          <w:sz w:val="28"/>
          <w:szCs w:val="28"/>
          <w:highlight w:val="none"/>
          <w:lang w:val="en-US" w:eastAsia="zh-CN"/>
        </w:rPr>
        <w:t>3</w:t>
      </w:r>
      <w:r>
        <w:rPr>
          <w:rFonts w:hint="eastAsia" w:ascii="仿宋" w:hAnsi="仿宋" w:eastAsia="仿宋" w:cs="仿宋"/>
          <w:snapToGrid w:val="0"/>
          <w:color w:val="auto"/>
          <w:kern w:val="0"/>
          <w:sz w:val="28"/>
          <w:szCs w:val="28"/>
          <w:highlight w:val="none"/>
        </w:rPr>
        <w:t>、合同执行过程中，未经采购人同意，项目经理和服务人员不得随意更换，如需更换，需提前一个月告知采购人并征得其同意后更换。</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lang w:val="en-US" w:eastAsia="zh-CN"/>
        </w:rPr>
        <w:t>4</w:t>
      </w:r>
      <w:r>
        <w:rPr>
          <w:rFonts w:hint="eastAsia" w:ascii="仿宋" w:hAnsi="仿宋" w:eastAsia="仿宋" w:cs="仿宋"/>
          <w:snapToGrid w:val="0"/>
          <w:color w:val="auto"/>
          <w:kern w:val="0"/>
          <w:sz w:val="28"/>
          <w:szCs w:val="28"/>
          <w:highlight w:val="none"/>
        </w:rPr>
        <w:t>、经采购人考察，中标人配置的人员不适应本项目岗位要求的，采购人有权更换不适应岗位的人员，中标人须按采购人要求及时更换。</w:t>
      </w:r>
    </w:p>
    <w:p>
      <w:pPr>
        <w:widowControl/>
        <w:shd w:val="clear" w:color="auto" w:fill="FFFFFF"/>
        <w:snapToGrid w:val="0"/>
        <w:spacing w:line="360" w:lineRule="auto"/>
        <w:jc w:val="left"/>
        <w:outlineLvl w:val="0"/>
        <w:rPr>
          <w:rFonts w:hint="eastAsia" w:ascii="仿宋" w:hAnsi="仿宋" w:eastAsia="仿宋" w:cs="仿宋"/>
          <w:b/>
          <w:bCs/>
          <w:color w:val="auto"/>
          <w:sz w:val="28"/>
          <w:szCs w:val="28"/>
          <w:highlight w:val="none"/>
          <w:lang w:eastAsia="zh-CN"/>
        </w:rPr>
      </w:pPr>
      <w:bookmarkStart w:id="26" w:name="_Toc22507"/>
      <w:r>
        <w:rPr>
          <w:rFonts w:hint="eastAsia" w:ascii="仿宋" w:hAnsi="仿宋" w:eastAsia="仿宋" w:cs="仿宋"/>
          <w:b/>
          <w:bCs/>
          <w:color w:val="auto"/>
          <w:sz w:val="28"/>
          <w:szCs w:val="28"/>
          <w:highlight w:val="none"/>
        </w:rPr>
        <w:t>四、</w:t>
      </w:r>
      <w:bookmarkEnd w:id="26"/>
      <w:r>
        <w:rPr>
          <w:rFonts w:hint="eastAsia" w:ascii="仿宋" w:hAnsi="仿宋" w:eastAsia="仿宋" w:cs="仿宋"/>
          <w:b/>
          <w:bCs/>
          <w:color w:val="auto"/>
          <w:sz w:val="28"/>
          <w:szCs w:val="28"/>
          <w:highlight w:val="none"/>
          <w:lang w:eastAsia="zh-CN"/>
        </w:rPr>
        <w:t>投入本项目设备情况：</w:t>
      </w:r>
    </w:p>
    <w:p>
      <w:pPr>
        <w:widowControl/>
        <w:shd w:val="clear" w:color="auto" w:fill="FFFFFF"/>
        <w:snapToGrid w:val="0"/>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日常巡逻时，能提供</w:t>
      </w:r>
      <w:r>
        <w:rPr>
          <w:rFonts w:hint="eastAsia" w:ascii="仿宋" w:hAnsi="仿宋" w:eastAsia="仿宋" w:cs="仿宋"/>
          <w:color w:val="auto"/>
          <w:sz w:val="28"/>
          <w:szCs w:val="28"/>
          <w:highlight w:val="none"/>
        </w:rPr>
        <w:t>能五座电动巡逻车</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6辆，</w:t>
      </w:r>
      <w:r>
        <w:rPr>
          <w:rFonts w:hint="eastAsia" w:ascii="仿宋" w:hAnsi="仿宋" w:eastAsia="仿宋" w:cs="仿宋"/>
          <w:color w:val="auto"/>
          <w:sz w:val="28"/>
          <w:szCs w:val="28"/>
          <w:highlight w:val="none"/>
        </w:rPr>
        <w:t>普通二轮巡逻摩托车</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4辆；</w:t>
      </w:r>
      <w:r>
        <w:rPr>
          <w:rFonts w:hint="eastAsia" w:ascii="仿宋" w:hAnsi="仿宋" w:eastAsia="仿宋" w:cs="仿宋"/>
          <w:color w:val="auto"/>
          <w:sz w:val="28"/>
          <w:szCs w:val="28"/>
          <w:highlight w:val="none"/>
        </w:rPr>
        <w:t>应急调度，并持有在突发情况的时候提供使用轻型普通货车不少于4辆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十五座中型普通巡逻车车辆不少于</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辆、轻型多用途货车不少于1辆等；具体运用由日常管理及应急需要等具体情况进行调配，供应商需无条件配合。（车龄</w:t>
      </w:r>
      <w:r>
        <w:rPr>
          <w:rFonts w:hint="eastAsia" w:ascii="仿宋" w:hAnsi="仿宋" w:eastAsia="仿宋" w:cs="仿宋"/>
          <w:color w:val="auto"/>
          <w:sz w:val="28"/>
          <w:szCs w:val="28"/>
          <w:highlight w:val="none"/>
          <w:lang w:val="en-US" w:eastAsia="zh-CN"/>
        </w:rPr>
        <w:t>均</w:t>
      </w:r>
      <w:r>
        <w:rPr>
          <w:rFonts w:hint="eastAsia" w:ascii="仿宋" w:hAnsi="仿宋" w:eastAsia="仿宋" w:cs="仿宋"/>
          <w:color w:val="auto"/>
          <w:sz w:val="28"/>
          <w:szCs w:val="28"/>
          <w:highlight w:val="none"/>
        </w:rPr>
        <w:t>不超过3年）。</w:t>
      </w:r>
    </w:p>
    <w:p>
      <w:pPr>
        <w:spacing w:line="360" w:lineRule="auto"/>
        <w:jc w:val="left"/>
        <w:outlineLvl w:val="0"/>
        <w:rPr>
          <w:rFonts w:hint="eastAsia" w:ascii="仿宋" w:hAnsi="仿宋" w:eastAsia="仿宋" w:cs="仿宋"/>
          <w:b/>
          <w:color w:val="auto"/>
          <w:sz w:val="28"/>
          <w:szCs w:val="28"/>
          <w:highlight w:val="none"/>
        </w:rPr>
      </w:pPr>
      <w:bookmarkStart w:id="27" w:name="_Toc26638"/>
      <w:r>
        <w:rPr>
          <w:rFonts w:hint="eastAsia" w:ascii="仿宋" w:hAnsi="仿宋" w:eastAsia="仿宋" w:cs="仿宋"/>
          <w:b/>
          <w:color w:val="auto"/>
          <w:sz w:val="28"/>
          <w:szCs w:val="28"/>
          <w:highlight w:val="none"/>
        </w:rPr>
        <w:t>五、装备要求：</w:t>
      </w:r>
      <w:bookmarkEnd w:id="27"/>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1、中标人完成本项目服务所需的工具、设备、服装、等装备及</w:t>
      </w:r>
      <w:r>
        <w:rPr>
          <w:rFonts w:hint="eastAsia" w:ascii="仿宋" w:hAnsi="仿宋" w:eastAsia="仿宋" w:cs="仿宋"/>
          <w:bCs/>
          <w:color w:val="auto"/>
          <w:sz w:val="28"/>
          <w:szCs w:val="28"/>
          <w:highlight w:val="none"/>
          <w:lang w:eastAsia="zh-CN"/>
        </w:rPr>
        <w:t>所有</w:t>
      </w:r>
      <w:r>
        <w:rPr>
          <w:rFonts w:hint="eastAsia" w:ascii="仿宋" w:hAnsi="仿宋" w:eastAsia="仿宋" w:cs="仿宋"/>
          <w:bCs/>
          <w:color w:val="auto"/>
          <w:sz w:val="28"/>
          <w:szCs w:val="28"/>
          <w:highlight w:val="none"/>
        </w:rPr>
        <w:t>费用，均由中标人负责，且须符合相关技术规程、规范要求。</w:t>
      </w:r>
    </w:p>
    <w:p>
      <w:pPr>
        <w:spacing w:line="360" w:lineRule="auto"/>
        <w:ind w:firstLine="562"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rPr>
        <w:t>拟投入最低</w:t>
      </w:r>
      <w:r>
        <w:rPr>
          <w:rFonts w:hint="eastAsia" w:ascii="仿宋" w:hAnsi="仿宋" w:eastAsia="仿宋" w:cs="仿宋"/>
          <w:b/>
          <w:color w:val="auto"/>
          <w:sz w:val="28"/>
          <w:szCs w:val="28"/>
          <w:highlight w:val="none"/>
        </w:rPr>
        <w:t>装备</w:t>
      </w:r>
      <w:r>
        <w:rPr>
          <w:rFonts w:hint="eastAsia" w:ascii="仿宋" w:hAnsi="仿宋" w:eastAsia="仿宋" w:cs="仿宋"/>
          <w:b/>
          <w:color w:val="auto"/>
          <w:sz w:val="28"/>
          <w:szCs w:val="28"/>
          <w:highlight w:val="none"/>
          <w:lang w:val="en-US"/>
        </w:rPr>
        <w:t>配置表</w:t>
      </w:r>
      <w:r>
        <w:rPr>
          <w:rFonts w:hint="eastAsia" w:ascii="仿宋" w:hAnsi="仿宋" w:eastAsia="仿宋" w:cs="仿宋"/>
          <w:b/>
          <w:color w:val="auto"/>
          <w:sz w:val="28"/>
          <w:szCs w:val="28"/>
          <w:highlight w:val="none"/>
          <w:lang w:val="en-US" w:eastAsia="zh-CN"/>
        </w:rPr>
        <w:t>（供应商必须根据要求提供证明材料，不提供或提供不全的，视为不满足，作无效标处理）</w:t>
      </w:r>
      <w:r>
        <w:rPr>
          <w:rFonts w:hint="eastAsia" w:ascii="仿宋" w:hAnsi="仿宋" w:eastAsia="仿宋" w:cs="仿宋"/>
          <w:b/>
          <w:color w:val="auto"/>
          <w:sz w:val="28"/>
          <w:szCs w:val="28"/>
          <w:highlight w:val="none"/>
        </w:rPr>
        <w:t>具体如下：</w:t>
      </w:r>
    </w:p>
    <w:tbl>
      <w:tblPr>
        <w:tblStyle w:val="64"/>
        <w:tblW w:w="9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64"/>
        <w:gridCol w:w="2067"/>
        <w:gridCol w:w="277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数量</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参数要求</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对讲机</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含W-数字集群对讲系统；</w:t>
            </w:r>
          </w:p>
        </w:tc>
        <w:tc>
          <w:tcPr>
            <w:tcW w:w="2102" w:type="dxa"/>
            <w:vMerge w:val="restart"/>
            <w:noWrap w:val="0"/>
            <w:vAlign w:val="center"/>
          </w:tcPr>
          <w:p>
            <w:pPr>
              <w:spacing w:line="360" w:lineRule="auto"/>
              <w:jc w:val="both"/>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须</w:t>
            </w:r>
            <w:r>
              <w:rPr>
                <w:rFonts w:hint="eastAsia" w:ascii="仿宋" w:hAnsi="仿宋" w:eastAsia="仿宋" w:cs="仿宋"/>
                <w:color w:val="auto"/>
                <w:sz w:val="28"/>
                <w:szCs w:val="28"/>
                <w:highlight w:val="none"/>
                <w:lang w:val="en-US" w:eastAsia="zh-CN"/>
              </w:rPr>
              <w:t>提供设备购买发票扫描件</w:t>
            </w:r>
          </w:p>
          <w:p>
            <w:pPr>
              <w:spacing w:line="360" w:lineRule="auto"/>
              <w:jc w:val="both"/>
              <w:rPr>
                <w:rFonts w:hint="eastAsia" w:ascii="仿宋" w:hAnsi="仿宋" w:eastAsia="仿宋" w:cs="仿宋"/>
                <w:color w:val="auto"/>
                <w:sz w:val="28"/>
                <w:szCs w:val="28"/>
                <w:highlight w:val="none"/>
              </w:rPr>
            </w:pPr>
          </w:p>
          <w:p>
            <w:pPr>
              <w:spacing w:line="360" w:lineRule="auto"/>
              <w:jc w:val="cente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强光手电筒</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材质：铝合金;</w:t>
            </w:r>
          </w:p>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电源类型：充电式;</w:t>
            </w:r>
          </w:p>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电池类型：锂电池;</w:t>
            </w:r>
          </w:p>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是否防水：防水。</w:t>
            </w:r>
          </w:p>
        </w:tc>
        <w:tc>
          <w:tcPr>
            <w:tcW w:w="2102" w:type="dxa"/>
            <w:vMerge w:val="continue"/>
            <w:noWrap w:val="0"/>
            <w:vAlign w:val="center"/>
          </w:tcPr>
          <w:p>
            <w:pPr>
              <w:spacing w:line="360" w:lineRule="auto"/>
              <w:jc w:val="cente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4G可视化终端</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视音频记录仪，含管理软件；</w:t>
            </w:r>
          </w:p>
        </w:tc>
        <w:tc>
          <w:tcPr>
            <w:tcW w:w="2102" w:type="dxa"/>
            <w:vMerge w:val="continue"/>
            <w:noWrap w:val="0"/>
            <w:vAlign w:val="center"/>
          </w:tcPr>
          <w:p>
            <w:pPr>
              <w:spacing w:line="360" w:lineRule="auto"/>
              <w:jc w:val="cente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服装装备</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 2 套装；</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112套</w:t>
            </w:r>
            <w:r>
              <w:rPr>
                <w:rFonts w:hint="eastAsia" w:ascii="仿宋" w:hAnsi="仿宋" w:eastAsia="仿宋" w:cs="仿宋"/>
                <w:color w:val="auto"/>
                <w:sz w:val="28"/>
                <w:szCs w:val="28"/>
                <w:highlight w:val="none"/>
              </w:rPr>
              <w:t>；</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根据采购人要求统一制作；</w:t>
            </w:r>
          </w:p>
        </w:tc>
        <w:tc>
          <w:tcPr>
            <w:tcW w:w="2102" w:type="dxa"/>
            <w:vMerge w:val="continue"/>
            <w:noWrap w:val="0"/>
            <w:vAlign w:val="center"/>
          </w:tcPr>
          <w:p>
            <w:pPr>
              <w:spacing w:line="360" w:lineRule="auto"/>
              <w:jc w:val="cente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1764"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五座电动巡逻车</w:t>
            </w:r>
          </w:p>
        </w:tc>
        <w:tc>
          <w:tcPr>
            <w:tcW w:w="2067"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6辆</w:t>
            </w:r>
          </w:p>
        </w:tc>
        <w:tc>
          <w:tcPr>
            <w:tcW w:w="2775" w:type="dxa"/>
            <w:noWrap w:val="0"/>
            <w:vAlign w:val="center"/>
          </w:tcPr>
          <w:p>
            <w:pPr>
              <w:spacing w:line="360" w:lineRule="auto"/>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总质量</w:t>
            </w:r>
            <w:r>
              <w:rPr>
                <w:rFonts w:hint="eastAsia" w:ascii="仿宋" w:hAnsi="仿宋" w:eastAsia="仿宋" w:cs="仿宋"/>
                <w:color w:val="auto"/>
                <w:sz w:val="28"/>
                <w:szCs w:val="28"/>
                <w:highlight w:val="none"/>
                <w:lang w:val="en-US" w:eastAsia="zh-CN"/>
              </w:rPr>
              <w:t>1.8吨及以上</w:t>
            </w:r>
            <w:r>
              <w:rPr>
                <w:rFonts w:hint="eastAsia" w:ascii="仿宋" w:hAnsi="仿宋" w:eastAsia="仿宋" w:cs="仿宋"/>
                <w:color w:val="auto"/>
                <w:sz w:val="28"/>
                <w:szCs w:val="28"/>
                <w:highlight w:val="none"/>
              </w:rPr>
              <w:t>（车龄不超过3年）</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c>
          <w:tcPr>
            <w:tcW w:w="1764" w:type="dxa"/>
            <w:noWrap w:val="0"/>
            <w:vAlign w:val="center"/>
          </w:tcPr>
          <w:p>
            <w:pPr>
              <w:spacing w:line="36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普通二轮巡逻摩托车</w:t>
            </w:r>
          </w:p>
        </w:tc>
        <w:tc>
          <w:tcPr>
            <w:tcW w:w="2067" w:type="dxa"/>
            <w:noWrap w:val="0"/>
            <w:vAlign w:val="center"/>
          </w:tcPr>
          <w:p>
            <w:pPr>
              <w:spacing w:line="36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4辆</w:t>
            </w:r>
          </w:p>
        </w:tc>
        <w:tc>
          <w:tcPr>
            <w:tcW w:w="2775"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（车龄不超过3年）</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应急调度装备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轻型普通货车</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4辆</w:t>
            </w:r>
          </w:p>
        </w:tc>
        <w:tc>
          <w:tcPr>
            <w:tcW w:w="2775"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总质量</w:t>
            </w:r>
            <w:r>
              <w:rPr>
                <w:rFonts w:hint="eastAsia" w:ascii="仿宋" w:hAnsi="仿宋" w:eastAsia="仿宋" w:cs="仿宋"/>
                <w:color w:val="auto"/>
                <w:sz w:val="28"/>
                <w:szCs w:val="28"/>
                <w:highlight w:val="none"/>
                <w:lang w:val="en-US" w:eastAsia="zh-CN"/>
              </w:rPr>
              <w:t>2吨及以上</w:t>
            </w:r>
          </w:p>
          <w:p>
            <w:pPr>
              <w:spacing w:line="360" w:lineRule="auto"/>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（车龄不超过3年）</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十五座中型普通巡逻车</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总质量</w:t>
            </w:r>
            <w:r>
              <w:rPr>
                <w:rFonts w:hint="eastAsia" w:ascii="仿宋" w:hAnsi="仿宋" w:eastAsia="仿宋" w:cs="仿宋"/>
                <w:color w:val="auto"/>
                <w:sz w:val="28"/>
                <w:szCs w:val="28"/>
                <w:highlight w:val="none"/>
                <w:lang w:val="en-US" w:eastAsia="zh-CN"/>
              </w:rPr>
              <w:t>3吨及以上</w:t>
            </w:r>
          </w:p>
          <w:p>
            <w:pPr>
              <w:spacing w:line="360" w:lineRule="auto"/>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（车龄不超过3年）</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jc w:val="center"/>
        </w:trPr>
        <w:tc>
          <w:tcPr>
            <w:tcW w:w="726" w:type="dxa"/>
            <w:noWrap w:val="0"/>
            <w:vAlign w:val="center"/>
          </w:tcPr>
          <w:p>
            <w:pPr>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1764"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轻型多用途货车</w:t>
            </w:r>
          </w:p>
        </w:tc>
        <w:tc>
          <w:tcPr>
            <w:tcW w:w="2067"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总质量</w:t>
            </w:r>
            <w:r>
              <w:rPr>
                <w:rFonts w:hint="eastAsia" w:ascii="仿宋" w:hAnsi="仿宋" w:eastAsia="仿宋" w:cs="仿宋"/>
                <w:color w:val="auto"/>
                <w:sz w:val="28"/>
                <w:szCs w:val="28"/>
                <w:highlight w:val="none"/>
                <w:lang w:val="en-US" w:eastAsia="zh-CN"/>
              </w:rPr>
              <w:t>2.5吨及以上</w:t>
            </w:r>
            <w:r>
              <w:rPr>
                <w:rFonts w:hint="eastAsia" w:ascii="仿宋" w:hAnsi="仿宋" w:eastAsia="仿宋" w:cs="仿宋"/>
                <w:color w:val="auto"/>
                <w:sz w:val="28"/>
                <w:szCs w:val="28"/>
                <w:highlight w:val="none"/>
                <w:lang w:eastAsia="zh-CN"/>
              </w:rPr>
              <w:t>（车龄不超过3年）</w:t>
            </w:r>
          </w:p>
        </w:tc>
        <w:tc>
          <w:tcPr>
            <w:tcW w:w="2102" w:type="dxa"/>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须提供车辆登记证扫描件及车辆行驶证扫描件</w:t>
            </w:r>
          </w:p>
        </w:tc>
      </w:tr>
    </w:tbl>
    <w:p>
      <w:pPr>
        <w:spacing w:line="360" w:lineRule="auto"/>
        <w:ind w:firstLine="562" w:firstLineChars="200"/>
        <w:jc w:val="left"/>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注：合同签订后15个工作日内配备</w:t>
      </w:r>
      <w:r>
        <w:rPr>
          <w:rFonts w:hint="eastAsia" w:ascii="仿宋" w:hAnsi="仿宋" w:eastAsia="仿宋" w:cs="仿宋"/>
          <w:b/>
          <w:color w:val="auto"/>
          <w:sz w:val="28"/>
          <w:szCs w:val="28"/>
          <w:highlight w:val="none"/>
          <w:lang w:eastAsia="zh-CN"/>
        </w:rPr>
        <w:t>到位</w:t>
      </w:r>
      <w:r>
        <w:rPr>
          <w:rFonts w:hint="eastAsia" w:ascii="仿宋" w:hAnsi="仿宋" w:eastAsia="仿宋" w:cs="仿宋"/>
          <w:b/>
          <w:color w:val="auto"/>
          <w:sz w:val="28"/>
          <w:szCs w:val="28"/>
          <w:highlight w:val="none"/>
        </w:rPr>
        <w:t>。未达到相关要求的，采购人有权扣除相应考核分和服务费。</w:t>
      </w:r>
    </w:p>
    <w:p>
      <w:pPr>
        <w:spacing w:line="360" w:lineRule="auto"/>
        <w:jc w:val="left"/>
        <w:outlineLvl w:val="0"/>
        <w:rPr>
          <w:rFonts w:hint="eastAsia" w:ascii="仿宋" w:hAnsi="仿宋" w:eastAsia="仿宋" w:cs="仿宋"/>
          <w:b/>
          <w:color w:val="auto"/>
          <w:sz w:val="28"/>
          <w:szCs w:val="28"/>
          <w:highlight w:val="none"/>
        </w:rPr>
      </w:pPr>
      <w:bookmarkStart w:id="28" w:name="_Toc24272"/>
      <w:r>
        <w:rPr>
          <w:rFonts w:hint="eastAsia" w:ascii="仿宋" w:hAnsi="仿宋" w:eastAsia="仿宋" w:cs="仿宋"/>
          <w:b/>
          <w:color w:val="auto"/>
          <w:sz w:val="28"/>
          <w:szCs w:val="28"/>
          <w:highlight w:val="none"/>
        </w:rPr>
        <w:t>六、工作服务方式：</w:t>
      </w:r>
      <w:bookmarkEnd w:id="28"/>
    </w:p>
    <w:p>
      <w:pPr>
        <w:spacing w:line="50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1、中标人作业人员须按要求对服务区域进行不间断工作，</w:t>
      </w:r>
      <w:r>
        <w:rPr>
          <w:rFonts w:hint="eastAsia" w:ascii="仿宋" w:hAnsi="仿宋" w:eastAsia="仿宋" w:cs="仿宋"/>
          <w:color w:val="auto"/>
          <w:sz w:val="28"/>
          <w:szCs w:val="28"/>
          <w:highlight w:val="none"/>
          <w:lang w:eastAsia="zh-CN"/>
        </w:rPr>
        <w:t>包括</w:t>
      </w:r>
      <w:r>
        <w:rPr>
          <w:rFonts w:hint="eastAsia" w:ascii="仿宋" w:hAnsi="仿宋" w:eastAsia="仿宋" w:cs="仿宋"/>
          <w:color w:val="auto"/>
          <w:kern w:val="0"/>
          <w:sz w:val="28"/>
          <w:szCs w:val="28"/>
          <w:highlight w:val="none"/>
          <w:shd w:val="clear" w:color="auto" w:fill="FFFFFF"/>
          <w:lang w:eastAsia="zh-CN"/>
        </w:rPr>
        <w:t>用于</w:t>
      </w:r>
      <w:r>
        <w:rPr>
          <w:rFonts w:hint="eastAsia" w:ascii="仿宋" w:hAnsi="仿宋" w:eastAsia="仿宋" w:cs="仿宋"/>
          <w:color w:val="auto"/>
          <w:kern w:val="0"/>
          <w:sz w:val="28"/>
          <w:szCs w:val="28"/>
          <w:highlight w:val="none"/>
          <w:shd w:val="clear" w:color="auto" w:fill="FFFFFF"/>
        </w:rPr>
        <w:t>加强</w:t>
      </w:r>
      <w:r>
        <w:rPr>
          <w:rFonts w:hint="eastAsia" w:ascii="仿宋" w:hAnsi="仿宋" w:eastAsia="仿宋" w:cs="仿宋"/>
          <w:color w:val="auto"/>
          <w:kern w:val="0"/>
          <w:sz w:val="28"/>
          <w:szCs w:val="28"/>
          <w:highlight w:val="none"/>
          <w:shd w:val="clear" w:color="auto" w:fill="FFFFFF"/>
          <w:lang w:eastAsia="zh-CN"/>
        </w:rPr>
        <w:t>城市综合管理、</w:t>
      </w:r>
      <w:r>
        <w:rPr>
          <w:rFonts w:hint="eastAsia" w:ascii="仿宋" w:hAnsi="仿宋" w:eastAsia="仿宋" w:cs="仿宋"/>
          <w:color w:val="auto"/>
          <w:kern w:val="0"/>
          <w:sz w:val="28"/>
          <w:szCs w:val="28"/>
          <w:highlight w:val="none"/>
          <w:shd w:val="clear" w:color="auto" w:fill="FFFFFF"/>
        </w:rPr>
        <w:t>重点区域防违控违巡查、联合执法现场维护、外勤治理、</w:t>
      </w:r>
      <w:r>
        <w:rPr>
          <w:rFonts w:hint="eastAsia" w:ascii="仿宋" w:hAnsi="仿宋" w:eastAsia="仿宋" w:cs="仿宋"/>
          <w:color w:val="auto"/>
          <w:kern w:val="0"/>
          <w:sz w:val="28"/>
          <w:szCs w:val="28"/>
          <w:highlight w:val="none"/>
          <w:shd w:val="clear" w:color="auto" w:fill="FFFFFF"/>
          <w:lang w:eastAsia="zh-CN"/>
        </w:rPr>
        <w:t>维稳安保、</w:t>
      </w:r>
      <w:r>
        <w:rPr>
          <w:rFonts w:hint="eastAsia" w:ascii="仿宋" w:hAnsi="仿宋" w:eastAsia="仿宋" w:cs="仿宋"/>
          <w:color w:val="auto"/>
          <w:kern w:val="0"/>
          <w:sz w:val="28"/>
          <w:szCs w:val="28"/>
          <w:highlight w:val="none"/>
          <w:shd w:val="clear" w:color="auto" w:fill="FFFFFF"/>
        </w:rPr>
        <w:t>征地拆迁攻坚、交通整治、打击垃圾偷倒、渣土管理等工作</w:t>
      </w:r>
      <w:r>
        <w:rPr>
          <w:rFonts w:hint="eastAsia" w:ascii="仿宋" w:hAnsi="仿宋" w:eastAsia="仿宋" w:cs="仿宋"/>
          <w:bCs/>
          <w:color w:val="auto"/>
          <w:sz w:val="28"/>
          <w:szCs w:val="28"/>
          <w:highlight w:val="none"/>
        </w:rPr>
        <w:t>，应及时告知、劝阻，并第一时间向采购人反馈。</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2、中标人作业人员不具有行政处罚权，不能没收、暂扣违法行为人的物品或工具，不能以任何名义对违法行为人进行处罚，不得以任何名义收取或变相收取任何费用。</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3、中标人作业人员应坚持服务至上的理念，使用文明劝导礼貌用语，严禁粗言秽语，严禁出现威胁、辱骂、殴打行为。</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4、中标人作业人员应积极参与文明城市创建，在实施劝导服务的同时，须主动捡拾白色垃圾、烟蒂等废弃物；带头遵守城市文明公约，并积极开展便民服务活动，为群众起到良好示范作用。</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5、工作中如出现异常情形，可按规定程序向采购人及相关部门汇报，请求给予支持。</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6、中标人作业人员不得收取或变相收取摊位费或保护费，不得借工作之便谋取其它私利，不得出现各种违法、犯罪行为。</w:t>
      </w:r>
    </w:p>
    <w:p>
      <w:pPr>
        <w:spacing w:line="360" w:lineRule="auto"/>
        <w:jc w:val="left"/>
        <w:outlineLvl w:val="0"/>
        <w:rPr>
          <w:rFonts w:hint="eastAsia" w:ascii="仿宋" w:hAnsi="仿宋" w:eastAsia="仿宋" w:cs="仿宋"/>
          <w:b/>
          <w:color w:val="auto"/>
          <w:sz w:val="28"/>
          <w:szCs w:val="28"/>
          <w:highlight w:val="none"/>
        </w:rPr>
      </w:pPr>
      <w:bookmarkStart w:id="29" w:name="_Toc20920"/>
      <w:r>
        <w:rPr>
          <w:rFonts w:hint="eastAsia" w:ascii="仿宋" w:hAnsi="仿宋" w:eastAsia="仿宋" w:cs="仿宋"/>
          <w:b/>
          <w:color w:val="auto"/>
          <w:sz w:val="28"/>
          <w:szCs w:val="28"/>
          <w:highlight w:val="none"/>
        </w:rPr>
        <w:t>七、项目其他要求：</w:t>
      </w:r>
      <w:bookmarkEnd w:id="29"/>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2、中标人用工需符合国家、省、市地方用工政策，如出现用工纠纷的由中标人承担责任，与采购人无涉。</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3、中标人应根据服务区域范围实际情况，建立服务工作机构，拟定的服务方案须经采购人审核同意后落实。</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4、若遇各类创建活动、灾害天气等特殊情况，中标人须无条件做好服务范围内的相关工作，服从采购人指挥，如有必要的须增加人员或加班加点。</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5、中标人在服务过程中需服从采购人的调配。</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6、中标人须按采购人的要求统一规范着装、统一巡查标志、统一车辆标识等，不得使用综合行政执法专用标志。</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7、中标人应定期向采购人上报工作计划、实施情况，建立各类工作台账，实行制度化、规范化管理；定期组织开展业务培训，不断提高服务质量和人员素质。中标人应建立健全安全生产管理制度，服从采购人及相关行政管理部门的安全生产管理。</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8、中标人在合同期内不得以任何理由进行转包或分包，否则应承担违约责任。</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八、服务期限：</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合同期为一年。若在合同期内乙方有不配合甲方工作等严重违约行为或连续二个季度考核不合格的，甲方有权提前终止合同，由此造成的一切后果和损失由乙方承担。  </w:t>
      </w:r>
    </w:p>
    <w:p>
      <w:pPr>
        <w:spacing w:line="360" w:lineRule="auto"/>
        <w:jc w:val="left"/>
        <w:outlineLvl w:val="0"/>
        <w:rPr>
          <w:rFonts w:hint="eastAsia" w:ascii="仿宋" w:hAnsi="仿宋" w:eastAsia="仿宋" w:cs="仿宋"/>
          <w:b/>
          <w:color w:val="auto"/>
          <w:sz w:val="28"/>
          <w:szCs w:val="28"/>
          <w:highlight w:val="none"/>
        </w:rPr>
      </w:pPr>
      <w:bookmarkStart w:id="30" w:name="_Toc19816"/>
      <w:r>
        <w:rPr>
          <w:rFonts w:hint="eastAsia" w:ascii="仿宋" w:hAnsi="仿宋" w:eastAsia="仿宋" w:cs="仿宋"/>
          <w:b/>
          <w:color w:val="auto"/>
          <w:sz w:val="28"/>
          <w:szCs w:val="28"/>
          <w:highlight w:val="none"/>
        </w:rPr>
        <w:t>九、履约保证金：无</w:t>
      </w:r>
      <w:bookmarkEnd w:id="30"/>
    </w:p>
    <w:p>
      <w:pPr>
        <w:spacing w:line="360" w:lineRule="auto"/>
        <w:jc w:val="left"/>
        <w:outlineLvl w:val="0"/>
        <w:rPr>
          <w:rFonts w:hint="eastAsia" w:ascii="仿宋" w:hAnsi="仿宋" w:eastAsia="仿宋" w:cs="仿宋"/>
          <w:b/>
          <w:color w:val="auto"/>
          <w:sz w:val="28"/>
          <w:szCs w:val="28"/>
          <w:highlight w:val="none"/>
        </w:rPr>
      </w:pPr>
      <w:bookmarkStart w:id="31" w:name="_Toc3922"/>
      <w:r>
        <w:rPr>
          <w:rFonts w:hint="eastAsia" w:ascii="仿宋" w:hAnsi="仿宋" w:eastAsia="仿宋" w:cs="仿宋"/>
          <w:b/>
          <w:color w:val="auto"/>
          <w:sz w:val="28"/>
          <w:szCs w:val="28"/>
          <w:highlight w:val="none"/>
        </w:rPr>
        <w:t>十、投标报价：</w:t>
      </w:r>
      <w:bookmarkEnd w:id="31"/>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投标价格为</w:t>
      </w:r>
      <w:r>
        <w:rPr>
          <w:rFonts w:hint="eastAsia" w:ascii="仿宋" w:hAnsi="仿宋" w:eastAsia="仿宋" w:cs="仿宋"/>
          <w:bCs/>
          <w:color w:val="auto"/>
          <w:sz w:val="28"/>
          <w:szCs w:val="28"/>
          <w:highlight w:val="none"/>
          <w:lang w:eastAsia="zh-CN"/>
        </w:rPr>
        <w:t>本项目</w:t>
      </w:r>
      <w:r>
        <w:rPr>
          <w:rFonts w:hint="eastAsia" w:ascii="仿宋" w:hAnsi="仿宋" w:eastAsia="仿宋" w:cs="仿宋"/>
          <w:bCs/>
          <w:color w:val="auto"/>
          <w:sz w:val="28"/>
          <w:szCs w:val="28"/>
          <w:highlight w:val="none"/>
        </w:rPr>
        <w:t>所需的所有费用，包含人工费【包括人员基本工资、各类福利和补贴（如高温补贴、加班补贴等）、社保（五金）、各种保险】，服装费、耗材费、完成本项目辅助管理服务所需的工具、设备、管理费及合理利润，税金等需要完成本项目服务有关的所有费用。</w:t>
      </w:r>
    </w:p>
    <w:p>
      <w:pPr>
        <w:spacing w:line="360" w:lineRule="auto"/>
        <w:jc w:val="left"/>
        <w:outlineLvl w:val="0"/>
        <w:rPr>
          <w:rFonts w:hint="eastAsia" w:ascii="仿宋" w:hAnsi="仿宋" w:eastAsia="仿宋" w:cs="仿宋"/>
          <w:b/>
          <w:color w:val="auto"/>
          <w:sz w:val="28"/>
          <w:szCs w:val="28"/>
          <w:highlight w:val="none"/>
        </w:rPr>
      </w:pPr>
      <w:bookmarkStart w:id="32" w:name="_Toc21521"/>
      <w:r>
        <w:rPr>
          <w:rFonts w:hint="eastAsia" w:ascii="仿宋" w:hAnsi="仿宋" w:eastAsia="仿宋" w:cs="仿宋"/>
          <w:b/>
          <w:color w:val="auto"/>
          <w:sz w:val="28"/>
          <w:szCs w:val="28"/>
          <w:highlight w:val="none"/>
        </w:rPr>
        <w:t>十一、付款方式：</w:t>
      </w:r>
      <w:bookmarkEnd w:id="32"/>
    </w:p>
    <w:p>
      <w:pPr>
        <w:pStyle w:val="972"/>
        <w:ind w:firstLine="48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服务费按每</w:t>
      </w: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个自然月为一个周期结算一次，根据考核结果支付上一周期费用，乙方于3个工作日内开具符合甲方要求的服务的发票至甲方，甲方在乙方提供发票后的次月15个工作日向乙方支付费用（遇国家法定节假日顺延）。</w:t>
      </w:r>
    </w:p>
    <w:p>
      <w:pPr>
        <w:spacing w:line="360" w:lineRule="auto"/>
        <w:jc w:val="left"/>
        <w:outlineLvl w:val="0"/>
        <w:rPr>
          <w:rFonts w:hint="eastAsia" w:ascii="仿宋" w:hAnsi="仿宋" w:eastAsia="仿宋" w:cs="仿宋"/>
          <w:b/>
          <w:color w:val="auto"/>
          <w:sz w:val="28"/>
          <w:szCs w:val="28"/>
          <w:highlight w:val="none"/>
        </w:rPr>
      </w:pPr>
      <w:bookmarkStart w:id="33" w:name="_Toc10766"/>
      <w:r>
        <w:rPr>
          <w:rFonts w:hint="eastAsia" w:ascii="仿宋" w:hAnsi="仿宋" w:eastAsia="仿宋" w:cs="仿宋"/>
          <w:b/>
          <w:color w:val="auto"/>
          <w:sz w:val="28"/>
          <w:szCs w:val="28"/>
          <w:highlight w:val="none"/>
        </w:rPr>
        <w:t>十二、考核</w:t>
      </w:r>
      <w:r>
        <w:rPr>
          <w:rFonts w:hint="eastAsia" w:ascii="仿宋" w:hAnsi="仿宋" w:eastAsia="仿宋" w:cs="仿宋"/>
          <w:b/>
          <w:color w:val="auto"/>
          <w:sz w:val="28"/>
          <w:szCs w:val="28"/>
          <w:highlight w:val="none"/>
          <w:lang w:eastAsia="zh-CN"/>
        </w:rPr>
        <w:t>及处罚措施</w:t>
      </w:r>
      <w:r>
        <w:rPr>
          <w:rFonts w:hint="eastAsia" w:ascii="仿宋" w:hAnsi="仿宋" w:eastAsia="仿宋" w:cs="仿宋"/>
          <w:b/>
          <w:color w:val="auto"/>
          <w:sz w:val="28"/>
          <w:szCs w:val="28"/>
          <w:highlight w:val="none"/>
        </w:rPr>
        <w:t>：</w:t>
      </w:r>
      <w:bookmarkEnd w:id="33"/>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1、考核内容：主要对其管理措施、安全管理、秩序管理等内容进行考核，其中包括日常管理、遵规守纪、岗位纪律、安全检查、巡更情况汇报、突发事件上报及时性等。</w:t>
      </w:r>
    </w:p>
    <w:p>
      <w:pPr>
        <w:spacing w:line="360" w:lineRule="auto"/>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2、考核评定</w:t>
      </w:r>
    </w:p>
    <w:p>
      <w:pPr>
        <w:adjustRightInd w:val="0"/>
        <w:snapToGrid w:val="0"/>
        <w:spacing w:line="360" w:lineRule="auto"/>
        <w:ind w:firstLine="551" w:firstLineChars="196"/>
        <w:jc w:val="center"/>
        <w:outlineLvl w:val="1"/>
        <w:rPr>
          <w:rFonts w:hint="eastAsia" w:ascii="仿宋" w:hAnsi="仿宋" w:eastAsia="仿宋" w:cs="仿宋"/>
          <w:b/>
          <w:bCs/>
          <w:color w:val="auto"/>
          <w:sz w:val="28"/>
          <w:szCs w:val="28"/>
          <w:highlight w:val="none"/>
        </w:rPr>
      </w:pPr>
    </w:p>
    <w:p>
      <w:pPr>
        <w:adjustRightInd w:val="0"/>
        <w:snapToGrid w:val="0"/>
        <w:spacing w:line="360" w:lineRule="auto"/>
        <w:ind w:firstLine="551" w:firstLineChars="196"/>
        <w:jc w:val="center"/>
        <w:outlineLvl w:val="1"/>
        <w:rPr>
          <w:rFonts w:hint="eastAsia" w:ascii="仿宋" w:hAnsi="仿宋" w:eastAsia="仿宋" w:cs="仿宋"/>
          <w:b/>
          <w:bCs/>
          <w:color w:val="auto"/>
          <w:sz w:val="28"/>
          <w:szCs w:val="28"/>
          <w:highlight w:val="none"/>
        </w:rPr>
      </w:pPr>
    </w:p>
    <w:p>
      <w:pPr>
        <w:adjustRightInd w:val="0"/>
        <w:snapToGrid w:val="0"/>
        <w:spacing w:line="360" w:lineRule="auto"/>
        <w:ind w:firstLine="551" w:firstLineChars="196"/>
        <w:jc w:val="cente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巡逻安保人员日常管理督查考核细则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上班迟到、早退、擅自离岗。</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旷工。</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无故不参加会议、集中学习。</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上班期间着装不规范、不整洁。</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在管理区域、路段聚众聊天、看手机、或进入店家做与工作无关的事。</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违反请销假制度。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将警用装备借于他人使用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p>
          <w:p>
            <w:pPr>
              <w:spacing w:line="360" w:lineRule="auto"/>
              <w:jc w:val="center"/>
              <w:rPr>
                <w:rFonts w:hint="eastAsia" w:ascii="仿宋" w:hAnsi="仿宋" w:eastAsia="仿宋" w:cs="仿宋"/>
                <w:color w:val="auto"/>
                <w:sz w:val="28"/>
                <w:szCs w:val="28"/>
                <w:highlight w:val="none"/>
              </w:rPr>
            </w:pP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不服从正常的工作调动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队员对自己巡逻、管理区域、路段不熟悉，不了解消火栓地点并不能熟练使用消防器材</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遇险情未及时上报，未采取措施制止灾害扩大</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在巡逻过程中，遇有正在实施的不法侵害行为时，未迅速制止和报警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受到国家法律及治安条例处罚</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对中队督查人员指出的问题不立即进行整改或还顶撞。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对中队领导及街道领导发现、指出的问题，不立即进行整改或还顶撞。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此督查考核仅限于招标单位对中标单位提供的服务外包人员根据服务外包管理内容履职进行考核，根据考核扣分情况进行每月汇总。 </w:t>
            </w:r>
          </w:p>
        </w:tc>
      </w:tr>
    </w:tbl>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甲方：           检查人员签字：               部室负责人签字：              </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           管理人员签字：               领导签字：</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备注：每月抽查一次，根据检查情况进行扣分；</w:t>
      </w:r>
    </w:p>
    <w:p>
      <w:pPr>
        <w:numPr>
          <w:ilvl w:val="0"/>
          <w:numId w:val="6"/>
        </w:num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若分值＜80分，扣除该项目</w:t>
      </w:r>
      <w:r>
        <w:rPr>
          <w:rFonts w:hint="eastAsia" w:ascii="仿宋" w:hAnsi="仿宋" w:eastAsia="仿宋" w:cs="仿宋"/>
          <w:color w:val="auto"/>
          <w:sz w:val="28"/>
          <w:szCs w:val="28"/>
          <w:highlight w:val="none"/>
          <w:lang w:eastAsia="zh-CN"/>
        </w:rPr>
        <w:t>当月服务费用的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w:t>
      </w:r>
    </w:p>
    <w:p>
      <w:pPr>
        <w:numPr>
          <w:ilvl w:val="0"/>
          <w:numId w:val="6"/>
        </w:num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若分值＜80分，可无条件解除本合同；</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C、若80分≤考核得分＜85分，按扣分值（300元/分）在本月服务费中扣除；</w:t>
      </w:r>
    </w:p>
    <w:p>
      <w:pPr>
        <w:pStyle w:val="82"/>
        <w:spacing w:line="360" w:lineRule="auto"/>
        <w:ind w:firstLine="56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D、考核得分≥85分，甲方支付合同约定服务费用的100%；</w:t>
      </w:r>
    </w:p>
    <w:p>
      <w:pPr>
        <w:snapToGrid w:val="0"/>
        <w:spacing w:line="360" w:lineRule="auto"/>
        <w:jc w:val="center"/>
        <w:rPr>
          <w:rFonts w:hint="eastAsia" w:ascii="仿宋" w:hAnsi="仿宋" w:eastAsia="仿宋" w:cs="仿宋"/>
          <w:b/>
          <w:color w:val="auto"/>
          <w:sz w:val="28"/>
          <w:szCs w:val="28"/>
          <w:highlight w:val="none"/>
        </w:rPr>
      </w:pP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3、处罚措施</w:t>
      </w:r>
    </w:p>
    <w:p>
      <w:pPr>
        <w:pStyle w:val="2"/>
        <w:ind w:left="0" w:leftChars="0" w:firstLine="0" w:firstLineChars="0"/>
        <w:rPr>
          <w:rFonts w:hint="eastAsia"/>
          <w:lang w:val="en-US" w:eastAsia="zh-CN"/>
        </w:rPr>
      </w:pPr>
      <w:r>
        <w:rPr>
          <w:rFonts w:hint="eastAsia"/>
          <w:lang w:val="en-US" w:eastAsia="zh-CN"/>
        </w:rPr>
        <w:t>1、未按合同约定提供相应上岗人员的，每少安排一人扣款1500元。</w:t>
      </w:r>
    </w:p>
    <w:p>
      <w:pPr>
        <w:pStyle w:val="2"/>
        <w:ind w:left="0" w:leftChars="0" w:firstLine="0" w:firstLineChars="0"/>
        <w:rPr>
          <w:rFonts w:hint="eastAsia"/>
          <w:lang w:val="en-US" w:eastAsia="zh-CN"/>
        </w:rPr>
      </w:pPr>
      <w:r>
        <w:rPr>
          <w:rFonts w:hint="eastAsia"/>
          <w:lang w:val="en-US" w:eastAsia="zh-CN"/>
        </w:rPr>
        <w:t>2、未能在人员离职时，进行及时人员替补，造成人员缺少工作岗位脱节的每人次扣款1000元。</w:t>
      </w:r>
    </w:p>
    <w:p>
      <w:pPr>
        <w:pStyle w:val="2"/>
        <w:ind w:left="0" w:leftChars="0" w:firstLine="0" w:firstLineChars="0"/>
        <w:rPr>
          <w:rFonts w:hint="eastAsia"/>
          <w:lang w:val="en-US" w:eastAsia="zh-CN"/>
        </w:rPr>
      </w:pPr>
      <w:r>
        <w:rPr>
          <w:rFonts w:hint="eastAsia"/>
          <w:lang w:val="en-US" w:eastAsia="zh-CN"/>
        </w:rPr>
        <w:t>3、人员变动性性大，上岗人员变动率每月大于5人的扣款1000元。</w:t>
      </w:r>
    </w:p>
    <w:p>
      <w:pPr>
        <w:pStyle w:val="2"/>
        <w:ind w:left="0" w:leftChars="0" w:firstLine="0" w:firstLineChars="0"/>
        <w:rPr>
          <w:rFonts w:hint="eastAsia"/>
          <w:lang w:val="en-US" w:eastAsia="zh-CN"/>
        </w:rPr>
      </w:pPr>
      <w:r>
        <w:rPr>
          <w:rFonts w:hint="eastAsia"/>
          <w:lang w:val="en-US" w:eastAsia="zh-CN"/>
        </w:rPr>
        <w:t>4、未按规定时间上岗、擅自离岗的每人每次扣款300元。</w:t>
      </w:r>
    </w:p>
    <w:p>
      <w:pPr>
        <w:pStyle w:val="2"/>
        <w:ind w:left="0" w:leftChars="0" w:firstLine="0" w:firstLineChars="0"/>
        <w:rPr>
          <w:rFonts w:hint="eastAsia"/>
          <w:lang w:val="en-US" w:eastAsia="zh-CN"/>
        </w:rPr>
      </w:pPr>
      <w:r>
        <w:rPr>
          <w:rFonts w:hint="eastAsia"/>
          <w:lang w:val="en-US" w:eastAsia="zh-CN"/>
        </w:rPr>
        <w:t>5、上岗人员旷工每人每次扣款500元。</w:t>
      </w:r>
    </w:p>
    <w:p>
      <w:pPr>
        <w:pStyle w:val="2"/>
        <w:ind w:left="0" w:leftChars="0" w:firstLine="0" w:firstLineChars="0"/>
        <w:rPr>
          <w:rFonts w:hint="eastAsia"/>
          <w:lang w:val="en-US" w:eastAsia="zh-CN"/>
        </w:rPr>
      </w:pPr>
      <w:r>
        <w:rPr>
          <w:rFonts w:hint="eastAsia"/>
          <w:lang w:val="en-US" w:eastAsia="zh-CN"/>
        </w:rPr>
        <w:t>6、人员在岗，但未按规定对出店经营、超出门窗摆放物品、无证摊贩、非机动车乱停放、机动车违停等序化问题进行及时劝导整改的每处扣款300元。</w:t>
      </w:r>
    </w:p>
    <w:p>
      <w:pPr>
        <w:pStyle w:val="2"/>
        <w:ind w:left="0" w:leftChars="0" w:firstLine="0" w:firstLineChars="0"/>
        <w:rPr>
          <w:rFonts w:hint="eastAsia"/>
          <w:lang w:val="en-US" w:eastAsia="zh-CN"/>
        </w:rPr>
      </w:pPr>
      <w:r>
        <w:rPr>
          <w:rFonts w:hint="eastAsia"/>
          <w:lang w:val="en-US" w:eastAsia="zh-CN"/>
        </w:rPr>
        <w:t>7、在上岗期间着装不规范、不整洁影响队伍形象的每人每次扣款100元。</w:t>
      </w:r>
    </w:p>
    <w:p>
      <w:pPr>
        <w:pStyle w:val="2"/>
        <w:ind w:left="0" w:leftChars="0" w:firstLine="0" w:firstLineChars="0"/>
        <w:rPr>
          <w:rFonts w:hint="eastAsia"/>
          <w:lang w:val="en-US" w:eastAsia="zh-CN"/>
        </w:rPr>
      </w:pPr>
      <w:r>
        <w:rPr>
          <w:rFonts w:hint="eastAsia"/>
          <w:lang w:val="en-US" w:eastAsia="zh-CN"/>
        </w:rPr>
        <w:t>8、在上岗时间，有聚众聊天、玩手机、或进入店家做与工作无关的事的每人每次扣款100元。</w:t>
      </w:r>
    </w:p>
    <w:p>
      <w:pPr>
        <w:pStyle w:val="2"/>
        <w:ind w:left="0" w:leftChars="0" w:firstLine="0" w:firstLineChars="0"/>
        <w:rPr>
          <w:rFonts w:hint="eastAsia"/>
          <w:lang w:val="en-US" w:eastAsia="zh-CN"/>
        </w:rPr>
      </w:pPr>
      <w:r>
        <w:rPr>
          <w:rFonts w:hint="eastAsia"/>
          <w:lang w:val="en-US" w:eastAsia="zh-CN"/>
        </w:rPr>
        <w:t>9、不服从工作安排的每人每次扣款100元。</w:t>
      </w:r>
    </w:p>
    <w:p>
      <w:pPr>
        <w:pStyle w:val="2"/>
        <w:ind w:left="0" w:leftChars="0" w:firstLine="0" w:firstLineChars="0"/>
        <w:rPr>
          <w:rFonts w:hint="eastAsia"/>
          <w:lang w:val="en-US" w:eastAsia="zh-CN"/>
        </w:rPr>
      </w:pPr>
      <w:r>
        <w:rPr>
          <w:rFonts w:hint="eastAsia"/>
          <w:lang w:val="en-US" w:eastAsia="zh-CN"/>
        </w:rPr>
        <w:t>10、执勤点位被领导直接点名的扣款2000元。</w:t>
      </w:r>
    </w:p>
    <w:p>
      <w:pPr>
        <w:widowControl/>
        <w:ind w:firstLine="720" w:firstLineChars="300"/>
        <w:jc w:val="left"/>
        <w:rPr>
          <w:rFonts w:hint="eastAsia" w:ascii="仿宋" w:hAnsi="仿宋" w:eastAsia="仿宋" w:cs="仿宋"/>
          <w:bCs/>
          <w:color w:val="auto"/>
          <w:sz w:val="24"/>
          <w:highlight w:val="none"/>
        </w:rPr>
      </w:pPr>
    </w:p>
    <w:p>
      <w:pPr>
        <w:snapToGrid w:val="0"/>
        <w:spacing w:line="360" w:lineRule="auto"/>
        <w:jc w:val="both"/>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34" w:name="_Toc184310311"/>
      <w:bookmarkEnd w:id="34"/>
      <w:bookmarkStart w:id="35" w:name="_Toc184313264"/>
      <w:bookmarkEnd w:id="35"/>
      <w:bookmarkStart w:id="36" w:name="_Toc184313248"/>
      <w:bookmarkEnd w:id="36"/>
      <w:bookmarkStart w:id="37" w:name="_Toc184310312"/>
      <w:bookmarkEnd w:id="37"/>
      <w:bookmarkStart w:id="38" w:name="_Toc184310283"/>
      <w:bookmarkEnd w:id="38"/>
      <w:bookmarkStart w:id="39" w:name="_Toc184310337"/>
      <w:bookmarkEnd w:id="39"/>
      <w:bookmarkStart w:id="40" w:name="_Toc184308070"/>
      <w:bookmarkEnd w:id="40"/>
      <w:bookmarkStart w:id="41" w:name="_Toc184313285"/>
      <w:bookmarkEnd w:id="41"/>
      <w:bookmarkStart w:id="42" w:name="_Toc184314453"/>
      <w:bookmarkEnd w:id="42"/>
      <w:bookmarkStart w:id="43" w:name="_Toc184310285"/>
      <w:bookmarkEnd w:id="43"/>
      <w:bookmarkStart w:id="44" w:name="_Toc184308072"/>
      <w:bookmarkEnd w:id="44"/>
      <w:bookmarkStart w:id="45" w:name="_Toc184312101"/>
      <w:bookmarkEnd w:id="45"/>
      <w:bookmarkStart w:id="46" w:name="_Toc184313247"/>
      <w:bookmarkEnd w:id="46"/>
      <w:bookmarkStart w:id="47" w:name="_Toc184310325"/>
      <w:bookmarkEnd w:id="47"/>
      <w:bookmarkStart w:id="48" w:name="_Toc184312076"/>
      <w:bookmarkEnd w:id="48"/>
      <w:bookmarkStart w:id="49" w:name="_Toc184310340"/>
      <w:bookmarkEnd w:id="49"/>
      <w:bookmarkStart w:id="50" w:name="_Toc184313238"/>
      <w:bookmarkEnd w:id="50"/>
      <w:bookmarkStart w:id="51" w:name="_Toc184312119"/>
      <w:bookmarkEnd w:id="51"/>
      <w:bookmarkStart w:id="52" w:name="_Toc184314439"/>
      <w:bookmarkEnd w:id="52"/>
      <w:bookmarkStart w:id="53" w:name="_Toc184312071"/>
      <w:bookmarkEnd w:id="53"/>
      <w:bookmarkStart w:id="54" w:name="_Toc184314423"/>
      <w:bookmarkEnd w:id="54"/>
      <w:bookmarkStart w:id="55" w:name="_Toc184310322"/>
      <w:bookmarkEnd w:id="55"/>
      <w:bookmarkStart w:id="56" w:name="_Toc184308057"/>
      <w:bookmarkEnd w:id="56"/>
      <w:bookmarkStart w:id="57" w:name="_Toc184313240"/>
      <w:bookmarkEnd w:id="57"/>
      <w:bookmarkStart w:id="58" w:name="_Toc184313249"/>
      <w:bookmarkEnd w:id="58"/>
      <w:bookmarkStart w:id="59" w:name="_Toc184314445"/>
      <w:bookmarkEnd w:id="59"/>
      <w:bookmarkStart w:id="60" w:name="_Toc184310279"/>
      <w:bookmarkEnd w:id="60"/>
      <w:bookmarkStart w:id="61" w:name="_Toc184312086"/>
      <w:bookmarkEnd w:id="61"/>
      <w:bookmarkStart w:id="62" w:name="_Toc184310305"/>
      <w:bookmarkEnd w:id="62"/>
      <w:bookmarkStart w:id="63" w:name="_Toc184313258"/>
      <w:bookmarkEnd w:id="63"/>
      <w:bookmarkStart w:id="64" w:name="_Toc184314440"/>
      <w:bookmarkEnd w:id="64"/>
      <w:bookmarkStart w:id="65" w:name="_Toc184312073"/>
      <w:bookmarkEnd w:id="65"/>
      <w:bookmarkStart w:id="66" w:name="_Toc184310303"/>
      <w:bookmarkEnd w:id="66"/>
      <w:bookmarkStart w:id="67" w:name="_Toc184310306"/>
      <w:bookmarkEnd w:id="67"/>
      <w:bookmarkStart w:id="68" w:name="_Toc184313283"/>
      <w:bookmarkEnd w:id="68"/>
      <w:bookmarkStart w:id="69" w:name="_Toc184310343"/>
      <w:bookmarkEnd w:id="69"/>
      <w:bookmarkStart w:id="70" w:name="_Toc184312081"/>
      <w:bookmarkEnd w:id="70"/>
      <w:bookmarkStart w:id="71" w:name="_Toc184308083"/>
      <w:bookmarkEnd w:id="71"/>
      <w:bookmarkStart w:id="72" w:name="_Toc184314411"/>
      <w:bookmarkEnd w:id="72"/>
      <w:bookmarkStart w:id="73" w:name="_Toc184314454"/>
      <w:bookmarkEnd w:id="73"/>
      <w:bookmarkStart w:id="74" w:name="_Toc184314455"/>
      <w:bookmarkEnd w:id="74"/>
      <w:bookmarkStart w:id="75" w:name="_Toc184308081"/>
      <w:bookmarkEnd w:id="75"/>
      <w:bookmarkStart w:id="76" w:name="_Toc184308038"/>
      <w:bookmarkEnd w:id="76"/>
      <w:bookmarkStart w:id="77" w:name="_Toc184313270"/>
      <w:bookmarkEnd w:id="77"/>
      <w:bookmarkStart w:id="78" w:name="_Toc184313291"/>
      <w:bookmarkEnd w:id="78"/>
      <w:bookmarkStart w:id="79" w:name="_Toc184310333"/>
      <w:bookmarkEnd w:id="79"/>
      <w:bookmarkStart w:id="80" w:name="_Toc184313245"/>
      <w:bookmarkEnd w:id="80"/>
      <w:bookmarkStart w:id="81" w:name="_Toc184308074"/>
      <w:bookmarkEnd w:id="81"/>
      <w:bookmarkStart w:id="82" w:name="_Toc184308053"/>
      <w:bookmarkEnd w:id="82"/>
      <w:bookmarkStart w:id="83" w:name="_Toc184314442"/>
      <w:bookmarkEnd w:id="83"/>
      <w:bookmarkStart w:id="84" w:name="_Toc184312075"/>
      <w:bookmarkEnd w:id="84"/>
      <w:bookmarkStart w:id="85" w:name="_Toc184314417"/>
      <w:bookmarkEnd w:id="85"/>
      <w:bookmarkStart w:id="86" w:name="_Toc184310294"/>
      <w:bookmarkEnd w:id="86"/>
      <w:bookmarkStart w:id="87" w:name="_Toc184310335"/>
      <w:bookmarkEnd w:id="87"/>
      <w:bookmarkStart w:id="88" w:name="_Toc184312074"/>
      <w:bookmarkEnd w:id="88"/>
      <w:bookmarkStart w:id="89" w:name="_Toc184313265"/>
      <w:bookmarkEnd w:id="89"/>
      <w:bookmarkStart w:id="90" w:name="_Toc184308041"/>
      <w:bookmarkEnd w:id="90"/>
      <w:bookmarkStart w:id="91" w:name="_Toc184314418"/>
      <w:bookmarkEnd w:id="91"/>
      <w:bookmarkStart w:id="92" w:name="_Toc184308105"/>
      <w:bookmarkEnd w:id="92"/>
      <w:bookmarkStart w:id="93" w:name="_Toc184308037"/>
      <w:bookmarkEnd w:id="93"/>
      <w:bookmarkStart w:id="94" w:name="_Toc184313262"/>
      <w:bookmarkEnd w:id="94"/>
      <w:bookmarkStart w:id="95" w:name="_Toc184310280"/>
      <w:bookmarkEnd w:id="95"/>
      <w:bookmarkStart w:id="96" w:name="_Toc184312132"/>
      <w:bookmarkEnd w:id="96"/>
      <w:bookmarkStart w:id="97" w:name="_Toc184313297"/>
      <w:bookmarkEnd w:id="97"/>
      <w:bookmarkStart w:id="98" w:name="_Toc184313284"/>
      <w:bookmarkEnd w:id="98"/>
      <w:bookmarkStart w:id="99" w:name="_Toc184308042"/>
      <w:bookmarkEnd w:id="99"/>
      <w:bookmarkStart w:id="100" w:name="_Toc184308044"/>
      <w:bookmarkEnd w:id="100"/>
      <w:bookmarkStart w:id="101" w:name="_Toc184312090"/>
      <w:bookmarkEnd w:id="101"/>
      <w:bookmarkStart w:id="102" w:name="_Toc184310301"/>
      <w:bookmarkEnd w:id="102"/>
      <w:bookmarkStart w:id="103" w:name="_Toc184310316"/>
      <w:bookmarkEnd w:id="103"/>
      <w:bookmarkStart w:id="104" w:name="_Toc184314459"/>
      <w:bookmarkEnd w:id="104"/>
      <w:bookmarkStart w:id="105" w:name="_Toc184310281"/>
      <w:bookmarkEnd w:id="105"/>
      <w:bookmarkStart w:id="106" w:name="_Toc184314447"/>
      <w:bookmarkEnd w:id="106"/>
      <w:bookmarkStart w:id="107" w:name="_Toc184308065"/>
      <w:bookmarkEnd w:id="107"/>
      <w:bookmarkStart w:id="108" w:name="_Toc184312069"/>
      <w:bookmarkEnd w:id="108"/>
      <w:bookmarkStart w:id="109" w:name="_Toc184314429"/>
      <w:bookmarkEnd w:id="109"/>
      <w:bookmarkStart w:id="110" w:name="_Toc184308069"/>
      <w:bookmarkEnd w:id="110"/>
      <w:bookmarkStart w:id="111" w:name="_Toc184310296"/>
      <w:bookmarkEnd w:id="111"/>
      <w:bookmarkStart w:id="112" w:name="_Toc184308048"/>
      <w:bookmarkEnd w:id="112"/>
      <w:bookmarkStart w:id="113" w:name="_Toc184314432"/>
      <w:bookmarkEnd w:id="113"/>
      <w:bookmarkStart w:id="114" w:name="_Toc184313259"/>
      <w:bookmarkEnd w:id="114"/>
      <w:bookmarkStart w:id="115" w:name="_Toc184314473"/>
      <w:bookmarkEnd w:id="115"/>
      <w:bookmarkStart w:id="116" w:name="_Toc184313271"/>
      <w:bookmarkEnd w:id="116"/>
      <w:bookmarkStart w:id="117" w:name="_Toc184312115"/>
      <w:bookmarkEnd w:id="117"/>
      <w:bookmarkStart w:id="118" w:name="_Toc184312097"/>
      <w:bookmarkEnd w:id="118"/>
      <w:bookmarkStart w:id="119" w:name="_Toc184312094"/>
      <w:bookmarkEnd w:id="119"/>
      <w:bookmarkStart w:id="120" w:name="_Toc184314458"/>
      <w:bookmarkEnd w:id="120"/>
      <w:bookmarkStart w:id="121" w:name="_Toc184310273"/>
      <w:bookmarkEnd w:id="121"/>
      <w:bookmarkStart w:id="122" w:name="_Toc184313308"/>
      <w:bookmarkEnd w:id="122"/>
      <w:bookmarkStart w:id="123" w:name="_Toc184308055"/>
      <w:bookmarkEnd w:id="123"/>
      <w:bookmarkStart w:id="124" w:name="_Toc184310282"/>
      <w:bookmarkEnd w:id="124"/>
      <w:bookmarkStart w:id="125" w:name="_Toc184313266"/>
      <w:bookmarkEnd w:id="125"/>
      <w:bookmarkStart w:id="126" w:name="_Toc184313281"/>
      <w:bookmarkEnd w:id="126"/>
      <w:bookmarkStart w:id="127" w:name="_Toc184308067"/>
      <w:bookmarkEnd w:id="127"/>
      <w:bookmarkStart w:id="128" w:name="_Toc184308064"/>
      <w:bookmarkEnd w:id="128"/>
      <w:bookmarkStart w:id="129" w:name="_Toc184310299"/>
      <w:bookmarkEnd w:id="129"/>
      <w:bookmarkStart w:id="130" w:name="_Toc184312088"/>
      <w:bookmarkEnd w:id="130"/>
      <w:bookmarkStart w:id="131" w:name="_Toc184314449"/>
      <w:bookmarkEnd w:id="131"/>
      <w:bookmarkStart w:id="132" w:name="_Toc184312135"/>
      <w:bookmarkEnd w:id="132"/>
      <w:bookmarkStart w:id="133" w:name="_Toc184308061"/>
      <w:bookmarkEnd w:id="133"/>
      <w:bookmarkStart w:id="134" w:name="_Toc184312117"/>
      <w:bookmarkEnd w:id="134"/>
      <w:bookmarkStart w:id="135" w:name="_Toc184308052"/>
      <w:bookmarkEnd w:id="135"/>
      <w:bookmarkStart w:id="136" w:name="_Toc184310341"/>
      <w:bookmarkEnd w:id="136"/>
      <w:bookmarkStart w:id="137" w:name="_Toc184312106"/>
      <w:bookmarkEnd w:id="137"/>
      <w:bookmarkStart w:id="138" w:name="_Toc184308101"/>
      <w:bookmarkEnd w:id="138"/>
      <w:bookmarkStart w:id="139" w:name="_Toc184310291"/>
      <w:bookmarkEnd w:id="139"/>
      <w:bookmarkStart w:id="140" w:name="_Toc184308104"/>
      <w:bookmarkEnd w:id="140"/>
      <w:bookmarkStart w:id="141" w:name="_Toc184313280"/>
      <w:bookmarkEnd w:id="141"/>
      <w:bookmarkStart w:id="142" w:name="_Toc184308062"/>
      <w:bookmarkEnd w:id="142"/>
      <w:bookmarkStart w:id="143" w:name="_Toc184312095"/>
      <w:bookmarkEnd w:id="143"/>
      <w:bookmarkStart w:id="144" w:name="_Toc184314472"/>
      <w:bookmarkEnd w:id="144"/>
      <w:bookmarkStart w:id="145" w:name="_Toc184314448"/>
      <w:bookmarkEnd w:id="145"/>
      <w:bookmarkStart w:id="146" w:name="_Toc184314426"/>
      <w:bookmarkEnd w:id="146"/>
      <w:bookmarkStart w:id="147" w:name="_Toc184313260"/>
      <w:bookmarkEnd w:id="147"/>
      <w:bookmarkStart w:id="148" w:name="_Toc184314433"/>
      <w:bookmarkEnd w:id="148"/>
      <w:bookmarkStart w:id="149" w:name="_Toc184313306"/>
      <w:bookmarkEnd w:id="149"/>
      <w:bookmarkStart w:id="150" w:name="_Toc184314434"/>
      <w:bookmarkEnd w:id="150"/>
      <w:bookmarkStart w:id="151" w:name="_Toc184313269"/>
      <w:bookmarkEnd w:id="151"/>
      <w:bookmarkStart w:id="152" w:name="_Toc184312103"/>
      <w:bookmarkEnd w:id="152"/>
      <w:bookmarkStart w:id="153" w:name="_Toc184313275"/>
      <w:bookmarkEnd w:id="153"/>
      <w:bookmarkStart w:id="154" w:name="_Toc184313273"/>
      <w:bookmarkEnd w:id="154"/>
      <w:bookmarkStart w:id="155" w:name="_Toc184314443"/>
      <w:bookmarkEnd w:id="155"/>
      <w:bookmarkStart w:id="156" w:name="_Toc184310317"/>
      <w:bookmarkEnd w:id="156"/>
      <w:bookmarkStart w:id="157" w:name="_Toc184312100"/>
      <w:bookmarkEnd w:id="157"/>
      <w:bookmarkStart w:id="158" w:name="_Toc184310315"/>
      <w:bookmarkEnd w:id="158"/>
      <w:bookmarkStart w:id="159" w:name="_Toc184312067"/>
      <w:bookmarkEnd w:id="159"/>
      <w:bookmarkStart w:id="160" w:name="_Toc184308039"/>
      <w:bookmarkEnd w:id="160"/>
      <w:bookmarkStart w:id="161" w:name="_Toc184313267"/>
      <w:bookmarkEnd w:id="161"/>
      <w:bookmarkStart w:id="162" w:name="_Toc184314446"/>
      <w:bookmarkEnd w:id="162"/>
      <w:bookmarkStart w:id="163" w:name="_Toc184313253"/>
      <w:bookmarkEnd w:id="163"/>
      <w:bookmarkStart w:id="164" w:name="_Toc184312084"/>
      <w:bookmarkEnd w:id="164"/>
      <w:bookmarkStart w:id="165" w:name="_Toc184313256"/>
      <w:bookmarkEnd w:id="165"/>
      <w:bookmarkStart w:id="166" w:name="_Toc184314428"/>
      <w:bookmarkEnd w:id="166"/>
      <w:bookmarkStart w:id="167" w:name="_Toc184313254"/>
      <w:bookmarkEnd w:id="167"/>
      <w:bookmarkStart w:id="168" w:name="_Toc184310302"/>
      <w:bookmarkEnd w:id="168"/>
      <w:bookmarkStart w:id="169" w:name="_Toc184312111"/>
      <w:bookmarkEnd w:id="169"/>
      <w:bookmarkStart w:id="170" w:name="_Toc184310289"/>
      <w:bookmarkEnd w:id="170"/>
      <w:bookmarkStart w:id="171" w:name="_Toc184312085"/>
      <w:bookmarkEnd w:id="171"/>
      <w:bookmarkStart w:id="172" w:name="_Toc184310275"/>
      <w:bookmarkEnd w:id="172"/>
      <w:bookmarkStart w:id="173" w:name="_Toc184308066"/>
      <w:bookmarkEnd w:id="173"/>
      <w:bookmarkStart w:id="174" w:name="_Toc184310344"/>
      <w:bookmarkEnd w:id="174"/>
      <w:bookmarkStart w:id="175" w:name="_Toc184314415"/>
      <w:bookmarkEnd w:id="175"/>
      <w:bookmarkStart w:id="176" w:name="_Toc184312116"/>
      <w:bookmarkEnd w:id="176"/>
      <w:bookmarkStart w:id="177" w:name="_Toc184310276"/>
      <w:bookmarkEnd w:id="177"/>
      <w:bookmarkStart w:id="178" w:name="_Toc184313303"/>
      <w:bookmarkEnd w:id="178"/>
      <w:bookmarkStart w:id="179" w:name="_Toc184308058"/>
      <w:bookmarkEnd w:id="179"/>
      <w:bookmarkStart w:id="180" w:name="_Toc184308096"/>
      <w:bookmarkEnd w:id="180"/>
      <w:bookmarkStart w:id="181" w:name="_Toc184310274"/>
      <w:bookmarkEnd w:id="181"/>
      <w:bookmarkStart w:id="182" w:name="_Toc184313251"/>
      <w:bookmarkEnd w:id="182"/>
      <w:bookmarkStart w:id="183" w:name="_Toc184314431"/>
      <w:bookmarkEnd w:id="183"/>
      <w:bookmarkStart w:id="184" w:name="_Toc184310287"/>
      <w:bookmarkEnd w:id="184"/>
      <w:bookmarkStart w:id="185" w:name="_Toc184312087"/>
      <w:bookmarkEnd w:id="185"/>
      <w:bookmarkStart w:id="186" w:name="_Toc184310297"/>
      <w:bookmarkEnd w:id="186"/>
      <w:bookmarkStart w:id="187" w:name="_Toc184308040"/>
      <w:bookmarkEnd w:id="187"/>
      <w:bookmarkStart w:id="188" w:name="_Toc184310293"/>
      <w:bookmarkEnd w:id="188"/>
      <w:bookmarkStart w:id="189" w:name="_Toc184310310"/>
      <w:bookmarkEnd w:id="189"/>
      <w:bookmarkStart w:id="190" w:name="_Toc184314475"/>
      <w:bookmarkEnd w:id="190"/>
      <w:bookmarkStart w:id="191" w:name="_Toc184308056"/>
      <w:bookmarkEnd w:id="191"/>
      <w:bookmarkStart w:id="192" w:name="_Toc184314413"/>
      <w:bookmarkEnd w:id="192"/>
      <w:bookmarkStart w:id="193" w:name="_Toc184312083"/>
      <w:bookmarkEnd w:id="193"/>
      <w:bookmarkStart w:id="194" w:name="_Toc184308049"/>
      <w:bookmarkEnd w:id="194"/>
      <w:bookmarkStart w:id="195" w:name="_Toc184312070"/>
      <w:bookmarkEnd w:id="195"/>
      <w:bookmarkStart w:id="196" w:name="_Toc184313263"/>
      <w:bookmarkEnd w:id="196"/>
      <w:bookmarkStart w:id="197" w:name="_Toc184312112"/>
      <w:bookmarkEnd w:id="197"/>
      <w:bookmarkStart w:id="198" w:name="_Toc184313277"/>
      <w:bookmarkEnd w:id="198"/>
      <w:bookmarkStart w:id="199" w:name="_Toc184310288"/>
      <w:bookmarkEnd w:id="199"/>
      <w:bookmarkStart w:id="200" w:name="_Toc184314450"/>
      <w:bookmarkEnd w:id="200"/>
      <w:bookmarkStart w:id="201" w:name="_Toc184314438"/>
      <w:bookmarkEnd w:id="201"/>
      <w:bookmarkStart w:id="202" w:name="_Toc184310300"/>
      <w:bookmarkEnd w:id="202"/>
      <w:bookmarkStart w:id="203" w:name="_Toc184312120"/>
      <w:bookmarkEnd w:id="203"/>
      <w:bookmarkStart w:id="204" w:name="_Toc184313272"/>
      <w:bookmarkEnd w:id="204"/>
      <w:bookmarkStart w:id="205" w:name="_Toc184313292"/>
      <w:bookmarkEnd w:id="205"/>
      <w:bookmarkStart w:id="206" w:name="_Toc184313286"/>
      <w:bookmarkEnd w:id="206"/>
      <w:bookmarkStart w:id="207" w:name="_Toc184313244"/>
      <w:bookmarkEnd w:id="207"/>
      <w:bookmarkStart w:id="208" w:name="_Toc184313246"/>
      <w:bookmarkEnd w:id="208"/>
      <w:bookmarkStart w:id="209" w:name="_Toc184313299"/>
      <w:bookmarkEnd w:id="209"/>
      <w:bookmarkStart w:id="210" w:name="_Toc184313278"/>
      <w:bookmarkEnd w:id="210"/>
      <w:bookmarkStart w:id="211" w:name="_Toc184310290"/>
      <w:bookmarkEnd w:id="211"/>
      <w:bookmarkStart w:id="212" w:name="_Toc184308097"/>
      <w:bookmarkEnd w:id="212"/>
      <w:bookmarkStart w:id="213" w:name="_Toc184312107"/>
      <w:bookmarkEnd w:id="213"/>
      <w:bookmarkStart w:id="214" w:name="_Toc184310326"/>
      <w:bookmarkEnd w:id="214"/>
      <w:bookmarkStart w:id="215" w:name="_Toc184310342"/>
      <w:bookmarkEnd w:id="215"/>
      <w:bookmarkStart w:id="216" w:name="_Toc184308043"/>
      <w:bookmarkEnd w:id="216"/>
      <w:bookmarkStart w:id="217" w:name="_Toc184308092"/>
      <w:bookmarkEnd w:id="217"/>
      <w:bookmarkStart w:id="218" w:name="_Toc184314437"/>
      <w:bookmarkEnd w:id="218"/>
      <w:bookmarkStart w:id="219" w:name="_Toc184314474"/>
      <w:bookmarkEnd w:id="219"/>
      <w:bookmarkStart w:id="220" w:name="_Toc184312072"/>
      <w:bookmarkEnd w:id="220"/>
      <w:bookmarkStart w:id="221" w:name="_Toc184310295"/>
      <w:bookmarkEnd w:id="221"/>
      <w:bookmarkStart w:id="222" w:name="_Toc184312122"/>
      <w:bookmarkEnd w:id="222"/>
      <w:bookmarkStart w:id="223" w:name="_Toc184308103"/>
      <w:bookmarkEnd w:id="223"/>
      <w:bookmarkStart w:id="224" w:name="_Toc184310334"/>
      <w:bookmarkEnd w:id="224"/>
      <w:bookmarkStart w:id="225" w:name="_Toc184314481"/>
      <w:bookmarkEnd w:id="225"/>
      <w:bookmarkStart w:id="226" w:name="_Toc184314416"/>
      <w:bookmarkEnd w:id="226"/>
      <w:bookmarkStart w:id="227" w:name="_Toc184313288"/>
      <w:bookmarkEnd w:id="227"/>
      <w:bookmarkStart w:id="228" w:name="_Toc184312109"/>
      <w:bookmarkEnd w:id="228"/>
      <w:bookmarkStart w:id="229" w:name="_Toc184313296"/>
      <w:bookmarkEnd w:id="229"/>
      <w:bookmarkStart w:id="230" w:name="_Toc184312128"/>
      <w:bookmarkEnd w:id="230"/>
      <w:bookmarkStart w:id="231" w:name="_Toc184308075"/>
      <w:bookmarkEnd w:id="231"/>
      <w:bookmarkStart w:id="232" w:name="_Toc184314414"/>
      <w:bookmarkEnd w:id="232"/>
      <w:bookmarkStart w:id="233" w:name="_Toc184314471"/>
      <w:bookmarkEnd w:id="233"/>
      <w:bookmarkStart w:id="234" w:name="_Toc184310272"/>
      <w:bookmarkEnd w:id="234"/>
      <w:bookmarkStart w:id="235" w:name="_Toc184312125"/>
      <w:bookmarkEnd w:id="235"/>
      <w:bookmarkStart w:id="236" w:name="_Toc184308093"/>
      <w:bookmarkEnd w:id="236"/>
      <w:bookmarkStart w:id="237" w:name="_Toc184314468"/>
      <w:bookmarkEnd w:id="237"/>
      <w:bookmarkStart w:id="238" w:name="_Toc184312091"/>
      <w:bookmarkEnd w:id="238"/>
      <w:bookmarkStart w:id="239" w:name="_Toc184313304"/>
      <w:bookmarkEnd w:id="239"/>
      <w:bookmarkStart w:id="240" w:name="_Toc184308059"/>
      <w:bookmarkEnd w:id="240"/>
      <w:bookmarkStart w:id="241" w:name="_Toc184310292"/>
      <w:bookmarkEnd w:id="241"/>
      <w:bookmarkStart w:id="242" w:name="_Toc184310314"/>
      <w:bookmarkEnd w:id="242"/>
      <w:bookmarkStart w:id="243" w:name="_Toc184308084"/>
      <w:bookmarkEnd w:id="243"/>
      <w:bookmarkStart w:id="244" w:name="_Toc184314430"/>
      <w:bookmarkEnd w:id="244"/>
      <w:bookmarkStart w:id="245" w:name="_Toc184314441"/>
      <w:bookmarkEnd w:id="245"/>
      <w:bookmarkStart w:id="246" w:name="_Toc184310336"/>
      <w:bookmarkEnd w:id="246"/>
      <w:bookmarkStart w:id="247" w:name="_Toc184313307"/>
      <w:bookmarkEnd w:id="247"/>
      <w:bookmarkStart w:id="248" w:name="_Toc184314410"/>
      <w:bookmarkEnd w:id="248"/>
      <w:bookmarkStart w:id="249" w:name="_Toc184310298"/>
      <w:bookmarkEnd w:id="249"/>
      <w:bookmarkStart w:id="250" w:name="_Toc184308054"/>
      <w:bookmarkEnd w:id="250"/>
      <w:bookmarkStart w:id="251" w:name="_Toc184313257"/>
      <w:bookmarkEnd w:id="251"/>
      <w:bookmarkStart w:id="252" w:name="_Toc184313287"/>
      <w:bookmarkEnd w:id="252"/>
      <w:bookmarkStart w:id="253" w:name="_Toc184312098"/>
      <w:bookmarkEnd w:id="253"/>
      <w:bookmarkStart w:id="254" w:name="_Toc184312131"/>
      <w:bookmarkEnd w:id="254"/>
      <w:bookmarkStart w:id="255" w:name="_Toc184312068"/>
      <w:bookmarkEnd w:id="255"/>
      <w:bookmarkStart w:id="256" w:name="_Toc184313279"/>
      <w:bookmarkEnd w:id="256"/>
      <w:bookmarkStart w:id="257" w:name="_Toc184310308"/>
      <w:bookmarkEnd w:id="257"/>
      <w:bookmarkStart w:id="258" w:name="_Toc184308071"/>
      <w:bookmarkEnd w:id="258"/>
      <w:bookmarkStart w:id="259" w:name="_Toc184308047"/>
      <w:bookmarkEnd w:id="259"/>
      <w:bookmarkStart w:id="260" w:name="_Toc184314466"/>
      <w:bookmarkEnd w:id="260"/>
      <w:bookmarkStart w:id="261" w:name="_Toc184310330"/>
      <w:bookmarkEnd w:id="261"/>
      <w:bookmarkStart w:id="262" w:name="_Toc184308088"/>
      <w:bookmarkEnd w:id="262"/>
      <w:bookmarkStart w:id="263" w:name="_Toc184313298"/>
      <w:bookmarkEnd w:id="263"/>
      <w:bookmarkStart w:id="264" w:name="_Toc184314463"/>
      <w:bookmarkEnd w:id="264"/>
      <w:bookmarkStart w:id="265" w:name="_Toc184314470"/>
      <w:bookmarkEnd w:id="265"/>
      <w:bookmarkStart w:id="266" w:name="_Toc184308099"/>
      <w:bookmarkEnd w:id="266"/>
      <w:bookmarkStart w:id="267" w:name="_Toc184310327"/>
      <w:bookmarkEnd w:id="267"/>
      <w:bookmarkStart w:id="268" w:name="_Toc184314464"/>
      <w:bookmarkEnd w:id="268"/>
      <w:bookmarkStart w:id="269" w:name="_Toc184313255"/>
      <w:bookmarkEnd w:id="269"/>
      <w:bookmarkStart w:id="270" w:name="_Toc184308095"/>
      <w:bookmarkEnd w:id="270"/>
      <w:bookmarkStart w:id="271" w:name="_Toc184313239"/>
      <w:bookmarkEnd w:id="271"/>
      <w:bookmarkStart w:id="272" w:name="_Toc184314436"/>
      <w:bookmarkEnd w:id="272"/>
      <w:bookmarkStart w:id="273" w:name="_Toc184308078"/>
      <w:bookmarkEnd w:id="273"/>
      <w:bookmarkStart w:id="274" w:name="_Toc184314478"/>
      <w:bookmarkEnd w:id="274"/>
      <w:bookmarkStart w:id="275" w:name="_Toc184312078"/>
      <w:bookmarkEnd w:id="275"/>
      <w:bookmarkStart w:id="276" w:name="_Toc184314457"/>
      <w:bookmarkEnd w:id="276"/>
      <w:bookmarkStart w:id="277" w:name="_Toc184312127"/>
      <w:bookmarkEnd w:id="277"/>
      <w:bookmarkStart w:id="278" w:name="_Toc184310338"/>
      <w:bookmarkEnd w:id="278"/>
      <w:bookmarkStart w:id="279" w:name="_Toc184308090"/>
      <w:bookmarkEnd w:id="279"/>
      <w:bookmarkStart w:id="280" w:name="_Toc184308082"/>
      <w:bookmarkEnd w:id="280"/>
      <w:bookmarkStart w:id="281" w:name="_Toc184314465"/>
      <w:bookmarkEnd w:id="281"/>
      <w:bookmarkStart w:id="282" w:name="_Toc184312137"/>
      <w:bookmarkEnd w:id="282"/>
      <w:bookmarkStart w:id="283" w:name="_Toc184314462"/>
      <w:bookmarkEnd w:id="283"/>
      <w:bookmarkStart w:id="284" w:name="_Toc184313274"/>
      <w:bookmarkEnd w:id="284"/>
      <w:bookmarkStart w:id="285" w:name="_Toc184314422"/>
      <w:bookmarkEnd w:id="285"/>
      <w:bookmarkStart w:id="286" w:name="_Toc184308068"/>
      <w:bookmarkEnd w:id="286"/>
      <w:bookmarkStart w:id="287" w:name="_Toc184313268"/>
      <w:bookmarkEnd w:id="287"/>
      <w:bookmarkStart w:id="288" w:name="_Toc184314456"/>
      <w:bookmarkEnd w:id="288"/>
      <w:bookmarkStart w:id="289" w:name="_Toc184310339"/>
      <w:bookmarkEnd w:id="289"/>
      <w:bookmarkStart w:id="290" w:name="_Toc184312114"/>
      <w:bookmarkEnd w:id="290"/>
      <w:bookmarkStart w:id="291" w:name="_Toc184308046"/>
      <w:bookmarkEnd w:id="291"/>
      <w:bookmarkStart w:id="292" w:name="_Toc184312102"/>
      <w:bookmarkEnd w:id="292"/>
      <w:bookmarkStart w:id="293" w:name="_Toc184308094"/>
      <w:bookmarkEnd w:id="293"/>
      <w:bookmarkStart w:id="294" w:name="_Toc184312105"/>
      <w:bookmarkEnd w:id="294"/>
      <w:bookmarkStart w:id="295" w:name="_Toc184312133"/>
      <w:bookmarkEnd w:id="295"/>
      <w:bookmarkStart w:id="296" w:name="_Toc184313295"/>
      <w:bookmarkEnd w:id="296"/>
      <w:bookmarkStart w:id="297" w:name="_Toc184312096"/>
      <w:bookmarkEnd w:id="297"/>
      <w:bookmarkStart w:id="298" w:name="_Toc184308063"/>
      <w:bookmarkEnd w:id="298"/>
      <w:bookmarkStart w:id="299" w:name="_Toc184313293"/>
      <w:bookmarkEnd w:id="299"/>
      <w:bookmarkStart w:id="300" w:name="_Toc184312139"/>
      <w:bookmarkEnd w:id="300"/>
      <w:bookmarkStart w:id="301" w:name="_Toc184313282"/>
      <w:bookmarkEnd w:id="301"/>
      <w:bookmarkStart w:id="302" w:name="_Toc184308076"/>
      <w:bookmarkEnd w:id="302"/>
      <w:bookmarkStart w:id="303" w:name="_Toc184314420"/>
      <w:bookmarkEnd w:id="303"/>
      <w:bookmarkStart w:id="304" w:name="_Toc184314482"/>
      <w:bookmarkEnd w:id="304"/>
      <w:bookmarkStart w:id="305" w:name="_Toc184308108"/>
      <w:bookmarkEnd w:id="305"/>
      <w:bookmarkStart w:id="306" w:name="_Toc184314476"/>
      <w:bookmarkEnd w:id="306"/>
      <w:bookmarkStart w:id="307" w:name="_Toc184310286"/>
      <w:bookmarkEnd w:id="307"/>
      <w:bookmarkStart w:id="308" w:name="_Toc184313301"/>
      <w:bookmarkEnd w:id="308"/>
      <w:bookmarkStart w:id="309" w:name="_Toc184312121"/>
      <w:bookmarkEnd w:id="309"/>
      <w:bookmarkStart w:id="310" w:name="_Toc184312079"/>
      <w:bookmarkEnd w:id="310"/>
      <w:bookmarkStart w:id="311" w:name="_Toc184313252"/>
      <w:bookmarkEnd w:id="311"/>
      <w:bookmarkStart w:id="312" w:name="_Toc184308087"/>
      <w:bookmarkEnd w:id="312"/>
      <w:bookmarkStart w:id="313" w:name="_Toc184312123"/>
      <w:bookmarkEnd w:id="313"/>
      <w:bookmarkStart w:id="314" w:name="_Toc184314467"/>
      <w:bookmarkEnd w:id="314"/>
      <w:bookmarkStart w:id="315" w:name="_Toc184312138"/>
      <w:bookmarkEnd w:id="315"/>
      <w:bookmarkStart w:id="316" w:name="_Toc184313294"/>
      <w:bookmarkEnd w:id="316"/>
      <w:bookmarkStart w:id="317" w:name="_Toc184308086"/>
      <w:bookmarkEnd w:id="317"/>
      <w:bookmarkStart w:id="318" w:name="_Toc184308085"/>
      <w:bookmarkEnd w:id="318"/>
      <w:bookmarkStart w:id="319" w:name="_Toc184312130"/>
      <w:bookmarkEnd w:id="319"/>
      <w:bookmarkStart w:id="320" w:name="_Toc184310284"/>
      <w:bookmarkEnd w:id="320"/>
      <w:bookmarkStart w:id="321" w:name="_Toc184313250"/>
      <w:bookmarkEnd w:id="321"/>
      <w:bookmarkStart w:id="322" w:name="_Toc184312136"/>
      <w:bookmarkEnd w:id="322"/>
      <w:bookmarkStart w:id="323" w:name="_Toc184308091"/>
      <w:bookmarkEnd w:id="323"/>
      <w:bookmarkStart w:id="324" w:name="_Toc184310331"/>
      <w:bookmarkEnd w:id="324"/>
      <w:bookmarkStart w:id="325" w:name="_Toc184310313"/>
      <w:bookmarkEnd w:id="325"/>
      <w:bookmarkStart w:id="326" w:name="_Toc184314461"/>
      <w:bookmarkEnd w:id="326"/>
      <w:bookmarkStart w:id="327" w:name="_Toc184314421"/>
      <w:bookmarkEnd w:id="327"/>
      <w:bookmarkStart w:id="328" w:name="_Toc184314451"/>
      <w:bookmarkEnd w:id="328"/>
      <w:bookmarkStart w:id="329" w:name="_Toc184314424"/>
      <w:bookmarkEnd w:id="329"/>
      <w:bookmarkStart w:id="330" w:name="_Toc184310324"/>
      <w:bookmarkEnd w:id="330"/>
      <w:bookmarkStart w:id="331" w:name="_Toc184312080"/>
      <w:bookmarkEnd w:id="331"/>
      <w:bookmarkStart w:id="332" w:name="_Toc184308050"/>
      <w:bookmarkEnd w:id="332"/>
      <w:bookmarkStart w:id="333" w:name="_Toc184314444"/>
      <w:bookmarkEnd w:id="333"/>
      <w:bookmarkStart w:id="334" w:name="_Toc184308051"/>
      <w:bookmarkEnd w:id="334"/>
      <w:bookmarkStart w:id="335" w:name="_Toc184314479"/>
      <w:bookmarkEnd w:id="335"/>
      <w:bookmarkStart w:id="336" w:name="_Toc184308107"/>
      <w:bookmarkEnd w:id="336"/>
      <w:bookmarkStart w:id="337" w:name="_Toc184314460"/>
      <w:bookmarkEnd w:id="337"/>
      <w:bookmarkStart w:id="338" w:name="_Toc184314469"/>
      <w:bookmarkEnd w:id="338"/>
      <w:bookmarkStart w:id="339" w:name="_Toc184308100"/>
      <w:bookmarkEnd w:id="339"/>
      <w:bookmarkStart w:id="340" w:name="_Toc184314419"/>
      <w:bookmarkEnd w:id="340"/>
      <w:bookmarkStart w:id="341" w:name="_Toc184312108"/>
      <w:bookmarkEnd w:id="341"/>
      <w:bookmarkStart w:id="342" w:name="_Toc184313241"/>
      <w:bookmarkEnd w:id="342"/>
      <w:bookmarkStart w:id="343" w:name="_Toc184310328"/>
      <w:bookmarkEnd w:id="343"/>
      <w:bookmarkStart w:id="344" w:name="_Toc184312099"/>
      <w:bookmarkEnd w:id="344"/>
      <w:bookmarkStart w:id="345" w:name="_Toc184312113"/>
      <w:bookmarkEnd w:id="345"/>
      <w:bookmarkStart w:id="346" w:name="_Toc184314480"/>
      <w:bookmarkEnd w:id="346"/>
      <w:bookmarkStart w:id="347" w:name="_Toc184313309"/>
      <w:bookmarkEnd w:id="347"/>
      <w:bookmarkStart w:id="348" w:name="_Toc184313310"/>
      <w:bookmarkEnd w:id="348"/>
      <w:bookmarkStart w:id="349" w:name="_Toc184313302"/>
      <w:bookmarkEnd w:id="349"/>
      <w:bookmarkStart w:id="350" w:name="_Toc184308080"/>
      <w:bookmarkEnd w:id="350"/>
      <w:bookmarkStart w:id="351" w:name="_Toc184312124"/>
      <w:bookmarkEnd w:id="351"/>
      <w:bookmarkStart w:id="352" w:name="_Toc184308102"/>
      <w:bookmarkEnd w:id="352"/>
      <w:bookmarkStart w:id="353" w:name="_Toc184308077"/>
      <w:bookmarkEnd w:id="353"/>
      <w:bookmarkStart w:id="354" w:name="_Toc184312093"/>
      <w:bookmarkEnd w:id="354"/>
      <w:bookmarkStart w:id="355" w:name="_Toc184312104"/>
      <w:bookmarkEnd w:id="355"/>
      <w:bookmarkStart w:id="356" w:name="_Toc184313300"/>
      <w:bookmarkEnd w:id="356"/>
      <w:bookmarkStart w:id="357" w:name="_Toc184310320"/>
      <w:bookmarkEnd w:id="357"/>
      <w:bookmarkStart w:id="358" w:name="_Toc184312082"/>
      <w:bookmarkEnd w:id="358"/>
      <w:bookmarkStart w:id="359" w:name="_Toc184313305"/>
      <w:bookmarkEnd w:id="359"/>
      <w:bookmarkStart w:id="360" w:name="_Toc184312092"/>
      <w:bookmarkEnd w:id="360"/>
      <w:bookmarkStart w:id="361" w:name="_Toc184313242"/>
      <w:bookmarkEnd w:id="361"/>
      <w:bookmarkStart w:id="362" w:name="_Toc184314412"/>
      <w:bookmarkEnd w:id="362"/>
      <w:bookmarkStart w:id="363" w:name="_Toc184308089"/>
      <w:bookmarkEnd w:id="363"/>
      <w:bookmarkStart w:id="364" w:name="_Toc184310278"/>
      <w:bookmarkEnd w:id="364"/>
      <w:bookmarkStart w:id="365" w:name="_Toc184312110"/>
      <w:bookmarkEnd w:id="365"/>
      <w:bookmarkStart w:id="366" w:name="_Toc184314452"/>
      <w:bookmarkEnd w:id="366"/>
      <w:bookmarkStart w:id="367" w:name="_Toc184312089"/>
      <w:bookmarkEnd w:id="367"/>
      <w:bookmarkStart w:id="368" w:name="_Toc184313289"/>
      <w:bookmarkEnd w:id="368"/>
      <w:bookmarkStart w:id="369" w:name="_Toc184308098"/>
      <w:bookmarkEnd w:id="369"/>
      <w:bookmarkStart w:id="370" w:name="_Toc184308060"/>
      <w:bookmarkEnd w:id="370"/>
      <w:bookmarkStart w:id="371" w:name="_Toc184312126"/>
      <w:bookmarkEnd w:id="371"/>
      <w:bookmarkStart w:id="372" w:name="_Toc184310323"/>
      <w:bookmarkEnd w:id="372"/>
      <w:bookmarkStart w:id="373" w:name="_Toc184310329"/>
      <w:bookmarkEnd w:id="373"/>
      <w:bookmarkStart w:id="374" w:name="_Toc184308079"/>
      <w:bookmarkEnd w:id="374"/>
      <w:bookmarkStart w:id="375" w:name="_Toc184310318"/>
      <w:bookmarkEnd w:id="375"/>
      <w:bookmarkStart w:id="376" w:name="_Toc184310332"/>
      <w:bookmarkEnd w:id="376"/>
      <w:bookmarkStart w:id="377" w:name="_Toc184310309"/>
      <w:bookmarkEnd w:id="377"/>
      <w:bookmarkStart w:id="378" w:name="_Toc184312118"/>
      <w:bookmarkEnd w:id="378"/>
      <w:bookmarkStart w:id="379" w:name="_Toc184308045"/>
      <w:bookmarkEnd w:id="379"/>
      <w:bookmarkStart w:id="380" w:name="_Toc184313290"/>
      <w:bookmarkEnd w:id="380"/>
      <w:bookmarkStart w:id="381" w:name="_Toc184308036"/>
      <w:bookmarkEnd w:id="381"/>
      <w:bookmarkStart w:id="382" w:name="_Toc184313276"/>
      <w:bookmarkEnd w:id="382"/>
      <w:bookmarkStart w:id="383" w:name="_Toc184310277"/>
      <w:bookmarkEnd w:id="383"/>
      <w:bookmarkStart w:id="384" w:name="_Toc184310307"/>
      <w:bookmarkEnd w:id="384"/>
      <w:bookmarkStart w:id="385" w:name="_Toc184308106"/>
      <w:bookmarkEnd w:id="385"/>
      <w:bookmarkStart w:id="386" w:name="_Toc184314425"/>
      <w:bookmarkEnd w:id="386"/>
      <w:bookmarkStart w:id="387" w:name="_Toc184310319"/>
      <w:bookmarkEnd w:id="387"/>
      <w:bookmarkStart w:id="388" w:name="_Toc184313261"/>
      <w:bookmarkEnd w:id="388"/>
      <w:bookmarkStart w:id="389" w:name="_Toc184312077"/>
      <w:bookmarkEnd w:id="389"/>
      <w:bookmarkStart w:id="390" w:name="_Toc184314435"/>
      <w:bookmarkEnd w:id="390"/>
      <w:bookmarkStart w:id="391" w:name="_Toc184314427"/>
      <w:bookmarkEnd w:id="391"/>
      <w:bookmarkStart w:id="392" w:name="_Toc184312134"/>
      <w:bookmarkEnd w:id="392"/>
      <w:bookmarkStart w:id="393" w:name="_Toc184313243"/>
      <w:bookmarkEnd w:id="393"/>
      <w:bookmarkStart w:id="394" w:name="_Toc184308073"/>
      <w:bookmarkEnd w:id="394"/>
      <w:bookmarkStart w:id="395" w:name="_Toc184310304"/>
      <w:bookmarkEnd w:id="395"/>
      <w:bookmarkStart w:id="396" w:name="_Toc184314477"/>
      <w:bookmarkEnd w:id="396"/>
      <w:bookmarkStart w:id="397" w:name="_Toc184310321"/>
      <w:bookmarkEnd w:id="397"/>
      <w:bookmarkStart w:id="398" w:name="_Toc184312129"/>
      <w:bookmarkEnd w:id="398"/>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90"/>
        <w:spacing w:before="0"/>
        <w:ind w:firstLine="602" w:firstLineChars="25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1、本次评标采用综合评分法，总分为100分。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90"/>
        <w:spacing w:before="0"/>
        <w:ind w:firstLine="600" w:firstLineChars="25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各投标人的综合得分为：投标价格得分+技术商务得分之和，总和为100分，其中：投标价格得分</w:t>
      </w:r>
      <w:r>
        <w:rPr>
          <w:rFonts w:hint="eastAsia" w:ascii="仿宋" w:hAnsi="仿宋" w:eastAsia="仿宋" w:cs="仿宋"/>
          <w:bCs/>
          <w:color w:val="auto"/>
          <w:szCs w:val="24"/>
          <w:highlight w:val="none"/>
          <w:lang w:val="en-US" w:eastAsia="zh-CN"/>
        </w:rPr>
        <w:t>10</w:t>
      </w:r>
      <w:r>
        <w:rPr>
          <w:rFonts w:hint="eastAsia" w:ascii="仿宋" w:hAnsi="仿宋" w:eastAsia="仿宋" w:cs="仿宋"/>
          <w:bCs/>
          <w:color w:val="auto"/>
          <w:szCs w:val="24"/>
          <w:highlight w:val="none"/>
        </w:rPr>
        <w:t>分，商务技术得分</w:t>
      </w:r>
      <w:r>
        <w:rPr>
          <w:rFonts w:hint="eastAsia" w:ascii="仿宋" w:hAnsi="仿宋" w:eastAsia="仿宋" w:cs="仿宋"/>
          <w:bCs/>
          <w:color w:val="auto"/>
          <w:szCs w:val="24"/>
          <w:highlight w:val="none"/>
          <w:lang w:val="en-US" w:eastAsia="zh-CN"/>
        </w:rPr>
        <w:t>90</w:t>
      </w:r>
      <w:r>
        <w:rPr>
          <w:rFonts w:hint="eastAsia" w:ascii="仿宋" w:hAnsi="仿宋" w:eastAsia="仿宋" w:cs="仿宋"/>
          <w:bCs/>
          <w:color w:val="auto"/>
          <w:szCs w:val="24"/>
          <w:highlight w:val="none"/>
        </w:rPr>
        <w:t>分。</w:t>
      </w:r>
    </w:p>
    <w:p>
      <w:pPr>
        <w:numPr>
          <w:ilvl w:val="0"/>
          <w:numId w:val="7"/>
        </w:num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商务、技术评标细则（</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0分）</w:t>
      </w:r>
    </w:p>
    <w:p>
      <w:pPr>
        <w:pStyle w:val="967"/>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（1）商务技术分  </w:t>
      </w:r>
    </w:p>
    <w:p>
      <w:pPr>
        <w:snapToGrid w:val="0"/>
        <w:spacing w:line="360" w:lineRule="auto"/>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技术分</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lang w:val="en-US" w:eastAsia="zh-CN"/>
        </w:rPr>
        <w:t>80分</w:t>
      </w:r>
      <w:r>
        <w:rPr>
          <w:rFonts w:hint="eastAsia" w:ascii="仿宋" w:hAnsi="仿宋" w:eastAsia="仿宋" w:cs="仿宋"/>
          <w:b/>
          <w:color w:val="auto"/>
          <w:sz w:val="28"/>
          <w:szCs w:val="28"/>
          <w:highlight w:val="none"/>
          <w:lang w:eastAsia="zh-CN"/>
        </w:rPr>
        <w:t>）</w:t>
      </w:r>
    </w:p>
    <w:tbl>
      <w:tblPr>
        <w:tblStyle w:val="64"/>
        <w:tblW w:w="9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2"/>
        <w:gridCol w:w="6968"/>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9" w:hRule="atLeast"/>
          <w:tblHeader/>
          <w:jc w:val="center"/>
        </w:trPr>
        <w:tc>
          <w:tcPr>
            <w:tcW w:w="1682"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评分细则</w:t>
            </w:r>
          </w:p>
        </w:tc>
        <w:tc>
          <w:tcPr>
            <w:tcW w:w="6968"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评分细则内容</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分值</w:t>
            </w:r>
          </w:p>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5" w:hRule="atLeast"/>
          <w:jc w:val="center"/>
        </w:trPr>
        <w:tc>
          <w:tcPr>
            <w:tcW w:w="1682" w:type="dxa"/>
            <w:vMerge w:val="restart"/>
            <w:noWrap w:val="0"/>
            <w:vAlign w:val="center"/>
          </w:tcPr>
          <w:p>
            <w:pPr>
              <w:pStyle w:val="9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1、项目人员等情况</w:t>
            </w:r>
          </w:p>
        </w:tc>
        <w:tc>
          <w:tcPr>
            <w:tcW w:w="6968" w:type="dxa"/>
            <w:noWrap w:val="0"/>
            <w:vAlign w:val="center"/>
          </w:tcPr>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 1 \* GB3 \* MERGEFORMAT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①</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本项目拟派项目负责人（40周岁及以下）：具有部队上士及以上退伍军人的得5分，具有部队中士退伍军人的得2分，具有部队下士退伍军人的得1分，就高计取；</w:t>
            </w:r>
          </w:p>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具有保安员证的得1分；获得过优秀士官荣誉证书的得1分；本项最高7分。 （在投标文件提供有效证明材料及最近</w:t>
            </w:r>
            <w:r>
              <w:rPr>
                <w:rFonts w:hint="eastAsia" w:ascii="仿宋" w:hAnsi="仿宋" w:eastAsia="仿宋" w:cs="仿宋"/>
                <w:color w:val="auto"/>
                <w:sz w:val="28"/>
                <w:szCs w:val="28"/>
                <w:highlight w:val="none"/>
                <w:lang w:eastAsia="zh-CN"/>
              </w:rPr>
              <w:t>三个月</w:t>
            </w:r>
            <w:r>
              <w:rPr>
                <w:rFonts w:hint="eastAsia" w:ascii="仿宋" w:hAnsi="仿宋" w:eastAsia="仿宋" w:cs="仿宋"/>
                <w:color w:val="auto"/>
                <w:sz w:val="28"/>
                <w:szCs w:val="28"/>
                <w:highlight w:val="none"/>
              </w:rPr>
              <w:t>本单位社保证明扫描件，否则不得分。）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8"/>
                <w:szCs w:val="28"/>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②无人机巡查服务：拟派本项目人员中具有民用无人机驾驶员证得5分；（在投标文件提供有效证明材料及最近</w:t>
            </w:r>
            <w:r>
              <w:rPr>
                <w:rFonts w:hint="eastAsia" w:ascii="仿宋" w:hAnsi="仿宋" w:eastAsia="仿宋" w:cs="仿宋"/>
                <w:color w:val="auto"/>
                <w:sz w:val="28"/>
                <w:szCs w:val="28"/>
                <w:highlight w:val="none"/>
                <w:lang w:eastAsia="zh-CN"/>
              </w:rPr>
              <w:t>三个月</w:t>
            </w:r>
            <w:r>
              <w:rPr>
                <w:rFonts w:hint="eastAsia" w:ascii="仿宋" w:hAnsi="仿宋" w:eastAsia="仿宋" w:cs="仿宋"/>
                <w:color w:val="auto"/>
                <w:sz w:val="28"/>
                <w:szCs w:val="28"/>
                <w:highlight w:val="none"/>
              </w:rPr>
              <w:t>本单位社保证明扫描件，否则不得分）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8"/>
                <w:szCs w:val="28"/>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③本项目拟派</w:t>
            </w:r>
            <w:r>
              <w:rPr>
                <w:rFonts w:hint="eastAsia" w:ascii="仿宋" w:hAnsi="仿宋" w:eastAsia="仿宋" w:cs="仿宋"/>
                <w:color w:val="auto"/>
                <w:sz w:val="28"/>
                <w:szCs w:val="28"/>
                <w:highlight w:val="none"/>
                <w:lang w:eastAsia="zh-CN"/>
              </w:rPr>
              <w:t>其他</w:t>
            </w:r>
            <w:r>
              <w:rPr>
                <w:rFonts w:hint="eastAsia" w:ascii="仿宋" w:hAnsi="仿宋" w:eastAsia="仿宋" w:cs="仿宋"/>
                <w:color w:val="auto"/>
                <w:sz w:val="28"/>
                <w:szCs w:val="28"/>
                <w:highlight w:val="none"/>
              </w:rPr>
              <w:t>人员（35周岁及以下）</w:t>
            </w:r>
            <w:r>
              <w:rPr>
                <w:rFonts w:hint="eastAsia" w:ascii="仿宋" w:hAnsi="仿宋" w:eastAsia="仿宋" w:cs="仿宋"/>
                <w:color w:val="auto"/>
                <w:sz w:val="28"/>
                <w:szCs w:val="28"/>
                <w:highlight w:val="none"/>
                <w:lang w:val="en-US" w:eastAsia="zh-CN"/>
              </w:rPr>
              <w:t>中</w:t>
            </w:r>
            <w:r>
              <w:rPr>
                <w:rFonts w:hint="eastAsia" w:ascii="仿宋" w:hAnsi="仿宋" w:eastAsia="仿宋" w:cs="仿宋"/>
                <w:color w:val="auto"/>
                <w:sz w:val="28"/>
                <w:szCs w:val="28"/>
                <w:highlight w:val="none"/>
              </w:rPr>
              <w:t>：获得过优秀士兵或优秀义务兵荣誉证书的退伍军人有一个得2分，最高得6分；（在投标文件中提供有效证明材料及最近</w:t>
            </w:r>
            <w:r>
              <w:rPr>
                <w:rFonts w:hint="eastAsia" w:ascii="仿宋" w:hAnsi="仿宋" w:eastAsia="仿宋" w:cs="仿宋"/>
                <w:color w:val="auto"/>
                <w:sz w:val="28"/>
                <w:szCs w:val="28"/>
                <w:highlight w:val="none"/>
                <w:lang w:eastAsia="zh-CN"/>
              </w:rPr>
              <w:t>三个月</w:t>
            </w:r>
            <w:r>
              <w:rPr>
                <w:rFonts w:hint="eastAsia" w:ascii="仿宋" w:hAnsi="仿宋" w:eastAsia="仿宋" w:cs="仿宋"/>
                <w:color w:val="auto"/>
                <w:sz w:val="28"/>
                <w:szCs w:val="28"/>
                <w:highlight w:val="none"/>
              </w:rPr>
              <w:t xml:space="preserve">本单位社保证明扫描件、否则不得分。）                                                                                                                                                                                          </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tcBorders>
              <w:bottom w:val="single" w:color="auto" w:sz="4" w:space="0"/>
            </w:tcBorders>
            <w:noWrap w:val="0"/>
            <w:vAlign w:val="top"/>
          </w:tcPr>
          <w:p>
            <w:pPr>
              <w:autoSpaceDE w:val="0"/>
              <w:autoSpaceDN w:val="0"/>
              <w:spacing w:line="360" w:lineRule="auto"/>
              <w:jc w:val="left"/>
              <w:rPr>
                <w:rFonts w:hint="eastAsia" w:ascii="仿宋" w:hAnsi="仿宋" w:eastAsia="仿宋" w:cs="仿宋"/>
                <w:color w:val="auto"/>
                <w:sz w:val="28"/>
                <w:szCs w:val="28"/>
                <w:highlight w:val="none"/>
              </w:rPr>
            </w:pPr>
          </w:p>
        </w:tc>
        <w:tc>
          <w:tcPr>
            <w:tcW w:w="6968" w:type="dxa"/>
            <w:noWrap w:val="0"/>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④本项目拟派人员（项目负责人40周岁及以下，其他人员35周岁及以下）不少于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人，其中退伍军人</w:t>
            </w:r>
            <w:r>
              <w:rPr>
                <w:rFonts w:hint="eastAsia" w:ascii="仿宋" w:hAnsi="仿宋" w:eastAsia="仿宋" w:cs="仿宋"/>
                <w:color w:val="auto"/>
                <w:sz w:val="28"/>
                <w:szCs w:val="28"/>
                <w:highlight w:val="none"/>
                <w:lang w:eastAsia="zh-CN"/>
              </w:rPr>
              <w:t>占比</w:t>
            </w:r>
            <w:r>
              <w:rPr>
                <w:rFonts w:hint="eastAsia" w:ascii="仿宋" w:hAnsi="仿宋" w:eastAsia="仿宋" w:cs="仿宋"/>
                <w:color w:val="auto"/>
                <w:sz w:val="28"/>
                <w:szCs w:val="28"/>
                <w:highlight w:val="none"/>
                <w:lang w:val="en-US" w:eastAsia="zh-CN"/>
              </w:rPr>
              <w:t>50%及以上即28人及</w:t>
            </w:r>
            <w:r>
              <w:rPr>
                <w:rFonts w:hint="eastAsia" w:ascii="仿宋" w:hAnsi="仿宋" w:eastAsia="仿宋" w:cs="仿宋"/>
                <w:color w:val="auto"/>
                <w:sz w:val="28"/>
                <w:szCs w:val="28"/>
                <w:highlight w:val="none"/>
              </w:rPr>
              <w:t>以上的得8分；退伍军人达到</w:t>
            </w:r>
            <w:r>
              <w:rPr>
                <w:rFonts w:hint="eastAsia" w:ascii="仿宋" w:hAnsi="仿宋" w:eastAsia="仿宋" w:cs="仿宋"/>
                <w:color w:val="auto"/>
                <w:sz w:val="28"/>
                <w:szCs w:val="28"/>
                <w:highlight w:val="none"/>
                <w:lang w:val="en-US" w:eastAsia="zh-CN"/>
              </w:rPr>
              <w:t>20人-27人</w:t>
            </w:r>
            <w:r>
              <w:rPr>
                <w:rFonts w:hint="eastAsia" w:ascii="仿宋" w:hAnsi="仿宋" w:eastAsia="仿宋" w:cs="仿宋"/>
                <w:color w:val="auto"/>
                <w:sz w:val="28"/>
                <w:szCs w:val="28"/>
                <w:highlight w:val="none"/>
              </w:rPr>
              <w:t>的得4分；退伍军人达到</w:t>
            </w:r>
            <w:r>
              <w:rPr>
                <w:rFonts w:hint="eastAsia" w:ascii="仿宋" w:hAnsi="仿宋" w:eastAsia="仿宋" w:cs="仿宋"/>
                <w:color w:val="auto"/>
                <w:sz w:val="28"/>
                <w:szCs w:val="28"/>
                <w:highlight w:val="none"/>
                <w:lang w:val="en-US" w:eastAsia="zh-CN"/>
              </w:rPr>
              <w:t>10人-20人</w:t>
            </w:r>
            <w:r>
              <w:rPr>
                <w:rFonts w:hint="eastAsia" w:ascii="仿宋" w:hAnsi="仿宋" w:eastAsia="仿宋" w:cs="仿宋"/>
                <w:color w:val="auto"/>
                <w:sz w:val="28"/>
                <w:szCs w:val="28"/>
                <w:highlight w:val="none"/>
              </w:rPr>
              <w:t>的得2分；其他不得分，本项最高8分。</w:t>
            </w:r>
          </w:p>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（在投标文件中同时提供退伍军人有效证明材料、二代身份证、最近</w:t>
            </w:r>
            <w:r>
              <w:rPr>
                <w:rFonts w:hint="eastAsia" w:ascii="仿宋" w:hAnsi="仿宋" w:eastAsia="仿宋" w:cs="仿宋"/>
                <w:color w:val="auto"/>
                <w:sz w:val="28"/>
                <w:szCs w:val="28"/>
                <w:highlight w:val="none"/>
                <w:lang w:eastAsia="zh-CN"/>
              </w:rPr>
              <w:t>三个月</w:t>
            </w:r>
            <w:r>
              <w:rPr>
                <w:rFonts w:hint="eastAsia" w:ascii="仿宋" w:hAnsi="仿宋" w:eastAsia="仿宋" w:cs="仿宋"/>
                <w:color w:val="auto"/>
                <w:sz w:val="28"/>
                <w:szCs w:val="28"/>
                <w:highlight w:val="none"/>
              </w:rPr>
              <w:t>本单位社保证明扫描件。否则不得分。）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10" w:hRule="atLeast"/>
          <w:jc w:val="center"/>
        </w:trPr>
        <w:tc>
          <w:tcPr>
            <w:tcW w:w="1682" w:type="dxa"/>
            <w:vMerge w:val="restart"/>
            <w:tcBorders>
              <w:top w:val="single" w:color="auto" w:sz="4" w:space="0"/>
            </w:tcBorders>
            <w:noWrap w:val="0"/>
            <w:vAlign w:val="center"/>
          </w:tcPr>
          <w:p>
            <w:pPr>
              <w:autoSpaceDE w:val="0"/>
              <w:autoSpaceDN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2、设备配备情况（日常设备）</w:t>
            </w:r>
          </w:p>
        </w:tc>
        <w:tc>
          <w:tcPr>
            <w:tcW w:w="6968" w:type="dxa"/>
            <w:noWrap w:val="0"/>
            <w:vAlign w:val="center"/>
          </w:tcPr>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投标人自有日常设备用于本项目情况：</w:t>
            </w:r>
          </w:p>
          <w:p>
            <w:pPr>
              <w:autoSpaceDE w:val="0"/>
              <w:autoSpaceDN w:val="0"/>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①</w:t>
            </w:r>
            <w:r>
              <w:rPr>
                <w:rFonts w:hint="eastAsia" w:ascii="仿宋" w:hAnsi="仿宋" w:eastAsia="仿宋" w:cs="仿宋"/>
                <w:color w:val="auto"/>
                <w:sz w:val="28"/>
                <w:szCs w:val="28"/>
                <w:highlight w:val="none"/>
              </w:rPr>
              <w:t>对讲机每人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r>
              <w:rPr>
                <w:rFonts w:hint="eastAsia" w:ascii="仿宋" w:hAnsi="仿宋" w:eastAsia="仿宋" w:cs="仿宋"/>
                <w:color w:val="auto"/>
                <w:sz w:val="28"/>
                <w:szCs w:val="28"/>
                <w:highlight w:val="none"/>
                <w:lang w:eastAsia="zh-CN"/>
              </w:rPr>
              <w:t>；</w:t>
            </w:r>
          </w:p>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②</w:t>
            </w:r>
            <w:r>
              <w:rPr>
                <w:rFonts w:hint="eastAsia" w:ascii="仿宋" w:hAnsi="仿宋" w:eastAsia="仿宋" w:cs="仿宋"/>
                <w:color w:val="auto"/>
                <w:sz w:val="28"/>
                <w:szCs w:val="28"/>
                <w:highlight w:val="none"/>
              </w:rPr>
              <w:t>强光手电筒每人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③</w:t>
            </w:r>
            <w:r>
              <w:rPr>
                <w:rFonts w:hint="eastAsia" w:ascii="仿宋" w:hAnsi="仿宋" w:eastAsia="仿宋" w:cs="仿宋"/>
                <w:color w:val="auto"/>
                <w:sz w:val="28"/>
                <w:szCs w:val="28"/>
                <w:highlight w:val="none"/>
                <w:lang w:val="en-US" w:eastAsia="zh-CN"/>
              </w:rPr>
              <w:t>4G可视化终端</w:t>
            </w:r>
            <w:r>
              <w:rPr>
                <w:rFonts w:hint="eastAsia" w:ascii="仿宋" w:hAnsi="仿宋" w:eastAsia="仿宋" w:cs="仿宋"/>
                <w:color w:val="auto"/>
                <w:sz w:val="28"/>
                <w:szCs w:val="28"/>
                <w:highlight w:val="none"/>
              </w:rPr>
              <w:t>每人 1 个，</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56</w:t>
            </w:r>
            <w:r>
              <w:rPr>
                <w:rFonts w:hint="eastAsia" w:ascii="仿宋" w:hAnsi="仿宋" w:eastAsia="仿宋" w:cs="仿宋"/>
                <w:color w:val="auto"/>
                <w:sz w:val="28"/>
                <w:szCs w:val="28"/>
                <w:highlight w:val="none"/>
              </w:rPr>
              <w:t>个；</w:t>
            </w:r>
          </w:p>
          <w:p>
            <w:pPr>
              <w:autoSpaceDE w:val="0"/>
              <w:autoSpaceDN w:val="0"/>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④</w:t>
            </w:r>
            <w:r>
              <w:rPr>
                <w:rFonts w:hint="eastAsia" w:ascii="仿宋" w:hAnsi="仿宋" w:eastAsia="仿宋" w:cs="仿宋"/>
                <w:color w:val="auto"/>
                <w:sz w:val="28"/>
                <w:szCs w:val="28"/>
                <w:highlight w:val="none"/>
              </w:rPr>
              <w:t>服装装备每人 2 套装</w:t>
            </w:r>
            <w:r>
              <w:rPr>
                <w:rFonts w:hint="eastAsia" w:ascii="仿宋" w:hAnsi="仿宋" w:eastAsia="仿宋" w:cs="仿宋"/>
                <w:color w:val="auto"/>
                <w:sz w:val="28"/>
                <w:szCs w:val="28"/>
                <w:highlight w:val="none"/>
                <w:lang w:eastAsia="zh-CN"/>
              </w:rPr>
              <w:t>，不少于</w:t>
            </w:r>
            <w:r>
              <w:rPr>
                <w:rFonts w:hint="eastAsia" w:ascii="仿宋" w:hAnsi="仿宋" w:eastAsia="仿宋" w:cs="仿宋"/>
                <w:color w:val="auto"/>
                <w:sz w:val="28"/>
                <w:szCs w:val="28"/>
                <w:highlight w:val="none"/>
                <w:lang w:val="en-US" w:eastAsia="zh-CN"/>
              </w:rPr>
              <w:t>112套</w:t>
            </w:r>
            <w:r>
              <w:rPr>
                <w:rFonts w:hint="eastAsia" w:ascii="仿宋" w:hAnsi="仿宋" w:eastAsia="仿宋" w:cs="仿宋"/>
                <w:color w:val="auto"/>
                <w:sz w:val="28"/>
                <w:szCs w:val="28"/>
                <w:highlight w:val="none"/>
              </w:rPr>
              <w:t>；</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⑤总质量1.8吨及以上五座电动巡逻车不少于6辆；</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⑥普通二轮巡逻摩托车不少于4辆</w:t>
            </w:r>
          </w:p>
          <w:p>
            <w:pPr>
              <w:autoSpaceDE w:val="0"/>
              <w:autoSpaceDN w:val="0"/>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全部满足得6分，不满足一项扣1分，扣完为止；在此基础上，每增加一辆总质量1.8吨及以上五座电动巡逻车，每辆得2分，最高得4分；每增加一辆普通二轮巡逻摩托车，每辆得1分，最高得2分；没有不得分，本项最高得12分。</w:t>
            </w:r>
          </w:p>
          <w:p>
            <w:pPr>
              <w:pStyle w:val="6"/>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(①②③④须在投标文件中提供</w:t>
            </w:r>
            <w:r>
              <w:rPr>
                <w:rFonts w:hint="eastAsia" w:ascii="仿宋" w:eastAsia="仿宋" w:cs="仿宋"/>
                <w:b w:val="0"/>
                <w:bCs w:val="0"/>
                <w:color w:val="auto"/>
                <w:kern w:val="2"/>
                <w:sz w:val="28"/>
                <w:szCs w:val="28"/>
                <w:highlight w:val="none"/>
                <w:lang w:val="en-US" w:eastAsia="zh-CN" w:bidi="ar-SA"/>
              </w:rPr>
              <w:t>设备</w:t>
            </w:r>
            <w:r>
              <w:rPr>
                <w:rFonts w:hint="eastAsia" w:ascii="仿宋" w:hAnsi="仿宋" w:eastAsia="仿宋" w:cs="仿宋"/>
                <w:b w:val="0"/>
                <w:bCs w:val="0"/>
                <w:color w:val="auto"/>
                <w:kern w:val="2"/>
                <w:sz w:val="28"/>
                <w:szCs w:val="28"/>
                <w:highlight w:val="none"/>
                <w:lang w:val="en-US" w:eastAsia="zh-CN" w:bidi="ar-SA"/>
              </w:rPr>
              <w:t>购买发票扫描件，</w:t>
            </w:r>
          </w:p>
          <w:p>
            <w:pPr>
              <w:pStyle w:val="6"/>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⑤⑥须提供车辆登记证扫描件及车辆行驶证扫描件，车</w:t>
            </w:r>
          </w:p>
          <w:p>
            <w:pPr>
              <w:pStyle w:val="6"/>
              <w:rPr>
                <w:rFonts w:hint="eastAsia" w:ascii="仿宋" w:hAnsi="仿宋" w:eastAsia="仿宋" w:cs="仿宋"/>
                <w:color w:val="auto"/>
                <w:highlight w:val="none"/>
                <w:lang w:eastAsia="zh-CN"/>
              </w:rPr>
            </w:pPr>
            <w:r>
              <w:rPr>
                <w:rFonts w:hint="eastAsia" w:ascii="仿宋" w:hAnsi="仿宋" w:eastAsia="仿宋" w:cs="仿宋"/>
                <w:b w:val="0"/>
                <w:bCs w:val="0"/>
                <w:color w:val="auto"/>
                <w:kern w:val="2"/>
                <w:sz w:val="28"/>
                <w:szCs w:val="28"/>
                <w:highlight w:val="none"/>
                <w:lang w:val="en-US" w:eastAsia="zh-CN" w:bidi="ar-SA"/>
              </w:rPr>
              <w:t>龄不超过3年</w:t>
            </w:r>
            <w:r>
              <w:rPr>
                <w:rFonts w:hint="eastAsia" w:asci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2"/>
                <w:sz w:val="28"/>
                <w:szCs w:val="28"/>
                <w:highlight w:val="none"/>
                <w:lang w:val="en-US" w:eastAsia="zh-CN" w:bidi="ar-SA"/>
              </w:rPr>
              <w:t>否则不得分。)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.0</w:t>
            </w:r>
          </w:p>
          <w:p>
            <w:pPr>
              <w:pStyle w:val="90"/>
              <w:snapToGrid w:val="0"/>
              <w:spacing w:before="0"/>
              <w:ind w:firstLine="0" w:firstLineChars="0"/>
              <w:jc w:val="both"/>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8" w:hRule="atLeast"/>
          <w:jc w:val="center"/>
        </w:trPr>
        <w:tc>
          <w:tcPr>
            <w:tcW w:w="1682" w:type="dxa"/>
            <w:noWrap w:val="0"/>
            <w:vAlign w:val="top"/>
          </w:tcPr>
          <w:p>
            <w:pPr>
              <w:autoSpaceDE w:val="0"/>
              <w:autoSpaceDN w:val="0"/>
              <w:spacing w:line="360" w:lineRule="auto"/>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3、设备配备情况（应急设备）</w:t>
            </w:r>
          </w:p>
        </w:tc>
        <w:tc>
          <w:tcPr>
            <w:tcW w:w="6968" w:type="dxa"/>
            <w:noWrap w:val="0"/>
            <w:vAlign w:val="center"/>
          </w:tcPr>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投标人自有应急设备用于本项目情况：</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①总质量2吨及以上轻型普通货车不少于4辆；</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②总质量3吨及以上十五座中型普通巡逻车不少于1辆；</w:t>
            </w:r>
          </w:p>
          <w:p>
            <w:pPr>
              <w:autoSpaceDE w:val="0"/>
              <w:autoSpaceDN w:val="0"/>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③总质量2.5吨及以上轻型多用途货车不少于1辆；</w:t>
            </w:r>
          </w:p>
          <w:p>
            <w:pPr>
              <w:autoSpaceDE w:val="0"/>
              <w:autoSpaceDN w:val="0"/>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全部满足得6分，不满足一项扣2分，扣完为止，本项最高得6分。</w:t>
            </w:r>
          </w:p>
          <w:p>
            <w:pPr>
              <w:autoSpaceDE w:val="0"/>
              <w:autoSpaceDN w:val="0"/>
              <w:spacing w:line="360" w:lineRule="auto"/>
              <w:rPr>
                <w:rFonts w:hint="eastAsia" w:ascii="仿宋" w:hAnsi="仿宋" w:eastAsia="仿宋" w:cs="仿宋"/>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(在投标文件中提供车辆登记证扫描件及车辆行驶证扫描件，</w:t>
            </w:r>
            <w:r>
              <w:rPr>
                <w:rFonts w:hint="eastAsia" w:ascii="仿宋" w:hAnsi="仿宋" w:eastAsia="仿宋" w:cs="仿宋"/>
                <w:color w:val="auto"/>
                <w:sz w:val="28"/>
                <w:szCs w:val="28"/>
                <w:highlight w:val="none"/>
                <w:lang w:eastAsia="zh-CN"/>
              </w:rPr>
              <w:t>车龄不超过3年，</w:t>
            </w:r>
            <w:r>
              <w:rPr>
                <w:rFonts w:hint="eastAsia" w:ascii="仿宋" w:hAnsi="仿宋" w:eastAsia="仿宋" w:cs="仿宋"/>
                <w:b w:val="0"/>
                <w:bCs w:val="0"/>
                <w:color w:val="auto"/>
                <w:kern w:val="2"/>
                <w:sz w:val="28"/>
                <w:szCs w:val="28"/>
                <w:highlight w:val="none"/>
                <w:lang w:val="en-US" w:eastAsia="zh-CN" w:bidi="ar-SA"/>
              </w:rPr>
              <w:t>否则不得分。)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5" w:hRule="atLeast"/>
          <w:jc w:val="center"/>
        </w:trPr>
        <w:tc>
          <w:tcPr>
            <w:tcW w:w="1682" w:type="dxa"/>
            <w:tcBorders>
              <w:top w:val="single" w:color="auto" w:sz="4" w:space="0"/>
            </w:tcBorders>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4、针对本项目的服务理念</w:t>
            </w:r>
          </w:p>
        </w:tc>
        <w:tc>
          <w:tcPr>
            <w:tcW w:w="6968" w:type="dxa"/>
            <w:noWrap w:val="0"/>
            <w:vAlign w:val="center"/>
          </w:tcPr>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根据本项目服务特点提出合理的服务理念（0-</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分）；提出服务定位、目标（0-</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分）；包括对需求的理解进行打分（0-</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7" w:hRule="atLeast"/>
          <w:jc w:val="center"/>
        </w:trPr>
        <w:tc>
          <w:tcPr>
            <w:tcW w:w="1682"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5、应急预案</w:t>
            </w:r>
          </w:p>
        </w:tc>
        <w:tc>
          <w:tcPr>
            <w:tcW w:w="6968" w:type="dxa"/>
            <w:noWrap w:val="0"/>
            <w:vAlign w:val="center"/>
          </w:tcPr>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投标人针对本项目如遇重大突发事件或大型活动、政府重点工作的特色服务响应（0-</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分），措施内容（0-</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35" w:hRule="atLeast"/>
          <w:jc w:val="center"/>
        </w:trPr>
        <w:tc>
          <w:tcPr>
            <w:tcW w:w="1682"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6、针对本项目的合理化、优化建议</w:t>
            </w:r>
          </w:p>
        </w:tc>
        <w:tc>
          <w:tcPr>
            <w:tcW w:w="6968" w:type="dxa"/>
            <w:noWrap w:val="0"/>
            <w:vAlign w:val="center"/>
          </w:tcPr>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投标人提出的合理化建议：管理制度的优化及考核（0-</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分），岗位的设置（0-</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分），编排运营和非运营时段（0-</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分）、早及日间和夜间人员力量的配比（0-</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），合理化建议对项目实施有积极意义（0-</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分），具有可行性并有相应的保证措施（0-</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分）。</w:t>
            </w:r>
          </w:p>
        </w:tc>
        <w:tc>
          <w:tcPr>
            <w:tcW w:w="91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.0</w:t>
            </w:r>
          </w:p>
        </w:tc>
      </w:tr>
    </w:tbl>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商务分</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lang w:val="en-US" w:eastAsia="zh-CN"/>
        </w:rPr>
        <w:t>10分</w:t>
      </w:r>
      <w:r>
        <w:rPr>
          <w:rFonts w:hint="eastAsia" w:ascii="仿宋" w:hAnsi="仿宋" w:eastAsia="仿宋" w:cs="仿宋"/>
          <w:b/>
          <w:color w:val="auto"/>
          <w:sz w:val="28"/>
          <w:szCs w:val="28"/>
          <w:highlight w:val="none"/>
          <w:lang w:eastAsia="zh-CN"/>
        </w:rPr>
        <w:t>）</w:t>
      </w:r>
    </w:p>
    <w:tbl>
      <w:tblPr>
        <w:tblStyle w:val="6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6982"/>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1511"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评分细则</w:t>
            </w:r>
          </w:p>
        </w:tc>
        <w:tc>
          <w:tcPr>
            <w:tcW w:w="6982"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评分细则内容</w:t>
            </w:r>
          </w:p>
        </w:tc>
        <w:tc>
          <w:tcPr>
            <w:tcW w:w="79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分值</w:t>
            </w:r>
          </w:p>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1511" w:type="dxa"/>
            <w:noWrap w:val="0"/>
            <w:vAlign w:val="center"/>
          </w:tcPr>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1、企业证书</w:t>
            </w:r>
          </w:p>
        </w:tc>
        <w:tc>
          <w:tcPr>
            <w:tcW w:w="6982" w:type="dxa"/>
            <w:noWrap w:val="0"/>
            <w:vAlign w:val="top"/>
          </w:tcPr>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投标人具有质量管理体系认证证书、环境管理体系认证证书、职业健康安全管理体系认证证书且在有效期范围内的每项得2分，</w:t>
            </w:r>
            <w:r>
              <w:rPr>
                <w:rFonts w:hint="eastAsia" w:ascii="仿宋" w:hAnsi="仿宋" w:eastAsia="仿宋" w:cs="仿宋"/>
                <w:color w:val="auto"/>
                <w:sz w:val="28"/>
                <w:szCs w:val="28"/>
                <w:highlight w:val="none"/>
                <w:lang w:val="en-US" w:eastAsia="zh-CN"/>
              </w:rPr>
              <w:t>本项</w:t>
            </w:r>
            <w:r>
              <w:rPr>
                <w:rFonts w:hint="eastAsia" w:ascii="仿宋" w:hAnsi="仿宋" w:eastAsia="仿宋" w:cs="仿宋"/>
                <w:color w:val="auto"/>
                <w:sz w:val="28"/>
                <w:szCs w:val="28"/>
                <w:highlight w:val="none"/>
              </w:rPr>
              <w:t>最高6分。（在投标文件中提供有效期范围内的认证证书扫描件，否则不得分。）</w:t>
            </w:r>
          </w:p>
        </w:tc>
        <w:tc>
          <w:tcPr>
            <w:tcW w:w="79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1511" w:type="dxa"/>
            <w:noWrap w:val="0"/>
            <w:vAlign w:val="center"/>
          </w:tcPr>
          <w:p>
            <w:pPr>
              <w:pStyle w:val="90"/>
              <w:snapToGrid w:val="0"/>
              <w:spacing w:before="0"/>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2、类似项目业绩情况</w:t>
            </w:r>
          </w:p>
        </w:tc>
        <w:tc>
          <w:tcPr>
            <w:tcW w:w="6982" w:type="dxa"/>
            <w:noWrap w:val="0"/>
            <w:vAlign w:val="top"/>
          </w:tcPr>
          <w:p>
            <w:pPr>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投标人自2019年1月1日（时间以合同或协议签订时间为准）以来承接过（包括在管）的有类似业绩；每提供一个得</w:t>
            </w:r>
            <w:r>
              <w:rPr>
                <w:rFonts w:hint="eastAsia" w:ascii="仿宋" w:hAnsi="仿宋" w:eastAsia="仿宋" w:cs="仿宋"/>
                <w:color w:val="auto"/>
                <w:sz w:val="28"/>
                <w:szCs w:val="28"/>
                <w:highlight w:val="none"/>
                <w:lang w:val="en-US" w:eastAsia="zh-CN"/>
              </w:rPr>
              <w:t>0.2</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lang w:val="en-US" w:eastAsia="zh-CN"/>
              </w:rPr>
              <w:t>本项</w:t>
            </w:r>
            <w:r>
              <w:rPr>
                <w:rFonts w:hint="eastAsia" w:ascii="仿宋" w:hAnsi="仿宋" w:eastAsia="仿宋" w:cs="仿宋"/>
                <w:color w:val="auto"/>
                <w:sz w:val="28"/>
                <w:szCs w:val="28"/>
                <w:highlight w:val="none"/>
              </w:rPr>
              <w:t>最</w:t>
            </w:r>
            <w:r>
              <w:rPr>
                <w:rFonts w:hint="eastAsia" w:ascii="仿宋" w:hAnsi="仿宋" w:eastAsia="仿宋" w:cs="仿宋"/>
                <w:color w:val="auto"/>
                <w:sz w:val="28"/>
                <w:szCs w:val="28"/>
                <w:highlight w:val="none"/>
                <w:lang w:val="en-US" w:eastAsia="zh-CN"/>
              </w:rPr>
              <w:t>高</w:t>
            </w:r>
            <w:r>
              <w:rPr>
                <w:rFonts w:hint="eastAsia" w:ascii="仿宋" w:hAnsi="仿宋" w:eastAsia="仿宋" w:cs="仿宋"/>
                <w:color w:val="auto"/>
                <w:sz w:val="28"/>
                <w:szCs w:val="28"/>
                <w:highlight w:val="none"/>
              </w:rPr>
              <w:t>得</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分。（在投标文件中提供服务的合同或协议扫描件加盖公章，否则不得分。）</w:t>
            </w:r>
          </w:p>
        </w:tc>
        <w:tc>
          <w:tcPr>
            <w:tcW w:w="793" w:type="dxa"/>
            <w:noWrap w:val="0"/>
            <w:vAlign w:val="center"/>
          </w:tcPr>
          <w:p>
            <w:pPr>
              <w:pStyle w:val="90"/>
              <w:snapToGrid w:val="0"/>
              <w:spacing w:before="0"/>
              <w:ind w:firstLine="0" w:firstLineChars="0"/>
              <w:jc w:val="center"/>
              <w:rPr>
                <w:rFonts w:hint="eastAsia" w:ascii="仿宋" w:hAnsi="仿宋" w:eastAsia="仿宋" w:cs="仿宋"/>
                <w:color w:val="auto"/>
                <w:sz w:val="28"/>
                <w:szCs w:val="28"/>
                <w:highlight w:val="none"/>
              </w:rPr>
            </w:pPr>
          </w:p>
          <w:p>
            <w:pPr>
              <w:pStyle w:val="90"/>
              <w:snapToGrid w:val="0"/>
              <w:spacing w:before="0"/>
              <w:ind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1511" w:type="dxa"/>
            <w:noWrap w:val="0"/>
            <w:vAlign w:val="center"/>
          </w:tcPr>
          <w:p>
            <w:pPr>
              <w:pStyle w:val="90"/>
              <w:adjustRightInd w:val="0"/>
              <w:snapToGrid w:val="0"/>
              <w:spacing w:before="0" w:beforeAutospacing="0" w:after="0" w:afterAutospacing="0"/>
              <w:ind w:left="0" w:leftChars="0" w:right="0" w:rightChars="0" w:firstLine="0" w:firstLineChars="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3、质量服务证书</w:t>
            </w:r>
          </w:p>
        </w:tc>
        <w:tc>
          <w:tcPr>
            <w:tcW w:w="6982" w:type="dxa"/>
            <w:noWrap w:val="0"/>
            <w:vAlign w:val="top"/>
          </w:tcPr>
          <w:p>
            <w:pPr>
              <w:adjustRightInd w:val="0"/>
              <w:snapToGrid w:val="0"/>
              <w:spacing w:before="0" w:beforeAutospacing="0" w:after="0" w:afterAutospacing="0" w:line="360" w:lineRule="auto"/>
              <w:ind w:left="0" w:right="0"/>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投标人具有“质量服务信誉企业单位”的A级证书得1分；AA级证书得2分；AAA级证书得3分；证书应在有效期内。本项最高得3分。</w:t>
            </w:r>
          </w:p>
          <w:p>
            <w:pPr>
              <w:adjustRightInd w:val="0"/>
              <w:snapToGrid w:val="0"/>
              <w:spacing w:before="0" w:beforeAutospacing="0" w:after="0" w:afterAutospacing="0" w:line="360" w:lineRule="auto"/>
              <w:ind w:left="0" w:leftChars="0" w:right="0" w:rightChars="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（提供证书复印件加盖公章，否则不得分）</w:t>
            </w:r>
          </w:p>
        </w:tc>
        <w:tc>
          <w:tcPr>
            <w:tcW w:w="793" w:type="dxa"/>
            <w:noWrap w:val="0"/>
            <w:vAlign w:val="center"/>
          </w:tcPr>
          <w:p>
            <w:pPr>
              <w:pStyle w:val="90"/>
              <w:adjustRightInd w:val="0"/>
              <w:snapToGrid w:val="0"/>
              <w:spacing w:before="0" w:beforeAutospacing="0" w:after="0" w:afterAutospacing="0"/>
              <w:ind w:left="0" w:leftChars="0" w:right="0" w:righ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highlight w:val="none"/>
                <w:lang w:val="en-US" w:eastAsia="zh-CN"/>
              </w:rPr>
              <w:t>3.0</w:t>
            </w:r>
          </w:p>
        </w:tc>
      </w:tr>
    </w:tbl>
    <w:p>
      <w:pPr>
        <w:pStyle w:val="967"/>
        <w:rPr>
          <w:rFonts w:hint="eastAsia" w:ascii="仿宋" w:hAnsi="仿宋" w:eastAsia="仿宋" w:cs="仿宋"/>
          <w:color w:val="auto"/>
          <w:highlight w:val="none"/>
        </w:rPr>
      </w:pP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价格分=（评标基准价/投标报价）×</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0%×100；</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评标过程中，不得去掉报价中的最高报价和最低报价。</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5、投标人评标综合得分=价格分+商务分+技术分</w:t>
      </w:r>
    </w:p>
    <w:p>
      <w:pPr>
        <w:pStyle w:val="968"/>
        <w:snapToGrid w:val="0"/>
        <w:ind w:left="48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9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6"/>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3"/>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3"/>
        <w:snapToGrid w:val="0"/>
        <w:spacing w:line="360" w:lineRule="auto"/>
        <w:ind w:firstLine="0" w:firstLineChars="0"/>
        <w:rPr>
          <w:rFonts w:hint="eastAsia" w:ascii="仿宋" w:hAnsi="仿宋" w:eastAsia="仿宋" w:cs="仿宋"/>
          <w:color w:val="auto"/>
          <w:highlight w:val="none"/>
        </w:rPr>
      </w:pPr>
    </w:p>
    <w:bookmarkEnd w:id="25"/>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9" w:name="第五部分"/>
      <w:bookmarkStart w:id="400"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8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8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
        <w:rPr>
          <w:rFonts w:hint="eastAsia"/>
        </w:rPr>
      </w:pPr>
    </w:p>
    <w:p>
      <w:pPr>
        <w:rPr>
          <w:rFonts w:hint="eastAsia" w:ascii="仿宋" w:hAnsi="仿宋" w:eastAsia="仿宋" w:cs="仿宋"/>
          <w:color w:val="auto"/>
          <w:highlight w:val="none"/>
        </w:rPr>
      </w:pPr>
    </w:p>
    <w:p>
      <w:pPr>
        <w:pStyle w:val="8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84"/>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spacing w:line="480" w:lineRule="auto"/>
        <w:jc w:val="center"/>
        <w:rPr>
          <w:rFonts w:hint="eastAsia" w:ascii="仿宋" w:hAnsi="仿宋" w:eastAsia="仿宋" w:cs="仿宋"/>
          <w:b/>
          <w:color w:val="auto"/>
          <w:sz w:val="28"/>
          <w:szCs w:val="28"/>
          <w:highlight w:val="none"/>
        </w:rPr>
      </w:pPr>
    </w:p>
    <w:p>
      <w:pPr>
        <w:pStyle w:val="84"/>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84"/>
        <w:rPr>
          <w:rFonts w:hint="eastAsia" w:ascii="仿宋" w:hAnsi="仿宋" w:eastAsia="仿宋" w:cs="仿宋"/>
          <w:color w:val="auto"/>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政府采购合同参考范本（以实际签订为准）</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84"/>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4"/>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4"/>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4"/>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4"/>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4"/>
        <w:rPr>
          <w:rFonts w:hint="eastAsia" w:ascii="仿宋" w:hAnsi="仿宋" w:eastAsia="仿宋" w:cs="仿宋"/>
          <w:b/>
          <w:color w:val="auto"/>
          <w:sz w:val="36"/>
          <w:szCs w:val="36"/>
          <w:highlight w:val="none"/>
        </w:rPr>
      </w:pPr>
    </w:p>
    <w:p>
      <w:pPr>
        <w:pStyle w:val="4"/>
        <w:rPr>
          <w:rFonts w:hint="eastAsia" w:ascii="仿宋" w:hAnsi="仿宋" w:eastAsia="仿宋" w:cs="仿宋"/>
          <w:b/>
          <w:color w:val="auto"/>
          <w:sz w:val="36"/>
          <w:szCs w:val="36"/>
          <w:highlight w:val="none"/>
        </w:rPr>
      </w:pPr>
    </w:p>
    <w:p>
      <w:pPr>
        <w:pStyle w:val="4"/>
        <w:rPr>
          <w:rFonts w:hint="eastAsia" w:ascii="仿宋" w:hAnsi="仿宋" w:eastAsia="仿宋" w:cs="仿宋"/>
          <w:b/>
          <w:color w:val="auto"/>
          <w:sz w:val="36"/>
          <w:szCs w:val="36"/>
          <w:highlight w:val="none"/>
        </w:rPr>
      </w:pPr>
    </w:p>
    <w:p>
      <w:pPr>
        <w:pStyle w:val="4"/>
        <w:rPr>
          <w:rFonts w:hint="eastAsia" w:ascii="仿宋" w:hAnsi="仿宋" w:eastAsia="仿宋" w:cs="仿宋"/>
          <w:b/>
          <w:color w:val="auto"/>
          <w:sz w:val="36"/>
          <w:szCs w:val="36"/>
          <w:highlight w:val="none"/>
        </w:rPr>
      </w:pPr>
    </w:p>
    <w:p>
      <w:pPr>
        <w:pStyle w:val="84"/>
        <w:rPr>
          <w:rFonts w:hint="eastAsia" w:ascii="仿宋" w:hAnsi="仿宋" w:eastAsia="仿宋" w:cs="仿宋"/>
          <w:b/>
          <w:color w:val="auto"/>
          <w:sz w:val="36"/>
          <w:szCs w:val="36"/>
          <w:highlight w:val="none"/>
        </w:rPr>
      </w:pPr>
    </w:p>
    <w:p>
      <w:pPr>
        <w:pStyle w:val="35"/>
        <w:snapToGrid w:val="0"/>
        <w:spacing w:line="360" w:lineRule="auto"/>
        <w:jc w:val="center"/>
        <w:rPr>
          <w:rFonts w:hint="eastAsia" w:ascii="仿宋" w:hAnsi="仿宋" w:eastAsia="仿宋" w:cs="仿宋"/>
          <w:b/>
          <w:bCs/>
          <w:color w:val="auto"/>
          <w:sz w:val="24"/>
          <w:szCs w:val="24"/>
          <w:highlight w:val="none"/>
        </w:rPr>
      </w:pPr>
      <w:bookmarkStart w:id="401" w:name="_Toc295465365"/>
      <w:bookmarkEnd w:id="401"/>
    </w:p>
    <w:p>
      <w:pPr>
        <w:rPr>
          <w:rFonts w:hint="eastAsia"/>
        </w:rPr>
      </w:pPr>
    </w:p>
    <w:p>
      <w:pPr>
        <w:pStyle w:val="35"/>
        <w:snapToGrid w:val="0"/>
        <w:spacing w:line="360" w:lineRule="auto"/>
        <w:jc w:val="center"/>
        <w:rPr>
          <w:rFonts w:hint="eastAsia" w:ascii="仿宋" w:hAnsi="仿宋" w:eastAsia="仿宋" w:cs="仿宋"/>
          <w:b/>
          <w:bCs/>
          <w:color w:val="auto"/>
          <w:sz w:val="24"/>
          <w:szCs w:val="24"/>
          <w:highlight w:val="none"/>
        </w:rPr>
      </w:pPr>
    </w:p>
    <w:p>
      <w:pPr>
        <w:pStyle w:val="35"/>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（本合同为合同样稿，最终稿由双方协商后确定）</w:t>
      </w:r>
    </w:p>
    <w:p>
      <w:pPr>
        <w:pStyle w:val="35"/>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pStyle w:val="390"/>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390"/>
        <w:rPr>
          <w:rFonts w:hint="eastAsia" w:ascii="仿宋" w:hAnsi="仿宋" w:eastAsia="仿宋" w:cs="仿宋"/>
          <w:color w:val="auto"/>
          <w:szCs w:val="24"/>
          <w:highlight w:val="none"/>
        </w:rPr>
      </w:pPr>
    </w:p>
    <w:p>
      <w:pPr>
        <w:pStyle w:val="390"/>
        <w:rPr>
          <w:rFonts w:hint="eastAsia" w:ascii="仿宋" w:hAnsi="仿宋" w:eastAsia="仿宋" w:cs="仿宋"/>
          <w:color w:val="auto"/>
          <w:szCs w:val="24"/>
          <w:highlight w:val="none"/>
        </w:rPr>
      </w:pP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7"/>
        <w:spacing w:before="120"/>
        <w:rPr>
          <w:rFonts w:hint="eastAsia" w:ascii="仿宋" w:hAnsi="仿宋" w:eastAsia="仿宋" w:cs="仿宋"/>
          <w:color w:val="auto"/>
          <w:szCs w:val="24"/>
          <w:highlight w:val="none"/>
        </w:rPr>
      </w:pPr>
    </w:p>
    <w:p>
      <w:pPr>
        <w:pStyle w:val="287"/>
        <w:spacing w:before="12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utoSpaceDE w:val="0"/>
        <w:autoSpaceDN w:val="0"/>
        <w:spacing w:line="360" w:lineRule="auto"/>
        <w:ind w:firstLine="640"/>
        <w:jc w:val="center"/>
        <w:rPr>
          <w:rFonts w:hint="eastAsia" w:ascii="仿宋" w:hAnsi="仿宋" w:eastAsia="仿宋" w:cs="仿宋"/>
          <w:color w:val="auto"/>
          <w:sz w:val="24"/>
          <w:highlight w:val="none"/>
        </w:rPr>
        <w:sectPr>
          <w:pgSz w:w="11907" w:h="16840"/>
          <w:pgMar w:top="1474" w:right="1814" w:bottom="1474" w:left="1814" w:header="851" w:footer="851" w:gutter="0"/>
          <w:cols w:space="720" w:num="1"/>
          <w:docGrid w:linePitch="462" w:charSpace="0"/>
        </w:sect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（采购人名称）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根据《中华人民共和国合同法》、《中华人民共和国政府采购法》等相关法律法规之规定，按照平等、自愿、公平和诚实信用的原则，经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（采购人名称）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360" w:lineRule="auto"/>
        <w:ind w:firstLine="482" w:firstLineChars="200"/>
        <w:outlineLvl w:val="0"/>
        <w:rPr>
          <w:rFonts w:hint="eastAsia" w:ascii="仿宋" w:hAnsi="仿宋" w:eastAsia="仿宋" w:cs="仿宋"/>
          <w:b/>
          <w:color w:val="auto"/>
          <w:sz w:val="24"/>
          <w:highlight w:val="none"/>
        </w:rPr>
      </w:pPr>
      <w:bookmarkStart w:id="402" w:name="_Toc3029"/>
      <w:bookmarkStart w:id="403" w:name="_Toc2232"/>
      <w:bookmarkStart w:id="404" w:name="_Toc24059"/>
      <w:r>
        <w:rPr>
          <w:rFonts w:hint="eastAsia" w:ascii="仿宋" w:hAnsi="仿宋" w:eastAsia="仿宋" w:cs="仿宋"/>
          <w:b/>
          <w:color w:val="auto"/>
          <w:sz w:val="24"/>
          <w:highlight w:val="none"/>
        </w:rPr>
        <w:t>1.1 合同组成部分</w:t>
      </w:r>
      <w:bookmarkEnd w:id="402"/>
      <w:bookmarkEnd w:id="403"/>
      <w:bookmarkEnd w:id="404"/>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360" w:lineRule="auto"/>
        <w:ind w:firstLine="482" w:firstLineChars="200"/>
        <w:outlineLvl w:val="0"/>
        <w:rPr>
          <w:rFonts w:hint="eastAsia" w:ascii="仿宋" w:hAnsi="仿宋" w:eastAsia="仿宋" w:cs="仿宋"/>
          <w:b/>
          <w:color w:val="auto"/>
          <w:sz w:val="24"/>
          <w:highlight w:val="none"/>
        </w:rPr>
      </w:pPr>
      <w:bookmarkStart w:id="405" w:name="_Toc24300"/>
      <w:bookmarkStart w:id="406" w:name="_Toc21295"/>
      <w:r>
        <w:rPr>
          <w:rFonts w:hint="eastAsia" w:ascii="仿宋" w:hAnsi="仿宋" w:eastAsia="仿宋" w:cs="仿宋"/>
          <w:b/>
          <w:color w:val="auto"/>
          <w:sz w:val="24"/>
          <w:highlight w:val="none"/>
        </w:rPr>
        <w:t>1.2 货物</w:t>
      </w:r>
      <w:bookmarkEnd w:id="405"/>
      <w:bookmarkEnd w:id="406"/>
      <w:r>
        <w:rPr>
          <w:rFonts w:hint="eastAsia" w:ascii="仿宋" w:hAnsi="仿宋" w:eastAsia="仿宋" w:cs="仿宋"/>
          <w:b/>
          <w:color w:val="auto"/>
          <w:sz w:val="24"/>
          <w:highlight w:val="none"/>
        </w:rPr>
        <w:t>/服务</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货物/服务名称：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left="48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货物/服务数量：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 货物/服务质量：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07" w:name="_Toc21551"/>
      <w:bookmarkStart w:id="408" w:name="_Toc21631"/>
      <w:bookmarkStart w:id="409" w:name="_Toc23292"/>
      <w:r>
        <w:rPr>
          <w:rFonts w:hint="eastAsia" w:ascii="仿宋" w:hAnsi="仿宋" w:eastAsia="仿宋" w:cs="仿宋"/>
          <w:b/>
          <w:color w:val="auto"/>
          <w:sz w:val="24"/>
          <w:highlight w:val="none"/>
        </w:rPr>
        <w:t>1.3 价款</w:t>
      </w:r>
      <w:bookmarkEnd w:id="407"/>
      <w:bookmarkEnd w:id="408"/>
      <w:bookmarkEnd w:id="40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元人民币）。（清单附后）</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noWrap w:val="0"/>
            <w:vAlign w:val="center"/>
          </w:tcPr>
          <w:p>
            <w:pPr>
              <w:pStyle w:val="11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340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255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340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255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340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255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340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c>
          <w:tcPr>
            <w:tcW w:w="255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noWrap w:val="0"/>
            <w:vAlign w:val="center"/>
          </w:tcPr>
          <w:p>
            <w:pPr>
              <w:pStyle w:val="110"/>
              <w:spacing w:line="360" w:lineRule="auto"/>
              <w:ind w:firstLine="200"/>
              <w:jc w:val="center"/>
              <w:rPr>
                <w:rFonts w:hint="eastAsia" w:ascii="仿宋" w:hAnsi="仿宋" w:eastAsia="仿宋" w:cs="仿宋"/>
                <w:color w:val="auto"/>
                <w:sz w:val="24"/>
                <w:szCs w:val="24"/>
                <w:highlight w:val="none"/>
              </w:rPr>
            </w:pPr>
          </w:p>
        </w:tc>
      </w:tr>
    </w:tbl>
    <w:p>
      <w:pPr>
        <w:spacing w:line="360" w:lineRule="auto"/>
        <w:ind w:firstLine="482" w:firstLineChars="200"/>
        <w:outlineLvl w:val="0"/>
        <w:rPr>
          <w:rFonts w:hint="eastAsia" w:ascii="仿宋" w:hAnsi="仿宋" w:eastAsia="仿宋" w:cs="仿宋"/>
          <w:b/>
          <w:color w:val="auto"/>
          <w:sz w:val="24"/>
          <w:highlight w:val="none"/>
        </w:rPr>
      </w:pPr>
      <w:bookmarkStart w:id="410" w:name="_Toc22618"/>
      <w:bookmarkStart w:id="411" w:name="_Toc1814"/>
      <w:bookmarkStart w:id="412" w:name="_Toc10340"/>
      <w:r>
        <w:rPr>
          <w:rFonts w:hint="eastAsia" w:ascii="仿宋" w:hAnsi="仿宋" w:eastAsia="仿宋" w:cs="仿宋"/>
          <w:b/>
          <w:color w:val="auto"/>
          <w:sz w:val="24"/>
          <w:highlight w:val="none"/>
        </w:rPr>
        <w:t>1.4 付款方式和发票开具方式</w:t>
      </w:r>
      <w:bookmarkEnd w:id="410"/>
      <w:bookmarkEnd w:id="411"/>
      <w:bookmarkEnd w:id="412"/>
    </w:p>
    <w:p>
      <w:pPr>
        <w:spacing w:line="360" w:lineRule="auto"/>
        <w:ind w:left="48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1.4.1 付款方式：</w:t>
      </w:r>
      <w:r>
        <w:rPr>
          <w:rFonts w:hint="eastAsia" w:ascii="仿宋" w:hAnsi="仿宋" w:eastAsia="仿宋" w:cs="仿宋"/>
          <w:color w:val="auto"/>
          <w:sz w:val="24"/>
          <w:highlight w:val="none"/>
          <w:lang w:val="en-US" w:eastAsia="zh-CN"/>
        </w:rPr>
        <w:t xml:space="preserve"> 服务费按每2个自然月为一个周期结算一次，根据考核结果支付上一周期费用，乙方于3个工作日内开具符合甲方要求的服务的发票至甲方，甲方在乙方提供发票后的次月15个工作日向乙方支付费用（遇国家法定节假日顺延）。                       </w:t>
      </w:r>
    </w:p>
    <w:p>
      <w:pPr>
        <w:spacing w:line="360" w:lineRule="auto"/>
        <w:ind w:left="482"/>
        <w:rPr>
          <w:rFonts w:hint="eastAsia" w:ascii="仿宋" w:hAnsi="仿宋" w:eastAsia="仿宋" w:cs="仿宋"/>
          <w:color w:val="auto"/>
          <w:szCs w:val="22"/>
          <w:highlight w:val="none"/>
          <w:u w:val="single"/>
          <w:lang w:val="en-US"/>
        </w:rPr>
      </w:pPr>
      <w:r>
        <w:rPr>
          <w:rFonts w:hint="eastAsia" w:ascii="仿宋" w:hAnsi="仿宋" w:eastAsia="仿宋" w:cs="仿宋"/>
          <w:color w:val="auto"/>
          <w:sz w:val="24"/>
          <w:highlight w:val="none"/>
        </w:rPr>
        <w:t>1.4.2付款时间：</w:t>
      </w:r>
      <w:r>
        <w:rPr>
          <w:rFonts w:hint="eastAsia" w:ascii="仿宋" w:hAnsi="仿宋" w:eastAsia="仿宋" w:cs="仿宋"/>
          <w:color w:val="auto"/>
          <w:szCs w:val="22"/>
          <w:highlight w:val="none"/>
          <w:u w:val="single"/>
          <w:lang w:val="en-US" w:eastAsia="zh-CN"/>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 发票开具方式：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left="482"/>
        <w:rPr>
          <w:rFonts w:hint="eastAsia" w:ascii="仿宋" w:hAnsi="仿宋" w:eastAsia="仿宋" w:cs="仿宋"/>
          <w:color w:val="auto"/>
          <w:szCs w:val="22"/>
          <w:highlight w:val="none"/>
          <w:u w:val="single"/>
        </w:rPr>
      </w:pPr>
      <w:r>
        <w:rPr>
          <w:rFonts w:hint="eastAsia" w:ascii="仿宋" w:hAnsi="仿宋" w:eastAsia="仿宋" w:cs="仿宋"/>
          <w:color w:val="auto"/>
          <w:szCs w:val="22"/>
          <w:highlight w:val="none"/>
          <w:u w:val="single"/>
        </w:rPr>
        <w:t>1.4.4甲方拒绝或迟延支付中小企业款项，可向有关部门投诉。</w:t>
      </w:r>
    </w:p>
    <w:p>
      <w:pPr>
        <w:spacing w:line="360" w:lineRule="auto"/>
        <w:ind w:firstLine="482" w:firstLineChars="200"/>
        <w:outlineLvl w:val="0"/>
        <w:rPr>
          <w:rFonts w:hint="eastAsia" w:ascii="仿宋" w:hAnsi="仿宋" w:eastAsia="仿宋" w:cs="仿宋"/>
          <w:b/>
          <w:color w:val="auto"/>
          <w:sz w:val="24"/>
          <w:highlight w:val="none"/>
        </w:rPr>
      </w:pPr>
      <w:bookmarkStart w:id="413" w:name="_Toc19304"/>
      <w:bookmarkStart w:id="414" w:name="_Toc2846"/>
      <w:bookmarkStart w:id="415" w:name="_Toc32071"/>
      <w:r>
        <w:rPr>
          <w:rFonts w:hint="eastAsia" w:ascii="仿宋" w:hAnsi="仿宋" w:eastAsia="仿宋" w:cs="仿宋"/>
          <w:b/>
          <w:color w:val="auto"/>
          <w:sz w:val="24"/>
          <w:highlight w:val="none"/>
        </w:rPr>
        <w:t>1.5 货物/服务交付期限、地点和方式</w:t>
      </w:r>
      <w:bookmarkEnd w:id="413"/>
      <w:bookmarkEnd w:id="414"/>
      <w:bookmarkEnd w:id="415"/>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1.5.1 交付期限：</w:t>
      </w:r>
      <w:r>
        <w:rPr>
          <w:rFonts w:hint="eastAsia" w:ascii="仿宋" w:hAnsi="仿宋" w:eastAsia="仿宋" w:cs="仿宋"/>
          <w:color w:val="auto"/>
          <w:sz w:val="24"/>
          <w:highlight w:val="none"/>
          <w:u w:val="single"/>
        </w:rPr>
        <w:t xml:space="preserve">   合同签订生效后     天内需要交货完毕、安装调试完成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 交付地点：</w:t>
      </w:r>
      <w:r>
        <w:rPr>
          <w:rFonts w:hint="eastAsia" w:ascii="仿宋" w:hAnsi="仿宋" w:eastAsia="仿宋" w:cs="仿宋"/>
          <w:color w:val="auto"/>
          <w:sz w:val="24"/>
          <w:highlight w:val="none"/>
          <w:u w:val="single"/>
        </w:rPr>
        <w:t xml:space="preserve">   甲方指定地点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1.5.3 交付方式：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p>
    <w:p>
      <w:pPr>
        <w:snapToGrid w:val="0"/>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1.6 货物质量控制等要求</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履约保证金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乙方必须在本合同签订后向甲方缴纳合同总价  %（合计：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履约保证金。履约保证金在合同履行完毕后，无质量、维护等问题，凭乙方开具的收据，在30个工作日内，原额无息退还。如乙方未能按合同规定履行其义务，甲方有权从上述履约保证金中取得补偿。如甲方逾期退还履约保证金，每迟延退还一日的按应退还数额的</w:t>
      </w:r>
      <w:r>
        <w:rPr>
          <w:rFonts w:hint="eastAsia" w:ascii="仿宋" w:hAnsi="仿宋" w:eastAsia="仿宋" w:cs="仿宋"/>
          <w:color w:val="auto"/>
          <w:sz w:val="24"/>
          <w:highlight w:val="none"/>
          <w:u w:val="single"/>
        </w:rPr>
        <w:t xml:space="preserve"> 0.01</w:t>
      </w:r>
      <w:r>
        <w:rPr>
          <w:rFonts w:hint="eastAsia" w:ascii="仿宋" w:hAnsi="仿宋" w:eastAsia="仿宋" w:cs="仿宋"/>
          <w:color w:val="auto"/>
          <w:sz w:val="24"/>
          <w:highlight w:val="none"/>
        </w:rPr>
        <w:t>%，加计退还。</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 售后服务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1.8．1本合同标的质保期为最终验收合格之日起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个月，在质保期内发生的乙方责任范围内的一切部件更换及设备维修费等费用均由乙方承担。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1.8.2 乙方在质保期内的工作应包括对所有合同标的检查和调整等。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1.8.3供应商需提供24小时售后服务，且维修人员须在接到维修电话后24小时内赶到现场，提供不间断的服务直到修复为止。维修点需提供足够的备件以适应采购人维修需求。</w:t>
      </w:r>
    </w:p>
    <w:p>
      <w:pPr>
        <w:spacing w:line="360" w:lineRule="auto"/>
        <w:ind w:firstLine="482" w:firstLineChars="200"/>
        <w:outlineLvl w:val="0"/>
        <w:rPr>
          <w:rFonts w:hint="eastAsia" w:ascii="仿宋" w:hAnsi="仿宋" w:eastAsia="仿宋" w:cs="仿宋"/>
          <w:b/>
          <w:color w:val="auto"/>
          <w:sz w:val="24"/>
          <w:highlight w:val="none"/>
        </w:rPr>
      </w:pPr>
      <w:bookmarkStart w:id="416" w:name="_Toc21423"/>
      <w:bookmarkStart w:id="417" w:name="_Toc19554"/>
      <w:bookmarkStart w:id="418" w:name="_Toc27250"/>
      <w:r>
        <w:rPr>
          <w:rFonts w:hint="eastAsia" w:ascii="仿宋" w:hAnsi="仿宋" w:eastAsia="仿宋" w:cs="仿宋"/>
          <w:b/>
          <w:color w:val="auto"/>
          <w:sz w:val="24"/>
          <w:highlight w:val="none"/>
        </w:rPr>
        <w:t>1.9 违约责任</w:t>
      </w:r>
      <w:bookmarkEnd w:id="416"/>
      <w:bookmarkEnd w:id="417"/>
      <w:bookmarkEnd w:id="418"/>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1.9.2除不可抗力外，如果乙方没有按照本合同约定，违反合同约定的材料选择或工艺做法或第三方单位质量检测不合格等事项，一经甲方核查发现并确认，甲方有权单方面终止合同，甲方有权没收乙方本合同总价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%的履约保证金外，同时，乙方应承担一切责任并赔偿甲方一切损失。</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1.9.3 除不可抗力外，如果甲方没有按照本合同约定的付款方式付款，那么乙方可要求甲方支付违约金，违约金按每迟延支付一日的应支付价款的</w:t>
      </w:r>
      <w:r>
        <w:rPr>
          <w:rFonts w:hint="eastAsia" w:ascii="仿宋" w:hAnsi="仿宋" w:eastAsia="仿宋" w:cs="仿宋"/>
          <w:color w:val="auto"/>
          <w:sz w:val="24"/>
          <w:highlight w:val="none"/>
          <w:u w:val="single"/>
        </w:rPr>
        <w:t xml:space="preserve"> 0.01</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1.9.7 如果出现政府采购监督管理部门在处理投诉事项期间，书面通知甲方暂停采购活动的情形，或者询问或质疑事项可能影响中标结果的，导致甲方中止履行合同的情形，均不视为甲方违约。</w:t>
      </w:r>
    </w:p>
    <w:p>
      <w:pPr>
        <w:pStyle w:val="90"/>
        <w:spacing w:before="120"/>
        <w:ind w:firstLine="48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 安全责任</w:t>
      </w:r>
    </w:p>
    <w:p>
      <w:pPr>
        <w:pStyle w:val="90"/>
        <w:spacing w:before="12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乙方项目实施过程中应严格做好安全防范措施，如乙方项目实施人员在实施中违反操作规定造成人员伤亡事故或实施现场防范措施设置不明造成人员伤害事故，一切责任均有乙方负责。乙方项目实施过程中应承担项目实施过程中的所有安全责任及各类损失赔偿。</w:t>
      </w:r>
    </w:p>
    <w:p>
      <w:pPr>
        <w:spacing w:line="360" w:lineRule="auto"/>
        <w:ind w:firstLine="482" w:firstLineChars="200"/>
        <w:outlineLvl w:val="0"/>
        <w:rPr>
          <w:rFonts w:hint="eastAsia" w:ascii="仿宋" w:hAnsi="仿宋" w:eastAsia="仿宋" w:cs="仿宋"/>
          <w:b/>
          <w:color w:val="auto"/>
          <w:sz w:val="24"/>
          <w:highlight w:val="none"/>
        </w:rPr>
      </w:pPr>
      <w:bookmarkStart w:id="419" w:name="_Toc16021"/>
      <w:bookmarkStart w:id="420" w:name="_Toc15583"/>
      <w:bookmarkStart w:id="421" w:name="_Toc28375"/>
      <w:r>
        <w:rPr>
          <w:rFonts w:hint="eastAsia" w:ascii="仿宋" w:hAnsi="仿宋" w:eastAsia="仿宋" w:cs="仿宋"/>
          <w:b/>
          <w:color w:val="auto"/>
          <w:sz w:val="24"/>
          <w:highlight w:val="none"/>
        </w:rPr>
        <w:t>2.1 合同争议的解决</w:t>
      </w:r>
      <w:bookmarkEnd w:id="419"/>
      <w:bookmarkEnd w:id="420"/>
      <w:bookmarkEnd w:id="421"/>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本合同履行过程中发生的任何争议，双方当事人均可通过和解或者调解解决；不愿和解、调解或者和解、调解不成的，可以选择下列第</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种方式解决：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将争议提交</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仲裁委员会依申请仲裁时其现行有效的仲裁规则裁决；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向</w:t>
      </w:r>
      <w:r>
        <w:rPr>
          <w:rFonts w:hint="eastAsia" w:ascii="仿宋" w:hAnsi="仿宋" w:eastAsia="仿宋" w:cs="仿宋"/>
          <w:color w:val="auto"/>
          <w:sz w:val="24"/>
          <w:highlight w:val="none"/>
          <w:u w:val="single"/>
        </w:rPr>
        <w:t xml:space="preserve">  甲方所在地    </w:t>
      </w:r>
      <w:r>
        <w:rPr>
          <w:rFonts w:hint="eastAsia" w:ascii="仿宋" w:hAnsi="仿宋" w:eastAsia="仿宋" w:cs="仿宋"/>
          <w:color w:val="auto"/>
          <w:sz w:val="24"/>
          <w:highlight w:val="none"/>
        </w:rPr>
        <w:t>人民法院起诉。</w:t>
      </w:r>
    </w:p>
    <w:p>
      <w:pPr>
        <w:spacing w:line="360" w:lineRule="auto"/>
        <w:ind w:firstLine="482" w:firstLineChars="200"/>
        <w:outlineLvl w:val="0"/>
        <w:rPr>
          <w:rFonts w:hint="eastAsia" w:ascii="仿宋" w:hAnsi="仿宋" w:eastAsia="仿宋" w:cs="仿宋"/>
          <w:b/>
          <w:color w:val="auto"/>
          <w:sz w:val="24"/>
          <w:highlight w:val="none"/>
        </w:rPr>
      </w:pPr>
      <w:bookmarkStart w:id="422" w:name="_Toc11173"/>
      <w:bookmarkStart w:id="423" w:name="_Toc7245"/>
      <w:bookmarkStart w:id="424" w:name="_Toc15322"/>
      <w:r>
        <w:rPr>
          <w:rFonts w:hint="eastAsia" w:ascii="仿宋" w:hAnsi="仿宋" w:eastAsia="仿宋" w:cs="仿宋"/>
          <w:b/>
          <w:color w:val="auto"/>
          <w:sz w:val="24"/>
          <w:highlight w:val="none"/>
        </w:rPr>
        <w:t>2.2合同生效</w:t>
      </w:r>
      <w:bookmarkEnd w:id="422"/>
      <w:bookmarkEnd w:id="423"/>
      <w:bookmarkEnd w:id="424"/>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本合同自双方盖章或者签字时生效。</w:t>
      </w:r>
    </w:p>
    <w:p>
      <w:pPr>
        <w:autoSpaceDE w:val="0"/>
        <w:autoSpaceDN w:val="0"/>
        <w:spacing w:line="360" w:lineRule="auto"/>
        <w:rPr>
          <w:rFonts w:hint="eastAsia" w:ascii="仿宋" w:hAnsi="仿宋" w:eastAsia="仿宋" w:cs="仿宋"/>
          <w:color w:val="auto"/>
          <w:sz w:val="24"/>
          <w:highlight w:val="none"/>
          <w:lang w:val="zh-CN"/>
        </w:rPr>
      </w:pP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360" w:lineRule="auto"/>
        <w:rPr>
          <w:rFonts w:hint="eastAsia" w:ascii="仿宋" w:hAnsi="仿宋" w:eastAsia="仿宋" w:cs="仿宋"/>
          <w:color w:val="auto"/>
          <w:sz w:val="24"/>
          <w:highlight w:val="none"/>
          <w:lang w:val="zh-CN"/>
        </w:rPr>
      </w:pP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pStyle w:val="84"/>
        <w:rPr>
          <w:rFonts w:hint="eastAsia" w:ascii="仿宋" w:hAnsi="仿宋" w:eastAsia="仿宋" w:cs="仿宋"/>
          <w:color w:val="auto"/>
          <w:highlight w:val="none"/>
        </w:rPr>
      </w:pPr>
    </w:p>
    <w:p>
      <w:pPr>
        <w:pStyle w:val="82"/>
        <w:rPr>
          <w:rFonts w:hint="eastAsia" w:ascii="仿宋" w:hAnsi="仿宋" w:eastAsia="仿宋" w:cs="仿宋"/>
          <w:color w:val="auto"/>
          <w:highlight w:val="none"/>
        </w:rPr>
      </w:pPr>
    </w:p>
    <w:p>
      <w:pPr>
        <w:pStyle w:val="82"/>
        <w:rPr>
          <w:rFonts w:hint="eastAsia" w:ascii="仿宋" w:hAnsi="仿宋" w:eastAsia="仿宋" w:cs="仿宋"/>
          <w:color w:val="auto"/>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9"/>
      <w:r>
        <w:rPr>
          <w:rFonts w:hint="eastAsia" w:ascii="仿宋" w:hAnsi="仿宋" w:eastAsia="仿宋" w:cs="仿宋"/>
          <w:b/>
          <w:color w:val="auto"/>
          <w:sz w:val="36"/>
          <w:szCs w:val="20"/>
          <w:highlight w:val="none"/>
        </w:rPr>
        <w:t xml:space="preserve"> </w:t>
      </w:r>
      <w:bookmarkEnd w:id="400"/>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2"/>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2"/>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6"/>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numPr>
          <w:ilvl w:val="0"/>
          <w:numId w:val="8"/>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（2）报价明细清单</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1"/>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1"/>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numPr>
          <w:ilvl w:val="0"/>
          <w:numId w:val="9"/>
        </w:numPr>
        <w:spacing w:line="360" w:lineRule="auto"/>
        <w:jc w:val="center"/>
        <w:rPr>
          <w:rFonts w:hint="eastAsia" w:ascii="仿宋" w:hAnsi="仿宋" w:eastAsia="仿宋" w:cs="仿宋"/>
          <w:color w:val="auto"/>
          <w:highlight w:val="none"/>
          <w:lang w:val="zh-CN"/>
        </w:rPr>
      </w:pPr>
      <w:r>
        <w:rPr>
          <w:rFonts w:hint="eastAsia" w:ascii="仿宋" w:hAnsi="仿宋" w:eastAsia="仿宋" w:cs="仿宋"/>
          <w:b/>
          <w:color w:val="auto"/>
          <w:kern w:val="0"/>
          <w:sz w:val="24"/>
          <w:highlight w:val="none"/>
          <w:lang w:val="zh-CN"/>
        </w:rPr>
        <w:t>开标一览表(单位均为人民币元)</w:t>
      </w:r>
    </w:p>
    <w:tbl>
      <w:tblPr>
        <w:tblStyle w:val="64"/>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2350"/>
        <w:gridCol w:w="2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kern w:val="2"/>
                <w:sz w:val="24"/>
                <w:szCs w:val="22"/>
                <w:highlight w:val="none"/>
              </w:rPr>
            </w:pPr>
            <w:r>
              <w:rPr>
                <w:rFonts w:hint="eastAsia" w:ascii="仿宋" w:hAnsi="仿宋" w:eastAsia="仿宋" w:cs="仿宋"/>
                <w:b/>
                <w:bCs/>
                <w:color w:val="auto"/>
                <w:kern w:val="2"/>
                <w:sz w:val="24"/>
                <w:szCs w:val="22"/>
                <w:highlight w:val="none"/>
              </w:rPr>
              <w:t>项目名称</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kern w:val="2"/>
                <w:sz w:val="24"/>
                <w:szCs w:val="22"/>
                <w:highlight w:val="none"/>
              </w:rPr>
            </w:pPr>
            <w:r>
              <w:rPr>
                <w:rFonts w:hint="eastAsia" w:ascii="仿宋" w:hAnsi="仿宋" w:eastAsia="仿宋" w:cs="仿宋"/>
                <w:b/>
                <w:bCs/>
                <w:color w:val="auto"/>
                <w:kern w:val="2"/>
                <w:sz w:val="24"/>
                <w:szCs w:val="22"/>
                <w:highlight w:val="none"/>
              </w:rPr>
              <w:t>服务期</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kern w:val="2"/>
                <w:sz w:val="24"/>
                <w:szCs w:val="22"/>
                <w:highlight w:val="none"/>
              </w:rPr>
            </w:pPr>
            <w:r>
              <w:rPr>
                <w:rFonts w:hint="eastAsia" w:ascii="仿宋" w:hAnsi="仿宋" w:eastAsia="仿宋" w:cs="仿宋"/>
                <w:b/>
                <w:bCs/>
                <w:color w:val="auto"/>
                <w:kern w:val="2"/>
                <w:sz w:val="24"/>
                <w:szCs w:val="22"/>
                <w:highlight w:val="none"/>
              </w:rPr>
              <w:t>投标</w:t>
            </w:r>
            <w:r>
              <w:rPr>
                <w:rFonts w:hint="eastAsia" w:ascii="仿宋" w:hAnsi="仿宋" w:eastAsia="仿宋" w:cs="仿宋"/>
                <w:b/>
                <w:bCs/>
                <w:color w:val="auto"/>
                <w:kern w:val="2"/>
                <w:sz w:val="24"/>
                <w:szCs w:val="22"/>
                <w:highlight w:val="none"/>
                <w:lang w:eastAsia="zh-CN"/>
              </w:rPr>
              <w:t>总</w:t>
            </w:r>
            <w:r>
              <w:rPr>
                <w:rFonts w:hint="eastAsia" w:ascii="仿宋" w:hAnsi="仿宋" w:eastAsia="仿宋" w:cs="仿宋"/>
                <w:b/>
                <w:bCs/>
                <w:color w:val="auto"/>
                <w:kern w:val="2"/>
                <w:sz w:val="24"/>
                <w:szCs w:val="22"/>
                <w:highlight w:val="none"/>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lang w:val="en-US" w:eastAsia="zh-CN"/>
              </w:rPr>
              <w:t xml:space="preserve"> 仓前街道未来科技城划转区块城市管理服务</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响应招标文件要求</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kern w:val="2"/>
                <w:sz w:val="24"/>
                <w:szCs w:val="22"/>
                <w:highlight w:val="none"/>
                <w:lang w:val="en-US" w:eastAsia="zh-CN"/>
              </w:rPr>
            </w:pPr>
            <w:r>
              <w:rPr>
                <w:rFonts w:hint="eastAsia" w:ascii="仿宋" w:hAnsi="仿宋" w:eastAsia="仿宋" w:cs="仿宋"/>
                <w:color w:val="auto"/>
                <w:kern w:val="2"/>
                <w:sz w:val="24"/>
                <w:szCs w:val="22"/>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95"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总价</w:t>
            </w:r>
          </w:p>
        </w:tc>
        <w:tc>
          <w:tcPr>
            <w:tcW w:w="4962" w:type="dxa"/>
            <w:gridSpan w:val="2"/>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kern w:val="2"/>
                <w:sz w:val="24"/>
                <w:szCs w:val="22"/>
                <w:highlight w:val="none"/>
                <w:lang w:eastAsia="zh-CN"/>
              </w:rPr>
            </w:pPr>
            <w:r>
              <w:rPr>
                <w:rFonts w:hint="eastAsia" w:ascii="仿宋" w:hAnsi="仿宋" w:eastAsia="仿宋" w:cs="仿宋"/>
                <w:color w:val="auto"/>
                <w:kern w:val="2"/>
                <w:sz w:val="24"/>
                <w:szCs w:val="22"/>
                <w:highlight w:val="none"/>
              </w:rPr>
              <w:t>大写：</w:t>
            </w: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82"/>
        <w:numPr>
          <w:ilvl w:val="0"/>
          <w:numId w:val="0"/>
        </w:numPr>
        <w:jc w:val="center"/>
        <w:rPr>
          <w:rFonts w:hint="eastAsia" w:ascii="仿宋" w:hAnsi="仿宋" w:eastAsia="仿宋" w:cs="仿宋"/>
          <w:color w:val="auto"/>
          <w:sz w:val="24"/>
          <w:highlight w:val="none"/>
          <w:lang w:val="en-US" w:eastAsia="zh-CN"/>
        </w:rPr>
      </w:pPr>
    </w:p>
    <w:p>
      <w:pPr>
        <w:pStyle w:val="82"/>
        <w:numPr>
          <w:ilvl w:val="0"/>
          <w:numId w:val="0"/>
        </w:numPr>
        <w:jc w:val="center"/>
        <w:rPr>
          <w:rFonts w:hint="eastAsia" w:ascii="仿宋" w:hAnsi="仿宋" w:eastAsia="仿宋" w:cs="仿宋"/>
          <w:color w:val="auto"/>
          <w:sz w:val="24"/>
          <w:highlight w:val="none"/>
          <w:lang w:val="en-US" w:eastAsia="zh-CN"/>
        </w:rPr>
      </w:pPr>
    </w:p>
    <w:p>
      <w:pPr>
        <w:pStyle w:val="383"/>
        <w:snapToGrid w:val="0"/>
        <w:spacing w:before="120" w:after="120"/>
        <w:ind w:firstLine="0"/>
        <w:outlineLvl w:val="9"/>
        <w:rPr>
          <w:rFonts w:hint="eastAsia" w:ascii="仿宋" w:hAnsi="仿宋" w:eastAsia="仿宋" w:cs="仿宋"/>
          <w:color w:val="auto"/>
          <w:highlight w:val="none"/>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独立投标：投标人名称(电子签名)：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或</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采用联合体投标：联合体牵头人名称(电子签名/盖章)：</w:t>
      </w:r>
    </w:p>
    <w:p>
      <w:pPr>
        <w:pStyle w:val="383"/>
        <w:snapToGrid w:val="0"/>
        <w:spacing w:before="120" w:after="120"/>
        <w:ind w:firstLine="0"/>
        <w:jc w:val="right"/>
        <w:outlineLvl w:val="9"/>
        <w:rPr>
          <w:rFonts w:hint="eastAsia" w:ascii="仿宋" w:hAnsi="仿宋" w:eastAsia="仿宋" w:cs="仿宋"/>
          <w:color w:val="auto"/>
          <w:highlight w:val="none"/>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color w:val="auto"/>
          <w:sz w:val="24"/>
          <w:highlight w:val="none"/>
        </w:rPr>
        <w:t xml:space="preserve">   日期：  年   月  </w:t>
      </w:r>
    </w:p>
    <w:p>
      <w:pPr>
        <w:pStyle w:val="82"/>
        <w:numPr>
          <w:ilvl w:val="0"/>
          <w:numId w:val="0"/>
        </w:num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（二）报价明细清单</w:t>
      </w:r>
    </w:p>
    <w:p>
      <w:pPr>
        <w:pStyle w:val="82"/>
        <w:rPr>
          <w:rFonts w:hint="eastAsia" w:ascii="仿宋" w:hAnsi="仿宋" w:eastAsia="仿宋" w:cs="仿宋"/>
          <w:b w:val="0"/>
          <w:bCs w:val="0"/>
          <w:color w:val="auto"/>
          <w:sz w:val="24"/>
          <w:highlight w:val="none"/>
          <w:lang w:eastAsia="zh-CN"/>
        </w:rPr>
      </w:pPr>
    </w:p>
    <w:p>
      <w:pPr>
        <w:pStyle w:val="82"/>
        <w:rPr>
          <w:rFonts w:hint="eastAsia" w:ascii="仿宋" w:hAnsi="仿宋" w:eastAsia="仿宋" w:cs="仿宋"/>
          <w:b w:val="0"/>
          <w:bCs w:val="0"/>
          <w:color w:val="auto"/>
          <w:sz w:val="24"/>
          <w:highlight w:val="none"/>
          <w:lang w:eastAsia="zh-CN"/>
        </w:rPr>
      </w:pPr>
    </w:p>
    <w:p>
      <w:pPr>
        <w:pStyle w:val="82"/>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eastAsia="zh-CN"/>
        </w:rPr>
        <w:t>项目名称：</w:t>
      </w:r>
      <w:r>
        <w:rPr>
          <w:rFonts w:hint="eastAsia" w:ascii="仿宋" w:hAnsi="仿宋" w:eastAsia="仿宋" w:cs="仿宋"/>
          <w:b w:val="0"/>
          <w:bCs w:val="0"/>
          <w:color w:val="auto"/>
          <w:sz w:val="24"/>
          <w:highlight w:val="none"/>
          <w:lang w:val="en-US" w:eastAsia="zh-CN"/>
        </w:rPr>
        <w:t xml:space="preserve">                                     招标编号：</w:t>
      </w:r>
    </w:p>
    <w:tbl>
      <w:tblPr>
        <w:tblStyle w:val="64"/>
        <w:tblW w:w="8083"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序号</w:t>
            </w:r>
          </w:p>
        </w:tc>
        <w:tc>
          <w:tcPr>
            <w:tcW w:w="3413" w:type="dxa"/>
            <w:gridSpan w:val="3"/>
            <w:tcBorders>
              <w:top w:val="single" w:color="auto" w:sz="8" w:space="0"/>
              <w:left w:val="single" w:color="auto" w:sz="2"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名称</w:t>
            </w:r>
          </w:p>
        </w:tc>
        <w:tc>
          <w:tcPr>
            <w:tcW w:w="2082" w:type="dxa"/>
            <w:tcBorders>
              <w:top w:val="single" w:color="auto" w:sz="8" w:space="0"/>
              <w:left w:val="single" w:color="auto" w:sz="2" w:space="0"/>
              <w:bottom w:val="single" w:color="auto" w:sz="2"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价格</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1</w:t>
            </w:r>
          </w:p>
        </w:tc>
        <w:tc>
          <w:tcPr>
            <w:tcW w:w="3413" w:type="dxa"/>
            <w:gridSpan w:val="3"/>
            <w:tcBorders>
              <w:top w:val="single" w:color="auto" w:sz="2" w:space="0"/>
              <w:left w:val="single" w:color="auto" w:sz="2" w:space="0"/>
              <w:bottom w:val="single" w:color="auto" w:sz="4" w:space="0"/>
              <w:right w:val="single" w:color="auto" w:sz="2" w:space="0"/>
            </w:tcBorders>
            <w:vAlign w:val="top"/>
          </w:tcPr>
          <w:p>
            <w:pPr>
              <w:snapToGrid w:val="0"/>
              <w:spacing w:before="0" w:beforeAutospacing="0" w:after="0" w:afterAutospacing="0" w:line="360" w:lineRule="auto"/>
              <w:ind w:left="0" w:right="0"/>
              <w:rPr>
                <w:rFonts w:hint="eastAsia" w:ascii="仿宋" w:hAnsi="仿宋" w:eastAsia="仿宋" w:cs="仿宋"/>
                <w:b/>
                <w:color w:val="auto"/>
                <w:sz w:val="24"/>
                <w:szCs w:val="21"/>
                <w:highlight w:val="none"/>
              </w:rPr>
            </w:pPr>
          </w:p>
        </w:tc>
        <w:tc>
          <w:tcPr>
            <w:tcW w:w="2082" w:type="dxa"/>
            <w:tcBorders>
              <w:top w:val="single" w:color="auto" w:sz="2"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w:t>
            </w:r>
          </w:p>
        </w:tc>
        <w:tc>
          <w:tcPr>
            <w:tcW w:w="3413" w:type="dxa"/>
            <w:gridSpan w:val="3"/>
            <w:tcBorders>
              <w:top w:val="single" w:color="auto" w:sz="4" w:space="0"/>
              <w:left w:val="single" w:color="auto" w:sz="2" w:space="0"/>
              <w:bottom w:val="single" w:color="auto" w:sz="4" w:space="0"/>
              <w:right w:val="single" w:color="auto" w:sz="2" w:space="0"/>
            </w:tcBorders>
            <w:vAlign w:val="top"/>
          </w:tcPr>
          <w:p>
            <w:pPr>
              <w:snapToGrid w:val="0"/>
              <w:spacing w:before="0" w:beforeAutospacing="0" w:after="0" w:afterAutospacing="0" w:line="360" w:lineRule="auto"/>
              <w:ind w:left="0" w:right="0"/>
              <w:rPr>
                <w:rFonts w:hint="eastAsia" w:ascii="仿宋" w:hAnsi="仿宋" w:eastAsia="仿宋" w:cs="仿宋"/>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3</w:t>
            </w:r>
          </w:p>
        </w:tc>
        <w:tc>
          <w:tcPr>
            <w:tcW w:w="3413" w:type="dxa"/>
            <w:gridSpan w:val="3"/>
            <w:tcBorders>
              <w:top w:val="single" w:color="auto" w:sz="4" w:space="0"/>
              <w:left w:val="single" w:color="auto" w:sz="2" w:space="0"/>
              <w:bottom w:val="single" w:color="auto" w:sz="4" w:space="0"/>
              <w:right w:val="single" w:color="auto" w:sz="2" w:space="0"/>
            </w:tcBorders>
            <w:vAlign w:val="top"/>
          </w:tcPr>
          <w:p>
            <w:pPr>
              <w:snapToGrid w:val="0"/>
              <w:spacing w:before="0" w:beforeAutospacing="0" w:after="0" w:afterAutospacing="0" w:line="360" w:lineRule="auto"/>
              <w:ind w:left="0" w:right="0"/>
              <w:rPr>
                <w:rFonts w:hint="eastAsia" w:ascii="仿宋" w:hAnsi="仿宋" w:eastAsia="仿宋" w:cs="仿宋"/>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4</w:t>
            </w:r>
          </w:p>
        </w:tc>
        <w:tc>
          <w:tcPr>
            <w:tcW w:w="3413" w:type="dxa"/>
            <w:gridSpan w:val="3"/>
            <w:tcBorders>
              <w:top w:val="single" w:color="auto" w:sz="4" w:space="0"/>
              <w:left w:val="single" w:color="auto" w:sz="2" w:space="0"/>
              <w:bottom w:val="single" w:color="auto" w:sz="4" w:space="0"/>
              <w:right w:val="single" w:color="auto" w:sz="2" w:space="0"/>
            </w:tcBorders>
            <w:vAlign w:val="top"/>
          </w:tcPr>
          <w:p>
            <w:pPr>
              <w:snapToGrid w:val="0"/>
              <w:spacing w:before="0" w:beforeAutospacing="0" w:after="0" w:afterAutospacing="0" w:line="360" w:lineRule="auto"/>
              <w:ind w:left="0" w:right="0"/>
              <w:rPr>
                <w:rFonts w:hint="eastAsia" w:ascii="仿宋" w:hAnsi="仿宋" w:eastAsia="仿宋" w:cs="仿宋"/>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5</w:t>
            </w:r>
          </w:p>
        </w:tc>
        <w:tc>
          <w:tcPr>
            <w:tcW w:w="3413" w:type="dxa"/>
            <w:gridSpan w:val="3"/>
            <w:tcBorders>
              <w:top w:val="single" w:color="auto" w:sz="4" w:space="0"/>
              <w:left w:val="single" w:color="auto" w:sz="2" w:space="0"/>
              <w:bottom w:val="single" w:color="auto" w:sz="4" w:space="0"/>
              <w:right w:val="single" w:color="auto" w:sz="2" w:space="0"/>
            </w:tcBorders>
            <w:vAlign w:val="top"/>
          </w:tcPr>
          <w:p>
            <w:pPr>
              <w:snapToGrid w:val="0"/>
              <w:spacing w:before="0" w:beforeAutospacing="0" w:after="0" w:afterAutospacing="0" w:line="360" w:lineRule="auto"/>
              <w:ind w:left="0" w:right="0"/>
              <w:rPr>
                <w:rFonts w:hint="eastAsia" w:ascii="仿宋" w:hAnsi="仿宋" w:eastAsia="仿宋" w:cs="仿宋"/>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3413" w:type="dxa"/>
            <w:gridSpan w:val="3"/>
            <w:tcBorders>
              <w:top w:val="single" w:color="auto" w:sz="4" w:space="0"/>
              <w:left w:val="single" w:color="auto" w:sz="2" w:space="0"/>
              <w:bottom w:val="single" w:color="auto" w:sz="4" w:space="0"/>
              <w:right w:val="single" w:color="auto" w:sz="2" w:space="0"/>
            </w:tcBorders>
            <w:vAlign w:val="center"/>
          </w:tcPr>
          <w:p>
            <w:pPr>
              <w:tabs>
                <w:tab w:val="left" w:pos="6135"/>
              </w:tabs>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w:t>
            </w:r>
          </w:p>
        </w:tc>
        <w:tc>
          <w:tcPr>
            <w:tcW w:w="2082" w:type="dxa"/>
            <w:tcBorders>
              <w:top w:val="single" w:color="auto" w:sz="4" w:space="0"/>
              <w:left w:val="single" w:color="auto" w:sz="2"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总计</w:t>
            </w:r>
          </w:p>
        </w:tc>
        <w:tc>
          <w:tcPr>
            <w:tcW w:w="1436" w:type="dxa"/>
            <w:tcBorders>
              <w:top w:val="single" w:color="auto" w:sz="2" w:space="0"/>
              <w:left w:val="single" w:color="auto" w:sz="4" w:space="0"/>
              <w:bottom w:val="single" w:color="auto" w:sz="2"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大写</w:t>
            </w:r>
          </w:p>
        </w:tc>
        <w:tc>
          <w:tcPr>
            <w:tcW w:w="4930" w:type="dxa"/>
            <w:gridSpan w:val="3"/>
            <w:tcBorders>
              <w:top w:val="single" w:color="auto" w:sz="2" w:space="0"/>
              <w:left w:val="single" w:color="auto" w:sz="4" w:space="0"/>
              <w:bottom w:val="single" w:color="auto" w:sz="2"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c>
          <w:tcPr>
            <w:tcW w:w="1436" w:type="dxa"/>
            <w:tcBorders>
              <w:top w:val="single" w:color="auto" w:sz="2" w:space="0"/>
              <w:left w:val="single" w:color="auto" w:sz="4" w:space="0"/>
              <w:bottom w:val="single" w:color="auto" w:sz="8" w:space="0"/>
              <w:right w:val="single" w:color="auto"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小写</w:t>
            </w:r>
          </w:p>
        </w:tc>
        <w:tc>
          <w:tcPr>
            <w:tcW w:w="4930" w:type="dxa"/>
            <w:gridSpan w:val="3"/>
            <w:tcBorders>
              <w:top w:val="single" w:color="auto" w:sz="2" w:space="0"/>
              <w:left w:val="single" w:color="auto" w:sz="4" w:space="0"/>
              <w:bottom w:val="single" w:color="auto" w:sz="8" w:space="0"/>
              <w:right w:val="single" w:color="auto" w:sz="8"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1"/>
                <w:highlight w:val="none"/>
              </w:rPr>
            </w:pPr>
          </w:p>
        </w:tc>
      </w:tr>
    </w:tbl>
    <w:p>
      <w:pPr>
        <w:pStyle w:val="35"/>
        <w:snapToGrid w:val="0"/>
        <w:spacing w:line="360" w:lineRule="auto"/>
        <w:ind w:firstLine="480" w:firstLineChars="200"/>
        <w:rPr>
          <w:rFonts w:hint="eastAsia" w:ascii="仿宋" w:hAnsi="仿宋" w:eastAsia="仿宋" w:cs="仿宋"/>
          <w:color w:val="auto"/>
          <w:kern w:val="0"/>
          <w:sz w:val="24"/>
          <w:szCs w:val="24"/>
          <w:highlight w:val="none"/>
          <w:lang w:val="zh-CN"/>
        </w:rPr>
      </w:pPr>
    </w:p>
    <w:p>
      <w:pPr>
        <w:pStyle w:val="35"/>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注：</w:t>
      </w:r>
      <w:r>
        <w:rPr>
          <w:rFonts w:hint="eastAsia" w:ascii="仿宋" w:hAnsi="仿宋" w:eastAsia="仿宋" w:cs="仿宋"/>
          <w:color w:val="auto"/>
          <w:kern w:val="0"/>
          <w:sz w:val="24"/>
          <w:szCs w:val="24"/>
          <w:highlight w:val="none"/>
        </w:rPr>
        <w:t>1、</w:t>
      </w:r>
      <w:r>
        <w:rPr>
          <w:rFonts w:hint="eastAsia" w:ascii="仿宋" w:hAnsi="仿宋" w:eastAsia="仿宋" w:cs="仿宋"/>
          <w:color w:val="auto"/>
          <w:sz w:val="24"/>
          <w:szCs w:val="24"/>
          <w:highlight w:val="none"/>
        </w:rPr>
        <w:t>可根据具体情况调整报价明细清单格式，但应包括项目涉及的一切相关税费等费用。</w:t>
      </w:r>
    </w:p>
    <w:p>
      <w:pPr>
        <w:adjustRightInd w:val="0"/>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2、分项报价表中合计总价应与开标一览表中的各项相应报价相一致。</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3、漏报视作包含在投标总价内</w:t>
      </w:r>
      <w:r>
        <w:rPr>
          <w:rFonts w:hint="eastAsia" w:ascii="仿宋" w:hAnsi="仿宋" w:eastAsia="仿宋" w:cs="仿宋"/>
          <w:color w:val="auto"/>
          <w:kern w:val="0"/>
          <w:sz w:val="24"/>
          <w:highlight w:val="none"/>
          <w:lang w:eastAsia="zh-CN"/>
        </w:rPr>
        <w:t>。重大漏项的视为无效投标。</w:t>
      </w:r>
    </w:p>
    <w:p>
      <w:pPr>
        <w:shd w:val="clear" w:color="auto" w:fill="FFFFFF"/>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投标人名称(公章)：</w:t>
      </w:r>
    </w:p>
    <w:p>
      <w:pPr>
        <w:shd w:val="clear" w:color="auto" w:fill="FFFFFF"/>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法定（授权）代表人（</w:t>
      </w:r>
      <w:r>
        <w:rPr>
          <w:rFonts w:hint="eastAsia" w:ascii="仿宋" w:hAnsi="仿宋" w:eastAsia="仿宋" w:cs="仿宋"/>
          <w:color w:val="auto"/>
          <w:kern w:val="0"/>
          <w:sz w:val="24"/>
          <w:highlight w:val="none"/>
        </w:rPr>
        <w:t>盖章或签字</w:t>
      </w:r>
      <w:r>
        <w:rPr>
          <w:rFonts w:hint="eastAsia" w:ascii="仿宋" w:hAnsi="仿宋" w:eastAsia="仿宋" w:cs="仿宋"/>
          <w:color w:val="auto"/>
          <w:kern w:val="0"/>
          <w:sz w:val="24"/>
          <w:highlight w:val="none"/>
          <w:lang w:val="zh-CN"/>
        </w:rPr>
        <w:t>）：</w:t>
      </w:r>
    </w:p>
    <w:p>
      <w:pPr>
        <w:shd w:val="clear" w:color="auto" w:fill="FFFFFF"/>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 xml:space="preserve">日期：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r>
        <w:rPr>
          <w:rFonts w:hint="eastAsia" w:ascii="仿宋" w:hAnsi="仿宋" w:eastAsia="仿宋" w:cs="仿宋"/>
          <w:color w:val="auto"/>
          <w:sz w:val="24"/>
          <w:highlight w:val="none"/>
        </w:rPr>
        <w:t xml:space="preserve">  </w:t>
      </w: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 xml:space="preserve">  </w:t>
      </w: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0"/>
        <w:jc w:val="both"/>
        <w:outlineLvl w:val="9"/>
        <w:rPr>
          <w:rFonts w:hint="eastAsia" w:ascii="仿宋" w:hAnsi="仿宋" w:eastAsia="仿宋" w:cs="仿宋"/>
          <w:color w:val="auto"/>
          <w:kern w:val="2"/>
          <w:sz w:val="32"/>
          <w:szCs w:val="32"/>
          <w:highlight w:val="none"/>
          <w:lang w:val="en-US" w:eastAsia="zh-CN"/>
        </w:rPr>
      </w:pPr>
    </w:p>
    <w:p>
      <w:pPr>
        <w:pStyle w:val="383"/>
        <w:wordWrap w:val="0"/>
        <w:snapToGrid w:val="0"/>
        <w:spacing w:before="120" w:after="120"/>
        <w:ind w:firstLine="1920" w:firstLineChars="6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25" w:name="_Toc465665161"/>
      <w:r>
        <w:rPr>
          <w:rFonts w:hint="eastAsia" w:ascii="仿宋" w:hAnsi="仿宋" w:eastAsia="仿宋" w:cs="仿宋"/>
          <w:color w:val="auto"/>
          <w:highlight w:val="none"/>
        </w:rPr>
        <w:t>附件</w:t>
      </w:r>
      <w:bookmarkEnd w:id="425"/>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26" w:name="OLE_LINK13"/>
      <w:bookmarkStart w:id="427" w:name="OLE_LINK14"/>
      <w:r>
        <w:rPr>
          <w:rFonts w:hint="eastAsia" w:ascii="仿宋" w:hAnsi="仿宋" w:eastAsia="仿宋" w:cs="仿宋"/>
          <w:b/>
          <w:color w:val="auto"/>
          <w:spacing w:val="6"/>
          <w:sz w:val="32"/>
          <w:szCs w:val="32"/>
          <w:highlight w:val="none"/>
        </w:rPr>
        <w:t>残疾人福利性单位声明函</w:t>
      </w:r>
    </w:p>
    <w:bookmarkEnd w:id="426"/>
    <w:bookmarkEnd w:id="427"/>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8" w:name="_Toc164085800"/>
    <w:bookmarkStart w:id="429" w:name="_Toc131845147"/>
    <w:bookmarkStart w:id="430" w:name="_Toc91899912"/>
    <w:bookmarkStart w:id="431" w:name="_Toc36110187"/>
    <w:r>
      <w:rPr>
        <w:rFonts w:hint="eastAsia" w:ascii="仿宋_GB2312" w:eastAsia="仿宋_GB2312"/>
        <w:kern w:val="0"/>
        <w:szCs w:val="21"/>
      </w:rPr>
      <w:t xml:space="preserve"> 页</w:t>
    </w:r>
    <w:bookmarkEnd w:id="428"/>
    <w:bookmarkEnd w:id="429"/>
    <w:bookmarkEnd w:id="430"/>
    <w:bookmarkEnd w:id="4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8A338"/>
    <w:multiLevelType w:val="singleLevel"/>
    <w:tmpl w:val="B5A8A338"/>
    <w:lvl w:ilvl="0" w:tentative="0">
      <w:start w:val="1"/>
      <w:numFmt w:val="decimal"/>
      <w:suff w:val="space"/>
      <w:lvlText w:val="%1、"/>
      <w:lvlJc w:val="left"/>
    </w:lvl>
  </w:abstractNum>
  <w:abstractNum w:abstractNumId="1">
    <w:nsid w:val="BAB5D0F0"/>
    <w:multiLevelType w:val="singleLevel"/>
    <w:tmpl w:val="BAB5D0F0"/>
    <w:lvl w:ilvl="0" w:tentative="0">
      <w:start w:val="1"/>
      <w:numFmt w:val="chineseCounting"/>
      <w:suff w:val="nothing"/>
      <w:lvlText w:val="%1、"/>
      <w:lvlJc w:val="left"/>
      <w:rPr>
        <w:rFonts w:hint="eastAsia"/>
      </w:rPr>
    </w:lvl>
  </w:abstractNum>
  <w:abstractNum w:abstractNumId="2">
    <w:nsid w:val="F59D58E8"/>
    <w:multiLevelType w:val="singleLevel"/>
    <w:tmpl w:val="F59D58E8"/>
    <w:lvl w:ilvl="0" w:tentative="0">
      <w:start w:val="1"/>
      <w:numFmt w:val="decimal"/>
      <w:suff w:val="nothing"/>
      <w:lvlText w:val="（%1）"/>
      <w:lvlJc w:val="left"/>
    </w:lvl>
  </w:abstractNum>
  <w:abstractNum w:abstractNumId="3">
    <w:nsid w:val="00000009"/>
    <w:multiLevelType w:val="singleLevel"/>
    <w:tmpl w:val="00000009"/>
    <w:lvl w:ilvl="0" w:tentative="0">
      <w:start w:val="1"/>
      <w:numFmt w:val="upperLetter"/>
      <w:suff w:val="nothing"/>
      <w:lvlText w:val="%1、"/>
      <w:lvlJc w:val="left"/>
    </w:lvl>
  </w:abstractNum>
  <w:abstractNum w:abstractNumId="4">
    <w:nsid w:val="1B1A6989"/>
    <w:multiLevelType w:val="singleLevel"/>
    <w:tmpl w:val="1B1A6989"/>
    <w:lvl w:ilvl="0" w:tentative="0">
      <w:start w:val="3"/>
      <w:numFmt w:val="chineseCounting"/>
      <w:suff w:val="nothing"/>
      <w:lvlText w:val="%1、"/>
      <w:lvlJc w:val="left"/>
      <w:rPr>
        <w:rFonts w:hint="eastAsia"/>
      </w:rPr>
    </w:lvl>
  </w:abstractNum>
  <w:abstractNum w:abstractNumId="5">
    <w:nsid w:val="49C0E282"/>
    <w:multiLevelType w:val="singleLevel"/>
    <w:tmpl w:val="49C0E282"/>
    <w:lvl w:ilvl="0" w:tentative="0">
      <w:start w:val="1"/>
      <w:numFmt w:val="chineseCounting"/>
      <w:suff w:val="space"/>
      <w:lvlText w:val="第%1部分"/>
      <w:lvlJc w:val="left"/>
      <w:rPr>
        <w:rFonts w:hint="eastAsia"/>
      </w:rPr>
    </w:lvl>
  </w:abstractNum>
  <w:abstractNum w:abstractNumId="6">
    <w:nsid w:val="601AB719"/>
    <w:multiLevelType w:val="singleLevel"/>
    <w:tmpl w:val="601AB719"/>
    <w:lvl w:ilvl="0" w:tentative="0">
      <w:start w:val="2"/>
      <w:numFmt w:val="decimal"/>
      <w:suff w:val="nothing"/>
      <w:lvlText w:val="%1、"/>
      <w:lvlJc w:val="left"/>
    </w:lvl>
  </w:abstractNum>
  <w:abstractNum w:abstractNumId="7">
    <w:nsid w:val="63F824D2"/>
    <w:multiLevelType w:val="singleLevel"/>
    <w:tmpl w:val="63F824D2"/>
    <w:lvl w:ilvl="0" w:tentative="0">
      <w:start w:val="3"/>
      <w:numFmt w:val="chineseCounting"/>
      <w:suff w:val="space"/>
      <w:lvlText w:val="第%1部分"/>
      <w:lvlJc w:val="left"/>
      <w:rPr>
        <w:rFonts w:hint="eastAsia"/>
      </w:rPr>
    </w:lvl>
  </w:abstractNum>
  <w:abstractNum w:abstractNumId="8">
    <w:nsid w:val="7AC06AF6"/>
    <w:multiLevelType w:val="singleLevel"/>
    <w:tmpl w:val="7AC06AF6"/>
    <w:lvl w:ilvl="0" w:tentative="0">
      <w:start w:val="1"/>
      <w:numFmt w:val="chineseCounting"/>
      <w:suff w:val="nothing"/>
      <w:lvlText w:val="（%1）"/>
      <w:lvlJc w:val="left"/>
      <w:rPr>
        <w:rFonts w:hint="eastAsia"/>
      </w:rPr>
    </w:lvl>
  </w:abstractNum>
  <w:num w:numId="1">
    <w:abstractNumId w:val="5"/>
  </w:num>
  <w:num w:numId="2">
    <w:abstractNumId w:val="1"/>
  </w:num>
  <w:num w:numId="3">
    <w:abstractNumId w:val="7"/>
  </w:num>
  <w:num w:numId="4">
    <w:abstractNumId w:val="4"/>
  </w:num>
  <w:num w:numId="5">
    <w:abstractNumId w:val="0"/>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3A9E"/>
    <w:rsid w:val="01236AFB"/>
    <w:rsid w:val="01553FD8"/>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2F0852"/>
    <w:rsid w:val="036634D2"/>
    <w:rsid w:val="03DD35E4"/>
    <w:rsid w:val="04076900"/>
    <w:rsid w:val="041A5A3B"/>
    <w:rsid w:val="042311BA"/>
    <w:rsid w:val="042B157A"/>
    <w:rsid w:val="047D34C5"/>
    <w:rsid w:val="048F763B"/>
    <w:rsid w:val="049F330E"/>
    <w:rsid w:val="04AA775C"/>
    <w:rsid w:val="04AF1889"/>
    <w:rsid w:val="04F66F48"/>
    <w:rsid w:val="05251E14"/>
    <w:rsid w:val="05620EF4"/>
    <w:rsid w:val="05A16594"/>
    <w:rsid w:val="05A7762D"/>
    <w:rsid w:val="05E36894"/>
    <w:rsid w:val="060E5941"/>
    <w:rsid w:val="06110FAF"/>
    <w:rsid w:val="062D2293"/>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11701"/>
    <w:rsid w:val="08E80F13"/>
    <w:rsid w:val="09012EFA"/>
    <w:rsid w:val="091348B6"/>
    <w:rsid w:val="09335624"/>
    <w:rsid w:val="0944690F"/>
    <w:rsid w:val="09535675"/>
    <w:rsid w:val="095F057D"/>
    <w:rsid w:val="09642282"/>
    <w:rsid w:val="09733572"/>
    <w:rsid w:val="09772C16"/>
    <w:rsid w:val="097A0F86"/>
    <w:rsid w:val="098353B5"/>
    <w:rsid w:val="09A92330"/>
    <w:rsid w:val="09B06B87"/>
    <w:rsid w:val="09C13146"/>
    <w:rsid w:val="09E04166"/>
    <w:rsid w:val="0A0F4BBF"/>
    <w:rsid w:val="0A1C0718"/>
    <w:rsid w:val="0A3E7710"/>
    <w:rsid w:val="0A5B7E63"/>
    <w:rsid w:val="0A642BB8"/>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2AA3"/>
    <w:rsid w:val="0CFE707A"/>
    <w:rsid w:val="0D063BDA"/>
    <w:rsid w:val="0D08375F"/>
    <w:rsid w:val="0D184CFB"/>
    <w:rsid w:val="0D4A7419"/>
    <w:rsid w:val="0D827401"/>
    <w:rsid w:val="0D84094E"/>
    <w:rsid w:val="0D8A00E9"/>
    <w:rsid w:val="0D8D589E"/>
    <w:rsid w:val="0DA01C73"/>
    <w:rsid w:val="0DD2300E"/>
    <w:rsid w:val="0DD63300"/>
    <w:rsid w:val="0DE6400F"/>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435D4E"/>
    <w:rsid w:val="12530213"/>
    <w:rsid w:val="12726A51"/>
    <w:rsid w:val="127723A9"/>
    <w:rsid w:val="12862074"/>
    <w:rsid w:val="12883966"/>
    <w:rsid w:val="129E45B4"/>
    <w:rsid w:val="12BE7AA0"/>
    <w:rsid w:val="12D81596"/>
    <w:rsid w:val="13072A44"/>
    <w:rsid w:val="135F4BE2"/>
    <w:rsid w:val="13734CC1"/>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7C0BD5"/>
    <w:rsid w:val="18817102"/>
    <w:rsid w:val="18830A15"/>
    <w:rsid w:val="18852B28"/>
    <w:rsid w:val="188B5321"/>
    <w:rsid w:val="190744C4"/>
    <w:rsid w:val="19932372"/>
    <w:rsid w:val="19A20DD5"/>
    <w:rsid w:val="19AE03F1"/>
    <w:rsid w:val="1A023DF9"/>
    <w:rsid w:val="1A071A03"/>
    <w:rsid w:val="1A1F16AE"/>
    <w:rsid w:val="1A3B5C77"/>
    <w:rsid w:val="1A984BAD"/>
    <w:rsid w:val="1AB8220E"/>
    <w:rsid w:val="1ABF0FF7"/>
    <w:rsid w:val="1AE4166C"/>
    <w:rsid w:val="1AF06CFB"/>
    <w:rsid w:val="1AF11B8D"/>
    <w:rsid w:val="1B11359C"/>
    <w:rsid w:val="1B285796"/>
    <w:rsid w:val="1B2A271F"/>
    <w:rsid w:val="1B530544"/>
    <w:rsid w:val="1B713184"/>
    <w:rsid w:val="1BA209CF"/>
    <w:rsid w:val="1BB4777D"/>
    <w:rsid w:val="1BD75AB8"/>
    <w:rsid w:val="1C0459C2"/>
    <w:rsid w:val="1C1B3B4A"/>
    <w:rsid w:val="1C88086E"/>
    <w:rsid w:val="1D266CE1"/>
    <w:rsid w:val="1D3963AF"/>
    <w:rsid w:val="1D4074BD"/>
    <w:rsid w:val="1D6A673C"/>
    <w:rsid w:val="1D816151"/>
    <w:rsid w:val="1D9247AE"/>
    <w:rsid w:val="1DB45D52"/>
    <w:rsid w:val="1DB567EC"/>
    <w:rsid w:val="1DF51A98"/>
    <w:rsid w:val="1E3D060F"/>
    <w:rsid w:val="1E3F7D2E"/>
    <w:rsid w:val="1E4134E4"/>
    <w:rsid w:val="1E5062B3"/>
    <w:rsid w:val="1E523514"/>
    <w:rsid w:val="1E57048B"/>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0C3706A"/>
    <w:rsid w:val="211116EB"/>
    <w:rsid w:val="211641D5"/>
    <w:rsid w:val="216133FC"/>
    <w:rsid w:val="21CE589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E4C72"/>
    <w:rsid w:val="25386BEC"/>
    <w:rsid w:val="254B321A"/>
    <w:rsid w:val="25755DC7"/>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BFF1D8B"/>
    <w:rsid w:val="2C02237E"/>
    <w:rsid w:val="2C09049E"/>
    <w:rsid w:val="2C0A653C"/>
    <w:rsid w:val="2C191F85"/>
    <w:rsid w:val="2CE82D6F"/>
    <w:rsid w:val="2D343236"/>
    <w:rsid w:val="2D8762FF"/>
    <w:rsid w:val="2D9D5735"/>
    <w:rsid w:val="2DD15014"/>
    <w:rsid w:val="2DF72DE4"/>
    <w:rsid w:val="2E0220AF"/>
    <w:rsid w:val="2E450300"/>
    <w:rsid w:val="2E4B082A"/>
    <w:rsid w:val="2E4B710B"/>
    <w:rsid w:val="2E5D4E86"/>
    <w:rsid w:val="2E5D790B"/>
    <w:rsid w:val="2E9A3C18"/>
    <w:rsid w:val="2EBB0FEE"/>
    <w:rsid w:val="2EC63002"/>
    <w:rsid w:val="2F0A6B38"/>
    <w:rsid w:val="2F946CCB"/>
    <w:rsid w:val="2F9D093E"/>
    <w:rsid w:val="2FC416DC"/>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B123C"/>
    <w:rsid w:val="336963EB"/>
    <w:rsid w:val="33816EEB"/>
    <w:rsid w:val="33945FB2"/>
    <w:rsid w:val="33AB6E04"/>
    <w:rsid w:val="33EB55CD"/>
    <w:rsid w:val="33EC4C02"/>
    <w:rsid w:val="340D2360"/>
    <w:rsid w:val="3410665D"/>
    <w:rsid w:val="34211214"/>
    <w:rsid w:val="34264D66"/>
    <w:rsid w:val="342E63AB"/>
    <w:rsid w:val="34303663"/>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F410B"/>
    <w:rsid w:val="379320DC"/>
    <w:rsid w:val="37EE7094"/>
    <w:rsid w:val="38296C89"/>
    <w:rsid w:val="383002EB"/>
    <w:rsid w:val="38586797"/>
    <w:rsid w:val="388A5A92"/>
    <w:rsid w:val="38BC0149"/>
    <w:rsid w:val="38D87D1C"/>
    <w:rsid w:val="394F6A60"/>
    <w:rsid w:val="39636459"/>
    <w:rsid w:val="396B7F6C"/>
    <w:rsid w:val="39B417A9"/>
    <w:rsid w:val="39FC5695"/>
    <w:rsid w:val="3A006D8E"/>
    <w:rsid w:val="3A3651E5"/>
    <w:rsid w:val="3A744481"/>
    <w:rsid w:val="3A8C7BEF"/>
    <w:rsid w:val="3A906246"/>
    <w:rsid w:val="3ADE15A9"/>
    <w:rsid w:val="3AEE244B"/>
    <w:rsid w:val="3AF80994"/>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84443"/>
    <w:rsid w:val="3E0D48F6"/>
    <w:rsid w:val="3E173A67"/>
    <w:rsid w:val="3E1868B4"/>
    <w:rsid w:val="3E377251"/>
    <w:rsid w:val="3E42664B"/>
    <w:rsid w:val="3E5A7334"/>
    <w:rsid w:val="3E7B5D6B"/>
    <w:rsid w:val="3E843E66"/>
    <w:rsid w:val="3E8F51FE"/>
    <w:rsid w:val="3E926F87"/>
    <w:rsid w:val="3E9A59DE"/>
    <w:rsid w:val="3EAF4836"/>
    <w:rsid w:val="3EB935FE"/>
    <w:rsid w:val="3EC040FF"/>
    <w:rsid w:val="3EC33DFA"/>
    <w:rsid w:val="3F060E16"/>
    <w:rsid w:val="3F1D1096"/>
    <w:rsid w:val="3F2F0234"/>
    <w:rsid w:val="3F5A59FE"/>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11BC"/>
    <w:rsid w:val="428667D2"/>
    <w:rsid w:val="42CD1CE0"/>
    <w:rsid w:val="42E1381E"/>
    <w:rsid w:val="42ED6459"/>
    <w:rsid w:val="42F773F9"/>
    <w:rsid w:val="42FE58DD"/>
    <w:rsid w:val="43170510"/>
    <w:rsid w:val="43174B3D"/>
    <w:rsid w:val="434B790E"/>
    <w:rsid w:val="4360274F"/>
    <w:rsid w:val="43977AB6"/>
    <w:rsid w:val="43A3342B"/>
    <w:rsid w:val="43C77C27"/>
    <w:rsid w:val="43DE09EE"/>
    <w:rsid w:val="44002FAD"/>
    <w:rsid w:val="44435612"/>
    <w:rsid w:val="44555834"/>
    <w:rsid w:val="449101DD"/>
    <w:rsid w:val="44BF09B5"/>
    <w:rsid w:val="44DE1391"/>
    <w:rsid w:val="451B225C"/>
    <w:rsid w:val="452410C9"/>
    <w:rsid w:val="45317DFB"/>
    <w:rsid w:val="456D3CE4"/>
    <w:rsid w:val="45785C7E"/>
    <w:rsid w:val="4579042C"/>
    <w:rsid w:val="457F0571"/>
    <w:rsid w:val="45851176"/>
    <w:rsid w:val="45C63B94"/>
    <w:rsid w:val="460E7DA5"/>
    <w:rsid w:val="462162FF"/>
    <w:rsid w:val="46422483"/>
    <w:rsid w:val="4659254A"/>
    <w:rsid w:val="465B0637"/>
    <w:rsid w:val="465E3F0D"/>
    <w:rsid w:val="46695FAC"/>
    <w:rsid w:val="466A16E6"/>
    <w:rsid w:val="46893F2B"/>
    <w:rsid w:val="468F5B09"/>
    <w:rsid w:val="469C551D"/>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8565E5"/>
    <w:rsid w:val="4AB420B3"/>
    <w:rsid w:val="4AB82D0F"/>
    <w:rsid w:val="4AEB7664"/>
    <w:rsid w:val="4AFD7C19"/>
    <w:rsid w:val="4B0567D1"/>
    <w:rsid w:val="4B1B18ED"/>
    <w:rsid w:val="4B236AAE"/>
    <w:rsid w:val="4B707271"/>
    <w:rsid w:val="4B9739F7"/>
    <w:rsid w:val="4BEE2503"/>
    <w:rsid w:val="4C1A40B9"/>
    <w:rsid w:val="4C245A30"/>
    <w:rsid w:val="4C2F7592"/>
    <w:rsid w:val="4C8126EE"/>
    <w:rsid w:val="4CB6685F"/>
    <w:rsid w:val="4CC367FE"/>
    <w:rsid w:val="4CFF11CA"/>
    <w:rsid w:val="4D077F3C"/>
    <w:rsid w:val="4D123355"/>
    <w:rsid w:val="4D260D93"/>
    <w:rsid w:val="4D2A3B31"/>
    <w:rsid w:val="4D312C52"/>
    <w:rsid w:val="4D905305"/>
    <w:rsid w:val="4D964A72"/>
    <w:rsid w:val="4D9C1254"/>
    <w:rsid w:val="4E606D65"/>
    <w:rsid w:val="4E6D66C7"/>
    <w:rsid w:val="4E793892"/>
    <w:rsid w:val="4E800872"/>
    <w:rsid w:val="4EC569ED"/>
    <w:rsid w:val="4ED50EA1"/>
    <w:rsid w:val="4EEC050C"/>
    <w:rsid w:val="4F104EC3"/>
    <w:rsid w:val="4F47354A"/>
    <w:rsid w:val="4F911C54"/>
    <w:rsid w:val="4FE625E0"/>
    <w:rsid w:val="5021480F"/>
    <w:rsid w:val="503724AD"/>
    <w:rsid w:val="50750E8F"/>
    <w:rsid w:val="50962ECB"/>
    <w:rsid w:val="50A42E38"/>
    <w:rsid w:val="50A4577F"/>
    <w:rsid w:val="50B73D1F"/>
    <w:rsid w:val="50BD5BC9"/>
    <w:rsid w:val="50C11EEE"/>
    <w:rsid w:val="50E97CFC"/>
    <w:rsid w:val="50FA4028"/>
    <w:rsid w:val="510D65B7"/>
    <w:rsid w:val="511157AB"/>
    <w:rsid w:val="513A7EE4"/>
    <w:rsid w:val="5142540C"/>
    <w:rsid w:val="518832C8"/>
    <w:rsid w:val="51966964"/>
    <w:rsid w:val="51A0432A"/>
    <w:rsid w:val="51A86090"/>
    <w:rsid w:val="51B7396D"/>
    <w:rsid w:val="522E4CC3"/>
    <w:rsid w:val="5244713B"/>
    <w:rsid w:val="52615633"/>
    <w:rsid w:val="527A37F7"/>
    <w:rsid w:val="52977FD4"/>
    <w:rsid w:val="52A20C63"/>
    <w:rsid w:val="52A25790"/>
    <w:rsid w:val="52A96B6F"/>
    <w:rsid w:val="52B45975"/>
    <w:rsid w:val="52D94AA4"/>
    <w:rsid w:val="52DE4217"/>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83B1B"/>
    <w:rsid w:val="55A8376B"/>
    <w:rsid w:val="55AA3C5E"/>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33C36"/>
    <w:rsid w:val="587232C9"/>
    <w:rsid w:val="58917D2F"/>
    <w:rsid w:val="5894085C"/>
    <w:rsid w:val="58AE4F0C"/>
    <w:rsid w:val="58B85899"/>
    <w:rsid w:val="58E363A9"/>
    <w:rsid w:val="592A6F65"/>
    <w:rsid w:val="595E1678"/>
    <w:rsid w:val="596D5BD4"/>
    <w:rsid w:val="597E3DD8"/>
    <w:rsid w:val="599F73C0"/>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B8C0644"/>
    <w:rsid w:val="5C02690E"/>
    <w:rsid w:val="5C196DA7"/>
    <w:rsid w:val="5C2A048C"/>
    <w:rsid w:val="5C80234E"/>
    <w:rsid w:val="5C8A680C"/>
    <w:rsid w:val="5D0C4701"/>
    <w:rsid w:val="5D0F0395"/>
    <w:rsid w:val="5D221076"/>
    <w:rsid w:val="5D397964"/>
    <w:rsid w:val="5D56177D"/>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5073D"/>
    <w:rsid w:val="5F8D0B82"/>
    <w:rsid w:val="5FCC5339"/>
    <w:rsid w:val="5FE34A5B"/>
    <w:rsid w:val="5FFE1E36"/>
    <w:rsid w:val="60232584"/>
    <w:rsid w:val="607330CE"/>
    <w:rsid w:val="60825176"/>
    <w:rsid w:val="609F15BA"/>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7806C9"/>
    <w:rsid w:val="62885958"/>
    <w:rsid w:val="62F40B65"/>
    <w:rsid w:val="62FC2CFE"/>
    <w:rsid w:val="63024505"/>
    <w:rsid w:val="63501431"/>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B46FD3"/>
    <w:rsid w:val="65C56262"/>
    <w:rsid w:val="66195831"/>
    <w:rsid w:val="662E75B1"/>
    <w:rsid w:val="66342C2E"/>
    <w:rsid w:val="663E784C"/>
    <w:rsid w:val="668B6A45"/>
    <w:rsid w:val="672F3F24"/>
    <w:rsid w:val="67320212"/>
    <w:rsid w:val="673E055F"/>
    <w:rsid w:val="674958FD"/>
    <w:rsid w:val="67527824"/>
    <w:rsid w:val="67551CE3"/>
    <w:rsid w:val="67A22552"/>
    <w:rsid w:val="67B22DCC"/>
    <w:rsid w:val="67BE71AA"/>
    <w:rsid w:val="67D90273"/>
    <w:rsid w:val="67DE5875"/>
    <w:rsid w:val="67E55852"/>
    <w:rsid w:val="67EB1AB4"/>
    <w:rsid w:val="67FA1285"/>
    <w:rsid w:val="68345480"/>
    <w:rsid w:val="68551F4F"/>
    <w:rsid w:val="687C10C9"/>
    <w:rsid w:val="68840C16"/>
    <w:rsid w:val="68876EFB"/>
    <w:rsid w:val="68884654"/>
    <w:rsid w:val="689F444F"/>
    <w:rsid w:val="68B96DBB"/>
    <w:rsid w:val="68C76B21"/>
    <w:rsid w:val="68CA2805"/>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2B515B"/>
    <w:rsid w:val="6F354CD2"/>
    <w:rsid w:val="6F8331F1"/>
    <w:rsid w:val="6FAE1A09"/>
    <w:rsid w:val="6FB915D7"/>
    <w:rsid w:val="6FD75BF8"/>
    <w:rsid w:val="707723D0"/>
    <w:rsid w:val="70F5661B"/>
    <w:rsid w:val="71260E18"/>
    <w:rsid w:val="71360107"/>
    <w:rsid w:val="713B688E"/>
    <w:rsid w:val="71CF0384"/>
    <w:rsid w:val="71D43752"/>
    <w:rsid w:val="71F1796A"/>
    <w:rsid w:val="72154626"/>
    <w:rsid w:val="72262B5D"/>
    <w:rsid w:val="72283FF7"/>
    <w:rsid w:val="722E7212"/>
    <w:rsid w:val="723A0474"/>
    <w:rsid w:val="725923E4"/>
    <w:rsid w:val="72864BF7"/>
    <w:rsid w:val="729023FC"/>
    <w:rsid w:val="72A116D3"/>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3B61E6"/>
    <w:rsid w:val="7654288F"/>
    <w:rsid w:val="765D347C"/>
    <w:rsid w:val="76826699"/>
    <w:rsid w:val="76C87133"/>
    <w:rsid w:val="76CD08D5"/>
    <w:rsid w:val="76DB4B92"/>
    <w:rsid w:val="77052AA4"/>
    <w:rsid w:val="77136511"/>
    <w:rsid w:val="77340A39"/>
    <w:rsid w:val="77351FD0"/>
    <w:rsid w:val="77472422"/>
    <w:rsid w:val="774A3380"/>
    <w:rsid w:val="777F31F2"/>
    <w:rsid w:val="77D1700D"/>
    <w:rsid w:val="77EC04CC"/>
    <w:rsid w:val="77F331BA"/>
    <w:rsid w:val="78775729"/>
    <w:rsid w:val="78A42DB0"/>
    <w:rsid w:val="78A656AB"/>
    <w:rsid w:val="78B2245C"/>
    <w:rsid w:val="78E172CC"/>
    <w:rsid w:val="78EA1D1F"/>
    <w:rsid w:val="78FA0EDF"/>
    <w:rsid w:val="7904172F"/>
    <w:rsid w:val="790F7E27"/>
    <w:rsid w:val="792A231A"/>
    <w:rsid w:val="79316829"/>
    <w:rsid w:val="797E66A9"/>
    <w:rsid w:val="79960FDD"/>
    <w:rsid w:val="79A97383"/>
    <w:rsid w:val="79E27E8B"/>
    <w:rsid w:val="79F850CE"/>
    <w:rsid w:val="79FD443C"/>
    <w:rsid w:val="7A1D1975"/>
    <w:rsid w:val="7A3E5150"/>
    <w:rsid w:val="7A4670D6"/>
    <w:rsid w:val="7A534B63"/>
    <w:rsid w:val="7A615382"/>
    <w:rsid w:val="7A67303B"/>
    <w:rsid w:val="7A7E219D"/>
    <w:rsid w:val="7AAB1D04"/>
    <w:rsid w:val="7ABA4368"/>
    <w:rsid w:val="7AD05746"/>
    <w:rsid w:val="7B191EC6"/>
    <w:rsid w:val="7B257FFD"/>
    <w:rsid w:val="7B343476"/>
    <w:rsid w:val="7B5A2978"/>
    <w:rsid w:val="7B5A7E4C"/>
    <w:rsid w:val="7B667AF9"/>
    <w:rsid w:val="7B7468F8"/>
    <w:rsid w:val="7BAD6ADF"/>
    <w:rsid w:val="7BEE0103"/>
    <w:rsid w:val="7C0A0FE4"/>
    <w:rsid w:val="7C254906"/>
    <w:rsid w:val="7C590818"/>
    <w:rsid w:val="7C7C10F6"/>
    <w:rsid w:val="7C853BEA"/>
    <w:rsid w:val="7C881368"/>
    <w:rsid w:val="7CAD556F"/>
    <w:rsid w:val="7CE0713F"/>
    <w:rsid w:val="7CE27788"/>
    <w:rsid w:val="7D0C32F1"/>
    <w:rsid w:val="7D0F408D"/>
    <w:rsid w:val="7D491C6C"/>
    <w:rsid w:val="7D5429C0"/>
    <w:rsid w:val="7D6E6D43"/>
    <w:rsid w:val="7DB57A34"/>
    <w:rsid w:val="7DE60973"/>
    <w:rsid w:val="7DEF0916"/>
    <w:rsid w:val="7E0155BF"/>
    <w:rsid w:val="7E1E5218"/>
    <w:rsid w:val="7E9A4E1F"/>
    <w:rsid w:val="7EA7723A"/>
    <w:rsid w:val="7EDC29E7"/>
    <w:rsid w:val="7EF56FBB"/>
    <w:rsid w:val="7F0768EB"/>
    <w:rsid w:val="7F143BEC"/>
    <w:rsid w:val="7F715AF2"/>
    <w:rsid w:val="7F886E69"/>
    <w:rsid w:val="7FE55DD2"/>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9"/>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656"/>
    <w:qFormat/>
    <w:uiPriority w:val="0"/>
    <w:pPr>
      <w:adjustRightInd/>
      <w:spacing w:after="120" w:line="240" w:lineRule="auto"/>
      <w:ind w:left="420" w:leftChars="200" w:firstLine="210"/>
    </w:pPr>
    <w:rPr>
      <w:sz w:val="21"/>
    </w:rPr>
  </w:style>
  <w:style w:type="paragraph" w:styleId="3">
    <w:name w:val="Body Text Indent"/>
    <w:basedOn w:val="1"/>
    <w:next w:val="4"/>
    <w:link w:val="784"/>
    <w:qFormat/>
    <w:uiPriority w:val="0"/>
    <w:pPr>
      <w:spacing w:line="480" w:lineRule="exact"/>
      <w:ind w:firstLine="480" w:firstLineChars="200"/>
    </w:pPr>
    <w:rPr>
      <w:rFonts w:ascii="宋体" w:hAnsi="宋体"/>
      <w:sz w:val="24"/>
    </w:rPr>
  </w:style>
  <w:style w:type="paragraph" w:customStyle="1" w:styleId="4">
    <w:name w:val="正文文本首行缩进 2"/>
    <w:basedOn w:val="3"/>
    <w:qFormat/>
    <w:uiPriority w:val="99"/>
    <w:pPr>
      <w:spacing w:line="200" w:lineRule="atLeast"/>
      <w:ind w:firstLine="420"/>
    </w:pPr>
    <w:rPr>
      <w:rFonts w:ascii="宋体" w:hAnsi="Courier New"/>
      <w:spacing w:val="-4"/>
      <w:sz w:val="18"/>
    </w:rPr>
  </w:style>
  <w:style w:type="paragraph" w:styleId="8">
    <w:name w:val="Normal Indent"/>
    <w:basedOn w:val="1"/>
    <w:next w:val="3"/>
    <w:link w:val="721"/>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3"/>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8"/>
    <w:qFormat/>
    <w:uiPriority w:val="0"/>
    <w:pPr>
      <w:shd w:val="clear" w:color="auto" w:fill="000080"/>
    </w:pPr>
  </w:style>
  <w:style w:type="paragraph" w:styleId="22">
    <w:name w:val="annotation text"/>
    <w:basedOn w:val="1"/>
    <w:link w:val="856"/>
    <w:qFormat/>
    <w:uiPriority w:val="99"/>
    <w:pPr>
      <w:jc w:val="left"/>
    </w:pPr>
  </w:style>
  <w:style w:type="paragraph" w:styleId="23">
    <w:name w:val="Salutation"/>
    <w:basedOn w:val="1"/>
    <w:next w:val="1"/>
    <w:link w:val="816"/>
    <w:qFormat/>
    <w:uiPriority w:val="0"/>
    <w:rPr>
      <w:rFonts w:ascii="仿宋_GB2312" w:eastAsia="仿宋_GB2312"/>
      <w:sz w:val="28"/>
      <w:szCs w:val="20"/>
    </w:rPr>
  </w:style>
  <w:style w:type="paragraph" w:styleId="24">
    <w:name w:val="Body Text 3"/>
    <w:basedOn w:val="1"/>
    <w:link w:val="84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3"/>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5"/>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6"/>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5"/>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0"/>
    <w:qFormat/>
    <w:uiPriority w:val="0"/>
    <w:pPr>
      <w:spacing w:after="120" w:line="480" w:lineRule="auto"/>
    </w:pPr>
  </w:style>
  <w:style w:type="paragraph" w:styleId="60">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2"/>
    <w:next w:val="22"/>
    <w:link w:val="633"/>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uiPriority w:val="0"/>
    <w:rPr>
      <w:rFonts w:ascii="Courier New" w:hAnsi="Courier New"/>
    </w:r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BodyText"/>
    <w:basedOn w:val="1"/>
    <w:qFormat/>
    <w:uiPriority w:val="0"/>
    <w:pPr>
      <w:jc w:val="both"/>
      <w:textAlignment w:val="baseline"/>
    </w:pPr>
    <w:rPr>
      <w:rFonts w:ascii="等线" w:hAnsi="等线" w:eastAsia="??"/>
      <w:kern w:val="2"/>
      <w:sz w:val="24"/>
      <w:szCs w:val="28"/>
      <w:lang w:val="en-US" w:eastAsia="zh-CN" w:bidi="ar-SA"/>
    </w:rPr>
  </w:style>
  <w:style w:type="paragraph" w:customStyle="1" w:styleId="84">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5">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5"/>
    <w:qFormat/>
    <w:uiPriority w:val="0"/>
    <w:pPr>
      <w:spacing w:before="156" w:line="360" w:lineRule="auto"/>
      <w:ind w:firstLine="510" w:firstLineChars="200"/>
    </w:pPr>
    <w:rPr>
      <w:sz w:val="24"/>
      <w:szCs w:val="20"/>
    </w:rPr>
  </w:style>
  <w:style w:type="paragraph" w:customStyle="1" w:styleId="91">
    <w:name w:val="无间隔1"/>
    <w:link w:val="673"/>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1"/>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6"/>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6"/>
    <w:qFormat/>
    <w:uiPriority w:val="0"/>
    <w:pPr>
      <w:ind w:left="0" w:right="466" w:firstLine="288"/>
    </w:pPr>
    <w:rPr>
      <w:rFonts w:hAnsi="宋体"/>
    </w:rPr>
  </w:style>
  <w:style w:type="paragraph" w:customStyle="1" w:styleId="98">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9"/>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68"/>
    <w:qFormat/>
    <w:uiPriority w:val="0"/>
    <w:pPr>
      <w:adjustRightInd/>
      <w:spacing w:line="360" w:lineRule="auto"/>
      <w:ind w:firstLine="480" w:firstLineChars="200"/>
    </w:pPr>
    <w:rPr>
      <w:kern w:val="0"/>
      <w:sz w:val="24"/>
    </w:rPr>
  </w:style>
  <w:style w:type="paragraph" w:customStyle="1" w:styleId="103">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799"/>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1"/>
    <w:qFormat/>
    <w:uiPriority w:val="0"/>
    <w:pPr>
      <w:tabs>
        <w:tab w:val="left" w:pos="2356"/>
      </w:tabs>
    </w:pPr>
  </w:style>
  <w:style w:type="paragraph" w:customStyle="1" w:styleId="108">
    <w:name w:val="样式 标题 4h4H4Fab-4T5Ref Heading 1rh1Heading sqlsect 1.2.3...."/>
    <w:basedOn w:val="9"/>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4"/>
    <w:qFormat/>
    <w:uiPriority w:val="0"/>
    <w:pPr>
      <w:adjustRightInd/>
    </w:pPr>
    <w:rPr>
      <w:rFonts w:ascii="宋体" w:hAnsi="Courier New"/>
      <w:kern w:val="0"/>
      <w:sz w:val="20"/>
      <w:szCs w:val="20"/>
    </w:rPr>
  </w:style>
  <w:style w:type="paragraph" w:customStyle="1" w:styleId="111">
    <w:name w:val="正文说明"/>
    <w:basedOn w:val="1"/>
    <w:link w:val="846"/>
    <w:qFormat/>
    <w:uiPriority w:val="0"/>
    <w:pPr>
      <w:adjustRightInd/>
      <w:spacing w:line="360" w:lineRule="auto"/>
    </w:pPr>
    <w:rPr>
      <w:kern w:val="0"/>
      <w:sz w:val="24"/>
    </w:rPr>
  </w:style>
  <w:style w:type="paragraph" w:customStyle="1" w:styleId="112">
    <w:name w:val="Table Text"/>
    <w:basedOn w:val="1"/>
    <w:link w:val="852"/>
    <w:qFormat/>
    <w:uiPriority w:val="0"/>
    <w:pPr>
      <w:widowControl/>
      <w:spacing w:before="60" w:after="60"/>
      <w:jc w:val="left"/>
    </w:pPr>
    <w:rPr>
      <w:kern w:val="0"/>
      <w:sz w:val="24"/>
    </w:rPr>
  </w:style>
  <w:style w:type="paragraph" w:customStyle="1" w:styleId="113">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8"/>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9"/>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2"/>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7"/>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10"/>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7"/>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9">
    <w:name w:val="_Style 3"/>
    <w:basedOn w:val="1"/>
    <w:qFormat/>
    <w:uiPriority w:val="0"/>
    <w:pPr>
      <w:adjustRightInd/>
      <w:ind w:firstLine="420" w:firstLineChars="200"/>
    </w:pPr>
    <w:rPr>
      <w:rFonts w:eastAsia="仿宋_GB2312"/>
      <w:sz w:val="28"/>
    </w:rPr>
  </w:style>
  <w:style w:type="paragraph" w:customStyle="1" w:styleId="2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1">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2">
    <w:name w:val="左对齐表格文字"/>
    <w:basedOn w:val="1"/>
    <w:qFormat/>
    <w:uiPriority w:val="0"/>
    <w:pPr>
      <w:adjustRightInd/>
      <w:ind w:firstLine="200" w:firstLineChars="200"/>
      <w:jc w:val="right"/>
    </w:pPr>
  </w:style>
  <w:style w:type="paragraph" w:customStyle="1" w:styleId="213">
    <w:name w:val="Char Char11 Char Char Char Char Char Char Char Char Char"/>
    <w:basedOn w:val="1"/>
    <w:qFormat/>
    <w:uiPriority w:val="0"/>
    <w:pPr>
      <w:spacing w:line="360" w:lineRule="auto"/>
    </w:pPr>
    <w:rPr>
      <w:szCs w:val="20"/>
    </w:rPr>
  </w:style>
  <w:style w:type="paragraph" w:customStyle="1" w:styleId="214">
    <w:name w:val="正文1.25"/>
    <w:basedOn w:val="1"/>
    <w:qFormat/>
    <w:uiPriority w:val="0"/>
    <w:pPr>
      <w:adjustRightInd/>
      <w:spacing w:line="300" w:lineRule="auto"/>
      <w:ind w:firstLine="480" w:firstLineChars="200"/>
    </w:pPr>
    <w:rPr>
      <w:sz w:val="24"/>
      <w:szCs w:val="20"/>
    </w:rPr>
  </w:style>
  <w:style w:type="paragraph" w:customStyle="1" w:styleId="21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8">
    <w:name w:val="Char Char1 Char Char Char1"/>
    <w:basedOn w:val="1"/>
    <w:qFormat/>
    <w:uiPriority w:val="6"/>
    <w:rPr>
      <w:rFonts w:ascii="仿宋_GB2312" w:eastAsia="仿宋_GB2312"/>
      <w:b/>
      <w:sz w:val="32"/>
      <w:szCs w:val="20"/>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默认段落字体 Para Char Char Char Char Char Char Char"/>
    <w:basedOn w:val="1"/>
    <w:qFormat/>
    <w:uiPriority w:val="0"/>
    <w:rPr>
      <w:rFonts w:eastAsia="仿宋_GB2312"/>
      <w:sz w:val="28"/>
      <w:szCs w:val="20"/>
    </w:rPr>
  </w:style>
  <w:style w:type="paragraph" w:customStyle="1" w:styleId="22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2">
    <w:name w:val="样式 标题 4PIM 4H4h4bulletblbbH41H42H43H44H45H46H47H48...1"/>
    <w:basedOn w:val="9"/>
    <w:qFormat/>
    <w:uiPriority w:val="0"/>
    <w:pPr>
      <w:widowControl/>
      <w:jc w:val="left"/>
    </w:pPr>
    <w:rPr>
      <w:rFonts w:cs="宋体"/>
      <w:sz w:val="24"/>
      <w:szCs w:val="20"/>
    </w:rPr>
  </w:style>
  <w:style w:type="paragraph" w:customStyle="1" w:styleId="223">
    <w:name w:val="彩色列表 - 强调文字颜色 11"/>
    <w:basedOn w:val="1"/>
    <w:qFormat/>
    <w:uiPriority w:val="0"/>
    <w:pPr>
      <w:adjustRightInd/>
      <w:ind w:firstLine="420" w:firstLineChars="200"/>
    </w:pPr>
    <w:rPr>
      <w:rFonts w:ascii="Calibri" w:hAnsi="Calibri"/>
      <w:szCs w:val="22"/>
    </w:rPr>
  </w:style>
  <w:style w:type="paragraph" w:customStyle="1" w:styleId="22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7">
    <w:name w:val="Char Char Char1 Char1"/>
    <w:basedOn w:val="1"/>
    <w:qFormat/>
    <w:uiPriority w:val="6"/>
    <w:rPr>
      <w:szCs w:val="20"/>
    </w:rPr>
  </w:style>
  <w:style w:type="paragraph" w:customStyle="1" w:styleId="22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3">
    <w:name w:val="CM14"/>
    <w:basedOn w:val="101"/>
    <w:next w:val="101"/>
    <w:qFormat/>
    <w:uiPriority w:val="0"/>
    <w:pPr>
      <w:spacing w:after="68"/>
    </w:pPr>
    <w:rPr>
      <w:rFonts w:ascii="FHLHE E+ Futura Bk" w:eastAsia="FHLHE E+ Futura Bk" w:cs="Times New Roman"/>
      <w:color w:val="auto"/>
    </w:rPr>
  </w:style>
  <w:style w:type="paragraph" w:customStyle="1" w:styleId="23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7">
    <w:name w:val="正文文字 2"/>
    <w:basedOn w:val="101"/>
    <w:next w:val="101"/>
    <w:qFormat/>
    <w:uiPriority w:val="0"/>
    <w:rPr>
      <w:rFonts w:ascii="宋体" w:eastAsia="宋体" w:cs="Times New Roman"/>
      <w:color w:val="auto"/>
    </w:rPr>
  </w:style>
  <w:style w:type="paragraph" w:customStyle="1" w:styleId="23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9">
    <w:name w:val="Char Char1 Char"/>
    <w:basedOn w:val="1"/>
    <w:qFormat/>
    <w:uiPriority w:val="0"/>
    <w:rPr>
      <w:rFonts w:ascii="仿宋_GB2312" w:eastAsia="仿宋_GB2312"/>
      <w:b/>
      <w:sz w:val="32"/>
      <w:szCs w:val="32"/>
    </w:rPr>
  </w:style>
  <w:style w:type="paragraph" w:customStyle="1" w:styleId="24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2">
    <w:name w:val="Char Char111"/>
    <w:basedOn w:val="1"/>
    <w:qFormat/>
    <w:uiPriority w:val="0"/>
    <w:pPr>
      <w:spacing w:line="360" w:lineRule="auto"/>
    </w:pPr>
    <w:rPr>
      <w:szCs w:val="20"/>
    </w:rPr>
  </w:style>
  <w:style w:type="paragraph" w:customStyle="1" w:styleId="243">
    <w:name w:val="Char"/>
    <w:basedOn w:val="1"/>
    <w:qFormat/>
    <w:uiPriority w:val="0"/>
    <w:rPr>
      <w:rFonts w:ascii="仿宋_GB2312" w:eastAsia="仿宋_GB2312"/>
      <w:b/>
      <w:sz w:val="32"/>
      <w:szCs w:val="32"/>
    </w:rPr>
  </w:style>
  <w:style w:type="paragraph" w:customStyle="1" w:styleId="24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6">
    <w:name w:val="Char Char Char1 Char"/>
    <w:basedOn w:val="1"/>
    <w:qFormat/>
    <w:uiPriority w:val="0"/>
    <w:rPr>
      <w:szCs w:val="20"/>
    </w:rPr>
  </w:style>
  <w:style w:type="paragraph" w:customStyle="1" w:styleId="247">
    <w:name w:val="正文标准"/>
    <w:basedOn w:val="1"/>
    <w:qFormat/>
    <w:uiPriority w:val="0"/>
    <w:pPr>
      <w:adjustRightInd/>
      <w:spacing w:line="360" w:lineRule="auto"/>
      <w:ind w:firstLine="200" w:firstLineChars="200"/>
    </w:pPr>
    <w:rPr>
      <w:rFonts w:ascii="宋体" w:hAnsi="Calibri"/>
      <w:sz w:val="24"/>
    </w:rPr>
  </w:style>
  <w:style w:type="paragraph" w:customStyle="1" w:styleId="24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0">
    <w:name w:val="Char Char Char Char Char Char Char Char Char Char"/>
    <w:basedOn w:val="1"/>
    <w:qFormat/>
    <w:uiPriority w:val="0"/>
    <w:rPr>
      <w:rFonts w:ascii="仿宋_GB2312" w:eastAsia="仿宋_GB2312"/>
      <w:b/>
      <w:sz w:val="32"/>
      <w:szCs w:val="32"/>
    </w:rPr>
  </w:style>
  <w:style w:type="paragraph" w:customStyle="1" w:styleId="26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2">
    <w:name w:val="_正文段落"/>
    <w:basedOn w:val="1"/>
    <w:qFormat/>
    <w:uiPriority w:val="0"/>
    <w:pPr>
      <w:adjustRightInd/>
      <w:ind w:firstLine="560"/>
    </w:pPr>
    <w:rPr>
      <w:rFonts w:ascii="仿宋_GB2312" w:hAnsi="仿宋" w:eastAsia="仿宋_GB2312"/>
      <w:kern w:val="0"/>
      <w:sz w:val="28"/>
      <w:szCs w:val="28"/>
    </w:rPr>
  </w:style>
  <w:style w:type="paragraph" w:customStyle="1" w:styleId="26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5">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9">
    <w:name w:val="Char Char Char1 Char2"/>
    <w:basedOn w:val="1"/>
    <w:qFormat/>
    <w:uiPriority w:val="0"/>
    <w:rPr>
      <w:szCs w:val="20"/>
    </w:rPr>
  </w:style>
  <w:style w:type="paragraph" w:customStyle="1" w:styleId="27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1">
    <w:name w:val="默认段落字体 Para Char"/>
    <w:basedOn w:val="1"/>
    <w:qFormat/>
    <w:uiPriority w:val="0"/>
    <w:rPr>
      <w:rFonts w:ascii="Tahoma" w:hAnsi="Tahoma"/>
      <w:sz w:val="24"/>
      <w:szCs w:val="20"/>
    </w:rPr>
  </w:style>
  <w:style w:type="paragraph" w:customStyle="1" w:styleId="272">
    <w:name w:val="标题五"/>
    <w:basedOn w:val="1"/>
    <w:qFormat/>
    <w:uiPriority w:val="0"/>
    <w:pPr>
      <w:adjustRightInd/>
      <w:spacing w:before="156" w:beforeLines="50" w:line="360" w:lineRule="auto"/>
    </w:pPr>
    <w:rPr>
      <w:b/>
      <w:sz w:val="24"/>
    </w:rPr>
  </w:style>
  <w:style w:type="paragraph" w:customStyle="1" w:styleId="273">
    <w:name w:val="Char Char1101"/>
    <w:basedOn w:val="1"/>
    <w:qFormat/>
    <w:uiPriority w:val="0"/>
    <w:pPr>
      <w:spacing w:line="360" w:lineRule="auto"/>
    </w:pPr>
    <w:rPr>
      <w:rFonts w:ascii="Tahoma" w:hAnsi="Tahoma"/>
      <w:sz w:val="24"/>
      <w:szCs w:val="20"/>
    </w:rPr>
  </w:style>
  <w:style w:type="paragraph" w:customStyle="1" w:styleId="274">
    <w:name w:val="Char Char Char Char Char Char Char Char1"/>
    <w:basedOn w:val="1"/>
    <w:qFormat/>
    <w:uiPriority w:val="0"/>
    <w:pPr>
      <w:tabs>
        <w:tab w:val="left" w:pos="360"/>
      </w:tabs>
    </w:pPr>
    <w:rPr>
      <w:sz w:val="24"/>
      <w:szCs w:val="20"/>
    </w:rPr>
  </w:style>
  <w:style w:type="paragraph" w:customStyle="1" w:styleId="275">
    <w:name w:val="Char Char Char 字元 字元"/>
    <w:basedOn w:val="1"/>
    <w:qFormat/>
    <w:uiPriority w:val="0"/>
    <w:pPr>
      <w:adjustRightInd/>
      <w:spacing w:line="360" w:lineRule="auto"/>
      <w:ind w:firstLine="200" w:firstLineChars="200"/>
    </w:pPr>
    <w:rPr>
      <w:szCs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7">
    <w:name w:val="Char Char Char Char Char Char Char"/>
    <w:basedOn w:val="1"/>
    <w:qFormat/>
    <w:uiPriority w:val="0"/>
    <w:rPr>
      <w:rFonts w:ascii="仿宋_GB2312" w:eastAsia="仿宋_GB2312"/>
      <w:b/>
      <w:sz w:val="32"/>
      <w:szCs w:val="32"/>
    </w:rPr>
  </w:style>
  <w:style w:type="paragraph" w:customStyle="1" w:styleId="27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0">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1">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2">
    <w:name w:val="批注框文本 Char Char"/>
    <w:basedOn w:val="1"/>
    <w:qFormat/>
    <w:uiPriority w:val="0"/>
    <w:pPr>
      <w:adjustRightInd/>
    </w:pPr>
    <w:rPr>
      <w:sz w:val="18"/>
      <w:szCs w:val="20"/>
    </w:rPr>
  </w:style>
  <w:style w:type="paragraph" w:customStyle="1" w:styleId="2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7">
    <w:name w:val="索引 11"/>
    <w:basedOn w:val="1"/>
    <w:next w:val="1"/>
    <w:qFormat/>
    <w:uiPriority w:val="99"/>
    <w:pPr>
      <w:adjustRightInd/>
      <w:spacing w:line="360" w:lineRule="auto"/>
    </w:pPr>
    <w:rPr>
      <w:rFonts w:ascii="仿宋_GB2312" w:eastAsia="仿宋_GB2312"/>
      <w:sz w:val="24"/>
      <w:szCs w:val="20"/>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0">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正文文字表格居中"/>
    <w:basedOn w:val="1"/>
    <w:next w:val="59"/>
    <w:qFormat/>
    <w:uiPriority w:val="0"/>
    <w:pPr>
      <w:snapToGrid w:val="0"/>
      <w:spacing w:line="360" w:lineRule="auto"/>
    </w:pPr>
    <w:rPr>
      <w:rFonts w:ascii="宋体"/>
      <w:b/>
      <w:sz w:val="24"/>
      <w:szCs w:val="20"/>
    </w:rPr>
  </w:style>
  <w:style w:type="paragraph" w:customStyle="1" w:styleId="2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5">
    <w:name w:val="Plain Text1"/>
    <w:basedOn w:val="1"/>
    <w:qFormat/>
    <w:uiPriority w:val="7"/>
    <w:pPr>
      <w:adjustRightInd/>
    </w:pPr>
    <w:rPr>
      <w:rFonts w:ascii="宋体" w:hAnsi="Courier New"/>
    </w:rPr>
  </w:style>
  <w:style w:type="paragraph" w:customStyle="1" w:styleId="296">
    <w:name w:val="Char3"/>
    <w:basedOn w:val="1"/>
    <w:qFormat/>
    <w:uiPriority w:val="0"/>
    <w:pPr>
      <w:adjustRightInd/>
    </w:pPr>
    <w:rPr>
      <w:rFonts w:ascii="仿宋_GB2312" w:eastAsia="仿宋_GB2312"/>
      <w:b/>
      <w:sz w:val="32"/>
      <w:szCs w:val="32"/>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9">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0">
    <w:name w:val="List Paragraph1"/>
    <w:basedOn w:val="1"/>
    <w:qFormat/>
    <w:uiPriority w:val="0"/>
    <w:pPr>
      <w:spacing w:line="360" w:lineRule="auto"/>
      <w:ind w:firstLine="200" w:firstLineChars="200"/>
    </w:pPr>
    <w:rPr>
      <w:rFonts w:eastAsia="楷体_GB2312" w:cs="Lucida Sans"/>
      <w:sz w:val="24"/>
    </w:rPr>
  </w:style>
  <w:style w:type="paragraph" w:customStyle="1" w:styleId="30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4">
    <w:name w:val="Char3 Char Char Char"/>
    <w:basedOn w:val="1"/>
    <w:qFormat/>
    <w:uiPriority w:val="0"/>
    <w:pPr>
      <w:widowControl/>
      <w:adjustRightInd/>
      <w:spacing w:after="160" w:line="240" w:lineRule="exact"/>
      <w:jc w:val="left"/>
    </w:pPr>
    <w:rPr>
      <w:szCs w:val="20"/>
    </w:rPr>
  </w:style>
  <w:style w:type="paragraph" w:customStyle="1" w:styleId="305">
    <w:name w:val="表格标题2"/>
    <w:basedOn w:val="306"/>
    <w:qFormat/>
    <w:uiPriority w:val="0"/>
    <w:rPr>
      <w:b/>
    </w:rPr>
  </w:style>
  <w:style w:type="paragraph" w:customStyle="1" w:styleId="306">
    <w:name w:val="表格内文"/>
    <w:basedOn w:val="1"/>
    <w:qFormat/>
    <w:uiPriority w:val="0"/>
    <w:pPr>
      <w:adjustRightInd/>
      <w:spacing w:line="360" w:lineRule="auto"/>
    </w:pPr>
    <w:rPr>
      <w:rFonts w:ascii="宋体" w:hAnsi="宋体" w:cs="宋体"/>
      <w:color w:val="000000"/>
      <w:szCs w:val="20"/>
    </w:rPr>
  </w:style>
  <w:style w:type="paragraph" w:customStyle="1" w:styleId="307">
    <w:name w:val="Char Char Char Char Char Char Char Char Char Char2"/>
    <w:basedOn w:val="1"/>
    <w:qFormat/>
    <w:uiPriority w:val="0"/>
    <w:rPr>
      <w:rFonts w:ascii="仿宋_GB2312" w:eastAsia="仿宋_GB2312"/>
      <w:b/>
      <w:sz w:val="32"/>
      <w:szCs w:val="32"/>
    </w:rPr>
  </w:style>
  <w:style w:type="paragraph" w:customStyle="1" w:styleId="30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0">
    <w:name w:val="Char Char11 Char Char Char Char Char Char Char Char Char11"/>
    <w:basedOn w:val="1"/>
    <w:qFormat/>
    <w:uiPriority w:val="0"/>
    <w:pPr>
      <w:spacing w:line="360" w:lineRule="auto"/>
    </w:pPr>
    <w:rPr>
      <w:szCs w:val="20"/>
    </w:rPr>
  </w:style>
  <w:style w:type="paragraph" w:customStyle="1" w:styleId="31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3">
    <w:name w:val="MM Topic 1"/>
    <w:basedOn w:val="5"/>
    <w:qFormat/>
    <w:uiPriority w:val="0"/>
    <w:pPr>
      <w:tabs>
        <w:tab w:val="left" w:pos="840"/>
        <w:tab w:val="clear" w:pos="432"/>
      </w:tabs>
      <w:adjustRightInd/>
      <w:ind w:left="840" w:hanging="420"/>
    </w:pPr>
  </w:style>
  <w:style w:type="paragraph" w:customStyle="1" w:styleId="314">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5">
    <w:name w:val="文本正文 Char"/>
    <w:basedOn w:val="1"/>
    <w:qFormat/>
    <w:uiPriority w:val="0"/>
    <w:pPr>
      <w:spacing w:line="360" w:lineRule="auto"/>
      <w:ind w:firstLine="200" w:firstLineChars="200"/>
    </w:pPr>
    <w:rPr>
      <w:kern w:val="0"/>
      <w:sz w:val="24"/>
      <w:szCs w:val="20"/>
    </w:rPr>
  </w:style>
  <w:style w:type="paragraph" w:customStyle="1" w:styleId="316">
    <w:name w:val="表格"/>
    <w:basedOn w:val="1"/>
    <w:qFormat/>
    <w:uiPriority w:val="0"/>
    <w:pPr>
      <w:snapToGrid w:val="0"/>
      <w:ind w:firstLine="42" w:firstLineChars="21"/>
    </w:pPr>
    <w:rPr>
      <w:rFonts w:ascii="宋体" w:hAnsi="宋体"/>
      <w:kern w:val="0"/>
      <w:sz w:val="20"/>
      <w:szCs w:val="20"/>
    </w:rPr>
  </w:style>
  <w:style w:type="paragraph" w:customStyle="1" w:styleId="317">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0">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1">
    <w:name w:val="EB_表格"/>
    <w:basedOn w:val="1"/>
    <w:qFormat/>
    <w:uiPriority w:val="0"/>
    <w:pPr>
      <w:adjustRightInd/>
      <w:spacing w:line="300" w:lineRule="auto"/>
      <w:jc w:val="center"/>
    </w:pPr>
  </w:style>
  <w:style w:type="paragraph" w:customStyle="1" w:styleId="322">
    <w:name w:val="_Style 6"/>
    <w:basedOn w:val="1"/>
    <w:qFormat/>
    <w:uiPriority w:val="34"/>
    <w:pPr>
      <w:adjustRightInd/>
      <w:ind w:firstLine="420" w:firstLineChars="200"/>
    </w:pPr>
    <w:rPr>
      <w:rFonts w:eastAsia="仿宋_GB2312"/>
      <w:sz w:val="28"/>
    </w:rPr>
  </w:style>
  <w:style w:type="paragraph" w:customStyle="1" w:styleId="32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5">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7">
    <w:name w:val="正文表标题"/>
    <w:next w:val="32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0">
    <w:name w:val="trademark"/>
    <w:qFormat/>
    <w:uiPriority w:val="0"/>
    <w:pPr>
      <w:spacing w:after="60"/>
    </w:pPr>
    <w:rPr>
      <w:rFonts w:ascii="Futura Bk" w:hAnsi="Futura Bk" w:eastAsia="宋体" w:cs="Times New Roman"/>
      <w:sz w:val="15"/>
      <w:lang w:val="en-US" w:eastAsia="en-US" w:bidi="ar-SA"/>
    </w:rPr>
  </w:style>
  <w:style w:type="paragraph" w:customStyle="1" w:styleId="33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2">
    <w:name w:val="Char Char1 Char Char Char Char Char Char1"/>
    <w:basedOn w:val="1"/>
    <w:qFormat/>
    <w:uiPriority w:val="0"/>
    <w:rPr>
      <w:rFonts w:ascii="仿宋_GB2312" w:eastAsia="仿宋_GB2312"/>
      <w:b/>
      <w:sz w:val="32"/>
      <w:szCs w:val="20"/>
    </w:rPr>
  </w:style>
  <w:style w:type="paragraph" w:customStyle="1" w:styleId="33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4">
    <w:name w:val="Char1 Char Char Char1"/>
    <w:basedOn w:val="1"/>
    <w:qFormat/>
    <w:uiPriority w:val="0"/>
    <w:pPr>
      <w:adjustRightInd/>
      <w:ind w:firstLine="200" w:firstLineChars="200"/>
    </w:pPr>
    <w:rPr>
      <w:rFonts w:ascii="Tahoma" w:hAnsi="Tahoma"/>
      <w:sz w:val="24"/>
      <w:szCs w:val="20"/>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样式7"/>
    <w:basedOn w:val="337"/>
    <w:next w:val="1"/>
    <w:qFormat/>
    <w:uiPriority w:val="0"/>
    <w:pPr>
      <w:spacing w:after="156" w:afterLines="50"/>
      <w:jc w:val="left"/>
      <w:outlineLvl w:val="3"/>
    </w:pPr>
    <w:rPr>
      <w:sz w:val="24"/>
      <w:szCs w:val="24"/>
    </w:rPr>
  </w:style>
  <w:style w:type="paragraph" w:customStyle="1" w:styleId="3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0">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1">
    <w:name w:val="Char2 Char Char2"/>
    <w:basedOn w:val="1"/>
    <w:qFormat/>
    <w:uiPriority w:val="0"/>
    <w:pPr>
      <w:adjustRightInd/>
    </w:pPr>
    <w:rPr>
      <w:rFonts w:ascii="Tahoma" w:hAnsi="Tahoma"/>
      <w:sz w:val="24"/>
      <w:szCs w:val="20"/>
    </w:rPr>
  </w:style>
  <w:style w:type="paragraph" w:customStyle="1" w:styleId="34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3">
    <w:name w:val="三级条标题"/>
    <w:basedOn w:val="344"/>
    <w:next w:val="328"/>
    <w:qFormat/>
    <w:uiPriority w:val="0"/>
    <w:pPr>
      <w:tabs>
        <w:tab w:val="left" w:pos="1260"/>
        <w:tab w:val="left" w:pos="1680"/>
        <w:tab w:val="left" w:pos="2100"/>
        <w:tab w:val="left" w:pos="2520"/>
      </w:tabs>
      <w:ind w:left="2520"/>
      <w:outlineLvl w:val="4"/>
    </w:pPr>
  </w:style>
  <w:style w:type="paragraph" w:customStyle="1" w:styleId="344">
    <w:name w:val="二级条标题"/>
    <w:basedOn w:val="345"/>
    <w:next w:val="328"/>
    <w:qFormat/>
    <w:uiPriority w:val="0"/>
    <w:pPr>
      <w:tabs>
        <w:tab w:val="left" w:pos="1260"/>
        <w:tab w:val="left" w:pos="1680"/>
        <w:tab w:val="left" w:pos="2100"/>
      </w:tabs>
      <w:ind w:left="0"/>
      <w:outlineLvl w:val="3"/>
    </w:pPr>
  </w:style>
  <w:style w:type="paragraph" w:customStyle="1" w:styleId="345">
    <w:name w:val="一级条标题"/>
    <w:basedOn w:val="346"/>
    <w:next w:val="328"/>
    <w:qFormat/>
    <w:uiPriority w:val="0"/>
    <w:pPr>
      <w:tabs>
        <w:tab w:val="left" w:pos="1260"/>
        <w:tab w:val="left" w:pos="1680"/>
      </w:tabs>
      <w:spacing w:before="0" w:beforeLines="0" w:after="0" w:afterLines="0"/>
      <w:ind w:left="1680"/>
      <w:outlineLvl w:val="2"/>
    </w:pPr>
  </w:style>
  <w:style w:type="paragraph" w:customStyle="1" w:styleId="346">
    <w:name w:val="章标题"/>
    <w:next w:val="32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7">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9">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1">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3">
    <w:name w:val="正文 项目2"/>
    <w:basedOn w:val="354"/>
    <w:qFormat/>
    <w:uiPriority w:val="0"/>
    <w:pPr>
      <w:tabs>
        <w:tab w:val="left" w:pos="840"/>
      </w:tabs>
      <w:spacing w:after="0"/>
      <w:ind w:left="900"/>
    </w:pPr>
  </w:style>
  <w:style w:type="paragraph" w:customStyle="1" w:styleId="35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5">
    <w:name w:val="Body Text 2*"/>
    <w:basedOn w:val="1"/>
    <w:qFormat/>
    <w:uiPriority w:val="6"/>
    <w:pPr>
      <w:widowControl/>
      <w:adjustRightInd/>
      <w:ind w:left="720" w:hanging="720"/>
    </w:pPr>
    <w:rPr>
      <w:color w:val="000000"/>
      <w:kern w:val="0"/>
      <w:sz w:val="24"/>
      <w:szCs w:val="20"/>
    </w:rPr>
  </w:style>
  <w:style w:type="paragraph" w:customStyle="1" w:styleId="356">
    <w:name w:val="表1"/>
    <w:basedOn w:val="1"/>
    <w:qFormat/>
    <w:uiPriority w:val="0"/>
    <w:pPr>
      <w:tabs>
        <w:tab w:val="left" w:pos="703"/>
      </w:tabs>
      <w:adjustRightInd/>
      <w:spacing w:line="360" w:lineRule="auto"/>
      <w:ind w:left="703"/>
      <w:jc w:val="center"/>
    </w:pPr>
  </w:style>
  <w:style w:type="paragraph" w:customStyle="1" w:styleId="35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0">
    <w:name w:val="2级标题"/>
    <w:basedOn w:val="361"/>
    <w:qFormat/>
    <w:uiPriority w:val="0"/>
    <w:pPr>
      <w:jc w:val="left"/>
      <w:outlineLvl w:val="1"/>
    </w:pPr>
    <w:rPr>
      <w:rFonts w:ascii="Times New Roman" w:hAnsi="Times New Roman" w:eastAsia="仿宋"/>
      <w:sz w:val="30"/>
    </w:rPr>
  </w:style>
  <w:style w:type="paragraph" w:customStyle="1" w:styleId="36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6">
    <w:name w:val="bullet"/>
    <w:basedOn w:val="1"/>
    <w:qFormat/>
    <w:uiPriority w:val="0"/>
    <w:pPr>
      <w:tabs>
        <w:tab w:val="left" w:pos="840"/>
      </w:tabs>
      <w:adjustRightInd/>
      <w:ind w:left="840" w:hanging="420"/>
    </w:pPr>
  </w:style>
  <w:style w:type="paragraph" w:customStyle="1" w:styleId="36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4">
    <w:name w:val="MM Topic 4"/>
    <w:basedOn w:val="9"/>
    <w:qFormat/>
    <w:uiPriority w:val="0"/>
    <w:pPr>
      <w:tabs>
        <w:tab w:val="left" w:pos="2100"/>
        <w:tab w:val="clear" w:pos="864"/>
      </w:tabs>
      <w:adjustRightInd/>
      <w:ind w:left="2100" w:hanging="420"/>
    </w:pPr>
    <w:rPr>
      <w:lang w:val="en-US"/>
    </w:rPr>
  </w:style>
  <w:style w:type="paragraph" w:customStyle="1" w:styleId="37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7">
    <w:name w:val="Char Char11 Char Char Char Char Char Char Char Char Char1"/>
    <w:basedOn w:val="1"/>
    <w:qFormat/>
    <w:uiPriority w:val="6"/>
    <w:pPr>
      <w:spacing w:line="360" w:lineRule="auto"/>
    </w:pPr>
    <w:rPr>
      <w:szCs w:val="20"/>
    </w:rPr>
  </w:style>
  <w:style w:type="paragraph" w:customStyle="1" w:styleId="37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0">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7">
    <w:name w:val="单元格居中"/>
    <w:basedOn w:val="1"/>
    <w:qFormat/>
    <w:uiPriority w:val="0"/>
    <w:pPr>
      <w:adjustRightInd/>
      <w:spacing w:line="360" w:lineRule="auto"/>
      <w:jc w:val="center"/>
    </w:pPr>
    <w:rPr>
      <w:sz w:val="24"/>
    </w:rPr>
  </w:style>
  <w:style w:type="paragraph" w:customStyle="1" w:styleId="38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9">
    <w:name w:val="Char Char Char Char Char Char Char1"/>
    <w:basedOn w:val="1"/>
    <w:qFormat/>
    <w:uiPriority w:val="6"/>
    <w:rPr>
      <w:rFonts w:ascii="仿宋_GB2312" w:eastAsia="仿宋_GB2312"/>
      <w:b/>
      <w:sz w:val="32"/>
      <w:szCs w:val="32"/>
    </w:rPr>
  </w:style>
  <w:style w:type="paragraph" w:customStyle="1" w:styleId="390">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5"/>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9"/>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7"/>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6"/>
    <w:qFormat/>
    <w:uiPriority w:val="0"/>
    <w:pPr>
      <w:snapToGrid w:val="0"/>
      <w:ind w:firstLine="480" w:firstLineChars="200"/>
    </w:pPr>
    <w:rPr>
      <w:rFonts w:ascii="Times New Roman"/>
      <w:szCs w:val="24"/>
      <w:lang w:val="en-US"/>
    </w:rPr>
  </w:style>
  <w:style w:type="paragraph" w:customStyle="1" w:styleId="45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8"/>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3"/>
    <w:next w:val="328"/>
    <w:qFormat/>
    <w:uiPriority w:val="0"/>
    <w:pPr>
      <w:tabs>
        <w:tab w:val="left" w:pos="2940"/>
        <w:tab w:val="clear" w:pos="2520"/>
      </w:tabs>
      <w:ind w:left="2940"/>
      <w:outlineLvl w:val="5"/>
    </w:pPr>
  </w:style>
  <w:style w:type="paragraph" w:customStyle="1" w:styleId="48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qFormat/>
    <w:uiPriority w:val="0"/>
    <w:rPr>
      <w:rFonts w:ascii="仿宋_GB2312" w:eastAsia="仿宋_GB2312"/>
      <w:b/>
      <w:sz w:val="32"/>
      <w:szCs w:val="32"/>
    </w:rPr>
  </w:style>
  <w:style w:type="paragraph" w:customStyle="1" w:styleId="48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2"/>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21"/>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0"/>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6"/>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10"/>
    <w:next w:val="1"/>
    <w:qFormat/>
    <w:uiPriority w:val="0"/>
    <w:pPr>
      <w:tabs>
        <w:tab w:val="left" w:pos="1080"/>
        <w:tab w:val="clear" w:pos="1008"/>
      </w:tabs>
      <w:ind w:left="1080" w:hanging="1080"/>
    </w:pPr>
  </w:style>
  <w:style w:type="paragraph" w:customStyle="1" w:styleId="584">
    <w:name w:val="数字标题1"/>
    <w:basedOn w:val="5"/>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1"/>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0"/>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10">
    <w:name w:val="_Style 947"/>
    <w:basedOn w:val="1"/>
    <w:next w:val="105"/>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2">
    <w:name w:val="表格非标题文字 Char"/>
    <w:link w:val="85"/>
    <w:qFormat/>
    <w:uiPriority w:val="0"/>
    <w:rPr>
      <w:rFonts w:ascii="Futura Bk" w:hAnsi="Futura Bk"/>
      <w:kern w:val="2"/>
      <w:sz w:val="18"/>
      <w:szCs w:val="21"/>
      <w:lang w:val="en-US" w:eastAsia="zh-CN" w:bidi="ar-SA"/>
    </w:rPr>
  </w:style>
  <w:style w:type="character" w:customStyle="1" w:styleId="623">
    <w:name w:val="*正文 Char"/>
    <w:link w:val="86"/>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7"/>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3"/>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8"/>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9"/>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1"/>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90"/>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0"/>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1"/>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11"/>
    <w:qFormat/>
    <w:uiPriority w:val="0"/>
    <w:rPr>
      <w:rFonts w:ascii="Arial" w:hAnsi="Arial" w:eastAsia="黑体"/>
      <w:b/>
      <w:bCs/>
      <w:kern w:val="2"/>
      <w:sz w:val="24"/>
      <w:szCs w:val="24"/>
    </w:rPr>
  </w:style>
  <w:style w:type="character" w:customStyle="1" w:styleId="681">
    <w:name w:val="纯文本 Char_0"/>
    <w:link w:val="92"/>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4"/>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5"/>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8"/>
    <w:qFormat/>
    <w:uiPriority w:val="0"/>
    <w:rPr>
      <w:rFonts w:ascii="宋体"/>
      <w:kern w:val="2"/>
      <w:sz w:val="24"/>
      <w:szCs w:val="21"/>
      <w:lang w:val="zh-CN"/>
    </w:rPr>
  </w:style>
  <w:style w:type="character" w:customStyle="1" w:styleId="711">
    <w:name w:val="标题 9 Char"/>
    <w:link w:val="14"/>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6"/>
    <w:qFormat/>
    <w:locked/>
    <w:uiPriority w:val="0"/>
    <w:rPr>
      <w:rFonts w:ascii="Tahoma" w:hAnsi="Tahoma"/>
      <w:sz w:val="24"/>
      <w:szCs w:val="24"/>
    </w:rPr>
  </w:style>
  <w:style w:type="character" w:customStyle="1" w:styleId="721">
    <w:name w:val="正文缩进 Char2"/>
    <w:link w:val="8"/>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7"/>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1"/>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1"/>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9"/>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100"/>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9"/>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1"/>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2"/>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3"/>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4"/>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3"/>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6"/>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5"/>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2"/>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10"/>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3"/>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0"/>
    <w:qFormat/>
    <w:uiPriority w:val="0"/>
    <w:rPr>
      <w:rFonts w:ascii="黑体" w:hAnsi="Courier New" w:eastAsia="黑体"/>
    </w:rPr>
  </w:style>
  <w:style w:type="character" w:customStyle="1" w:styleId="820">
    <w:name w:val="正文文本 2 Char1"/>
    <w:link w:val="59"/>
    <w:qFormat/>
    <w:uiPriority w:val="0"/>
    <w:rPr>
      <w:kern w:val="2"/>
      <w:sz w:val="21"/>
      <w:szCs w:val="24"/>
    </w:rPr>
  </w:style>
  <w:style w:type="character" w:customStyle="1" w:styleId="821">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12"/>
    <w:qFormat/>
    <w:uiPriority w:val="0"/>
    <w:rPr>
      <w:b/>
      <w:bCs/>
      <w:kern w:val="2"/>
      <w:sz w:val="24"/>
      <w:szCs w:val="24"/>
    </w:rPr>
  </w:style>
  <w:style w:type="character" w:customStyle="1" w:styleId="824">
    <w:name w:val="正文文本缩进 2 Char"/>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3"/>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9"/>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10"/>
    <w:qFormat/>
    <w:uiPriority w:val="0"/>
    <w:rPr>
      <w:rFonts w:ascii="宋体" w:hAnsi="Courier New"/>
    </w:rPr>
  </w:style>
  <w:style w:type="character" w:customStyle="1" w:styleId="835">
    <w:name w:val="正文首行缩进 Char"/>
    <w:link w:val="27"/>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9"/>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4"/>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1"/>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2"/>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2"/>
    <w:qFormat/>
    <w:uiPriority w:val="0"/>
    <w:rPr>
      <w:kern w:val="2"/>
      <w:sz w:val="21"/>
      <w:szCs w:val="24"/>
    </w:rPr>
  </w:style>
  <w:style w:type="character" w:customStyle="1" w:styleId="857">
    <w:name w:val="签名 Char"/>
    <w:link w:val="45"/>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3"/>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4"/>
    <w:qFormat/>
    <w:uiPriority w:val="0"/>
    <w:rPr>
      <w:rFonts w:ascii="宋体"/>
    </w:rPr>
  </w:style>
  <w:style w:type="character" w:customStyle="1" w:styleId="868">
    <w:name w:val="标题 8 Char"/>
    <w:link w:val="13"/>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6"/>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5"/>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6"/>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4"/>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7"/>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8"/>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9"/>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20"/>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1"/>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1"/>
    <w:qFormat/>
    <w:uiPriority w:val="0"/>
    <w:rPr>
      <w:rFonts w:cs="宋体"/>
      <w:kern w:val="2"/>
      <w:sz w:val="24"/>
    </w:rPr>
  </w:style>
  <w:style w:type="character" w:customStyle="1" w:styleId="933">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4">
    <w:name w:val="gray6"/>
    <w:basedOn w:val="71"/>
    <w:qFormat/>
    <w:uiPriority w:val="0"/>
    <w:rPr>
      <w:rFonts w:ascii="Arial" w:hAnsi="Arial" w:eastAsia="黑体" w:cs="Arial"/>
      <w:snapToGrid w:val="0"/>
      <w:kern w:val="0"/>
      <w:szCs w:val="21"/>
    </w:rPr>
  </w:style>
  <w:style w:type="character" w:customStyle="1" w:styleId="935">
    <w:name w:val="hui"/>
    <w:basedOn w:val="71"/>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0"/>
    <w:qFormat/>
    <w:uiPriority w:val="0"/>
    <w:rPr>
      <w:kern w:val="2"/>
      <w:sz w:val="21"/>
      <w:szCs w:val="24"/>
      <w:lang w:val="zh-CN"/>
    </w:rPr>
  </w:style>
  <w:style w:type="character" w:customStyle="1" w:styleId="942">
    <w:name w:val="无间隔 Char"/>
    <w:link w:val="171"/>
    <w:qFormat/>
    <w:uiPriority w:val="99"/>
    <w:rPr>
      <w:kern w:val="2"/>
      <w:sz w:val="21"/>
      <w:szCs w:val="22"/>
    </w:rPr>
  </w:style>
  <w:style w:type="character" w:customStyle="1" w:styleId="943">
    <w:name w:val="标准文本 Char Char"/>
    <w:link w:val="609"/>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1"/>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Normal"/>
    <w:qFormat/>
    <w:uiPriority w:val="0"/>
    <w:tblPr>
      <w:tblCellMar>
        <w:top w:w="0" w:type="dxa"/>
        <w:left w:w="0" w:type="dxa"/>
        <w:bottom w:w="0" w:type="dxa"/>
        <w:right w:w="0" w:type="dxa"/>
      </w:tblCellMar>
    </w:tblPr>
  </w:style>
  <w:style w:type="paragraph" w:customStyle="1" w:styleId="967">
    <w:name w:val="正文文本首行缩进 21"/>
    <w:basedOn w:val="3"/>
    <w:qFormat/>
    <w:uiPriority w:val="99"/>
    <w:pPr>
      <w:spacing w:line="200" w:lineRule="atLeast"/>
      <w:ind w:firstLine="420"/>
    </w:pPr>
    <w:rPr>
      <w:rFonts w:ascii="宋体" w:hAnsi="Courier New"/>
      <w:spacing w:val="-4"/>
      <w:sz w:val="18"/>
    </w:rPr>
  </w:style>
  <w:style w:type="paragraph" w:customStyle="1" w:styleId="968">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70">
    <w:name w:val="BodyTextIndent"/>
    <w:basedOn w:val="1"/>
    <w:next w:val="971"/>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1">
    <w:name w:val="UserStyle_460"/>
    <w:basedOn w:val="970"/>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2">
    <w:name w:val="列出段落6"/>
    <w:basedOn w:val="1"/>
    <w:qFormat/>
    <w:uiPriority w:val="0"/>
    <w:pPr>
      <w:adjustRightInd/>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余靖</cp:lastModifiedBy>
  <cp:lastPrinted>2021-12-27T03:06:00Z</cp:lastPrinted>
  <dcterms:modified xsi:type="dcterms:W3CDTF">2022-03-05T15:06:03Z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78C6F4293269422B8C303B22E02B26A1</vt:lpwstr>
  </property>
</Properties>
</file>