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Theme="majorEastAsia" w:hAnsiTheme="majorEastAsia" w:eastAsiaTheme="majorEastAsia" w:cstheme="majorEastAsia"/>
          <w:color w:val="auto"/>
          <w:sz w:val="48"/>
          <w:szCs w:val="48"/>
          <w:highlight w:val="none"/>
        </w:rPr>
      </w:pPr>
    </w:p>
    <w:p>
      <w:pPr>
        <w:adjustRightInd/>
        <w:spacing w:line="360" w:lineRule="auto"/>
        <w:jc w:val="center"/>
        <w:rPr>
          <w:rFonts w:hint="eastAsia" w:asciiTheme="majorEastAsia" w:hAnsiTheme="majorEastAsia" w:eastAsiaTheme="majorEastAsia" w:cstheme="majorEastAsia"/>
          <w:color w:val="auto"/>
          <w:sz w:val="48"/>
          <w:szCs w:val="48"/>
          <w:highlight w:val="none"/>
          <w:lang w:eastAsia="zh-CN"/>
        </w:rPr>
      </w:pPr>
      <w:r>
        <w:rPr>
          <w:rFonts w:hint="eastAsia" w:asciiTheme="majorEastAsia" w:hAnsiTheme="majorEastAsia" w:eastAsiaTheme="majorEastAsia" w:cstheme="majorEastAsia"/>
          <w:color w:val="auto"/>
          <w:sz w:val="48"/>
          <w:szCs w:val="48"/>
          <w:highlight w:val="none"/>
          <w:lang w:eastAsia="zh-CN"/>
        </w:rPr>
        <w:t>仓前街道2022-2024年文一西路以南区块道路综合养护</w:t>
      </w:r>
    </w:p>
    <w:p>
      <w:pPr>
        <w:adjustRightInd/>
        <w:spacing w:line="360" w:lineRule="auto"/>
        <w:jc w:val="center"/>
        <w:rPr>
          <w:rFonts w:hint="eastAsia" w:asciiTheme="majorEastAsia" w:hAnsiTheme="majorEastAsia" w:eastAsiaTheme="majorEastAsia" w:cstheme="majorEastAsia"/>
          <w:color w:val="auto"/>
          <w:sz w:val="48"/>
          <w:szCs w:val="48"/>
          <w:highlight w:val="none"/>
        </w:rPr>
      </w:pPr>
      <w:r>
        <w:rPr>
          <w:rFonts w:hint="eastAsia" w:asciiTheme="majorEastAsia" w:hAnsiTheme="majorEastAsia" w:eastAsiaTheme="majorEastAsia" w:cstheme="majorEastAsia"/>
          <w:color w:val="auto"/>
          <w:sz w:val="48"/>
          <w:szCs w:val="48"/>
          <w:highlight w:val="none"/>
        </w:rPr>
        <w:t>招标文件</w:t>
      </w:r>
    </w:p>
    <w:p>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pPr>
        <w:adjustRightInd/>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（电子招投标）</w:t>
      </w:r>
    </w:p>
    <w:p>
      <w:pPr>
        <w:snapToGrid w:val="0"/>
        <w:spacing w:line="360" w:lineRule="auto"/>
        <w:jc w:val="center"/>
        <w:rPr>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color w:val="auto"/>
          <w:sz w:val="32"/>
          <w:szCs w:val="32"/>
          <w:highlight w:val="none"/>
        </w:rPr>
        <w:t>编号:</w:t>
      </w:r>
      <w:r>
        <w:rPr>
          <w:rFonts w:hint="eastAsia" w:asciiTheme="majorEastAsia" w:hAnsiTheme="majorEastAsia" w:eastAsiaTheme="majorEastAsia" w:cstheme="majorEastAsia"/>
          <w:color w:val="auto"/>
          <w:sz w:val="32"/>
          <w:szCs w:val="32"/>
          <w:highlight w:val="none"/>
          <w:lang w:val="en-US" w:eastAsia="zh-CN"/>
        </w:rPr>
        <w:t>ZJDL-2022-012</w:t>
      </w:r>
    </w:p>
    <w:p>
      <w:pPr>
        <w:adjustRightInd/>
        <w:spacing w:line="360" w:lineRule="auto"/>
        <w:rPr>
          <w:rFonts w:hint="eastAsia" w:asciiTheme="majorEastAsia" w:hAnsiTheme="majorEastAsia" w:eastAsiaTheme="majorEastAsia" w:cstheme="majorEastAsia"/>
          <w:color w:val="auto"/>
          <w:sz w:val="28"/>
          <w:szCs w:val="20"/>
          <w:highlight w:val="none"/>
        </w:rPr>
      </w:pPr>
    </w:p>
    <w:p>
      <w:pPr>
        <w:spacing w:line="360" w:lineRule="auto"/>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 xml:space="preserve"> </w:t>
      </w:r>
    </w:p>
    <w:p>
      <w:pPr>
        <w:spacing w:line="360" w:lineRule="auto"/>
        <w:jc w:val="center"/>
        <w:rPr>
          <w:rFonts w:hint="eastAsia" w:asciiTheme="majorEastAsia" w:hAnsiTheme="majorEastAsia" w:eastAsiaTheme="majorEastAsia" w:cstheme="majorEastAsia"/>
          <w:b/>
          <w:color w:val="auto"/>
          <w:sz w:val="44"/>
          <w:szCs w:val="44"/>
          <w:highlight w:val="none"/>
        </w:rPr>
      </w:pPr>
    </w:p>
    <w:p>
      <w:pPr>
        <w:spacing w:line="360" w:lineRule="auto"/>
        <w:jc w:val="center"/>
        <w:rPr>
          <w:rFonts w:hint="eastAsia" w:asciiTheme="majorEastAsia" w:hAnsiTheme="majorEastAsia" w:eastAsiaTheme="majorEastAsia" w:cstheme="majorEastAsia"/>
          <w:color w:val="auto"/>
          <w:sz w:val="24"/>
          <w:highlight w:val="none"/>
        </w:rPr>
      </w:pPr>
    </w:p>
    <w:p>
      <w:pPr>
        <w:spacing w:line="360" w:lineRule="auto"/>
        <w:jc w:val="center"/>
        <w:rPr>
          <w:rFonts w:hint="eastAsia" w:asciiTheme="majorEastAsia" w:hAnsiTheme="majorEastAsia" w:eastAsiaTheme="majorEastAsia" w:cstheme="majorEastAsia"/>
          <w:color w:val="auto"/>
          <w:sz w:val="24"/>
          <w:highlight w:val="none"/>
        </w:rPr>
      </w:pPr>
    </w:p>
    <w:p>
      <w:pPr>
        <w:spacing w:line="360" w:lineRule="auto"/>
        <w:rPr>
          <w:rFonts w:hint="eastAsia" w:asciiTheme="majorEastAsia" w:hAnsiTheme="majorEastAsia" w:eastAsiaTheme="majorEastAsia" w:cstheme="majorEastAsia"/>
          <w:color w:val="auto"/>
          <w:sz w:val="32"/>
          <w:szCs w:val="32"/>
          <w:highlight w:val="none"/>
        </w:rPr>
      </w:pPr>
    </w:p>
    <w:p>
      <w:pPr>
        <w:snapToGrid w:val="0"/>
        <w:spacing w:line="360" w:lineRule="auto"/>
        <w:jc w:val="center"/>
        <w:rPr>
          <w:rFonts w:hint="eastAsia" w:asciiTheme="majorEastAsia" w:hAnsiTheme="majorEastAsia" w:eastAsiaTheme="majorEastAsia" w:cstheme="majorEastAsia"/>
          <w:b/>
          <w:bCs/>
          <w:color w:val="auto"/>
          <w:sz w:val="32"/>
          <w:szCs w:val="32"/>
          <w:highlight w:val="none"/>
          <w:lang w:eastAsia="zh-CN"/>
        </w:rPr>
      </w:pPr>
    </w:p>
    <w:p>
      <w:pPr>
        <w:snapToGrid w:val="0"/>
        <w:spacing w:line="360" w:lineRule="auto"/>
        <w:jc w:val="center"/>
        <w:rPr>
          <w:rFonts w:hint="eastAsia" w:asciiTheme="majorEastAsia" w:hAnsiTheme="majorEastAsia" w:eastAsiaTheme="majorEastAsia" w:cstheme="majorEastAsia"/>
          <w:color w:val="auto"/>
          <w:sz w:val="32"/>
          <w:szCs w:val="32"/>
          <w:highlight w:val="none"/>
          <w:lang w:eastAsia="zh-CN"/>
        </w:rPr>
      </w:pPr>
    </w:p>
    <w:p>
      <w:pPr>
        <w:pStyle w:val="6"/>
        <w:rPr>
          <w:rFonts w:hint="eastAsia" w:asciiTheme="majorEastAsia" w:hAnsiTheme="majorEastAsia" w:eastAsiaTheme="majorEastAsia" w:cstheme="majorEastAsia"/>
          <w:color w:val="auto"/>
          <w:sz w:val="32"/>
          <w:szCs w:val="32"/>
          <w:highlight w:val="none"/>
          <w:lang w:eastAsia="zh-CN"/>
        </w:rPr>
      </w:pPr>
    </w:p>
    <w:p>
      <w:pPr>
        <w:rPr>
          <w:rFonts w:hint="eastAsia" w:asciiTheme="majorEastAsia" w:hAnsiTheme="majorEastAsia" w:eastAsiaTheme="majorEastAsia" w:cstheme="majorEastAsia"/>
          <w:color w:val="auto"/>
          <w:sz w:val="32"/>
          <w:szCs w:val="32"/>
          <w:highlight w:val="none"/>
          <w:lang w:eastAsia="zh-CN"/>
        </w:rPr>
      </w:pPr>
    </w:p>
    <w:p>
      <w:pPr>
        <w:pStyle w:val="6"/>
        <w:rPr>
          <w:rFonts w:hint="eastAsia" w:asciiTheme="majorEastAsia" w:hAnsiTheme="majorEastAsia" w:eastAsiaTheme="majorEastAsia" w:cstheme="majorEastAsia"/>
          <w:highlight w:val="none"/>
          <w:lang w:eastAsia="zh-CN"/>
        </w:rPr>
      </w:pPr>
    </w:p>
    <w:p>
      <w:pPr>
        <w:snapToGrid w:val="0"/>
        <w:spacing w:line="360" w:lineRule="auto"/>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采购人</w:t>
      </w:r>
      <w:r>
        <w:rPr>
          <w:rFonts w:hint="eastAsia" w:asciiTheme="majorEastAsia" w:hAnsiTheme="majorEastAsia" w:eastAsiaTheme="majorEastAsia" w:cstheme="majorEastAsia"/>
          <w:color w:val="auto"/>
          <w:sz w:val="32"/>
          <w:szCs w:val="32"/>
          <w:highlight w:val="none"/>
          <w:lang w:eastAsia="zh-CN"/>
        </w:rPr>
        <w:t>：杭州市余杭区人民政府仓前街道办事处</w:t>
      </w:r>
    </w:p>
    <w:p>
      <w:pPr>
        <w:snapToGrid w:val="0"/>
        <w:spacing w:line="360" w:lineRule="auto"/>
        <w:jc w:val="center"/>
        <w:rPr>
          <w:rFonts w:hint="eastAsia" w:asciiTheme="majorEastAsia" w:hAnsiTheme="majorEastAsia" w:eastAsiaTheme="majorEastAsia" w:cstheme="majorEastAsia"/>
          <w:color w:val="auto"/>
          <w:sz w:val="32"/>
          <w:szCs w:val="32"/>
          <w:highlight w:val="none"/>
          <w:lang w:eastAsia="zh-CN"/>
        </w:rPr>
      </w:pPr>
      <w:r>
        <w:rPr>
          <w:rFonts w:hint="eastAsia" w:asciiTheme="majorEastAsia" w:hAnsiTheme="majorEastAsia" w:eastAsiaTheme="majorEastAsia" w:cstheme="majorEastAsia"/>
          <w:color w:val="auto"/>
          <w:sz w:val="32"/>
          <w:szCs w:val="32"/>
          <w:highlight w:val="none"/>
        </w:rPr>
        <w:t>采购代理机构</w:t>
      </w:r>
      <w:r>
        <w:rPr>
          <w:rFonts w:hint="eastAsia" w:asciiTheme="majorEastAsia" w:hAnsiTheme="majorEastAsia" w:eastAsiaTheme="majorEastAsia" w:cstheme="majorEastAsia"/>
          <w:color w:val="auto"/>
          <w:sz w:val="32"/>
          <w:szCs w:val="32"/>
          <w:highlight w:val="none"/>
          <w:lang w:eastAsia="zh-CN"/>
        </w:rPr>
        <w:t>：浙江中际工程项目管理有限公司</w:t>
      </w:r>
    </w:p>
    <w:p>
      <w:pPr>
        <w:snapToGrid w:val="0"/>
        <w:spacing w:line="360" w:lineRule="auto"/>
        <w:jc w:val="center"/>
        <w:rPr>
          <w:rFonts w:hint="eastAsia" w:asciiTheme="majorEastAsia" w:hAnsiTheme="majorEastAsia" w:eastAsiaTheme="majorEastAsia" w:cstheme="majorEastAsia"/>
          <w:b w:val="0"/>
          <w:bCs w:val="0"/>
          <w:color w:val="auto"/>
          <w:sz w:val="32"/>
          <w:szCs w:val="32"/>
          <w:highlight w:val="none"/>
        </w:rPr>
      </w:pPr>
      <w:r>
        <w:rPr>
          <w:rFonts w:hint="eastAsia" w:asciiTheme="majorEastAsia" w:hAnsiTheme="majorEastAsia" w:eastAsiaTheme="majorEastAsia" w:cstheme="majorEastAsia"/>
          <w:b w:val="0"/>
          <w:bCs w:val="0"/>
          <w:color w:val="auto"/>
          <w:sz w:val="32"/>
          <w:szCs w:val="32"/>
          <w:highlight w:val="none"/>
        </w:rPr>
        <w:t>二〇二</w:t>
      </w:r>
      <w:r>
        <w:rPr>
          <w:rFonts w:hint="eastAsia" w:asciiTheme="majorEastAsia" w:hAnsiTheme="majorEastAsia" w:eastAsiaTheme="majorEastAsia" w:cstheme="majorEastAsia"/>
          <w:b w:val="0"/>
          <w:bCs w:val="0"/>
          <w:color w:val="auto"/>
          <w:sz w:val="32"/>
          <w:szCs w:val="32"/>
          <w:highlight w:val="none"/>
          <w:lang w:val="en-US" w:eastAsia="zh-CN"/>
        </w:rPr>
        <w:t>二</w:t>
      </w:r>
      <w:r>
        <w:rPr>
          <w:rFonts w:hint="eastAsia" w:asciiTheme="majorEastAsia" w:hAnsiTheme="majorEastAsia" w:eastAsiaTheme="majorEastAsia" w:cstheme="majorEastAsia"/>
          <w:b w:val="0"/>
          <w:bCs w:val="0"/>
          <w:color w:val="auto"/>
          <w:sz w:val="32"/>
          <w:szCs w:val="32"/>
          <w:highlight w:val="none"/>
        </w:rPr>
        <w:t>年</w:t>
      </w:r>
      <w:r>
        <w:rPr>
          <w:rFonts w:hint="eastAsia" w:asciiTheme="majorEastAsia" w:hAnsiTheme="majorEastAsia" w:eastAsiaTheme="majorEastAsia" w:cstheme="majorEastAsia"/>
          <w:b w:val="0"/>
          <w:bCs w:val="0"/>
          <w:color w:val="auto"/>
          <w:sz w:val="32"/>
          <w:szCs w:val="32"/>
          <w:highlight w:val="none"/>
          <w:lang w:val="en-US" w:eastAsia="zh-CN"/>
        </w:rPr>
        <w:t>三</w:t>
      </w:r>
      <w:r>
        <w:rPr>
          <w:rFonts w:hint="eastAsia" w:asciiTheme="majorEastAsia" w:hAnsiTheme="majorEastAsia" w:eastAsiaTheme="majorEastAsia" w:cstheme="majorEastAsia"/>
          <w:b w:val="0"/>
          <w:bCs w:val="0"/>
          <w:color w:val="auto"/>
          <w:sz w:val="32"/>
          <w:szCs w:val="32"/>
          <w:highlight w:val="none"/>
        </w:rPr>
        <w:t>月</w:t>
      </w:r>
      <w:r>
        <w:rPr>
          <w:rFonts w:hint="eastAsia" w:asciiTheme="majorEastAsia" w:hAnsiTheme="majorEastAsia" w:eastAsiaTheme="majorEastAsia" w:cstheme="majorEastAsia"/>
          <w:b w:val="0"/>
          <w:bCs w:val="0"/>
          <w:color w:val="auto"/>
          <w:sz w:val="32"/>
          <w:szCs w:val="32"/>
          <w:highlight w:val="none"/>
          <w:lang w:val="en-US" w:eastAsia="zh-CN"/>
        </w:rPr>
        <w:t xml:space="preserve"> </w:t>
      </w:r>
      <w:r>
        <w:rPr>
          <w:rFonts w:hint="eastAsia" w:asciiTheme="majorEastAsia" w:hAnsiTheme="majorEastAsia" w:eastAsiaTheme="majorEastAsia" w:cstheme="majorEastAsia"/>
          <w:b w:val="0"/>
          <w:bCs w:val="0"/>
          <w:color w:val="auto"/>
          <w:sz w:val="32"/>
          <w:szCs w:val="32"/>
          <w:highlight w:val="none"/>
        </w:rPr>
        <w:t>日</w:t>
      </w:r>
    </w:p>
    <w:p>
      <w:pPr>
        <w:spacing w:line="360" w:lineRule="auto"/>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rPr>
        <w:t>目  录</w:t>
      </w:r>
    </w:p>
    <w:p>
      <w:pPr>
        <w:spacing w:line="360" w:lineRule="auto"/>
        <w:rPr>
          <w:rFonts w:hint="eastAsia" w:asciiTheme="majorEastAsia" w:hAnsiTheme="majorEastAsia" w:eastAsiaTheme="majorEastAsia" w:cstheme="majorEastAsia"/>
          <w:color w:val="auto"/>
          <w:sz w:val="32"/>
          <w:szCs w:val="32"/>
          <w:highlight w:val="none"/>
        </w:rPr>
      </w:pPr>
    </w:p>
    <w:p>
      <w:pPr>
        <w:spacing w:line="360" w:lineRule="auto"/>
        <w:rPr>
          <w:rFonts w:hint="eastAsia" w:asciiTheme="majorEastAsia" w:hAnsiTheme="majorEastAsia" w:eastAsiaTheme="majorEastAsia" w:cstheme="majorEastAsia"/>
          <w:color w:val="auto"/>
          <w:sz w:val="32"/>
          <w:szCs w:val="32"/>
          <w:highlight w:val="none"/>
        </w:rPr>
      </w:pP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第一部分      招标公告</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第二部分      投标人须知</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第三部分      采购需求</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第四部分      评标办法</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第五部分      拟签订的合同文本</w:t>
      </w:r>
    </w:p>
    <w:p>
      <w:pPr>
        <w:spacing w:line="360" w:lineRule="auto"/>
        <w:ind w:firstLine="1280" w:firstLineChars="400"/>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第六部分      应提交的有关格式范例</w:t>
      </w:r>
    </w:p>
    <w:p>
      <w:pPr>
        <w:spacing w:line="360" w:lineRule="auto"/>
        <w:ind w:firstLine="549" w:firstLineChars="229"/>
        <w:rPr>
          <w:rFonts w:hint="eastAsia" w:asciiTheme="majorEastAsia" w:hAnsiTheme="majorEastAsia" w:eastAsiaTheme="majorEastAsia" w:cstheme="majorEastAsia"/>
          <w:color w:val="auto"/>
          <w:sz w:val="24"/>
          <w:highlight w:val="none"/>
        </w:rPr>
      </w:pPr>
      <w:bookmarkStart w:id="0" w:name="_Hlt91233176"/>
      <w:bookmarkEnd w:id="0"/>
      <w:bookmarkStart w:id="1" w:name="_Toc91899869"/>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ind w:firstLine="549" w:firstLineChars="229"/>
        <w:rPr>
          <w:rFonts w:hint="eastAsia" w:asciiTheme="majorEastAsia" w:hAnsiTheme="majorEastAsia" w:eastAsiaTheme="majorEastAsia" w:cstheme="majorEastAsia"/>
          <w:color w:val="auto"/>
          <w:sz w:val="24"/>
          <w:highlight w:val="none"/>
        </w:rPr>
      </w:pPr>
    </w:p>
    <w:p>
      <w:pPr>
        <w:spacing w:line="360" w:lineRule="auto"/>
        <w:rPr>
          <w:rFonts w:hint="eastAsia" w:asciiTheme="majorEastAsia" w:hAnsiTheme="majorEastAsia" w:eastAsiaTheme="majorEastAsia" w:cstheme="majorEastAsia"/>
          <w:color w:val="auto"/>
          <w:sz w:val="24"/>
          <w:highlight w:val="none"/>
        </w:rPr>
      </w:pPr>
    </w:p>
    <w:p>
      <w:pPr>
        <w:numPr>
          <w:ilvl w:val="0"/>
          <w:numId w:val="1"/>
        </w:numPr>
        <w:spacing w:line="360" w:lineRule="auto"/>
        <w:ind w:firstLine="723" w:firstLineChars="200"/>
        <w:jc w:val="center"/>
        <w:rPr>
          <w:rFonts w:hint="eastAsia" w:asciiTheme="majorEastAsia" w:hAnsiTheme="majorEastAsia" w:eastAsiaTheme="majorEastAsia" w:cstheme="majorEastAsia"/>
          <w:b/>
          <w:color w:val="auto"/>
          <w:sz w:val="36"/>
          <w:szCs w:val="20"/>
          <w:highlight w:val="none"/>
        </w:rPr>
      </w:pPr>
      <w:bookmarkStart w:id="2" w:name="第一部分"/>
      <w:r>
        <w:rPr>
          <w:rFonts w:hint="eastAsia" w:asciiTheme="majorEastAsia" w:hAnsiTheme="majorEastAsia" w:eastAsiaTheme="majorEastAsia" w:cstheme="majorEastAsia"/>
          <w:b/>
          <w:color w:val="auto"/>
          <w:sz w:val="36"/>
          <w:szCs w:val="36"/>
          <w:highlight w:val="none"/>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Theme="majorEastAsia" w:hAnsiTheme="majorEastAsia" w:eastAsiaTheme="majorEastAsia" w:cstheme="majorEastAsia"/>
          <w:b/>
          <w:color w:val="auto"/>
          <w:sz w:val="36"/>
          <w:szCs w:val="20"/>
          <w:highlight w:val="none"/>
        </w:rPr>
        <w:t>招标公告</w:t>
      </w:r>
    </w:p>
    <w:p>
      <w:pPr>
        <w:pStyle w:val="61"/>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仓前街道2022-2024年文一西路以南区块道路综合养护招标项目的潜在投标人应在</w:t>
      </w:r>
      <w:r>
        <w:rPr>
          <w:rFonts w:hint="eastAsia" w:ascii="仿宋" w:hAnsi="仿宋" w:eastAsia="仿宋" w:cs="仿宋"/>
          <w:i w:val="0"/>
          <w:iCs w:val="0"/>
          <w:caps w:val="0"/>
          <w:color w:val="000000"/>
          <w:spacing w:val="0"/>
          <w:sz w:val="27"/>
          <w:szCs w:val="27"/>
          <w:u w:val="none"/>
        </w:rPr>
        <w:t>政采云平台（https://www.zcygov.cn/）</w:t>
      </w:r>
      <w:r>
        <w:rPr>
          <w:rFonts w:hint="eastAsia" w:ascii="仿宋" w:hAnsi="仿宋" w:eastAsia="仿宋" w:cs="仿宋"/>
          <w:i w:val="0"/>
          <w:iCs w:val="0"/>
          <w:caps w:val="0"/>
          <w:color w:val="000000"/>
          <w:spacing w:val="0"/>
          <w:sz w:val="27"/>
          <w:szCs w:val="27"/>
        </w:rPr>
        <w:t>获取（下载）招标文件，并于 2022年03月25日 14:00（北京时间）前递交（上传）投标文件。</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255" w:beforeAutospacing="0" w:after="255" w:afterAutospacing="0" w:line="300" w:lineRule="atLeast"/>
        <w:ind w:left="0" w:right="0"/>
        <w:jc w:val="left"/>
        <w:rPr>
          <w:rFonts w:ascii="黑体" w:hAnsi="宋体" w:eastAsia="黑体" w:cs="黑体"/>
          <w:sz w:val="27"/>
          <w:szCs w:val="27"/>
        </w:rPr>
      </w:pPr>
      <w:r>
        <w:rPr>
          <w:rStyle w:val="72"/>
          <w:rFonts w:ascii="黑体" w:hAnsi="宋体" w:eastAsia="黑体" w:cs="黑体"/>
          <w:i w:val="0"/>
          <w:iCs w:val="0"/>
          <w:caps w:val="0"/>
          <w:color w:val="000000"/>
          <w:spacing w:val="0"/>
          <w:sz w:val="27"/>
          <w:szCs w:val="27"/>
        </w:rPr>
        <w:t>一、项目基本情况</w:t>
      </w:r>
      <w:r>
        <w:rPr>
          <w:rFonts w:ascii="黑体" w:hAnsi="宋体" w:eastAsia="黑体" w:cs="黑体"/>
          <w:i w:val="0"/>
          <w:iCs w:val="0"/>
          <w:caps w:val="0"/>
          <w:color w:val="000000"/>
          <w:spacing w:val="0"/>
          <w:sz w:val="27"/>
          <w:szCs w:val="27"/>
        </w:rPr>
        <w:t>                   </w:t>
      </w:r>
      <w:bookmarkStart w:id="401" w:name="_GoBack"/>
      <w:bookmarkEnd w:id="401"/>
      <w:r>
        <w:rPr>
          <w:rFonts w:ascii="黑体" w:hAnsi="宋体" w:eastAsia="黑体" w:cs="黑体"/>
          <w:i w:val="0"/>
          <w:iCs w:val="0"/>
          <w:caps w:val="0"/>
          <w:color w:val="000000"/>
          <w:spacing w:val="0"/>
          <w:sz w:val="27"/>
          <w:szCs w:val="27"/>
        </w:rPr>
        <w:t xml:space="preserve">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项目编号：ZJDL-2022-012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项目名称：仓前街道2022-2024年文一西路以南区块道路综合养护</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预算金额（元）：19780000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最高限价（元）：19780000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标项名称: 杭州市余杭区人民政府仓前街道办事处仓前街道2022-2024年文一西路以南区块道路综合养护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数量: 1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预算金额（元）: 19780000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简要规格描述或项目基本概况介绍、用途：仓前街道2022-2024年文一西路以南区块道路综合养护，主要内容：详见招标文件第三部分采购需求。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备注：</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1，2年</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本项目（是）接受联合体投标。</w:t>
      </w:r>
    </w:p>
    <w:p>
      <w:pPr>
        <w:pStyle w:val="61"/>
        <w:keepNext w:val="0"/>
        <w:keepLines w:val="0"/>
        <w:widowControl/>
        <w:suppressLineNumbers w:val="0"/>
        <w:spacing w:before="225" w:beforeAutospacing="0" w:after="225" w:afterAutospacing="0" w:line="300" w:lineRule="atLeast"/>
        <w:ind w:left="0" w:right="0"/>
      </w:pPr>
      <w:r>
        <w:rPr>
          <w:rStyle w:val="72"/>
          <w:rFonts w:ascii="黑体" w:hAnsi="宋体" w:eastAsia="黑体" w:cs="黑体"/>
          <w:i w:val="0"/>
          <w:iCs w:val="0"/>
          <w:caps w:val="0"/>
          <w:color w:val="000000"/>
          <w:spacing w:val="0"/>
          <w:sz w:val="27"/>
          <w:szCs w:val="27"/>
        </w:rPr>
        <w:t>二、申请人的资格要求：</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2.落实政府采购政策需满足的资格要求：无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时间：/至2022年03月25日 ，每天上午00:00至12:00 ，下午12:00至23:59（北京时间，线上获取法定节假日均可，线下获取文件法定节假日除外）</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地点（网址）：政采云平台（https://www.zcygov.cn/）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i w:val="0"/>
          <w:iCs w:val="0"/>
          <w:caps w:val="0"/>
          <w:color w:val="000000"/>
          <w:spacing w:val="0"/>
          <w:sz w:val="27"/>
          <w:szCs w:val="27"/>
        </w:rPr>
        <w:t>四、提交投标文件截止时间、开标时间和地点</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提交投标文件截止时间：2022年03月25日 14:00（北京时间）</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投标地点（网址）：政采云平台（https://www.zcygov.cn/）</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开标时间：2022年03月25日 14:00</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开标地点（网址）：政采云平台（https://www.zcygov.cn/）</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2"/>
          <w:rFonts w:ascii="黑体" w:hAnsi="宋体" w:eastAsia="黑体" w:cs="黑体"/>
          <w:i w:val="0"/>
          <w:iCs w:val="0"/>
          <w:caps w:val="0"/>
          <w:color w:val="000000"/>
          <w:spacing w:val="0"/>
          <w:sz w:val="27"/>
          <w:szCs w:val="27"/>
        </w:rPr>
        <w:t>五、采购意向公开链接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i w:val="0"/>
          <w:iCs w:val="0"/>
          <w:caps w:val="0"/>
          <w:color w:val="000000"/>
          <w:spacing w:val="0"/>
          <w:sz w:val="31"/>
          <w:szCs w:val="31"/>
        </w:rPr>
        <w:t>   </w:t>
      </w:r>
      <w:r>
        <w:rPr>
          <w:rStyle w:val="81"/>
          <w:rFonts w:hint="eastAsia" w:ascii="仿宋" w:hAnsi="仿宋" w:eastAsia="仿宋" w:cs="仿宋"/>
          <w:i w:val="0"/>
          <w:iCs w:val="0"/>
          <w:caps w:val="0"/>
          <w:color w:val="000000"/>
          <w:spacing w:val="0"/>
          <w:sz w:val="27"/>
          <w:szCs w:val="27"/>
        </w:rPr>
        <w:t>https://zfcg.czt.zj.gov.cn/innerUsed_noticeDetails/index.html?noticeId=8523836&amp;utm=web-government-front.2e418808.0.0.7a8ef5309c8711ec9ca2458c7c067c2c</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2"/>
          <w:rFonts w:ascii="黑体" w:hAnsi="宋体" w:eastAsia="黑体" w:cs="黑体"/>
          <w:i w:val="0"/>
          <w:iCs w:val="0"/>
          <w:caps w:val="0"/>
          <w:color w:val="000000"/>
          <w:spacing w:val="0"/>
          <w:sz w:val="27"/>
          <w:szCs w:val="27"/>
        </w:rPr>
        <w:t>六、公告期限</w:t>
      </w:r>
      <w:r>
        <w:rPr>
          <w:rFonts w:ascii="黑体" w:hAnsi="宋体" w:eastAsia="黑体" w:cs="黑体"/>
          <w:i w:val="0"/>
          <w:iCs w:val="0"/>
          <w:caps w:val="0"/>
          <w:color w:val="000000"/>
          <w:spacing w:val="0"/>
          <w:sz w:val="31"/>
          <w:szCs w:val="31"/>
        </w:rPr>
        <w:t> </w:t>
      </w:r>
    </w:p>
    <w:p>
      <w:pPr>
        <w:pStyle w:val="61"/>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pPr>
        <w:pStyle w:val="6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2"/>
          <w:rFonts w:ascii="黑体" w:hAnsi="宋体" w:eastAsia="黑体" w:cs="黑体"/>
          <w:i w:val="0"/>
          <w:iCs w:val="0"/>
          <w:caps w:val="0"/>
          <w:color w:val="000000"/>
          <w:spacing w:val="0"/>
          <w:sz w:val="27"/>
          <w:szCs w:val="27"/>
        </w:rPr>
        <w:t>七、其他补充事宜</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1"/>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4.其他事项：无  </w:t>
      </w:r>
    </w:p>
    <w:p>
      <w:pPr>
        <w:pStyle w:val="61"/>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2"/>
          <w:rFonts w:ascii="黑体" w:hAnsi="宋体" w:eastAsia="黑体" w:cs="黑体"/>
          <w:i w:val="0"/>
          <w:iCs w:val="0"/>
          <w:caps w:val="0"/>
          <w:color w:val="000000"/>
          <w:spacing w:val="0"/>
          <w:sz w:val="27"/>
          <w:szCs w:val="27"/>
        </w:rPr>
        <w:t>八、对本次采购提出询问、质疑、投诉，请按以下方式联系</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称：杭州市余杭区人民政府仓前街道办事处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址：仓前街道向往街1008号乐富海邦园18幢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项目联系人（询问）：陈文钟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项目联系方式（询问）：0571-88611800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质疑联系人：周国平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质疑联系方式：13777592253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称：浙江中际工程项目管理有限公司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址：杭州市临平区南苑街道嘉信国际6楼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项目联系人（询问）：周杨威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项目联系方式（询问）：13362030720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质疑联系人：周杨威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质疑联系方式：13362030720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3.同级政府采购监督管理部门</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称：杭州市余杭区财政局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址：杭州市余杭区五常街道溪沁路8号中国电信浙江创新园1号楼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联系人 ：杜国强 </w:t>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监督投诉电话：0571-88728858  </w:t>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p>
      <w:pPr>
        <w:pStyle w:val="61"/>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pPr>
        <w:pStyle w:val="2"/>
        <w:numPr>
          <w:numId w:val="0"/>
        </w:numPr>
        <w:ind w:leftChars="400"/>
        <w:rPr>
          <w:rFonts w:hint="eastAsia"/>
        </w:rPr>
      </w:pPr>
    </w:p>
    <w:p>
      <w:pPr>
        <w:adjustRightInd/>
        <w:spacing w:line="360" w:lineRule="auto"/>
        <w:jc w:val="center"/>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br w:type="page"/>
      </w:r>
      <w:r>
        <w:rPr>
          <w:rFonts w:hint="eastAsia" w:asciiTheme="majorEastAsia" w:hAnsiTheme="majorEastAsia" w:eastAsiaTheme="majorEastAsia" w:cstheme="majorEastAsia"/>
          <w:b/>
          <w:color w:val="auto"/>
          <w:sz w:val="36"/>
          <w:szCs w:val="20"/>
          <w:highlight w:val="none"/>
        </w:rPr>
        <w:t>第二部分</w:t>
      </w:r>
      <w:bookmarkEnd w:id="7"/>
      <w:r>
        <w:rPr>
          <w:rFonts w:hint="eastAsia" w:asciiTheme="majorEastAsia" w:hAnsiTheme="majorEastAsia" w:eastAsiaTheme="majorEastAsia" w:cstheme="majorEastAsia"/>
          <w:b/>
          <w:color w:val="auto"/>
          <w:sz w:val="36"/>
          <w:szCs w:val="20"/>
          <w:highlight w:val="none"/>
        </w:rPr>
        <w:t xml:space="preserve"> 投标人须知</w:t>
      </w:r>
      <w:bookmarkEnd w:id="8"/>
    </w:p>
    <w:p>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有关本项目实施所需的所有费用（含税费）均计入报价。</w:t>
            </w:r>
            <w:r>
              <w:rPr>
                <w:rFonts w:hint="eastAsia" w:asciiTheme="majorEastAsia" w:hAnsiTheme="majorEastAsia" w:eastAsiaTheme="majorEastAsia" w:cstheme="majorEastAsia"/>
                <w:color w:val="auto"/>
                <w:sz w:val="24"/>
                <w:highlight w:val="none"/>
              </w:rPr>
              <w:t>开标一览表（报价表）是报价的唯一载体</w:t>
            </w:r>
            <w:r>
              <w:rPr>
                <w:rFonts w:hint="eastAsia" w:asciiTheme="majorEastAsia" w:hAnsiTheme="majorEastAsia" w:eastAsiaTheme="majorEastAsia" w:cstheme="majorEastAsia"/>
                <w:color w:val="auto"/>
                <w:kern w:val="0"/>
                <w:sz w:val="24"/>
                <w:highlight w:val="none"/>
                <w:lang w:val="zh-CN"/>
              </w:rPr>
              <w:t>。投标文件中道路保洁、绿化养护、时花养护、公厕保洁价格全部采用人民币报价，道路养护采用费率报价。招标文件未列明，而投标人认为必需的费用也需列入报价。</w:t>
            </w:r>
          </w:p>
          <w:p>
            <w:pPr>
              <w:snapToGrid w:val="0"/>
              <w:spacing w:line="360" w:lineRule="auto"/>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color w:val="auto"/>
                <w:sz w:val="24"/>
                <w:szCs w:val="21"/>
                <w:highlight w:val="none"/>
              </w:rPr>
              <w:t>;</w:t>
            </w:r>
          </w:p>
          <w:p>
            <w:pPr>
              <w:spacing w:line="360" w:lineRule="auto"/>
              <w:ind w:firstLine="241"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kern w:val="0"/>
                <w:sz w:val="24"/>
                <w:highlight w:val="none"/>
              </w:rPr>
              <w:t>投标人对根据修正原则修正后的报价不确认的</w:t>
            </w:r>
            <w:r>
              <w:rPr>
                <w:rFonts w:hint="eastAsia" w:asciiTheme="majorEastAsia" w:hAnsiTheme="majorEastAsia" w:eastAsiaTheme="majorEastAsia" w:cstheme="maj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 A</w:t>
            </w:r>
            <w:r>
              <w:rPr>
                <w:rFonts w:hint="eastAsia" w:asciiTheme="majorEastAsia" w:hAnsiTheme="majorEastAsia" w:eastAsiaTheme="majorEastAsia" w:cstheme="majorEastAsia"/>
                <w:color w:val="auto"/>
                <w:sz w:val="24"/>
                <w:highlight w:val="none"/>
              </w:rPr>
              <w:t>同意将非主体、非关键性的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工作分包。</w:t>
            </w: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 xml:space="preserve"> B</w:t>
            </w:r>
            <w:r>
              <w:rPr>
                <w:rFonts w:hint="eastAsia" w:asciiTheme="majorEastAsia" w:hAnsiTheme="majorEastAsia" w:eastAsiaTheme="majorEastAsia" w:cstheme="majorEastAsia"/>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（1）资格证明文件：见招标文件第二部分11.1。</w:t>
            </w:r>
          </w:p>
          <w:p>
            <w:pPr>
              <w:spacing w:line="360" w:lineRule="auto"/>
              <w:rPr>
                <w:rFonts w:hint="eastAsia" w:asciiTheme="majorEastAsia" w:hAnsiTheme="majorEastAsia" w:eastAsiaTheme="majorEastAsia" w:cstheme="majorEastAsia"/>
                <w:snapToGrid w:val="0"/>
                <w:color w:val="auto"/>
                <w:kern w:val="0"/>
                <w:szCs w:val="21"/>
                <w:highlight w:val="none"/>
              </w:rPr>
            </w:pPr>
            <w:r>
              <w:rPr>
                <w:rFonts w:hint="eastAsia" w:asciiTheme="majorEastAsia" w:hAnsiTheme="majorEastAsia" w:eastAsiaTheme="majorEastAsia" w:cstheme="majorEastAsia"/>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pPr>
              <w:spacing w:line="360" w:lineRule="auto"/>
              <w:rPr>
                <w:rFonts w:hint="eastAsia"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kern w:val="0"/>
                <w:sz w:val="24"/>
                <w:highlight w:val="none"/>
              </w:rPr>
              <w:t>☐B组织，</w:t>
            </w: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，联系方式：</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不要求提供。</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B要求提供，</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r>
              <w:rPr>
                <w:rFonts w:hint="eastAsia" w:asciiTheme="majorEastAsia" w:hAnsiTheme="majorEastAsia" w:eastAsiaTheme="majorEastAsia" w:cstheme="majorEastAsia"/>
                <w:snapToGrid w:val="0"/>
                <w:color w:val="auto"/>
                <w:kern w:val="28"/>
                <w:sz w:val="24"/>
                <w:highlight w:val="none"/>
              </w:rPr>
              <w:t>样品：</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snapToGrid w:val="0"/>
                <w:color w:val="auto"/>
                <w:kern w:val="28"/>
                <w:sz w:val="24"/>
                <w:highlight w:val="none"/>
              </w:rPr>
              <w:t>样品制作的标准和要求：</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（3）样品的评审方法以及评审标准</w:t>
            </w:r>
            <w:r>
              <w:rPr>
                <w:rFonts w:hint="eastAsia" w:asciiTheme="majorEastAsia" w:hAnsiTheme="majorEastAsia" w:eastAsiaTheme="majorEastAsia" w:cstheme="majorEastAsia"/>
                <w:snapToGrid w:val="0"/>
                <w:color w:val="auto"/>
                <w:kern w:val="28"/>
                <w:sz w:val="24"/>
                <w:highlight w:val="none"/>
              </w:rPr>
              <w:t>：详见</w:t>
            </w:r>
            <w:r>
              <w:rPr>
                <w:rFonts w:hint="eastAsia" w:asciiTheme="majorEastAsia" w:hAnsiTheme="majorEastAsia" w:eastAsiaTheme="majorEastAsia" w:cstheme="majorEastAsia"/>
                <w:color w:val="auto"/>
                <w:sz w:val="24"/>
                <w:highlight w:val="none"/>
                <w:u w:val="single"/>
              </w:rPr>
              <w:t>评标办法</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（4）是否需要随样品提交检测报告：</w:t>
            </w: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否；☐是，检测机构的要求</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；检测内容</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（5）提供样品的时间：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kern w:val="0"/>
                <w:sz w:val="24"/>
                <w:highlight w:val="none"/>
              </w:rPr>
              <w:t>；联系人</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28"/>
                <w:sz w:val="24"/>
                <w:highlight w:val="none"/>
              </w:rPr>
              <w:t>联系电话：</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FE"/>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不组织。</w:t>
            </w:r>
          </w:p>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B组织。</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（2）方案讲解演示可选择以下其中一种方式：</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方式二：交易中心现场讲解演示。现场讲解地点</w:t>
            </w:r>
            <w:r>
              <w:rPr>
                <w:rFonts w:hint="eastAsia" w:asciiTheme="majorEastAsia" w:hAnsiTheme="majorEastAsia" w:eastAsiaTheme="majorEastAsia" w:cstheme="majorEastAsia"/>
                <w:b/>
                <w:bCs/>
                <w:color w:val="auto"/>
                <w:kern w:val="0"/>
                <w:sz w:val="24"/>
                <w:highlight w:val="none"/>
                <w:u w:val="single"/>
                <w:lang w:val="en-US" w:eastAsia="zh-CN"/>
              </w:rPr>
              <w:t xml:space="preserve">      </w:t>
            </w:r>
            <w:r>
              <w:rPr>
                <w:rFonts w:hint="eastAsia" w:asciiTheme="majorEastAsia" w:hAnsiTheme="majorEastAsia" w:eastAsiaTheme="majorEastAsia" w:cstheme="majorEastAsia"/>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sym w:font="Wingdings" w:char="F0FE"/>
            </w:r>
            <w:r>
              <w:rPr>
                <w:rFonts w:hint="eastAsia" w:asciiTheme="majorEastAsia" w:hAnsiTheme="majorEastAsia" w:eastAsiaTheme="majorEastAsia" w:cstheme="majorEastAsia"/>
                <w:color w:val="auto"/>
                <w:kern w:val="0"/>
                <w:sz w:val="24"/>
                <w:highlight w:val="none"/>
              </w:rPr>
              <w:t>本项目不允许采购进口产品。</w:t>
            </w:r>
          </w:p>
          <w:p>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kern w:val="0"/>
                <w:sz w:val="24"/>
                <w:highlight w:val="none"/>
              </w:rPr>
              <w:t>A</w:t>
            </w:r>
            <w:r>
              <w:rPr>
                <w:rFonts w:hint="eastAsia" w:asciiTheme="majorEastAsia" w:hAnsiTheme="majorEastAsia" w:eastAsiaTheme="majorEastAsia" w:cstheme="majorEastAsia"/>
                <w:color w:val="auto"/>
                <w:sz w:val="24"/>
                <w:highlight w:val="none"/>
              </w:rPr>
              <w:t>货物类，单一产品或</w:t>
            </w:r>
            <w:r>
              <w:rPr>
                <w:rFonts w:hint="eastAsia" w:asciiTheme="majorEastAsia" w:hAnsiTheme="majorEastAsia" w:eastAsiaTheme="majorEastAsia" w:cstheme="majorEastAsia"/>
                <w:color w:val="auto"/>
                <w:kern w:val="0"/>
                <w:sz w:val="24"/>
                <w:highlight w:val="none"/>
              </w:rPr>
              <w:t>核心产品为：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B</w:t>
            </w:r>
            <w:r>
              <w:rPr>
                <w:rFonts w:hint="eastAsia" w:asciiTheme="majorEastAsia" w:hAnsiTheme="majorEastAsia" w:eastAsiaTheme="majorEastAsia" w:cstheme="maj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4"/>
                <w:highlight w:val="none"/>
              </w:rPr>
              <w:t>（1）标的：</w:t>
            </w:r>
            <w:r>
              <w:rPr>
                <w:rFonts w:hint="eastAsia" w:asciiTheme="majorEastAsia" w:hAnsiTheme="majorEastAsia" w:eastAsiaTheme="majorEastAsia" w:cstheme="majorEastAsia"/>
                <w:color w:val="auto"/>
                <w:kern w:val="0"/>
                <w:sz w:val="24"/>
                <w:highlight w:val="none"/>
                <w:lang w:eastAsia="zh-CN"/>
              </w:rPr>
              <w:t>综合养护</w:t>
            </w:r>
            <w:r>
              <w:rPr>
                <w:rFonts w:hint="eastAsia" w:asciiTheme="majorEastAsia" w:hAnsiTheme="majorEastAsia" w:eastAsiaTheme="majorEastAsia" w:cstheme="majorEastAsia"/>
                <w:color w:val="auto"/>
                <w:kern w:val="0"/>
                <w:sz w:val="24"/>
                <w:highlight w:val="none"/>
              </w:rPr>
              <w:t>服务，属于其他未列明行业；具体详见《中小企业划型标准规定》。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p>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Theme="majorEastAsia" w:hAnsiTheme="majorEastAsia" w:eastAsiaTheme="majorEastAsia" w:cstheme="majorEastAsia"/>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Theme="majorEastAsia" w:hAnsiTheme="majorEastAsia" w:eastAsiaTheme="majorEastAsia" w:cstheme="majorEastAsia"/>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Theme="majorEastAsia" w:hAnsiTheme="majorEastAsia" w:eastAsiaTheme="majorEastAsia" w:cstheme="majorEastAsia"/>
                <w:color w:val="auto"/>
                <w:kern w:val="28"/>
                <w:sz w:val="24"/>
                <w:highlight w:val="none"/>
              </w:rPr>
            </w:pPr>
            <w:r>
              <w:rPr>
                <w:rFonts w:hint="eastAsia" w:asciiTheme="majorEastAsia" w:hAnsiTheme="majorEastAsia" w:eastAsiaTheme="majorEastAsia" w:cstheme="majorEastAsia"/>
                <w:color w:val="auto"/>
                <w:kern w:val="28"/>
                <w:sz w:val="24"/>
                <w:szCs w:val="24"/>
                <w:highlight w:val="none"/>
              </w:rPr>
              <w:t>备份投标文件送达地点：</w:t>
            </w:r>
            <w:r>
              <w:rPr>
                <w:rFonts w:hint="eastAsia" w:asciiTheme="majorEastAsia" w:hAnsiTheme="majorEastAsia" w:eastAsiaTheme="majorEastAsia" w:cstheme="majorEastAsia"/>
                <w:color w:val="auto"/>
                <w:kern w:val="28"/>
                <w:sz w:val="24"/>
                <w:szCs w:val="24"/>
                <w:highlight w:val="none"/>
                <w:lang w:eastAsia="zh-CN"/>
              </w:rPr>
              <w:t>杭州市临平区南苑街道嘉信国际6楼</w:t>
            </w:r>
            <w:r>
              <w:rPr>
                <w:rFonts w:hint="eastAsia" w:asciiTheme="majorEastAsia" w:hAnsiTheme="majorEastAsia" w:eastAsiaTheme="majorEastAsia" w:cstheme="majorEastAsia"/>
                <w:color w:val="auto"/>
                <w:kern w:val="28"/>
                <w:sz w:val="24"/>
                <w:szCs w:val="24"/>
                <w:highlight w:val="none"/>
              </w:rPr>
              <w:t>；备份投标文件签收人员联系电话：</w:t>
            </w:r>
            <w:r>
              <w:rPr>
                <w:rFonts w:hint="eastAsia" w:asciiTheme="majorEastAsia" w:hAnsiTheme="majorEastAsia" w:eastAsiaTheme="majorEastAsia" w:cstheme="majorEastAsia"/>
                <w:color w:val="auto"/>
                <w:sz w:val="24"/>
                <w:highlight w:val="none"/>
                <w:u w:val="single"/>
                <w:lang w:val="en-US" w:eastAsia="zh-CN"/>
              </w:rPr>
              <w:t>13362030720</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eastAsia="仿宋" w:asciiTheme="majorEastAsia" w:hAnsiTheme="majorEastAsia" w:cstheme="majorEastAsia"/>
                <w:snapToGrid w:val="0"/>
                <w:color w:val="auto"/>
                <w:kern w:val="28"/>
                <w:sz w:val="24"/>
                <w:highlight w:val="none"/>
                <w:lang w:eastAsia="zh-CN"/>
              </w:rPr>
            </w:pPr>
            <w:r>
              <w:rPr>
                <w:rFonts w:hint="eastAsia" w:ascii="宋体" w:hAnsi="宋体" w:eastAsia="宋体" w:cs="宋体"/>
                <w:b/>
                <w:snapToGrid w:val="0"/>
                <w:color w:val="auto"/>
                <w:kern w:val="28"/>
                <w:sz w:val="24"/>
                <w:highlight w:val="none"/>
                <w:lang w:eastAsia="zh-CN"/>
              </w:rPr>
              <w:t>本次仓前街道保洁养护招标分三个项目，</w:t>
            </w:r>
            <w:r>
              <w:rPr>
                <w:rFonts w:hint="eastAsia" w:ascii="宋体" w:hAnsi="宋体" w:eastAsia="宋体" w:cs="宋体"/>
                <w:b/>
                <w:snapToGrid w:val="0"/>
                <w:color w:val="auto"/>
                <w:kern w:val="28"/>
                <w:sz w:val="24"/>
                <w:highlight w:val="none"/>
              </w:rPr>
              <w:t>供应商可选择其中一个或多个标项进行投标，但只能中其中一个标项，中标顺序按</w:t>
            </w:r>
            <w:r>
              <w:rPr>
                <w:rFonts w:hint="eastAsia" w:ascii="宋体" w:hAnsi="宋体" w:eastAsia="宋体" w:cs="宋体"/>
                <w:b/>
                <w:snapToGrid w:val="0"/>
                <w:color w:val="auto"/>
                <w:kern w:val="28"/>
                <w:sz w:val="24"/>
                <w:highlight w:val="none"/>
                <w:lang w:val="en-US" w:eastAsia="zh-CN"/>
              </w:rPr>
              <w:t>1、</w:t>
            </w:r>
            <w:r>
              <w:rPr>
                <w:rFonts w:hint="eastAsia" w:ascii="宋体" w:hAnsi="宋体" w:eastAsia="宋体" w:cs="宋体"/>
                <w:b/>
                <w:bCs/>
                <w:i w:val="0"/>
                <w:iCs w:val="0"/>
                <w:caps w:val="0"/>
                <w:color w:val="000000"/>
                <w:spacing w:val="0"/>
                <w:sz w:val="27"/>
                <w:szCs w:val="27"/>
                <w:highlight w:val="none"/>
                <w:lang w:eastAsia="zh-CN"/>
              </w:rPr>
              <w:t>仓前街道2022-2024年文一西路以北区块道路综合养护；</w:t>
            </w:r>
            <w:r>
              <w:rPr>
                <w:rFonts w:hint="eastAsia" w:ascii="宋体" w:hAnsi="宋体" w:eastAsia="宋体" w:cs="宋体"/>
                <w:b/>
                <w:bCs/>
                <w:i w:val="0"/>
                <w:iCs w:val="0"/>
                <w:caps w:val="0"/>
                <w:color w:val="000000"/>
                <w:spacing w:val="0"/>
                <w:sz w:val="27"/>
                <w:szCs w:val="27"/>
                <w:highlight w:val="none"/>
                <w:lang w:val="en-US" w:eastAsia="zh-CN"/>
              </w:rPr>
              <w:t>2、</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年文一西路以南区块道路综合养护</w:t>
            </w:r>
            <w:r>
              <w:rPr>
                <w:rFonts w:hint="eastAsia" w:ascii="宋体" w:hAnsi="宋体" w:eastAsia="宋体" w:cs="宋体"/>
                <w:b/>
                <w:bCs/>
                <w:i w:val="0"/>
                <w:iCs w:val="0"/>
                <w:caps w:val="0"/>
                <w:color w:val="000000"/>
                <w:spacing w:val="0"/>
                <w:sz w:val="27"/>
                <w:szCs w:val="27"/>
                <w:highlight w:val="none"/>
                <w:lang w:eastAsia="zh-CN"/>
              </w:rPr>
              <w:t>；</w:t>
            </w:r>
            <w:r>
              <w:rPr>
                <w:rFonts w:hint="eastAsia" w:ascii="宋体" w:hAnsi="宋体" w:eastAsia="宋体" w:cs="宋体"/>
                <w:b/>
                <w:bCs/>
                <w:i w:val="0"/>
                <w:iCs w:val="0"/>
                <w:caps w:val="0"/>
                <w:color w:val="000000"/>
                <w:spacing w:val="0"/>
                <w:sz w:val="27"/>
                <w:szCs w:val="27"/>
                <w:highlight w:val="none"/>
                <w:lang w:val="en-US" w:eastAsia="zh-CN"/>
              </w:rPr>
              <w:t>3、</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eastAsia="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年河道及滨河绿化养护</w:t>
            </w:r>
            <w:r>
              <w:rPr>
                <w:rFonts w:hint="eastAsia" w:ascii="宋体" w:hAnsi="宋体" w:eastAsia="宋体" w:cs="宋体"/>
                <w:b/>
                <w:bCs/>
                <w:i w:val="0"/>
                <w:iCs w:val="0"/>
                <w:caps w:val="0"/>
                <w:color w:val="000000"/>
                <w:spacing w:val="0"/>
                <w:sz w:val="27"/>
                <w:szCs w:val="27"/>
                <w:highlight w:val="none"/>
                <w:lang w:eastAsia="zh-CN"/>
              </w:rPr>
              <w:t>进行确认：</w:t>
            </w:r>
            <w:r>
              <w:rPr>
                <w:rFonts w:hint="eastAsia" w:ascii="宋体" w:hAnsi="宋体" w:eastAsia="宋体" w:cs="宋体"/>
                <w:b/>
                <w:snapToGrid w:val="0"/>
                <w:color w:val="auto"/>
                <w:kern w:val="28"/>
                <w:sz w:val="24"/>
                <w:highlight w:val="none"/>
              </w:rPr>
              <w:t>如供应商前一个标项已经被确定为该标项的第一中标候选人，则后续标项将不被推荐为中标候选人；例如供应商被确定为</w:t>
            </w:r>
            <w:r>
              <w:rPr>
                <w:rFonts w:hint="eastAsia" w:ascii="宋体" w:hAnsi="宋体" w:eastAsia="宋体" w:cs="宋体"/>
                <w:b/>
                <w:bCs/>
                <w:i w:val="0"/>
                <w:iCs w:val="0"/>
                <w:caps w:val="0"/>
                <w:color w:val="000000"/>
                <w:spacing w:val="0"/>
                <w:sz w:val="27"/>
                <w:szCs w:val="27"/>
                <w:highlight w:val="none"/>
                <w:lang w:eastAsia="zh-CN"/>
              </w:rPr>
              <w:t>仓前街道2022-2024年文一西路以北区块道路综合养护</w:t>
            </w:r>
            <w:r>
              <w:rPr>
                <w:rFonts w:hint="eastAsia" w:ascii="宋体" w:hAnsi="宋体" w:eastAsia="宋体" w:cs="宋体"/>
                <w:b/>
                <w:snapToGrid w:val="0"/>
                <w:color w:val="auto"/>
                <w:kern w:val="28"/>
                <w:sz w:val="24"/>
                <w:highlight w:val="none"/>
              </w:rPr>
              <w:t>的中标候选人，则</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年文一西路以南区块道路综合养护</w:t>
            </w:r>
            <w:r>
              <w:rPr>
                <w:rFonts w:hint="eastAsia" w:ascii="宋体" w:hAnsi="宋体" w:eastAsia="宋体" w:cs="宋体"/>
                <w:b/>
                <w:snapToGrid w:val="0"/>
                <w:color w:val="auto"/>
                <w:kern w:val="28"/>
                <w:sz w:val="24"/>
                <w:highlight w:val="none"/>
              </w:rPr>
              <w:t>、</w:t>
            </w:r>
            <w:r>
              <w:rPr>
                <w:rFonts w:hint="eastAsia" w:ascii="宋体" w:hAnsi="宋体" w:eastAsia="宋体" w:cs="宋体"/>
                <w:b/>
                <w:bCs/>
                <w:i w:val="0"/>
                <w:iCs w:val="0"/>
                <w:caps w:val="0"/>
                <w:color w:val="000000"/>
                <w:spacing w:val="0"/>
                <w:sz w:val="27"/>
                <w:szCs w:val="27"/>
                <w:highlight w:val="none"/>
              </w:rPr>
              <w:t>仓前街道2022-202</w:t>
            </w:r>
            <w:r>
              <w:rPr>
                <w:rFonts w:hint="eastAsia" w:ascii="宋体" w:hAnsi="宋体" w:eastAsia="宋体" w:cs="宋体"/>
                <w:b/>
                <w:bCs/>
                <w:i w:val="0"/>
                <w:iCs w:val="0"/>
                <w:caps w:val="0"/>
                <w:color w:val="000000"/>
                <w:spacing w:val="0"/>
                <w:sz w:val="27"/>
                <w:szCs w:val="27"/>
                <w:highlight w:val="none"/>
                <w:lang w:val="en-US" w:eastAsia="zh-CN"/>
              </w:rPr>
              <w:t>4</w:t>
            </w:r>
            <w:r>
              <w:rPr>
                <w:rFonts w:hint="eastAsia" w:ascii="宋体" w:hAnsi="宋体" w:eastAsia="宋体" w:cs="宋体"/>
                <w:b/>
                <w:bCs/>
                <w:i w:val="0"/>
                <w:iCs w:val="0"/>
                <w:caps w:val="0"/>
                <w:color w:val="000000"/>
                <w:spacing w:val="0"/>
                <w:sz w:val="27"/>
                <w:szCs w:val="27"/>
                <w:highlight w:val="none"/>
              </w:rPr>
              <w:t>年河道及滨河绿化养护</w:t>
            </w:r>
            <w:r>
              <w:rPr>
                <w:rFonts w:hint="eastAsia" w:ascii="宋体" w:hAnsi="宋体" w:eastAsia="宋体" w:cs="宋体"/>
                <w:b/>
                <w:snapToGrid w:val="0"/>
                <w:color w:val="auto"/>
                <w:kern w:val="28"/>
                <w:sz w:val="24"/>
                <w:highlight w:val="none"/>
              </w:rPr>
              <w:t>将不被推荐为中标候选人；以此类推。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p>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color w:val="auto"/>
                <w:sz w:val="24"/>
                <w:highlight w:val="none"/>
              </w:rPr>
              <w:t>供应商以联合体形式投标的：按采购文件要求提供联合协议，联合体投标的联合体各方承担连带责任</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 xml:space="preserve">联合体成 </w:t>
            </w:r>
          </w:p>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员（含联合体牵头人）不得超过 3 个。</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snapToGrid w:val="0"/>
                <w:color w:val="auto"/>
                <w:kern w:val="28"/>
                <w:sz w:val="24"/>
                <w:highlight w:val="none"/>
              </w:rPr>
              <w:t>联合体各方不再单独参加或者与其他供应商另外组成联合体参加同一标项的政府采购活动，否则相关投标均无效。</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snapToGrid w:val="0"/>
                <w:color w:val="auto"/>
                <w:kern w:val="28"/>
                <w:sz w:val="24"/>
                <w:highlight w:val="none"/>
              </w:rPr>
            </w:pPr>
            <w:r>
              <w:rPr>
                <w:rFonts w:hint="eastAsia" w:ascii="宋体" w:hAnsi="宋体" w:eastAsia="宋体" w:cs="宋体"/>
                <w:b/>
                <w:snapToGrid w:val="0"/>
                <w:color w:val="auto"/>
                <w:kern w:val="28"/>
                <w:sz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bookmarkEnd w:id="9"/>
    </w:tbl>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bookmarkStart w:id="10" w:name="_Toc164416483"/>
      <w:bookmarkStart w:id="11" w:name="第三部分"/>
      <w:r>
        <w:rPr>
          <w:rFonts w:hint="eastAsia" w:asciiTheme="majorEastAsia" w:hAnsiTheme="majorEastAsia" w:eastAsiaTheme="majorEastAsia" w:cstheme="majorEastAsia"/>
          <w:b/>
          <w:color w:val="auto"/>
          <w:sz w:val="32"/>
          <w:szCs w:val="20"/>
          <w:highlight w:val="none"/>
        </w:rPr>
        <w:t>一、总则</w:t>
      </w:r>
    </w:p>
    <w:p>
      <w:pPr>
        <w:snapToGrid w:val="0"/>
        <w:spacing w:line="360" w:lineRule="auto"/>
        <w:ind w:firstLine="361" w:firstLineChars="150"/>
        <w:jc w:val="left"/>
        <w:outlineLvl w:val="1"/>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 适用范围</w:t>
      </w:r>
    </w:p>
    <w:p>
      <w:pPr>
        <w:snapToGri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2.定义</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 “采购人”系指招标公告中载明的本项目的采购人。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 “采购机构”系指招标公告中载明的本项目的采购机构。</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 “投标人”系指是指响应招标、参加投标竞争的法人、其他组织或者自然人。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2.6“电子交易平台”是指本项目政府采购活动所依托的政府采购云平台（https://www.zcygov.cn/）。</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 “▲” 系指实质性要求条款，“★”系产品采购项目中单一产品或核心产品，“</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sz w:val="24"/>
          <w:highlight w:val="none"/>
        </w:rPr>
        <w:t>” 系指适用本项目的要求，“</w:t>
      </w:r>
      <w:r>
        <w:rPr>
          <w:rFonts w:hint="eastAsia" w:asciiTheme="majorEastAsia" w:hAnsiTheme="majorEastAsia" w:eastAsiaTheme="majorEastAsia" w:cstheme="majorEastAsia"/>
          <w:color w:val="auto"/>
          <w:kern w:val="0"/>
          <w:sz w:val="24"/>
          <w:highlight w:val="none"/>
        </w:rPr>
        <w:sym w:font="Wingdings" w:char="00A8"/>
      </w:r>
      <w:r>
        <w:rPr>
          <w:rFonts w:hint="eastAsia" w:asciiTheme="majorEastAsia" w:hAnsiTheme="majorEastAsia" w:eastAsiaTheme="majorEastAsia" w:cstheme="majorEastAsia"/>
          <w:color w:val="auto"/>
          <w:sz w:val="24"/>
          <w:highlight w:val="none"/>
        </w:rPr>
        <w:t>” 系指不适用本项目的要求。</w:t>
      </w:r>
    </w:p>
    <w:p>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采购项目需要落实的政府采购政策</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 支持绿色发展</w:t>
      </w:r>
    </w:p>
    <w:p>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3.3支持中小企业发展</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3.3.2</w:t>
      </w:r>
      <w:r>
        <w:rPr>
          <w:rFonts w:hint="eastAsia" w:asciiTheme="majorEastAsia" w:hAnsiTheme="majorEastAsia" w:eastAsiaTheme="majorEastAsia" w:cstheme="majorEastAsia"/>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w:t>
      </w:r>
      <w:r>
        <w:rPr>
          <w:rFonts w:hint="eastAsia" w:asciiTheme="majorEastAsia" w:hAnsiTheme="majorEastAsia" w:eastAsiaTheme="majorEastAsia" w:cstheme="majorEastAsia"/>
          <w:bCs/>
          <w:color w:val="auto"/>
          <w:sz w:val="24"/>
          <w:highlight w:val="none"/>
        </w:rPr>
        <w:t>支持创新发展</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 采购人优先采购被认定为首台套产品和“制造精品”的自主创新产品。</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Theme="majorEastAsia" w:hAnsiTheme="majorEastAsia" w:eastAsiaTheme="majorEastAsia" w:cstheme="majorEastAsia"/>
          <w:color w:val="auto"/>
          <w:sz w:val="24"/>
          <w:highlight w:val="none"/>
        </w:rPr>
        <w:cr/>
      </w:r>
      <w:r>
        <w:rPr>
          <w:rFonts w:hint="eastAsia" w:asciiTheme="majorEastAsia" w:hAnsiTheme="majorEastAsia" w:eastAsiaTheme="majorEastAsia" w:cstheme="majorEastAsia"/>
          <w:b/>
          <w:color w:val="auto"/>
          <w:sz w:val="24"/>
          <w:highlight w:val="none"/>
        </w:rPr>
        <w:t>4. 询问、质疑、投诉</w:t>
      </w:r>
    </w:p>
    <w:p>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4.1供应商询问</w:t>
      </w:r>
    </w:p>
    <w:p>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4.2供应商质疑</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4.2</w:t>
      </w:r>
      <w:r>
        <w:rPr>
          <w:rFonts w:hint="eastAsia" w:asciiTheme="majorEastAsia" w:hAnsiTheme="majorEastAsia" w:eastAsiaTheme="majorEastAsia" w:cstheme="majorEastAsia"/>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4.2</w:t>
      </w:r>
      <w:r>
        <w:rPr>
          <w:rFonts w:hint="eastAsia" w:asciiTheme="majorEastAsia" w:hAnsiTheme="majorEastAsia" w:eastAsiaTheme="majorEastAsia" w:cstheme="majorEastAsia"/>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int="eastAsia" w:asciiTheme="majorEastAsia" w:hAnsiTheme="majorEastAsia" w:eastAsiaTheme="majorEastAsia" w:cstheme="majorEastAsia"/>
          <w:color w:val="auto"/>
          <w:kern w:val="2"/>
          <w:sz w:val="24"/>
          <w:highlight w:val="none"/>
        </w:rPr>
      </w:pPr>
      <w:r>
        <w:rPr>
          <w:rFonts w:hint="eastAsia" w:asciiTheme="majorEastAsia" w:hAnsiTheme="majorEastAsia" w:eastAsiaTheme="majorEastAsia" w:cstheme="majorEastAsia"/>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4.2.3</w:t>
      </w:r>
      <w:r>
        <w:rPr>
          <w:rFonts w:hint="eastAsia" w:asciiTheme="majorEastAsia" w:hAnsiTheme="majorEastAsia" w:eastAsiaTheme="majorEastAsia" w:cstheme="majorEastAsia"/>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4.2.3.2质疑项目的名称、编号；</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4.2.3.4事实依据；</w:t>
      </w:r>
    </w:p>
    <w:p>
      <w:pPr>
        <w:pStyle w:val="35"/>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4.2.3.5必要的法律依据；</w:t>
      </w:r>
    </w:p>
    <w:p>
      <w:pPr>
        <w:pStyle w:val="35"/>
        <w:spacing w:line="360" w:lineRule="auto"/>
        <w:ind w:firstLine="960" w:firstLineChars="4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4.2.3.6提出质疑的日期。</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质疑函范本及制作说明详见附件2。</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4.2</w:t>
      </w:r>
      <w:r>
        <w:rPr>
          <w:rFonts w:hint="eastAsia" w:asciiTheme="majorEastAsia" w:hAnsiTheme="majorEastAsia" w:eastAsiaTheme="majorEastAsia" w:cstheme="majorEastAsia"/>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4.2</w:t>
      </w:r>
      <w:r>
        <w:rPr>
          <w:rFonts w:hint="eastAsia" w:asciiTheme="majorEastAsia" w:hAnsiTheme="majorEastAsia" w:eastAsiaTheme="majorEastAsia" w:cstheme="majorEastAsia"/>
          <w:color w:val="auto"/>
          <w:highlight w:val="none"/>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4.3供应商投诉</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w:t>
      </w:r>
      <w:r>
        <w:rPr>
          <w:rFonts w:hint="eastAsia" w:asciiTheme="majorEastAsia" w:hAnsiTheme="majorEastAsia" w:eastAsiaTheme="majorEastAsia" w:cstheme="majorEastAsia"/>
          <w:color w:val="auto"/>
          <w:highlight w:val="none"/>
          <w:lang w:val="zh-CN"/>
        </w:rPr>
        <w:t>2</w:t>
      </w:r>
      <w:r>
        <w:rPr>
          <w:rFonts w:hint="eastAsia" w:asciiTheme="majorEastAsia" w:hAnsiTheme="majorEastAsia" w:eastAsiaTheme="majorEastAsia" w:cstheme="majorEastAsia"/>
          <w:color w:val="auto"/>
          <w:highlight w:val="none"/>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4.3.3供应商投诉应当有明确的请求和必要的证明材料。</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4.3.5 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投诉书范本及制作说明详见附件3。</w:t>
      </w:r>
    </w:p>
    <w:p>
      <w:pPr>
        <w:pStyle w:val="89"/>
        <w:snapToGrid w:val="0"/>
        <w:spacing w:before="0"/>
        <w:ind w:firstLine="360"/>
        <w:rPr>
          <w:rFonts w:hint="eastAsia" w:asciiTheme="majorEastAsia" w:hAnsiTheme="majorEastAsia" w:eastAsiaTheme="majorEastAsia" w:cstheme="majorEastAsia"/>
          <w:color w:val="auto"/>
          <w:sz w:val="18"/>
          <w:szCs w:val="18"/>
          <w:highlight w:val="none"/>
        </w:rPr>
      </w:pPr>
    </w:p>
    <w:p>
      <w:pPr>
        <w:adjustRightInd/>
        <w:spacing w:line="360" w:lineRule="auto"/>
        <w:jc w:val="center"/>
        <w:outlineLvl w:val="0"/>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 xml:space="preserve">      二、招标文件的构成、澄清、修改</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5．招标文件的构成</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 招标文件包括下列文件及附件：</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5.1.1招标公告；</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5.1.2投标人须知；</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5.1.3采购需求；</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5.1.4评标办法；</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5.1.5拟签订的合同文本；</w:t>
      </w:r>
    </w:p>
    <w:p>
      <w:pPr>
        <w:pStyle w:val="35"/>
        <w:tabs>
          <w:tab w:val="left" w:pos="840"/>
        </w:tabs>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5.1.6</w:t>
      </w:r>
      <w:r>
        <w:rPr>
          <w:rFonts w:hint="eastAsia" w:asciiTheme="majorEastAsia" w:hAnsiTheme="majorEastAsia" w:eastAsiaTheme="majorEastAsia" w:cstheme="majorEastAsia"/>
          <w:color w:val="auto"/>
          <w:sz w:val="24"/>
          <w:szCs w:val="24"/>
          <w:highlight w:val="none"/>
        </w:rPr>
        <w:t>应提交的有关格式范例。</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5.2与本项目有关的</w:t>
      </w:r>
      <w:r>
        <w:rPr>
          <w:rFonts w:hint="eastAsia" w:asciiTheme="majorEastAsia" w:hAnsiTheme="majorEastAsia" w:eastAsiaTheme="majorEastAsia" w:cstheme="majorEastAsia"/>
          <w:bCs/>
          <w:color w:val="auto"/>
          <w:sz w:val="24"/>
          <w:highlight w:val="none"/>
        </w:rPr>
        <w:t>澄清或者修改的内容为招标文件的组成部分</w:t>
      </w:r>
      <w:r>
        <w:rPr>
          <w:rFonts w:hint="eastAsia" w:asciiTheme="majorEastAsia" w:hAnsiTheme="majorEastAsia" w:eastAsiaTheme="majorEastAsia" w:cstheme="majorEastAsia"/>
          <w:color w:val="auto"/>
          <w:sz w:val="24"/>
          <w:highlight w:val="none"/>
        </w:rPr>
        <w:t>。</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 招标文件的澄清、修改</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6.1已获取招标文件的潜在投标人，若有问题需要澄清，应于投标截止时间前，以书面形式向采购机构提出。</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Theme="majorEastAsia" w:hAnsiTheme="majorEastAsia" w:eastAsiaTheme="majorEastAsia" w:cstheme="majorEastAsia"/>
          <w:color w:val="auto"/>
          <w:sz w:val="18"/>
          <w:szCs w:val="18"/>
          <w:highlight w:val="none"/>
          <w:lang w:val="en-US"/>
        </w:rPr>
      </w:pPr>
      <w:r>
        <w:rPr>
          <w:rFonts w:hint="eastAsia" w:asciiTheme="majorEastAsia" w:hAnsiTheme="majorEastAsia" w:eastAsiaTheme="majorEastAsia" w:cstheme="majorEastAsia"/>
          <w:color w:val="auto"/>
          <w:szCs w:val="24"/>
          <w:highlight w:val="none"/>
          <w:lang w:val="en-US"/>
        </w:rPr>
        <w:t xml:space="preserve">    </w:t>
      </w:r>
    </w:p>
    <w:p>
      <w:pPr>
        <w:adjustRightInd/>
        <w:spacing w:line="360" w:lineRule="auto"/>
        <w:jc w:val="center"/>
        <w:outlineLvl w:val="0"/>
        <w:rPr>
          <w:rFonts w:hint="eastAsia" w:asciiTheme="majorEastAsia" w:hAnsiTheme="majorEastAsia" w:eastAsiaTheme="majorEastAsia" w:cstheme="majorEastAsia"/>
          <w:b/>
          <w:color w:val="auto"/>
          <w:sz w:val="30"/>
          <w:szCs w:val="20"/>
          <w:highlight w:val="none"/>
        </w:rPr>
      </w:pPr>
      <w:r>
        <w:rPr>
          <w:rFonts w:hint="eastAsia" w:asciiTheme="majorEastAsia" w:hAnsiTheme="majorEastAsia" w:eastAsiaTheme="majorEastAsia" w:cstheme="majorEastAsia"/>
          <w:b/>
          <w:color w:val="auto"/>
          <w:sz w:val="30"/>
          <w:szCs w:val="20"/>
          <w:highlight w:val="none"/>
        </w:rPr>
        <w:t>三、投标</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 招标文件的获取</w:t>
      </w:r>
    </w:p>
    <w:p>
      <w:pPr>
        <w:spacing w:line="360" w:lineRule="auto"/>
        <w:ind w:firstLine="480" w:firstLineChars="200"/>
        <w:rPr>
          <w:rFonts w:hint="eastAsia" w:asciiTheme="majorEastAsia" w:hAnsiTheme="majorEastAsia" w:eastAsiaTheme="majorEastAsia" w:cstheme="majorEastAsia"/>
          <w:snapToGrid w:val="0"/>
          <w:color w:val="auto"/>
          <w:kern w:val="28"/>
          <w:sz w:val="24"/>
          <w:highlight w:val="none"/>
        </w:rPr>
      </w:pPr>
      <w:r>
        <w:rPr>
          <w:rFonts w:hint="eastAsia" w:asciiTheme="majorEastAsia" w:hAnsiTheme="majorEastAsia" w:eastAsiaTheme="majorEastAsia" w:cstheme="majorEastAsia"/>
          <w:snapToGrid w:val="0"/>
          <w:color w:val="auto"/>
          <w:kern w:val="28"/>
          <w:sz w:val="24"/>
          <w:highlight w:val="none"/>
        </w:rPr>
        <w:t>详见招标公告中获取招标文件的时间期限、地点、方式及招标文件售价。</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8.开标前答疑会或现场考察</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kern w:val="28"/>
          <w:sz w:val="24"/>
          <w:szCs w:val="24"/>
          <w:highlight w:val="none"/>
        </w:rPr>
        <w:t>9.投标保证金</w:t>
      </w:r>
    </w:p>
    <w:p>
      <w:pPr>
        <w:pStyle w:val="8"/>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10. 投标文件的语言</w:t>
      </w:r>
    </w:p>
    <w:p>
      <w:pPr>
        <w:autoSpaceDE w:val="0"/>
        <w:autoSpaceDN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投标文件及投标人与采购有关的来往通知、函件和文件均应使用中文。</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11. 投标文件的组成</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w:t>
      </w:r>
      <w:r>
        <w:rPr>
          <w:rFonts w:hint="eastAsia" w:asciiTheme="majorEastAsia" w:hAnsiTheme="majorEastAsia" w:eastAsiaTheme="majorEastAsia" w:cstheme="majorEastAsia"/>
          <w:b/>
          <w:color w:val="auto"/>
          <w:sz w:val="24"/>
          <w:highlight w:val="none"/>
        </w:rPr>
        <w:t>资格文件</w:t>
      </w:r>
      <w:r>
        <w:rPr>
          <w:rFonts w:hint="eastAsia" w:asciiTheme="majorEastAsia" w:hAnsiTheme="majorEastAsia" w:eastAsiaTheme="majorEastAsia" w:cstheme="majorEastAsia"/>
          <w:color w:val="auto"/>
          <w:sz w:val="24"/>
          <w:highlight w:val="none"/>
        </w:rPr>
        <w:t>：</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11.1.2落实政府采购政策需满足的资格要求；</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11.1.3本项目的特定资格要求。</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11.2.1投标函；</w:t>
      </w:r>
      <w:r>
        <w:rPr>
          <w:rFonts w:hint="eastAsia" w:asciiTheme="majorEastAsia" w:hAnsiTheme="majorEastAsia" w:eastAsiaTheme="majorEastAsia" w:cstheme="majorEastAsia"/>
          <w:color w:val="auto"/>
          <w:sz w:val="24"/>
          <w:highlight w:val="none"/>
          <w:lang w:val="zh-CN"/>
        </w:rPr>
        <w:t xml:space="preserve"> </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11.2.3联合协议；</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11.2.4分包意向协议；</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11.2.5符合性审查资料；</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11.2.6评标标准相应的商务技术资料；</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11.2.7商务技术偏离表；</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11.</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u w:val="single"/>
          <w:lang w:val="zh-CN"/>
        </w:rPr>
      </w:pPr>
      <w:r>
        <w:rPr>
          <w:rFonts w:hint="eastAsia" w:asciiTheme="majorEastAsia" w:hAnsiTheme="majorEastAsia" w:eastAsiaTheme="majorEastAsia" w:cstheme="majorEastAsia"/>
          <w:color w:val="auto"/>
          <w:kern w:val="0"/>
          <w:sz w:val="24"/>
          <w:highlight w:val="none"/>
          <w:lang w:val="zh-CN"/>
        </w:rPr>
        <w:t>11.</w:t>
      </w:r>
      <w:r>
        <w:rPr>
          <w:rFonts w:hint="eastAsia" w:asciiTheme="majorEastAsia" w:hAnsiTheme="majorEastAsia" w:eastAsiaTheme="majorEastAsia" w:cstheme="majorEastAsia"/>
          <w:color w:val="auto"/>
          <w:kern w:val="0"/>
          <w:sz w:val="24"/>
          <w:highlight w:val="none"/>
        </w:rPr>
        <w:t>3</w:t>
      </w:r>
      <w:r>
        <w:rPr>
          <w:rFonts w:hint="eastAsia" w:asciiTheme="majorEastAsia" w:hAnsiTheme="majorEastAsia" w:eastAsiaTheme="majorEastAsia" w:cstheme="majorEastAsia"/>
          <w:b/>
          <w:color w:val="auto"/>
          <w:sz w:val="24"/>
          <w:highlight w:val="none"/>
        </w:rPr>
        <w:t>报价文件：</w:t>
      </w:r>
      <w:r>
        <w:rPr>
          <w:rFonts w:hint="eastAsia" w:asciiTheme="majorEastAsia" w:hAnsiTheme="majorEastAsia" w:eastAsiaTheme="majorEastAsia" w:cstheme="majorEastAsia"/>
          <w:color w:val="auto"/>
          <w:sz w:val="24"/>
          <w:highlight w:val="none"/>
        </w:rPr>
        <w:t xml:space="preserve"> </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11.3.1开标一览表（报价表）；</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11.3.2报价明细清单；</w:t>
      </w:r>
    </w:p>
    <w:p>
      <w:pPr>
        <w:snapToGrid w:val="0"/>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中小企业声明函。</w:t>
      </w:r>
    </w:p>
    <w:p>
      <w:pPr>
        <w:spacing w:line="360" w:lineRule="auto"/>
        <w:ind w:firstLine="723" w:firstLineChars="3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投标文件含有采购人不能接受的附加条件的，投标无效；</w:t>
      </w:r>
    </w:p>
    <w:p>
      <w:pPr>
        <w:spacing w:line="360" w:lineRule="auto"/>
        <w:ind w:firstLine="723" w:firstLineChars="3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b/>
          <w:color w:val="auto"/>
          <w:sz w:val="24"/>
          <w:highlight w:val="none"/>
        </w:rPr>
        <w:t>投标人提供虚假材料投标的，投标无效。</w:t>
      </w:r>
    </w:p>
    <w:p>
      <w:pPr>
        <w:pStyle w:val="89"/>
        <w:snapToGrid w:val="0"/>
        <w:spacing w:before="0"/>
        <w:ind w:firstLine="0" w:firstLineChars="0"/>
        <w:outlineLvl w:val="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12</w:t>
      </w:r>
      <w:r>
        <w:rPr>
          <w:rFonts w:hint="eastAsia" w:asciiTheme="majorEastAsia" w:hAnsiTheme="majorEastAsia" w:eastAsiaTheme="majorEastAsia" w:cstheme="majorEastAsia"/>
          <w:b/>
          <w:color w:val="auto"/>
          <w:kern w:val="0"/>
          <w:szCs w:val="24"/>
          <w:highlight w:val="none"/>
          <w:lang w:val="zh-CN"/>
        </w:rPr>
        <w:t xml:space="preserve">. </w:t>
      </w:r>
      <w:r>
        <w:rPr>
          <w:rFonts w:hint="eastAsia" w:asciiTheme="majorEastAsia" w:hAnsiTheme="majorEastAsia" w:eastAsiaTheme="majorEastAsia" w:cstheme="majorEastAsia"/>
          <w:b/>
          <w:color w:val="auto"/>
          <w:szCs w:val="24"/>
          <w:highlight w:val="none"/>
        </w:rPr>
        <w:t>投标文件的编制</w:t>
      </w:r>
    </w:p>
    <w:p>
      <w:pPr>
        <w:spacing w:line="360" w:lineRule="auto"/>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13.投标文件的签署、盖章</w:t>
      </w:r>
    </w:p>
    <w:p>
      <w:pPr>
        <w:pStyle w:val="89"/>
        <w:snapToGrid w:val="0"/>
        <w:spacing w:before="0"/>
        <w:ind w:firstLine="48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szCs w:val="24"/>
          <w:highlight w:val="none"/>
        </w:rPr>
        <w:t>13.1投标文件按照招标文件第六部分格式要</w:t>
      </w:r>
      <w:r>
        <w:rPr>
          <w:rFonts w:hint="eastAsia" w:asciiTheme="majorEastAsia" w:hAnsiTheme="majorEastAsia" w:eastAsiaTheme="majorEastAsia" w:cstheme="majorEastAsia"/>
          <w:color w:val="auto"/>
          <w:highlight w:val="none"/>
        </w:rPr>
        <w:t>求进行签署、盖章。</w:t>
      </w:r>
      <w:r>
        <w:rPr>
          <w:rFonts w:hint="eastAsia" w:asciiTheme="majorEastAsia" w:hAnsiTheme="majorEastAsia" w:eastAsiaTheme="majorEastAsia" w:cstheme="majorEastAsia"/>
          <w:b/>
          <w:color w:val="auto"/>
          <w:highlight w:val="none"/>
        </w:rPr>
        <w:t>▲投标人的投标文件未按照招标文件要求签署、盖章的，其投标无效</w:t>
      </w:r>
      <w:r>
        <w:rPr>
          <w:rFonts w:hint="eastAsia" w:asciiTheme="majorEastAsia" w:hAnsiTheme="majorEastAsia" w:eastAsiaTheme="majorEastAsia" w:cstheme="majorEastAsia"/>
          <w:color w:val="auto"/>
          <w:szCs w:val="24"/>
          <w:highlight w:val="none"/>
        </w:rPr>
        <w:t>。</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highlight w:val="none"/>
        </w:rPr>
        <w:t>13.3招标文件对投标文件签署、盖章的要求适用于电子签名。</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14. 投标文件的提交、补充、修改、撤回</w:t>
      </w:r>
    </w:p>
    <w:p>
      <w:pPr>
        <w:pStyle w:val="89"/>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15.备份投标文件</w:t>
      </w:r>
    </w:p>
    <w:p>
      <w:pPr>
        <w:pStyle w:val="35"/>
        <w:spacing w:line="360" w:lineRule="auto"/>
        <w:ind w:firstLine="360" w:firstLineChars="15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15.2备份投标文件须在“政采云投标客户端”制作生成，并储存在</w:t>
      </w:r>
      <w:r>
        <w:rPr>
          <w:rFonts w:hint="eastAsia" w:asciiTheme="majorEastAsia" w:hAnsiTheme="majorEastAsia" w:eastAsiaTheme="majorEastAsia" w:cstheme="majorEastAsia"/>
          <w:color w:val="auto"/>
          <w:sz w:val="24"/>
          <w:highlight w:val="none"/>
        </w:rPr>
        <w:t>DVD光盘</w:t>
      </w:r>
      <w:r>
        <w:rPr>
          <w:rFonts w:hint="eastAsia" w:asciiTheme="majorEastAsia" w:hAnsiTheme="majorEastAsia" w:eastAsiaTheme="majorEastAsia" w:cstheme="maj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color w:val="auto"/>
          <w:sz w:val="24"/>
          <w:highlight w:val="none"/>
        </w:rPr>
        <w:t>不符合上述制作、</w:t>
      </w:r>
      <w:r>
        <w:rPr>
          <w:rFonts w:hint="eastAsia" w:asciiTheme="majorEastAsia" w:hAnsiTheme="majorEastAsia" w:eastAsiaTheme="majorEastAsia" w:cstheme="majorEastAsia"/>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15.5投标人仅提交备份投标文件，没有在电子交易平台传输递交投标文件的，投标无效。</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16.投标文件的无效处理</w:t>
      </w:r>
    </w:p>
    <w:p>
      <w:pPr>
        <w:pStyle w:val="3"/>
        <w:spacing w:line="360" w:lineRule="auto"/>
        <w:ind w:firstLine="360"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有招标文件第四部分</w:t>
      </w:r>
      <w:r>
        <w:rPr>
          <w:rFonts w:hint="eastAsia" w:asciiTheme="majorEastAsia" w:hAnsiTheme="majorEastAsia" w:eastAsiaTheme="majorEastAsia" w:cstheme="majorEastAsia"/>
          <w:color w:val="auto"/>
          <w:highlight w:val="none"/>
        </w:rPr>
        <w:t>第13项规定</w:t>
      </w:r>
      <w:r>
        <w:rPr>
          <w:rFonts w:hint="eastAsia" w:asciiTheme="majorEastAsia" w:hAnsiTheme="majorEastAsia" w:eastAsiaTheme="majorEastAsia" w:cstheme="majorEastAsia"/>
          <w:color w:val="auto"/>
          <w:szCs w:val="21"/>
          <w:highlight w:val="none"/>
        </w:rPr>
        <w:t>的情形之一的，投标无效：</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17.投标有效期</w:t>
      </w:r>
    </w:p>
    <w:p>
      <w:pPr>
        <w:spacing w:line="360" w:lineRule="auto"/>
        <w:ind w:firstLine="480" w:firstLineChars="200"/>
        <w:rPr>
          <w:rFonts w:hint="eastAsia" w:asciiTheme="majorEastAsia" w:hAnsiTheme="majorEastAsia" w:eastAsiaTheme="majorEastAsia" w:cstheme="majorEastAsia"/>
          <w:b/>
          <w:color w:val="auto"/>
          <w:sz w:val="24"/>
          <w:szCs w:val="21"/>
          <w:highlight w:val="none"/>
        </w:rPr>
      </w:pPr>
      <w:r>
        <w:rPr>
          <w:rFonts w:hint="eastAsia" w:asciiTheme="majorEastAsia" w:hAnsiTheme="majorEastAsia" w:eastAsiaTheme="majorEastAsia" w:cstheme="majorEastAsia"/>
          <w:color w:val="auto"/>
          <w:sz w:val="24"/>
          <w:szCs w:val="20"/>
          <w:highlight w:val="none"/>
        </w:rPr>
        <w:t>17.1投标有效期为从提交投标文件的截止之日起90天。▲</w:t>
      </w:r>
      <w:r>
        <w:rPr>
          <w:rFonts w:hint="eastAsia" w:asciiTheme="majorEastAsia" w:hAnsiTheme="majorEastAsia" w:eastAsiaTheme="majorEastAsia" w:cstheme="majorEastAsia"/>
          <w:b/>
          <w:color w:val="auto"/>
          <w:sz w:val="24"/>
          <w:szCs w:val="20"/>
          <w:highlight w:val="none"/>
        </w:rPr>
        <w:t>投标人的投标文件中承</w:t>
      </w:r>
      <w:r>
        <w:rPr>
          <w:rFonts w:hint="eastAsia" w:asciiTheme="majorEastAsia" w:hAnsiTheme="majorEastAsia" w:eastAsiaTheme="majorEastAsia" w:cstheme="majorEastAsia"/>
          <w:b/>
          <w:color w:val="auto"/>
          <w:sz w:val="24"/>
          <w:szCs w:val="21"/>
          <w:highlight w:val="none"/>
        </w:rPr>
        <w:t>诺的投标有效期少于招标文件中载明的投标有效期的，投标无效。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17.2投标文件合格投递后，自投标截止日期起，在投标有效期内有效。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Theme="majorEastAsia" w:hAnsiTheme="majorEastAsia" w:eastAsiaTheme="majorEastAsia" w:cstheme="majorEastAsia"/>
          <w:b/>
          <w:color w:val="auto"/>
          <w:sz w:val="32"/>
          <w:highlight w:val="none"/>
        </w:rPr>
      </w:pPr>
    </w:p>
    <w:p>
      <w:pPr>
        <w:pStyle w:val="89"/>
        <w:spacing w:before="0"/>
        <w:ind w:firstLine="1928" w:firstLineChars="600"/>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四、开标、资格审查与信用信息查询</w:t>
      </w:r>
    </w:p>
    <w:p>
      <w:pPr>
        <w:pStyle w:val="244"/>
        <w:spacing w:before="0" w:line="360" w:lineRule="auto"/>
        <w:ind w:left="0" w:firstLine="241"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szCs w:val="24"/>
          <w:highlight w:val="none"/>
        </w:rPr>
        <w:t>18.开标</w:t>
      </w:r>
      <w:r>
        <w:rPr>
          <w:rFonts w:hint="eastAsia" w:asciiTheme="majorEastAsia" w:hAnsiTheme="majorEastAsia" w:eastAsiaTheme="majorEastAsia" w:cstheme="majorEastAsia"/>
          <w:color w:val="auto"/>
          <w:sz w:val="24"/>
          <w:highlight w:val="none"/>
        </w:rPr>
        <w:t xml:space="preserve"> </w:t>
      </w:r>
    </w:p>
    <w:p>
      <w:pPr>
        <w:pStyle w:val="244"/>
        <w:spacing w:before="0" w:line="360" w:lineRule="auto"/>
        <w:ind w:left="0"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18.3</w:t>
      </w:r>
      <w:r>
        <w:rPr>
          <w:rFonts w:hint="eastAsia" w:asciiTheme="majorEastAsia" w:hAnsiTheme="majorEastAsia" w:eastAsiaTheme="majorEastAsia" w:cstheme="majorEastAsia"/>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24"/>
          <w:szCs w:val="20"/>
          <w:highlight w:val="none"/>
        </w:rPr>
        <w:t>　19、资格审查</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19.2</w:t>
      </w:r>
      <w:r>
        <w:rPr>
          <w:rFonts w:hint="eastAsia" w:asciiTheme="majorEastAsia" w:hAnsiTheme="majorEastAsia" w:eastAsiaTheme="majorEastAsia" w:cstheme="majorEastAsia"/>
          <w:color w:val="auto"/>
          <w:sz w:val="24"/>
          <w:highlight w:val="none"/>
        </w:rPr>
        <w:t>采购人或采购机构依据法律法规和招标文件的规定，对投标人的基本资格条件、特定资格条件进行审查。</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19.3投标人未按照招标文件要求提供与</w:t>
      </w:r>
      <w:r>
        <w:rPr>
          <w:rFonts w:hint="eastAsia" w:asciiTheme="majorEastAsia" w:hAnsiTheme="majorEastAsia" w:eastAsiaTheme="majorEastAsia" w:cstheme="majorEastAsia"/>
          <w:color w:val="auto"/>
          <w:highlight w:val="none"/>
        </w:rPr>
        <w:t>基本资格条件、特定资格条件相应的</w:t>
      </w:r>
      <w:r>
        <w:rPr>
          <w:rFonts w:hint="eastAsia" w:asciiTheme="majorEastAsia" w:hAnsiTheme="majorEastAsia" w:eastAsiaTheme="majorEastAsia" w:cstheme="majorEastAsia"/>
          <w:color w:val="auto"/>
          <w:kern w:val="0"/>
          <w:szCs w:val="24"/>
          <w:highlight w:val="none"/>
        </w:rPr>
        <w:t>有效资格证明材料的，视为</w:t>
      </w:r>
      <w:r>
        <w:rPr>
          <w:rFonts w:hint="eastAsia" w:asciiTheme="majorEastAsia" w:hAnsiTheme="majorEastAsia" w:eastAsiaTheme="majorEastAsia" w:cstheme="majorEastAsia"/>
          <w:color w:val="auto"/>
          <w:highlight w:val="none"/>
        </w:rPr>
        <w:t>投标人不具备招标文件中规定的资格要求，其投标无效。</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4对未通过资格审查的投标人，采购人或采购机构告知其未通过的原因。</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19.</w:t>
      </w:r>
      <w:r>
        <w:rPr>
          <w:rFonts w:hint="eastAsia" w:asciiTheme="majorEastAsia" w:hAnsiTheme="majorEastAsia" w:eastAsiaTheme="majorEastAsia" w:cstheme="majorEastAsia"/>
          <w:color w:val="auto"/>
          <w:highlight w:val="none"/>
        </w:rPr>
        <w:t>5合格投标人不足3家的，不再评标。</w:t>
      </w:r>
    </w:p>
    <w:p>
      <w:pPr>
        <w:pStyle w:val="89"/>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20、信用信息查询</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20.2信用信息查询记录和证据留存的具体方式：现场查询的投标人的信用记录、查询结果经确认后将与采购文件一起存档。</w:t>
      </w:r>
    </w:p>
    <w:p>
      <w:pPr>
        <w:pStyle w:val="89"/>
        <w:spacing w:before="0"/>
        <w:ind w:firstLine="495" w:firstLineChars="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color w:val="auto"/>
          <w:highlight w:val="none"/>
        </w:rPr>
        <w:t>。</w:t>
      </w:r>
    </w:p>
    <w:p>
      <w:pPr>
        <w:pStyle w:val="89"/>
        <w:spacing w:before="0"/>
        <w:ind w:firstLine="0" w:firstLineChars="0"/>
        <w:rPr>
          <w:rFonts w:hint="eastAsia" w:asciiTheme="majorEastAsia" w:hAnsiTheme="majorEastAsia" w:eastAsiaTheme="majorEastAsia" w:cstheme="majorEastAsia"/>
          <w:color w:val="auto"/>
          <w:kern w:val="0"/>
          <w:szCs w:val="24"/>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五、评标</w:t>
      </w:r>
    </w:p>
    <w:p>
      <w:pPr>
        <w:spacing w:line="360" w:lineRule="auto"/>
        <w:rPr>
          <w:rFonts w:hint="eastAsia" w:asciiTheme="majorEastAsia" w:hAnsiTheme="majorEastAsia" w:eastAsiaTheme="majorEastAsia" w:cstheme="majorEastAsia"/>
          <w:b/>
          <w:color w:val="auto"/>
          <w:sz w:val="24"/>
          <w:highlight w:val="none"/>
        </w:rPr>
      </w:pPr>
      <w:bookmarkStart w:id="12" w:name="_Toc91899903"/>
      <w:r>
        <w:rPr>
          <w:rFonts w:hint="eastAsia" w:asciiTheme="majorEastAsia" w:hAnsiTheme="majorEastAsia" w:eastAsiaTheme="majorEastAsia" w:cstheme="majorEastAsia"/>
          <w:b/>
          <w:color w:val="auto"/>
          <w:sz w:val="24"/>
          <w:highlight w:val="none"/>
        </w:rPr>
        <w:t>21.</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ajorEastAsia" w:hAnsiTheme="majorEastAsia" w:eastAsiaTheme="majorEastAsia" w:cstheme="majorEastAsia"/>
          <w:b/>
          <w:color w:val="auto"/>
          <w:sz w:val="24"/>
          <w:highlight w:val="none"/>
        </w:rPr>
        <w:t>详见招标文件第四部分评标办法。</w:t>
      </w:r>
    </w:p>
    <w:p>
      <w:pPr>
        <w:spacing w:line="360" w:lineRule="auto"/>
        <w:rPr>
          <w:rFonts w:hint="eastAsia" w:asciiTheme="majorEastAsia" w:hAnsiTheme="majorEastAsia" w:eastAsiaTheme="majorEastAsia" w:cstheme="majorEastAsia"/>
          <w:b/>
          <w:color w:val="auto"/>
          <w:sz w:val="24"/>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六、定 标</w:t>
      </w:r>
    </w:p>
    <w:p>
      <w:pPr>
        <w:pStyle w:val="3"/>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22. 确定中标供应商</w:t>
      </w:r>
    </w:p>
    <w:p>
      <w:pPr>
        <w:pStyle w:val="89"/>
        <w:snapToGrid w:val="0"/>
        <w:spacing w:before="0"/>
        <w:ind w:firstLine="48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Cs w:val="24"/>
          <w:highlight w:val="none"/>
        </w:rPr>
        <w:t>采购人将自收到评审报告之日起5个工作日内通过电子交易平台在评审报告推荐的中标候选人中按顺序确定中标供应商。</w:t>
      </w:r>
    </w:p>
    <w:p>
      <w:pPr>
        <w:pStyle w:val="89"/>
        <w:snapToGrid w:val="0"/>
        <w:spacing w:before="0"/>
        <w:ind w:firstLine="0" w:firstLineChars="0"/>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23. 中标通知与中标结果公告</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23.3公告期限为1个工作日。</w:t>
      </w: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七、合同授予</w:t>
      </w:r>
    </w:p>
    <w:p>
      <w:pPr>
        <w:pStyle w:val="3"/>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24. </w:t>
      </w:r>
      <w:r>
        <w:rPr>
          <w:rFonts w:hint="eastAsia" w:asciiTheme="majorEastAsia" w:hAnsiTheme="majorEastAsia" w:eastAsiaTheme="majorEastAsia" w:cstheme="majorEastAsia"/>
          <w:color w:val="auto"/>
          <w:highlight w:val="none"/>
        </w:rPr>
        <w:t>合同主要条款详见第五部分拟签订的合同文本。</w:t>
      </w:r>
    </w:p>
    <w:p>
      <w:pPr>
        <w:pStyle w:val="3"/>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25. 合同的签订</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25.1</w:t>
      </w:r>
      <w:r>
        <w:rPr>
          <w:rFonts w:hint="eastAsia" w:asciiTheme="majorEastAsia" w:hAnsiTheme="majorEastAsia" w:eastAsiaTheme="majorEastAsia" w:cstheme="majorEastAsia"/>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9"/>
        <w:snapToGrid w:val="0"/>
        <w:spacing w:before="0"/>
        <w:ind w:firstLine="480"/>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26. 履约保证金</w:t>
      </w:r>
    </w:p>
    <w:p>
      <w:pPr>
        <w:tabs>
          <w:tab w:val="left" w:pos="0"/>
        </w:tabs>
        <w:spacing w:line="360" w:lineRule="auto"/>
        <w:ind w:firstLine="482"/>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color w:val="auto"/>
          <w:sz w:val="24"/>
          <w:highlight w:val="none"/>
        </w:rPr>
        <w:t>。履约保证金的数额不得超过政府采购合同金额的</w:t>
      </w:r>
      <w:r>
        <w:rPr>
          <w:rFonts w:hint="eastAsia" w:asciiTheme="majorEastAsia" w:hAnsiTheme="majorEastAsia" w:eastAsiaTheme="majorEastAsia" w:cstheme="majorEastAsia"/>
          <w:color w:val="auto"/>
          <w:sz w:val="24"/>
          <w:highlight w:val="none"/>
          <w:lang w:val="en-US" w:eastAsia="zh-CN"/>
        </w:rPr>
        <w:t>2.5</w:t>
      </w:r>
      <w:r>
        <w:rPr>
          <w:rFonts w:hint="eastAsia" w:asciiTheme="majorEastAsia" w:hAnsiTheme="majorEastAsia" w:eastAsiaTheme="majorEastAsia" w:cstheme="majorEastAsia"/>
          <w:color w:val="auto"/>
          <w:sz w:val="24"/>
          <w:highlight w:val="none"/>
        </w:rPr>
        <w:t>%。鼓励和支持供应商以银行、保险公司出具的保函形式提供履约保证金。</w:t>
      </w:r>
      <w:r>
        <w:rPr>
          <w:rFonts w:hint="eastAsia" w:asciiTheme="majorEastAsia" w:hAnsiTheme="majorEastAsia" w:eastAsiaTheme="majorEastAsia" w:cstheme="majorEastAsia"/>
          <w:b/>
          <w:color w:val="auto"/>
          <w:sz w:val="24"/>
          <w:highlight w:val="none"/>
        </w:rPr>
        <w:t>采购人不得拒收履约保函。</w:t>
      </w:r>
    </w:p>
    <w:p>
      <w:pPr>
        <w:tabs>
          <w:tab w:val="left" w:pos="0"/>
        </w:tabs>
        <w:spacing w:line="360" w:lineRule="auto"/>
        <w:ind w:firstLine="482"/>
        <w:rPr>
          <w:rFonts w:hint="eastAsia"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Theme="majorEastAsia" w:hAnsiTheme="majorEastAsia" w:eastAsiaTheme="majorEastAsia" w:cstheme="majorEastAsia"/>
          <w:color w:val="auto"/>
          <w:sz w:val="24"/>
          <w:szCs w:val="20"/>
          <w:highlight w:val="none"/>
          <w:lang w:val="en-US" w:eastAsia="zh-CN"/>
        </w:rPr>
        <w:t>2.5</w:t>
      </w:r>
      <w:r>
        <w:rPr>
          <w:rFonts w:hint="eastAsia" w:asciiTheme="majorEastAsia" w:hAnsiTheme="majorEastAsia" w:eastAsiaTheme="majorEastAsia" w:cstheme="majorEastAsia"/>
          <w:color w:val="auto"/>
          <w:sz w:val="24"/>
          <w:szCs w:val="20"/>
          <w:highlight w:val="none"/>
        </w:rPr>
        <w:t>%。</w:t>
      </w:r>
    </w:p>
    <w:p>
      <w:pPr>
        <w:pStyle w:val="6"/>
        <w:ind w:left="0" w:firstLine="480" w:firstLineChars="20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snapToGrid w:val="0"/>
          <w:color w:val="auto"/>
          <w:kern w:val="28"/>
          <w:sz w:val="24"/>
          <w:highlight w:val="none"/>
        </w:rPr>
        <w:t>供应商</w:t>
      </w:r>
      <w:r>
        <w:rPr>
          <w:rFonts w:hint="eastAsia" w:asciiTheme="majorEastAsia" w:hAnsiTheme="majorEastAsia" w:eastAsiaTheme="majorEastAsia" w:cstheme="majorEastAsia"/>
          <w:b w:val="0"/>
          <w:bCs w:val="0"/>
          <w:snapToGrid w:val="0"/>
          <w:color w:val="auto"/>
          <w:kern w:val="28"/>
          <w:sz w:val="24"/>
          <w:highlight w:val="none"/>
          <w:lang w:val="en-US"/>
        </w:rPr>
        <w:t>可</w:t>
      </w:r>
      <w:r>
        <w:rPr>
          <w:rFonts w:hint="eastAsia" w:asciiTheme="majorEastAsia" w:hAnsiTheme="majorEastAsia" w:eastAsiaTheme="majorEastAsia" w:cstheme="maj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Theme="majorEastAsia" w:hAnsiTheme="majorEastAsia" w:eastAsiaTheme="majorEastAsia" w:cstheme="majorEastAsia"/>
          <w:b/>
          <w:color w:val="auto"/>
          <w:sz w:val="32"/>
          <w:highlight w:val="none"/>
        </w:rPr>
      </w:pPr>
    </w:p>
    <w:p>
      <w:pPr>
        <w:snapToGrid w:val="0"/>
        <w:spacing w:line="360" w:lineRule="auto"/>
        <w:ind w:firstLine="3357" w:firstLineChars="104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32"/>
          <w:highlight w:val="none"/>
        </w:rPr>
        <w:t>八、电子交易活动的中止</w:t>
      </w:r>
    </w:p>
    <w:p>
      <w:pPr>
        <w:pStyle w:val="89"/>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b/>
          <w:color w:val="auto"/>
          <w:szCs w:val="24"/>
          <w:highlight w:val="none"/>
        </w:rPr>
        <w:t>7. 电子交易活动的中止。</w:t>
      </w:r>
      <w:r>
        <w:rPr>
          <w:rFonts w:hint="eastAsia" w:asciiTheme="majorEastAsia" w:hAnsiTheme="majorEastAsia" w:eastAsiaTheme="majorEastAsia" w:cstheme="majorEastAsia"/>
          <w:color w:val="auto"/>
          <w:highlight w:val="none"/>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27.1电子交易平台发生故障而无法登录访问的； </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27.2电子交易平台应用或数据库出现错误，不能进行正常操作的；</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27.3电子交易平台发现严重安全漏洞，有潜在泄密危险的；</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27.4病毒发作导致不能进行正常操作的； </w:t>
      </w:r>
    </w:p>
    <w:p>
      <w:pPr>
        <w:pStyle w:val="89"/>
        <w:snapToGrid w:val="0"/>
        <w:spacing w:before="0"/>
        <w:ind w:firstLine="48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27.5其他无法保证电子交易的公平、公正和安全的情况。</w:t>
      </w:r>
    </w:p>
    <w:p>
      <w:pPr>
        <w:pStyle w:val="89"/>
        <w:snapToGrid w:val="0"/>
        <w:spacing w:before="0"/>
        <w:ind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Theme="majorEastAsia" w:hAnsiTheme="majorEastAsia" w:eastAsiaTheme="majorEastAsia" w:cstheme="majorEastAsia"/>
          <w:color w:val="auto"/>
          <w:sz w:val="24"/>
          <w:highlight w:val="none"/>
        </w:rPr>
      </w:pPr>
    </w:p>
    <w:p>
      <w:pPr>
        <w:snapToGrid w:val="0"/>
        <w:spacing w:line="360" w:lineRule="auto"/>
        <w:ind w:left="120" w:leftChars="57" w:firstLine="482" w:firstLineChars="150"/>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九、验收</w:t>
      </w:r>
    </w:p>
    <w:p>
      <w:pPr>
        <w:pStyle w:val="3"/>
        <w:spacing w:line="360" w:lineRule="auto"/>
        <w:ind w:firstLine="0" w:firstLineChars="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29.验收</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Theme="majorEastAsia" w:hAnsiTheme="majorEastAsia" w:eastAsiaTheme="majorEastAsia" w:cstheme="maj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30295"/>
      <w:bookmarkEnd w:id="13"/>
      <w:bookmarkStart w:id="14" w:name="_Hlt68403820"/>
      <w:bookmarkEnd w:id="14"/>
      <w:bookmarkStart w:id="15" w:name="_Hlt75236290"/>
      <w:bookmarkEnd w:id="15"/>
      <w:bookmarkStart w:id="16" w:name="_Hlt75236101"/>
      <w:bookmarkEnd w:id="16"/>
      <w:bookmarkStart w:id="17" w:name="_Hlt68072998"/>
      <w:bookmarkEnd w:id="17"/>
      <w:bookmarkStart w:id="18" w:name="_Hlt74707468"/>
      <w:bookmarkEnd w:id="18"/>
      <w:bookmarkStart w:id="19" w:name="_Hlt68072990"/>
      <w:bookmarkEnd w:id="19"/>
      <w:bookmarkStart w:id="20" w:name="_Hlt68057669"/>
      <w:bookmarkEnd w:id="20"/>
      <w:bookmarkStart w:id="21" w:name="_Hlt68073093"/>
      <w:bookmarkEnd w:id="21"/>
      <w:bookmarkStart w:id="22" w:name="_Hlt74729768"/>
      <w:bookmarkEnd w:id="22"/>
      <w:bookmarkStart w:id="23" w:name="_Hlt74714665"/>
      <w:bookmarkEnd w:id="23"/>
      <w:bookmarkStart w:id="24" w:name="_Hlt75236011"/>
      <w:bookmarkEnd w:id="24"/>
    </w:p>
    <w:bookmarkEnd w:id="10"/>
    <w:bookmarkEnd w:id="11"/>
    <w:p>
      <w:pPr>
        <w:numPr>
          <w:ilvl w:val="0"/>
          <w:numId w:val="2"/>
        </w:numPr>
        <w:spacing w:line="360" w:lineRule="auto"/>
        <w:jc w:val="center"/>
        <w:outlineLvl w:val="0"/>
        <w:rPr>
          <w:rFonts w:hint="eastAsia" w:asciiTheme="majorEastAsia" w:hAnsiTheme="majorEastAsia" w:eastAsiaTheme="majorEastAsia" w:cstheme="majorEastAsia"/>
          <w:b/>
          <w:color w:val="auto"/>
          <w:sz w:val="36"/>
          <w:szCs w:val="36"/>
          <w:highlight w:val="none"/>
        </w:rPr>
      </w:pPr>
      <w:bookmarkStart w:id="25" w:name="第四部分"/>
      <w:r>
        <w:rPr>
          <w:rFonts w:hint="eastAsia" w:asciiTheme="majorEastAsia" w:hAnsiTheme="majorEastAsia" w:eastAsiaTheme="majorEastAsia" w:cstheme="majorEastAsia"/>
          <w:b/>
          <w:color w:val="auto"/>
          <w:sz w:val="36"/>
          <w:szCs w:val="36"/>
          <w:highlight w:val="none"/>
        </w:rPr>
        <w:t xml:space="preserve">  采购需求</w:t>
      </w:r>
    </w:p>
    <w:p>
      <w:pPr>
        <w:pStyle w:val="82"/>
        <w:keepLines w:val="0"/>
        <w:pageBreakBefore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
          <w:bCs/>
          <w:color w:val="auto"/>
          <w:szCs w:val="24"/>
          <w:highlight w:val="none"/>
          <w:lang w:val="zh-CN" w:eastAsia="zh-CN"/>
        </w:rPr>
      </w:pPr>
      <w:r>
        <w:rPr>
          <w:rFonts w:hint="eastAsia" w:asciiTheme="majorEastAsia" w:hAnsiTheme="majorEastAsia" w:eastAsiaTheme="majorEastAsia" w:cstheme="majorEastAsia"/>
          <w:b/>
          <w:bCs/>
          <w:color w:val="auto"/>
          <w:szCs w:val="24"/>
          <w:highlight w:val="none"/>
          <w:lang w:val="zh-CN" w:eastAsia="zh-CN"/>
        </w:rPr>
        <w:t>一、项目概况</w:t>
      </w:r>
    </w:p>
    <w:p>
      <w:pPr>
        <w:numPr>
          <w:ilvl w:val="0"/>
          <w:numId w:val="0"/>
        </w:numPr>
        <w:wordWrap/>
        <w:adjustRightInd/>
        <w:snapToGrid/>
        <w:spacing w:line="500" w:lineRule="exact"/>
        <w:ind w:left="-420" w:leftChars="-200" w:firstLine="840" w:firstLineChars="35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招标代理费</w:t>
      </w:r>
      <w:r>
        <w:rPr>
          <w:rFonts w:hint="eastAsia" w:asciiTheme="majorEastAsia" w:hAnsiTheme="majorEastAsia" w:eastAsiaTheme="majorEastAsia" w:cstheme="majorEastAsia"/>
          <w:color w:val="auto"/>
          <w:sz w:val="24"/>
          <w:highlight w:val="none"/>
        </w:rPr>
        <w:t>等一切费用</w:t>
      </w:r>
      <w:r>
        <w:rPr>
          <w:rFonts w:hint="eastAsia" w:asciiTheme="majorEastAsia" w:hAnsiTheme="majorEastAsia" w:eastAsiaTheme="majorEastAsia" w:cstheme="majorEastAsia"/>
          <w:color w:val="auto"/>
          <w:sz w:val="24"/>
          <w:highlight w:val="none"/>
          <w:lang w:eastAsia="zh-CN"/>
        </w:rPr>
        <w:t>。</w:t>
      </w:r>
    </w:p>
    <w:p>
      <w:pPr>
        <w:pStyle w:val="82"/>
        <w:keepLines w:val="0"/>
        <w:pageBreakBefore w:val="0"/>
        <w:kinsoku/>
        <w:wordWrap/>
        <w:overflowPunct/>
        <w:topLinePunct w:val="0"/>
        <w:autoSpaceDE/>
        <w:autoSpaceDN/>
        <w:bidi w:val="0"/>
        <w:adjustRightInd/>
        <w:snapToGrid/>
        <w:spacing w:line="600" w:lineRule="exact"/>
        <w:textAlignment w:val="auto"/>
        <w:rPr>
          <w:rFonts w:hint="eastAsia" w:asciiTheme="majorEastAsia" w:hAnsiTheme="majorEastAsia" w:eastAsiaTheme="majorEastAsia" w:cstheme="majorEastAsia"/>
          <w:b/>
          <w:bCs/>
          <w:color w:val="auto"/>
          <w:szCs w:val="24"/>
          <w:highlight w:val="none"/>
        </w:rPr>
      </w:pPr>
      <w:r>
        <w:rPr>
          <w:rFonts w:hint="eastAsia" w:asciiTheme="majorEastAsia" w:hAnsiTheme="majorEastAsia" w:eastAsiaTheme="majorEastAsia" w:cstheme="majorEastAsia"/>
          <w:color w:val="auto"/>
          <w:szCs w:val="24"/>
          <w:highlight w:val="none"/>
        </w:rPr>
        <w:t>二、</w:t>
      </w:r>
      <w:r>
        <w:rPr>
          <w:rFonts w:hint="eastAsia" w:asciiTheme="majorEastAsia" w:hAnsiTheme="majorEastAsia" w:eastAsiaTheme="majorEastAsia" w:cstheme="majorEastAsia"/>
          <w:b/>
          <w:bCs/>
          <w:color w:val="auto"/>
          <w:szCs w:val="24"/>
          <w:highlight w:val="none"/>
        </w:rPr>
        <w:t>服务范围：</w:t>
      </w:r>
    </w:p>
    <w:p>
      <w:pPr>
        <w:numPr>
          <w:ilvl w:val="0"/>
          <w:numId w:val="0"/>
        </w:numPr>
        <w:wordWrap/>
        <w:adjustRightInd/>
        <w:snapToGrid/>
        <w:spacing w:line="500" w:lineRule="exact"/>
        <w:ind w:left="-420" w:leftChars="-200" w:firstLine="840" w:firstLineChars="350"/>
        <w:textAlignment w:val="auto"/>
        <w:rPr>
          <w:rFonts w:hint="eastAsia" w:asciiTheme="majorEastAsia" w:hAnsiTheme="majorEastAsia" w:eastAsiaTheme="majorEastAsia" w:cstheme="majorEastAsia"/>
          <w:b w:val="0"/>
          <w:bCs/>
          <w:color w:val="auto"/>
          <w:sz w:val="24"/>
          <w:highlight w:val="none"/>
          <w:lang w:val="en-US"/>
        </w:rPr>
      </w:pPr>
      <w:r>
        <w:rPr>
          <w:rFonts w:hint="eastAsia" w:asciiTheme="majorEastAsia" w:hAnsiTheme="majorEastAsia" w:eastAsiaTheme="majorEastAsia" w:cstheme="majorEastAsia"/>
          <w:b w:val="0"/>
          <w:bCs/>
          <w:color w:val="auto"/>
          <w:sz w:val="24"/>
          <w:highlight w:val="none"/>
          <w:lang w:val="en-US" w:eastAsia="zh-CN"/>
        </w:rPr>
        <w:t>1、本项目服务范围</w:t>
      </w:r>
      <w:r>
        <w:rPr>
          <w:rFonts w:hint="eastAsia" w:asciiTheme="majorEastAsia" w:hAnsiTheme="majorEastAsia" w:eastAsiaTheme="majorEastAsia" w:cstheme="majorEastAsia"/>
          <w:b w:val="0"/>
          <w:bCs/>
          <w:color w:val="auto"/>
          <w:sz w:val="24"/>
          <w:highlight w:val="none"/>
        </w:rPr>
        <w:t>以</w:t>
      </w:r>
      <w:r>
        <w:rPr>
          <w:rFonts w:hint="eastAsia" w:asciiTheme="majorEastAsia" w:hAnsiTheme="majorEastAsia" w:eastAsiaTheme="majorEastAsia" w:cstheme="majorEastAsia"/>
          <w:b w:val="0"/>
          <w:bCs/>
          <w:color w:val="auto"/>
          <w:sz w:val="24"/>
          <w:highlight w:val="none"/>
          <w:lang w:val="en-US" w:eastAsia="zh-CN"/>
        </w:rPr>
        <w:t>文一西路以南区块，北至文一西路（不含道路）西至上仓路（含道路）南至文二西路（不含道路）东至良睦路（不含道路），该区块绿化面积13838平方米，道路及人行道保洁面积275581平方米，道路及人行道养护面积275581平方米，时花种植132平方米，标准公厕 4座。</w:t>
      </w:r>
    </w:p>
    <w:p>
      <w:pPr>
        <w:numPr>
          <w:ilvl w:val="0"/>
          <w:numId w:val="0"/>
        </w:numPr>
        <w:wordWrap/>
        <w:adjustRightInd/>
        <w:snapToGrid/>
        <w:spacing w:line="500" w:lineRule="exact"/>
        <w:ind w:left="-420" w:leftChars="-200" w:firstLine="843" w:firstLineChars="35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b/>
          <w:color w:val="auto"/>
          <w:sz w:val="24"/>
          <w:highlight w:val="none"/>
          <w:lang w:val="en-US" w:eastAsia="zh-CN"/>
        </w:rPr>
        <w:t>2、项目服务内容</w:t>
      </w:r>
      <w:r>
        <w:rPr>
          <w:rFonts w:hint="eastAsia" w:asciiTheme="majorEastAsia" w:hAnsiTheme="majorEastAsia" w:eastAsiaTheme="majorEastAsia" w:cstheme="majorEastAsia"/>
          <w:color w:val="auto"/>
          <w:sz w:val="24"/>
          <w:highlight w:val="none"/>
        </w:rPr>
        <w:t>：仓前街道文一西路以</w:t>
      </w:r>
      <w:r>
        <w:rPr>
          <w:rFonts w:hint="eastAsia" w:asciiTheme="majorEastAsia" w:hAnsiTheme="majorEastAsia" w:eastAsiaTheme="majorEastAsia" w:cstheme="majorEastAsia"/>
          <w:color w:val="auto"/>
          <w:sz w:val="24"/>
          <w:highlight w:val="none"/>
          <w:lang w:val="en-US" w:eastAsia="zh-CN"/>
        </w:rPr>
        <w:t>南</w:t>
      </w:r>
      <w:r>
        <w:rPr>
          <w:rFonts w:hint="eastAsia" w:asciiTheme="majorEastAsia" w:hAnsiTheme="majorEastAsia" w:eastAsiaTheme="majorEastAsia" w:cstheme="majorEastAsia"/>
          <w:color w:val="auto"/>
          <w:sz w:val="24"/>
          <w:highlight w:val="none"/>
        </w:rPr>
        <w:t>区块可视范围道路保洁、绿化养护、市政养护、公厕保洁</w:t>
      </w:r>
      <w:r>
        <w:rPr>
          <w:rFonts w:hint="eastAsia" w:asciiTheme="majorEastAsia" w:hAnsiTheme="majorEastAsia" w:eastAsiaTheme="majorEastAsia" w:cstheme="majorEastAsia"/>
          <w:color w:val="auto"/>
          <w:sz w:val="24"/>
          <w:highlight w:val="none"/>
          <w:lang w:val="en-US" w:eastAsia="zh-CN"/>
        </w:rPr>
        <w:t>等综合服务内容</w:t>
      </w:r>
      <w:r>
        <w:rPr>
          <w:rFonts w:hint="eastAsia" w:asciiTheme="majorEastAsia" w:hAnsiTheme="majorEastAsia" w:eastAsiaTheme="majorEastAsia" w:cstheme="majorEastAsia"/>
          <w:color w:val="auto"/>
          <w:sz w:val="24"/>
          <w:highlight w:val="none"/>
          <w:lang w:eastAsia="zh-CN"/>
        </w:rPr>
        <w:t>。</w:t>
      </w: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3、道路保洁及绿化养护招标范围及内容：</w:t>
      </w:r>
    </w:p>
    <w:p>
      <w:pPr>
        <w:numPr>
          <w:ilvl w:val="0"/>
          <w:numId w:val="0"/>
        </w:numPr>
        <w:wordWrap/>
        <w:adjustRightInd/>
        <w:snapToGrid/>
        <w:spacing w:line="500" w:lineRule="exact"/>
        <w:ind w:firstLine="843" w:firstLineChars="300"/>
        <w:jc w:val="both"/>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仓前街道文一西路以南区块道路保洁及绿化养护明细表</w:t>
      </w:r>
    </w:p>
    <w:tbl>
      <w:tblPr>
        <w:tblStyle w:val="64"/>
        <w:tblW w:w="9483"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692"/>
        <w:gridCol w:w="1033"/>
        <w:gridCol w:w="1995"/>
        <w:gridCol w:w="913"/>
        <w:gridCol w:w="846"/>
        <w:gridCol w:w="1186"/>
        <w:gridCol w:w="1132"/>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序号 </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保洁</w:t>
            </w:r>
          </w:p>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等级</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起止点</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长度(m)</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平均 </w:t>
            </w:r>
          </w:p>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宽度(m)</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道路及人行道面积</w:t>
            </w:r>
            <w:r>
              <w:rPr>
                <w:rFonts w:hint="eastAsia" w:asciiTheme="majorEastAsia" w:hAnsiTheme="majorEastAsia" w:eastAsiaTheme="majorEastAsia" w:cstheme="majorEastAsia"/>
                <w:color w:val="auto"/>
                <w:kern w:val="0"/>
                <w:sz w:val="21"/>
                <w:szCs w:val="21"/>
                <w:highlight w:val="none"/>
              </w:rPr>
              <w:t>(m2)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绿化面积 (m2)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lang w:bidi="ar"/>
              </w:rPr>
              <w:t>人行道树木(</w:t>
            </w:r>
            <w:r>
              <w:rPr>
                <w:rFonts w:hint="eastAsia" w:asciiTheme="majorEastAsia" w:hAnsiTheme="majorEastAsia" w:eastAsiaTheme="majorEastAsia" w:cstheme="majorEastAsia"/>
                <w:color w:val="auto"/>
                <w:kern w:val="0"/>
                <w:sz w:val="21"/>
                <w:szCs w:val="21"/>
                <w:highlight w:val="none"/>
              </w:rPr>
              <w:t>m2</w:t>
            </w:r>
            <w:r>
              <w:rPr>
                <w:rFonts w:hint="eastAsia" w:asciiTheme="majorEastAsia" w:hAnsiTheme="majorEastAsia" w:eastAsiaTheme="majorEastAsia" w:cstheme="majorEastAsia"/>
                <w:color w:val="auto"/>
                <w:kern w:val="0"/>
                <w:sz w:val="21"/>
                <w:szCs w:val="21"/>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w:t>
            </w:r>
          </w:p>
        </w:tc>
        <w:tc>
          <w:tcPr>
            <w:tcW w:w="692"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p>
        </w:tc>
        <w:tc>
          <w:tcPr>
            <w:tcW w:w="1033"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爱橙街-文二西路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546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12208</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616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highlight w:val="none"/>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w:t>
            </w:r>
          </w:p>
        </w:tc>
        <w:tc>
          <w:tcPr>
            <w:tcW w:w="692"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二类</w:t>
            </w:r>
          </w:p>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道路保洁标准</w:t>
            </w: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创景路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文一西路-葛巷路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735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26130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1800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highlight w:val="none"/>
                <w:lang w:val="en-US" w:eastAsia="zh-CN"/>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葛巷路-文二西路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150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5309</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533</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highlight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966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31020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2440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万和路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文一西路-绿汀路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1300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29530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颐和路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绿汀路-科凯路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245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3271</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286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爱橙街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万和路-绿汀路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580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36</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20880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爱橙街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1944.3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56384</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4911</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思凯路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文一西路-葛巷路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671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18957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824</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葛巷路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绿汀路-思凯路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1691.7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35794</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1092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永兴路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创明路-闲林港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736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14028</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1336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良上线</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val="en-US" w:eastAsia="zh-CN" w:bidi="ar"/>
              </w:rPr>
            </w:pPr>
            <w:r>
              <w:rPr>
                <w:rFonts w:hint="eastAsia" w:asciiTheme="majorEastAsia" w:hAnsiTheme="majorEastAsia" w:eastAsiaTheme="majorEastAsia" w:cstheme="majorEastAsia"/>
                <w:color w:val="000000"/>
                <w:kern w:val="0"/>
                <w:sz w:val="20"/>
                <w:szCs w:val="20"/>
                <w:highlight w:val="none"/>
                <w:lang w:eastAsia="zh-CN" w:bidi="ar"/>
              </w:rPr>
              <w:t>水乡北路</w:t>
            </w:r>
            <w:r>
              <w:rPr>
                <w:rFonts w:hint="eastAsia" w:asciiTheme="majorEastAsia" w:hAnsiTheme="majorEastAsia" w:eastAsiaTheme="majorEastAsia" w:cstheme="majorEastAsia"/>
                <w:color w:val="000000"/>
                <w:kern w:val="0"/>
                <w:sz w:val="20"/>
                <w:szCs w:val="20"/>
                <w:highlight w:val="none"/>
                <w:lang w:val="en-US" w:eastAsia="zh-CN" w:bidi="ar"/>
              </w:rPr>
              <w:t>-万和路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1146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22070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highlight w:val="none"/>
                <w:lang w:val="en-US" w:eastAsia="zh-CN"/>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0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小计</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275581</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13838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0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合计</w:t>
            </w:r>
          </w:p>
        </w:tc>
        <w:tc>
          <w:tcPr>
            <w:tcW w:w="23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289419</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r>
    </w:tbl>
    <w:p>
      <w:pPr>
        <w:tabs>
          <w:tab w:val="left" w:pos="8400"/>
        </w:tabs>
        <w:spacing w:line="440" w:lineRule="exact"/>
        <w:rPr>
          <w:rFonts w:hint="eastAsia" w:ascii="宋体" w:hAnsi="宋体" w:eastAsia="宋体" w:cs="宋体"/>
          <w:b/>
          <w:color w:val="auto"/>
          <w:sz w:val="24"/>
          <w:highlight w:val="none"/>
        </w:rPr>
      </w:pPr>
      <w:r>
        <w:rPr>
          <w:rFonts w:hint="eastAsia" w:asciiTheme="majorEastAsia" w:hAnsiTheme="majorEastAsia" w:eastAsiaTheme="majorEastAsia" w:cstheme="majorEastAsia"/>
          <w:b/>
          <w:color w:val="auto"/>
          <w:sz w:val="24"/>
          <w:highlight w:val="none"/>
        </w:rPr>
        <w:t>注：</w:t>
      </w:r>
      <w:r>
        <w:rPr>
          <w:rFonts w:hint="eastAsia" w:ascii="宋体" w:hAnsi="宋体" w:cs="宋体"/>
          <w:b/>
          <w:color w:val="auto"/>
          <w:sz w:val="24"/>
          <w:highlight w:val="none"/>
          <w:lang w:val="en-US" w:eastAsia="zh-CN"/>
        </w:rPr>
        <w:t>1）</w:t>
      </w:r>
      <w:r>
        <w:rPr>
          <w:rFonts w:hint="eastAsia" w:asciiTheme="majorEastAsia" w:hAnsiTheme="majorEastAsia" w:eastAsiaTheme="majorEastAsia" w:cstheme="majorEastAsia"/>
          <w:b/>
          <w:color w:val="auto"/>
          <w:sz w:val="24"/>
          <w:highlight w:val="none"/>
          <w:lang w:val="en-US" w:eastAsia="zh-CN"/>
        </w:rPr>
        <w:t>以上绿化面积含部分还在养护期内的</w:t>
      </w: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b/>
          <w:color w:val="auto"/>
          <w:sz w:val="24"/>
          <w:highlight w:val="none"/>
          <w:lang w:val="en-US" w:eastAsia="zh-CN"/>
        </w:rPr>
        <w:t>这部分绿化养护时间</w:t>
      </w:r>
      <w:r>
        <w:rPr>
          <w:rFonts w:hint="eastAsia" w:asciiTheme="majorEastAsia" w:hAnsiTheme="majorEastAsia" w:eastAsiaTheme="majorEastAsia" w:cstheme="majorEastAsia"/>
          <w:b/>
          <w:color w:val="auto"/>
          <w:sz w:val="24"/>
          <w:highlight w:val="none"/>
        </w:rPr>
        <w:t>按</w:t>
      </w:r>
      <w:r>
        <w:rPr>
          <w:rFonts w:hint="eastAsia" w:asciiTheme="majorEastAsia" w:hAnsiTheme="majorEastAsia" w:eastAsiaTheme="majorEastAsia" w:cstheme="majorEastAsia"/>
          <w:b/>
          <w:color w:val="auto"/>
          <w:sz w:val="24"/>
          <w:highlight w:val="none"/>
          <w:lang w:val="en-US" w:eastAsia="zh-CN"/>
        </w:rPr>
        <w:t>原养护期到期</w:t>
      </w:r>
      <w:r>
        <w:rPr>
          <w:rFonts w:hint="eastAsia" w:asciiTheme="majorEastAsia" w:hAnsiTheme="majorEastAsia" w:eastAsiaTheme="majorEastAsia" w:cstheme="majorEastAsia"/>
          <w:b/>
          <w:color w:val="auto"/>
          <w:sz w:val="24"/>
          <w:highlight w:val="none"/>
        </w:rPr>
        <w:t>交接之日起</w:t>
      </w:r>
      <w:r>
        <w:rPr>
          <w:rFonts w:hint="eastAsia" w:asciiTheme="majorEastAsia" w:hAnsiTheme="majorEastAsia" w:eastAsiaTheme="majorEastAsia" w:cstheme="majorEastAsia"/>
          <w:b/>
          <w:color w:val="auto"/>
          <w:sz w:val="24"/>
          <w:highlight w:val="none"/>
          <w:lang w:eastAsia="zh-CN"/>
        </w:rPr>
        <w:t>计算，费用按</w:t>
      </w:r>
      <w:r>
        <w:rPr>
          <w:rFonts w:hint="eastAsia" w:asciiTheme="majorEastAsia" w:hAnsiTheme="majorEastAsia" w:eastAsiaTheme="majorEastAsia" w:cstheme="majorEastAsia"/>
          <w:b/>
          <w:color w:val="auto"/>
          <w:sz w:val="24"/>
          <w:highlight w:val="none"/>
        </w:rPr>
        <w:t>中标</w:t>
      </w:r>
      <w:r>
        <w:rPr>
          <w:rFonts w:hint="eastAsia" w:asciiTheme="majorEastAsia" w:hAnsiTheme="majorEastAsia" w:eastAsiaTheme="majorEastAsia" w:cstheme="majorEastAsia"/>
          <w:b/>
          <w:color w:val="auto"/>
          <w:sz w:val="24"/>
          <w:highlight w:val="none"/>
          <w:lang w:eastAsia="zh-CN"/>
        </w:rPr>
        <w:t>单价结合实际数量作相应调整</w:t>
      </w:r>
      <w:r>
        <w:rPr>
          <w:rFonts w:hint="eastAsia" w:asciiTheme="majorEastAsia" w:hAnsiTheme="majorEastAsia" w:eastAsiaTheme="majorEastAsia" w:cstheme="majorEastAsia"/>
          <w:b/>
          <w:color w:val="auto"/>
          <w:sz w:val="24"/>
          <w:highlight w:val="none"/>
        </w:rPr>
        <w:t>。</w:t>
      </w:r>
    </w:p>
    <w:p>
      <w:pPr>
        <w:tabs>
          <w:tab w:val="left" w:pos="8400"/>
        </w:tabs>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道路保洁及绿化养护承包期内如有道路改建、扩建、新增人行道等情况</w:t>
      </w:r>
      <w:r>
        <w:rPr>
          <w:rFonts w:hint="eastAsia" w:ascii="宋体" w:hAnsi="宋体" w:cs="宋体"/>
          <w:b/>
          <w:color w:val="auto"/>
          <w:sz w:val="24"/>
          <w:highlight w:val="none"/>
          <w:lang w:val="en-US" w:eastAsia="zh-CN"/>
        </w:rPr>
        <w:t>经甲方同意</w:t>
      </w:r>
      <w:r>
        <w:rPr>
          <w:rFonts w:hint="eastAsia" w:ascii="宋体" w:hAnsi="宋体" w:eastAsia="宋体" w:cs="宋体"/>
          <w:b/>
          <w:color w:val="auto"/>
          <w:sz w:val="24"/>
          <w:highlight w:val="none"/>
          <w:lang w:val="en-US" w:eastAsia="zh-CN"/>
        </w:rPr>
        <w:t>所增加的面积，原则上纳入中标单位保洁及绿化养护范围，</w:t>
      </w:r>
      <w:r>
        <w:rPr>
          <w:rFonts w:hint="eastAsia" w:ascii="宋体" w:hAnsi="宋体" w:cs="宋体"/>
          <w:b/>
          <w:color w:val="auto"/>
          <w:sz w:val="24"/>
          <w:highlight w:val="none"/>
          <w:lang w:val="en-US" w:eastAsia="zh-CN"/>
        </w:rPr>
        <w:t>根据中标单价</w:t>
      </w:r>
      <w:r>
        <w:rPr>
          <w:rFonts w:hint="eastAsia" w:ascii="宋体" w:hAnsi="宋体" w:eastAsia="宋体" w:cs="宋体"/>
          <w:b/>
          <w:color w:val="auto"/>
          <w:sz w:val="24"/>
          <w:highlight w:val="none"/>
          <w:lang w:val="en-US" w:eastAsia="zh-CN"/>
        </w:rPr>
        <w:t>按时结算</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en-US" w:eastAsia="zh-CN"/>
        </w:rPr>
        <w:t>道路保洁及绿化养护承包期内如有道路改建、扩建、新增人行道等情况</w:t>
      </w:r>
      <w:r>
        <w:rPr>
          <w:rFonts w:hint="eastAsia" w:ascii="宋体" w:hAnsi="宋体" w:cs="宋体"/>
          <w:b/>
          <w:color w:val="auto"/>
          <w:sz w:val="24"/>
          <w:highlight w:val="none"/>
          <w:lang w:val="en-US" w:eastAsia="zh-CN"/>
        </w:rPr>
        <w:t>经甲方同意</w:t>
      </w:r>
      <w:r>
        <w:rPr>
          <w:rFonts w:hint="eastAsia" w:ascii="宋体" w:hAnsi="宋体" w:eastAsia="宋体" w:cs="宋体"/>
          <w:b/>
          <w:color w:val="auto"/>
          <w:sz w:val="24"/>
          <w:highlight w:val="none"/>
          <w:lang w:val="en-US" w:eastAsia="zh-CN"/>
        </w:rPr>
        <w:t>所增加的面积，原则上纳入中标单位保洁及绿化养护范围，</w:t>
      </w:r>
      <w:r>
        <w:rPr>
          <w:rFonts w:hint="eastAsia" w:ascii="宋体" w:hAnsi="宋体" w:cs="宋体"/>
          <w:b/>
          <w:color w:val="auto"/>
          <w:sz w:val="24"/>
          <w:highlight w:val="none"/>
          <w:lang w:val="en-US" w:eastAsia="zh-CN"/>
        </w:rPr>
        <w:t>根据中标单价</w:t>
      </w:r>
      <w:r>
        <w:rPr>
          <w:rFonts w:hint="eastAsia" w:ascii="宋体" w:hAnsi="宋体" w:eastAsia="宋体" w:cs="宋体"/>
          <w:b/>
          <w:color w:val="auto"/>
          <w:sz w:val="24"/>
          <w:highlight w:val="none"/>
          <w:lang w:val="en-US" w:eastAsia="zh-CN"/>
        </w:rPr>
        <w:t>按时结算</w:t>
      </w:r>
      <w:r>
        <w:rPr>
          <w:rFonts w:hint="eastAsia" w:ascii="宋体" w:hAnsi="宋体" w:cs="宋体"/>
          <w:b/>
          <w:color w:val="auto"/>
          <w:sz w:val="24"/>
          <w:highlight w:val="none"/>
          <w:lang w:val="en-US" w:eastAsia="zh-CN"/>
        </w:rPr>
        <w:t>，原则上不超过中标价的10%</w:t>
      </w:r>
      <w:r>
        <w:rPr>
          <w:rFonts w:hint="eastAsia" w:ascii="宋体" w:hAnsi="宋体" w:eastAsia="宋体" w:cs="宋体"/>
          <w:b/>
          <w:color w:val="auto"/>
          <w:sz w:val="24"/>
          <w:highlight w:val="none"/>
          <w:lang w:val="en-US" w:eastAsia="zh-CN"/>
        </w:rPr>
        <w:t>。</w:t>
      </w:r>
    </w:p>
    <w:p>
      <w:pPr>
        <w:tabs>
          <w:tab w:val="left" w:pos="8400"/>
        </w:tabs>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以上</w:t>
      </w:r>
      <w:r>
        <w:rPr>
          <w:rFonts w:hint="eastAsia" w:ascii="宋体" w:hAnsi="宋体" w:eastAsia="宋体" w:cs="宋体"/>
          <w:b/>
          <w:color w:val="auto"/>
          <w:sz w:val="24"/>
          <w:highlight w:val="none"/>
          <w:lang w:val="en-US" w:eastAsia="zh-CN"/>
        </w:rPr>
        <w:t>养护</w:t>
      </w:r>
      <w:r>
        <w:rPr>
          <w:rFonts w:hint="eastAsia" w:ascii="宋体" w:hAnsi="宋体" w:eastAsia="宋体" w:cs="宋体"/>
          <w:b/>
          <w:color w:val="auto"/>
          <w:sz w:val="24"/>
          <w:highlight w:val="none"/>
        </w:rPr>
        <w:t>面积为甲方</w:t>
      </w:r>
      <w:r>
        <w:rPr>
          <w:rFonts w:hint="eastAsia" w:ascii="宋体" w:hAnsi="宋体" w:eastAsia="宋体" w:cs="宋体"/>
          <w:b/>
          <w:color w:val="auto"/>
          <w:sz w:val="24"/>
          <w:highlight w:val="none"/>
          <w:lang w:val="en-US" w:eastAsia="zh-CN"/>
        </w:rPr>
        <w:t>经</w:t>
      </w:r>
      <w:r>
        <w:rPr>
          <w:rFonts w:hint="eastAsia" w:ascii="宋体" w:hAnsi="宋体" w:eastAsia="宋体" w:cs="宋体"/>
          <w:b/>
          <w:color w:val="auto"/>
          <w:sz w:val="24"/>
          <w:highlight w:val="none"/>
        </w:rPr>
        <w:t>测</w:t>
      </w:r>
      <w:r>
        <w:rPr>
          <w:rFonts w:hint="eastAsia" w:ascii="宋体" w:hAnsi="宋体" w:eastAsia="宋体" w:cs="宋体"/>
          <w:b/>
          <w:color w:val="auto"/>
          <w:sz w:val="24"/>
          <w:highlight w:val="none"/>
          <w:lang w:val="en-US" w:eastAsia="zh-CN"/>
        </w:rPr>
        <w:t>量</w:t>
      </w:r>
      <w:r>
        <w:rPr>
          <w:rFonts w:hint="eastAsia" w:ascii="宋体" w:hAnsi="宋体" w:eastAsia="宋体" w:cs="宋体"/>
          <w:b/>
          <w:color w:val="auto"/>
          <w:sz w:val="24"/>
          <w:highlight w:val="none"/>
        </w:rPr>
        <w:t>提供的，各投标单位应根据现场实际踏测自行测量，如面积不一致应充分考虑在投标报价内，今后不作调整。</w:t>
      </w:r>
    </w:p>
    <w:p>
      <w:pPr>
        <w:numPr>
          <w:ilvl w:val="0"/>
          <w:numId w:val="0"/>
        </w:numPr>
        <w:wordWrap/>
        <w:adjustRightInd/>
        <w:snapToGrid/>
        <w:spacing w:line="500" w:lineRule="exact"/>
        <w:ind w:firstLine="482" w:firstLineChars="200"/>
        <w:textAlignment w:val="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3.1、道路保洁相关要求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1.1本项目</w:t>
      </w:r>
      <w:r>
        <w:rPr>
          <w:rFonts w:hint="eastAsia" w:asciiTheme="majorEastAsia" w:hAnsiTheme="majorEastAsia" w:eastAsiaTheme="majorEastAsia" w:cstheme="majorEastAsia"/>
          <w:color w:val="000000"/>
          <w:sz w:val="24"/>
          <w:highlight w:val="none"/>
          <w:lang w:val="zh-CN"/>
        </w:rPr>
        <w:t>人员要求</w:t>
      </w:r>
      <w:r>
        <w:rPr>
          <w:rFonts w:hint="eastAsia" w:asciiTheme="majorEastAsia" w:hAnsiTheme="majorEastAsia" w:eastAsiaTheme="majorEastAsia" w:cstheme="majorEastAsia"/>
          <w:color w:val="000000"/>
          <w:sz w:val="24"/>
          <w:highlight w:val="none"/>
        </w:rPr>
        <w:t>须符合</w:t>
      </w:r>
      <w:r>
        <w:rPr>
          <w:rFonts w:hint="eastAsia" w:asciiTheme="majorEastAsia" w:hAnsiTheme="majorEastAsia" w:eastAsiaTheme="majorEastAsia" w:cstheme="majorEastAsia"/>
          <w:bCs/>
          <w:color w:val="000000"/>
          <w:sz w:val="24"/>
          <w:highlight w:val="none"/>
        </w:rPr>
        <w:t>专职人员基本岗位数量要求</w:t>
      </w:r>
      <w:r>
        <w:rPr>
          <w:rFonts w:hint="eastAsia" w:asciiTheme="majorEastAsia" w:hAnsiTheme="majorEastAsia" w:eastAsiaTheme="majorEastAsia" w:cstheme="majorEastAsia"/>
          <w:color w:val="000000"/>
          <w:sz w:val="24"/>
          <w:highlight w:val="none"/>
          <w:lang w:val="zh-CN"/>
        </w:rPr>
        <w:t>。</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.1.2除项目负责人和专职保洁人员以外，供应商应根据项目保洁的实际需要配备管理人员、机械车辆驾驶人员、机修人员等，所需费用应考虑在投标总价中。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.1.3保洁人员在岗要求男性年龄在60周岁以下</w:t>
      </w:r>
      <w:r>
        <w:rPr>
          <w:rFonts w:hint="eastAsia" w:asciiTheme="majorEastAsia" w:hAnsiTheme="majorEastAsia" w:eastAsiaTheme="majorEastAsia" w:cstheme="majorEastAsia"/>
          <w:color w:val="000000"/>
          <w:sz w:val="24"/>
          <w:highlight w:val="none"/>
          <w:lang w:val="zh-CN"/>
        </w:rPr>
        <w:t>，女性年龄在55周岁以下，并按采购人要求完成智慧化管理措施、设施配备。大型活动、节假日、重大会议、接访等保障、新作业方式调整或未达到管理标准等情况下</w:t>
      </w:r>
      <w:r>
        <w:rPr>
          <w:rFonts w:hint="eastAsia" w:asciiTheme="majorEastAsia" w:hAnsiTheme="majorEastAsia" w:eastAsiaTheme="majorEastAsia" w:cstheme="majorEastAsia"/>
          <w:color w:val="000000"/>
          <w:sz w:val="24"/>
          <w:highlight w:val="none"/>
        </w:rPr>
        <w:t>应根据实际情况或采购人要求增派保洁人员、保洁设备，以确保清卫保洁质量，</w:t>
      </w:r>
      <w:r>
        <w:rPr>
          <w:rFonts w:hint="eastAsia" w:asciiTheme="majorEastAsia" w:hAnsiTheme="majorEastAsia" w:eastAsiaTheme="majorEastAsia" w:cstheme="majorEastAsia"/>
          <w:color w:val="000000"/>
          <w:sz w:val="24"/>
          <w:highlight w:val="none"/>
          <w:lang w:val="zh-CN"/>
        </w:rPr>
        <w:t>增</w:t>
      </w:r>
      <w:r>
        <w:rPr>
          <w:rFonts w:hint="eastAsia" w:asciiTheme="majorEastAsia" w:hAnsiTheme="majorEastAsia" w:eastAsiaTheme="majorEastAsia" w:cstheme="majorEastAsia"/>
          <w:color w:val="000000"/>
          <w:sz w:val="24"/>
          <w:highlight w:val="none"/>
        </w:rPr>
        <w:t>派人员和设备的费用应考虑在投标总报价中。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.1.4鼓励供应商根据杭州市劳动和社会保障局、杭州市财政局“关于印发《市区“三类岗位”开发管理办法》的通知”及区政府等相关文件要求，鼓励中标供应商招聘失地失业人员参与本项目服务。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.1.5人员用工必须符合《中华人民共和国劳动民法典》等法规的相关规定，如因违法、违规并造成不良后果的，其责任由供应商自行承担。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.1.6 作业车辆、作业时间应符合属地交警部门要求，并按要求进行报备后实施。</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.1.7 供应商提供的设施设备，根据采购人要求统一外观，标识。</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.2保洁服务内容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.2.1本项目涵盖采购文件第三部分采购需求项目概况及要求清单中所有道路的清扫运输、垃圾收集运输、偷倒垃圾清运等服务内容。</w:t>
      </w:r>
    </w:p>
    <w:p>
      <w:pPr>
        <w:snapToGrid w:val="0"/>
        <w:spacing w:line="360" w:lineRule="auto"/>
        <w:ind w:firstLine="480" w:firstLineChars="200"/>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2.2</w:t>
      </w:r>
      <w:r>
        <w:rPr>
          <w:rFonts w:hint="eastAsia" w:asciiTheme="majorEastAsia" w:hAnsiTheme="majorEastAsia" w:eastAsiaTheme="majorEastAsia" w:cstheme="majorEastAsia"/>
          <w:bCs/>
          <w:color w:val="000000"/>
          <w:sz w:val="24"/>
          <w:highlight w:val="none"/>
        </w:rPr>
        <w:t>本项目</w:t>
      </w:r>
      <w:r>
        <w:rPr>
          <w:rFonts w:hint="eastAsia" w:asciiTheme="majorEastAsia" w:hAnsiTheme="majorEastAsia" w:eastAsiaTheme="majorEastAsia" w:cstheme="majorEastAsia"/>
          <w:color w:val="000000"/>
          <w:sz w:val="24"/>
          <w:highlight w:val="none"/>
        </w:rPr>
        <w:t>道路中间绿化带含在道路保洁范围内，及道路两侧人行道外建筑物基石边或无建筑物外可视范围内</w:t>
      </w:r>
      <w:r>
        <w:rPr>
          <w:rFonts w:hint="eastAsia" w:asciiTheme="majorEastAsia" w:hAnsiTheme="majorEastAsia" w:eastAsiaTheme="majorEastAsia" w:cstheme="majorEastAsia"/>
          <w:bCs/>
          <w:color w:val="000000"/>
          <w:sz w:val="24"/>
          <w:highlight w:val="none"/>
        </w:rPr>
        <w:t>（不少于3米</w:t>
      </w:r>
      <w:r>
        <w:rPr>
          <w:rFonts w:hint="eastAsia" w:asciiTheme="majorEastAsia" w:hAnsiTheme="majorEastAsia" w:eastAsiaTheme="majorEastAsia" w:cstheme="majorEastAsia"/>
          <w:color w:val="000000"/>
          <w:sz w:val="24"/>
          <w:highlight w:val="none"/>
        </w:rPr>
        <w:t>）均包含在保洁范围内。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w:t>
      </w:r>
      <w:r>
        <w:rPr>
          <w:rFonts w:hint="eastAsia" w:asciiTheme="majorEastAsia" w:hAnsiTheme="majorEastAsia" w:eastAsiaTheme="majorEastAsia" w:cstheme="majorEastAsia"/>
          <w:bCs/>
          <w:color w:val="000000"/>
          <w:sz w:val="24"/>
          <w:highlight w:val="none"/>
        </w:rPr>
        <w:t>.3本项目涵盖地铁站（如有）出入口台阶以下周边范围的保洁含在道路保洁范围内。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.2</w:t>
      </w:r>
      <w:r>
        <w:rPr>
          <w:rFonts w:hint="eastAsia" w:asciiTheme="majorEastAsia" w:hAnsiTheme="majorEastAsia" w:eastAsiaTheme="majorEastAsia" w:cstheme="majorEastAsia"/>
          <w:bCs/>
          <w:color w:val="000000"/>
          <w:sz w:val="24"/>
          <w:highlight w:val="none"/>
        </w:rPr>
        <w:t>.4本项目道路所附属的铁路下穿涵洞（如有）、果壳箱、交通隔离栏、路灯杆（2.2米以下部分）、交通信号杆（2.2米以下部分）均属于本项目保洁范围。</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.2.5</w:t>
      </w:r>
      <w:r>
        <w:rPr>
          <w:rFonts w:hint="eastAsia" w:asciiTheme="majorEastAsia" w:hAnsiTheme="majorEastAsia" w:eastAsiaTheme="majorEastAsia" w:cstheme="majorEastAsia"/>
          <w:sz w:val="24"/>
          <w:highlight w:val="none"/>
        </w:rPr>
        <w:t>牛皮癣清理：范围内道路、围墙、道路沿线设施（含一层建筑立面）等区域的“乱涂”、“乱张贴”等牛皮癣日常清理</w:t>
      </w:r>
      <w:r>
        <w:rPr>
          <w:rFonts w:hint="eastAsia" w:asciiTheme="majorEastAsia" w:hAnsiTheme="majorEastAsia" w:eastAsiaTheme="majorEastAsia" w:cstheme="majorEastAsia"/>
          <w:bCs/>
          <w:color w:val="000000"/>
          <w:sz w:val="24"/>
          <w:highlight w:val="none"/>
        </w:rPr>
        <w:t>均属于本项目保洁范围</w:t>
      </w:r>
      <w:r>
        <w:rPr>
          <w:rFonts w:hint="eastAsia" w:asciiTheme="majorEastAsia" w:hAnsiTheme="majorEastAsia" w:eastAsiaTheme="majorEastAsia" w:cstheme="majorEastAsia"/>
          <w:sz w:val="24"/>
          <w:highlight w:val="none"/>
        </w:rPr>
        <w:t>。</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.3保洁基本要求</w:t>
      </w:r>
    </w:p>
    <w:p>
      <w:pPr>
        <w:pStyle w:val="3"/>
        <w:spacing w:line="360" w:lineRule="auto"/>
        <w:rPr>
          <w:rFonts w:hint="eastAsia" w:asciiTheme="majorEastAsia" w:hAnsiTheme="majorEastAsia" w:eastAsiaTheme="majorEastAsia" w:cstheme="majorEastAsia"/>
          <w:color w:val="000000"/>
          <w:highlight w:val="none"/>
        </w:rPr>
      </w:pPr>
      <w:r>
        <w:rPr>
          <w:rFonts w:hint="eastAsia" w:asciiTheme="majorEastAsia" w:hAnsiTheme="majorEastAsia" w:eastAsiaTheme="majorEastAsia" w:cstheme="majorEastAsia"/>
          <w:b/>
          <w:bCs/>
          <w:color w:val="000000"/>
          <w:highlight w:val="none"/>
          <w:lang w:val="en-US" w:eastAsia="zh-CN"/>
        </w:rPr>
        <w:t>3</w:t>
      </w:r>
      <w:r>
        <w:rPr>
          <w:rFonts w:hint="eastAsia" w:asciiTheme="majorEastAsia" w:hAnsiTheme="majorEastAsia" w:eastAsiaTheme="majorEastAsia" w:cstheme="majorEastAsia"/>
          <w:b/>
          <w:bCs/>
          <w:color w:val="000000"/>
          <w:highlight w:val="none"/>
        </w:rPr>
        <w:t>.3.1</w:t>
      </w:r>
      <w:r>
        <w:rPr>
          <w:rFonts w:hint="eastAsia" w:asciiTheme="majorEastAsia" w:hAnsiTheme="majorEastAsia" w:eastAsiaTheme="majorEastAsia" w:cstheme="majorEastAsia"/>
          <w:b/>
          <w:bCs/>
          <w:color w:val="000000"/>
          <w:highlight w:val="none"/>
          <w:lang w:eastAsia="zh-CN"/>
        </w:rPr>
        <w:t>二</w:t>
      </w:r>
      <w:r>
        <w:rPr>
          <w:rFonts w:hint="eastAsia" w:asciiTheme="majorEastAsia" w:hAnsiTheme="majorEastAsia" w:eastAsiaTheme="majorEastAsia" w:cstheme="majorEastAsia"/>
          <w:b/>
          <w:bCs/>
          <w:color w:val="000000"/>
          <w:highlight w:val="none"/>
        </w:rPr>
        <w:t>级道路</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3.3.1.1保洁时长: 18小时(4:30-22: 30)。</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3.3.1.2快车道保洁:洒水6次1日;高压冲洗2次/日;洗扫吸三合一作业2次/日，普通机扫1次/日，要求单向两边侧石、隔高栏底下全部覆盖。</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3.3.1.3慢车道和人行道保洁:日常普扫吹风机搭配小型慢车道清扫车作业2次/日:洗、扫、吸一体清洗作业2天1次。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3.3.1.4空气抑尘:配置空气抑尘设备，每天1次洒水、抑尘。</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3.3.1.5城市家具:全覆盖擦洗2天1次。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3.3.1.6小广告清除:配备高压冲洗设备，每天清除小广告。</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3.3.1.7道路栏杆:配备栏杆清洗车，每周清洗一次。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3.3.1.8绿化带检拾:配置小型设备，人工配合，每天1次。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.3.1.</w:t>
      </w:r>
      <w:r>
        <w:rPr>
          <w:rFonts w:hint="eastAsia" w:asciiTheme="majorEastAsia" w:hAnsiTheme="majorEastAsia" w:eastAsiaTheme="majorEastAsia" w:cstheme="majorEastAsia"/>
          <w:color w:val="000000"/>
          <w:sz w:val="24"/>
          <w:highlight w:val="none"/>
          <w:lang w:val="en-US" w:eastAsia="zh-CN"/>
        </w:rPr>
        <w:t>9</w:t>
      </w:r>
      <w:r>
        <w:rPr>
          <w:rFonts w:hint="eastAsia" w:asciiTheme="majorEastAsia" w:hAnsiTheme="majorEastAsia" w:eastAsiaTheme="majorEastAsia" w:cstheme="majorEastAsia"/>
          <w:color w:val="000000"/>
          <w:sz w:val="24"/>
          <w:highlight w:val="none"/>
        </w:rPr>
        <w:t>应做到文明、清洁、安全和有序，最大限度地减少对环境的污染和对公众生活的影响。</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rPr>
        <w:t>3.1.</w:t>
      </w:r>
      <w:r>
        <w:rPr>
          <w:rFonts w:hint="eastAsia" w:asciiTheme="majorEastAsia" w:hAnsiTheme="majorEastAsia" w:eastAsiaTheme="majorEastAsia" w:cstheme="majorEastAsia"/>
          <w:color w:val="000000"/>
          <w:sz w:val="24"/>
          <w:highlight w:val="none"/>
          <w:lang w:val="en-US" w:eastAsia="zh-CN"/>
        </w:rPr>
        <w:t>10</w:t>
      </w:r>
      <w:r>
        <w:rPr>
          <w:rFonts w:hint="eastAsia" w:asciiTheme="majorEastAsia" w:hAnsiTheme="majorEastAsia" w:eastAsiaTheme="majorEastAsia" w:cstheme="majorEastAsia"/>
          <w:color w:val="000000"/>
          <w:sz w:val="24"/>
          <w:highlight w:val="none"/>
        </w:rPr>
        <w:t>合理安排作业计划。清晨或深夜在居民住宅小区或周边道路进行环卫作业时，不得大声喧哗，并应注意控制机具噪音。组织机械化清扫、洒水、清洗作业应避开交通高峰时段（7：00—9：00，16：30—18：30）。</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1</w:t>
      </w:r>
      <w:r>
        <w:rPr>
          <w:rFonts w:hint="eastAsia" w:asciiTheme="majorEastAsia" w:hAnsiTheme="majorEastAsia" w:eastAsiaTheme="majorEastAsia" w:cstheme="majorEastAsia"/>
          <w:bCs/>
          <w:color w:val="000000"/>
          <w:sz w:val="24"/>
          <w:highlight w:val="none"/>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2</w:t>
      </w:r>
      <w:r>
        <w:rPr>
          <w:rFonts w:hint="eastAsia" w:asciiTheme="majorEastAsia" w:hAnsiTheme="majorEastAsia" w:eastAsiaTheme="majorEastAsia" w:cstheme="majorEastAsia"/>
          <w:bCs/>
          <w:color w:val="000000"/>
          <w:sz w:val="24"/>
          <w:highlight w:val="none"/>
        </w:rPr>
        <w:t>日常</w:t>
      </w:r>
      <w:r>
        <w:rPr>
          <w:rFonts w:hint="eastAsia" w:asciiTheme="majorEastAsia" w:hAnsiTheme="majorEastAsia" w:eastAsiaTheme="majorEastAsia" w:cstheme="majorEastAsia"/>
          <w:color w:val="000000"/>
          <w:sz w:val="24"/>
          <w:highlight w:val="none"/>
        </w:rPr>
        <w:t>保洁时间内</w:t>
      </w:r>
      <w:r>
        <w:rPr>
          <w:rFonts w:hint="eastAsia" w:asciiTheme="majorEastAsia" w:hAnsiTheme="majorEastAsia" w:eastAsiaTheme="majorEastAsia" w:cstheme="majorEastAsia"/>
          <w:bCs/>
          <w:color w:val="000000"/>
          <w:sz w:val="24"/>
          <w:highlight w:val="none"/>
        </w:rPr>
        <w:t>保洁单位需确保</w:t>
      </w:r>
      <w:r>
        <w:rPr>
          <w:rFonts w:hint="eastAsia" w:asciiTheme="majorEastAsia" w:hAnsiTheme="majorEastAsia" w:eastAsiaTheme="majorEastAsia" w:cstheme="majorEastAsia"/>
          <w:color w:val="000000"/>
          <w:sz w:val="24"/>
          <w:highlight w:val="none"/>
        </w:rPr>
        <w:t>保洁范围干净，如有无主垃圾或其它垃圾，应加强监管，及时劝导并清理干净。</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13</w:t>
      </w:r>
      <w:r>
        <w:rPr>
          <w:rFonts w:hint="eastAsia" w:asciiTheme="majorEastAsia" w:hAnsiTheme="majorEastAsia" w:eastAsiaTheme="majorEastAsia" w:cstheme="majorEastAsia"/>
          <w:bCs/>
          <w:color w:val="000000"/>
          <w:sz w:val="24"/>
          <w:highlight w:val="none"/>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4</w:t>
      </w:r>
      <w:r>
        <w:rPr>
          <w:rFonts w:hint="eastAsia" w:asciiTheme="majorEastAsia" w:hAnsiTheme="majorEastAsia" w:eastAsiaTheme="majorEastAsia" w:cstheme="majorEastAsia"/>
          <w:bCs/>
          <w:color w:val="000000"/>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.3.1.1</w:t>
      </w:r>
      <w:r>
        <w:rPr>
          <w:rFonts w:hint="eastAsia" w:asciiTheme="majorEastAsia" w:hAnsiTheme="majorEastAsia" w:eastAsiaTheme="majorEastAsia" w:cstheme="majorEastAsia"/>
          <w:bCs/>
          <w:color w:val="000000"/>
          <w:sz w:val="24"/>
          <w:highlight w:val="none"/>
          <w:lang w:val="en-US" w:eastAsia="zh-CN"/>
        </w:rPr>
        <w:t>5</w:t>
      </w:r>
      <w:r>
        <w:rPr>
          <w:rFonts w:hint="eastAsia" w:asciiTheme="majorEastAsia" w:hAnsiTheme="majorEastAsia" w:eastAsiaTheme="majorEastAsia" w:cstheme="majorEastAsia"/>
          <w:bCs/>
          <w:color w:val="000000"/>
          <w:sz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16</w:t>
      </w:r>
      <w:r>
        <w:rPr>
          <w:rFonts w:hint="eastAsia" w:asciiTheme="majorEastAsia" w:hAnsiTheme="majorEastAsia" w:eastAsiaTheme="majorEastAsia" w:cstheme="majorEastAsia"/>
          <w:bCs/>
          <w:color w:val="000000"/>
          <w:sz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.3.1.</w:t>
      </w:r>
      <w:r>
        <w:rPr>
          <w:rFonts w:hint="eastAsia" w:asciiTheme="majorEastAsia" w:hAnsiTheme="majorEastAsia" w:eastAsiaTheme="majorEastAsia" w:cstheme="majorEastAsia"/>
          <w:bCs/>
          <w:color w:val="000000"/>
          <w:sz w:val="24"/>
          <w:highlight w:val="none"/>
          <w:lang w:val="en-US" w:eastAsia="zh-CN"/>
        </w:rPr>
        <w:t>17</w:t>
      </w:r>
      <w:r>
        <w:rPr>
          <w:rFonts w:hint="eastAsia" w:asciiTheme="majorEastAsia" w:hAnsiTheme="majorEastAsia" w:eastAsiaTheme="majorEastAsia" w:cstheme="majorEastAsia"/>
          <w:bCs/>
          <w:color w:val="000000"/>
          <w:sz w:val="24"/>
          <w:highlight w:val="none"/>
        </w:rPr>
        <w:t>承诺能及时提供人力、设备、技术等支持。</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 xml:space="preserve">.4保洁作业规范 </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.4.1道路普扫次数和时间</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.4.1.1</w:t>
      </w:r>
      <w:r>
        <w:rPr>
          <w:rFonts w:hint="eastAsia" w:asciiTheme="majorEastAsia" w:hAnsiTheme="majorEastAsia" w:eastAsiaTheme="majorEastAsia" w:cstheme="majorEastAsia"/>
          <w:color w:val="000000"/>
          <w:sz w:val="24"/>
          <w:highlight w:val="none"/>
          <w:lang w:eastAsia="zh-CN"/>
        </w:rPr>
        <w:t>二</w:t>
      </w:r>
      <w:r>
        <w:rPr>
          <w:rFonts w:hint="eastAsia" w:asciiTheme="majorEastAsia" w:hAnsiTheme="majorEastAsia" w:eastAsiaTheme="majorEastAsia" w:cstheme="majorEastAsia"/>
          <w:color w:val="000000"/>
          <w:sz w:val="24"/>
          <w:highlight w:val="none"/>
        </w:rPr>
        <w:t>级道路普扫作业每日不少于</w:t>
      </w:r>
      <w:r>
        <w:rPr>
          <w:rFonts w:hint="eastAsia" w:asciiTheme="majorEastAsia" w:hAnsiTheme="majorEastAsia" w:eastAsiaTheme="majorEastAsia" w:cstheme="majorEastAsia"/>
          <w:color w:val="000000"/>
          <w:sz w:val="24"/>
          <w:highlight w:val="none"/>
          <w:lang w:val="en-US" w:eastAsia="zh-CN"/>
        </w:rPr>
        <w:t>1</w:t>
      </w:r>
      <w:r>
        <w:rPr>
          <w:rFonts w:hint="eastAsia" w:asciiTheme="majorEastAsia" w:hAnsiTheme="majorEastAsia" w:eastAsiaTheme="majorEastAsia" w:cstheme="majorEastAsia"/>
          <w:color w:val="000000"/>
          <w:sz w:val="24"/>
          <w:highlight w:val="none"/>
        </w:rPr>
        <w:t>次。夏季（6月—8月）第一次普扫应在6：30前完成，春、秋、冬季（9月—次年5月）在7：00前完成；</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4.1.2应根据重大活动保障、落叶旺季等因素适时增加每日普扫频次。 </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4.2洒水（清洗）</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.4.2.1</w:t>
      </w:r>
      <w:r>
        <w:rPr>
          <w:rFonts w:hint="eastAsia" w:asciiTheme="majorEastAsia" w:hAnsiTheme="majorEastAsia" w:eastAsiaTheme="majorEastAsia" w:cstheme="majorEastAsia"/>
          <w:color w:val="000000"/>
          <w:sz w:val="24"/>
          <w:highlight w:val="none"/>
          <w:lang w:eastAsia="zh-CN"/>
        </w:rPr>
        <w:t>二</w:t>
      </w:r>
      <w:r>
        <w:rPr>
          <w:rFonts w:hint="eastAsia" w:asciiTheme="majorEastAsia" w:hAnsiTheme="majorEastAsia" w:eastAsiaTheme="majorEastAsia" w:cstheme="majorEastAsia"/>
          <w:color w:val="000000"/>
          <w:sz w:val="24"/>
          <w:highlight w:val="none"/>
        </w:rPr>
        <w:t>级道路作业每日不少于6次，</w:t>
      </w:r>
      <w:r>
        <w:rPr>
          <w:rFonts w:hint="eastAsia" w:asciiTheme="majorEastAsia" w:hAnsiTheme="majorEastAsia" w:eastAsiaTheme="majorEastAsia" w:cstheme="majorEastAsia"/>
          <w:bCs/>
          <w:color w:val="000000"/>
          <w:sz w:val="24"/>
          <w:highlight w:val="none"/>
        </w:rPr>
        <w:t>洒水时，洒水车车速不得超过25km/h；清洗时，高压清洗车车速不得超过10km/h；机械化清扫作业。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.4.2.2</w:t>
      </w:r>
      <w:r>
        <w:rPr>
          <w:rFonts w:hint="eastAsia" w:asciiTheme="majorEastAsia" w:hAnsiTheme="majorEastAsia" w:eastAsiaTheme="majorEastAsia" w:cstheme="majorEastAsia"/>
          <w:bCs/>
          <w:color w:val="000000"/>
          <w:sz w:val="24"/>
          <w:highlight w:val="none"/>
        </w:rPr>
        <w:t>洒水时，应调整好洒水车水压和水幅，保持车行道全路段路面湿润。途经地铁站、公交站、人行横道等人流量集中的地点应注意放慢车速，避让行人，调整启闭装置，避免将水洒到行人身上。</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.4.2.3</w:t>
      </w:r>
      <w:r>
        <w:rPr>
          <w:rFonts w:hint="eastAsia" w:asciiTheme="majorEastAsia" w:hAnsiTheme="majorEastAsia" w:eastAsiaTheme="majorEastAsia" w:cstheme="majorEastAsia"/>
          <w:bCs/>
          <w:color w:val="000000"/>
          <w:sz w:val="24"/>
          <w:highlight w:val="none"/>
        </w:rPr>
        <w:t>晚22时以后，洒水作业时禁止播放洒水提示音乐。中、高考等重要考试期间，洒水车途经考场周边道路时应及时关闭洒水提示音乐，夏季中午时间（12时-14时）适当降低洒水提示音量。</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.4.2.4</w:t>
      </w:r>
      <w:r>
        <w:rPr>
          <w:rFonts w:hint="eastAsia" w:asciiTheme="majorEastAsia" w:hAnsiTheme="majorEastAsia" w:eastAsiaTheme="majorEastAsia" w:cstheme="majorEastAsia"/>
          <w:bCs/>
          <w:color w:val="000000"/>
          <w:sz w:val="24"/>
          <w:highlight w:val="none"/>
        </w:rPr>
        <w:t>小雨及以下雨量时，按计划保持洒水作业；中雨及以上雨量或雷阵雨期间，暂停道路洒水和清洗作业。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.4.2.5春秋季（3月—5月、9月—11月），每日道路洒水频次作为基准遍次，即</w:t>
      </w:r>
      <w:r>
        <w:rPr>
          <w:rFonts w:hint="eastAsia" w:asciiTheme="majorEastAsia" w:hAnsiTheme="majorEastAsia" w:eastAsiaTheme="majorEastAsia" w:cstheme="majorEastAsia"/>
          <w:bCs/>
          <w:color w:val="000000"/>
          <w:sz w:val="24"/>
          <w:highlight w:val="none"/>
          <w:lang w:eastAsia="zh-CN"/>
        </w:rPr>
        <w:t>二</w:t>
      </w:r>
      <w:r>
        <w:rPr>
          <w:rFonts w:hint="eastAsia" w:asciiTheme="majorEastAsia" w:hAnsiTheme="majorEastAsia" w:eastAsiaTheme="majorEastAsia" w:cstheme="majorEastAsia"/>
          <w:bCs/>
          <w:color w:val="000000"/>
          <w:sz w:val="24"/>
          <w:highlight w:val="none"/>
        </w:rPr>
        <w:t>级道路每日</w:t>
      </w:r>
      <w:r>
        <w:rPr>
          <w:rFonts w:hint="eastAsia" w:asciiTheme="majorEastAsia" w:hAnsiTheme="majorEastAsia" w:eastAsiaTheme="majorEastAsia" w:cstheme="majorEastAsia"/>
          <w:bCs/>
          <w:color w:val="000000"/>
          <w:sz w:val="24"/>
          <w:highlight w:val="none"/>
          <w:lang w:val="en-US" w:eastAsia="zh-CN"/>
        </w:rPr>
        <w:t>6</w:t>
      </w:r>
      <w:r>
        <w:rPr>
          <w:rFonts w:hint="eastAsia" w:asciiTheme="majorEastAsia" w:hAnsiTheme="majorEastAsia" w:eastAsiaTheme="majorEastAsia" w:cstheme="majorEastAsia"/>
          <w:bCs/>
          <w:color w:val="000000"/>
          <w:sz w:val="24"/>
          <w:highlight w:val="none"/>
        </w:rPr>
        <w:t>次；夏季（6月—8月），在基准频次上每日分别增加1次；冬季（12月—2月），在基准频次上每日分别减少1次。</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.4.2.6</w:t>
      </w:r>
      <w:r>
        <w:rPr>
          <w:rFonts w:hint="eastAsia" w:asciiTheme="majorEastAsia" w:hAnsiTheme="majorEastAsia" w:eastAsiaTheme="majorEastAsia" w:cstheme="majorEastAsia"/>
          <w:bCs/>
          <w:color w:val="000000"/>
          <w:sz w:val="24"/>
          <w:highlight w:val="none"/>
        </w:rPr>
        <w:t>气温低于2摄氏度时应停止清洗和洒水。</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.4.2.7</w:t>
      </w:r>
      <w:r>
        <w:rPr>
          <w:rFonts w:hint="eastAsia" w:asciiTheme="majorEastAsia" w:hAnsiTheme="majorEastAsia" w:eastAsiaTheme="majorEastAsia" w:cstheme="majorEastAsia"/>
          <w:bCs/>
          <w:color w:val="000000"/>
          <w:sz w:val="24"/>
          <w:highlight w:val="none"/>
        </w:rPr>
        <w:t>根据清雪作业应急保障需要，可使用洒水车、清洗车冲刷路面积雪，并使用清雪车、扫路车等专业车辆或人工辅助，及时清除路面积水、积雪。</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.4.3机械化清扫</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.4.3.1</w:t>
      </w:r>
      <w:r>
        <w:rPr>
          <w:rFonts w:hint="eastAsia" w:asciiTheme="majorEastAsia" w:hAnsiTheme="majorEastAsia" w:eastAsiaTheme="majorEastAsia" w:cstheme="majorEastAsia"/>
          <w:bCs/>
          <w:color w:val="000000"/>
          <w:sz w:val="24"/>
          <w:highlight w:val="none"/>
        </w:rPr>
        <w:t>机械化清扫范围主要为机动车道，及便于使用机械化装备清洁机动车道的交通隔离栏。</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.4.3.2</w:t>
      </w:r>
      <w:r>
        <w:rPr>
          <w:rFonts w:hint="eastAsia" w:asciiTheme="majorEastAsia" w:hAnsiTheme="majorEastAsia" w:eastAsiaTheme="majorEastAsia" w:cstheme="majorEastAsia"/>
          <w:bCs/>
          <w:color w:val="000000"/>
          <w:sz w:val="24"/>
          <w:highlight w:val="none"/>
        </w:rPr>
        <w:t>清扫车或洗扫车应加足水，根据路面状况调整好扫路车侧刷和吸口，喷雾洁扫无扬尘，在规定时间和路线进行机械化清扫作业。</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.4.3.3</w:t>
      </w:r>
      <w:r>
        <w:rPr>
          <w:rFonts w:hint="eastAsia" w:asciiTheme="majorEastAsia" w:hAnsiTheme="majorEastAsia" w:eastAsiaTheme="majorEastAsia" w:cstheme="majorEastAsia"/>
          <w:bCs/>
          <w:color w:val="000000"/>
          <w:sz w:val="24"/>
          <w:highlight w:val="none"/>
        </w:rPr>
        <w:t>机械化清扫作业时，扫路车或洗扫车车速不得超过10km/h。</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.4.3.4</w:t>
      </w:r>
      <w:r>
        <w:rPr>
          <w:rFonts w:hint="eastAsia" w:asciiTheme="majorEastAsia" w:hAnsiTheme="majorEastAsia" w:eastAsiaTheme="majorEastAsia" w:cstheme="majorEastAsia"/>
          <w:bCs/>
          <w:color w:val="000000"/>
          <w:sz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.4.3.5</w:t>
      </w:r>
      <w:r>
        <w:rPr>
          <w:rFonts w:hint="eastAsia" w:asciiTheme="majorEastAsia" w:hAnsiTheme="majorEastAsia" w:eastAsiaTheme="majorEastAsia" w:cstheme="majorEastAsia"/>
          <w:bCs/>
          <w:color w:val="000000"/>
          <w:sz w:val="24"/>
          <w:highlight w:val="none"/>
        </w:rPr>
        <w:t>当日清扫结束后，应在指定地点卸空机械化清扫车辆中的垃圾。</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.4.3.6</w:t>
      </w:r>
      <w:r>
        <w:rPr>
          <w:rFonts w:hint="eastAsia" w:asciiTheme="majorEastAsia" w:hAnsiTheme="majorEastAsia" w:eastAsiaTheme="majorEastAsia" w:cstheme="majorEastAsia"/>
          <w:bCs/>
          <w:color w:val="000000"/>
          <w:sz w:val="24"/>
          <w:highlight w:val="none"/>
        </w:rPr>
        <w:t>机械化清扫车辆所用的扫把丝等消耗品应根据使用状况及时更换。</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.4.4人工普扫</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.4.4.1清扫时，在距清扫点适当位置安全警示标识。</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.4.4.3清扫的街面垃圾、沿街果壳箱中的垃圾应密闭化运至指定地点，运输过程不得抛洒滴漏。</w:t>
      </w:r>
    </w:p>
    <w:p>
      <w:pPr>
        <w:snapToGrid w:val="0"/>
        <w:spacing w:line="360" w:lineRule="auto"/>
        <w:ind w:firstLine="482" w:firstLineChars="200"/>
        <w:jc w:val="left"/>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val="en-US" w:eastAsia="zh-CN"/>
        </w:rPr>
        <w:t>3</w:t>
      </w:r>
      <w:r>
        <w:rPr>
          <w:rFonts w:hint="eastAsia" w:asciiTheme="majorEastAsia" w:hAnsiTheme="majorEastAsia" w:eastAsiaTheme="majorEastAsia" w:cstheme="majorEastAsia"/>
          <w:b/>
          <w:color w:val="000000"/>
          <w:sz w:val="24"/>
          <w:highlight w:val="none"/>
        </w:rPr>
        <w:t>.4.5人工保洁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.4.5.1普扫结束后，应按照规定的责任保洁区域、保洁时间组织巡回保洁。落实责任保洁区域边界管理，保洁时应向保洁边界以外适当延伸（不少于3米），不留保洁盲区和空白点。</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.4.5.2应定时清运沿街果壳箱中的垃圾，做到垃圾不落地、不积存，日产日清。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.4.5.3突发性环境卫生污染现场清理时，应严格按照应急处置方案进行保洁，及时消除污染物，恢复路面清洁。</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.4.5.4环卫电动专用作业车辆应在非机动车道顺向行驶，不得超载，且行驶速度不得超过20Km/h。</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.4.5.5保洁作业结束后，作业工具应在规定地点摆放，不得在道路路面、墙角、绿化带、绿地中存放。</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.5保洁作业质量要求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5.1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.5.2三化四分相关要求：</w:t>
      </w:r>
      <w:r>
        <w:rPr>
          <w:rFonts w:hint="eastAsia" w:asciiTheme="majorEastAsia" w:hAnsiTheme="majorEastAsia" w:eastAsiaTheme="majorEastAsia" w:cstheme="majorEastAsia"/>
          <w:color w:val="000000"/>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.5.3其他要求：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（1）遇有窨井盖丢失、破损等，承包方必须及时上报采购人。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（2）遇有重大活动或突发事件，及时组织力量做好清扫保洁保障工作。   </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（3）遇有重大活动以及抗台、抗雪等突发事件，必须及时组织力量做好清扫保洁等应急保障工作，按照城市管理保障应急机制要求，保证人员及时到位，并根据应急指令服从统一调配。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hint="eastAsia" w:asciiTheme="majorEastAsia" w:hAnsiTheme="majorEastAsia" w:eastAsiaTheme="majorEastAsia" w:cstheme="majorEastAsia"/>
          <w:b/>
          <w:bCs/>
          <w:color w:val="000000"/>
          <w:sz w:val="24"/>
          <w:highlight w:val="none"/>
        </w:rPr>
      </w:pPr>
      <w:r>
        <w:rPr>
          <w:rFonts w:hint="eastAsia" w:asciiTheme="majorEastAsia" w:hAnsiTheme="majorEastAsia" w:eastAsiaTheme="majorEastAsia" w:cstheme="majorEastAsia"/>
          <w:b/>
          <w:bCs/>
          <w:color w:val="000000"/>
          <w:sz w:val="24"/>
          <w:highlight w:val="none"/>
          <w:lang w:val="en-US" w:eastAsia="zh-CN"/>
        </w:rPr>
        <w:t>3</w:t>
      </w:r>
      <w:r>
        <w:rPr>
          <w:rFonts w:hint="eastAsia" w:asciiTheme="majorEastAsia" w:hAnsiTheme="majorEastAsia" w:eastAsiaTheme="majorEastAsia" w:cstheme="majorEastAsia"/>
          <w:b/>
          <w:bCs/>
          <w:color w:val="000000"/>
          <w:sz w:val="24"/>
          <w:highlight w:val="none"/>
        </w:rPr>
        <w:t>.6.管理要求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.6.1供应商在保洁作业中投入的机械设备、人员配置等必须与投标文件中所承诺的数量规格相符合。加强日常作业质量管理，相关计划及报告按采购人要求准时递交。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.6.4果壳箱应定期保养保持整洁完好无缺失，承包期间因操作或管理不善造成破损、缺失的，由中标单位承担费用并负责修复或更新（果壳箱更换款式应保持原样，或经采购人同意后调整款式）。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.6.5专用作业车辆（含人力三轮车）符合环卫标准化管理要求，外观喷漆及规格符合采购人要求，机动、人力车辆应按时冲洗保养保持外观整洁，无抛洒滴漏、无满溢、无吊挂。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 xml:space="preserve">   </w:t>
      </w: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.6.6垃圾应倾倒在指定的垃圾堆放场地，不得焚烧垃圾、树叶，确需垃圾二次转运的应在指定地点进行，不得直接在保洁道路上进行。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sz w:val="24"/>
          <w:highlight w:val="none"/>
          <w:lang w:val="en-US" w:eastAsia="zh-CN"/>
        </w:rPr>
        <w:t>3</w:t>
      </w:r>
      <w:r>
        <w:rPr>
          <w:rFonts w:hint="eastAsia" w:asciiTheme="majorEastAsia" w:hAnsiTheme="majorEastAsia" w:eastAsiaTheme="majorEastAsia" w:cstheme="majorEastAsia"/>
          <w:color w:val="000000"/>
          <w:sz w:val="24"/>
          <w:highlight w:val="none"/>
        </w:rPr>
        <w:t xml:space="preserve">.6.7如遇渣土抛洒污染路面等情况，中标单位应及时上报采购人，并做好照片资料，同时进行道路冲洗清理。   </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bCs/>
          <w:color w:val="000000"/>
          <w:sz w:val="24"/>
          <w:highlight w:val="none"/>
          <w:lang w:val="en-US" w:eastAsia="zh-CN"/>
        </w:rPr>
        <w:t>3</w:t>
      </w:r>
      <w:r>
        <w:rPr>
          <w:rFonts w:hint="eastAsia" w:asciiTheme="majorEastAsia" w:hAnsiTheme="majorEastAsia" w:eastAsiaTheme="majorEastAsia" w:cstheme="majorEastAsia"/>
          <w:bCs/>
          <w:color w:val="000000"/>
          <w:sz w:val="24"/>
          <w:highlight w:val="none"/>
        </w:rPr>
        <w:t>.6.8无新闻媒体曝光，对“12345”市长公开电话和有关受理中心及信访处相关问题，处理、回复及时到位。</w:t>
      </w:r>
      <w:r>
        <w:rPr>
          <w:rFonts w:hint="eastAsia" w:asciiTheme="majorEastAsia" w:hAnsiTheme="majorEastAsia" w:eastAsiaTheme="majorEastAsia" w:cstheme="majorEastAsia"/>
          <w:color w:val="000000"/>
          <w:sz w:val="24"/>
          <w:highlight w:val="none"/>
        </w:rPr>
        <w:t>加强管理，确保在国家、省、市、区的各项检查中不失责任分。</w:t>
      </w:r>
    </w:p>
    <w:p>
      <w:pPr>
        <w:tabs>
          <w:tab w:val="left" w:pos="851"/>
          <w:tab w:val="left" w:pos="993"/>
        </w:tabs>
        <w:snapToGrid w:val="0"/>
        <w:spacing w:line="360" w:lineRule="auto"/>
        <w:ind w:firstLine="482" w:firstLineChars="200"/>
        <w:rPr>
          <w:rFonts w:hint="eastAsia" w:asciiTheme="majorEastAsia" w:hAnsiTheme="majorEastAsia" w:eastAsiaTheme="majorEastAsia" w:cstheme="majorEastAsia"/>
          <w:b/>
          <w:bCs/>
          <w:color w:val="000000"/>
          <w:kern w:val="44"/>
          <w:sz w:val="24"/>
          <w:highlight w:val="none"/>
        </w:rPr>
      </w:pPr>
      <w:r>
        <w:rPr>
          <w:rFonts w:hint="eastAsia" w:asciiTheme="majorEastAsia" w:hAnsiTheme="majorEastAsia" w:eastAsiaTheme="majorEastAsia" w:cstheme="majorEastAsia"/>
          <w:b/>
          <w:bCs/>
          <w:color w:val="000000"/>
          <w:kern w:val="44"/>
          <w:sz w:val="24"/>
          <w:highlight w:val="none"/>
          <w:lang w:val="en-US" w:eastAsia="zh-CN"/>
        </w:rPr>
        <w:t>3.7.</w:t>
      </w:r>
      <w:r>
        <w:rPr>
          <w:rFonts w:hint="eastAsia" w:asciiTheme="majorEastAsia" w:hAnsiTheme="majorEastAsia" w:eastAsiaTheme="majorEastAsia" w:cstheme="majorEastAsia"/>
          <w:b/>
          <w:bCs/>
          <w:color w:val="000000"/>
          <w:kern w:val="44"/>
          <w:sz w:val="24"/>
          <w:highlight w:val="none"/>
        </w:rPr>
        <w:t>偷倒垃圾清运要求</w:t>
      </w:r>
    </w:p>
    <w:p>
      <w:pPr>
        <w:tabs>
          <w:tab w:val="left" w:pos="851"/>
          <w:tab w:val="left" w:pos="993"/>
        </w:tabs>
        <w:snapToGrid w:val="0"/>
        <w:spacing w:line="360" w:lineRule="auto"/>
        <w:ind w:firstLine="480" w:firstLineChars="200"/>
        <w:rPr>
          <w:rFonts w:hint="eastAsia" w:asciiTheme="majorEastAsia" w:hAnsiTheme="majorEastAsia" w:eastAsiaTheme="majorEastAsia" w:cstheme="majorEastAsia"/>
          <w:b/>
          <w:bCs/>
          <w:color w:val="000000"/>
          <w:kern w:val="44"/>
          <w:sz w:val="24"/>
          <w:highlight w:val="none"/>
        </w:rPr>
      </w:pPr>
      <w:r>
        <w:rPr>
          <w:rFonts w:hint="eastAsia" w:asciiTheme="majorEastAsia" w:hAnsiTheme="majorEastAsia" w:eastAsiaTheme="majorEastAsia" w:cstheme="majorEastAsia"/>
          <w:bCs/>
          <w:color w:val="000000"/>
          <w:kern w:val="0"/>
          <w:sz w:val="24"/>
          <w:highlight w:val="none"/>
          <w:lang w:val="en-US" w:eastAsia="zh-CN"/>
        </w:rPr>
        <w:t>3</w:t>
      </w:r>
      <w:r>
        <w:rPr>
          <w:rFonts w:hint="eastAsia" w:asciiTheme="majorEastAsia" w:hAnsiTheme="majorEastAsia" w:eastAsiaTheme="majorEastAsia" w:cstheme="majorEastAsia"/>
          <w:bCs/>
          <w:color w:val="000000"/>
          <w:kern w:val="0"/>
          <w:sz w:val="24"/>
          <w:highlight w:val="none"/>
        </w:rPr>
        <w:t>.</w:t>
      </w:r>
      <w:r>
        <w:rPr>
          <w:rFonts w:hint="eastAsia" w:asciiTheme="majorEastAsia" w:hAnsiTheme="majorEastAsia" w:eastAsiaTheme="majorEastAsia" w:cstheme="majorEastAsia"/>
          <w:bCs/>
          <w:color w:val="000000"/>
          <w:kern w:val="0"/>
          <w:sz w:val="24"/>
          <w:highlight w:val="none"/>
          <w:lang w:val="en-US" w:eastAsia="zh-CN"/>
        </w:rPr>
        <w:t>7.</w:t>
      </w:r>
      <w:r>
        <w:rPr>
          <w:rFonts w:hint="eastAsia" w:asciiTheme="majorEastAsia" w:hAnsiTheme="majorEastAsia" w:eastAsiaTheme="majorEastAsia" w:cstheme="majorEastAsia"/>
          <w:bCs/>
          <w:color w:val="000000"/>
          <w:kern w:val="0"/>
          <w:sz w:val="24"/>
          <w:highlight w:val="none"/>
        </w:rPr>
        <w:t>1服务内容：</w:t>
      </w:r>
      <w:r>
        <w:rPr>
          <w:rFonts w:hint="eastAsia" w:asciiTheme="majorEastAsia" w:hAnsiTheme="majorEastAsia" w:eastAsiaTheme="majorEastAsia" w:cstheme="majorEastAsia"/>
          <w:color w:val="000000"/>
          <w:sz w:val="24"/>
          <w:highlight w:val="none"/>
        </w:rPr>
        <w:t>主要为本项目采购人管养范围内偷倒的垃圾清运</w:t>
      </w:r>
      <w:r>
        <w:rPr>
          <w:rFonts w:hint="eastAsia" w:asciiTheme="majorEastAsia" w:hAnsiTheme="majorEastAsia" w:eastAsiaTheme="majorEastAsia" w:cstheme="majorEastAsia"/>
          <w:bCs/>
          <w:color w:val="000000"/>
          <w:sz w:val="24"/>
          <w:highlight w:val="none"/>
        </w:rPr>
        <w:t>工作，垃圾运至</w:t>
      </w:r>
      <w:r>
        <w:rPr>
          <w:rFonts w:hint="eastAsia" w:asciiTheme="majorEastAsia" w:hAnsiTheme="majorEastAsia" w:eastAsiaTheme="majorEastAsia" w:cstheme="majorEastAsia"/>
          <w:bCs/>
          <w:color w:val="000000"/>
          <w:sz w:val="24"/>
          <w:highlight w:val="none"/>
          <w:lang w:eastAsia="zh-CN"/>
        </w:rPr>
        <w:t>仓前街道指</w:t>
      </w:r>
      <w:r>
        <w:rPr>
          <w:rFonts w:hint="eastAsia" w:asciiTheme="majorEastAsia" w:hAnsiTheme="majorEastAsia" w:eastAsiaTheme="majorEastAsia" w:cstheme="majorEastAsia"/>
          <w:bCs/>
          <w:color w:val="000000"/>
          <w:sz w:val="24"/>
          <w:highlight w:val="none"/>
        </w:rPr>
        <w:t>定的消纳处置场所，相关费包含在本次招标内容中。</w:t>
      </w:r>
    </w:p>
    <w:p>
      <w:pPr>
        <w:snapToGrid w:val="0"/>
        <w:spacing w:line="360" w:lineRule="auto"/>
        <w:ind w:firstLine="480" w:firstLineChars="200"/>
        <w:rPr>
          <w:rFonts w:hint="eastAsia" w:asciiTheme="majorEastAsia" w:hAnsiTheme="majorEastAsia" w:eastAsiaTheme="majorEastAsia" w:cstheme="majorEastAsia"/>
          <w:bCs/>
          <w:color w:val="000000"/>
          <w:kern w:val="0"/>
          <w:sz w:val="24"/>
          <w:highlight w:val="none"/>
        </w:rPr>
      </w:pPr>
      <w:r>
        <w:rPr>
          <w:rFonts w:hint="eastAsia" w:asciiTheme="majorEastAsia" w:hAnsiTheme="majorEastAsia" w:eastAsiaTheme="majorEastAsia" w:cstheme="majorEastAsia"/>
          <w:bCs/>
          <w:color w:val="000000"/>
          <w:kern w:val="0"/>
          <w:sz w:val="24"/>
          <w:highlight w:val="none"/>
          <w:lang w:val="en-US" w:eastAsia="zh-CN"/>
        </w:rPr>
        <w:t>3</w:t>
      </w:r>
      <w:r>
        <w:rPr>
          <w:rFonts w:hint="eastAsia" w:asciiTheme="majorEastAsia" w:hAnsiTheme="majorEastAsia" w:eastAsiaTheme="majorEastAsia" w:cstheme="majorEastAsia"/>
          <w:bCs/>
          <w:color w:val="000000"/>
          <w:kern w:val="0"/>
          <w:sz w:val="24"/>
          <w:highlight w:val="none"/>
        </w:rPr>
        <w:t>.</w:t>
      </w:r>
      <w:r>
        <w:rPr>
          <w:rFonts w:hint="eastAsia" w:asciiTheme="majorEastAsia" w:hAnsiTheme="majorEastAsia" w:eastAsiaTheme="majorEastAsia" w:cstheme="majorEastAsia"/>
          <w:bCs/>
          <w:color w:val="000000"/>
          <w:kern w:val="0"/>
          <w:sz w:val="24"/>
          <w:highlight w:val="none"/>
          <w:lang w:val="en-US" w:eastAsia="zh-CN"/>
        </w:rPr>
        <w:t>7.</w:t>
      </w:r>
      <w:r>
        <w:rPr>
          <w:rFonts w:hint="eastAsia" w:asciiTheme="majorEastAsia" w:hAnsiTheme="majorEastAsia" w:eastAsiaTheme="majorEastAsia" w:cstheme="majorEastAsia"/>
          <w:bCs/>
          <w:color w:val="000000"/>
          <w:kern w:val="0"/>
          <w:sz w:val="24"/>
          <w:highlight w:val="none"/>
        </w:rPr>
        <w:t>2具体要求：</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kern w:val="0"/>
          <w:sz w:val="24"/>
          <w:highlight w:val="none"/>
        </w:rPr>
        <w:t>（1）在</w:t>
      </w:r>
      <w:r>
        <w:rPr>
          <w:rFonts w:hint="eastAsia" w:asciiTheme="majorEastAsia" w:hAnsiTheme="majorEastAsia" w:eastAsiaTheme="majorEastAsia" w:cstheme="majorEastAsia"/>
          <w:color w:val="000000"/>
          <w:sz w:val="24"/>
          <w:highlight w:val="none"/>
        </w:rPr>
        <w:t>服务期内，</w:t>
      </w:r>
      <w:r>
        <w:rPr>
          <w:rFonts w:hint="eastAsia" w:asciiTheme="majorEastAsia" w:hAnsiTheme="majorEastAsia" w:eastAsiaTheme="majorEastAsia" w:cstheme="majorEastAsia"/>
          <w:color w:val="000000"/>
          <w:kern w:val="0"/>
          <w:sz w:val="24"/>
          <w:highlight w:val="none"/>
        </w:rPr>
        <w:t>供应商应加强</w:t>
      </w:r>
      <w:r>
        <w:rPr>
          <w:rFonts w:hint="eastAsia" w:asciiTheme="majorEastAsia" w:hAnsiTheme="majorEastAsia" w:eastAsiaTheme="majorEastAsia" w:cstheme="majorEastAsia"/>
          <w:color w:val="000000"/>
          <w:sz w:val="24"/>
          <w:highlight w:val="none"/>
        </w:rPr>
        <w:t>所承包范围内防止垃圾偷倒的管理工作。如在所承包范围内发生偷倒，</w:t>
      </w:r>
      <w:r>
        <w:rPr>
          <w:rFonts w:hint="eastAsia" w:asciiTheme="majorEastAsia" w:hAnsiTheme="majorEastAsia" w:eastAsiaTheme="majorEastAsia" w:cstheme="majorEastAsia"/>
          <w:color w:val="000000"/>
          <w:kern w:val="0"/>
          <w:sz w:val="24"/>
          <w:highlight w:val="none"/>
        </w:rPr>
        <w:t>需完成</w:t>
      </w:r>
      <w:r>
        <w:rPr>
          <w:rFonts w:hint="eastAsia" w:asciiTheme="majorEastAsia" w:hAnsiTheme="majorEastAsia" w:eastAsiaTheme="majorEastAsia" w:cstheme="majorEastAsia"/>
          <w:color w:val="000000"/>
          <w:sz w:val="24"/>
          <w:highlight w:val="none"/>
        </w:rPr>
        <w:t>偷倒的垃圾清运</w:t>
      </w:r>
      <w:r>
        <w:rPr>
          <w:rFonts w:hint="eastAsia" w:asciiTheme="majorEastAsia" w:hAnsiTheme="majorEastAsia" w:eastAsiaTheme="majorEastAsia" w:cstheme="majorEastAsia"/>
          <w:bCs/>
          <w:color w:val="000000"/>
          <w:sz w:val="24"/>
          <w:highlight w:val="none"/>
        </w:rPr>
        <w:t>工作，</w:t>
      </w:r>
      <w:r>
        <w:rPr>
          <w:rFonts w:hint="eastAsia" w:asciiTheme="majorEastAsia" w:hAnsiTheme="majorEastAsia" w:eastAsiaTheme="majorEastAsia" w:cstheme="majorEastAsia"/>
          <w:color w:val="000000"/>
          <w:kern w:val="0"/>
          <w:sz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color w:val="000000"/>
          <w:kern w:val="0"/>
          <w:sz w:val="24"/>
          <w:highlight w:val="none"/>
        </w:rPr>
        <w:t>（2）车辆要求：本项目所需的作业车辆应具有有效的道路运输经营许可证，并到采购单位备案。</w:t>
      </w:r>
    </w:p>
    <w:p>
      <w:pPr>
        <w:snapToGrid w:val="0"/>
        <w:spacing w:line="360" w:lineRule="auto"/>
        <w:ind w:firstLine="480" w:firstLineChars="200"/>
        <w:rPr>
          <w:rFonts w:hint="eastAsia" w:asciiTheme="majorEastAsia" w:hAnsiTheme="majorEastAsia" w:eastAsiaTheme="majorEastAsia" w:cstheme="majorEastAsia"/>
          <w:color w:val="000000"/>
          <w:kern w:val="0"/>
          <w:sz w:val="24"/>
          <w:highlight w:val="none"/>
        </w:rPr>
      </w:pPr>
      <w:r>
        <w:rPr>
          <w:rFonts w:hint="eastAsia" w:asciiTheme="majorEastAsia" w:hAnsiTheme="majorEastAsia" w:eastAsiaTheme="majorEastAsia" w:cstheme="majorEastAsia"/>
          <w:bCs/>
          <w:color w:val="000000"/>
          <w:sz w:val="24"/>
          <w:highlight w:val="none"/>
        </w:rPr>
        <w:t>（3）</w:t>
      </w:r>
      <w:r>
        <w:rPr>
          <w:rFonts w:hint="eastAsia" w:asciiTheme="majorEastAsia" w:hAnsiTheme="majorEastAsia" w:eastAsiaTheme="majorEastAsia" w:cstheme="majorEastAsia"/>
          <w:color w:val="000000"/>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rPr>
      </w:pPr>
      <w:r>
        <w:rPr>
          <w:rFonts w:hint="eastAsia" w:asciiTheme="majorEastAsia" w:hAnsiTheme="majorEastAsia" w:eastAsiaTheme="majorEastAsia" w:cstheme="majorEastAsia"/>
          <w:color w:val="000000"/>
          <w:kern w:val="0"/>
          <w:sz w:val="24"/>
          <w:highlight w:val="none"/>
        </w:rPr>
        <w:t>（4）清理的时间要求：</w:t>
      </w:r>
      <w:r>
        <w:rPr>
          <w:rFonts w:hint="eastAsia" w:asciiTheme="majorEastAsia" w:hAnsiTheme="majorEastAsia" w:eastAsiaTheme="majorEastAsia" w:cstheme="majorEastAsia"/>
          <w:color w:val="000000"/>
          <w:kern w:val="0"/>
          <w:sz w:val="24"/>
          <w:highlight w:val="none"/>
          <w:u w:val="single"/>
        </w:rPr>
        <w:t>2小时之内清理</w:t>
      </w:r>
      <w:r>
        <w:rPr>
          <w:rFonts w:hint="eastAsia" w:asciiTheme="majorEastAsia" w:hAnsiTheme="majorEastAsia" w:eastAsiaTheme="majorEastAsia" w:cstheme="majorEastAsia"/>
          <w:color w:val="000000"/>
          <w:kern w:val="0"/>
          <w:sz w:val="24"/>
          <w:highlight w:val="none"/>
        </w:rPr>
        <w:t>。</w:t>
      </w:r>
    </w:p>
    <w:p>
      <w:pPr>
        <w:wordWrap/>
        <w:spacing w:line="500" w:lineRule="exact"/>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3.9.</w:t>
      </w:r>
      <w:r>
        <w:rPr>
          <w:rStyle w:val="968"/>
          <w:rFonts w:hint="eastAsia" w:asciiTheme="majorEastAsia" w:hAnsiTheme="majorEastAsia" w:eastAsiaTheme="majorEastAsia" w:cstheme="majorEastAsia"/>
          <w:b/>
          <w:bCs/>
          <w:i w:val="0"/>
          <w:caps w:val="0"/>
          <w:color w:val="auto"/>
          <w:spacing w:val="0"/>
          <w:w w:val="100"/>
          <w:kern w:val="2"/>
          <w:sz w:val="24"/>
          <w:szCs w:val="24"/>
          <w:highlight w:val="none"/>
          <w:lang w:val="en-US" w:eastAsia="zh-CN" w:bidi="ar-SA"/>
        </w:rPr>
        <w:t>绿化养护质量服务标准：</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具体服务质量标准根据《杭州市城区绿地养护质量标准》（杭园文[2003]42号）、《余杭区城市化管理范围内市政、绿化、保洁、保序分级分类及考核办法（试行）的通知》（余政办[2013]76号）及杭州市现行城市绿地养护质量标准等文件中规定的作业标准和要求执行，本采购项目按照绿化二级标准进行养护。</w:t>
      </w:r>
    </w:p>
    <w:p>
      <w:pPr>
        <w:snapToGrid/>
        <w:spacing w:before="0" w:beforeAutospacing="0" w:after="0" w:afterAutospacing="0" w:line="400" w:lineRule="atLeast"/>
        <w:ind w:firstLine="472" w:firstLineChars="196"/>
        <w:jc w:val="both"/>
        <w:textAlignment w:val="baseline"/>
        <w:rPr>
          <w:rStyle w:val="968"/>
          <w:rFonts w:hint="eastAsia" w:asciiTheme="majorEastAsia" w:hAnsiTheme="majorEastAsia" w:eastAsiaTheme="majorEastAsia" w:cstheme="majorEastAsia"/>
          <w:b/>
          <w:i w:val="0"/>
          <w:caps w:val="0"/>
          <w:color w:val="auto"/>
          <w:spacing w:val="0"/>
          <w:w w:val="100"/>
          <w:kern w:val="2"/>
          <w:sz w:val="24"/>
          <w:szCs w:val="24"/>
          <w:highlight w:val="none"/>
          <w:lang w:val="en-US" w:eastAsia="zh-CN" w:bidi="ar-SA"/>
        </w:rPr>
      </w:pPr>
      <w:r>
        <w:rPr>
          <w:rStyle w:val="968"/>
          <w:rFonts w:hint="eastAsia" w:asciiTheme="majorEastAsia" w:hAnsiTheme="majorEastAsia" w:eastAsiaTheme="majorEastAsia" w:cstheme="majorEastAsia"/>
          <w:b/>
          <w:i w:val="0"/>
          <w:caps w:val="0"/>
          <w:color w:val="auto"/>
          <w:spacing w:val="0"/>
          <w:w w:val="100"/>
          <w:kern w:val="2"/>
          <w:sz w:val="24"/>
          <w:szCs w:val="24"/>
          <w:highlight w:val="none"/>
          <w:lang w:val="en-US" w:eastAsia="zh-CN" w:bidi="ar-SA"/>
        </w:rPr>
        <w:t>3.9.1.道路绿化带养护标准</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总体标准：指道路绿化带养护的整体质量，内容有养护质量、树木存活率、设施维护、土肥标准、病虫害防治标准及管理标准。</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3.9.1.1.植物养护标准：按道路绿化带的立地条件，对植物进行特殊养护、精心养护，使植物健康生长，具有良好的道路景观。</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3.9.1.2.树木种植成活率标准：当年新栽植物成活率达95%以上，保存率98%以上，无缺株、死株。</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3.9.1.3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3.9.1.4.病虫害防治标准：提倡综合防治，病虫害应控制在以不影响观赏效果的危害程度之内。</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3.9.1.5.道路绿化带的具体养管标准。</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（1）道路绿化带景观要求。</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（2）采用修剪等特殊手法，控制植物高度，植物高度不得影响交通视线。</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（3）特殊地段的景观应按设计精心养护，形成有特色的植物景观。整形植物必须及时修剪保持形态，悬垂植物生长健壮，及时通过修剪去除枯死枝和调整高度及生长密度，整体效果良好。</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（4）花卉花期整齐，株行距适宜，无空秃、色彩效果好。</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（5）绿带必须无裸地，可种植地被植物或草坪。</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（6）绿带内无枯枝残叶、无杂草，整洁无垃圾；每天冲洗一次以上，植物叶面无积尘。</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（7）辅助设施（包括支撑物和悬挂容器）必须安全、完好、整洁、美观。</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（8）道路绿化带及悬垂挂箱冬季浇水应注意不要让水溢出，避免造成路面结冰。</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3.9.3.6.道路绿化带养护作业必须穿着有反光条的工作服，做到文明作业，尽量减少对行车的干扰。</w:t>
      </w:r>
    </w:p>
    <w:p>
      <w:pPr>
        <w:snapToGrid w:val="0"/>
        <w:spacing w:line="360" w:lineRule="auto"/>
        <w:ind w:firstLine="482"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
          <w:i w:val="0"/>
          <w:caps w:val="0"/>
          <w:color w:val="auto"/>
          <w:spacing w:val="0"/>
          <w:w w:val="100"/>
          <w:kern w:val="2"/>
          <w:sz w:val="24"/>
          <w:szCs w:val="24"/>
          <w:highlight w:val="none"/>
          <w:lang w:val="en-US" w:eastAsia="zh-CN" w:bidi="ar-SA"/>
        </w:rPr>
        <w:t>3.9.2.</w:t>
      </w:r>
      <w:r>
        <w:rPr>
          <w:rFonts w:hint="eastAsia" w:asciiTheme="majorEastAsia" w:hAnsiTheme="majorEastAsia" w:eastAsiaTheme="majorEastAsia" w:cstheme="majorEastAsia"/>
          <w:bCs/>
          <w:color w:val="000000"/>
          <w:sz w:val="24"/>
          <w:highlight w:val="none"/>
          <w:lang w:val="en-US" w:eastAsia="zh-CN"/>
        </w:rPr>
        <w:t>养护管理其他要求：</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（2）规范管理、文明作业、自觉接受采购人及其上级各部门领导的检查和社会监督，对出现的问题要及时整改。</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（6）道路绿化中标后，应给每一个道路绿化工作人员购买人身意外伤害保险；</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（7）加强绿化养护应急响应管理工作，具体要求参照《杭州市城区绿化防台树木支撑工作方案》。</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①制定灾害性天气应急预案，建立应急救灾队伍，将应急预案和人员名单上报采购人备案。</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②建立应急备货制，备货的内容有：抗旱、抗涝、抗台、抗寒、抗雪等物资（支撑钢管、毛竹、水泵、遮阴网、草包等），快速支撑钢管只能做为一部分应急物资储备，不是唯一的抗台应急物资。</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 xml:space="preserve">③遇灾害性天气，听从采购人统一指挥，及时组织人员夏季抗旱、抗台，冬季遇积雪必须及时组织人员进行抗雪。遇到树木斜倒时，根据采购人要求，做好清障扶正工作。 </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④做好防台树木支撑工作，在市气象台发出台风预警信号以后，立即做好树木支撑工作。</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（8）中标单位根据采购人通知要求，做好各类“迎检”和“创建”准备工作。</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（9）经过园林绿化管理部门批准的绿地内挖掘及占用绿地时，中标单位应予以积极配合，复种后的绿地应由中标单位负责正常养护。</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（10）绿化养护期内产生的各种的垃圾必须进入垃圾中转站，其处理产生费用由中标单位负责。</w:t>
      </w:r>
    </w:p>
    <w:p>
      <w:pPr>
        <w:snapToGrid w:val="0"/>
        <w:spacing w:line="360" w:lineRule="auto"/>
        <w:ind w:firstLine="480" w:firstLineChars="200"/>
        <w:jc w:val="left"/>
        <w:rPr>
          <w:rFonts w:hint="eastAsia" w:asciiTheme="majorEastAsia" w:hAnsiTheme="majorEastAsia" w:eastAsiaTheme="majorEastAsia" w:cstheme="majorEastAsia"/>
          <w:bCs/>
          <w:color w:val="000000"/>
          <w:sz w:val="24"/>
          <w:highlight w:val="none"/>
          <w:lang w:val="en-US" w:eastAsia="zh-CN"/>
        </w:rPr>
      </w:pPr>
      <w:r>
        <w:rPr>
          <w:rFonts w:hint="eastAsia" w:asciiTheme="majorEastAsia" w:hAnsiTheme="majorEastAsia" w:eastAsiaTheme="majorEastAsia" w:cstheme="majorEastAsia"/>
          <w:bCs/>
          <w:color w:val="000000"/>
          <w:sz w:val="24"/>
          <w:highlight w:val="none"/>
          <w:lang w:val="en-US" w:eastAsia="zh-CN"/>
        </w:rPr>
        <w:t>（11）中标单位在养护管理期间，由于养管不力，采购人有权终止合同，并由中标单位承担一切责任。</w:t>
      </w:r>
    </w:p>
    <w:p>
      <w:pPr>
        <w:numPr>
          <w:ilvl w:val="0"/>
          <w:numId w:val="0"/>
        </w:numPr>
        <w:wordWrap/>
        <w:adjustRightInd/>
        <w:snapToGrid/>
        <w:spacing w:line="500" w:lineRule="exact"/>
        <w:ind w:left="-420" w:leftChars="-200" w:firstLine="843" w:firstLineChars="350"/>
        <w:textAlignment w:val="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4"/>
          <w:highlight w:val="none"/>
          <w:lang w:val="en-US" w:eastAsia="zh-CN"/>
        </w:rPr>
        <w:t>4、市政养护招标范围及内容：</w:t>
      </w:r>
    </w:p>
    <w:p>
      <w:pPr>
        <w:pStyle w:val="3"/>
        <w:spacing w:beforeLines="0" w:afterLines="0"/>
        <w:ind w:firstLine="0"/>
        <w:jc w:val="center"/>
        <w:rPr>
          <w:rFonts w:hint="eastAsia" w:asciiTheme="majorEastAsia" w:hAnsiTheme="majorEastAsia" w:eastAsiaTheme="majorEastAsia" w:cstheme="majorEastAsia"/>
          <w:b/>
          <w:color w:val="auto"/>
          <w:sz w:val="28"/>
          <w:szCs w:val="21"/>
          <w:highlight w:val="none"/>
        </w:rPr>
      </w:pPr>
      <w:r>
        <w:rPr>
          <w:rFonts w:hint="eastAsia" w:asciiTheme="majorEastAsia" w:hAnsiTheme="majorEastAsia" w:eastAsiaTheme="majorEastAsia" w:cstheme="majorEastAsia"/>
          <w:b/>
          <w:color w:val="auto"/>
          <w:sz w:val="28"/>
          <w:szCs w:val="28"/>
          <w:highlight w:val="none"/>
          <w:lang w:val="en-US" w:eastAsia="zh-CN"/>
        </w:rPr>
        <w:t xml:space="preserve"> </w:t>
      </w:r>
      <w:r>
        <w:rPr>
          <w:rFonts w:hint="eastAsia" w:asciiTheme="majorEastAsia" w:hAnsiTheme="majorEastAsia" w:eastAsiaTheme="majorEastAsia" w:cstheme="majorEastAsia"/>
          <w:b/>
          <w:color w:val="auto"/>
          <w:sz w:val="28"/>
          <w:szCs w:val="28"/>
          <w:highlight w:val="none"/>
        </w:rPr>
        <w:t>仓前街道文一西路以</w:t>
      </w:r>
      <w:r>
        <w:rPr>
          <w:rFonts w:hint="eastAsia" w:asciiTheme="majorEastAsia" w:hAnsiTheme="majorEastAsia" w:eastAsiaTheme="majorEastAsia" w:cstheme="majorEastAsia"/>
          <w:b/>
          <w:color w:val="auto"/>
          <w:sz w:val="28"/>
          <w:szCs w:val="28"/>
          <w:highlight w:val="none"/>
          <w:lang w:eastAsia="zh-CN"/>
        </w:rPr>
        <w:t>南</w:t>
      </w:r>
      <w:r>
        <w:rPr>
          <w:rFonts w:hint="eastAsia" w:asciiTheme="majorEastAsia" w:hAnsiTheme="majorEastAsia" w:eastAsiaTheme="majorEastAsia" w:cstheme="majorEastAsia"/>
          <w:b/>
          <w:color w:val="auto"/>
          <w:sz w:val="28"/>
          <w:szCs w:val="28"/>
          <w:highlight w:val="none"/>
        </w:rPr>
        <w:t>区块市政养护明细表</w:t>
      </w:r>
    </w:p>
    <w:tbl>
      <w:tblPr>
        <w:tblStyle w:val="64"/>
        <w:tblW w:w="9495"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589"/>
        <w:gridCol w:w="1136"/>
        <w:gridCol w:w="1995"/>
        <w:gridCol w:w="1661"/>
        <w:gridCol w:w="1623"/>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序号 </w:t>
            </w:r>
          </w:p>
        </w:tc>
        <w:tc>
          <w:tcPr>
            <w:tcW w:w="5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养护等级</w:t>
            </w: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起止点</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长度(m)</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平均 </w:t>
            </w:r>
          </w:p>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宽度(m)</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道路及人行道面积</w:t>
            </w:r>
            <w:r>
              <w:rPr>
                <w:rFonts w:hint="eastAsia" w:asciiTheme="majorEastAsia" w:hAnsiTheme="majorEastAsia" w:eastAsiaTheme="majorEastAsia" w:cstheme="majorEastAsia"/>
                <w:color w:val="auto"/>
                <w:kern w:val="0"/>
                <w:sz w:val="21"/>
                <w:szCs w:val="21"/>
                <w:highlight w:val="none"/>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589" w:type="dxa"/>
            <w:vMerge w:val="restart"/>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二级市政</w:t>
            </w:r>
          </w:p>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0"/>
                <w:szCs w:val="20"/>
                <w:highlight w:val="none"/>
              </w:rPr>
              <w:t>养护标准</w:t>
            </w: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爱橙街-文二西路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546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创景路</w:t>
            </w:r>
          </w:p>
        </w:tc>
        <w:tc>
          <w:tcPr>
            <w:tcW w:w="199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文一西路-葛巷路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735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Theme="majorEastAsia" w:hAnsiTheme="majorEastAsia" w:eastAsiaTheme="majorEastAsia" w:cstheme="majorEastAsia"/>
                <w:color w:val="auto"/>
                <w:sz w:val="21"/>
                <w:szCs w:val="21"/>
                <w:highlight w:val="none"/>
              </w:rPr>
            </w:pPr>
          </w:p>
        </w:tc>
        <w:tc>
          <w:tcPr>
            <w:tcW w:w="199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葛巷路-文二西路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150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文一西路-文二西路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966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万和路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1300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29530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颐和路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绿汀路-科凯路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245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爱橙街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万和路-绿汀路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580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36</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爱橙街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1944.3</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56384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思凯路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文一西路-葛巷路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671</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18957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葛巷路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绿汀路-思凯路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1691.7</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永兴路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创明路-闲林港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736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14028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良上线</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文二西路-万和路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1146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627" w:type="dxa"/>
            <w:gridSpan w:val="6"/>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合计</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auto"/>
                <w:kern w:val="0"/>
                <w:sz w:val="21"/>
                <w:szCs w:val="21"/>
                <w:highlight w:val="none"/>
              </w:rPr>
              <w:t>275581</w:t>
            </w:r>
          </w:p>
        </w:tc>
      </w:tr>
    </w:tbl>
    <w:p>
      <w:pPr>
        <w:tabs>
          <w:tab w:val="left" w:pos="8400"/>
        </w:tabs>
        <w:spacing w:line="440" w:lineRule="exact"/>
        <w:ind w:firstLine="0" w:firstLineChars="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注：</w:t>
      </w:r>
      <w:r>
        <w:rPr>
          <w:rFonts w:hint="eastAsia" w:asciiTheme="majorEastAsia" w:hAnsiTheme="majorEastAsia" w:eastAsiaTheme="majorEastAsia" w:cstheme="majorEastAsia"/>
          <w:b/>
          <w:bCs/>
          <w:color w:val="auto"/>
          <w:sz w:val="24"/>
          <w:highlight w:val="none"/>
          <w:lang w:val="en-US" w:eastAsia="zh-CN"/>
        </w:rPr>
        <w:t>市政养护</w:t>
      </w:r>
      <w:r>
        <w:rPr>
          <w:rFonts w:hint="eastAsia" w:asciiTheme="majorEastAsia" w:hAnsiTheme="majorEastAsia" w:eastAsiaTheme="majorEastAsia" w:cstheme="majorEastAsia"/>
          <w:b/>
          <w:bCs/>
          <w:color w:val="auto"/>
          <w:sz w:val="24"/>
          <w:highlight w:val="none"/>
          <w:lang w:val="zh-CN"/>
        </w:rPr>
        <w:t>采用费率招标</w:t>
      </w:r>
      <w:r>
        <w:rPr>
          <w:rFonts w:hint="eastAsia" w:asciiTheme="majorEastAsia" w:hAnsiTheme="majorEastAsia" w:eastAsiaTheme="majorEastAsia" w:cstheme="majorEastAsia"/>
          <w:b/>
          <w:bCs/>
          <w:color w:val="auto"/>
          <w:sz w:val="24"/>
          <w:highlight w:val="none"/>
          <w:lang w:val="en-US" w:eastAsia="zh-CN"/>
        </w:rPr>
        <w:t>(小数点后保留两位小数)</w:t>
      </w:r>
      <w:r>
        <w:rPr>
          <w:rFonts w:hint="eastAsia" w:asciiTheme="majorEastAsia" w:hAnsiTheme="majorEastAsia" w:eastAsiaTheme="majorEastAsia" w:cstheme="majorEastAsia"/>
          <w:b/>
          <w:bCs/>
          <w:color w:val="auto"/>
          <w:sz w:val="24"/>
          <w:highlight w:val="none"/>
          <w:lang w:val="zh-CN"/>
        </w:rPr>
        <w:t>，投标报价（费率）包括人工费、材料费、机械使用费、管理、利润、规费、税金等所有相关费用；</w:t>
      </w:r>
    </w:p>
    <w:p>
      <w:pPr>
        <w:keepLines w:val="0"/>
        <w:pageBreakBefore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b/>
          <w:bCs/>
          <w:snapToGrid w:val="0"/>
          <w:color w:val="auto"/>
          <w:kern w:val="0"/>
          <w:sz w:val="24"/>
          <w:highlight w:val="none"/>
          <w:lang w:eastAsia="zh-CN"/>
        </w:rPr>
      </w:pPr>
      <w:r>
        <w:rPr>
          <w:rFonts w:hint="eastAsia" w:asciiTheme="majorEastAsia" w:hAnsiTheme="majorEastAsia" w:eastAsiaTheme="majorEastAsia" w:cstheme="majorEastAsia"/>
          <w:b/>
          <w:bCs w:val="0"/>
          <w:color w:val="000000"/>
          <w:sz w:val="24"/>
          <w:szCs w:val="24"/>
          <w:highlight w:val="none"/>
          <w:lang w:val="en-US" w:eastAsia="zh-CN"/>
        </w:rPr>
        <w:t>4.1</w:t>
      </w:r>
      <w:r>
        <w:rPr>
          <w:rFonts w:hint="eastAsia" w:asciiTheme="majorEastAsia" w:hAnsiTheme="majorEastAsia" w:eastAsiaTheme="majorEastAsia" w:cstheme="majorEastAsia"/>
          <w:b/>
          <w:bCs/>
          <w:snapToGrid w:val="0"/>
          <w:color w:val="auto"/>
          <w:kern w:val="0"/>
          <w:sz w:val="24"/>
          <w:highlight w:val="none"/>
        </w:rPr>
        <w:t>养护内容</w:t>
      </w:r>
      <w:r>
        <w:rPr>
          <w:rFonts w:hint="eastAsia" w:asciiTheme="majorEastAsia" w:hAnsiTheme="majorEastAsia" w:eastAsiaTheme="majorEastAsia" w:cstheme="majorEastAsia"/>
          <w:b/>
          <w:bCs/>
          <w:snapToGrid w:val="0"/>
          <w:color w:val="auto"/>
          <w:kern w:val="0"/>
          <w:sz w:val="24"/>
          <w:highlight w:val="none"/>
          <w:lang w:eastAsia="zh-CN"/>
        </w:rPr>
        <w:t>：</w:t>
      </w:r>
    </w:p>
    <w:p>
      <w:pPr>
        <w:pStyle w:val="2"/>
        <w:ind w:left="0" w:leftChars="0" w:firstLine="0" w:firstLineChars="0"/>
        <w:rPr>
          <w:rFonts w:hint="eastAsia" w:asciiTheme="majorEastAsia" w:hAnsiTheme="majorEastAsia" w:eastAsiaTheme="majorEastAsia" w:cstheme="majorEastAsia"/>
          <w:highlight w:val="none"/>
          <w:lang w:val="en-US" w:eastAsia="zh-CN"/>
        </w:rPr>
      </w:pP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1、范围内的破损道路、侧石、人行道的维修及养护；</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2、缺失、破损窨井盖的更换与安装及养护；</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3、市政雨水管道、雨水检井等设施养护、市政排水管道及窨井淤泥清理外运及管道CCTV检测、检查井检修、雨水管道的疏通；并制作仓前街道城区雨水管道详细档案；</w:t>
      </w:r>
    </w:p>
    <w:p>
      <w:pPr>
        <w:snapToGrid w:val="0"/>
        <w:spacing w:line="360" w:lineRule="auto"/>
        <w:ind w:firstLine="480" w:firstLineChars="200"/>
        <w:jc w:val="left"/>
        <w:rPr>
          <w:rFonts w:hint="eastAsia" w:asciiTheme="majorEastAsia" w:hAnsiTheme="majorEastAsia" w:eastAsiaTheme="majorEastAsia" w:cstheme="majorEastAsia"/>
          <w:b/>
          <w:bCs w:val="0"/>
          <w:color w:val="000000"/>
          <w:sz w:val="24"/>
          <w:szCs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4、甲方委托的其它市政设施维修、管养工作。</w:t>
      </w:r>
    </w:p>
    <w:p>
      <w:pPr>
        <w:keepLines w:val="0"/>
        <w:pageBreakBefore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bCs w:val="0"/>
          <w:color w:val="000000"/>
          <w:sz w:val="24"/>
          <w:szCs w:val="24"/>
          <w:highlight w:val="none"/>
          <w:lang w:val="en-US" w:eastAsia="zh-CN"/>
        </w:rPr>
        <w:t>4.2</w:t>
      </w:r>
      <w:r>
        <w:rPr>
          <w:rFonts w:hint="eastAsia" w:asciiTheme="majorEastAsia" w:hAnsiTheme="majorEastAsia" w:eastAsiaTheme="majorEastAsia" w:cstheme="majorEastAsia"/>
          <w:b/>
          <w:bCs w:val="0"/>
          <w:color w:val="000000"/>
          <w:sz w:val="24"/>
          <w:szCs w:val="24"/>
          <w:highlight w:val="none"/>
        </w:rPr>
        <w:t>二级市政设施养护标准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路面养护标准：路面平整无裂缝，无坑洼、沉陷、堆积物；沥青路面线裂缝小于0.5cm；网裂、碎裂面积小于0.1㎡；沥青路面车辙、沉陷、拥包面积小于0.1㎡；沥青路面剥落、坑槽、啃边面积小于0.1㎡。</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人行道养护标准：人行道板铺砌平整，牢固稳定；侧石、平石整齐稳固，线型顺直；裂缝长度小于3m，宽度小于5mm；人行道下沉或拱起变形小于20mm，面积小于1㎡；人行道铺装材料统一，砌块及平侧石松动破碎面积小于0.1㎡。</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排水设施养护标准：排水设施完好，无阻水物，泄水孔畅通，无积水；排水管道通畅，积泥深度不超过1/3管径；雨水口蓖子不得高于路面影响进水；各类管线井框固定平稳，井盖与井框吻合，无破裂、缺失现象。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城市桥梁设施养护标准：桥面平整，无坑洞、波浪；泄水孔无堵塞、损坏；伸缩缝无松动、破损；人行道、栏杆等设施无断裂；翼墙、侧墙无下沉变形；墩台与基础无滑动倾斜；支座完好，无锈蚀、脱位；钢梁构件无扭曲变形、油漆层无起皮脱落、腐蚀生锈等情况。</w:t>
      </w:r>
    </w:p>
    <w:p>
      <w:pPr>
        <w:pStyle w:val="2"/>
        <w:spacing w:beforeLines="0" w:afterLines="0"/>
        <w:rPr>
          <w:rFonts w:hint="eastAsia" w:asciiTheme="majorEastAsia" w:hAnsiTheme="majorEastAsia" w:eastAsiaTheme="majorEastAsia" w:cstheme="majorEastAsia"/>
          <w:b/>
          <w:color w:val="auto"/>
          <w:sz w:val="21"/>
          <w:szCs w:val="21"/>
          <w:highlight w:val="none"/>
          <w:lang w:eastAsia="zh-CN"/>
        </w:rPr>
      </w:pPr>
    </w:p>
    <w:p>
      <w:pPr>
        <w:spacing w:beforeLines="0" w:afterLines="0"/>
        <w:jc w:val="both"/>
        <w:rPr>
          <w:rFonts w:hint="eastAsia" w:asciiTheme="majorEastAsia" w:hAnsiTheme="majorEastAsia" w:eastAsiaTheme="majorEastAsia" w:cstheme="majorEastAsia"/>
          <w:b/>
          <w:color w:val="auto"/>
          <w:kern w:val="0"/>
          <w:sz w:val="30"/>
          <w:szCs w:val="30"/>
          <w:highlight w:val="none"/>
          <w:lang w:val="en-US" w:eastAsia="zh-CN"/>
        </w:rPr>
      </w:pPr>
      <w:r>
        <w:rPr>
          <w:rFonts w:hint="eastAsia" w:asciiTheme="majorEastAsia" w:hAnsiTheme="majorEastAsia" w:eastAsiaTheme="majorEastAsia" w:cstheme="majorEastAsia"/>
          <w:b/>
          <w:color w:val="auto"/>
          <w:sz w:val="24"/>
          <w:highlight w:val="none"/>
          <w:lang w:val="en-US" w:eastAsia="zh-CN"/>
        </w:rPr>
        <w:t>5、时花养护招标范围及内容：</w:t>
      </w:r>
      <w:r>
        <w:rPr>
          <w:rFonts w:hint="eastAsia" w:asciiTheme="majorEastAsia" w:hAnsiTheme="majorEastAsia" w:eastAsiaTheme="majorEastAsia" w:cstheme="majorEastAsia"/>
          <w:b/>
          <w:color w:val="auto"/>
          <w:kern w:val="0"/>
          <w:sz w:val="30"/>
          <w:szCs w:val="30"/>
          <w:highlight w:val="none"/>
          <w:lang w:val="en-US" w:eastAsia="zh-CN"/>
        </w:rPr>
        <w:t xml:space="preserve"> </w:t>
      </w:r>
    </w:p>
    <w:p>
      <w:pPr>
        <w:jc w:val="center"/>
        <w:rPr>
          <w:rFonts w:hint="eastAsia" w:asciiTheme="majorEastAsia" w:hAnsiTheme="majorEastAsia" w:eastAsiaTheme="majorEastAsia" w:cstheme="majorEastAsia"/>
          <w:b/>
          <w:color w:val="auto"/>
          <w:kern w:val="0"/>
          <w:sz w:val="30"/>
          <w:szCs w:val="30"/>
          <w:highlight w:val="none"/>
        </w:rPr>
      </w:pPr>
    </w:p>
    <w:p>
      <w:pPr>
        <w:jc w:val="center"/>
        <w:rPr>
          <w:rFonts w:hint="eastAsia"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color w:val="auto"/>
          <w:kern w:val="0"/>
          <w:sz w:val="30"/>
          <w:szCs w:val="30"/>
          <w:highlight w:val="none"/>
        </w:rPr>
        <w:t>仓前街道文一西路以南区块时花明细表</w:t>
      </w:r>
    </w:p>
    <w:tbl>
      <w:tblPr>
        <w:tblStyle w:val="64"/>
        <w:tblW w:w="0" w:type="auto"/>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4040"/>
        <w:gridCol w:w="973"/>
        <w:gridCol w:w="973"/>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序号</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地址</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名称</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面积</w:t>
            </w:r>
            <w:r>
              <w:rPr>
                <w:rFonts w:hint="eastAsia" w:asciiTheme="majorEastAsia" w:hAnsiTheme="majorEastAsia" w:eastAsiaTheme="majorEastAsia" w:cstheme="majorEastAsia"/>
                <w:color w:val="auto"/>
                <w:kern w:val="0"/>
                <w:sz w:val="21"/>
                <w:highlight w:val="none"/>
              </w:rPr>
              <w:t>m2</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b/>
                <w:color w:val="auto"/>
                <w:kern w:val="0"/>
                <w:sz w:val="21"/>
                <w:highlight w:val="none"/>
              </w:rPr>
            </w:pPr>
            <w:r>
              <w:rPr>
                <w:rFonts w:hint="eastAsia" w:asciiTheme="majorEastAsia" w:hAnsiTheme="majorEastAsia" w:eastAsiaTheme="majorEastAsia" w:cstheme="majorEastAsia"/>
                <w:b/>
                <w:color w:val="auto"/>
                <w:kern w:val="0"/>
                <w:sz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1</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舒心路（爱橙街-文二西路）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49</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2</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创景路（葛巷路-文二西路）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43</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3</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景兴路（文一西路-文二西路）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40</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6" w:type="dxa"/>
            <w:tcBorders>
              <w:top w:val="nil"/>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合计</w:t>
            </w:r>
          </w:p>
        </w:tc>
        <w:tc>
          <w:tcPr>
            <w:tcW w:w="4040" w:type="dxa"/>
            <w:tcBorders>
              <w:top w:val="nil"/>
              <w:left w:val="single" w:color="000000" w:sz="4" w:space="0"/>
              <w:bottom w:val="single" w:color="000000" w:sz="4" w:space="0"/>
              <w:right w:val="single" w:color="000000" w:sz="4" w:space="0"/>
              <w:tl2br w:val="nil"/>
              <w:tr2bl w:val="nil"/>
            </w:tcBorders>
            <w:noWrap w:val="0"/>
            <w:vAlign w:val="center"/>
          </w:tcPr>
          <w:p>
            <w:pPr>
              <w:rPr>
                <w:rFonts w:hint="eastAsia" w:asciiTheme="majorEastAsia" w:hAnsiTheme="majorEastAsia" w:eastAsiaTheme="majorEastAsia" w:cstheme="majorEastAsia"/>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rPr>
                <w:rFonts w:hint="eastAsia" w:asciiTheme="majorEastAsia" w:hAnsiTheme="majorEastAsia" w:eastAsiaTheme="majorEastAsia" w:cstheme="majorEastAsia"/>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132</w:t>
            </w:r>
          </w:p>
        </w:tc>
        <w:tc>
          <w:tcPr>
            <w:tcW w:w="2380" w:type="dxa"/>
            <w:tcBorders>
              <w:top w:val="nil"/>
              <w:left w:val="single" w:color="000000" w:sz="4" w:space="0"/>
              <w:bottom w:val="single" w:color="000000" w:sz="4" w:space="0"/>
              <w:right w:val="single" w:color="000000" w:sz="4" w:space="0"/>
              <w:tl2br w:val="nil"/>
              <w:tr2bl w:val="nil"/>
            </w:tcBorders>
            <w:noWrap w:val="0"/>
            <w:vAlign w:val="center"/>
          </w:tcPr>
          <w:p>
            <w:pPr>
              <w:rPr>
                <w:rFonts w:hint="eastAsia" w:asciiTheme="majorEastAsia" w:hAnsiTheme="majorEastAsia" w:eastAsiaTheme="majorEastAsia" w:cstheme="majorEastAsia"/>
                <w:color w:val="auto"/>
                <w:sz w:val="21"/>
                <w:highlight w:val="none"/>
              </w:rPr>
            </w:pPr>
          </w:p>
        </w:tc>
      </w:tr>
    </w:tbl>
    <w:p>
      <w:pPr>
        <w:wordWrap/>
        <w:spacing w:line="500" w:lineRule="exact"/>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5.3时花花坛的养护标准：</w:t>
      </w:r>
    </w:p>
    <w:p>
      <w:pPr>
        <w:pStyle w:val="82"/>
        <w:rPr>
          <w:rFonts w:hint="eastAsia" w:asciiTheme="majorEastAsia" w:hAnsiTheme="majorEastAsia" w:eastAsiaTheme="majorEastAsia" w:cstheme="majorEastAsia"/>
          <w:highlight w:val="none"/>
          <w:lang w:val="en-US" w:eastAsia="zh-CN"/>
        </w:rPr>
      </w:pP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（1）布置效果：按设计精心养护，有全年用花计划，做到四季有花，花期整齐，图案美观，布置效果良好。</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（2）花卉生长：花卉植株生长健壮，花色艳丽，始花期方可上花坛种植，株行距适宜，不露底土。无缺株倒伏，无枯枝残花，无杂草垃圾。</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5.4参照《杭州市城区花坛、花境养护管理规定（试行）》，加强对花卉的养护管理。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 xml:space="preserve">5.5时花更换全年至少为六次，在每一次更换时必须要将时花品种、数量（时花种植每平方不得少于49株、中盆）方案事先向招标方报备，由招标方确定种植方案，否则将作无更换时花处理，种后由招标方现场验收签字确定。 </w:t>
      </w:r>
    </w:p>
    <w:p>
      <w:pPr>
        <w:spacing w:beforeLines="0" w:afterLines="0"/>
        <w:jc w:val="both"/>
        <w:rPr>
          <w:rFonts w:hint="eastAsia" w:asciiTheme="majorEastAsia" w:hAnsiTheme="majorEastAsia" w:eastAsiaTheme="majorEastAsia" w:cstheme="majorEastAsia"/>
          <w:b/>
          <w:color w:val="auto"/>
          <w:sz w:val="24"/>
          <w:highlight w:val="none"/>
          <w:lang w:val="en-US" w:eastAsia="zh-CN"/>
        </w:rPr>
      </w:pPr>
    </w:p>
    <w:p>
      <w:pPr>
        <w:pStyle w:val="2"/>
        <w:rPr>
          <w:rFonts w:hint="eastAsia" w:asciiTheme="majorEastAsia" w:hAnsiTheme="majorEastAsia" w:eastAsiaTheme="majorEastAsia" w:cstheme="majorEastAsia"/>
          <w:highlight w:val="none"/>
          <w:lang w:val="en-US" w:eastAsia="zh-CN"/>
        </w:rPr>
      </w:pPr>
    </w:p>
    <w:p>
      <w:pPr>
        <w:spacing w:beforeLines="0" w:afterLines="0"/>
        <w:jc w:val="both"/>
        <w:rPr>
          <w:rFonts w:hint="eastAsia" w:asciiTheme="majorEastAsia" w:hAnsiTheme="majorEastAsia" w:eastAsiaTheme="majorEastAsia" w:cstheme="majorEastAsia"/>
          <w:b/>
          <w:color w:val="auto"/>
          <w:kern w:val="0"/>
          <w:sz w:val="30"/>
          <w:szCs w:val="30"/>
          <w:highlight w:val="none"/>
          <w:lang w:val="en-US" w:eastAsia="zh-CN"/>
        </w:rPr>
      </w:pPr>
      <w:r>
        <w:rPr>
          <w:rFonts w:hint="eastAsia" w:asciiTheme="majorEastAsia" w:hAnsiTheme="majorEastAsia" w:eastAsiaTheme="majorEastAsia" w:cstheme="majorEastAsia"/>
          <w:b/>
          <w:color w:val="auto"/>
          <w:sz w:val="24"/>
          <w:highlight w:val="none"/>
          <w:lang w:val="en-US" w:eastAsia="zh-CN"/>
        </w:rPr>
        <w:t>6、公厕保洁招标范围及内容：</w:t>
      </w:r>
      <w:r>
        <w:rPr>
          <w:rFonts w:hint="eastAsia" w:asciiTheme="majorEastAsia" w:hAnsiTheme="majorEastAsia" w:eastAsiaTheme="majorEastAsia" w:cstheme="majorEastAsia"/>
          <w:b/>
          <w:color w:val="auto"/>
          <w:kern w:val="0"/>
          <w:sz w:val="30"/>
          <w:szCs w:val="30"/>
          <w:highlight w:val="none"/>
          <w:lang w:val="en-US" w:eastAsia="zh-CN"/>
        </w:rPr>
        <w:t xml:space="preserve"> </w:t>
      </w:r>
    </w:p>
    <w:p>
      <w:pPr>
        <w:spacing w:beforeLines="0" w:afterLines="0"/>
        <w:jc w:val="center"/>
        <w:rPr>
          <w:rFonts w:hint="eastAsia" w:asciiTheme="majorEastAsia" w:hAnsiTheme="majorEastAsia" w:eastAsiaTheme="majorEastAsia" w:cstheme="majorEastAsia"/>
          <w:b/>
          <w:color w:val="auto"/>
          <w:kern w:val="0"/>
          <w:sz w:val="30"/>
          <w:szCs w:val="30"/>
          <w:highlight w:val="none"/>
        </w:rPr>
      </w:pPr>
    </w:p>
    <w:p>
      <w:pPr>
        <w:jc w:val="center"/>
        <w:rPr>
          <w:rFonts w:hint="eastAsia"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color w:val="auto"/>
          <w:kern w:val="0"/>
          <w:sz w:val="30"/>
          <w:szCs w:val="30"/>
          <w:highlight w:val="none"/>
        </w:rPr>
        <w:t>仓前街道文一西路以南区块公厕保洁明细表</w:t>
      </w:r>
    </w:p>
    <w:tbl>
      <w:tblPr>
        <w:tblStyle w:val="64"/>
        <w:tblpPr w:leftFromText="180" w:rightFromText="180" w:vertAnchor="text" w:horzAnchor="page" w:tblpX="1404" w:tblpY="259"/>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023"/>
        <w:gridCol w:w="195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序号</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公厕名称</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类别</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时间（</w:t>
            </w:r>
            <w:r>
              <w:rPr>
                <w:rFonts w:hint="eastAsia" w:asciiTheme="majorEastAsia" w:hAnsiTheme="majorEastAsia" w:eastAsiaTheme="majorEastAsia" w:cstheme="majorEastAsia"/>
                <w:b/>
                <w:color w:val="auto"/>
                <w:kern w:val="0"/>
                <w:sz w:val="24"/>
                <w:szCs w:val="24"/>
                <w:highlight w:val="none"/>
                <w:lang w:eastAsia="zh-CN"/>
              </w:rPr>
              <w:t>年</w:t>
            </w:r>
            <w:r>
              <w:rPr>
                <w:rFonts w:hint="eastAsia" w:asciiTheme="majorEastAsia" w:hAnsiTheme="majorEastAsia" w:eastAsiaTheme="majorEastAsia" w:cstheme="majorEastAsia"/>
                <w:b/>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何过港二号公厕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tLeast"/>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景兴路公厕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汪桥港公厕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何过港三号公厕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p>
        </w:tc>
      </w:tr>
    </w:tbl>
    <w:p>
      <w:pPr>
        <w:rPr>
          <w:rFonts w:hint="eastAsia" w:asciiTheme="majorEastAsia" w:hAnsiTheme="majorEastAsia" w:eastAsiaTheme="majorEastAsia" w:cstheme="majorEastAsia"/>
          <w:sz w:val="21"/>
          <w:szCs w:val="24"/>
          <w:highlight w:val="none"/>
        </w:rPr>
      </w:pPr>
    </w:p>
    <w:p>
      <w:pPr>
        <w:keepLines w:val="0"/>
        <w:pageBreakBefore w:val="0"/>
        <w:kinsoku/>
        <w:wordWrap/>
        <w:overflowPunct/>
        <w:topLinePunct w:val="0"/>
        <w:autoSpaceDE/>
        <w:autoSpaceDN/>
        <w:bidi w:val="0"/>
        <w:adjustRightInd/>
        <w:snapToGrid/>
        <w:spacing w:line="600" w:lineRule="atLeast"/>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val="en-US" w:eastAsia="zh-CN"/>
        </w:rPr>
        <w:t>6.1</w:t>
      </w:r>
      <w:r>
        <w:rPr>
          <w:rFonts w:hint="eastAsia" w:asciiTheme="majorEastAsia" w:hAnsiTheme="majorEastAsia" w:eastAsiaTheme="majorEastAsia" w:cstheme="majorEastAsia"/>
          <w:b/>
          <w:bCs/>
          <w:color w:val="auto"/>
          <w:sz w:val="24"/>
          <w:szCs w:val="24"/>
          <w:highlight w:val="none"/>
        </w:rPr>
        <w:t>公厕管理质量要求和管理时间</w:t>
      </w:r>
    </w:p>
    <w:p>
      <w:pPr>
        <w:pStyle w:val="82"/>
        <w:rPr>
          <w:rFonts w:hint="eastAsia" w:asciiTheme="majorEastAsia" w:hAnsiTheme="majorEastAsia" w:eastAsiaTheme="majorEastAsia" w:cstheme="majorEastAsia"/>
          <w:highlight w:val="none"/>
        </w:rPr>
      </w:pP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6.1.1、管理人员和开放时间要求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6.1.1.1现有公厕 4座，需配备保洁人员不少于8人。标准公厕4座，16小时保洁，人员不少8人，公厕实行免费开放，不得计费，且公厕内不得出现任何经营性行为；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6.1.1.2公厕内失物应交还失主，未见失主的应交公处理；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6.1.1.3工作人员要尊重游客和上厕人员，不得与其发生冲突；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6.1.1.4公厕的管理制度及保洁制度按规定公示；</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6.1.1.5公厕内所产生的垃圾必须每天运到指定的垃圾中转站进行处理。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6.1.2、公厕内设施的维护要求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6.1.2.1公厕内设施出现破坏的，承包方要组织维修人员在2日内完成修复或更换；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6.1.2.2供水、供电、排水、通风等设备完好，有效保证使用，除险问题的必须12小时以内修复；</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6.1.2.3墙壁、地面、隔断板、洗手台、门窗、便器、开关、手柄、门锁等设施损坏的必须要在两天内修复或更换；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6.1.2.4公厕内设置的标志保持清洁、完整、规范如出现破损的，必须在2小时以内修复或更换。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6.1.3、清掏公厕（包括化粪池）要求，每年清理化粪池不少于2次（6月和12月各一次）。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6.1.3.1随时清掏粪便不得外溢；</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6.1.3.2清掏时不得泄漏、遗撒；</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6.1.3.3清掏的废物承包方应按照规定运往粪便无害化处理部门进行无害化处理，并向甲方出示有关无害化处理单据证明，不得乱排乱倒。</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6.1.4、公厕保洁要求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6.1.4.1地面保洁无污物，清洗冲刷地面时应设置国家规定的防滑志；</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6.1.4.2墙壁、门窗、隔断板等整洁无乱涂乱画等污迹物；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6.1.4.3便器及时冲刷，无粪迹、尿迹和其他污物；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6.1.4.4定时喷洒灭蚊蝇药物，做到随有随灭；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6.1.4.5纸篓无污迹、无隔夜垃圾；</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6.1.4.6空气流通无臭味；</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6.1.4.7厕所设施和工具摆放有序，干净整洁；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6.1.4.8按照规定时间、地点和方式倾倒废物；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6.1.4.9外墙屋顶及卫生负责区内环境整洁无杂物。</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6.1.5、人员要求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6.1.5.1人员必须身体健康、年龄男性须小于60周岁，女性须小于55周岁；</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6.1.5.2工作人员上岗前必须经过培训；</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6.1.6、机械设备要求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6.1.6.1投标单位自行解决作业工具、设备及保洁用品。车辆产生的养路费、油费、水费、维护费等一切费用由投标单位自理。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6.1.7、台帐资料管理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6.1.7.1中标单位年度、季度、月度有报表、工作计划，年终有总结；</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6.1.7.2中标单位与主管单位有工作联系单制度和工作落实情况记录；</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6.1.7.3中标单位本着以保证环卫保洁管理项目达到优良的标准进行管理，应建立系统、健全的业务管理制度和标准作业规范，加强对作业队伍和作业机械的管理，分工明确，认真落实质量岗位责任制，各项基础设施台帐资料齐全，真实可信，并如实上报；</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6.1.7.4中标单位要建立巡查制度，完善巡查日报，建立月报制度。</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6.1.8、组织管理</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6.1.8.1环卫保洁工作由街道环卫所统一管理，保洁经费纳入财政预算。应制定相关管理制度，负责日常监管和年度考核等工作；</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6.1.8.2中标单位应强化内部作业和管理制度，加强对内部人员的安全和责任教育，建立完善的作业和巡查登记制度，强化责任考核和整改制度，自觉接受政府、媒体和社会团体的监督；</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6.1.8.3各社区、企事业和个人对环卫保洁工作负有监管责任。</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6.1.9、其他</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6.1.9.1承包方必须按照杭州市地方标准规范〈公共厕所保洁与服务规范〉DB3301/T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和本招标文件进行作业。如在合同期内，行业主管部门颁发新的检查考核标准则以最新文件标准作业，合同金额不予调整。</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6.1.9.2作业人员上岗必须参加养老、人身意外等保险。其中人身意外险必须在签订合同后一个月内办理完毕并提交招标人审核，否则招标人有权终止合同，各种意外伤亡事故，均由承包人自行解决，发包人概不负责；</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6.1.9.3如需车辆作业时遵守交通管理法规，保证安全。确保车辆整洁，设施完好，密闭运输，如有破损及时修复。发生各种意外事故由承包方自行解决，所产生的费用全部由承包方自行承担；</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6.1.9.4鼓励使用本地区的失地或下岗人员，在同等条件下给予优先考虑；</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6.1.9.5规范管理，文明作业，自觉接受城管部门、各级领导的检查和社会舆论的监督；</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6.1.9.6上述保洁标准及要求中未明确的事项按杭州市地方标准规范〈公共厕所保洁与服务规范〉DB3301/T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执行。</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6.1.10、具体管理要求：</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6.1.10.1、清洁公司责任到人，全日开放，方便群众，优质服务；</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6.2.10.2、照明，供水排水设施完好，如有损坏，及时修复，以保证居民正常使用；</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6.1.10.3、工具、物品等摆放整齐；</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6.1.10.4、所有公厕对公民实行免费；</w:t>
      </w:r>
    </w:p>
    <w:p>
      <w:pPr>
        <w:snapToGrid w:val="0"/>
        <w:spacing w:line="360" w:lineRule="auto"/>
        <w:ind w:firstLine="480" w:firstLineChars="200"/>
        <w:jc w:val="left"/>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6.1.10.5、公厕指示牌、标志牌等规范齐全；</w:t>
      </w:r>
    </w:p>
    <w:p>
      <w:pPr>
        <w:snapToGrid w:val="0"/>
        <w:spacing w:line="360" w:lineRule="auto"/>
        <w:ind w:firstLine="480" w:firstLineChars="200"/>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sz w:val="24"/>
          <w:highlight w:val="none"/>
          <w:lang w:val="en-US" w:eastAsia="zh-CN"/>
        </w:rPr>
        <w:t>6.1.10.6公厕内需有厕纸、垃圾袋、除臭液、清洁用品等易耗品</w:t>
      </w:r>
    </w:p>
    <w:p>
      <w:pPr>
        <w:wordWrap/>
        <w:spacing w:line="500" w:lineRule="exact"/>
        <w:textAlignment w:val="auto"/>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lang w:eastAsia="zh-CN"/>
        </w:rPr>
        <w:t>三</w:t>
      </w:r>
      <w:r>
        <w:rPr>
          <w:rFonts w:hint="eastAsia" w:asciiTheme="majorEastAsia" w:hAnsiTheme="majorEastAsia" w:eastAsiaTheme="majorEastAsia" w:cstheme="majorEastAsia"/>
          <w:b/>
          <w:color w:val="auto"/>
          <w:kern w:val="0"/>
          <w:sz w:val="24"/>
          <w:highlight w:val="none"/>
        </w:rPr>
        <w:t>、承包期限：</w:t>
      </w:r>
      <w:r>
        <w:rPr>
          <w:rFonts w:hint="eastAsia" w:asciiTheme="majorEastAsia" w:hAnsiTheme="majorEastAsia" w:eastAsiaTheme="majorEastAsia" w:cstheme="majorEastAsia"/>
          <w:snapToGrid w:val="0"/>
          <w:color w:val="auto"/>
          <w:kern w:val="0"/>
          <w:sz w:val="24"/>
          <w:highlight w:val="none"/>
        </w:rPr>
        <w:t>自合同签订日起贰</w:t>
      </w:r>
      <w:r>
        <w:rPr>
          <w:rFonts w:hint="eastAsia" w:asciiTheme="majorEastAsia" w:hAnsiTheme="majorEastAsia" w:eastAsiaTheme="majorEastAsia" w:cstheme="majorEastAsia"/>
          <w:snapToGrid w:val="0"/>
          <w:color w:val="auto"/>
          <w:kern w:val="0"/>
          <w:sz w:val="24"/>
          <w:highlight w:val="none"/>
          <w:lang w:eastAsia="zh-CN"/>
        </w:rPr>
        <w:t>年。</w:t>
      </w:r>
    </w:p>
    <w:p>
      <w:pPr>
        <w:wordWrap/>
        <w:spacing w:line="500" w:lineRule="exact"/>
        <w:textAlignment w:val="auto"/>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val="en-US" w:eastAsia="zh-CN"/>
        </w:rPr>
        <w:t>1、</w:t>
      </w:r>
      <w:r>
        <w:rPr>
          <w:rFonts w:hint="eastAsia" w:asciiTheme="majorEastAsia" w:hAnsiTheme="majorEastAsia" w:eastAsiaTheme="majorEastAsia" w:cstheme="majorEastAsia"/>
          <w:snapToGrid w:val="0"/>
          <w:color w:val="auto"/>
          <w:kern w:val="0"/>
          <w:sz w:val="24"/>
          <w:highlight w:val="none"/>
        </w:rPr>
        <w:t>若在合同期内乙方有严重违约行为，甲方有权提前终止合同，由此造成的一切后果和损失由乙方承担。</w:t>
      </w:r>
    </w:p>
    <w:p>
      <w:pPr>
        <w:wordWrap/>
        <w:spacing w:line="500" w:lineRule="exact"/>
        <w:textAlignment w:val="auto"/>
        <w:rPr>
          <w:rFonts w:hint="eastAsia" w:asciiTheme="majorEastAsia" w:hAnsiTheme="majorEastAsia" w:eastAsiaTheme="majorEastAsia" w:cstheme="majorEastAsia"/>
          <w:snapToGrid w:val="0"/>
          <w:color w:val="auto"/>
          <w:kern w:val="0"/>
          <w:sz w:val="24"/>
          <w:highlight w:val="none"/>
          <w:lang w:val="en-US" w:eastAsia="zh-CN"/>
        </w:rPr>
      </w:pPr>
      <w:r>
        <w:rPr>
          <w:rFonts w:hint="eastAsia" w:asciiTheme="majorEastAsia" w:hAnsiTheme="majorEastAsia" w:eastAsiaTheme="majorEastAsia" w:cstheme="majorEastAsia"/>
          <w:snapToGrid w:val="0"/>
          <w:color w:val="auto"/>
          <w:kern w:val="0"/>
          <w:sz w:val="24"/>
          <w:highlight w:val="none"/>
          <w:lang w:val="en-US" w:eastAsia="zh-CN"/>
        </w:rPr>
        <w:t>2、</w:t>
      </w:r>
      <w:r>
        <w:rPr>
          <w:rFonts w:hint="eastAsia" w:asciiTheme="majorEastAsia" w:hAnsiTheme="majorEastAsia" w:eastAsiaTheme="majorEastAsia" w:cstheme="majorEastAsia"/>
          <w:snapToGrid w:val="0"/>
          <w:color w:val="auto"/>
          <w:kern w:val="0"/>
          <w:sz w:val="24"/>
          <w:highlight w:val="none"/>
          <w:lang w:eastAsia="zh-CN"/>
        </w:rPr>
        <w:t>本项目不得分包或者转包，一旦发现分包或转包现象，</w:t>
      </w:r>
      <w:r>
        <w:rPr>
          <w:rFonts w:hint="eastAsia" w:asciiTheme="majorEastAsia" w:hAnsiTheme="majorEastAsia" w:eastAsiaTheme="majorEastAsia" w:cstheme="majorEastAsia"/>
          <w:snapToGrid w:val="0"/>
          <w:color w:val="auto"/>
          <w:kern w:val="0"/>
          <w:sz w:val="24"/>
          <w:highlight w:val="none"/>
        </w:rPr>
        <w:t>甲方有权提前终止合同，由此造成的一切后果和损失由乙方承担。</w:t>
      </w:r>
    </w:p>
    <w:p>
      <w:pPr>
        <w:spacing w:line="600" w:lineRule="exact"/>
        <w:outlineLvl w:val="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四</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bCs/>
          <w:color w:val="auto"/>
          <w:sz w:val="24"/>
          <w:highlight w:val="none"/>
        </w:rPr>
        <w:t>拟投入人员、设施配备最低要求配备表</w:t>
      </w:r>
    </w:p>
    <w:p>
      <w:pPr>
        <w:pStyle w:val="82"/>
        <w:spacing w:line="600" w:lineRule="exact"/>
        <w:ind w:firstLine="723" w:firstLineChars="300"/>
        <w:jc w:val="both"/>
        <w:rPr>
          <w:rFonts w:hint="eastAsia" w:asciiTheme="majorEastAsia" w:hAnsiTheme="majorEastAsia" w:eastAsiaTheme="majorEastAsia" w:cstheme="majorEastAsia"/>
          <w:b/>
          <w:bCs/>
          <w:color w:val="auto"/>
          <w:szCs w:val="24"/>
          <w:highlight w:val="none"/>
          <w:lang w:val="en-US"/>
        </w:rPr>
      </w:pPr>
      <w:r>
        <w:rPr>
          <w:rFonts w:hint="eastAsia" w:ascii="华文仿宋" w:hAnsi="华文仿宋" w:eastAsia="华文仿宋" w:cs="宋体"/>
          <w:b/>
          <w:sz w:val="24"/>
        </w:rPr>
        <w:t>▲</w:t>
      </w:r>
      <w:r>
        <w:rPr>
          <w:rFonts w:hint="eastAsia" w:asciiTheme="majorEastAsia" w:hAnsiTheme="majorEastAsia" w:eastAsiaTheme="majorEastAsia" w:cstheme="majorEastAsia"/>
          <w:b/>
          <w:bCs/>
          <w:color w:val="auto"/>
          <w:szCs w:val="24"/>
          <w:highlight w:val="none"/>
          <w:lang w:val="en-US" w:eastAsia="zh-CN"/>
        </w:rPr>
        <w:t>1、</w:t>
      </w:r>
      <w:r>
        <w:rPr>
          <w:rFonts w:hint="eastAsia" w:asciiTheme="majorEastAsia" w:hAnsiTheme="majorEastAsia" w:eastAsiaTheme="majorEastAsia" w:cstheme="majorEastAsia"/>
          <w:b/>
          <w:bCs/>
          <w:color w:val="auto"/>
          <w:szCs w:val="24"/>
          <w:highlight w:val="none"/>
          <w:lang w:val="en-US"/>
        </w:rPr>
        <w:t>拟投入人员配置表</w:t>
      </w:r>
    </w:p>
    <w:tbl>
      <w:tblPr>
        <w:tblStyle w:val="64"/>
        <w:tblW w:w="9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15"/>
        <w:gridCol w:w="2865"/>
        <w:gridCol w:w="1648"/>
        <w:gridCol w:w="3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2865"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人员配备工种</w:t>
            </w:r>
          </w:p>
        </w:tc>
        <w:tc>
          <w:tcPr>
            <w:tcW w:w="1648"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数量</w:t>
            </w:r>
          </w:p>
        </w:tc>
        <w:tc>
          <w:tcPr>
            <w:tcW w:w="3504" w:type="dxa"/>
            <w:noWrap w:val="0"/>
            <w:vAlign w:val="center"/>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Theme="majorEastAsia" w:hAnsiTheme="majorEastAsia" w:eastAsiaTheme="majorEastAsia" w:cstheme="majorEastAsia"/>
                <w:b/>
                <w:bCs/>
                <w:color w:val="auto"/>
                <w:sz w:val="24"/>
                <w:szCs w:val="22"/>
                <w:highlight w:val="none"/>
              </w:rPr>
            </w:pPr>
            <w:r>
              <w:rPr>
                <w:rFonts w:hint="eastAsia" w:asciiTheme="majorEastAsia" w:hAnsiTheme="majorEastAsia" w:eastAsiaTheme="majorEastAsia" w:cstheme="majorEastAsia"/>
                <w:b/>
                <w:bCs/>
                <w:color w:val="auto"/>
                <w:sz w:val="24"/>
                <w:highlight w:val="none"/>
                <w:lang w:val="en-US" w:eastAsia="zh-CN"/>
              </w:rPr>
              <w:t>道路保洁</w:t>
            </w:r>
            <w:r>
              <w:rPr>
                <w:rFonts w:hint="eastAsia" w:asciiTheme="majorEastAsia" w:hAnsiTheme="majorEastAsia" w:eastAsiaTheme="majorEastAsia" w:cstheme="majorEastAsia"/>
                <w:b/>
                <w:bCs/>
                <w:color w:val="auto"/>
                <w:sz w:val="24"/>
                <w:highlight w:val="none"/>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道路保洁</w:t>
            </w:r>
            <w:r>
              <w:rPr>
                <w:rFonts w:hint="eastAsia" w:asciiTheme="majorEastAsia" w:hAnsiTheme="majorEastAsia" w:eastAsiaTheme="majorEastAsia" w:cstheme="majorEastAsia"/>
                <w:color w:val="auto"/>
                <w:sz w:val="24"/>
                <w:szCs w:val="22"/>
                <w:highlight w:val="none"/>
              </w:rPr>
              <w:t>项目负责人</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1人</w:t>
            </w:r>
          </w:p>
        </w:tc>
        <w:tc>
          <w:tcPr>
            <w:tcW w:w="3504" w:type="dxa"/>
            <w:noWrap w:val="0"/>
            <w:vAlign w:val="center"/>
          </w:tcPr>
          <w:p>
            <w:pPr>
              <w:spacing w:line="40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2"/>
                <w:highlight w:val="none"/>
              </w:rPr>
              <w:t>年龄55周岁以下；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4"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rPr>
              <w:t>保洁员</w:t>
            </w:r>
            <w:r>
              <w:rPr>
                <w:rFonts w:hint="eastAsia" w:asciiTheme="majorEastAsia" w:hAnsiTheme="majorEastAsia" w:eastAsiaTheme="majorEastAsia" w:cstheme="majorEastAsia"/>
                <w:color w:val="auto"/>
                <w:sz w:val="24"/>
                <w:szCs w:val="22"/>
                <w:highlight w:val="none"/>
                <w:lang w:val="en-US" w:eastAsia="zh-CN"/>
              </w:rPr>
              <w:t>相关人员</w:t>
            </w:r>
          </w:p>
        </w:tc>
        <w:tc>
          <w:tcPr>
            <w:tcW w:w="1648" w:type="dxa"/>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70</w:t>
            </w:r>
            <w:r>
              <w:rPr>
                <w:rFonts w:hint="eastAsia" w:asciiTheme="majorEastAsia" w:hAnsiTheme="majorEastAsia" w:eastAsiaTheme="majorEastAsia" w:cstheme="majorEastAsia"/>
                <w:color w:val="auto"/>
                <w:sz w:val="24"/>
                <w:szCs w:val="22"/>
                <w:highlight w:val="none"/>
              </w:rPr>
              <w:t>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年</w:t>
            </w: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2865" w:type="dxa"/>
            <w:noWrap w:val="0"/>
            <w:vAlign w:val="center"/>
          </w:tcPr>
          <w:p>
            <w:pPr>
              <w:jc w:val="center"/>
              <w:rPr>
                <w:rFonts w:hint="eastAsia" w:asciiTheme="majorEastAsia" w:hAnsiTheme="majorEastAsia" w:eastAsiaTheme="majorEastAsia" w:cstheme="majorEastAsia"/>
                <w:color w:val="auto"/>
                <w:kern w:val="2"/>
                <w:sz w:val="24"/>
                <w:szCs w:val="22"/>
                <w:highlight w:val="none"/>
                <w:lang w:val="en-US" w:eastAsia="zh-CN" w:bidi="ar-SA"/>
              </w:rPr>
            </w:pPr>
            <w:r>
              <w:rPr>
                <w:rFonts w:hint="eastAsia" w:asciiTheme="majorEastAsia" w:hAnsiTheme="majorEastAsia" w:eastAsiaTheme="majorEastAsia" w:cstheme="majorEastAsia"/>
                <w:color w:val="auto"/>
                <w:sz w:val="24"/>
                <w:szCs w:val="22"/>
                <w:highlight w:val="none"/>
              </w:rPr>
              <w:t>巡查员</w:t>
            </w:r>
          </w:p>
        </w:tc>
        <w:tc>
          <w:tcPr>
            <w:tcW w:w="1648" w:type="dxa"/>
            <w:noWrap w:val="0"/>
            <w:vAlign w:val="center"/>
          </w:tcPr>
          <w:p>
            <w:pPr>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人</w:t>
            </w:r>
          </w:p>
        </w:tc>
        <w:tc>
          <w:tcPr>
            <w:tcW w:w="3504" w:type="dxa"/>
            <w:noWrap w:val="0"/>
            <w:vAlign w:val="center"/>
          </w:tcPr>
          <w:p>
            <w:pPr>
              <w:jc w:val="left"/>
              <w:rPr>
                <w:rFonts w:hint="eastAsia" w:asciiTheme="majorEastAsia" w:hAnsiTheme="majorEastAsia" w:eastAsiaTheme="majorEastAsia" w:cstheme="majorEastAsia"/>
                <w:color w:val="auto"/>
                <w:kern w:val="2"/>
                <w:sz w:val="24"/>
                <w:szCs w:val="22"/>
                <w:highlight w:val="none"/>
                <w:lang w:val="en-US" w:eastAsia="zh-CN" w:bidi="ar-SA"/>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2865" w:type="dxa"/>
            <w:noWrap w:val="0"/>
            <w:vAlign w:val="center"/>
          </w:tcPr>
          <w:p>
            <w:pPr>
              <w:jc w:val="center"/>
              <w:rPr>
                <w:rFonts w:hint="eastAsia" w:asciiTheme="majorEastAsia" w:hAnsiTheme="majorEastAsia" w:eastAsiaTheme="majorEastAsia" w:cstheme="majorEastAsia"/>
                <w:color w:val="auto"/>
                <w:kern w:val="2"/>
                <w:sz w:val="24"/>
                <w:szCs w:val="22"/>
                <w:highlight w:val="none"/>
                <w:lang w:val="en-US" w:eastAsia="zh-CN" w:bidi="ar-SA"/>
              </w:rPr>
            </w:pPr>
            <w:r>
              <w:rPr>
                <w:rFonts w:hint="eastAsia" w:asciiTheme="majorEastAsia" w:hAnsiTheme="majorEastAsia" w:eastAsiaTheme="majorEastAsia" w:cstheme="majorEastAsia"/>
                <w:color w:val="auto"/>
                <w:sz w:val="24"/>
                <w:szCs w:val="22"/>
                <w:highlight w:val="none"/>
                <w:lang w:eastAsia="zh-CN"/>
              </w:rPr>
              <w:t>牛皮癣清理</w:t>
            </w:r>
          </w:p>
        </w:tc>
        <w:tc>
          <w:tcPr>
            <w:tcW w:w="1648" w:type="dxa"/>
            <w:noWrap w:val="0"/>
            <w:vAlign w:val="center"/>
          </w:tcPr>
          <w:p>
            <w:pPr>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5人</w:t>
            </w:r>
          </w:p>
        </w:tc>
        <w:tc>
          <w:tcPr>
            <w:tcW w:w="3504" w:type="dxa"/>
            <w:noWrap w:val="0"/>
            <w:vAlign w:val="center"/>
          </w:tcPr>
          <w:p>
            <w:pPr>
              <w:jc w:val="left"/>
              <w:rPr>
                <w:rFonts w:hint="eastAsia" w:asciiTheme="majorEastAsia" w:hAnsiTheme="majorEastAsia" w:eastAsiaTheme="majorEastAsia" w:cstheme="majorEastAsia"/>
                <w:color w:val="auto"/>
                <w:kern w:val="2"/>
                <w:sz w:val="24"/>
                <w:szCs w:val="24"/>
                <w:highlight w:val="none"/>
                <w:shd w:val="clear" w:color="070000" w:fill="FFFFFF"/>
                <w:lang w:val="en-US" w:eastAsia="zh-CN" w:bidi="ar-SA"/>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tcBorders>
              <w:right w:val="single" w:color="auto" w:sz="4" w:space="0"/>
            </w:tcBorders>
            <w:noWrap w:val="0"/>
            <w:vAlign w:val="center"/>
          </w:tcPr>
          <w:p>
            <w:pPr>
              <w:jc w:val="center"/>
              <w:rPr>
                <w:rFonts w:hint="eastAsia" w:asciiTheme="majorEastAsia" w:hAnsiTheme="majorEastAsia" w:eastAsiaTheme="majorEastAsia" w:cstheme="majorEastAsia"/>
                <w:b/>
                <w:bCs/>
                <w:color w:val="auto"/>
                <w:sz w:val="24"/>
                <w:szCs w:val="22"/>
                <w:highlight w:val="none"/>
              </w:rPr>
            </w:pPr>
            <w:r>
              <w:rPr>
                <w:rFonts w:hint="eastAsia" w:asciiTheme="majorEastAsia" w:hAnsiTheme="majorEastAsia" w:eastAsiaTheme="majorEastAsia" w:cstheme="majorEastAsia"/>
                <w:b/>
                <w:bCs/>
                <w:color w:val="auto"/>
                <w:sz w:val="24"/>
                <w:highlight w:val="none"/>
              </w:rPr>
              <w:t>绿化养护人员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ind w:firstLine="240" w:firstLineChars="1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2"/>
                <w:highlight w:val="none"/>
              </w:rPr>
              <w:t>绿化养护项目负责人</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 xml:space="preserve"> 1</w:t>
            </w:r>
            <w:r>
              <w:rPr>
                <w:rFonts w:hint="eastAsia" w:asciiTheme="majorEastAsia" w:hAnsiTheme="majorEastAsia" w:eastAsiaTheme="majorEastAsia" w:cstheme="majorEastAsia"/>
                <w:color w:val="auto"/>
                <w:sz w:val="24"/>
                <w:highlight w:val="none"/>
              </w:rPr>
              <w:t>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年龄</w:t>
            </w:r>
            <w:r>
              <w:rPr>
                <w:rFonts w:hint="eastAsia" w:asciiTheme="majorEastAsia" w:hAnsiTheme="majorEastAsia" w:eastAsiaTheme="majorEastAsia" w:cstheme="majorEastAsia"/>
                <w:color w:val="auto"/>
                <w:sz w:val="24"/>
                <w:szCs w:val="22"/>
                <w:highlight w:val="none"/>
                <w:lang w:val="en-US" w:eastAsia="zh-CN"/>
              </w:rPr>
              <w:t>55</w:t>
            </w:r>
            <w:r>
              <w:rPr>
                <w:rFonts w:hint="eastAsia" w:asciiTheme="majorEastAsia" w:hAnsiTheme="majorEastAsia" w:eastAsiaTheme="majorEastAsia" w:cstheme="majorEastAsia"/>
                <w:color w:val="auto"/>
                <w:sz w:val="24"/>
                <w:szCs w:val="22"/>
                <w:highlight w:val="none"/>
              </w:rPr>
              <w:t>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2</w:t>
            </w:r>
          </w:p>
        </w:tc>
        <w:tc>
          <w:tcPr>
            <w:tcW w:w="2865"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22"/>
                <w:highlight w:val="none"/>
              </w:rPr>
              <w:t>绿化养护员</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 xml:space="preserve"> 5</w:t>
            </w:r>
            <w:r>
              <w:rPr>
                <w:rFonts w:hint="eastAsia" w:asciiTheme="majorEastAsia" w:hAnsiTheme="majorEastAsia" w:eastAsiaTheme="majorEastAsia" w:cstheme="majorEastAsia"/>
                <w:color w:val="auto"/>
                <w:sz w:val="24"/>
                <w:highlight w:val="none"/>
              </w:rPr>
              <w:t>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b/>
                <w:bCs/>
                <w:color w:val="auto"/>
                <w:sz w:val="24"/>
                <w:highlight w:val="none"/>
                <w:lang w:val="en-US" w:eastAsia="zh-CN"/>
              </w:rPr>
              <w:t>市政</w:t>
            </w:r>
            <w:r>
              <w:rPr>
                <w:rFonts w:hint="eastAsia" w:asciiTheme="majorEastAsia" w:hAnsiTheme="majorEastAsia" w:eastAsiaTheme="majorEastAsia" w:cstheme="majorEastAsia"/>
                <w:b/>
                <w:bCs/>
                <w:color w:val="auto"/>
                <w:sz w:val="24"/>
                <w:highlight w:val="none"/>
              </w:rPr>
              <w:t>养护人员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lang w:val="en-US" w:eastAsia="zh-CN"/>
              </w:rPr>
              <w:t>市政养护项目负责人</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lang w:eastAsia="zh-CN"/>
              </w:rPr>
            </w:pPr>
            <w:r>
              <w:rPr>
                <w:rFonts w:hint="eastAsia" w:asciiTheme="majorEastAsia" w:hAnsiTheme="majorEastAsia" w:eastAsiaTheme="majorEastAsia" w:cstheme="majorEastAsia"/>
                <w:color w:val="auto"/>
                <w:sz w:val="24"/>
                <w:szCs w:val="22"/>
                <w:highlight w:val="none"/>
              </w:rPr>
              <w:t>年龄55周岁以下</w:t>
            </w:r>
            <w:r>
              <w:rPr>
                <w:rFonts w:hint="eastAsia" w:asciiTheme="majorEastAsia" w:hAnsiTheme="majorEastAsia" w:eastAsiaTheme="majorEastAsia" w:cstheme="majorEastAsia"/>
                <w:color w:val="auto"/>
                <w:sz w:val="24"/>
                <w:szCs w:val="2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lang w:val="en-US" w:eastAsia="zh-CN"/>
              </w:rPr>
              <w:t>市政养护</w:t>
            </w:r>
            <w:r>
              <w:rPr>
                <w:rFonts w:hint="eastAsia" w:asciiTheme="majorEastAsia" w:hAnsiTheme="majorEastAsia" w:eastAsiaTheme="majorEastAsia" w:cstheme="majorEastAsia"/>
                <w:color w:val="auto"/>
                <w:sz w:val="24"/>
                <w:szCs w:val="22"/>
                <w:highlight w:val="none"/>
              </w:rPr>
              <w:t>员</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5人</w:t>
            </w:r>
          </w:p>
        </w:tc>
        <w:tc>
          <w:tcPr>
            <w:tcW w:w="3504" w:type="dxa"/>
            <w:noWrap w:val="0"/>
            <w:vAlign w:val="center"/>
          </w:tcPr>
          <w:p>
            <w:pPr>
              <w:jc w:val="left"/>
              <w:rPr>
                <w:rFonts w:hint="eastAsia" w:asciiTheme="majorEastAsia" w:hAnsiTheme="majorEastAsia" w:eastAsiaTheme="majorEastAsia" w:cstheme="majorEastAsia"/>
                <w:bCs/>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公厕保洁人员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865" w:type="dxa"/>
            <w:noWrap w:val="0"/>
            <w:vAlign w:val="center"/>
          </w:tcPr>
          <w:p>
            <w:pPr>
              <w:jc w:val="center"/>
              <w:rPr>
                <w:rFonts w:hint="eastAsia" w:asciiTheme="majorEastAsia" w:hAnsiTheme="majorEastAsia" w:eastAsiaTheme="majorEastAsia" w:cstheme="majorEastAsia"/>
                <w:color w:val="auto"/>
                <w:sz w:val="24"/>
                <w:szCs w:val="22"/>
                <w:highlight w:val="none"/>
                <w:lang w:val="en-US" w:eastAsia="zh-CN"/>
              </w:rPr>
            </w:pPr>
            <w:r>
              <w:rPr>
                <w:rFonts w:hint="eastAsia" w:asciiTheme="majorEastAsia" w:hAnsiTheme="majorEastAsia" w:eastAsiaTheme="majorEastAsia" w:cstheme="majorEastAsia"/>
                <w:color w:val="auto"/>
                <w:sz w:val="24"/>
                <w:szCs w:val="22"/>
                <w:highlight w:val="none"/>
              </w:rPr>
              <w:t>保洁员</w:t>
            </w:r>
            <w:r>
              <w:rPr>
                <w:rFonts w:hint="eastAsia" w:asciiTheme="majorEastAsia" w:hAnsiTheme="majorEastAsia" w:eastAsiaTheme="majorEastAsia" w:cstheme="majorEastAsia"/>
                <w:color w:val="auto"/>
                <w:sz w:val="24"/>
                <w:szCs w:val="22"/>
                <w:highlight w:val="none"/>
                <w:lang w:val="en-US" w:eastAsia="zh-CN"/>
              </w:rPr>
              <w:t>相关人员</w:t>
            </w:r>
          </w:p>
        </w:tc>
        <w:tc>
          <w:tcPr>
            <w:tcW w:w="1648" w:type="dxa"/>
            <w:noWrap w:val="0"/>
            <w:vAlign w:val="center"/>
          </w:tcPr>
          <w:p>
            <w:pPr>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8人</w:t>
            </w:r>
          </w:p>
        </w:tc>
        <w:tc>
          <w:tcPr>
            <w:tcW w:w="3504" w:type="dxa"/>
            <w:noWrap w:val="0"/>
            <w:vAlign w:val="center"/>
          </w:tcPr>
          <w:p>
            <w:pPr>
              <w:jc w:val="left"/>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lang w:val="en-US" w:eastAsia="zh-CN"/>
              </w:rPr>
              <w:t>男性年龄在60周岁以下</w:t>
            </w:r>
            <w:r>
              <w:rPr>
                <w:rFonts w:hint="eastAsia" w:asciiTheme="majorEastAsia" w:hAnsiTheme="majorEastAsia" w:eastAsiaTheme="majorEastAsia" w:cstheme="majorEastAsia"/>
                <w:color w:val="auto"/>
                <w:sz w:val="24"/>
                <w:szCs w:val="22"/>
                <w:highlight w:val="none"/>
                <w:lang w:val="zh-CN" w:eastAsia="zh-CN"/>
              </w:rPr>
              <w:t>，女性年龄在55周岁以下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63" w:hRule="atLeast"/>
          <w:jc w:val="center"/>
        </w:trPr>
        <w:tc>
          <w:tcPr>
            <w:tcW w:w="9132" w:type="dxa"/>
            <w:gridSpan w:val="4"/>
            <w:noWrap w:val="0"/>
            <w:vAlign w:val="center"/>
          </w:tcPr>
          <w:p>
            <w:pPr>
              <w:pStyle w:val="3"/>
              <w:spacing w:line="360" w:lineRule="auto"/>
              <w:ind w:firstLine="0" w:firstLineChars="0"/>
              <w:rPr>
                <w:rFonts w:hint="eastAsia" w:eastAsiaTheme="majorEastAsia"/>
                <w:lang w:val="en-US" w:eastAsia="zh-CN"/>
              </w:rPr>
            </w:pPr>
            <w:r>
              <w:rPr>
                <w:rFonts w:hint="eastAsia" w:asciiTheme="majorEastAsia" w:hAnsiTheme="majorEastAsia" w:eastAsiaTheme="majorEastAsia" w:cstheme="majorEastAsia"/>
                <w:color w:val="auto"/>
                <w:kern w:val="2"/>
                <w:sz w:val="24"/>
                <w:szCs w:val="22"/>
                <w:highlight w:val="none"/>
                <w:lang w:val="en-US" w:eastAsia="zh-CN" w:bidi="ar-SA"/>
              </w:rPr>
              <w:t>注：1、投入的人数不得少于上表要求的人员数量。二级道路保洁时间均不少于18小时，人均清扫保洁面积按9000平方米，每岗清扫人员安排以作业时间8小时计轮班，供应商应根据以上保洁人员数量做好轮班。</w:t>
            </w:r>
          </w:p>
          <w:p>
            <w:pPr>
              <w:jc w:val="left"/>
              <w:rPr>
                <w:rFonts w:hint="eastAsia" w:asciiTheme="majorEastAsia" w:hAnsiTheme="majorEastAsia" w:eastAsiaTheme="majorEastAsia" w:cstheme="majorEastAsia"/>
                <w:bCs/>
                <w:color w:val="auto"/>
                <w:sz w:val="24"/>
                <w:szCs w:val="22"/>
                <w:highlight w:val="none"/>
                <w:lang w:val="en-US" w:eastAsia="zh-CN"/>
              </w:rPr>
            </w:pPr>
            <w:r>
              <w:rPr>
                <w:rFonts w:hint="eastAsia" w:asciiTheme="majorEastAsia" w:hAnsiTheme="majorEastAsia" w:eastAsiaTheme="majorEastAsia" w:cstheme="majorEastAsia"/>
                <w:color w:val="auto"/>
                <w:kern w:val="2"/>
                <w:sz w:val="24"/>
                <w:szCs w:val="22"/>
                <w:highlight w:val="none"/>
                <w:lang w:val="en-US" w:eastAsia="zh-CN" w:bidi="ar-SA"/>
              </w:rPr>
              <w:t>2、所有的人工费用均应考虑在投标总价中。</w:t>
            </w:r>
          </w:p>
        </w:tc>
      </w:tr>
    </w:tbl>
    <w:p>
      <w:pPr>
        <w:pStyle w:val="82"/>
        <w:jc w:val="both"/>
        <w:rPr>
          <w:rFonts w:hint="eastAsia" w:asciiTheme="majorEastAsia" w:hAnsiTheme="majorEastAsia" w:eastAsiaTheme="majorEastAsia" w:cstheme="majorEastAsia"/>
          <w:b/>
          <w:bCs/>
          <w:color w:val="auto"/>
          <w:sz w:val="24"/>
          <w:highlight w:val="none"/>
          <w:lang w:val="zh-CN" w:eastAsia="zh-CN"/>
        </w:rPr>
      </w:pPr>
    </w:p>
    <w:p>
      <w:pPr>
        <w:pStyle w:val="82"/>
        <w:jc w:val="both"/>
        <w:rPr>
          <w:rFonts w:hint="eastAsia" w:asciiTheme="majorEastAsia" w:hAnsiTheme="majorEastAsia" w:eastAsiaTheme="majorEastAsia" w:cstheme="majorEastAsia"/>
          <w:b/>
          <w:bCs/>
          <w:color w:val="auto"/>
          <w:sz w:val="24"/>
          <w:highlight w:val="none"/>
          <w:lang w:val="zh-CN" w:eastAsia="zh-CN"/>
        </w:rPr>
      </w:pPr>
    </w:p>
    <w:p>
      <w:pPr>
        <w:pStyle w:val="82"/>
        <w:jc w:val="both"/>
        <w:rPr>
          <w:rFonts w:hint="eastAsia" w:asciiTheme="majorEastAsia" w:hAnsiTheme="majorEastAsia" w:eastAsiaTheme="majorEastAsia" w:cstheme="majorEastAsia"/>
          <w:b/>
          <w:bCs/>
          <w:color w:val="auto"/>
          <w:szCs w:val="24"/>
          <w:highlight w:val="none"/>
          <w:lang w:val="en-US"/>
        </w:rPr>
      </w:pPr>
      <w:r>
        <w:rPr>
          <w:rFonts w:hint="eastAsia" w:ascii="华文仿宋" w:hAnsi="华文仿宋" w:eastAsia="华文仿宋" w:cs="宋体"/>
          <w:b/>
          <w:sz w:val="24"/>
        </w:rPr>
        <w:t>▲</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供应商拟投入本项目机具基本要求（供应商必须根据要求提供证明材料，不提供或提供不全的，视为不满足，作无效标处理）</w:t>
      </w:r>
    </w:p>
    <w:tbl>
      <w:tblPr>
        <w:tblStyle w:val="64"/>
        <w:tblpPr w:leftFromText="180" w:rightFromText="180" w:vertAnchor="text" w:horzAnchor="page" w:tblpX="1457" w:tblpY="772"/>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18"/>
        <w:gridCol w:w="2550"/>
        <w:gridCol w:w="98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序号</w:t>
            </w:r>
          </w:p>
        </w:tc>
        <w:tc>
          <w:tcPr>
            <w:tcW w:w="2018" w:type="dxa"/>
            <w:tcBorders>
              <w:left w:val="single" w:color="auto" w:sz="4" w:space="0"/>
              <w:bottom w:val="single" w:color="auto" w:sz="4" w:space="0"/>
              <w:right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设备名称</w:t>
            </w:r>
          </w:p>
        </w:tc>
        <w:tc>
          <w:tcPr>
            <w:tcW w:w="2550" w:type="dxa"/>
            <w:tcBorders>
              <w:left w:val="single" w:color="auto" w:sz="4" w:space="0"/>
              <w:bottom w:val="single" w:color="auto" w:sz="4" w:space="0"/>
              <w:right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规格要求</w:t>
            </w:r>
          </w:p>
        </w:tc>
        <w:tc>
          <w:tcPr>
            <w:tcW w:w="982" w:type="dxa"/>
            <w:tcBorders>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最低数量要求</w:t>
            </w:r>
          </w:p>
        </w:tc>
        <w:tc>
          <w:tcPr>
            <w:tcW w:w="2823" w:type="dxa"/>
            <w:tcBorders>
              <w:left w:val="single" w:color="auto" w:sz="4" w:space="0"/>
              <w:bottom w:val="single" w:color="auto" w:sz="4" w:space="0"/>
            </w:tcBorders>
            <w:noWrap w:val="0"/>
            <w:vAlign w:val="center"/>
          </w:tcPr>
          <w:p>
            <w:pPr>
              <w:pStyle w:val="3"/>
              <w:wordWrap/>
              <w:spacing w:line="500" w:lineRule="exact"/>
              <w:ind w:left="0" w:leftChars="0" w:firstLine="0" w:firstLineChars="0"/>
              <w:jc w:val="center"/>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清洗车(洒水车)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总质量16吨及以上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2辆</w:t>
            </w:r>
          </w:p>
        </w:tc>
        <w:tc>
          <w:tcPr>
            <w:tcW w:w="2823" w:type="dxa"/>
            <w:vMerge w:val="restart"/>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注：1）必须上牌的车辆在投标文件中同时提供车辆行驶证、购车发票、车辆登记证扫描件、清晰带有车牌号的正面、45度斜侧面的照片（其中小型清扫车如为新能源的无需提供车辆行驶证和车辆登记证）；否则不予认可。按国家规定无需上牌的车辆、设备，在投标文件中同时提供购买发票、车辆或设备照片，否则不予认可。</w:t>
            </w:r>
          </w:p>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2）提供车辆、设备仅用于本保洁项目的书面承诺书（格式自拟）。</w:t>
            </w:r>
          </w:p>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3）车辆、设备必须为供应商自有，含分公司自有。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三合一洗扫车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总质量12吨及以上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多功能抑尘车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总质量15吨及以上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高压冲洗车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总质量15吨及以上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护栏清洗车</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总质量7吨及以上</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6</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机械化除雪设备</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（除雪车、大型铲车、加装式铲雪板、滚雪装置、加装式除雪板或山猫、凯斯等大型除雪设备）</w:t>
            </w: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2台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小型清扫车（用于慢车道作业）</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总质量5吨及以下或新能源</w:t>
            </w: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巡查保障车</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kern w:val="2"/>
                <w:sz w:val="24"/>
                <w:szCs w:val="28"/>
                <w:highlight w:val="none"/>
                <w:lang w:val="en-US" w:eastAsia="zh-CN" w:bidi="ar-SA"/>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w:t>
            </w:r>
          </w:p>
        </w:tc>
        <w:tc>
          <w:tcPr>
            <w:tcW w:w="2018"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高空作业登高车</w:t>
            </w:r>
          </w:p>
        </w:tc>
        <w:tc>
          <w:tcPr>
            <w:tcW w:w="2550"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1辆</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ind w:firstLine="57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kern w:val="2"/>
                <w:sz w:val="24"/>
                <w:szCs w:val="28"/>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10</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割灌机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绿篱机（修剪机）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2台</w:t>
            </w:r>
          </w:p>
        </w:tc>
        <w:tc>
          <w:tcPr>
            <w:tcW w:w="2823" w:type="dxa"/>
            <w:vMerge w:val="continue"/>
            <w:tcBorders>
              <w:top w:val="single" w:color="auto" w:sz="4" w:space="0"/>
              <w:left w:val="single" w:color="auto" w:sz="4" w:space="0"/>
              <w:bottom w:val="single" w:color="auto" w:sz="4" w:space="0"/>
            </w:tcBorders>
            <w:noWrap w:val="0"/>
            <w:vAlign w:val="center"/>
          </w:tcPr>
          <w:p>
            <w:pPr>
              <w:pStyle w:val="3"/>
              <w:wordWrap/>
              <w:spacing w:line="500" w:lineRule="exact"/>
              <w:jc w:val="left"/>
              <w:textAlignment w:val="auto"/>
              <w:rPr>
                <w:rFonts w:hint="eastAsia" w:asciiTheme="majorEastAsia" w:hAnsiTheme="majorEastAsia" w:eastAsiaTheme="majorEastAsia" w:cstheme="majorEastAsia"/>
                <w:color w:val="auto"/>
                <w:sz w:val="24"/>
                <w:highlight w:val="none"/>
                <w:lang w:val="en-US" w:eastAsia="zh-CN"/>
              </w:rPr>
            </w:pPr>
          </w:p>
        </w:tc>
      </w:tr>
    </w:tbl>
    <w:p>
      <w:pPr>
        <w:widowControl/>
        <w:numPr>
          <w:ilvl w:val="0"/>
          <w:numId w:val="0"/>
        </w:numPr>
        <w:spacing w:line="600" w:lineRule="exact"/>
        <w:rPr>
          <w:rFonts w:hint="eastAsia" w:asciiTheme="majorEastAsia" w:hAnsiTheme="majorEastAsia" w:eastAsiaTheme="majorEastAsia" w:cstheme="majorEastAsia"/>
          <w:color w:val="auto"/>
          <w:sz w:val="24"/>
          <w:highlight w:val="none"/>
          <w:lang w:val="en-US" w:eastAsia="zh-CN"/>
        </w:rPr>
      </w:pPr>
      <w:r>
        <w:rPr>
          <w:rFonts w:hint="eastAsia" w:ascii="华文仿宋" w:hAnsi="华文仿宋" w:eastAsia="华文仿宋" w:cs="宋体"/>
          <w:b/>
          <w:sz w:val="24"/>
        </w:rPr>
        <w:t>▲</w:t>
      </w:r>
      <w:r>
        <w:rPr>
          <w:rFonts w:hint="eastAsia" w:asciiTheme="majorEastAsia" w:hAnsiTheme="majorEastAsia" w:eastAsiaTheme="majorEastAsia" w:cstheme="majorEastAsia"/>
          <w:color w:val="auto"/>
          <w:sz w:val="24"/>
          <w:highlight w:val="none"/>
          <w:lang w:val="en-US" w:eastAsia="zh-CN"/>
        </w:rPr>
        <w:t>注：以上设备要求中标单位须在收到中标通知书之日起10天内自行配备到位，并在投标文件中承诺，</w:t>
      </w:r>
      <w:r>
        <w:rPr>
          <w:rFonts w:hint="eastAsia" w:asciiTheme="majorEastAsia" w:hAnsiTheme="majorEastAsia" w:eastAsiaTheme="majorEastAsia" w:cstheme="majorEastAsia"/>
          <w:color w:val="auto"/>
          <w:sz w:val="24"/>
          <w:highlight w:val="none"/>
        </w:rPr>
        <w:t>否则视为不满足</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pStyle w:val="3"/>
        <w:adjustRightInd w:val="0"/>
        <w:spacing w:line="480" w:lineRule="exact"/>
        <w:ind w:firstLine="0"/>
        <w:rPr>
          <w:rFonts w:hint="eastAsia" w:asciiTheme="majorEastAsia" w:hAnsiTheme="majorEastAsia" w:eastAsiaTheme="majorEastAsia" w:cstheme="majorEastAsia"/>
          <w:b/>
          <w:color w:val="auto"/>
          <w:kern w:val="0"/>
          <w:highlight w:val="none"/>
          <w:lang w:val="en-US" w:eastAsia="zh-CN"/>
        </w:rPr>
      </w:pPr>
      <w:r>
        <w:rPr>
          <w:rFonts w:hint="eastAsia" w:asciiTheme="majorEastAsia" w:hAnsiTheme="majorEastAsia" w:eastAsiaTheme="majorEastAsia" w:cstheme="majorEastAsia"/>
          <w:b/>
          <w:color w:val="auto"/>
          <w:kern w:val="0"/>
          <w:highlight w:val="none"/>
          <w:lang w:val="en-US" w:eastAsia="zh-CN"/>
        </w:rPr>
        <w:t>五、检查考核办法及处罚制度</w:t>
      </w:r>
    </w:p>
    <w:p>
      <w:pPr>
        <w:adjustRightInd w:val="0"/>
        <w:snapToGrid w:val="0"/>
        <w:spacing w:line="360" w:lineRule="auto"/>
        <w:ind w:firstLine="482"/>
        <w:rPr>
          <w:rFonts w:hint="eastAsia" w:asciiTheme="majorEastAsia" w:hAnsiTheme="majorEastAsia" w:eastAsiaTheme="majorEastAsia" w:cstheme="majorEastAsia"/>
          <w:b/>
          <w:color w:val="auto"/>
          <w:kern w:val="0"/>
          <w:sz w:val="24"/>
          <w:szCs w:val="24"/>
          <w:highlight w:val="none"/>
        </w:rPr>
      </w:pPr>
    </w:p>
    <w:p>
      <w:pPr>
        <w:adjustRightInd w:val="0"/>
        <w:snapToGrid w:val="0"/>
        <w:spacing w:line="360" w:lineRule="auto"/>
        <w:ind w:firstLine="482"/>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val="en-US" w:eastAsia="zh-CN"/>
        </w:rPr>
        <w:t>1</w:t>
      </w: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color w:val="000000"/>
          <w:sz w:val="24"/>
          <w:highlight w:val="none"/>
        </w:rPr>
        <w:t>采购单位将定期和不定期地对供应商管理服务进行检查和抽查，检查记录和整改时限反馈供应商，并将每</w:t>
      </w:r>
      <w:r>
        <w:rPr>
          <w:rFonts w:hint="eastAsia" w:asciiTheme="majorEastAsia" w:hAnsiTheme="majorEastAsia" w:eastAsiaTheme="majorEastAsia" w:cstheme="majorEastAsia"/>
          <w:color w:val="000000"/>
          <w:sz w:val="24"/>
          <w:highlight w:val="none"/>
          <w:lang w:eastAsia="zh-CN"/>
        </w:rPr>
        <w:t>月</w:t>
      </w:r>
      <w:r>
        <w:rPr>
          <w:rFonts w:hint="eastAsia" w:asciiTheme="majorEastAsia" w:hAnsiTheme="majorEastAsia" w:eastAsiaTheme="majorEastAsia" w:cstheme="majorEastAsia"/>
          <w:color w:val="000000"/>
          <w:sz w:val="24"/>
          <w:highlight w:val="none"/>
        </w:rPr>
        <w:t>考核结果进行反馈。服务方达不到采购单位要求及各项服务承诺，根据附件1、附件2、附件3、附件4的考核细则进行处罚，并且采购单位有权要求其整改，直至扣款或终止合同。</w:t>
      </w:r>
    </w:p>
    <w:p>
      <w:pPr>
        <w:tabs>
          <w:tab w:val="left" w:pos="8400"/>
        </w:tabs>
        <w:spacing w:line="440" w:lineRule="exact"/>
        <w:ind w:firstLine="472" w:firstLineChars="196"/>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val="en-US" w:eastAsia="zh-CN"/>
        </w:rPr>
        <w:t>2</w:t>
      </w:r>
      <w:r>
        <w:rPr>
          <w:rFonts w:hint="eastAsia" w:asciiTheme="majorEastAsia" w:hAnsiTheme="majorEastAsia" w:eastAsiaTheme="majorEastAsia" w:cstheme="majorEastAsia"/>
          <w:b/>
          <w:color w:val="auto"/>
          <w:kern w:val="0"/>
          <w:sz w:val="24"/>
          <w:szCs w:val="24"/>
          <w:highlight w:val="none"/>
        </w:rPr>
        <w:t>）</w:t>
      </w:r>
      <w:r>
        <w:rPr>
          <w:rFonts w:hint="eastAsia" w:asciiTheme="majorEastAsia" w:hAnsiTheme="majorEastAsia" w:eastAsiaTheme="majorEastAsia" w:cstheme="majorEastAsia"/>
          <w:b/>
          <w:color w:val="auto"/>
          <w:kern w:val="0"/>
          <w:sz w:val="24"/>
          <w:szCs w:val="24"/>
          <w:highlight w:val="none"/>
          <w:lang w:eastAsia="zh-CN"/>
        </w:rPr>
        <w:t>处罚</w:t>
      </w:r>
      <w:r>
        <w:rPr>
          <w:rFonts w:hint="eastAsia" w:asciiTheme="majorEastAsia" w:hAnsiTheme="majorEastAsia" w:eastAsiaTheme="majorEastAsia" w:cstheme="majorEastAsia"/>
          <w:b/>
          <w:color w:val="auto"/>
          <w:kern w:val="0"/>
          <w:sz w:val="24"/>
          <w:szCs w:val="24"/>
          <w:highlight w:val="none"/>
        </w:rPr>
        <w:t>措施</w:t>
      </w:r>
      <w:r>
        <w:rPr>
          <w:rFonts w:hint="eastAsia" w:asciiTheme="majorEastAsia" w:hAnsiTheme="majorEastAsia" w:eastAsiaTheme="majorEastAsia" w:cstheme="majorEastAsia"/>
          <w:b/>
          <w:color w:val="auto"/>
          <w:kern w:val="0"/>
          <w:sz w:val="24"/>
          <w:szCs w:val="24"/>
          <w:highlight w:val="none"/>
          <w:lang w:eastAsia="zh-CN"/>
        </w:rPr>
        <w:t>：</w:t>
      </w:r>
      <w:r>
        <w:rPr>
          <w:rFonts w:hint="eastAsia" w:asciiTheme="majorEastAsia" w:hAnsiTheme="majorEastAsia" w:eastAsiaTheme="majorEastAsia" w:cstheme="majorEastAsia"/>
          <w:color w:val="auto"/>
          <w:sz w:val="24"/>
          <w:highlight w:val="none"/>
        </w:rPr>
        <w:t>月度考核成绩得分在9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分（含）以上的，全额支付当月</w:t>
      </w:r>
      <w:r>
        <w:rPr>
          <w:rFonts w:hint="eastAsia" w:asciiTheme="majorEastAsia" w:hAnsiTheme="majorEastAsia" w:eastAsiaTheme="majorEastAsia" w:cstheme="majorEastAsia"/>
          <w:color w:val="auto"/>
          <w:sz w:val="24"/>
          <w:highlight w:val="none"/>
          <w:lang w:eastAsia="zh-CN"/>
        </w:rPr>
        <w:t>市政养护、</w:t>
      </w:r>
      <w:r>
        <w:rPr>
          <w:rFonts w:hint="eastAsia" w:asciiTheme="majorEastAsia" w:hAnsiTheme="majorEastAsia" w:eastAsiaTheme="majorEastAsia" w:cstheme="majorEastAsia"/>
          <w:color w:val="auto"/>
          <w:sz w:val="24"/>
          <w:highlight w:val="none"/>
        </w:rPr>
        <w:t>保洁</w:t>
      </w:r>
      <w:r>
        <w:rPr>
          <w:rFonts w:hint="eastAsia" w:asciiTheme="majorEastAsia" w:hAnsiTheme="majorEastAsia" w:eastAsiaTheme="majorEastAsia" w:cstheme="majorEastAsia"/>
          <w:color w:val="auto"/>
          <w:sz w:val="24"/>
          <w:highlight w:val="none"/>
          <w:lang w:val="en-US" w:eastAsia="zh-CN"/>
        </w:rPr>
        <w:t>及绿化养护</w:t>
      </w:r>
      <w:r>
        <w:rPr>
          <w:rFonts w:hint="eastAsia" w:asciiTheme="majorEastAsia" w:hAnsiTheme="majorEastAsia" w:eastAsiaTheme="majorEastAsia" w:cstheme="majorEastAsia"/>
          <w:color w:val="auto"/>
          <w:sz w:val="24"/>
          <w:highlight w:val="none"/>
        </w:rPr>
        <w:t>经费；月度考核得分在9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分—9</w:t>
      </w:r>
      <w:r>
        <w:rPr>
          <w:rFonts w:hint="eastAsia" w:asciiTheme="majorEastAsia" w:hAnsiTheme="majorEastAsia" w:eastAsiaTheme="majorEastAsia" w:cstheme="majorEastAsia"/>
          <w:color w:val="auto"/>
          <w:sz w:val="24"/>
          <w:highlight w:val="none"/>
          <w:lang w:val="en-US" w:eastAsia="zh-CN"/>
        </w:rPr>
        <w:t>0</w:t>
      </w:r>
      <w:r>
        <w:rPr>
          <w:rFonts w:hint="eastAsia" w:asciiTheme="majorEastAsia" w:hAnsiTheme="majorEastAsia" w:eastAsiaTheme="majorEastAsia" w:cstheme="majorEastAsia"/>
          <w:color w:val="auto"/>
          <w:sz w:val="24"/>
          <w:highlight w:val="none"/>
        </w:rPr>
        <w:t>分（含）的，9</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分以下每扣0.1分扣除当月</w:t>
      </w:r>
      <w:r>
        <w:rPr>
          <w:rFonts w:hint="eastAsia" w:asciiTheme="majorEastAsia" w:hAnsiTheme="majorEastAsia" w:eastAsiaTheme="majorEastAsia" w:cstheme="majorEastAsia"/>
          <w:color w:val="auto"/>
          <w:sz w:val="24"/>
          <w:highlight w:val="none"/>
          <w:lang w:eastAsia="zh-CN"/>
        </w:rPr>
        <w:t>市政养护、</w:t>
      </w:r>
      <w:r>
        <w:rPr>
          <w:rFonts w:hint="eastAsia" w:asciiTheme="majorEastAsia" w:hAnsiTheme="majorEastAsia" w:eastAsiaTheme="majorEastAsia" w:cstheme="majorEastAsia"/>
          <w:color w:val="auto"/>
          <w:sz w:val="24"/>
          <w:highlight w:val="none"/>
        </w:rPr>
        <w:t>保洁</w:t>
      </w:r>
      <w:r>
        <w:rPr>
          <w:rFonts w:hint="eastAsia" w:asciiTheme="majorEastAsia" w:hAnsiTheme="majorEastAsia" w:eastAsiaTheme="majorEastAsia" w:cstheme="majorEastAsia"/>
          <w:color w:val="auto"/>
          <w:sz w:val="24"/>
          <w:highlight w:val="none"/>
          <w:lang w:val="en-US" w:eastAsia="zh-CN"/>
        </w:rPr>
        <w:t>及绿化养护</w:t>
      </w:r>
      <w:r>
        <w:rPr>
          <w:rFonts w:hint="eastAsia" w:asciiTheme="majorEastAsia" w:hAnsiTheme="majorEastAsia" w:eastAsiaTheme="majorEastAsia" w:cstheme="majorEastAsia"/>
          <w:color w:val="auto"/>
          <w:sz w:val="24"/>
          <w:highlight w:val="none"/>
        </w:rPr>
        <w:t>经费总额的0.1%，以此类推；月度考核得分90分以下的，除按上述标准扣除外，再加扣90分以下每失0.1分扣除当月</w:t>
      </w:r>
      <w:r>
        <w:rPr>
          <w:rFonts w:hint="eastAsia" w:asciiTheme="majorEastAsia" w:hAnsiTheme="majorEastAsia" w:eastAsiaTheme="majorEastAsia" w:cstheme="majorEastAsia"/>
          <w:color w:val="auto"/>
          <w:sz w:val="24"/>
          <w:highlight w:val="none"/>
          <w:lang w:eastAsia="zh-CN"/>
        </w:rPr>
        <w:t>市政养护、</w:t>
      </w:r>
      <w:r>
        <w:rPr>
          <w:rFonts w:hint="eastAsia" w:asciiTheme="majorEastAsia" w:hAnsiTheme="majorEastAsia" w:eastAsiaTheme="majorEastAsia" w:cstheme="majorEastAsia"/>
          <w:color w:val="auto"/>
          <w:sz w:val="24"/>
          <w:highlight w:val="none"/>
        </w:rPr>
        <w:t>保洁</w:t>
      </w:r>
      <w:r>
        <w:rPr>
          <w:rFonts w:hint="eastAsia" w:asciiTheme="majorEastAsia" w:hAnsiTheme="majorEastAsia" w:eastAsiaTheme="majorEastAsia" w:cstheme="majorEastAsia"/>
          <w:color w:val="auto"/>
          <w:sz w:val="24"/>
          <w:highlight w:val="none"/>
          <w:lang w:val="en-US" w:eastAsia="zh-CN"/>
        </w:rPr>
        <w:t>及绿化养护</w:t>
      </w:r>
      <w:r>
        <w:rPr>
          <w:rFonts w:hint="eastAsia" w:asciiTheme="majorEastAsia" w:hAnsiTheme="majorEastAsia" w:eastAsiaTheme="majorEastAsia" w:cstheme="majorEastAsia"/>
          <w:color w:val="auto"/>
          <w:sz w:val="24"/>
          <w:highlight w:val="none"/>
        </w:rPr>
        <w:t>经费总额的0.2%，</w:t>
      </w:r>
      <w:r>
        <w:rPr>
          <w:rFonts w:hint="eastAsia" w:asciiTheme="majorEastAsia" w:hAnsiTheme="majorEastAsia" w:eastAsiaTheme="majorEastAsia" w:cstheme="majorEastAsia"/>
          <w:color w:val="auto"/>
          <w:sz w:val="24"/>
          <w:highlight w:val="none"/>
          <w:lang w:val="en-US" w:eastAsia="zh-CN"/>
        </w:rPr>
        <w:t>被市级考核发现的问题每项扣款2000元，被区级考核发现的问题每项扣款1000元，被街道考核发现的问题每项扣款500元（上述扣款如低于合同扣款标准的以合同扣款标准为准）</w:t>
      </w:r>
      <w:r>
        <w:rPr>
          <w:rFonts w:hint="eastAsia" w:asciiTheme="majorEastAsia" w:hAnsiTheme="majorEastAsia" w:eastAsiaTheme="majorEastAsia" w:cstheme="majorEastAsia"/>
          <w:color w:val="auto"/>
          <w:sz w:val="24"/>
          <w:highlight w:val="none"/>
        </w:rPr>
        <w:t>以此类推。</w:t>
      </w:r>
      <w:r>
        <w:rPr>
          <w:rFonts w:hint="eastAsia" w:asciiTheme="majorEastAsia" w:hAnsiTheme="majorEastAsia" w:eastAsiaTheme="majorEastAsia" w:cstheme="majorEastAsia"/>
          <w:color w:val="auto"/>
          <w:kern w:val="0"/>
          <w:sz w:val="24"/>
          <w:highlight w:val="none"/>
          <w:lang w:eastAsia="zh-CN"/>
        </w:rPr>
        <w:t>除此之外：</w:t>
      </w:r>
      <w:r>
        <w:rPr>
          <w:rFonts w:hint="eastAsia" w:asciiTheme="majorEastAsia" w:hAnsiTheme="majorEastAsia" w:eastAsiaTheme="majorEastAsia" w:cstheme="majorEastAsia"/>
          <w:color w:val="auto"/>
          <w:kern w:val="0"/>
          <w:sz w:val="24"/>
          <w:highlight w:val="none"/>
          <w:lang w:val="en-US" w:eastAsia="zh-CN"/>
        </w:rPr>
        <w:t>1、在“数字城管”存在返工案卷、延期未整改案卷的每件扣款500元，在街道复核中存在未整改问题的每件扣款500元，在市、区“城市环境长效管理”工作复核中出现复核不通过，造成街道扣分的按市级每件扣款5000元、区级每件扣款1500元。2、因日常养护不到位，被“公众号”“曝光台”曝光的每件扣款2000元，被主流媒体曝光，造成社会恶劣影响的每件扣款5000元。3、</w:t>
      </w:r>
      <w:r>
        <w:rPr>
          <w:rFonts w:hint="eastAsia" w:asciiTheme="majorEastAsia" w:hAnsiTheme="majorEastAsia" w:eastAsiaTheme="majorEastAsia" w:cstheme="majorEastAsia"/>
          <w:color w:val="auto"/>
          <w:kern w:val="0"/>
          <w:sz w:val="24"/>
          <w:highlight w:val="none"/>
          <w:lang w:eastAsia="zh-CN"/>
        </w:rPr>
        <w:t>因</w:t>
      </w:r>
      <w:r>
        <w:rPr>
          <w:rFonts w:hint="eastAsia" w:asciiTheme="majorEastAsia" w:hAnsiTheme="majorEastAsia" w:eastAsiaTheme="majorEastAsia" w:cstheme="majorEastAsia"/>
          <w:color w:val="auto"/>
          <w:kern w:val="0"/>
          <w:sz w:val="24"/>
          <w:highlight w:val="none"/>
          <w:lang w:val="en-US" w:eastAsia="zh-CN"/>
        </w:rPr>
        <w:t>被上级部门评比为最不清洁城市道路的每条扣款5万元，最不整洁城市公厕的，每座扣款1万元。</w:t>
      </w:r>
    </w:p>
    <w:p>
      <w:pPr>
        <w:widowControl/>
        <w:adjustRightInd w:val="0"/>
        <w:snapToGrid w:val="0"/>
        <w:jc w:val="center"/>
        <w:rPr>
          <w:rFonts w:hint="eastAsia" w:asciiTheme="majorEastAsia" w:hAnsiTheme="majorEastAsia" w:eastAsiaTheme="majorEastAsia" w:cstheme="majorEastAsia"/>
          <w:b/>
          <w:bCs/>
          <w:color w:val="auto"/>
          <w:kern w:val="0"/>
          <w:sz w:val="30"/>
          <w:szCs w:val="30"/>
          <w:highlight w:val="none"/>
        </w:rPr>
      </w:pPr>
    </w:p>
    <w:p>
      <w:pPr>
        <w:widowControl/>
        <w:adjustRightInd w:val="0"/>
        <w:snapToGrid w:val="0"/>
        <w:jc w:val="center"/>
        <w:rPr>
          <w:rFonts w:hint="eastAsia"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kern w:val="0"/>
          <w:sz w:val="30"/>
          <w:szCs w:val="30"/>
          <w:highlight w:val="none"/>
        </w:rPr>
        <w:t>附件1、城市道路保洁分类管理考核评分标准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
        <w:gridCol w:w="1085"/>
        <w:gridCol w:w="595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99" w:type="dxa"/>
            <w:gridSpan w:val="2"/>
            <w:noWrap w:val="0"/>
            <w:vAlign w:val="center"/>
          </w:tcPr>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考核项目</w:t>
            </w:r>
          </w:p>
        </w:tc>
        <w:tc>
          <w:tcPr>
            <w:tcW w:w="1085" w:type="dxa"/>
            <w:noWrap w:val="0"/>
            <w:vAlign w:val="center"/>
          </w:tcPr>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项目内容</w:t>
            </w:r>
          </w:p>
        </w:tc>
        <w:tc>
          <w:tcPr>
            <w:tcW w:w="5953" w:type="dxa"/>
            <w:noWrap w:val="0"/>
            <w:vAlign w:val="center"/>
          </w:tcPr>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评分标准</w:t>
            </w:r>
          </w:p>
        </w:tc>
        <w:tc>
          <w:tcPr>
            <w:tcW w:w="818" w:type="dxa"/>
            <w:noWrap w:val="0"/>
            <w:vAlign w:val="center"/>
          </w:tcPr>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考核</w:t>
            </w:r>
          </w:p>
          <w:p>
            <w:pPr>
              <w:spacing w:line="300" w:lineRule="exact"/>
              <w:jc w:val="center"/>
              <w:rPr>
                <w:rFonts w:hint="eastAsia" w:ascii="仿宋_GB2312" w:hAnsi="仿宋" w:eastAsia="仿宋_GB2312" w:cs="仿宋"/>
                <w:b/>
                <w:sz w:val="21"/>
                <w:szCs w:val="21"/>
              </w:rPr>
            </w:pPr>
            <w:r>
              <w:rPr>
                <w:rFonts w:hint="eastAsia" w:ascii="仿宋_GB2312" w:hAnsi="仿宋" w:eastAsia="仿宋_GB2312" w:cs="仿宋"/>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道路清扫保洁</w:t>
            </w: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日常保洁</w:t>
            </w:r>
          </w:p>
        </w:tc>
        <w:tc>
          <w:tcPr>
            <w:tcW w:w="5953" w:type="dxa"/>
            <w:shd w:val="clear" w:color="auto" w:fill="FFFFFF"/>
            <w:noWrap w:val="0"/>
            <w:vAlign w:val="center"/>
          </w:tcPr>
          <w:p>
            <w:pPr>
              <w:numPr>
                <w:ilvl w:val="0"/>
                <w:numId w:val="3"/>
              </w:numPr>
              <w:spacing w:line="260" w:lineRule="exact"/>
              <w:rPr>
                <w:rFonts w:hint="eastAsia" w:ascii="仿宋_GB2312" w:hAnsi="仿宋" w:eastAsia="仿宋_GB2312" w:cs="仿宋"/>
                <w:sz w:val="21"/>
                <w:szCs w:val="21"/>
              </w:rPr>
            </w:pPr>
            <w:r>
              <w:rPr>
                <w:rFonts w:hint="eastAsia" w:ascii="仿宋_GB2312" w:hAnsi="仿宋" w:eastAsia="仿宋_GB2312" w:cs="仿宋"/>
                <w:sz w:val="21"/>
                <w:szCs w:val="21"/>
              </w:rPr>
              <w:t>未在规定时间内普扫的每条扣5分，未全路段普扫的每条扣</w:t>
            </w:r>
            <w:r>
              <w:rPr>
                <w:rFonts w:hint="eastAsia" w:ascii="仿宋_GB2312" w:hAnsi="仿宋" w:eastAsia="仿宋_GB2312" w:cs="仿宋"/>
                <w:sz w:val="21"/>
                <w:szCs w:val="21"/>
                <w:lang w:val="en-US" w:eastAsia="zh-CN"/>
              </w:rPr>
              <w:t>2</w:t>
            </w:r>
            <w:r>
              <w:rPr>
                <w:rFonts w:hint="eastAsia" w:ascii="仿宋_GB2312" w:hAnsi="仿宋" w:eastAsia="仿宋_GB2312" w:cs="仿宋"/>
                <w:sz w:val="21"/>
                <w:szCs w:val="21"/>
              </w:rPr>
              <w:t>分，机扫路面后垃圾未吸净而形成条或小堆的或清扫时将垃圾扫入窨井、雨水井、绿地等，扣</w:t>
            </w:r>
            <w:r>
              <w:rPr>
                <w:rFonts w:hint="eastAsia" w:ascii="仿宋_GB2312" w:hAnsi="仿宋" w:eastAsia="仿宋_GB2312" w:cs="仿宋"/>
                <w:sz w:val="21"/>
                <w:szCs w:val="21"/>
                <w:lang w:val="en-US" w:eastAsia="zh-CN"/>
              </w:rPr>
              <w:t>2</w:t>
            </w:r>
            <w:r>
              <w:rPr>
                <w:rFonts w:hint="eastAsia" w:ascii="仿宋_GB2312" w:hAnsi="仿宋" w:eastAsia="仿宋_GB2312" w:cs="仿宋"/>
                <w:sz w:val="21"/>
                <w:szCs w:val="21"/>
              </w:rPr>
              <w:t>分；恶劣天气下，应急保障不力的扣3分</w:t>
            </w:r>
            <w:r>
              <w:rPr>
                <w:rFonts w:hint="eastAsia" w:ascii="仿宋_GB2312" w:hAnsi="仿宋" w:eastAsia="仿宋_GB2312" w:cs="仿宋"/>
                <w:sz w:val="21"/>
                <w:szCs w:val="21"/>
                <w:lang w:eastAsia="zh-CN"/>
              </w:rPr>
              <w:t>，有重要保障任务，应急响应不及时的扣</w:t>
            </w:r>
            <w:r>
              <w:rPr>
                <w:rFonts w:hint="eastAsia" w:ascii="仿宋_GB2312" w:hAnsi="仿宋" w:eastAsia="仿宋_GB2312" w:cs="仿宋"/>
                <w:sz w:val="21"/>
                <w:szCs w:val="21"/>
                <w:lang w:val="en-US" w:eastAsia="zh-CN"/>
              </w:rPr>
              <w:t>3分</w:t>
            </w:r>
            <w:r>
              <w:rPr>
                <w:rFonts w:hint="eastAsia" w:ascii="仿宋_GB2312" w:hAnsi="仿宋" w:eastAsia="仿宋_GB2312" w:cs="仿宋"/>
                <w:sz w:val="21"/>
                <w:szCs w:val="21"/>
              </w:rPr>
              <w:t>。2.</w:t>
            </w:r>
            <w:r>
              <w:rPr>
                <w:rFonts w:hint="eastAsia" w:ascii="仿宋_GB2312" w:hAnsi="宋体" w:eastAsia="仿宋_GB2312" w:cs="宋体"/>
                <w:kern w:val="0"/>
                <w:sz w:val="21"/>
                <w:szCs w:val="21"/>
              </w:rPr>
              <w:t>日常保洁及道路红线外3米范围内</w:t>
            </w:r>
            <w:r>
              <w:rPr>
                <w:rFonts w:hint="eastAsia" w:ascii="仿宋_GB2312" w:hAnsi="仿宋" w:eastAsia="仿宋_GB2312" w:cs="仿宋"/>
                <w:sz w:val="21"/>
                <w:szCs w:val="21"/>
              </w:rPr>
              <w:t>不符合环卫保洁要求每处扣</w:t>
            </w:r>
            <w:r>
              <w:rPr>
                <w:rFonts w:hint="eastAsia" w:ascii="仿宋_GB2312" w:hAnsi="仿宋" w:eastAsia="仿宋_GB2312" w:cs="仿宋"/>
                <w:sz w:val="21"/>
                <w:szCs w:val="21"/>
                <w:lang w:val="en-US" w:eastAsia="zh-CN"/>
              </w:rPr>
              <w:t>0.5</w:t>
            </w:r>
            <w:r>
              <w:rPr>
                <w:rFonts w:hint="eastAsia" w:ascii="仿宋_GB2312" w:hAnsi="仿宋" w:eastAsia="仿宋_GB2312" w:cs="仿宋"/>
                <w:sz w:val="21"/>
                <w:szCs w:val="21"/>
              </w:rPr>
              <w:t>-5分，其中，道路路面、绿化带、树圈等有</w:t>
            </w:r>
            <w:r>
              <w:rPr>
                <w:rFonts w:hint="eastAsia" w:ascii="仿宋_GB2312" w:hAnsi="仿宋" w:eastAsia="仿宋_GB2312" w:cs="仿宋"/>
                <w:sz w:val="21"/>
                <w:szCs w:val="21"/>
                <w:lang w:eastAsia="zh-CN"/>
              </w:rPr>
              <w:t>白</w:t>
            </w:r>
            <w:r>
              <w:rPr>
                <w:rFonts w:hint="eastAsia" w:ascii="仿宋_GB2312" w:hAnsi="仿宋" w:eastAsia="仿宋_GB2312" w:cs="仿宋"/>
                <w:sz w:val="21"/>
                <w:szCs w:val="21"/>
              </w:rPr>
              <w:t>色垃圾、烟蒂的，扣</w:t>
            </w:r>
            <w:r>
              <w:rPr>
                <w:rFonts w:hint="eastAsia" w:ascii="仿宋_GB2312" w:hAnsi="仿宋" w:eastAsia="仿宋_GB2312" w:cs="仿宋"/>
                <w:sz w:val="21"/>
                <w:szCs w:val="21"/>
                <w:lang w:val="en-US" w:eastAsia="zh-CN"/>
              </w:rPr>
              <w:t>0</w:t>
            </w:r>
            <w:r>
              <w:rPr>
                <w:rFonts w:hint="eastAsia" w:ascii="仿宋_GB2312" w:hAnsi="仿宋" w:eastAsia="仿宋_GB2312" w:cs="仿宋"/>
                <w:sz w:val="21"/>
                <w:szCs w:val="21"/>
              </w:rPr>
              <w:t>.5分；有卫生死角、道路外成堆暴露垃圾未清理每处扣</w:t>
            </w:r>
            <w:r>
              <w:rPr>
                <w:rFonts w:hint="eastAsia" w:ascii="仿宋_GB2312" w:hAnsi="仿宋" w:eastAsia="仿宋_GB2312" w:cs="仿宋"/>
                <w:sz w:val="21"/>
                <w:szCs w:val="21"/>
                <w:lang w:val="en-US" w:eastAsia="zh-CN"/>
              </w:rPr>
              <w:t>2</w:t>
            </w:r>
            <w:r>
              <w:rPr>
                <w:rFonts w:hint="eastAsia" w:ascii="仿宋_GB2312" w:hAnsi="仿宋" w:eastAsia="仿宋_GB2312" w:cs="仿宋"/>
                <w:sz w:val="21"/>
                <w:szCs w:val="21"/>
              </w:rPr>
              <w:t>分；路面积泥（砂石）的每处扣</w:t>
            </w: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分；道路侧石积尘扣</w:t>
            </w:r>
            <w:r>
              <w:rPr>
                <w:rFonts w:hint="eastAsia" w:ascii="仿宋_GB2312" w:hAnsi="仿宋" w:eastAsia="仿宋_GB2312" w:cs="仿宋"/>
                <w:sz w:val="21"/>
                <w:szCs w:val="21"/>
                <w:lang w:val="en-US" w:eastAsia="zh-CN"/>
              </w:rPr>
              <w:t>0.5</w:t>
            </w:r>
            <w:r>
              <w:rPr>
                <w:rFonts w:hint="eastAsia" w:ascii="仿宋_GB2312" w:hAnsi="仿宋" w:eastAsia="仿宋_GB2312" w:cs="仿宋"/>
                <w:sz w:val="21"/>
                <w:szCs w:val="21"/>
              </w:rPr>
              <w:t>分，路面污渍、污水每处扣</w:t>
            </w:r>
            <w:r>
              <w:rPr>
                <w:rFonts w:hint="eastAsia" w:ascii="仿宋_GB2312" w:hAnsi="仿宋" w:eastAsia="仿宋_GB2312" w:cs="仿宋"/>
                <w:sz w:val="21"/>
                <w:szCs w:val="21"/>
                <w:lang w:val="en-US" w:eastAsia="zh-CN"/>
              </w:rPr>
              <w:t>0.5</w:t>
            </w:r>
            <w:r>
              <w:rPr>
                <w:rFonts w:hint="eastAsia" w:ascii="仿宋_GB2312" w:hAnsi="仿宋" w:eastAsia="仿宋_GB2312" w:cs="仿宋"/>
                <w:sz w:val="21"/>
                <w:szCs w:val="21"/>
              </w:rPr>
              <w:t>分；晴天道路明显积水、路面雨水井沟眼堵塞、有积泥（嵌石）每处扣</w:t>
            </w: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分；清扫保洁作业不规范导致路面扬尘的扣</w:t>
            </w:r>
            <w:r>
              <w:rPr>
                <w:rFonts w:hint="eastAsia" w:ascii="仿宋_GB2312" w:hAnsi="仿宋" w:eastAsia="仿宋_GB2312" w:cs="仿宋"/>
                <w:sz w:val="21"/>
                <w:szCs w:val="21"/>
                <w:lang w:val="en-US" w:eastAsia="zh-CN"/>
              </w:rPr>
              <w:t>3</w:t>
            </w:r>
            <w:r>
              <w:rPr>
                <w:rFonts w:hint="eastAsia" w:ascii="仿宋_GB2312" w:hAnsi="仿宋" w:eastAsia="仿宋_GB2312" w:cs="仿宋"/>
                <w:sz w:val="21"/>
                <w:szCs w:val="21"/>
              </w:rPr>
              <w:t>分；道路两侧有乱涂写、乱张贴的每处扣</w:t>
            </w:r>
            <w:r>
              <w:rPr>
                <w:rFonts w:hint="eastAsia" w:ascii="仿宋_GB2312" w:hAnsi="仿宋" w:eastAsia="仿宋_GB2312" w:cs="仿宋"/>
                <w:sz w:val="21"/>
                <w:szCs w:val="21"/>
                <w:lang w:val="en-US" w:eastAsia="zh-CN"/>
              </w:rPr>
              <w:t>0.5</w:t>
            </w:r>
            <w:r>
              <w:rPr>
                <w:rFonts w:hint="eastAsia" w:ascii="仿宋_GB2312" w:hAnsi="仿宋" w:eastAsia="仿宋_GB2312" w:cs="仿宋"/>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r>
              <w:rPr>
                <w:rFonts w:hint="eastAsia" w:ascii="仿宋_GB2312" w:hAnsi="仿宋" w:eastAsia="仿宋_GB2312" w:cs="仿宋"/>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rPr>
            </w:pPr>
          </w:p>
        </w:tc>
        <w:tc>
          <w:tcPr>
            <w:tcW w:w="1085" w:type="dxa"/>
            <w:shd w:val="clear" w:color="auto" w:fill="auto"/>
            <w:noWrap w:val="0"/>
            <w:vAlign w:val="center"/>
          </w:tcPr>
          <w:p>
            <w:pPr>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车辆管理</w:t>
            </w:r>
          </w:p>
        </w:tc>
        <w:tc>
          <w:tcPr>
            <w:tcW w:w="5953" w:type="dxa"/>
            <w:shd w:val="clear" w:color="auto" w:fill="FFFFFF"/>
            <w:noWrap w:val="0"/>
            <w:vAlign w:val="center"/>
          </w:tcPr>
          <w:p>
            <w:pPr>
              <w:spacing w:line="300" w:lineRule="exact"/>
              <w:rPr>
                <w:rFonts w:hint="eastAsia" w:ascii="仿宋_GB2312" w:hAnsi="仿宋" w:eastAsia="仿宋_GB2312" w:cs="仿宋"/>
                <w:sz w:val="21"/>
                <w:szCs w:val="21"/>
              </w:rPr>
            </w:pPr>
            <w:r>
              <w:rPr>
                <w:rFonts w:hint="eastAsia" w:ascii="仿宋_GB2312" w:hAnsi="仿宋" w:eastAsia="仿宋_GB2312" w:cs="仿宋"/>
                <w:sz w:val="21"/>
                <w:szCs w:val="21"/>
              </w:rPr>
              <w:t>未按照规定进行洒水、机扫、清洗的每次扣</w:t>
            </w: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分；机扫车、洒水车未按规定使用警示灯、提示音每次扣</w:t>
            </w: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环卫</w:t>
            </w:r>
          </w:p>
          <w:p>
            <w:pPr>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设施</w:t>
            </w:r>
          </w:p>
        </w:tc>
        <w:tc>
          <w:tcPr>
            <w:tcW w:w="1085" w:type="dxa"/>
            <w:shd w:val="clear" w:color="auto" w:fill="auto"/>
            <w:noWrap w:val="0"/>
            <w:vAlign w:val="center"/>
          </w:tcPr>
          <w:p>
            <w:pPr>
              <w:spacing w:line="300" w:lineRule="exact"/>
              <w:jc w:val="center"/>
              <w:rPr>
                <w:rFonts w:hint="eastAsia" w:ascii="仿宋_GB2312" w:hAnsi="仿宋" w:eastAsia="仿宋_GB2312" w:cs="仿宋"/>
                <w:spacing w:val="-4"/>
                <w:sz w:val="21"/>
                <w:szCs w:val="21"/>
              </w:rPr>
            </w:pPr>
            <w:r>
              <w:rPr>
                <w:rFonts w:hint="eastAsia" w:ascii="仿宋_GB2312" w:hAnsi="仿宋" w:eastAsia="仿宋_GB2312" w:cs="仿宋"/>
                <w:color w:val="auto"/>
                <w:spacing w:val="-4"/>
                <w:sz w:val="21"/>
                <w:szCs w:val="21"/>
              </w:rPr>
              <w:t>垃圾收集设施</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sz w:val="21"/>
                <w:szCs w:val="21"/>
              </w:rPr>
            </w:pPr>
            <w:r>
              <w:rPr>
                <w:rFonts w:hint="eastAsia" w:ascii="仿宋_GB2312" w:hAnsi="仿宋" w:eastAsia="仿宋_GB2312" w:cs="仿宋"/>
                <w:color w:val="auto"/>
                <w:sz w:val="21"/>
                <w:szCs w:val="21"/>
              </w:rPr>
              <w:t>垃圾收集设施设置不规范每处扣</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分。垃圾收集设施出现内外不洁、满溢等每处扣</w:t>
            </w:r>
            <w:r>
              <w:rPr>
                <w:rFonts w:hint="eastAsia" w:ascii="仿宋_GB2312" w:hAnsi="仿宋" w:eastAsia="仿宋_GB2312" w:cs="仿宋"/>
                <w:color w:val="auto"/>
                <w:sz w:val="21"/>
                <w:szCs w:val="21"/>
                <w:lang w:val="en-US" w:eastAsia="zh-CN"/>
              </w:rPr>
              <w:t>0</w:t>
            </w:r>
            <w:r>
              <w:rPr>
                <w:rFonts w:hint="eastAsia" w:ascii="仿宋_GB2312" w:hAnsi="仿宋" w:eastAsia="仿宋_GB2312" w:cs="仿宋"/>
                <w:color w:val="auto"/>
                <w:sz w:val="21"/>
                <w:szCs w:val="21"/>
              </w:rPr>
              <w:t>.5分；垃圾收集设施破损每处扣</w:t>
            </w:r>
            <w:r>
              <w:rPr>
                <w:rFonts w:hint="eastAsia" w:ascii="仿宋_GB2312" w:hAnsi="仿宋" w:eastAsia="仿宋_GB2312" w:cs="仿宋"/>
                <w:color w:val="auto"/>
                <w:sz w:val="21"/>
                <w:szCs w:val="21"/>
                <w:lang w:val="en-US" w:eastAsia="zh-CN"/>
              </w:rPr>
              <w:t>1</w:t>
            </w:r>
            <w:r>
              <w:rPr>
                <w:rFonts w:hint="eastAsia" w:ascii="仿宋_GB2312" w:hAnsi="仿宋" w:eastAsia="仿宋_GB2312" w:cs="仿宋"/>
                <w:color w:val="auto"/>
                <w:sz w:val="21"/>
                <w:szCs w:val="21"/>
              </w:rPr>
              <w:t>分。</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rPr>
            </w:pPr>
            <w:r>
              <w:rPr>
                <w:rFonts w:hint="eastAsia" w:ascii="仿宋_GB2312" w:hAnsi="仿宋" w:eastAsia="仿宋_GB2312" w:cs="仿宋"/>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rPr>
            </w:pPr>
            <w:r>
              <w:rPr>
                <w:rFonts w:hint="eastAsia" w:ascii="仿宋_GB2312" w:hAnsi="仿宋" w:eastAsia="仿宋_GB2312" w:cs="仿宋"/>
                <w:color w:val="auto"/>
                <w:sz w:val="21"/>
                <w:szCs w:val="21"/>
                <w:lang w:eastAsia="zh-CN"/>
              </w:rPr>
              <w:t>公厕制度、设施管理</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rPr>
            </w:pPr>
            <w:r>
              <w:rPr>
                <w:rFonts w:hint="eastAsia" w:ascii="仿宋_GB2312" w:hAnsi="宋体" w:eastAsia="仿宋_GB2312" w:cs="宋体"/>
                <w:color w:val="auto"/>
                <w:kern w:val="0"/>
                <w:sz w:val="21"/>
                <w:szCs w:val="21"/>
              </w:rPr>
              <w:t>未设置公厕管理制度牌和保洁质量监督牌，扣1.5分/处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标识标牌缺失，扣0.</w:t>
            </w:r>
            <w:r>
              <w:rPr>
                <w:rFonts w:hint="eastAsia" w:ascii="仿宋_GB2312" w:hAnsi="宋体" w:eastAsia="仿宋_GB2312" w:cs="宋体"/>
                <w:color w:val="auto"/>
                <w:kern w:val="0"/>
                <w:sz w:val="21"/>
                <w:szCs w:val="21"/>
                <w:lang w:val="en-US" w:eastAsia="zh-CN"/>
              </w:rPr>
              <w:t>5</w:t>
            </w:r>
            <w:r>
              <w:rPr>
                <w:rFonts w:hint="eastAsia" w:ascii="仿宋_GB2312" w:hAnsi="宋体" w:eastAsia="仿宋_GB2312" w:cs="宋体"/>
                <w:color w:val="auto"/>
                <w:kern w:val="0"/>
                <w:sz w:val="21"/>
                <w:szCs w:val="21"/>
              </w:rPr>
              <w:t>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无故关闭第三卫生间、无障碍间、男女厕位，扣3分/处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未免费向公众提供洗手液和手纸服务，扣</w:t>
            </w:r>
            <w:r>
              <w:rPr>
                <w:rFonts w:hint="eastAsia" w:ascii="仿宋_GB2312" w:hAnsi="宋体" w:eastAsia="仿宋_GB2312" w:cs="宋体"/>
                <w:color w:val="auto"/>
                <w:kern w:val="0"/>
                <w:sz w:val="21"/>
                <w:szCs w:val="21"/>
                <w:lang w:val="en-US" w:eastAsia="zh-CN"/>
              </w:rPr>
              <w:t>1</w:t>
            </w:r>
            <w:r>
              <w:rPr>
                <w:rFonts w:hint="eastAsia" w:ascii="仿宋_GB2312" w:hAnsi="宋体" w:eastAsia="仿宋_GB2312" w:cs="宋体"/>
                <w:color w:val="auto"/>
                <w:kern w:val="0"/>
                <w:sz w:val="21"/>
                <w:szCs w:val="21"/>
              </w:rPr>
              <w:t>分/处。</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center"/>
              <w:rPr>
                <w:rFonts w:hint="eastAsia" w:ascii="仿宋_GB2312" w:hAnsi="仿宋" w:eastAsia="仿宋_GB2312" w:cs="仿宋"/>
                <w:sz w:val="21"/>
                <w:szCs w:val="21"/>
              </w:rPr>
            </w:pPr>
          </w:p>
        </w:tc>
        <w:tc>
          <w:tcPr>
            <w:tcW w:w="1085" w:type="dxa"/>
            <w:shd w:val="clear" w:color="auto" w:fill="auto"/>
            <w:noWrap w:val="0"/>
            <w:vAlign w:val="center"/>
          </w:tcPr>
          <w:p>
            <w:pPr>
              <w:spacing w:line="300" w:lineRule="exact"/>
              <w:jc w:val="center"/>
              <w:rPr>
                <w:rFonts w:hint="eastAsia" w:ascii="仿宋_GB2312" w:hAnsi="仿宋" w:eastAsia="仿宋_GB2312" w:cs="仿宋"/>
                <w:color w:val="auto"/>
                <w:spacing w:val="-4"/>
                <w:sz w:val="21"/>
                <w:szCs w:val="21"/>
              </w:rPr>
            </w:pPr>
            <w:r>
              <w:rPr>
                <w:rFonts w:hint="eastAsia" w:ascii="仿宋_GB2312" w:hAnsi="仿宋" w:eastAsia="仿宋_GB2312" w:cs="仿宋"/>
                <w:color w:val="auto"/>
                <w:sz w:val="21"/>
                <w:szCs w:val="21"/>
                <w:lang w:eastAsia="zh-CN"/>
              </w:rPr>
              <w:t>公厕保洁管理</w:t>
            </w:r>
          </w:p>
        </w:tc>
        <w:tc>
          <w:tcPr>
            <w:tcW w:w="5953" w:type="dxa"/>
            <w:tcBorders>
              <w:bottom w:val="single" w:color="auto" w:sz="4" w:space="0"/>
            </w:tcBorders>
            <w:shd w:val="clear" w:color="auto" w:fill="FFFFFF"/>
            <w:noWrap w:val="0"/>
            <w:vAlign w:val="center"/>
          </w:tcPr>
          <w:p>
            <w:pPr>
              <w:spacing w:line="300" w:lineRule="exact"/>
              <w:rPr>
                <w:rFonts w:hint="eastAsia" w:ascii="仿宋_GB2312" w:hAnsi="仿宋" w:eastAsia="仿宋_GB2312" w:cs="仿宋"/>
                <w:color w:val="auto"/>
                <w:sz w:val="21"/>
                <w:szCs w:val="21"/>
              </w:rPr>
            </w:pPr>
            <w:r>
              <w:rPr>
                <w:rFonts w:hint="eastAsia" w:ascii="仿宋_GB2312" w:hAnsi="宋体" w:eastAsia="仿宋_GB2312" w:cs="宋体"/>
                <w:color w:val="auto"/>
                <w:kern w:val="0"/>
                <w:sz w:val="21"/>
                <w:szCs w:val="21"/>
              </w:rPr>
              <w:t>内外环境、厕位、墙面、地面和设施设备不洁 ，扣0.5分/处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未设置分类垃圾桶（其他垃圾、可回收物），垃圾桶或纸篓满溢，扣0.5分/处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有明显臭味，扣2分/处</w:t>
            </w:r>
            <w:r>
              <w:rPr>
                <w:rFonts w:hint="eastAsia" w:ascii="仿宋_GB2312" w:hAnsi="宋体" w:eastAsia="仿宋_GB2312" w:cs="宋体"/>
                <w:color w:val="auto"/>
                <w:kern w:val="0"/>
                <w:sz w:val="21"/>
                <w:szCs w:val="21"/>
                <w:lang w:eastAsia="zh-CN"/>
              </w:rPr>
              <w:t>；</w:t>
            </w:r>
            <w:r>
              <w:rPr>
                <w:rFonts w:hint="eastAsia" w:ascii="仿宋_GB2312" w:hAnsi="宋体" w:eastAsia="仿宋_GB2312" w:cs="宋体"/>
                <w:color w:val="auto"/>
                <w:kern w:val="0"/>
                <w:sz w:val="21"/>
                <w:szCs w:val="21"/>
              </w:rPr>
              <w:t>倒粪处以及大、小便器（槽）有水锈、尿垢、积粪，扣0.</w:t>
            </w:r>
            <w:r>
              <w:rPr>
                <w:rFonts w:hint="eastAsia" w:ascii="仿宋_GB2312" w:hAnsi="宋体" w:cs="宋体"/>
                <w:color w:val="auto"/>
                <w:kern w:val="0"/>
                <w:sz w:val="21"/>
                <w:szCs w:val="21"/>
                <w:lang w:val="en-US" w:eastAsia="zh-CN"/>
              </w:rPr>
              <w:t>5</w:t>
            </w:r>
            <w:r>
              <w:rPr>
                <w:rFonts w:hint="eastAsia" w:ascii="仿宋_GB2312" w:hAnsi="宋体" w:eastAsia="仿宋_GB2312" w:cs="宋体"/>
                <w:color w:val="auto"/>
                <w:kern w:val="0"/>
                <w:sz w:val="21"/>
                <w:szCs w:val="21"/>
              </w:rPr>
              <w:t>分/处</w:t>
            </w:r>
            <w:r>
              <w:rPr>
                <w:rFonts w:hint="eastAsia" w:ascii="仿宋_GB2312" w:hAnsi="宋体" w:eastAsia="仿宋_GB2312" w:cs="宋体"/>
                <w:color w:val="auto"/>
                <w:kern w:val="0"/>
                <w:sz w:val="21"/>
                <w:szCs w:val="21"/>
                <w:lang w:eastAsia="zh-CN"/>
              </w:rPr>
              <w:t>。</w:t>
            </w:r>
          </w:p>
        </w:tc>
        <w:tc>
          <w:tcPr>
            <w:tcW w:w="818" w:type="dxa"/>
            <w:tcBorders>
              <w:bottom w:val="single" w:color="auto" w:sz="4" w:space="0"/>
            </w:tcBorders>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rPr>
            </w:pPr>
            <w:r>
              <w:rPr>
                <w:rFonts w:hint="eastAsia" w:ascii="仿宋_GB2312" w:eastAsia="仿宋_GB2312"/>
                <w:sz w:val="21"/>
                <w:szCs w:val="21"/>
              </w:rPr>
              <w:t>道路    设施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
                <w:sz w:val="21"/>
                <w:szCs w:val="21"/>
              </w:rPr>
            </w:pPr>
            <w:r>
              <w:rPr>
                <w:rFonts w:hint="eastAsia" w:ascii="仿宋_GB2312" w:eastAsia="仿宋_GB2312"/>
                <w:sz w:val="21"/>
                <w:szCs w:val="21"/>
              </w:rPr>
              <w:t>养护</w:t>
            </w: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eastAsia="仿宋_GB2312"/>
                <w:sz w:val="21"/>
                <w:szCs w:val="21"/>
              </w:rPr>
              <w:t>路面养护</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rPr>
            </w:pPr>
            <w:r>
              <w:rPr>
                <w:rFonts w:hint="eastAsia" w:ascii="仿宋_GB2312" w:eastAsia="仿宋_GB2312"/>
                <w:sz w:val="21"/>
                <w:szCs w:val="21"/>
              </w:rPr>
              <w:t>路面裂缝每处扣1分,超出养护标准2倍扣3分；路面破损、网裂、接坡、碎裂等每处扣</w:t>
            </w:r>
            <w:r>
              <w:rPr>
                <w:rFonts w:hint="eastAsia" w:ascii="仿宋_GB2312" w:eastAsia="仿宋_GB2312"/>
                <w:sz w:val="21"/>
                <w:szCs w:val="21"/>
                <w:lang w:val="en-US" w:eastAsia="zh-CN"/>
              </w:rPr>
              <w:t>1</w:t>
            </w:r>
            <w:r>
              <w:rPr>
                <w:rFonts w:hint="eastAsia" w:ascii="仿宋_GB2312" w:eastAsia="仿宋_GB2312"/>
                <w:sz w:val="21"/>
                <w:szCs w:val="21"/>
              </w:rPr>
              <w:t>分；1平方米以内坑洞、坑槽每处扣</w:t>
            </w:r>
            <w:r>
              <w:rPr>
                <w:rFonts w:hint="eastAsia" w:ascii="仿宋_GB2312" w:eastAsia="仿宋_GB2312"/>
                <w:sz w:val="21"/>
                <w:szCs w:val="21"/>
                <w:lang w:val="en-US" w:eastAsia="zh-CN"/>
              </w:rPr>
              <w:t>1</w:t>
            </w:r>
            <w:r>
              <w:rPr>
                <w:rFonts w:hint="eastAsia" w:ascii="仿宋_GB2312" w:eastAsia="仿宋_GB2312"/>
                <w:sz w:val="21"/>
                <w:szCs w:val="21"/>
              </w:rPr>
              <w:t>分、超出1平方米扣</w:t>
            </w:r>
            <w:r>
              <w:rPr>
                <w:rFonts w:hint="eastAsia" w:ascii="仿宋_GB2312" w:eastAsia="仿宋_GB2312"/>
                <w:sz w:val="21"/>
                <w:szCs w:val="21"/>
                <w:lang w:val="en-US" w:eastAsia="zh-CN"/>
              </w:rPr>
              <w:t>3</w:t>
            </w:r>
            <w:r>
              <w:rPr>
                <w:rFonts w:hint="eastAsia" w:ascii="仿宋_GB2312" w:eastAsia="仿宋_GB2312"/>
                <w:sz w:val="21"/>
                <w:szCs w:val="21"/>
              </w:rPr>
              <w:t>分；下沉造成</w:t>
            </w:r>
            <w:r>
              <w:rPr>
                <w:rFonts w:hint="eastAsia" w:ascii="仿宋_GB2312" w:hAnsi="仿宋_GB2312" w:eastAsia="仿宋_GB2312" w:cs="仿宋_GB2312"/>
                <w:sz w:val="21"/>
                <w:szCs w:val="21"/>
              </w:rPr>
              <w:t>较大面积积水</w:t>
            </w:r>
            <w:r>
              <w:rPr>
                <w:rFonts w:hint="eastAsia" w:ascii="仿宋_GB2312" w:eastAsia="仿宋_GB2312"/>
                <w:sz w:val="21"/>
                <w:szCs w:val="21"/>
              </w:rPr>
              <w:t>每处</w:t>
            </w:r>
            <w:r>
              <w:rPr>
                <w:rFonts w:hint="eastAsia" w:ascii="仿宋_GB2312" w:hAnsi="仿宋_GB2312" w:eastAsia="仿宋_GB2312" w:cs="仿宋_GB2312"/>
                <w:sz w:val="21"/>
                <w:szCs w:val="21"/>
              </w:rPr>
              <w:t>扣</w:t>
            </w:r>
            <w:r>
              <w:rPr>
                <w:rFonts w:hint="eastAsia" w:ascii="仿宋_GB2312" w:hAnsi="仿宋_GB2312" w:eastAsia="仿宋_GB2312" w:cs="仿宋_GB2312"/>
                <w:sz w:val="21"/>
                <w:szCs w:val="21"/>
                <w:lang w:val="en-US" w:eastAsia="zh-CN"/>
              </w:rPr>
              <w:t>1</w:t>
            </w:r>
            <w:r>
              <w:rPr>
                <w:rFonts w:hint="eastAsia" w:ascii="仿宋_GB2312" w:eastAsia="仿宋_GB2312"/>
                <w:sz w:val="21"/>
                <w:szCs w:val="21"/>
              </w:rPr>
              <w:t>-</w:t>
            </w:r>
            <w:r>
              <w:rPr>
                <w:rFonts w:hint="eastAsia" w:ascii="仿宋_GB2312" w:eastAsia="仿宋_GB2312"/>
                <w:sz w:val="21"/>
                <w:szCs w:val="21"/>
                <w:lang w:val="en-US" w:eastAsia="zh-CN"/>
              </w:rPr>
              <w:t>3</w:t>
            </w:r>
            <w:r>
              <w:rPr>
                <w:rFonts w:hint="eastAsia" w:ascii="仿宋_GB2312" w:eastAsia="仿宋_GB2312"/>
                <w:sz w:val="21"/>
                <w:szCs w:val="21"/>
              </w:rPr>
              <w:t>分；路面其他病害每处扣2分。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sz w:val="21"/>
                <w:szCs w:val="21"/>
              </w:rPr>
            </w:pPr>
          </w:p>
        </w:tc>
        <w:tc>
          <w:tcPr>
            <w:tcW w:w="1085" w:type="dxa"/>
            <w:shd w:val="clear" w:color="auto" w:fill="auto"/>
            <w:noWrap w:val="0"/>
            <w:vAlign w:val="center"/>
          </w:tcPr>
          <w:p>
            <w:pPr>
              <w:tabs>
                <w:tab w:val="left" w:pos="339"/>
              </w:tabs>
              <w:spacing w:line="300" w:lineRule="exact"/>
              <w:jc w:val="left"/>
              <w:rPr>
                <w:rFonts w:hint="eastAsia" w:ascii="仿宋_GB2312" w:hAnsi="宋体" w:eastAsia="仿宋_GB2312" w:cs="宋体"/>
                <w:kern w:val="0"/>
                <w:sz w:val="21"/>
                <w:szCs w:val="21"/>
                <w:lang w:eastAsia="zh-CN"/>
              </w:rPr>
            </w:pPr>
            <w:r>
              <w:rPr>
                <w:rFonts w:hint="eastAsia" w:ascii="仿宋_GB2312" w:eastAsia="仿宋_GB2312"/>
                <w:sz w:val="21"/>
                <w:szCs w:val="21"/>
              </w:rPr>
              <w:t>人行道养护</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rPr>
            </w:pPr>
            <w:r>
              <w:rPr>
                <w:rFonts w:hint="eastAsia" w:ascii="仿宋_GB2312" w:eastAsia="仿宋_GB2312"/>
                <w:sz w:val="21"/>
                <w:szCs w:val="21"/>
              </w:rPr>
              <w:t>人行道破损每处扣</w:t>
            </w:r>
            <w:r>
              <w:rPr>
                <w:rFonts w:hint="eastAsia" w:ascii="仿宋_GB2312" w:eastAsia="仿宋_GB2312"/>
                <w:sz w:val="21"/>
                <w:szCs w:val="21"/>
                <w:lang w:val="en-US" w:eastAsia="zh-CN"/>
              </w:rPr>
              <w:t>1</w:t>
            </w:r>
            <w:r>
              <w:rPr>
                <w:rFonts w:hint="eastAsia" w:ascii="仿宋_GB2312" w:eastAsia="仿宋_GB2312"/>
                <w:sz w:val="21"/>
                <w:szCs w:val="21"/>
              </w:rPr>
              <w:t>分、松动每处扣</w:t>
            </w:r>
            <w:r>
              <w:rPr>
                <w:rFonts w:hint="eastAsia" w:ascii="仿宋_GB2312" w:eastAsia="仿宋_GB2312"/>
                <w:sz w:val="21"/>
                <w:szCs w:val="21"/>
                <w:lang w:val="en-US" w:eastAsia="zh-CN"/>
              </w:rPr>
              <w:t>0.5</w:t>
            </w:r>
            <w:r>
              <w:rPr>
                <w:rFonts w:hint="eastAsia" w:ascii="仿宋_GB2312" w:eastAsia="仿宋_GB2312"/>
                <w:sz w:val="21"/>
                <w:szCs w:val="21"/>
              </w:rPr>
              <w:t>分，超出养护标准2倍扣3分；1平方米以内坑洞、坑槽每处扣</w:t>
            </w:r>
            <w:r>
              <w:rPr>
                <w:rFonts w:hint="eastAsia" w:ascii="仿宋_GB2312" w:eastAsia="仿宋_GB2312"/>
                <w:sz w:val="21"/>
                <w:szCs w:val="21"/>
                <w:lang w:val="en-US" w:eastAsia="zh-CN"/>
              </w:rPr>
              <w:t>1</w:t>
            </w:r>
            <w:r>
              <w:rPr>
                <w:rFonts w:hint="eastAsia" w:ascii="仿宋_GB2312" w:eastAsia="仿宋_GB2312"/>
                <w:sz w:val="21"/>
                <w:szCs w:val="21"/>
              </w:rPr>
              <w:t>分、超出1平方米扣</w:t>
            </w:r>
            <w:r>
              <w:rPr>
                <w:rFonts w:hint="eastAsia" w:ascii="仿宋_GB2312" w:eastAsia="仿宋_GB2312"/>
                <w:sz w:val="21"/>
                <w:szCs w:val="21"/>
                <w:lang w:val="en-US" w:eastAsia="zh-CN"/>
              </w:rPr>
              <w:t>3</w:t>
            </w:r>
            <w:r>
              <w:rPr>
                <w:rFonts w:hint="eastAsia" w:ascii="仿宋_GB2312" w:eastAsia="仿宋_GB2312"/>
                <w:sz w:val="21"/>
                <w:szCs w:val="21"/>
              </w:rPr>
              <w:t>分；平侧石破损缺失每处扣</w:t>
            </w:r>
            <w:r>
              <w:rPr>
                <w:rFonts w:hint="eastAsia" w:ascii="仿宋_GB2312" w:eastAsia="仿宋_GB2312"/>
                <w:sz w:val="21"/>
                <w:szCs w:val="21"/>
                <w:lang w:val="en-US" w:eastAsia="zh-CN"/>
              </w:rPr>
              <w:t>1</w:t>
            </w:r>
            <w:r>
              <w:rPr>
                <w:rFonts w:hint="eastAsia" w:ascii="仿宋_GB2312" w:eastAsia="仿宋_GB2312"/>
                <w:sz w:val="21"/>
                <w:szCs w:val="21"/>
              </w:rPr>
              <w:t>分；无障碍设施不规范每处扣2分；人行道其他病害每处2分。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sz w:val="21"/>
                <w:szCs w:val="21"/>
              </w:rPr>
            </w:pP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eastAsia="仿宋_GB2312"/>
                <w:sz w:val="21"/>
                <w:szCs w:val="21"/>
              </w:rPr>
              <w:t>窨井盖养护</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rPr>
            </w:pPr>
            <w:r>
              <w:rPr>
                <w:rFonts w:hint="eastAsia" w:ascii="仿宋_GB2312" w:eastAsia="仿宋_GB2312"/>
                <w:sz w:val="21"/>
                <w:szCs w:val="21"/>
              </w:rPr>
              <w:t>雨水检查井盖、雨水篦子与道路存在较大高差或破损每处扣</w:t>
            </w:r>
            <w:r>
              <w:rPr>
                <w:rFonts w:hint="eastAsia" w:ascii="仿宋_GB2312" w:eastAsia="仿宋_GB2312"/>
                <w:sz w:val="21"/>
                <w:szCs w:val="21"/>
                <w:lang w:val="en-US" w:eastAsia="zh-CN"/>
              </w:rPr>
              <w:t>1</w:t>
            </w:r>
            <w:r>
              <w:rPr>
                <w:rFonts w:hint="eastAsia" w:ascii="仿宋_GB2312" w:eastAsia="仿宋_GB2312"/>
                <w:sz w:val="21"/>
                <w:szCs w:val="21"/>
              </w:rPr>
              <w:t>分；其他井盖与道路存在较大高差或破损每处扣</w:t>
            </w:r>
            <w:r>
              <w:rPr>
                <w:rFonts w:hint="eastAsia" w:ascii="仿宋_GB2312" w:eastAsia="仿宋_GB2312"/>
                <w:sz w:val="21"/>
                <w:szCs w:val="21"/>
                <w:lang w:val="en-US" w:eastAsia="zh-CN"/>
              </w:rPr>
              <w:t>1</w:t>
            </w:r>
            <w:r>
              <w:rPr>
                <w:rFonts w:hint="eastAsia" w:ascii="仿宋_GB2312" w:eastAsia="仿宋_GB2312"/>
                <w:sz w:val="21"/>
                <w:szCs w:val="21"/>
              </w:rPr>
              <w:t>分；窨井井圈、盖板存在破损、断裂的每处扣</w:t>
            </w:r>
            <w:r>
              <w:rPr>
                <w:rFonts w:hint="eastAsia" w:ascii="仿宋_GB2312" w:eastAsia="仿宋_GB2312"/>
                <w:sz w:val="21"/>
                <w:szCs w:val="21"/>
                <w:lang w:val="en-US" w:eastAsia="zh-CN"/>
              </w:rPr>
              <w:t>2</w:t>
            </w:r>
            <w:r>
              <w:rPr>
                <w:rFonts w:hint="eastAsia" w:ascii="仿宋_GB2312" w:eastAsia="仿宋_GB2312"/>
                <w:sz w:val="21"/>
                <w:szCs w:val="21"/>
              </w:rPr>
              <w:t>分，窨井盖板缺失等存在安全隐患的每处扣5分，反盖、错盖、松动每处扣</w:t>
            </w:r>
            <w:r>
              <w:rPr>
                <w:rFonts w:hint="eastAsia" w:ascii="仿宋_GB2312" w:eastAsia="仿宋_GB2312"/>
                <w:sz w:val="21"/>
                <w:szCs w:val="21"/>
                <w:lang w:val="en-US" w:eastAsia="zh-CN"/>
              </w:rPr>
              <w:t>1</w:t>
            </w:r>
            <w:r>
              <w:rPr>
                <w:rFonts w:hint="eastAsia" w:ascii="仿宋_GB2312" w:eastAsia="仿宋_GB2312"/>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jc w:val="left"/>
              <w:rPr>
                <w:rFonts w:hint="eastAsia" w:ascii="仿宋_GB2312" w:hAnsi="仿宋" w:eastAsia="仿宋_GB2312" w:cs="仿宋"/>
                <w:sz w:val="21"/>
                <w:szCs w:val="21"/>
              </w:rPr>
            </w:pPr>
          </w:p>
        </w:tc>
        <w:tc>
          <w:tcPr>
            <w:tcW w:w="1085" w:type="dxa"/>
            <w:shd w:val="clear" w:color="auto" w:fill="auto"/>
            <w:noWrap w:val="0"/>
            <w:vAlign w:val="center"/>
          </w:tcPr>
          <w:p>
            <w:pPr>
              <w:tabs>
                <w:tab w:val="left" w:pos="279"/>
              </w:tabs>
              <w:spacing w:line="300" w:lineRule="exact"/>
              <w:jc w:val="left"/>
              <w:rPr>
                <w:rFonts w:hint="eastAsia" w:ascii="仿宋_GB2312" w:eastAsia="仿宋_GB2312"/>
                <w:sz w:val="21"/>
                <w:szCs w:val="21"/>
                <w:lang w:eastAsia="zh-CN"/>
              </w:rPr>
            </w:pPr>
            <w:r>
              <w:rPr>
                <w:rFonts w:hint="eastAsia" w:ascii="仿宋_GB2312" w:eastAsia="仿宋_GB2312"/>
                <w:sz w:val="21"/>
                <w:szCs w:val="21"/>
              </w:rPr>
              <w:t>市政基础设施完整率</w:t>
            </w:r>
          </w:p>
        </w:tc>
        <w:tc>
          <w:tcPr>
            <w:tcW w:w="5953" w:type="dxa"/>
            <w:shd w:val="clear" w:color="auto" w:fill="FFFFFF"/>
            <w:noWrap w:val="0"/>
            <w:vAlign w:val="center"/>
          </w:tcPr>
          <w:p>
            <w:pPr>
              <w:spacing w:line="300" w:lineRule="exact"/>
              <w:rPr>
                <w:rFonts w:hint="eastAsia" w:ascii="仿宋_GB2312" w:eastAsia="仿宋_GB2312"/>
                <w:sz w:val="21"/>
                <w:szCs w:val="21"/>
              </w:rPr>
            </w:pPr>
            <w:r>
              <w:rPr>
                <w:rFonts w:hint="eastAsia" w:ascii="仿宋_GB2312" w:eastAsia="仿宋_GB2312"/>
                <w:sz w:val="21"/>
                <w:szCs w:val="21"/>
              </w:rPr>
              <w:t>道路无人行道设施或人行道成段断缺、未设置无障碍设施、无照明设施等每处扣</w:t>
            </w:r>
            <w:r>
              <w:rPr>
                <w:rFonts w:hint="eastAsia" w:ascii="仿宋_GB2312" w:eastAsia="仿宋_GB2312"/>
                <w:sz w:val="21"/>
                <w:szCs w:val="21"/>
                <w:lang w:val="en-US" w:eastAsia="zh-CN"/>
              </w:rPr>
              <w:t>1</w:t>
            </w:r>
            <w:r>
              <w:rPr>
                <w:rFonts w:hint="eastAsia" w:ascii="仿宋_GB2312" w:eastAsia="仿宋_GB2312"/>
                <w:sz w:val="21"/>
                <w:szCs w:val="21"/>
              </w:rPr>
              <w:t>-</w:t>
            </w:r>
            <w:r>
              <w:rPr>
                <w:rFonts w:hint="eastAsia" w:ascii="仿宋_GB2312" w:eastAsia="仿宋_GB2312"/>
                <w:sz w:val="21"/>
                <w:szCs w:val="21"/>
                <w:lang w:val="en-US" w:eastAsia="zh-CN"/>
              </w:rPr>
              <w:t>5</w:t>
            </w:r>
            <w:r>
              <w:rPr>
                <w:rFonts w:hint="eastAsia" w:ascii="仿宋_GB2312" w:eastAsia="仿宋_GB2312"/>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
                <w:sz w:val="21"/>
                <w:szCs w:val="21"/>
              </w:rPr>
            </w:pPr>
            <w:r>
              <w:rPr>
                <w:rFonts w:hint="eastAsia" w:ascii="仿宋_GB2312" w:eastAsia="仿宋_GB2312"/>
                <w:sz w:val="21"/>
                <w:szCs w:val="21"/>
              </w:rPr>
              <w:t>排水设施</w:t>
            </w:r>
          </w:p>
        </w:tc>
        <w:tc>
          <w:tcPr>
            <w:tcW w:w="1085" w:type="dxa"/>
            <w:shd w:val="clear" w:color="auto" w:fill="auto"/>
            <w:noWrap w:val="0"/>
            <w:vAlign w:val="center"/>
          </w:tcPr>
          <w:p>
            <w:pPr>
              <w:spacing w:line="300" w:lineRule="exact"/>
              <w:jc w:val="center"/>
              <w:rPr>
                <w:rFonts w:hint="eastAsia" w:ascii="仿宋_GB2312" w:eastAsia="仿宋_GB2312"/>
                <w:sz w:val="21"/>
                <w:szCs w:val="21"/>
              </w:rPr>
            </w:pPr>
            <w:r>
              <w:rPr>
                <w:rFonts w:hint="eastAsia" w:ascii="仿宋_GB2312" w:eastAsia="仿宋_GB2312"/>
                <w:spacing w:val="-8"/>
                <w:sz w:val="21"/>
                <w:szCs w:val="21"/>
              </w:rPr>
              <w:t>市政管网清淤专项检查</w:t>
            </w:r>
          </w:p>
        </w:tc>
        <w:tc>
          <w:tcPr>
            <w:tcW w:w="5953" w:type="dxa"/>
            <w:shd w:val="clear" w:color="auto" w:fill="FFFFFF"/>
            <w:noWrap w:val="0"/>
            <w:vAlign w:val="center"/>
          </w:tcPr>
          <w:p>
            <w:pPr>
              <w:spacing w:line="300" w:lineRule="exact"/>
              <w:rPr>
                <w:rFonts w:hint="eastAsia" w:ascii="仿宋_GB2312" w:eastAsia="仿宋_GB2312"/>
                <w:sz w:val="21"/>
                <w:szCs w:val="21"/>
              </w:rPr>
            </w:pPr>
            <w:r>
              <w:rPr>
                <w:rFonts w:hint="eastAsia" w:ascii="仿宋_GB2312" w:eastAsia="仿宋_GB2312"/>
                <w:spacing w:val="-8"/>
                <w:sz w:val="21"/>
                <w:szCs w:val="21"/>
              </w:rPr>
              <w:t>市政管网堵塞每处扣2分；积泥严重每处扣2分；</w:t>
            </w:r>
            <w:r>
              <w:rPr>
                <w:rFonts w:hint="eastAsia" w:ascii="仿宋_GB2312" w:eastAsia="仿宋_GB2312"/>
                <w:sz w:val="21"/>
                <w:szCs w:val="21"/>
              </w:rPr>
              <w:t>雨污不分的每处扣3分；</w:t>
            </w:r>
            <w:r>
              <w:rPr>
                <w:rFonts w:hint="eastAsia" w:ascii="仿宋_GB2312" w:eastAsia="仿宋_GB2312"/>
                <w:spacing w:val="-8"/>
                <w:sz w:val="21"/>
                <w:szCs w:val="21"/>
              </w:rPr>
              <w:t>雨污井无防坠网的每处扣3分，存在安全隐患的扣</w:t>
            </w:r>
            <w:r>
              <w:rPr>
                <w:rFonts w:hint="eastAsia" w:ascii="仿宋_GB2312" w:eastAsia="仿宋_GB2312"/>
                <w:spacing w:val="-8"/>
                <w:sz w:val="21"/>
                <w:szCs w:val="21"/>
                <w:lang w:val="en-US" w:eastAsia="zh-CN"/>
              </w:rPr>
              <w:t>5</w:t>
            </w:r>
            <w:r>
              <w:rPr>
                <w:rFonts w:hint="eastAsia" w:ascii="仿宋_GB2312" w:eastAsia="仿宋_GB2312"/>
                <w:spacing w:val="-8"/>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spacing w:line="300" w:lineRule="exact"/>
              <w:jc w:val="center"/>
              <w:rPr>
                <w:rFonts w:hint="eastAsia" w:ascii="仿宋_GB2312" w:eastAsia="仿宋_GB2312"/>
                <w:sz w:val="21"/>
                <w:szCs w:val="21"/>
                <w:lang w:val="en-US" w:eastAsia="zh-CN"/>
              </w:rPr>
            </w:pPr>
            <w:r>
              <w:rPr>
                <w:rFonts w:hint="eastAsia" w:ascii="仿宋_GB2312" w:eastAsia="仿宋_GB2312"/>
                <w:color w:val="auto"/>
                <w:sz w:val="21"/>
                <w:szCs w:val="21"/>
              </w:rPr>
              <w:t>路灯设施养护</w:t>
            </w:r>
          </w:p>
        </w:tc>
        <w:tc>
          <w:tcPr>
            <w:tcW w:w="1085" w:type="dxa"/>
            <w:shd w:val="clear" w:color="auto" w:fill="auto"/>
            <w:noWrap w:val="0"/>
            <w:vAlign w:val="center"/>
          </w:tcPr>
          <w:p>
            <w:pPr>
              <w:spacing w:line="300" w:lineRule="exact"/>
              <w:jc w:val="center"/>
              <w:rPr>
                <w:rFonts w:hint="eastAsia" w:ascii="仿宋_GB2312" w:eastAsia="仿宋_GB2312"/>
                <w:spacing w:val="-8"/>
                <w:sz w:val="21"/>
                <w:szCs w:val="21"/>
              </w:rPr>
            </w:pPr>
            <w:r>
              <w:rPr>
                <w:rFonts w:hint="eastAsia" w:ascii="仿宋_GB2312" w:eastAsia="仿宋_GB2312"/>
                <w:color w:val="auto"/>
                <w:sz w:val="21"/>
                <w:szCs w:val="21"/>
              </w:rPr>
              <w:t>亮灯率</w:t>
            </w:r>
          </w:p>
        </w:tc>
        <w:tc>
          <w:tcPr>
            <w:tcW w:w="5953" w:type="dxa"/>
            <w:shd w:val="clear" w:color="auto" w:fill="FFFFFF"/>
            <w:noWrap w:val="0"/>
            <w:vAlign w:val="center"/>
          </w:tcPr>
          <w:p>
            <w:pPr>
              <w:spacing w:line="300" w:lineRule="exact"/>
              <w:rPr>
                <w:rFonts w:hint="eastAsia" w:ascii="仿宋_GB2312" w:eastAsia="仿宋_GB2312"/>
                <w:spacing w:val="-8"/>
                <w:sz w:val="21"/>
                <w:szCs w:val="21"/>
              </w:rPr>
            </w:pPr>
            <w:r>
              <w:rPr>
                <w:rFonts w:hint="eastAsia" w:ascii="仿宋_GB2312" w:eastAsia="仿宋_GB2312"/>
                <w:color w:val="auto"/>
                <w:sz w:val="21"/>
                <w:szCs w:val="21"/>
              </w:rPr>
              <w:t>亮灯率低于99%的每下降1%扣</w:t>
            </w:r>
            <w:r>
              <w:rPr>
                <w:rFonts w:hint="eastAsia" w:ascii="仿宋_GB2312" w:eastAsia="仿宋_GB2312"/>
                <w:color w:val="auto"/>
                <w:sz w:val="21"/>
                <w:szCs w:val="21"/>
                <w:lang w:val="en-US" w:eastAsia="zh-CN"/>
              </w:rPr>
              <w:t>1</w:t>
            </w:r>
            <w:r>
              <w:rPr>
                <w:rFonts w:hint="eastAsia" w:ascii="仿宋_GB2312" w:eastAsia="仿宋_GB2312"/>
                <w:color w:val="auto"/>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shd w:val="clear" w:color="auto" w:fill="auto"/>
            <w:noWrap w:val="0"/>
            <w:vAlign w:val="center"/>
          </w:tcPr>
          <w:p>
            <w:pPr>
              <w:spacing w:line="300" w:lineRule="exact"/>
              <w:jc w:val="center"/>
              <w:rPr>
                <w:rFonts w:hint="eastAsia" w:ascii="仿宋_GB2312" w:eastAsia="仿宋_GB2312"/>
                <w:spacing w:val="-8"/>
                <w:sz w:val="21"/>
                <w:szCs w:val="21"/>
              </w:rPr>
            </w:pPr>
            <w:r>
              <w:rPr>
                <w:rFonts w:hint="eastAsia" w:ascii="仿宋_GB2312" w:eastAsia="仿宋_GB2312"/>
                <w:color w:val="auto"/>
                <w:sz w:val="21"/>
                <w:szCs w:val="21"/>
              </w:rPr>
              <w:t>群众投诉</w:t>
            </w:r>
          </w:p>
        </w:tc>
        <w:tc>
          <w:tcPr>
            <w:tcW w:w="5953" w:type="dxa"/>
            <w:shd w:val="clear" w:color="auto" w:fill="FFFFFF"/>
            <w:noWrap w:val="0"/>
            <w:vAlign w:val="center"/>
          </w:tcPr>
          <w:p>
            <w:pPr>
              <w:spacing w:line="300" w:lineRule="exact"/>
              <w:rPr>
                <w:rFonts w:hint="eastAsia" w:ascii="仿宋_GB2312" w:eastAsia="仿宋_GB2312"/>
                <w:spacing w:val="-8"/>
                <w:sz w:val="21"/>
                <w:szCs w:val="21"/>
              </w:rPr>
            </w:pPr>
            <w:r>
              <w:rPr>
                <w:rFonts w:hint="eastAsia" w:ascii="仿宋_GB2312" w:eastAsia="仿宋_GB2312"/>
                <w:color w:val="auto"/>
                <w:sz w:val="21"/>
                <w:szCs w:val="21"/>
              </w:rPr>
              <w:t>投诉未按时亮熄灯，每处每次扣</w:t>
            </w:r>
            <w:r>
              <w:rPr>
                <w:rFonts w:hint="eastAsia" w:ascii="仿宋_GB2312" w:eastAsia="仿宋_GB2312"/>
                <w:color w:val="auto"/>
                <w:sz w:val="21"/>
                <w:szCs w:val="21"/>
                <w:lang w:val="en-US" w:eastAsia="zh-CN"/>
              </w:rPr>
              <w:t>1</w:t>
            </w:r>
            <w:r>
              <w:rPr>
                <w:rFonts w:hint="eastAsia" w:ascii="仿宋_GB2312" w:eastAsia="仿宋_GB2312"/>
                <w:color w:val="auto"/>
                <w:sz w:val="21"/>
                <w:szCs w:val="21"/>
              </w:rPr>
              <w:t>分;投诉管养不到位有一盏不亮，扣</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shd w:val="clear" w:color="auto" w:fill="auto"/>
            <w:noWrap w:val="0"/>
            <w:vAlign w:val="center"/>
          </w:tcPr>
          <w:p>
            <w:pPr>
              <w:tabs>
                <w:tab w:val="left" w:pos="354"/>
              </w:tabs>
              <w:spacing w:line="300" w:lineRule="exact"/>
              <w:jc w:val="left"/>
              <w:rPr>
                <w:rFonts w:hint="eastAsia" w:ascii="仿宋_GB2312" w:eastAsia="仿宋_GB2312"/>
                <w:color w:val="auto"/>
                <w:sz w:val="21"/>
                <w:szCs w:val="21"/>
                <w:lang w:eastAsia="zh-CN"/>
              </w:rPr>
            </w:pPr>
            <w:r>
              <w:rPr>
                <w:rFonts w:hint="eastAsia" w:ascii="仿宋_GB2312" w:eastAsia="仿宋_GB2312"/>
                <w:color w:val="auto"/>
                <w:sz w:val="21"/>
                <w:szCs w:val="21"/>
              </w:rPr>
              <w:t>设施完好率</w:t>
            </w:r>
          </w:p>
        </w:tc>
        <w:tc>
          <w:tcPr>
            <w:tcW w:w="5953" w:type="dxa"/>
            <w:shd w:val="clear" w:color="auto" w:fill="FFFFFF"/>
            <w:noWrap w:val="0"/>
            <w:vAlign w:val="center"/>
          </w:tcPr>
          <w:p>
            <w:pPr>
              <w:spacing w:line="300" w:lineRule="exact"/>
              <w:rPr>
                <w:rFonts w:hint="eastAsia" w:ascii="仿宋_GB2312" w:eastAsia="仿宋_GB2312"/>
                <w:color w:val="auto"/>
                <w:sz w:val="21"/>
                <w:szCs w:val="21"/>
              </w:rPr>
            </w:pPr>
            <w:r>
              <w:rPr>
                <w:rFonts w:hint="eastAsia" w:ascii="仿宋_GB2312" w:eastAsia="仿宋_GB2312"/>
                <w:color w:val="auto"/>
                <w:sz w:val="21"/>
                <w:szCs w:val="21"/>
              </w:rPr>
              <w:t>路灯设施倾斜、缺损每处扣</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分；油漆剥落和锈斑、外观不整洁每处扣</w:t>
            </w:r>
            <w:r>
              <w:rPr>
                <w:rFonts w:hint="eastAsia" w:ascii="仿宋_GB2312" w:eastAsia="仿宋_GB2312"/>
                <w:color w:val="auto"/>
                <w:sz w:val="21"/>
                <w:szCs w:val="21"/>
                <w:lang w:val="en-US" w:eastAsia="zh-CN"/>
              </w:rPr>
              <w:t>0.5</w:t>
            </w:r>
            <w:r>
              <w:rPr>
                <w:rFonts w:hint="eastAsia" w:ascii="仿宋_GB2312" w:eastAsia="仿宋_GB2312"/>
                <w:color w:val="auto"/>
                <w:sz w:val="21"/>
                <w:szCs w:val="21"/>
              </w:rPr>
              <w:t>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eastAsia="仿宋_GB2312"/>
                <w:sz w:val="21"/>
                <w:szCs w:val="21"/>
                <w:lang w:val="en-US" w:eastAsia="zh-CN"/>
              </w:rPr>
            </w:pPr>
            <w:r>
              <w:rPr>
                <w:rFonts w:hint="eastAsia" w:ascii="仿宋_GB2312" w:eastAsia="仿宋_GB2312"/>
                <w:sz w:val="21"/>
                <w:szCs w:val="21"/>
              </w:rPr>
              <w:t>安全文明施工</w:t>
            </w:r>
          </w:p>
        </w:tc>
        <w:tc>
          <w:tcPr>
            <w:tcW w:w="1085" w:type="dxa"/>
            <w:shd w:val="clear" w:color="auto" w:fill="auto"/>
            <w:noWrap w:val="0"/>
            <w:vAlign w:val="center"/>
          </w:tcPr>
          <w:p>
            <w:pPr>
              <w:tabs>
                <w:tab w:val="left" w:pos="354"/>
              </w:tabs>
              <w:spacing w:line="300" w:lineRule="exact"/>
              <w:jc w:val="left"/>
              <w:rPr>
                <w:rFonts w:hint="eastAsia" w:ascii="仿宋_GB2312" w:eastAsia="仿宋_GB2312"/>
                <w:color w:val="auto"/>
                <w:sz w:val="21"/>
                <w:szCs w:val="21"/>
                <w:lang w:eastAsia="zh-CN"/>
              </w:rPr>
            </w:pPr>
            <w:r>
              <w:rPr>
                <w:rFonts w:hint="eastAsia" w:ascii="仿宋_GB2312" w:hAnsi="宋体" w:eastAsia="仿宋_GB2312" w:cs="宋体"/>
                <w:kern w:val="0"/>
                <w:sz w:val="21"/>
                <w:szCs w:val="21"/>
              </w:rPr>
              <w:t>安全管理</w:t>
            </w:r>
          </w:p>
        </w:tc>
        <w:tc>
          <w:tcPr>
            <w:tcW w:w="5953" w:type="dxa"/>
            <w:shd w:val="clear" w:color="auto" w:fill="FFFFFF"/>
            <w:noWrap w:val="0"/>
            <w:vAlign w:val="center"/>
          </w:tcPr>
          <w:p>
            <w:pPr>
              <w:spacing w:line="300" w:lineRule="exact"/>
              <w:rPr>
                <w:rFonts w:hint="eastAsia" w:ascii="仿宋_GB2312" w:eastAsia="仿宋_GB2312"/>
                <w:color w:val="auto"/>
                <w:sz w:val="21"/>
                <w:szCs w:val="21"/>
              </w:rPr>
            </w:pPr>
            <w:r>
              <w:rPr>
                <w:rFonts w:hint="eastAsia" w:ascii="仿宋_GB2312" w:hAnsi="宋体" w:eastAsia="仿宋_GB2312" w:cs="宋体"/>
                <w:kern w:val="0"/>
                <w:sz w:val="21"/>
                <w:szCs w:val="21"/>
              </w:rPr>
              <w:t>环卫工人未按规定着装、不遵守交通规则、未文明规范作业，环卫车辆未设置反光标识每处</w:t>
            </w:r>
            <w:r>
              <w:rPr>
                <w:rFonts w:hint="eastAsia" w:ascii="仿宋_GB2312" w:hAnsi="仿宋" w:eastAsia="仿宋_GB2312" w:cs="仿宋"/>
                <w:sz w:val="21"/>
                <w:szCs w:val="21"/>
              </w:rPr>
              <w:t>扣2分</w:t>
            </w:r>
            <w:r>
              <w:rPr>
                <w:rFonts w:hint="eastAsia" w:ascii="仿宋_GB2312" w:hAnsi="宋体" w:eastAsia="仿宋_GB2312" w:cs="宋体"/>
                <w:kern w:val="0"/>
                <w:sz w:val="21"/>
                <w:szCs w:val="21"/>
              </w:rPr>
              <w:t>。</w:t>
            </w:r>
            <w:r>
              <w:rPr>
                <w:rFonts w:hint="eastAsia" w:ascii="仿宋_GB2312" w:hAnsi="仿宋" w:eastAsia="仿宋_GB2312" w:cs="仿宋"/>
                <w:sz w:val="21"/>
                <w:szCs w:val="21"/>
              </w:rPr>
              <w:t>因上述原因造成安全事故未上报扣2分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vMerge w:val="restart"/>
            <w:shd w:val="clear" w:color="auto" w:fill="auto"/>
            <w:noWrap w:val="0"/>
            <w:vAlign w:val="center"/>
          </w:tcPr>
          <w:p>
            <w:pPr>
              <w:tabs>
                <w:tab w:val="left" w:pos="354"/>
              </w:tabs>
              <w:spacing w:line="300" w:lineRule="exact"/>
              <w:jc w:val="left"/>
              <w:rPr>
                <w:rFonts w:hint="eastAsia" w:ascii="仿宋_GB2312" w:hAnsi="宋体" w:eastAsia="仿宋_GB2312" w:cs="宋体"/>
                <w:kern w:val="0"/>
                <w:sz w:val="21"/>
                <w:szCs w:val="21"/>
              </w:rPr>
            </w:pPr>
            <w:r>
              <w:rPr>
                <w:rFonts w:hint="eastAsia" w:ascii="仿宋_GB2312" w:eastAsia="仿宋_GB2312"/>
                <w:sz w:val="21"/>
                <w:szCs w:val="21"/>
              </w:rPr>
              <w:t>养护作业</w:t>
            </w: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宋体" w:eastAsia="仿宋_GB2312" w:cs="宋体"/>
                <w:kern w:val="0"/>
                <w:sz w:val="21"/>
                <w:szCs w:val="21"/>
              </w:rPr>
            </w:pPr>
            <w:r>
              <w:rPr>
                <w:rFonts w:hint="eastAsia" w:ascii="仿宋_GB2312" w:eastAsia="仿宋_GB2312"/>
                <w:sz w:val="21"/>
                <w:szCs w:val="21"/>
              </w:rPr>
              <w:t>发现违章施工每次扣3分，养护不当存在安全隐患的每处扣5分。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vMerge w:val="continue"/>
            <w:shd w:val="clear" w:color="auto" w:fill="auto"/>
            <w:noWrap w:val="0"/>
            <w:vAlign w:val="center"/>
          </w:tcPr>
          <w:p>
            <w:pPr>
              <w:tabs>
                <w:tab w:val="left" w:pos="354"/>
              </w:tabs>
              <w:spacing w:line="300" w:lineRule="exact"/>
              <w:jc w:val="left"/>
              <w:rPr>
                <w:rFonts w:hint="eastAsia" w:ascii="仿宋_GB2312" w:hAnsi="宋体" w:eastAsia="仿宋_GB2312" w:cs="宋体"/>
                <w:kern w:val="0"/>
                <w:sz w:val="21"/>
                <w:szCs w:val="21"/>
              </w:rPr>
            </w:pPr>
          </w:p>
        </w:tc>
        <w:tc>
          <w:tcPr>
            <w:tcW w:w="595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宋体" w:eastAsia="仿宋_GB2312" w:cs="宋体"/>
                <w:kern w:val="0"/>
                <w:sz w:val="21"/>
                <w:szCs w:val="21"/>
              </w:rPr>
            </w:pPr>
            <w:r>
              <w:rPr>
                <w:rFonts w:hint="eastAsia" w:ascii="仿宋_GB2312" w:eastAsia="仿宋_GB2312"/>
                <w:sz w:val="21"/>
                <w:szCs w:val="21"/>
              </w:rPr>
              <w:t>不文明施工，无围护扣5分、围护不到位扣2分、着装不规范扣2分。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9" w:type="dxa"/>
            <w:gridSpan w:val="2"/>
            <w:vMerge w:val="continue"/>
            <w:shd w:val="clear" w:color="auto" w:fill="auto"/>
            <w:noWrap w:val="0"/>
            <w:vAlign w:val="center"/>
          </w:tcPr>
          <w:p>
            <w:pPr>
              <w:spacing w:line="300" w:lineRule="exact"/>
              <w:ind w:firstLine="538" w:firstLineChars="0"/>
              <w:jc w:val="left"/>
              <w:rPr>
                <w:rFonts w:hint="eastAsia" w:ascii="仿宋_GB2312" w:eastAsia="仿宋_GB2312"/>
                <w:sz w:val="21"/>
                <w:szCs w:val="21"/>
                <w:lang w:val="en-US" w:eastAsia="zh-CN"/>
              </w:rPr>
            </w:pPr>
          </w:p>
        </w:tc>
        <w:tc>
          <w:tcPr>
            <w:tcW w:w="1085" w:type="dxa"/>
            <w:shd w:val="clear" w:color="auto" w:fill="auto"/>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eastAsia="仿宋_GB2312"/>
                <w:sz w:val="21"/>
                <w:szCs w:val="21"/>
              </w:rPr>
              <w:t>监督管理</w:t>
            </w:r>
          </w:p>
        </w:tc>
        <w:tc>
          <w:tcPr>
            <w:tcW w:w="5953" w:type="dxa"/>
            <w:shd w:val="clear" w:color="auto" w:fill="FFFFFF"/>
            <w:noWrap w:val="0"/>
            <w:vAlign w:val="center"/>
          </w:tcPr>
          <w:p>
            <w:pPr>
              <w:spacing w:line="300" w:lineRule="exact"/>
              <w:rPr>
                <w:rFonts w:hint="eastAsia" w:ascii="仿宋_GB2312" w:hAnsi="宋体" w:eastAsia="仿宋_GB2312" w:cs="宋体"/>
                <w:kern w:val="0"/>
                <w:sz w:val="21"/>
                <w:szCs w:val="21"/>
              </w:rPr>
            </w:pPr>
            <w:r>
              <w:rPr>
                <w:rFonts w:hint="eastAsia" w:ascii="仿宋_GB2312" w:eastAsia="仿宋_GB2312"/>
                <w:sz w:val="21"/>
                <w:szCs w:val="21"/>
              </w:rPr>
              <w:t>未经审批私自开挖市政道路或未按市政养护规范要求恢复，及管养区域其他市政设施不规范问题等每处扣</w:t>
            </w:r>
            <w:r>
              <w:rPr>
                <w:rFonts w:ascii="仿宋_GB2312" w:eastAsia="仿宋_GB2312"/>
                <w:sz w:val="21"/>
                <w:szCs w:val="21"/>
              </w:rPr>
              <w:t>2-</w:t>
            </w:r>
            <w:r>
              <w:rPr>
                <w:rFonts w:hint="eastAsia" w:ascii="仿宋_GB2312" w:eastAsia="仿宋_GB2312"/>
                <w:sz w:val="21"/>
                <w:szCs w:val="21"/>
              </w:rPr>
              <w:t>5分。</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92" w:type="dxa"/>
            <w:noWrap w:val="0"/>
            <w:vAlign w:val="center"/>
          </w:tcPr>
          <w:p>
            <w:pPr>
              <w:spacing w:line="300" w:lineRule="exact"/>
              <w:jc w:val="center"/>
              <w:rPr>
                <w:rFonts w:hint="eastAsia" w:ascii="仿宋_GB2312" w:hAnsi="宋体" w:eastAsia="仿宋_GB2312" w:cs="宋体"/>
                <w:kern w:val="0"/>
                <w:sz w:val="21"/>
                <w:szCs w:val="21"/>
              </w:rPr>
            </w:pPr>
            <w:r>
              <w:rPr>
                <w:rFonts w:hint="eastAsia" w:ascii="仿宋_GB2312" w:hAnsi="仿宋" w:eastAsia="仿宋_GB2312" w:cs="仿宋"/>
                <w:sz w:val="21"/>
                <w:szCs w:val="21"/>
                <w:lang w:eastAsia="zh-CN"/>
              </w:rPr>
              <w:t>其它事宜</w:t>
            </w:r>
          </w:p>
        </w:tc>
        <w:tc>
          <w:tcPr>
            <w:tcW w:w="7045" w:type="dxa"/>
            <w:gridSpan w:val="3"/>
            <w:noWrap w:val="0"/>
            <w:vAlign w:val="center"/>
          </w:tcPr>
          <w:p>
            <w:pPr>
              <w:spacing w:line="300" w:lineRule="exact"/>
              <w:rPr>
                <w:rFonts w:hint="eastAsia" w:ascii="仿宋_GB2312" w:hAnsi="仿宋" w:eastAsia="仿宋_GB2312" w:cs="仿宋"/>
                <w:sz w:val="21"/>
                <w:szCs w:val="21"/>
              </w:rPr>
            </w:pP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37" w:type="dxa"/>
            <w:gridSpan w:val="4"/>
            <w:noWrap w:val="0"/>
            <w:vAlign w:val="center"/>
          </w:tcPr>
          <w:p>
            <w:pPr>
              <w:spacing w:line="300" w:lineRule="exact"/>
              <w:jc w:val="center"/>
              <w:rPr>
                <w:rFonts w:hint="eastAsia" w:ascii="仿宋_GB2312" w:hAnsi="仿宋" w:eastAsia="仿宋_GB2312" w:cs="仿宋"/>
                <w:sz w:val="21"/>
                <w:szCs w:val="21"/>
              </w:rPr>
            </w:pPr>
            <w:r>
              <w:rPr>
                <w:rFonts w:hint="eastAsia" w:ascii="仿宋_GB2312" w:hAnsi="宋体" w:eastAsia="仿宋_GB2312" w:cs="宋体"/>
                <w:kern w:val="0"/>
                <w:sz w:val="21"/>
                <w:szCs w:val="21"/>
              </w:rPr>
              <w:t>评分合计</w:t>
            </w:r>
          </w:p>
        </w:tc>
        <w:tc>
          <w:tcPr>
            <w:tcW w:w="818" w:type="dxa"/>
            <w:noWrap w:val="0"/>
            <w:vAlign w:val="center"/>
          </w:tcPr>
          <w:p>
            <w:pPr>
              <w:spacing w:line="300" w:lineRule="exact"/>
              <w:rPr>
                <w:rFonts w:hint="eastAsia" w:ascii="仿宋_GB2312" w:hAnsi="仿宋" w:eastAsia="仿宋_GB2312"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92" w:type="dxa"/>
            <w:noWrap w:val="0"/>
            <w:vAlign w:val="center"/>
          </w:tcPr>
          <w:p>
            <w:pPr>
              <w:widowControl/>
              <w:spacing w:line="300" w:lineRule="exact"/>
              <w:jc w:val="center"/>
              <w:rPr>
                <w:rFonts w:hint="eastAsia" w:ascii="仿宋_GB2312" w:hAnsi="仿宋" w:eastAsia="仿宋_GB2312" w:cs="仿宋"/>
                <w:sz w:val="21"/>
                <w:szCs w:val="21"/>
              </w:rPr>
            </w:pPr>
            <w:r>
              <w:rPr>
                <w:rFonts w:hint="eastAsia" w:ascii="仿宋_GB2312" w:hAnsi="仿宋" w:eastAsia="仿宋_GB2312" w:cs="仿宋"/>
                <w:sz w:val="21"/>
                <w:szCs w:val="21"/>
              </w:rPr>
              <w:t>备注</w:t>
            </w:r>
          </w:p>
        </w:tc>
        <w:tc>
          <w:tcPr>
            <w:tcW w:w="7045" w:type="dxa"/>
            <w:gridSpan w:val="3"/>
            <w:noWrap w:val="0"/>
            <w:vAlign w:val="center"/>
          </w:tcPr>
          <w:p>
            <w:pPr>
              <w:widowControl/>
              <w:spacing w:line="300" w:lineRule="exact"/>
              <w:rPr>
                <w:rFonts w:hint="eastAsia" w:ascii="仿宋_GB2312" w:eastAsia="仿宋_GB2312"/>
                <w:sz w:val="21"/>
                <w:szCs w:val="21"/>
              </w:rPr>
            </w:pPr>
            <w:r>
              <w:rPr>
                <w:rFonts w:hint="eastAsia" w:ascii="仿宋_GB2312" w:hAnsi="仿宋" w:eastAsia="仿宋_GB2312" w:cs="仿宋"/>
                <w:sz w:val="21"/>
                <w:szCs w:val="21"/>
              </w:rPr>
              <w:t>1.</w:t>
            </w:r>
            <w:r>
              <w:rPr>
                <w:rFonts w:hint="eastAsia" w:ascii="仿宋_GB2312" w:hAnsi="仿宋" w:eastAsia="仿宋_GB2312" w:cs="仿宋"/>
                <w:sz w:val="21"/>
                <w:szCs w:val="21"/>
                <w:lang w:eastAsia="zh-CN"/>
              </w:rPr>
              <w:t>其它</w:t>
            </w:r>
            <w:r>
              <w:rPr>
                <w:rFonts w:hint="eastAsia" w:ascii="仿宋_GB2312" w:hAnsi="仿宋" w:eastAsia="仿宋_GB2312" w:cs="仿宋"/>
                <w:sz w:val="21"/>
                <w:szCs w:val="21"/>
              </w:rPr>
              <w:t>未尽事宜，当月可视情况酌情</w:t>
            </w:r>
            <w:r>
              <w:rPr>
                <w:rFonts w:hint="eastAsia" w:ascii="仿宋_GB2312" w:hAnsi="宋体" w:eastAsia="仿宋_GB2312" w:cs="宋体"/>
                <w:kern w:val="0"/>
                <w:sz w:val="21"/>
                <w:szCs w:val="21"/>
              </w:rPr>
              <w:t>加、扣1-5分。</w:t>
            </w:r>
          </w:p>
        </w:tc>
        <w:tc>
          <w:tcPr>
            <w:tcW w:w="818" w:type="dxa"/>
            <w:noWrap w:val="0"/>
            <w:vAlign w:val="center"/>
          </w:tcPr>
          <w:p>
            <w:pPr>
              <w:spacing w:line="300" w:lineRule="exact"/>
              <w:rPr>
                <w:rFonts w:hint="eastAsia" w:ascii="仿宋_GB2312" w:hAnsi="仿宋" w:eastAsia="仿宋_GB2312" w:cs="仿宋"/>
                <w:sz w:val="21"/>
                <w:szCs w:val="21"/>
              </w:rPr>
            </w:pPr>
          </w:p>
        </w:tc>
      </w:tr>
    </w:tbl>
    <w:p>
      <w:pPr>
        <w:adjustRightInd w:val="0"/>
        <w:snapToGrid w:val="0"/>
        <w:rPr>
          <w:rFonts w:hint="eastAsia" w:asciiTheme="majorEastAsia" w:hAnsiTheme="majorEastAsia" w:eastAsiaTheme="majorEastAsia" w:cstheme="majorEastAsia"/>
          <w:color w:val="auto"/>
          <w:kern w:val="0"/>
          <w:sz w:val="24"/>
          <w:highlight w:val="none"/>
        </w:rPr>
      </w:pPr>
    </w:p>
    <w:p>
      <w:pPr>
        <w:adjustRightInd w:val="0"/>
        <w:snapToGrid w:val="0"/>
        <w:rPr>
          <w:rFonts w:hint="eastAsia" w:asciiTheme="majorEastAsia" w:hAnsiTheme="majorEastAsia" w:eastAsiaTheme="majorEastAsia" w:cstheme="majorEastAsia"/>
          <w:b/>
          <w:bCs/>
          <w:color w:val="auto"/>
          <w:kern w:val="0"/>
          <w:sz w:val="30"/>
          <w:szCs w:val="30"/>
          <w:highlight w:val="none"/>
          <w:lang w:val="en-US" w:eastAsia="zh-CN" w:bidi="ar-SA"/>
        </w:rPr>
      </w:pPr>
      <w:r>
        <w:rPr>
          <w:rFonts w:hint="eastAsia" w:asciiTheme="majorEastAsia" w:hAnsiTheme="majorEastAsia" w:eastAsiaTheme="majorEastAsia" w:cstheme="majorEastAsia"/>
          <w:color w:val="auto"/>
          <w:kern w:val="0"/>
          <w:sz w:val="24"/>
          <w:highlight w:val="none"/>
        </w:rPr>
        <w:t>备注：1、未注明从当月清洁度中扣分的项目，均从被检道路中扣分。</w:t>
      </w:r>
    </w:p>
    <w:p>
      <w:pPr>
        <w:pStyle w:val="6"/>
        <w:tabs>
          <w:tab w:val="left" w:pos="1110"/>
          <w:tab w:val="clear" w:pos="432"/>
        </w:tabs>
        <w:jc w:val="center"/>
        <w:rPr>
          <w:rFonts w:hint="eastAsia" w:asciiTheme="majorEastAsia" w:hAnsiTheme="majorEastAsia" w:eastAsiaTheme="majorEastAsia" w:cstheme="majorEastAsia"/>
          <w:b/>
          <w:bCs/>
          <w:color w:val="auto"/>
          <w:kern w:val="0"/>
          <w:sz w:val="30"/>
          <w:szCs w:val="30"/>
          <w:highlight w:val="none"/>
          <w:lang w:val="en-US" w:eastAsia="zh-CN" w:bidi="ar-SA"/>
        </w:rPr>
      </w:pPr>
      <w:r>
        <w:rPr>
          <w:rFonts w:hint="eastAsia" w:asciiTheme="majorEastAsia" w:hAnsiTheme="majorEastAsia" w:eastAsiaTheme="majorEastAsia" w:cstheme="majorEastAsia"/>
          <w:b/>
          <w:bCs/>
          <w:color w:val="auto"/>
          <w:kern w:val="0"/>
          <w:sz w:val="30"/>
          <w:szCs w:val="30"/>
          <w:highlight w:val="none"/>
          <w:lang w:val="en-US" w:eastAsia="zh-CN" w:bidi="ar-SA"/>
        </w:rPr>
        <w:t>附件2、园林绿化养护管理考核评分细则</w:t>
      </w:r>
    </w:p>
    <w:tbl>
      <w:tblPr>
        <w:tblStyle w:val="64"/>
        <w:tblW w:w="0" w:type="auto"/>
        <w:tblInd w:w="93" w:type="dxa"/>
        <w:tblLayout w:type="fixed"/>
        <w:tblCellMar>
          <w:top w:w="0" w:type="dxa"/>
          <w:left w:w="108" w:type="dxa"/>
          <w:bottom w:w="0" w:type="dxa"/>
          <w:right w:w="108" w:type="dxa"/>
        </w:tblCellMar>
      </w:tblPr>
      <w:tblGrid>
        <w:gridCol w:w="900"/>
        <w:gridCol w:w="6975"/>
        <w:gridCol w:w="1095"/>
      </w:tblGrid>
      <w:tr>
        <w:tblPrEx>
          <w:tblCellMar>
            <w:top w:w="0" w:type="dxa"/>
            <w:left w:w="108" w:type="dxa"/>
            <w:bottom w:w="0" w:type="dxa"/>
            <w:right w:w="108" w:type="dxa"/>
          </w:tblCellMar>
        </w:tblPrEx>
        <w:trPr>
          <w:trHeight w:val="5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s="宋体"/>
                <w:b/>
                <w:kern w:val="0"/>
                <w:sz w:val="21"/>
                <w:szCs w:val="21"/>
              </w:rPr>
            </w:pPr>
            <w:r>
              <w:rPr>
                <w:rFonts w:hint="eastAsia" w:ascii="仿宋_GB2312" w:eastAsia="仿宋_GB2312" w:cs="宋体"/>
                <w:b/>
                <w:kern w:val="0"/>
                <w:sz w:val="21"/>
                <w:szCs w:val="21"/>
              </w:rPr>
              <w:t>考核</w:t>
            </w:r>
          </w:p>
          <w:p>
            <w:pPr>
              <w:spacing w:line="320" w:lineRule="exact"/>
              <w:jc w:val="center"/>
              <w:rPr>
                <w:rFonts w:ascii="仿宋_GB2312" w:eastAsia="仿宋_GB2312" w:cs="宋体"/>
                <w:b/>
                <w:kern w:val="0"/>
                <w:sz w:val="21"/>
                <w:szCs w:val="21"/>
              </w:rPr>
            </w:pPr>
            <w:r>
              <w:rPr>
                <w:rFonts w:hint="eastAsia" w:ascii="仿宋_GB2312" w:eastAsia="仿宋_GB2312" w:cs="宋体"/>
                <w:b/>
                <w:kern w:val="0"/>
                <w:sz w:val="21"/>
                <w:szCs w:val="21"/>
              </w:rPr>
              <w:t>项目</w:t>
            </w:r>
          </w:p>
        </w:tc>
        <w:tc>
          <w:tcPr>
            <w:tcW w:w="69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_GB2312" w:eastAsia="仿宋_GB2312" w:cs="宋体"/>
                <w:b/>
                <w:kern w:val="0"/>
                <w:sz w:val="21"/>
                <w:szCs w:val="21"/>
              </w:rPr>
            </w:pPr>
            <w:r>
              <w:rPr>
                <w:rFonts w:hint="eastAsia" w:ascii="仿宋_GB2312" w:eastAsia="仿宋_GB2312" w:cs="宋体"/>
                <w:b/>
                <w:kern w:val="0"/>
                <w:sz w:val="21"/>
                <w:szCs w:val="21"/>
              </w:rPr>
              <w:t>评分细则</w:t>
            </w:r>
          </w:p>
        </w:tc>
        <w:tc>
          <w:tcPr>
            <w:tcW w:w="10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eastAsia="仿宋_GB2312" w:cs="宋体"/>
                <w:b/>
                <w:kern w:val="0"/>
                <w:sz w:val="21"/>
                <w:szCs w:val="21"/>
              </w:rPr>
            </w:pPr>
            <w:r>
              <w:rPr>
                <w:rFonts w:hint="eastAsia" w:ascii="仿宋_GB2312" w:eastAsia="仿宋_GB2312" w:cs="宋体"/>
                <w:b/>
                <w:kern w:val="0"/>
                <w:sz w:val="21"/>
                <w:szCs w:val="21"/>
              </w:rPr>
              <w:t>考核</w:t>
            </w:r>
          </w:p>
          <w:p>
            <w:pPr>
              <w:spacing w:line="320" w:lineRule="exact"/>
              <w:jc w:val="center"/>
              <w:rPr>
                <w:rFonts w:ascii="仿宋_GB2312" w:eastAsia="仿宋_GB2312" w:cs="宋体"/>
                <w:b/>
                <w:kern w:val="0"/>
                <w:sz w:val="21"/>
                <w:szCs w:val="21"/>
              </w:rPr>
            </w:pPr>
            <w:r>
              <w:rPr>
                <w:rFonts w:hint="eastAsia" w:ascii="仿宋_GB2312" w:eastAsia="仿宋_GB2312" w:cs="宋体"/>
                <w:b/>
                <w:kern w:val="0"/>
                <w:sz w:val="21"/>
                <w:szCs w:val="21"/>
              </w:rPr>
              <w:t>分值</w:t>
            </w:r>
          </w:p>
        </w:tc>
      </w:tr>
      <w:tr>
        <w:tblPrEx>
          <w:tblCellMar>
            <w:top w:w="0" w:type="dxa"/>
            <w:left w:w="108" w:type="dxa"/>
            <w:bottom w:w="0" w:type="dxa"/>
            <w:right w:w="108" w:type="dxa"/>
          </w:tblCellMar>
        </w:tblPrEx>
        <w:trPr>
          <w:trHeight w:val="540" w:hRule="atLeast"/>
        </w:trPr>
        <w:tc>
          <w:tcPr>
            <w:tcW w:w="900" w:type="dxa"/>
            <w:vMerge w:val="restart"/>
            <w:tcBorders>
              <w:top w:val="nil"/>
              <w:left w:val="single" w:color="auto" w:sz="4" w:space="0"/>
              <w:right w:val="single" w:color="auto" w:sz="4" w:space="0"/>
            </w:tcBorders>
            <w:noWrap w:val="0"/>
            <w:vAlign w:val="center"/>
          </w:tcPr>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植</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物</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基</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本</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养</w:t>
            </w:r>
          </w:p>
          <w:p>
            <w:pPr>
              <w:spacing w:line="400" w:lineRule="exact"/>
              <w:jc w:val="center"/>
              <w:rPr>
                <w:rFonts w:hint="eastAsia" w:ascii="仿宋_GB2312" w:eastAsia="仿宋_GB2312" w:cs="宋体"/>
                <w:strike/>
                <w:kern w:val="0"/>
                <w:sz w:val="21"/>
                <w:szCs w:val="21"/>
              </w:rPr>
            </w:pPr>
            <w:r>
              <w:rPr>
                <w:rFonts w:hint="eastAsia" w:ascii="仿宋_GB2312" w:eastAsia="仿宋_GB2312" w:cs="宋体"/>
                <w:kern w:val="0"/>
                <w:sz w:val="21"/>
                <w:szCs w:val="21"/>
              </w:rPr>
              <w:t>护</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行道树和乔木死株、缺株，每处扣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w:t>
            </w:r>
            <w:r>
              <w:rPr>
                <w:rFonts w:hint="eastAsia" w:ascii="仿宋_GB2312" w:cs="宋体"/>
                <w:kern w:val="0"/>
                <w:sz w:val="21"/>
                <w:szCs w:val="21"/>
                <w:lang w:val="en-US" w:eastAsia="zh-CN"/>
              </w:rPr>
              <w:t>3</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cs="宋体"/>
                <w:kern w:val="0"/>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行道树和乔木支撑不规范、支撑架倒塌、断桩、坏桩、树木倾斜严重，每处扣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行道树和乔木病虫枝、枯枝、伤损枝、徒长枝超过养护标准的，未疏枝、树皮开裂、孔洞未及时填补，每处扣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分；修剪不规范造成树木严重受损的，每处扣</w:t>
            </w:r>
            <w:r>
              <w:rPr>
                <w:rFonts w:hint="eastAsia" w:ascii="仿宋_GB2312" w:eastAsia="仿宋_GB2312" w:cs="宋体"/>
                <w:kern w:val="0"/>
                <w:sz w:val="21"/>
                <w:szCs w:val="21"/>
                <w:lang w:val="en-US" w:eastAsia="zh-CN"/>
              </w:rPr>
              <w:t>1</w:t>
            </w:r>
            <w:r>
              <w:rPr>
                <w:rFonts w:hint="eastAsia" w:ascii="仿宋_GB2312" w:eastAsia="仿宋_GB2312" w:cs="宋体"/>
                <w:kern w:val="0"/>
                <w:sz w:val="21"/>
                <w:szCs w:val="21"/>
              </w:rPr>
              <w:t>分，沿线出现严重修剪问题每次扣</w:t>
            </w:r>
            <w:r>
              <w:rPr>
                <w:rFonts w:hint="eastAsia" w:ascii="仿宋_GB2312" w:eastAsia="仿宋_GB2312" w:cs="宋体"/>
                <w:kern w:val="0"/>
                <w:sz w:val="21"/>
                <w:szCs w:val="21"/>
                <w:lang w:val="en-US" w:eastAsia="zh-CN"/>
              </w:rPr>
              <w:t>2</w:t>
            </w:r>
            <w:r>
              <w:rPr>
                <w:rFonts w:hint="eastAsia" w:ascii="仿宋_GB2312" w:eastAsia="仿宋_GB2312" w:cs="宋体"/>
                <w:kern w:val="0"/>
                <w:sz w:val="21"/>
                <w:szCs w:val="21"/>
              </w:rPr>
              <w:t>-</w:t>
            </w:r>
            <w:r>
              <w:rPr>
                <w:rFonts w:hint="eastAsia" w:ascii="仿宋_GB2312" w:cs="宋体"/>
                <w:kern w:val="0"/>
                <w:sz w:val="21"/>
                <w:szCs w:val="21"/>
                <w:lang w:val="en-US" w:eastAsia="zh-CN"/>
              </w:rPr>
              <w:t>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行道树和乔木长势不佳、偏冠严重、无冠幅，每处扣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分；树木长势较弱，黄叶、焦叶、落叶株数较多，每处扣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树穴土壤高于侧石、板结、填充物缺失，每处扣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分；0.5平方米以内树穴裸露扣</w:t>
            </w:r>
            <w:r>
              <w:rPr>
                <w:rFonts w:hint="eastAsia" w:ascii="仿宋_GB2312" w:cs="宋体"/>
                <w:kern w:val="0"/>
                <w:sz w:val="21"/>
                <w:szCs w:val="21"/>
                <w:lang w:val="en-US" w:eastAsia="zh-CN"/>
              </w:rPr>
              <w:t>1</w:t>
            </w:r>
            <w:r>
              <w:rPr>
                <w:rFonts w:hint="eastAsia" w:ascii="仿宋_GB2312" w:eastAsia="仿宋_GB2312" w:cs="宋体"/>
                <w:kern w:val="0"/>
                <w:sz w:val="21"/>
                <w:szCs w:val="21"/>
              </w:rPr>
              <w:t>分，超出0.5平方米每处扣</w:t>
            </w:r>
            <w:r>
              <w:rPr>
                <w:rFonts w:hint="eastAsia" w:ascii="仿宋_GB2312" w:cs="宋体"/>
                <w:kern w:val="0"/>
                <w:sz w:val="21"/>
                <w:szCs w:val="21"/>
                <w:lang w:val="en-US" w:eastAsia="zh-CN"/>
              </w:rPr>
              <w:t>2</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lang w:val="en-US" w:eastAsia="zh-CN"/>
              </w:rPr>
            </w:pPr>
            <w:r>
              <w:rPr>
                <w:rFonts w:hint="eastAsia" w:ascii="仿宋_GB2312" w:eastAsia="仿宋_GB2312"/>
                <w:spacing w:val="-8"/>
                <w:sz w:val="21"/>
                <w:szCs w:val="21"/>
                <w:lang w:val="en-US" w:eastAsia="zh-CN"/>
              </w:rPr>
              <w:t xml:space="preserve">  </w:t>
            </w: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绿篱和灌木出现死株、缺株、混种、小道、杂株返祖的、绿植倒伏，每处</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分；0.5平方米以内黄土裸露每处扣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分，超出0.5平方米每处扣</w:t>
            </w:r>
            <w:r>
              <w:rPr>
                <w:rFonts w:hint="eastAsia" w:ascii="仿宋_GB2312" w:eastAsia="仿宋_GB2312" w:cs="宋体"/>
                <w:kern w:val="0"/>
                <w:sz w:val="21"/>
                <w:szCs w:val="21"/>
                <w:lang w:val="en-US" w:eastAsia="zh-CN"/>
              </w:rPr>
              <w:t>1.5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绿篱和灌木修剪不规范、不平整、窜条、高度影响交通视线的，每处扣2分。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草坪高度超出养护标准、草坪边缘不清淅、草坪空秃、草坪覆盖率低的，每处扣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分，0.5平方米以内黄土裸露的，每处扣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分，超出0.5平方米每处扣</w:t>
            </w:r>
            <w:r>
              <w:rPr>
                <w:rFonts w:hint="eastAsia" w:ascii="仿宋_GB2312" w:eastAsia="仿宋_GB2312" w:cs="宋体"/>
                <w:kern w:val="0"/>
                <w:sz w:val="21"/>
                <w:szCs w:val="21"/>
                <w:lang w:val="en-US" w:eastAsia="zh-CN"/>
              </w:rPr>
              <w:t>1.5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绿地内杂草超过养护标准的，每处扣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r>
              <w:rPr>
                <w:rFonts w:ascii="仿宋_GB2312" w:eastAsia="仿宋_GB2312" w:cs="宋体"/>
                <w:kern w:val="0"/>
                <w:sz w:val="21"/>
                <w:szCs w:val="21"/>
              </w:rPr>
              <w:t xml:space="preserve"> </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eastAsia="仿宋_GB2312" w:cs="宋体"/>
                <w:kern w:val="0"/>
                <w:sz w:val="21"/>
                <w:szCs w:val="21"/>
              </w:rPr>
            </w:pPr>
            <w:r>
              <w:rPr>
                <w:rFonts w:hint="eastAsia" w:ascii="仿宋_GB2312" w:eastAsia="仿宋_GB2312" w:cs="宋体"/>
                <w:kern w:val="0"/>
                <w:sz w:val="21"/>
                <w:szCs w:val="21"/>
              </w:rPr>
              <w:t>花坛花箱内时花缺株、倒伏、枯枝残花、杂草垃圾等每处扣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ascii="仿宋_GB2312" w:eastAsia="仿宋_GB2312" w:cs="宋体"/>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eastAsia="仿宋_GB2312" w:cs="宋体"/>
                <w:kern w:val="0"/>
                <w:sz w:val="21"/>
                <w:szCs w:val="21"/>
              </w:rPr>
            </w:pPr>
            <w:r>
              <w:rPr>
                <w:rFonts w:hint="eastAsia" w:ascii="仿宋_GB2312" w:eastAsia="仿宋_GB2312" w:cs="宋体"/>
                <w:kern w:val="0"/>
                <w:sz w:val="21"/>
                <w:szCs w:val="21"/>
              </w:rPr>
              <w:t>绿化补种不规范、以及绿地养护出现其他问题的每处扣</w:t>
            </w:r>
            <w:r>
              <w:rPr>
                <w:rFonts w:hint="eastAsia" w:ascii="仿宋_GB2312" w:cs="宋体"/>
                <w:kern w:val="0"/>
                <w:sz w:val="21"/>
                <w:szCs w:val="21"/>
                <w:lang w:val="en-US" w:eastAsia="zh-CN"/>
              </w:rPr>
              <w:t>1</w:t>
            </w:r>
            <w:r>
              <w:rPr>
                <w:rFonts w:hint="eastAsia" w:ascii="仿宋_GB2312" w:eastAsia="仿宋_GB2312" w:cs="宋体"/>
                <w:kern w:val="0"/>
                <w:sz w:val="21"/>
                <w:szCs w:val="21"/>
              </w:rPr>
              <w:t>分;管养区域内绿地失管每处扣</w:t>
            </w:r>
            <w:r>
              <w:rPr>
                <w:rFonts w:hint="eastAsia" w:ascii="仿宋_GB2312" w:eastAsia="仿宋_GB2312" w:cs="宋体"/>
                <w:kern w:val="0"/>
                <w:sz w:val="21"/>
                <w:szCs w:val="21"/>
                <w:lang w:val="en-US" w:eastAsia="zh-CN"/>
              </w:rPr>
              <w:t>3</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left w:val="single" w:color="auto" w:sz="4" w:space="0"/>
              <w:right w:val="single" w:color="auto" w:sz="4" w:space="0"/>
            </w:tcBorders>
            <w:noWrap w:val="0"/>
            <w:vAlign w:val="center"/>
          </w:tcPr>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病</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虫</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害</w:t>
            </w:r>
          </w:p>
          <w:p>
            <w:pPr>
              <w:spacing w:line="40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防</w:t>
            </w:r>
          </w:p>
          <w:p>
            <w:pPr>
              <w:spacing w:line="400" w:lineRule="exact"/>
              <w:jc w:val="center"/>
              <w:rPr>
                <w:rFonts w:hint="eastAsia" w:ascii="仿宋" w:hAnsi="仿宋" w:eastAsia="仿宋" w:cs="仿宋"/>
                <w:kern w:val="0"/>
                <w:sz w:val="21"/>
                <w:szCs w:val="21"/>
              </w:rPr>
            </w:pPr>
            <w:r>
              <w:rPr>
                <w:rFonts w:hint="eastAsia" w:ascii="仿宋_GB2312" w:eastAsia="仿宋_GB2312" w:cs="宋体"/>
                <w:kern w:val="0"/>
                <w:sz w:val="21"/>
                <w:szCs w:val="21"/>
              </w:rPr>
              <w:t>治</w:t>
            </w: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_GB2312" w:eastAsia="仿宋_GB2312" w:cs="宋体"/>
                <w:kern w:val="0"/>
                <w:sz w:val="21"/>
                <w:szCs w:val="21"/>
              </w:rPr>
              <w:t>发生病虫害每处扣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r>
              <w:rPr>
                <w:rFonts w:hint="eastAsia" w:ascii="仿宋_GB2312" w:eastAsia="仿宋_GB2312" w:cs="宋体"/>
                <w:b/>
                <w:bCs/>
                <w:kern w:val="0"/>
                <w:sz w:val="21"/>
                <w:szCs w:val="21"/>
              </w:rPr>
              <w:t>，</w:t>
            </w:r>
            <w:r>
              <w:rPr>
                <w:rFonts w:hint="eastAsia" w:ascii="仿宋_GB2312" w:eastAsia="仿宋_GB2312" w:cs="宋体"/>
                <w:kern w:val="0"/>
                <w:sz w:val="21"/>
                <w:szCs w:val="21"/>
              </w:rPr>
              <w:t>大面积爆发扣</w:t>
            </w:r>
            <w:r>
              <w:rPr>
                <w:rFonts w:hint="eastAsia" w:ascii="仿宋_GB2312" w:eastAsia="仿宋_GB2312" w:cs="宋体"/>
                <w:kern w:val="0"/>
                <w:sz w:val="21"/>
                <w:szCs w:val="21"/>
                <w:lang w:val="en-US" w:eastAsia="zh-CN"/>
              </w:rPr>
              <w:t>3</w:t>
            </w:r>
            <w:r>
              <w:rPr>
                <w:rFonts w:hint="eastAsia" w:ascii="仿宋_GB2312" w:eastAsia="仿宋_GB2312" w:cs="宋体"/>
                <w:kern w:val="0"/>
                <w:sz w:val="21"/>
                <w:szCs w:val="21"/>
              </w:rPr>
              <w:t>分</w:t>
            </w:r>
            <w:r>
              <w:rPr>
                <w:rFonts w:hint="eastAsia" w:ascii="仿宋_GB2312" w:eastAsia="仿宋_GB2312" w:cs="宋体"/>
                <w:b/>
                <w:bCs/>
                <w:kern w:val="0"/>
                <w:sz w:val="21"/>
                <w:szCs w:val="21"/>
              </w:rPr>
              <w:t>。</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_GB2312" w:eastAsia="仿宋_GB2312" w:cs="宋体"/>
                <w:kern w:val="0"/>
                <w:sz w:val="21"/>
                <w:szCs w:val="21"/>
              </w:rPr>
              <w:t>发现病虫害未及时进行防治措施的每处扣</w:t>
            </w:r>
            <w:r>
              <w:rPr>
                <w:rFonts w:hint="eastAsia" w:ascii="仿宋_GB2312" w:eastAsia="仿宋_GB2312" w:cs="宋体"/>
                <w:kern w:val="0"/>
                <w:sz w:val="21"/>
                <w:szCs w:val="21"/>
                <w:lang w:val="en-US" w:eastAsia="zh-CN"/>
              </w:rPr>
              <w:t>1</w:t>
            </w:r>
            <w:r>
              <w:rPr>
                <w:rFonts w:hint="eastAsia" w:ascii="仿宋_GB2312" w:eastAsia="仿宋_GB2312" w:cs="宋体"/>
                <w:kern w:val="0"/>
                <w:sz w:val="21"/>
                <w:szCs w:val="21"/>
              </w:rPr>
              <w:t>分。病虫害防治措施不到位的每处扣</w:t>
            </w:r>
            <w:r>
              <w:rPr>
                <w:rFonts w:hint="eastAsia" w:ascii="仿宋_GB2312" w:eastAsia="仿宋_GB2312" w:cs="宋体"/>
                <w:kern w:val="0"/>
                <w:sz w:val="21"/>
                <w:szCs w:val="21"/>
                <w:lang w:val="en-US" w:eastAsia="zh-CN"/>
              </w:rPr>
              <w:t>1</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_GB2312" w:eastAsia="仿宋_GB2312" w:cs="宋体"/>
                <w:kern w:val="0"/>
                <w:sz w:val="21"/>
                <w:szCs w:val="21"/>
              </w:rPr>
              <w:t>食叶性害虫危害树木，每处扣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left w:val="single" w:color="auto" w:sz="4" w:space="0"/>
              <w:bottom w:val="single" w:color="000000" w:sz="4" w:space="0"/>
              <w:right w:val="single" w:color="auto" w:sz="4" w:space="0"/>
            </w:tcBorders>
            <w:noWrap w:val="0"/>
            <w:vAlign w:val="center"/>
          </w:tcPr>
          <w:p>
            <w:pPr>
              <w:spacing w:line="400" w:lineRule="exact"/>
              <w:jc w:val="center"/>
              <w:rPr>
                <w:rFonts w:hint="eastAsia" w:ascii="仿宋" w:hAnsi="仿宋" w:eastAsia="仿宋" w:cs="仿宋"/>
                <w:kern w:val="0"/>
                <w:sz w:val="21"/>
                <w:szCs w:val="21"/>
              </w:rPr>
            </w:pPr>
          </w:p>
        </w:tc>
        <w:tc>
          <w:tcPr>
            <w:tcW w:w="697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1"/>
                <w:szCs w:val="21"/>
              </w:rPr>
            </w:pPr>
            <w:r>
              <w:rPr>
                <w:rFonts w:hint="eastAsia" w:ascii="仿宋_GB2312" w:eastAsia="仿宋_GB2312" w:cs="宋体"/>
                <w:kern w:val="0"/>
                <w:sz w:val="21"/>
                <w:szCs w:val="21"/>
              </w:rPr>
              <w:t>发现活蛀虫和活卵，每处扣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rPr>
            </w:pPr>
          </w:p>
          <w:p>
            <w:pPr>
              <w:spacing w:line="42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绿化</w:t>
            </w:r>
          </w:p>
          <w:p>
            <w:pPr>
              <w:spacing w:line="420" w:lineRule="exact"/>
              <w:jc w:val="center"/>
              <w:rPr>
                <w:rFonts w:hint="eastAsia" w:ascii="仿宋_GB2312" w:eastAsia="仿宋_GB2312" w:cs="宋体"/>
                <w:strike/>
                <w:kern w:val="0"/>
                <w:sz w:val="21"/>
                <w:szCs w:val="21"/>
              </w:rPr>
            </w:pPr>
            <w:r>
              <w:rPr>
                <w:rFonts w:hint="eastAsia" w:ascii="仿宋_GB2312" w:eastAsia="仿宋_GB2312" w:cs="宋体"/>
                <w:kern w:val="0"/>
                <w:sz w:val="21"/>
                <w:szCs w:val="21"/>
              </w:rPr>
              <w:t>设施</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花箱、花坛、树穴破损、缺失扣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分，其他设施缺失扣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公园及绿地内果壳箱有污迹、破损，箱内垃圾未日产日清的，每处扣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设施有污迹、破损，金属构件设施有锈斑，油漆剥落等现象的每处扣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分，公园设施存在明显安全隐患，未采取安全措施的，每处扣</w:t>
            </w:r>
            <w:r>
              <w:rPr>
                <w:rFonts w:hint="eastAsia" w:ascii="仿宋_GB2312" w:cs="宋体"/>
                <w:kern w:val="0"/>
                <w:sz w:val="21"/>
                <w:szCs w:val="21"/>
                <w:lang w:val="en-US" w:eastAsia="zh-CN"/>
              </w:rPr>
              <w:t>2</w:t>
            </w:r>
            <w:r>
              <w:rPr>
                <w:rFonts w:hint="eastAsia" w:ascii="仿宋_GB2312" w:eastAsia="仿宋_GB2312" w:cs="宋体"/>
                <w:kern w:val="0"/>
                <w:sz w:val="21"/>
                <w:szCs w:val="21"/>
              </w:rPr>
              <w:t>分。</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rPr>
            </w:pPr>
          </w:p>
          <w:p>
            <w:pPr>
              <w:spacing w:line="420" w:lineRule="exact"/>
              <w:jc w:val="center"/>
              <w:rPr>
                <w:rFonts w:hint="eastAsia" w:ascii="仿宋_GB2312" w:eastAsia="仿宋_GB2312" w:cs="宋体"/>
                <w:kern w:val="0"/>
                <w:sz w:val="21"/>
                <w:szCs w:val="21"/>
              </w:rPr>
            </w:pPr>
          </w:p>
          <w:p>
            <w:pPr>
              <w:spacing w:line="420" w:lineRule="exact"/>
              <w:jc w:val="center"/>
              <w:rPr>
                <w:rFonts w:hint="eastAsia" w:ascii="仿宋_GB2312" w:eastAsia="仿宋_GB2312" w:cs="宋体"/>
                <w:kern w:val="0"/>
                <w:sz w:val="21"/>
                <w:szCs w:val="21"/>
              </w:rPr>
            </w:pPr>
          </w:p>
          <w:p>
            <w:pPr>
              <w:spacing w:line="42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卫生及</w:t>
            </w:r>
          </w:p>
          <w:p>
            <w:pPr>
              <w:spacing w:line="420" w:lineRule="exact"/>
              <w:jc w:val="center"/>
              <w:rPr>
                <w:rFonts w:ascii="仿宋_GB2312" w:eastAsia="仿宋_GB2312" w:cs="宋体"/>
                <w:kern w:val="0"/>
                <w:sz w:val="21"/>
                <w:szCs w:val="21"/>
              </w:rPr>
            </w:pPr>
            <w:r>
              <w:rPr>
                <w:rFonts w:hint="eastAsia" w:ascii="仿宋_GB2312" w:eastAsia="仿宋_GB2312" w:cs="宋体"/>
                <w:kern w:val="0"/>
                <w:sz w:val="21"/>
                <w:szCs w:val="21"/>
              </w:rPr>
              <w:t>管理</w:t>
            </w:r>
          </w:p>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树上及绿带内有垃圾袋、零乱草绳、钉子、扎缚铁丝、电线、挂晾晒衣物、堆物、</w:t>
            </w:r>
            <w:r>
              <w:rPr>
                <w:rFonts w:hint="eastAsia" w:ascii="仿宋_GB2312" w:eastAsia="仿宋_GB2312" w:cs="宋体"/>
                <w:kern w:val="0"/>
                <w:sz w:val="21"/>
                <w:szCs w:val="21"/>
                <w:lang w:eastAsia="zh-CN"/>
              </w:rPr>
              <w:t>渣土积泥</w:t>
            </w:r>
            <w:r>
              <w:rPr>
                <w:rFonts w:hint="eastAsia" w:ascii="仿宋_GB2312" w:eastAsia="仿宋_GB2312" w:cs="宋体"/>
                <w:kern w:val="0"/>
                <w:sz w:val="21"/>
                <w:szCs w:val="21"/>
              </w:rPr>
              <w:t>等，每处扣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绿地内有明显枯叶堆积、白色垃圾、石块、果壳等杂物的每处扣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cs="宋体"/>
                <w:kern w:val="0"/>
                <w:sz w:val="21"/>
                <w:szCs w:val="21"/>
              </w:rPr>
            </w:pPr>
            <w:r>
              <w:rPr>
                <w:rFonts w:hint="eastAsia" w:ascii="仿宋_GB2312" w:eastAsia="仿宋_GB2312" w:cs="宋体"/>
                <w:kern w:val="0"/>
                <w:sz w:val="21"/>
                <w:szCs w:val="21"/>
              </w:rPr>
              <w:t>乔木及绿带积尘明显每处扣</w:t>
            </w:r>
            <w:r>
              <w:rPr>
                <w:rFonts w:hint="eastAsia" w:ascii="仿宋_GB2312" w:eastAsia="仿宋_GB2312" w:cs="宋体"/>
                <w:kern w:val="0"/>
                <w:sz w:val="21"/>
                <w:szCs w:val="21"/>
                <w:lang w:val="en-US" w:eastAsia="zh-CN"/>
              </w:rPr>
              <w:t>0.5</w:t>
            </w:r>
            <w:r>
              <w:rPr>
                <w:rFonts w:hint="eastAsia" w:ascii="仿宋_GB2312" w:eastAsia="仿宋_GB2312" w:cs="宋体"/>
                <w:kern w:val="0"/>
                <w:sz w:val="21"/>
                <w:szCs w:val="21"/>
              </w:rPr>
              <w:t>分，沿线绿带色块叶面积灰严重的每处扣</w:t>
            </w:r>
            <w:r>
              <w:rPr>
                <w:rFonts w:hint="eastAsia" w:ascii="仿宋_GB2312" w:eastAsia="仿宋_GB2312" w:cs="宋体"/>
                <w:kern w:val="0"/>
                <w:sz w:val="21"/>
                <w:szCs w:val="21"/>
                <w:lang w:val="en-US" w:eastAsia="zh-CN"/>
              </w:rPr>
              <w:t>2</w:t>
            </w:r>
            <w:r>
              <w:rPr>
                <w:rFonts w:hint="eastAsia" w:ascii="仿宋_GB2312" w:eastAsia="仿宋_GB2312" w:cs="宋体"/>
                <w:kern w:val="0"/>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kern w:val="0"/>
                <w:sz w:val="21"/>
                <w:szCs w:val="21"/>
              </w:rPr>
            </w:pPr>
            <w:r>
              <w:rPr>
                <w:rFonts w:hint="eastAsia" w:ascii="仿宋_GB2312" w:eastAsia="仿宋_GB2312" w:cs="宋体"/>
                <w:kern w:val="0"/>
                <w:sz w:val="21"/>
                <w:szCs w:val="21"/>
              </w:rPr>
              <w:t>抗雪防冻、防寒保暖、抗旱保绿、防高温等应急工作不到位的每处扣5分。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54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cs="宋体"/>
                <w:kern w:val="0"/>
                <w:sz w:val="21"/>
                <w:szCs w:val="21"/>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hint="eastAsia" w:ascii="仿宋_GB2312" w:eastAsia="仿宋_GB2312" w:cs="宋体"/>
                <w:kern w:val="0"/>
                <w:sz w:val="21"/>
                <w:szCs w:val="21"/>
              </w:rPr>
            </w:pPr>
            <w:r>
              <w:rPr>
                <w:rFonts w:hint="eastAsia" w:ascii="仿宋_GB2312" w:eastAsia="仿宋_GB2312"/>
                <w:sz w:val="21"/>
                <w:szCs w:val="21"/>
              </w:rPr>
              <w:t>未经审批私自开挖绿地或未按绿化养护规范要求恢复等每处扣</w:t>
            </w:r>
            <w:r>
              <w:rPr>
                <w:rFonts w:hint="eastAsia" w:ascii="仿宋_GB2312"/>
                <w:sz w:val="21"/>
                <w:szCs w:val="21"/>
                <w:lang w:val="en-US" w:eastAsia="zh-CN"/>
              </w:rPr>
              <w:t>2</w:t>
            </w:r>
            <w:r>
              <w:rPr>
                <w:rFonts w:hint="eastAsia" w:ascii="仿宋_GB2312" w:eastAsia="仿宋_GB2312"/>
                <w:sz w:val="21"/>
                <w:szCs w:val="21"/>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eastAsia="仿宋_GB2312"/>
                <w:spacing w:val="-8"/>
                <w:sz w:val="21"/>
                <w:szCs w:val="21"/>
              </w:rPr>
            </w:pPr>
          </w:p>
        </w:tc>
      </w:tr>
      <w:tr>
        <w:tblPrEx>
          <w:tblCellMar>
            <w:top w:w="0" w:type="dxa"/>
            <w:left w:w="108" w:type="dxa"/>
            <w:bottom w:w="0" w:type="dxa"/>
            <w:right w:w="108" w:type="dxa"/>
          </w:tblCellMar>
        </w:tblPrEx>
        <w:trPr>
          <w:trHeight w:val="600" w:hRule="atLeast"/>
        </w:trPr>
        <w:tc>
          <w:tcPr>
            <w:tcW w:w="90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河道</w:t>
            </w:r>
          </w:p>
          <w:p>
            <w:pPr>
              <w:spacing w:line="42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管理</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rPr>
            </w:pPr>
            <w:r>
              <w:rPr>
                <w:rFonts w:hint="eastAsia" w:ascii="仿宋_GB2312" w:hAnsi="宋体" w:eastAsia="仿宋_GB2312"/>
                <w:sz w:val="21"/>
                <w:szCs w:val="21"/>
              </w:rPr>
              <w:t>每</w:t>
            </w:r>
            <w:r>
              <w:rPr>
                <w:rFonts w:hint="eastAsia" w:ascii="仿宋_GB2312" w:hAnsi="宋体" w:eastAsia="仿宋_GB2312"/>
                <w:sz w:val="21"/>
                <w:szCs w:val="21"/>
                <w:lang w:eastAsia="zh-CN"/>
              </w:rPr>
              <w:t>50米内河道漂浮物（除固定圈养的水草）超过3处或单处漂浮物面积超过</w:t>
            </w:r>
            <w:r>
              <w:rPr>
                <w:rFonts w:hint="eastAsia" w:ascii="仿宋_GB2312" w:hAnsi="宋体" w:eastAsia="仿宋_GB2312"/>
                <w:sz w:val="21"/>
                <w:szCs w:val="21"/>
                <w:lang w:val="en-US" w:eastAsia="zh-CN"/>
              </w:rPr>
              <w:t>0.5个平方</w:t>
            </w:r>
            <w:r>
              <w:rPr>
                <w:rFonts w:hint="eastAsia" w:ascii="仿宋_GB2312" w:hAnsi="宋体" w:eastAsia="仿宋_GB2312"/>
                <w:sz w:val="21"/>
                <w:szCs w:val="21"/>
                <w:lang w:eastAsia="zh-CN"/>
              </w:rPr>
              <w:t>及以上的每段扣</w:t>
            </w:r>
            <w:r>
              <w:rPr>
                <w:rFonts w:hint="eastAsia" w:ascii="仿宋_GB2312" w:hAnsi="宋体"/>
                <w:sz w:val="21"/>
                <w:szCs w:val="21"/>
                <w:lang w:val="en-US" w:eastAsia="zh-CN"/>
              </w:rPr>
              <w:t>2</w:t>
            </w:r>
            <w:r>
              <w:rPr>
                <w:rFonts w:hint="eastAsia" w:ascii="仿宋_GB2312" w:hAnsi="宋体" w:eastAsia="仿宋_GB2312"/>
                <w:sz w:val="21"/>
                <w:szCs w:val="21"/>
                <w:lang w:eastAsia="zh-CN"/>
              </w:rPr>
              <w:t>分；每发现一处河道内渔网渔具的扣1分；河岸</w:t>
            </w:r>
            <w:r>
              <w:rPr>
                <w:rFonts w:hint="eastAsia" w:ascii="仿宋_GB2312" w:hAnsi="宋体" w:eastAsia="仿宋_GB2312"/>
                <w:sz w:val="21"/>
                <w:szCs w:val="21"/>
                <w:lang w:val="en-US" w:eastAsia="zh-CN"/>
              </w:rPr>
              <w:t>10米范围内</w:t>
            </w:r>
            <w:r>
              <w:rPr>
                <w:rFonts w:hint="eastAsia" w:ascii="仿宋_GB2312" w:hAnsi="宋体" w:eastAsia="仿宋_GB2312"/>
                <w:sz w:val="21"/>
                <w:szCs w:val="21"/>
                <w:lang w:eastAsia="zh-CN"/>
              </w:rPr>
              <w:t>滩地、岸坡上有新增建筑垃圾倾倒和生活垃圾、枯枝杂树堆放未及时清理的，每处扣</w:t>
            </w:r>
            <w:r>
              <w:rPr>
                <w:rFonts w:hint="eastAsia" w:ascii="仿宋_GB2312" w:hAnsi="宋体" w:eastAsia="仿宋_GB2312"/>
                <w:sz w:val="21"/>
                <w:szCs w:val="21"/>
                <w:lang w:val="en-US" w:eastAsia="zh-CN"/>
              </w:rPr>
              <w:t>2分；</w:t>
            </w:r>
            <w:r>
              <w:rPr>
                <w:rFonts w:hint="eastAsia" w:ascii="仿宋_GB2312" w:hAnsi="宋体" w:eastAsia="仿宋_GB2312"/>
                <w:sz w:val="21"/>
                <w:szCs w:val="21"/>
                <w:lang w:eastAsia="zh-CN"/>
              </w:rPr>
              <w:t>如发现用草甘膦等污染水体的药剂处理的每次扣</w:t>
            </w:r>
            <w:r>
              <w:rPr>
                <w:rFonts w:hint="eastAsia" w:ascii="仿宋_GB2312" w:hAnsi="宋体" w:eastAsia="仿宋_GB2312"/>
                <w:sz w:val="21"/>
                <w:szCs w:val="21"/>
                <w:lang w:val="en-US" w:eastAsia="zh-CN"/>
              </w:rPr>
              <w:t>1分。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600" w:hRule="atLeast"/>
        </w:trPr>
        <w:tc>
          <w:tcPr>
            <w:tcW w:w="90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 w:hAnsi="仿宋" w:eastAsia="仿宋" w:cs="仿宋"/>
                <w:kern w:val="0"/>
                <w:sz w:val="21"/>
                <w:szCs w:val="21"/>
              </w:rPr>
            </w:pPr>
            <w:r>
              <w:rPr>
                <w:rFonts w:hint="eastAsia" w:ascii="仿宋" w:hAnsi="仿宋" w:eastAsia="仿宋" w:cs="仿宋"/>
                <w:sz w:val="21"/>
                <w:szCs w:val="21"/>
                <w:lang w:val="en-US" w:eastAsia="zh-CN"/>
              </w:rPr>
              <w:t>保洁人员须两人一船，单独作业的每次扣1分；工作时间不穿着救生衣的每次扣1分；未及时发现</w:t>
            </w:r>
            <w:r>
              <w:rPr>
                <w:rFonts w:hint="eastAsia" w:ascii="仿宋" w:hAnsi="仿宋" w:eastAsia="仿宋" w:cs="仿宋"/>
                <w:sz w:val="21"/>
                <w:szCs w:val="21"/>
              </w:rPr>
              <w:t>电捕网捕等行为</w:t>
            </w:r>
            <w:r>
              <w:rPr>
                <w:rFonts w:hint="eastAsia" w:ascii="仿宋" w:hAnsi="仿宋" w:eastAsia="仿宋" w:cs="仿宋"/>
                <w:sz w:val="21"/>
                <w:szCs w:val="21"/>
                <w:lang w:eastAsia="zh-CN"/>
              </w:rPr>
              <w:t>及新增晴天排污口</w:t>
            </w:r>
            <w:r>
              <w:rPr>
                <w:rFonts w:hint="eastAsia" w:ascii="仿宋" w:hAnsi="仿宋" w:eastAsia="仿宋" w:cs="仿宋"/>
                <w:sz w:val="21"/>
                <w:szCs w:val="21"/>
              </w:rPr>
              <w:t>的每起扣</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spacing w:val="-8"/>
                <w:sz w:val="21"/>
                <w:szCs w:val="21"/>
              </w:rPr>
            </w:pPr>
          </w:p>
        </w:tc>
      </w:tr>
      <w:tr>
        <w:tblPrEx>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lang w:eastAsia="zh-CN"/>
              </w:rPr>
            </w:pPr>
            <w:r>
              <w:rPr>
                <w:rFonts w:hint="eastAsia" w:ascii="仿宋_GB2312" w:eastAsia="仿宋_GB2312" w:cs="宋体"/>
                <w:kern w:val="0"/>
                <w:sz w:val="21"/>
                <w:szCs w:val="21"/>
                <w:lang w:eastAsia="zh-CN"/>
              </w:rPr>
              <w:t>其它</w:t>
            </w:r>
            <w:r>
              <w:rPr>
                <w:rFonts w:hint="eastAsia" w:ascii="仿宋_GB2312" w:eastAsia="仿宋_GB2312" w:cs="宋体"/>
                <w:kern w:val="0"/>
                <w:sz w:val="21"/>
                <w:szCs w:val="21"/>
                <w:lang w:val="en-US" w:eastAsia="zh-CN"/>
              </w:rPr>
              <w:t xml:space="preserve"> </w:t>
            </w:r>
            <w:r>
              <w:rPr>
                <w:rFonts w:hint="eastAsia" w:ascii="仿宋_GB2312" w:eastAsia="仿宋_GB2312" w:cs="宋体"/>
                <w:kern w:val="0"/>
                <w:sz w:val="21"/>
                <w:szCs w:val="21"/>
                <w:lang w:eastAsia="zh-CN"/>
              </w:rPr>
              <w:t>事宜</w:t>
            </w:r>
          </w:p>
        </w:tc>
        <w:tc>
          <w:tcPr>
            <w:tcW w:w="697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20" w:lineRule="exact"/>
              <w:jc w:val="left"/>
              <w:rPr>
                <w:rFonts w:hint="eastAsia" w:ascii="仿宋_GB2312" w:eastAsia="仿宋_GB2312" w:cs="宋体"/>
                <w:kern w:val="0"/>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spacing w:val="-8"/>
                <w:sz w:val="21"/>
                <w:szCs w:val="21"/>
              </w:rPr>
            </w:pPr>
          </w:p>
        </w:tc>
      </w:tr>
      <w:tr>
        <w:tblPrEx>
          <w:tblCellMar>
            <w:top w:w="0" w:type="dxa"/>
            <w:left w:w="108" w:type="dxa"/>
            <w:bottom w:w="0" w:type="dxa"/>
            <w:right w:w="108" w:type="dxa"/>
          </w:tblCellMar>
        </w:tblPrEx>
        <w:trPr>
          <w:trHeight w:val="495" w:hRule="atLeast"/>
        </w:trPr>
        <w:tc>
          <w:tcPr>
            <w:tcW w:w="78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仿宋_GB2312" w:eastAsia="仿宋_GB2312" w:cs="宋体"/>
                <w:kern w:val="0"/>
                <w:sz w:val="21"/>
                <w:szCs w:val="21"/>
              </w:rPr>
            </w:pPr>
            <w:r>
              <w:rPr>
                <w:rFonts w:hint="eastAsia" w:ascii="仿宋_GB2312" w:eastAsia="仿宋_GB2312"/>
                <w:sz w:val="21"/>
                <w:szCs w:val="21"/>
              </w:rPr>
              <w:t>评分合计</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hint="eastAsia" w:ascii="仿宋_GB2312" w:eastAsia="仿宋_GB2312"/>
                <w:spacing w:val="-8"/>
                <w:sz w:val="21"/>
                <w:szCs w:val="21"/>
              </w:rPr>
            </w:pPr>
          </w:p>
        </w:tc>
      </w:tr>
      <w:tr>
        <w:tblPrEx>
          <w:tblCellMar>
            <w:top w:w="0" w:type="dxa"/>
            <w:left w:w="108" w:type="dxa"/>
            <w:bottom w:w="0" w:type="dxa"/>
            <w:right w:w="108" w:type="dxa"/>
          </w:tblCellMar>
        </w:tblPrEx>
        <w:trPr>
          <w:trHeight w:val="855" w:hRule="atLeast"/>
        </w:trPr>
        <w:tc>
          <w:tcPr>
            <w:tcW w:w="900" w:type="dxa"/>
            <w:tcBorders>
              <w:top w:val="nil"/>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cs="宋体"/>
                <w:kern w:val="0"/>
                <w:sz w:val="21"/>
                <w:szCs w:val="21"/>
              </w:rPr>
            </w:pPr>
            <w:r>
              <w:rPr>
                <w:rFonts w:hint="eastAsia" w:ascii="仿宋_GB2312" w:eastAsia="仿宋_GB2312" w:cs="宋体"/>
                <w:kern w:val="0"/>
                <w:sz w:val="21"/>
                <w:szCs w:val="21"/>
              </w:rPr>
              <w:t>备注</w:t>
            </w:r>
          </w:p>
        </w:tc>
        <w:tc>
          <w:tcPr>
            <w:tcW w:w="8070" w:type="dxa"/>
            <w:gridSpan w:val="2"/>
            <w:tcBorders>
              <w:top w:val="single" w:color="auto" w:sz="4" w:space="0"/>
              <w:left w:val="nil"/>
              <w:bottom w:val="single" w:color="auto" w:sz="4" w:space="0"/>
              <w:right w:val="single" w:color="000000" w:sz="4" w:space="0"/>
            </w:tcBorders>
            <w:noWrap w:val="0"/>
            <w:vAlign w:val="center"/>
          </w:tcPr>
          <w:p>
            <w:pPr>
              <w:spacing w:line="420" w:lineRule="exact"/>
              <w:rPr>
                <w:rFonts w:hint="eastAsia" w:ascii="仿宋_GB2312" w:eastAsia="仿宋_GB2312"/>
                <w:spacing w:val="-8"/>
                <w:sz w:val="21"/>
                <w:szCs w:val="21"/>
              </w:rPr>
            </w:pPr>
            <w:r>
              <w:rPr>
                <w:rFonts w:hint="eastAsia" w:ascii="仿宋_GB2312" w:eastAsia="仿宋_GB2312"/>
                <w:spacing w:val="-8"/>
                <w:sz w:val="21"/>
                <w:szCs w:val="21"/>
              </w:rPr>
              <w:t>1、</w:t>
            </w:r>
            <w:r>
              <w:rPr>
                <w:rFonts w:hint="eastAsia" w:ascii="仿宋_GB2312" w:eastAsia="仿宋_GB2312"/>
                <w:spacing w:val="-8"/>
                <w:sz w:val="21"/>
                <w:szCs w:val="21"/>
                <w:lang w:eastAsia="zh-CN"/>
              </w:rPr>
              <w:t>其它</w:t>
            </w:r>
            <w:r>
              <w:rPr>
                <w:rFonts w:hint="eastAsia" w:ascii="仿宋_GB2312" w:eastAsia="仿宋_GB2312"/>
                <w:spacing w:val="-8"/>
                <w:sz w:val="21"/>
                <w:szCs w:val="21"/>
              </w:rPr>
              <w:t>未尽事宜（如市“绿化双最”评比等市、区相关绿化工作），考核视情况加或扣1-5分。</w:t>
            </w:r>
          </w:p>
        </w:tc>
      </w:tr>
    </w:tbl>
    <w:p>
      <w:pPr>
        <w:pStyle w:val="82"/>
        <w:rPr>
          <w:rFonts w:hint="eastAsia" w:asciiTheme="majorEastAsia" w:hAnsiTheme="majorEastAsia" w:eastAsiaTheme="majorEastAsia" w:cstheme="majorEastAsia"/>
          <w:bCs/>
          <w:color w:val="auto"/>
          <w:highlight w:val="none"/>
        </w:rPr>
      </w:pPr>
    </w:p>
    <w:p>
      <w:pPr>
        <w:spacing w:line="360" w:lineRule="auto"/>
        <w:rPr>
          <w:rFonts w:hint="eastAsia" w:asciiTheme="majorEastAsia" w:hAnsiTheme="majorEastAsia" w:eastAsiaTheme="majorEastAsia" w:cstheme="majorEastAsia"/>
          <w:b/>
          <w:bCs/>
          <w:color w:val="auto"/>
          <w:sz w:val="24"/>
          <w:highlight w:val="none"/>
          <w:lang w:val="en-US" w:eastAsia="zh-CN"/>
        </w:rPr>
      </w:pPr>
    </w:p>
    <w:p>
      <w:pPr>
        <w:spacing w:line="360" w:lineRule="auto"/>
        <w:rPr>
          <w:rFonts w:hint="eastAsia" w:asciiTheme="majorEastAsia" w:hAnsiTheme="majorEastAsia" w:eastAsiaTheme="majorEastAsia" w:cstheme="majorEastAsia"/>
          <w:b/>
          <w:bCs/>
          <w:color w:val="auto"/>
          <w:sz w:val="24"/>
          <w:highlight w:val="none"/>
          <w:lang w:val="en-US" w:eastAsia="zh-CN"/>
        </w:rPr>
      </w:pPr>
    </w:p>
    <w:p>
      <w:pPr>
        <w:spacing w:line="500" w:lineRule="exact"/>
        <w:ind w:firstLine="482" w:firstLineChars="200"/>
        <w:jc w:val="cente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bCs/>
          <w:color w:val="auto"/>
          <w:sz w:val="24"/>
          <w:highlight w:val="none"/>
          <w:lang w:val="en-US" w:eastAsia="zh-CN"/>
        </w:rPr>
        <w:t>附件3、</w:t>
      </w:r>
      <w:r>
        <w:rPr>
          <w:rFonts w:hint="eastAsia" w:asciiTheme="majorEastAsia" w:hAnsiTheme="majorEastAsia" w:eastAsiaTheme="majorEastAsia" w:cstheme="majorEastAsia"/>
          <w:b/>
          <w:color w:val="auto"/>
          <w:sz w:val="30"/>
          <w:szCs w:val="30"/>
          <w:highlight w:val="none"/>
        </w:rPr>
        <w:t>公厕管理现场考核评分标准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32"/>
        <w:gridCol w:w="3628"/>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17" w:type="dxa"/>
            <w:noWrap w:val="0"/>
            <w:vAlign w:val="center"/>
          </w:tcPr>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序号</w:t>
            </w:r>
          </w:p>
        </w:tc>
        <w:tc>
          <w:tcPr>
            <w:tcW w:w="832" w:type="dxa"/>
            <w:noWrap w:val="0"/>
            <w:vAlign w:val="center"/>
          </w:tcPr>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检查</w:t>
            </w:r>
          </w:p>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项目</w:t>
            </w:r>
          </w:p>
        </w:tc>
        <w:tc>
          <w:tcPr>
            <w:tcW w:w="3628" w:type="dxa"/>
            <w:noWrap w:val="0"/>
            <w:vAlign w:val="center"/>
          </w:tcPr>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管理作业标准</w:t>
            </w:r>
          </w:p>
        </w:tc>
        <w:tc>
          <w:tcPr>
            <w:tcW w:w="4050" w:type="dxa"/>
            <w:noWrap w:val="0"/>
            <w:vAlign w:val="center"/>
          </w:tcPr>
          <w:p>
            <w:pPr>
              <w:widowControl/>
              <w:spacing w:line="300" w:lineRule="exact"/>
              <w:jc w:val="center"/>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17"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1</w:t>
            </w:r>
          </w:p>
        </w:tc>
        <w:tc>
          <w:tcPr>
            <w:tcW w:w="832"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管理</w:t>
            </w:r>
          </w:p>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制度（10分）</w:t>
            </w:r>
          </w:p>
        </w:tc>
        <w:tc>
          <w:tcPr>
            <w:tcW w:w="3628" w:type="dxa"/>
            <w:noWrap w:val="0"/>
            <w:vAlign w:val="top"/>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按照统一要求设置公厕管理制度牌,做到制度上墙。</w:t>
            </w:r>
          </w:p>
        </w:tc>
        <w:tc>
          <w:tcPr>
            <w:tcW w:w="4050" w:type="dxa"/>
            <w:noWrap w:val="0"/>
            <w:vAlign w:val="top"/>
          </w:tcPr>
          <w:p>
            <w:pPr>
              <w:numPr>
                <w:ilvl w:val="0"/>
                <w:numId w:val="4"/>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未设置公厕管理制度牌的扣5分/次，</w:t>
            </w:r>
          </w:p>
          <w:p>
            <w:pPr>
              <w:numPr>
                <w:ilvl w:val="0"/>
                <w:numId w:val="4"/>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制度牌破损、字体不清晰、公示的信息缺项及不准确的扣3分/次。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top"/>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24小时免费开放公厕，无障碍间、厕位正常开放使用，并在保洁时段内落实专人管理。16小时免费开放公厕（6:00—22:00），18小时免费开放公厕（5:00—23:00），按人均保洁厕位的定额要求，落实专职保洁人员。四星级（含）以上公厕实行男、女分设保洁管理。</w:t>
            </w:r>
          </w:p>
        </w:tc>
        <w:tc>
          <w:tcPr>
            <w:tcW w:w="4050" w:type="dxa"/>
            <w:noWrap w:val="0"/>
            <w:vAlign w:val="top"/>
          </w:tcPr>
          <w:p>
            <w:pPr>
              <w:numPr>
                <w:ilvl w:val="0"/>
                <w:numId w:val="5"/>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未经审核同意，无故关闭公厕的扣10分/次，</w:t>
            </w:r>
          </w:p>
          <w:p>
            <w:pPr>
              <w:numPr>
                <w:ilvl w:val="0"/>
                <w:numId w:val="5"/>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无故关闭无障碍间、男女厕位的扣2分/次。</w:t>
            </w:r>
          </w:p>
          <w:p>
            <w:pPr>
              <w:numPr>
                <w:ilvl w:val="0"/>
                <w:numId w:val="5"/>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未落实专职保洁员的扣1分/次，保洁员脱岗的2分/次。</w:t>
            </w:r>
          </w:p>
          <w:p>
            <w:pPr>
              <w:numPr>
                <w:ilvl w:val="0"/>
                <w:numId w:val="5"/>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四星级以上公厕未实行男、女分设保洁管理的，扣2分/次。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17"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2</w:t>
            </w:r>
          </w:p>
        </w:tc>
        <w:tc>
          <w:tcPr>
            <w:tcW w:w="832" w:type="dxa"/>
            <w:vMerge w:val="restart"/>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作业规范（30分）</w:t>
            </w: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强化作业规范，不发生有责安全事故事件。一旦发生环卫工人伤亡的事故应立即逐级上报，发生环卫工人群体性事件的，严格做到在2小时内上报。</w:t>
            </w:r>
          </w:p>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4050"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1.发生有责死亡安全事故或直接经济损失30万以上的，每起扣1环扣养护得分3分;有责伤人事故或直接经济损失在20万以上的，每发生一次扣2分；有责事故扣养护得分1分。</w:t>
            </w:r>
          </w:p>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2.事故未上报的扣2分，未在2小时内及时上报的扣1分。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417"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sz w:val="24"/>
                <w:szCs w:val="24"/>
                <w:highlight w:val="none"/>
              </w:rPr>
            </w:pPr>
          </w:p>
        </w:tc>
        <w:tc>
          <w:tcPr>
            <w:tcW w:w="832"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sz w:val="24"/>
                <w:szCs w:val="24"/>
                <w:highlight w:val="none"/>
              </w:rPr>
            </w:pP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强化公厕管理房安全，公厕管理房安全设置100%。</w:t>
            </w:r>
          </w:p>
          <w:p>
            <w:pPr>
              <w:widowControl/>
              <w:spacing w:line="300" w:lineRule="exact"/>
              <w:jc w:val="left"/>
              <w:rPr>
                <w:rFonts w:hint="eastAsia" w:asciiTheme="majorEastAsia" w:hAnsiTheme="majorEastAsia" w:eastAsiaTheme="majorEastAsia" w:cstheme="majorEastAsia"/>
                <w:color w:val="auto"/>
                <w:sz w:val="24"/>
                <w:szCs w:val="24"/>
                <w:highlight w:val="none"/>
              </w:rPr>
            </w:pPr>
          </w:p>
        </w:tc>
        <w:tc>
          <w:tcPr>
            <w:tcW w:w="4050" w:type="dxa"/>
            <w:noWrap w:val="0"/>
            <w:vAlign w:val="center"/>
          </w:tcPr>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管理房内、外私拉电线、乱接插头插座、裸露接线现象每处扣2分；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使用电热毯、电暖炉、热的快等大功率电器设备每处扣2分；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使用蜡烛、煤油炉等明火设施每处扣2分；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存放汽油、酒精等易燃、易爆物品每处扣2分。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在灯具上拴挂蚊帐、晾晒衣物、节日装饰物每处扣2分。</w:t>
            </w:r>
          </w:p>
          <w:p>
            <w:pPr>
              <w:numPr>
                <w:ilvl w:val="0"/>
                <w:numId w:val="6"/>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无消防器材配备每座扣3分，保洁员不会使用扣2分。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417"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保洁员应着统一的工作服并佩带上岗证。免费向公众提供洗手液和手纸服务，保持足够用量。保洁作业时需设置警示牌，冲洗厕所地面和雨雪冰冻天气时需铺设防滑垫。保洁作业时主动避让如厕人员。</w:t>
            </w:r>
          </w:p>
        </w:tc>
        <w:tc>
          <w:tcPr>
            <w:tcW w:w="4050" w:type="dxa"/>
            <w:noWrap w:val="0"/>
            <w:vAlign w:val="center"/>
          </w:tcPr>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保洁员工作时间未统一着装或未佩戴上岗证的每项扣3分/次；</w:t>
            </w:r>
          </w:p>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未免费向公众提供洗手液和手纸服务的，每发现一次扣2分/次；</w:t>
            </w:r>
          </w:p>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作业时未设置警示牌的扣3分/次；</w:t>
            </w:r>
          </w:p>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冲洗厕所地面和雨雪冰冻天气时未铺设防滑垫的扣3/次；</w:t>
            </w:r>
          </w:p>
          <w:p>
            <w:pPr>
              <w:widowControl/>
              <w:numPr>
                <w:ilvl w:val="0"/>
                <w:numId w:val="7"/>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保洁作业时未主动避让如厕人员，遇到有责投诉的的扣2分/次。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7" w:type="dxa"/>
            <w:vMerge w:val="continue"/>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4050" w:type="dxa"/>
            <w:noWrap w:val="0"/>
            <w:vAlign w:val="center"/>
          </w:tcPr>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公厕内外乱接水管的每项扣2/次；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管理间居住与公厕保洁管理无关人员及逗留与公厕保洁管理无关人员的扣2分/次；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上班时间在管理间内干与公厕保洁管理无关的杂活或睡觉的扣2分/次；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管理间物品摆放杂乱、不洁的扣1分/次；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在管理间内饮酒、吸烟的扣2分/次；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利用公厕从事销售商品、废品回收等经营性活动的扣5分/次；</w:t>
            </w:r>
          </w:p>
          <w:p>
            <w:pPr>
              <w:widowControl/>
              <w:numPr>
                <w:ilvl w:val="0"/>
                <w:numId w:val="8"/>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公厕内饲养宠物的扣2分/次。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17"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粪污水应排入市政污水管网或经吸粪车转运至粪便处理场所处置，公厕化粪池每半年清理、疏通不少于1次，贮粪池内的粪污水应及时转运。化粪池、贮粪池周围场地应保持整洁，地面无粪迹、垃圾、污水、恶臭、蝇蛆。化粪池、贮粪池无满溢问题，若发生满溢问题应在2小时内予以解决。</w:t>
            </w:r>
          </w:p>
        </w:tc>
        <w:tc>
          <w:tcPr>
            <w:tcW w:w="4050" w:type="dxa"/>
            <w:noWrap w:val="0"/>
            <w:vAlign w:val="center"/>
          </w:tcPr>
          <w:p>
            <w:pPr>
              <w:widowControl/>
              <w:numPr>
                <w:ilvl w:val="0"/>
                <w:numId w:val="9"/>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粪污水未按照规定达到规范化处置排放要求的扣10分/次，粪污水、粪便污染周边水体等环境的扣10分/次。</w:t>
            </w:r>
          </w:p>
          <w:p>
            <w:pPr>
              <w:widowControl/>
              <w:numPr>
                <w:ilvl w:val="0"/>
                <w:numId w:val="9"/>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化粪池、贮粪池臭气外溢的扣5分/次，周围地面有粪迹、垃圾、污水、恶臭、蝇蛆的每项扣2分/次，满溢的扣5分/次，发生满溢问题未在规定时间内妥善处理的扣5分/次。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17"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3</w:t>
            </w:r>
          </w:p>
        </w:tc>
        <w:tc>
          <w:tcPr>
            <w:tcW w:w="832"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保洁管理（30分）</w:t>
            </w:r>
          </w:p>
          <w:p>
            <w:pPr>
              <w:spacing w:line="300" w:lineRule="exact"/>
              <w:jc w:val="center"/>
              <w:rPr>
                <w:rFonts w:hint="eastAsia" w:asciiTheme="majorEastAsia" w:hAnsiTheme="majorEastAsia" w:eastAsiaTheme="majorEastAsia" w:cstheme="majorEastAsia"/>
                <w:b/>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三星以上公厕异味0度以上。</w:t>
            </w:r>
          </w:p>
        </w:tc>
        <w:tc>
          <w:tcPr>
            <w:tcW w:w="4050" w:type="dxa"/>
            <w:noWrap w:val="0"/>
            <w:vAlign w:val="center"/>
          </w:tcPr>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公厕天花板、内外墙面、门窗、洗手池及台面、拖把池、大小便厕位隔断、搁物台、上下水管、镜子等不洁的每项扣1分/次。</w:t>
            </w:r>
          </w:p>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垃圾桶或纸篓破损不洁的，以及垃圾量超过容量2/3的扣1分/次，满溢的扣2分/次。</w:t>
            </w:r>
          </w:p>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公厕内堆放杂物、厕位内乱堆放作业工具的扣2分/次。</w:t>
            </w:r>
          </w:p>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公厕及厕位地面不洁、湿滑积水的每项扣1分/次。</w:t>
            </w:r>
          </w:p>
          <w:p>
            <w:pPr>
              <w:widowControl/>
              <w:numPr>
                <w:ilvl w:val="0"/>
                <w:numId w:val="10"/>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工具间环境不整洁的扣1分/次。公厕有明显臭味的扣2分/次。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17"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倒粪处以及大便器、大便槽清洁，无粪便污垢、无积粪、无堵塞、洁净见底。</w:t>
            </w:r>
          </w:p>
        </w:tc>
        <w:tc>
          <w:tcPr>
            <w:tcW w:w="4050"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倒粪处以及大便器、大便槽污垢不洁的每处扣1分/次，有积粪的扣2分/次，堵塞的扣5分/次。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17" w:type="dxa"/>
            <w:vMerge w:val="continue"/>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小便器（槽）清洁无水锈、尿垢、垃圾，沟眼、管道保持畅通。</w:t>
            </w:r>
          </w:p>
        </w:tc>
        <w:tc>
          <w:tcPr>
            <w:tcW w:w="4050"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小便器（槽）有水锈、尿垢、垃圾等不洁的每项扣1分/次，沟眼、管道流水不畅通的每项扣2分/次。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17"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公厕外环境（有绿化带的以绿化带外围为界限，无绿化带的外墙起4米范围内）整洁有序，无垃圾、无粪便、无晾晒衣物、无杂物堆放吊挂、无落叶积留。</w:t>
            </w:r>
          </w:p>
        </w:tc>
        <w:tc>
          <w:tcPr>
            <w:tcW w:w="4050"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公厕外环境不洁，有作业工具乱放，垃圾、粪便、杂物堆放吊挂、晾晒衣物现象的每项扣1分/次。落叶积留不清扫的扣1分/次。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17" w:type="dxa"/>
            <w:vMerge w:val="restart"/>
            <w:noWrap w:val="0"/>
            <w:vAlign w:val="center"/>
          </w:tcPr>
          <w:p>
            <w:pPr>
              <w:widowControl/>
              <w:spacing w:line="300" w:lineRule="exact"/>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4</w:t>
            </w:r>
          </w:p>
        </w:tc>
        <w:tc>
          <w:tcPr>
            <w:tcW w:w="832" w:type="dxa"/>
            <w:vMerge w:val="restart"/>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设施管理（30分）</w:t>
            </w: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按要求设置公厕指向牌（各路口方向至少两块）、公厕标识牌、夜间灯光指示牌、厕门男女标识牌、无障碍标识牌、管理间标识牌、工具间标识牌、坐厕位标识牌等。厕所各类标识、标牌设置规范、醒目，无破损、遮挡、残缺、歪斜现象。</w:t>
            </w:r>
          </w:p>
        </w:tc>
        <w:tc>
          <w:tcPr>
            <w:tcW w:w="4050" w:type="dxa"/>
            <w:noWrap w:val="0"/>
            <w:vAlign w:val="center"/>
          </w:tcPr>
          <w:p>
            <w:pPr>
              <w:widowControl/>
              <w:numPr>
                <w:ilvl w:val="0"/>
                <w:numId w:val="11"/>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公厕指向牌、公厕标识牌、夜间灯光指示牌、厕门男女标识牌、无障碍标识牌、管理间标识牌、工具间标识牌、坐厕位标识牌每缺失一块扣2分/次。</w:t>
            </w:r>
          </w:p>
          <w:p>
            <w:pPr>
              <w:widowControl/>
              <w:numPr>
                <w:ilvl w:val="0"/>
                <w:numId w:val="11"/>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公厕各类标牌不规范设置的每项扣1分/次，破损、遮挡、残缺、歪斜的扣1分/次。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417" w:type="dxa"/>
            <w:vMerge w:val="continue"/>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widowControl/>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4050" w:type="dxa"/>
            <w:noWrap w:val="0"/>
            <w:vAlign w:val="center"/>
          </w:tcPr>
          <w:p>
            <w:pPr>
              <w:widowControl/>
              <w:numPr>
                <w:ilvl w:val="0"/>
                <w:numId w:val="12"/>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公厕内外墙面渗漏、墙面破损、乳胶漆脱落的每处扣2分/次，地面不平整、破损的每项扣2分/次。</w:t>
            </w:r>
          </w:p>
          <w:p>
            <w:pPr>
              <w:widowControl/>
              <w:numPr>
                <w:ilvl w:val="0"/>
                <w:numId w:val="12"/>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天花板、门窗及锁、窗栅、大小便厕位隔断、搁物台及金属扣件、镜子、挂衣钩、洗手池台面及水池、大小便器、水龙头、拖把池、上下水管、水箱、水阀缺失、破损、生锈或不能正常使用的每项扣1分/次。</w:t>
            </w:r>
          </w:p>
          <w:p>
            <w:pPr>
              <w:widowControl/>
              <w:numPr>
                <w:ilvl w:val="0"/>
                <w:numId w:val="12"/>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公厕倒粪处设施破损、上锁的扣1分/次。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417"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widowControl/>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供水、供电系统运行正常，无安全隐患。公厕照明、除臭设备应正常使用。按不同星级公厕的要求维护管理洗手液分配器、干手器、手纸架、空调器，保持设施完好，功能正常。干手器应正常使用，空调器在气温30℃以上，5℃以下启用（特殊情况除外）。除臭设施运行良好，通风无臭味。</w:t>
            </w:r>
          </w:p>
        </w:tc>
        <w:tc>
          <w:tcPr>
            <w:tcW w:w="4050" w:type="dxa"/>
            <w:noWrap w:val="0"/>
            <w:vAlign w:val="center"/>
          </w:tcPr>
          <w:p>
            <w:pPr>
              <w:widowControl/>
              <w:numPr>
                <w:ilvl w:val="0"/>
                <w:numId w:val="13"/>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公厕洗手供水过小，造成无法正常洗手的扣1分/次；存在用电安全隐患的扣2分/次；夜间时段公厕照明光线不足的扣1分/次，照明不亮的每处扣5分/次。</w:t>
            </w:r>
          </w:p>
          <w:p>
            <w:pPr>
              <w:widowControl/>
              <w:numPr>
                <w:ilvl w:val="0"/>
                <w:numId w:val="13"/>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灯具、洗手液分配器、干手器、手纸架、空调器、除臭设备破损或不能正常使用的每项扣1分/次，缺失的扣2分/次。</w:t>
            </w:r>
          </w:p>
          <w:p>
            <w:pPr>
              <w:widowControl/>
              <w:numPr>
                <w:ilvl w:val="0"/>
                <w:numId w:val="13"/>
              </w:numPr>
              <w:spacing w:line="300" w:lineRule="exact"/>
              <w:jc w:val="lef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灯具、除臭设备、夜间灯光指示牌、空调未按照规定启用的扣1分/次。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417" w:type="dxa"/>
            <w:vMerge w:val="continue"/>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无障碍通道畅通，扶手（含靠墙厕位扶手）完好、牢固。无障碍间卫生洁具及辅助设施完好。</w:t>
            </w:r>
          </w:p>
        </w:tc>
        <w:tc>
          <w:tcPr>
            <w:tcW w:w="4050" w:type="dxa"/>
            <w:noWrap w:val="0"/>
            <w:vAlign w:val="center"/>
          </w:tcPr>
          <w:p>
            <w:pPr>
              <w:numPr>
                <w:ilvl w:val="0"/>
                <w:numId w:val="14"/>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无障碍通道不能正常使用的扣2分/次，扶手（含靠墙厕位扶手）缺失破损、松动不牢固的每项扣1分/次。</w:t>
            </w:r>
          </w:p>
          <w:p>
            <w:pPr>
              <w:numPr>
                <w:ilvl w:val="0"/>
                <w:numId w:val="14"/>
              </w:num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无障碍间卫生洁具及辅助设施缺失、破损的扣1分/次。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17" w:type="dxa"/>
            <w:vMerge w:val="continue"/>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给水和排污管道完好，保持畅通，闸阀严密，无破损。</w:t>
            </w:r>
          </w:p>
        </w:tc>
        <w:tc>
          <w:tcPr>
            <w:tcW w:w="4050"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给水、排污管道堵塞、破损的扣2分/次。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7" w:type="dxa"/>
            <w:vMerge w:val="continue"/>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p>
        </w:tc>
        <w:tc>
          <w:tcPr>
            <w:tcW w:w="832" w:type="dxa"/>
            <w:vMerge w:val="continue"/>
            <w:noWrap w:val="0"/>
            <w:vAlign w:val="center"/>
          </w:tcPr>
          <w:p>
            <w:pPr>
              <w:spacing w:line="300" w:lineRule="exact"/>
              <w:jc w:val="center"/>
              <w:rPr>
                <w:rFonts w:hint="eastAsia" w:asciiTheme="majorEastAsia" w:hAnsiTheme="majorEastAsia" w:eastAsiaTheme="majorEastAsia" w:cstheme="majorEastAsia"/>
                <w:color w:val="auto"/>
                <w:kern w:val="0"/>
                <w:sz w:val="24"/>
                <w:szCs w:val="24"/>
                <w:highlight w:val="none"/>
              </w:rPr>
            </w:pPr>
          </w:p>
        </w:tc>
        <w:tc>
          <w:tcPr>
            <w:tcW w:w="3628"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化粪池、贮粪池密闭性能良好，粪池盖密闭，无缺失、破损、松动现象。</w:t>
            </w:r>
          </w:p>
        </w:tc>
        <w:tc>
          <w:tcPr>
            <w:tcW w:w="4050" w:type="dxa"/>
            <w:noWrap w:val="0"/>
            <w:vAlign w:val="center"/>
          </w:tcPr>
          <w:p>
            <w:pPr>
              <w:spacing w:line="30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化粪池、贮粪池、公厕粪池盖不密闭、缺失、破损、松动的扣2分/次。</w:t>
            </w:r>
          </w:p>
        </w:tc>
      </w:tr>
    </w:tbl>
    <w:p>
      <w:pPr>
        <w:pStyle w:val="6"/>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附件4、</w:t>
      </w:r>
      <w:r>
        <w:rPr>
          <w:rFonts w:hint="eastAsia" w:asciiTheme="majorEastAsia" w:hAnsiTheme="majorEastAsia" w:eastAsiaTheme="majorEastAsia" w:cstheme="majorEastAsia"/>
          <w:b/>
          <w:kern w:val="0"/>
          <w:sz w:val="28"/>
          <w:szCs w:val="28"/>
          <w:highlight w:val="none"/>
          <w:lang w:val="zh-CN"/>
        </w:rPr>
        <w:t>市政设施维修考核</w:t>
      </w:r>
      <w:r>
        <w:rPr>
          <w:rFonts w:hint="eastAsia" w:asciiTheme="majorEastAsia" w:hAnsiTheme="majorEastAsia" w:eastAsiaTheme="majorEastAsia" w:cstheme="majorEastAsia"/>
          <w:b/>
          <w:kern w:val="0"/>
          <w:sz w:val="28"/>
          <w:szCs w:val="28"/>
          <w:highlight w:val="none"/>
          <w:lang w:val="en-US" w:eastAsia="zh-CN"/>
        </w:rPr>
        <w:t>标准</w:t>
      </w:r>
    </w:p>
    <w:p>
      <w:pPr>
        <w:rPr>
          <w:rFonts w:hint="eastAsia" w:asciiTheme="majorEastAsia" w:hAnsiTheme="majorEastAsia" w:eastAsiaTheme="majorEastAsia" w:cstheme="majorEastAsia"/>
          <w:b/>
          <w:bCs/>
          <w:color w:val="auto"/>
          <w:sz w:val="24"/>
          <w:highlight w:val="none"/>
          <w:lang w:val="en-US" w:eastAsia="zh-CN"/>
        </w:rPr>
      </w:pPr>
    </w:p>
    <w:tbl>
      <w:tblPr>
        <w:tblStyle w:val="64"/>
        <w:tblW w:w="0" w:type="auto"/>
        <w:jc w:val="center"/>
        <w:tblLayout w:type="fixed"/>
        <w:tblCellMar>
          <w:top w:w="0" w:type="dxa"/>
          <w:left w:w="108" w:type="dxa"/>
          <w:bottom w:w="0" w:type="dxa"/>
          <w:right w:w="108" w:type="dxa"/>
        </w:tblCellMar>
      </w:tblPr>
      <w:tblGrid>
        <w:gridCol w:w="1088"/>
        <w:gridCol w:w="1200"/>
        <w:gridCol w:w="6000"/>
        <w:gridCol w:w="772"/>
      </w:tblGrid>
      <w:tr>
        <w:tblPrEx>
          <w:tblCellMar>
            <w:top w:w="0" w:type="dxa"/>
            <w:left w:w="108" w:type="dxa"/>
            <w:bottom w:w="0" w:type="dxa"/>
            <w:right w:w="108" w:type="dxa"/>
          </w:tblCellMar>
        </w:tblPrEx>
        <w:trPr>
          <w:trHeight w:val="56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textAlignment w:val="auto"/>
              <w:rPr>
                <w:rFonts w:hint="eastAsia" w:asciiTheme="majorEastAsia" w:hAnsiTheme="majorEastAsia" w:eastAsiaTheme="majorEastAsia" w:cstheme="majorEastAsia"/>
                <w:b/>
                <w:bCs/>
                <w:color w:val="000000"/>
                <w:sz w:val="21"/>
                <w:szCs w:val="21"/>
                <w:highlight w:val="none"/>
              </w:rPr>
            </w:pPr>
            <w:r>
              <w:rPr>
                <w:rFonts w:hint="eastAsia" w:asciiTheme="majorEastAsia" w:hAnsiTheme="majorEastAsia" w:eastAsiaTheme="majorEastAsia" w:cstheme="majorEastAsia"/>
                <w:b/>
                <w:bCs/>
                <w:color w:val="000000"/>
                <w:sz w:val="21"/>
                <w:szCs w:val="21"/>
                <w:highlight w:val="none"/>
              </w:rPr>
              <w:t>考核   项目</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textAlignment w:val="auto"/>
              <w:rPr>
                <w:rFonts w:hint="eastAsia" w:asciiTheme="majorEastAsia" w:hAnsiTheme="majorEastAsia" w:eastAsiaTheme="majorEastAsia" w:cstheme="majorEastAsia"/>
                <w:b/>
                <w:bCs/>
                <w:color w:val="000000"/>
                <w:sz w:val="21"/>
                <w:szCs w:val="21"/>
                <w:highlight w:val="none"/>
              </w:rPr>
            </w:pPr>
            <w:r>
              <w:rPr>
                <w:rFonts w:hint="eastAsia" w:asciiTheme="majorEastAsia" w:hAnsiTheme="majorEastAsia" w:eastAsiaTheme="majorEastAsia" w:cstheme="majorEastAsia"/>
                <w:b/>
                <w:bCs/>
                <w:color w:val="000000"/>
                <w:sz w:val="21"/>
                <w:szCs w:val="21"/>
                <w:highlight w:val="none"/>
              </w:rPr>
              <w:t>考核内容</w:t>
            </w:r>
          </w:p>
        </w:tc>
        <w:tc>
          <w:tcPr>
            <w:tcW w:w="6000"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textAlignment w:val="auto"/>
              <w:rPr>
                <w:rFonts w:hint="eastAsia" w:asciiTheme="majorEastAsia" w:hAnsiTheme="majorEastAsia" w:eastAsiaTheme="majorEastAsia" w:cstheme="majorEastAsia"/>
                <w:b/>
                <w:bCs/>
                <w:color w:val="000000"/>
                <w:sz w:val="21"/>
                <w:szCs w:val="21"/>
                <w:highlight w:val="none"/>
              </w:rPr>
            </w:pPr>
            <w:r>
              <w:rPr>
                <w:rFonts w:hint="eastAsia" w:asciiTheme="majorEastAsia" w:hAnsiTheme="majorEastAsia" w:eastAsiaTheme="majorEastAsia" w:cstheme="majorEastAsia"/>
                <w:b/>
                <w:bCs/>
                <w:color w:val="000000"/>
                <w:sz w:val="21"/>
                <w:szCs w:val="21"/>
                <w:highlight w:val="none"/>
              </w:rPr>
              <w:t>评分标准</w:t>
            </w:r>
          </w:p>
        </w:tc>
        <w:tc>
          <w:tcPr>
            <w:tcW w:w="772" w:type="dxa"/>
            <w:tcBorders>
              <w:top w:val="single" w:color="auto" w:sz="4" w:space="0"/>
              <w:left w:val="nil"/>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textAlignment w:val="auto"/>
              <w:rPr>
                <w:rFonts w:hint="eastAsia" w:asciiTheme="majorEastAsia" w:hAnsiTheme="majorEastAsia" w:eastAsiaTheme="majorEastAsia" w:cstheme="majorEastAsia"/>
                <w:b/>
                <w:bCs/>
                <w:color w:val="000000"/>
                <w:sz w:val="21"/>
                <w:szCs w:val="21"/>
                <w:highlight w:val="none"/>
              </w:rPr>
            </w:pPr>
            <w:r>
              <w:rPr>
                <w:rFonts w:hint="eastAsia" w:asciiTheme="majorEastAsia" w:hAnsiTheme="majorEastAsia" w:eastAsiaTheme="majorEastAsia" w:cstheme="majorEastAsia"/>
                <w:b/>
                <w:bCs/>
                <w:color w:val="000000"/>
                <w:sz w:val="21"/>
                <w:szCs w:val="21"/>
                <w:highlight w:val="none"/>
              </w:rPr>
              <w:t xml:space="preserve">考核    </w:t>
            </w:r>
          </w:p>
          <w:p>
            <w:pPr>
              <w:keepNext w:val="0"/>
              <w:keepLines w:val="0"/>
              <w:kinsoku/>
              <w:wordWrap/>
              <w:overflowPunct/>
              <w:topLinePunct w:val="0"/>
              <w:bidi w:val="0"/>
              <w:spacing w:line="360" w:lineRule="auto"/>
              <w:jc w:val="center"/>
              <w:textAlignment w:val="auto"/>
              <w:rPr>
                <w:rFonts w:hint="eastAsia" w:asciiTheme="majorEastAsia" w:hAnsiTheme="majorEastAsia" w:eastAsiaTheme="majorEastAsia" w:cstheme="majorEastAsia"/>
                <w:b/>
                <w:bCs/>
                <w:color w:val="000000"/>
                <w:sz w:val="21"/>
                <w:szCs w:val="21"/>
                <w:highlight w:val="none"/>
              </w:rPr>
            </w:pPr>
            <w:r>
              <w:rPr>
                <w:rFonts w:hint="eastAsia" w:asciiTheme="majorEastAsia" w:hAnsiTheme="majorEastAsia" w:eastAsiaTheme="majorEastAsia" w:cstheme="majorEastAsia"/>
                <w:b/>
                <w:bCs/>
                <w:color w:val="000000"/>
                <w:sz w:val="21"/>
                <w:szCs w:val="21"/>
                <w:highlight w:val="none"/>
              </w:rPr>
              <w:t>分数</w:t>
            </w:r>
          </w:p>
        </w:tc>
      </w:tr>
      <w:tr>
        <w:tblPrEx>
          <w:tblCellMar>
            <w:top w:w="0" w:type="dxa"/>
            <w:left w:w="108" w:type="dxa"/>
            <w:bottom w:w="0" w:type="dxa"/>
            <w:right w:w="108" w:type="dxa"/>
          </w:tblCellMar>
        </w:tblPrEx>
        <w:trPr>
          <w:cantSplit/>
          <w:trHeight w:val="1454"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道路    设施</w:t>
            </w:r>
          </w:p>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养护</w:t>
            </w:r>
          </w:p>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60分</w:t>
            </w: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路面养护</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路面裂缝每处扣1分,超出养护标准2倍扣1.5分；路面破损、网裂、接坡每处扣1.5分；1平方米以内坑洞、坑槽每处扣1.5分、超出1平方米扣3分；下沉造成较大面积积水每处扣2分；路面其他病害每处扣1分。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cantSplit/>
          <w:trHeight w:val="1388"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人行道养护</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人行道破损每处扣1分、松动每处扣0.5分，超出养护标准2倍扣1.5分；1平方米以内坑洞、坑槽每处扣1.5分、超出1平方扣3分；平侧石破损每处扣1分；无障碍设施不规范每处扣2分；人行道其他病害每处1分。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cantSplit/>
          <w:trHeight w:val="744"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市政基础设施完整率</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道路无人行道设施或人行道成段断缺、未设置无障碍设施等每处扣3-5分。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cantSplit/>
          <w:trHeight w:val="1023" w:hRule="atLeast"/>
          <w:jc w:val="center"/>
        </w:trPr>
        <w:tc>
          <w:tcPr>
            <w:tcW w:w="1088" w:type="dxa"/>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数字城管案件</w:t>
            </w:r>
            <w:r>
              <w:rPr>
                <w:rFonts w:hint="eastAsia" w:asciiTheme="majorEastAsia" w:hAnsiTheme="majorEastAsia" w:eastAsiaTheme="majorEastAsia" w:cstheme="majorEastAsia"/>
                <w:color w:val="auto"/>
                <w:sz w:val="24"/>
                <w:szCs w:val="24"/>
                <w:highlight w:val="none"/>
                <w:lang w:val="en-US" w:eastAsia="zh-CN"/>
              </w:rPr>
              <w:t>20分</w:t>
            </w: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数字城管案件量</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每月</w:t>
            </w:r>
            <w:r>
              <w:rPr>
                <w:rFonts w:hint="eastAsia" w:asciiTheme="majorEastAsia" w:hAnsiTheme="majorEastAsia" w:eastAsiaTheme="majorEastAsia" w:cstheme="majorEastAsia"/>
                <w:color w:val="auto"/>
                <w:sz w:val="24"/>
                <w:szCs w:val="24"/>
                <w:highlight w:val="none"/>
                <w:lang w:val="en-US" w:eastAsia="zh-CN"/>
              </w:rPr>
              <w:t>200起案件为基数，201-250扣2分，251-300扣4分，301-350扣6分，每增加50件扣2分，以此类推上限扣20分。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cantSplit/>
          <w:trHeight w:val="576"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桥梁设施养护</w:t>
            </w:r>
          </w:p>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分</w:t>
            </w:r>
          </w:p>
        </w:tc>
        <w:tc>
          <w:tcPr>
            <w:tcW w:w="1200" w:type="dxa"/>
            <w:vMerge w:val="restart"/>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桥梁上（下）部结构、栏杆、排水设施、附属设施养护</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桥面裂缝、坑槽、破损</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伸缩缝破损、支座破损锈蚀等每处扣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cantSplit/>
          <w:trHeight w:val="455"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1200" w:type="dxa"/>
            <w:vMerge w:val="continue"/>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墩台墙柱开裂每处扣</w:t>
            </w:r>
            <w:r>
              <w:rPr>
                <w:rFonts w:hint="eastAsia" w:asciiTheme="majorEastAsia" w:hAnsiTheme="majorEastAsia" w:eastAsiaTheme="majorEastAsia" w:cstheme="majorEastAsia"/>
                <w:color w:val="auto"/>
                <w:sz w:val="24"/>
                <w:szCs w:val="24"/>
                <w:highlight w:val="none"/>
                <w:lang w:val="en-US" w:eastAsia="zh-CN"/>
              </w:rPr>
              <w:t>0.5</w:t>
            </w:r>
            <w:r>
              <w:rPr>
                <w:rFonts w:hint="eastAsia" w:asciiTheme="majorEastAsia" w:hAnsiTheme="majorEastAsia" w:eastAsiaTheme="majorEastAsia" w:cstheme="majorEastAsia"/>
                <w:color w:val="auto"/>
                <w:sz w:val="24"/>
                <w:szCs w:val="24"/>
                <w:highlight w:val="none"/>
              </w:rPr>
              <w:t>分，基础下沉扣</w:t>
            </w:r>
            <w:r>
              <w:rPr>
                <w:rFonts w:hint="eastAsia" w:asciiTheme="majorEastAsia" w:hAnsiTheme="majorEastAsia" w:eastAsiaTheme="majorEastAsia" w:cstheme="majorEastAsia"/>
                <w:color w:val="auto"/>
                <w:sz w:val="24"/>
                <w:szCs w:val="24"/>
                <w:highlight w:val="none"/>
                <w:lang w:val="en-US" w:eastAsia="zh-CN"/>
              </w:rPr>
              <w:t>0.5</w:t>
            </w:r>
            <w:r>
              <w:rPr>
                <w:rFonts w:hint="eastAsia" w:asciiTheme="majorEastAsia" w:hAnsiTheme="majorEastAsia" w:eastAsiaTheme="majorEastAsia" w:cstheme="majorEastAsia"/>
                <w:color w:val="auto"/>
                <w:sz w:val="24"/>
                <w:szCs w:val="24"/>
                <w:highlight w:val="none"/>
              </w:rPr>
              <w:t>分， 基础位移扣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cantSplit/>
          <w:trHeight w:val="686"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1200" w:type="dxa"/>
            <w:vMerge w:val="continue"/>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栏杆结构不牢、破损、排水设施破损、堵塞、挡墙损坏开裂每处扣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分，特别严重的扣</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分，指示牌破损每处扣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trHeight w:val="653" w:hRule="atLeast"/>
          <w:jc w:val="center"/>
        </w:trPr>
        <w:tc>
          <w:tcPr>
            <w:tcW w:w="1088" w:type="dxa"/>
            <w:vMerge w:val="restart"/>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安全文明施工</w:t>
            </w:r>
          </w:p>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分</w:t>
            </w:r>
          </w:p>
        </w:tc>
        <w:tc>
          <w:tcPr>
            <w:tcW w:w="1200" w:type="dxa"/>
            <w:vMerge w:val="restart"/>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养护作业</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发现违章及不规范施工每次扣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分，养护不当存在安全隐患的每处扣</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trHeight w:val="460"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1200" w:type="dxa"/>
            <w:vMerge w:val="continue"/>
            <w:tcBorders>
              <w:top w:val="nil"/>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不文明施工，无围护扣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分、围护不到位扣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分、着装不规范扣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trHeight w:val="610" w:hRule="atLeast"/>
          <w:jc w:val="center"/>
        </w:trPr>
        <w:tc>
          <w:tcPr>
            <w:tcW w:w="1088" w:type="dxa"/>
            <w:vMerge w:val="continue"/>
            <w:tcBorders>
              <w:top w:val="nil"/>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c>
          <w:tcPr>
            <w:tcW w:w="12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监督管理</w:t>
            </w:r>
          </w:p>
        </w:tc>
        <w:tc>
          <w:tcPr>
            <w:tcW w:w="6000"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未经审批私自开挖市政道路或未按市政养护规范要求恢复等每处扣</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r>
        <w:tblPrEx>
          <w:tblCellMar>
            <w:top w:w="0" w:type="dxa"/>
            <w:left w:w="108" w:type="dxa"/>
            <w:bottom w:w="0" w:type="dxa"/>
            <w:right w:w="108" w:type="dxa"/>
          </w:tblCellMar>
        </w:tblPrEx>
        <w:trPr>
          <w:cantSplit/>
          <w:trHeight w:val="179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抄告信访处理及台帐检查</w:t>
            </w:r>
          </w:p>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分</w:t>
            </w:r>
          </w:p>
        </w:tc>
        <w:tc>
          <w:tcPr>
            <w:tcW w:w="7200" w:type="dxa"/>
            <w:gridSpan w:val="2"/>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1.市查、区查的涉及属地管辖内（包括区直部门管养护面积）所有道路的有责抄告及信访问题每件扣0.5分，二次抄告扣1分 ，三次及以上抄告扣2分；发生区级媒体曝光每件扣2分，被区级领导批示批评的每件扣1分；联系函、抄告单等超时回复或不回复的每次扣1—1.5分。</w:t>
            </w:r>
          </w:p>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2.市政养护维修工作未按计划完成的和台账资料抽查，以及其他市政管养台帐资料检查未完成、弄虚作假的扣1—3分。</w:t>
            </w:r>
          </w:p>
        </w:tc>
        <w:tc>
          <w:tcPr>
            <w:tcW w:w="772" w:type="dxa"/>
            <w:tcBorders>
              <w:top w:val="single" w:color="auto" w:sz="4" w:space="0"/>
              <w:left w:val="nil"/>
              <w:bottom w:val="single" w:color="auto" w:sz="4" w:space="0"/>
              <w:right w:val="single" w:color="auto" w:sz="4" w:space="0"/>
            </w:tcBorders>
            <w:noWrap w:val="0"/>
            <w:vAlign w:val="center"/>
          </w:tcPr>
          <w:p>
            <w:pPr>
              <w:wordWrap/>
              <w:adjustRightInd w:val="0"/>
              <w:snapToGrid w:val="0"/>
              <w:spacing w:line="440" w:lineRule="exact"/>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p>
        </w:tc>
      </w:tr>
    </w:tbl>
    <w:p>
      <w:pPr>
        <w:jc w:val="center"/>
        <w:rPr>
          <w:rFonts w:hint="eastAsia" w:asciiTheme="majorEastAsia" w:hAnsiTheme="majorEastAsia" w:eastAsiaTheme="majorEastAsia" w:cstheme="majorEastAsia"/>
          <w:b/>
          <w:bCs/>
          <w:color w:val="auto"/>
          <w:sz w:val="24"/>
          <w:highlight w:val="none"/>
          <w:lang w:val="en-US" w:eastAsia="zh-CN"/>
        </w:rPr>
      </w:pPr>
    </w:p>
    <w:p>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六</w:t>
      </w:r>
      <w:r>
        <w:rPr>
          <w:rFonts w:hint="eastAsia" w:asciiTheme="majorEastAsia" w:hAnsiTheme="majorEastAsia" w:eastAsiaTheme="majorEastAsia" w:cstheme="majorEastAsia"/>
          <w:b/>
          <w:bCs/>
          <w:color w:val="auto"/>
          <w:sz w:val="24"/>
          <w:highlight w:val="none"/>
        </w:rPr>
        <w:t>、履约保证金：</w:t>
      </w:r>
    </w:p>
    <w:p>
      <w:pPr>
        <w:widowControl/>
        <w:autoSpaceDE w:val="0"/>
        <w:autoSpaceDN w:val="0"/>
        <w:adjustRightInd w:val="0"/>
        <w:spacing w:line="360" w:lineRule="auto"/>
        <w:ind w:firstLine="480" w:firstLineChars="200"/>
        <w:textAlignment w:val="bottom"/>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b/>
          <w:color w:val="auto"/>
          <w:sz w:val="24"/>
          <w:highlight w:val="none"/>
        </w:rPr>
        <w:t>中标单位在签订合同</w:t>
      </w:r>
      <w:r>
        <w:rPr>
          <w:rFonts w:hint="eastAsia" w:asciiTheme="majorEastAsia" w:hAnsiTheme="majorEastAsia" w:eastAsiaTheme="majorEastAsia" w:cstheme="majorEastAsia"/>
          <w:b/>
          <w:color w:val="auto"/>
          <w:sz w:val="24"/>
          <w:highlight w:val="none"/>
          <w:lang w:val="en-US" w:eastAsia="zh-CN"/>
        </w:rPr>
        <w:t>前</w:t>
      </w:r>
      <w:r>
        <w:rPr>
          <w:rFonts w:hint="eastAsia" w:asciiTheme="majorEastAsia" w:hAnsiTheme="majorEastAsia" w:eastAsiaTheme="majorEastAsia" w:cstheme="majorEastAsia"/>
          <w:b/>
          <w:color w:val="auto"/>
          <w:sz w:val="24"/>
          <w:highlight w:val="none"/>
        </w:rPr>
        <w:t>向招标人交纳中标价的</w:t>
      </w:r>
      <w:r>
        <w:rPr>
          <w:rFonts w:hint="eastAsia" w:asciiTheme="majorEastAsia" w:hAnsiTheme="majorEastAsia" w:eastAsiaTheme="majorEastAsia" w:cstheme="majorEastAsia"/>
          <w:b/>
          <w:color w:val="auto"/>
          <w:sz w:val="24"/>
          <w:highlight w:val="none"/>
          <w:lang w:val="en-US" w:eastAsia="zh-CN"/>
        </w:rPr>
        <w:t>2.5</w:t>
      </w:r>
      <w:r>
        <w:rPr>
          <w:rFonts w:hint="eastAsia" w:asciiTheme="majorEastAsia" w:hAnsiTheme="majorEastAsia" w:eastAsiaTheme="majorEastAsia" w:cstheme="majorEastAsia"/>
          <w:b/>
          <w:color w:val="auto"/>
          <w:sz w:val="24"/>
          <w:highlight w:val="none"/>
        </w:rPr>
        <w:t>%作为履约保证金。</w:t>
      </w:r>
    </w:p>
    <w:p>
      <w:pPr>
        <w:widowControl/>
        <w:numPr>
          <w:ilvl w:val="0"/>
          <w:numId w:val="0"/>
        </w:numPr>
        <w:spacing w:line="360" w:lineRule="auto"/>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 w:val="24"/>
          <w:highlight w:val="none"/>
          <w:lang w:val="en-US" w:eastAsia="zh-CN"/>
        </w:rPr>
        <w:t>七</w:t>
      </w:r>
      <w:r>
        <w:rPr>
          <w:rFonts w:hint="eastAsia" w:asciiTheme="majorEastAsia" w:hAnsiTheme="majorEastAsia" w:eastAsiaTheme="majorEastAsia" w:cstheme="majorEastAsia"/>
          <w:b/>
          <w:bCs/>
          <w:color w:val="auto"/>
          <w:sz w:val="24"/>
          <w:highlight w:val="none"/>
        </w:rPr>
        <w:t>、其他要求及说明</w:t>
      </w:r>
    </w:p>
    <w:p>
      <w:pPr>
        <w:widowControl/>
        <w:autoSpaceDE w:val="0"/>
        <w:autoSpaceDN w:val="0"/>
        <w:adjustRightInd w:val="0"/>
        <w:spacing w:line="360" w:lineRule="auto"/>
        <w:ind w:firstLine="361" w:firstLineChars="150"/>
        <w:textAlignment w:val="bottom"/>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rPr>
        <w:t>1、</w:t>
      </w:r>
      <w:r>
        <w:rPr>
          <w:rFonts w:hint="eastAsia" w:asciiTheme="majorEastAsia" w:hAnsiTheme="majorEastAsia" w:eastAsiaTheme="majorEastAsia" w:cstheme="majorEastAsia"/>
          <w:b/>
          <w:bCs/>
          <w:color w:val="auto"/>
          <w:sz w:val="24"/>
          <w:highlight w:val="none"/>
          <w:lang w:eastAsia="zh-CN"/>
        </w:rPr>
        <w:t>绿化养护、时花养护、道路养护</w:t>
      </w:r>
      <w:r>
        <w:rPr>
          <w:rFonts w:hint="eastAsia" w:asciiTheme="majorEastAsia" w:hAnsiTheme="majorEastAsia" w:eastAsiaTheme="majorEastAsia" w:cstheme="majorEastAsia"/>
          <w:b/>
          <w:bCs/>
          <w:color w:val="auto"/>
          <w:sz w:val="24"/>
          <w:highlight w:val="none"/>
        </w:rPr>
        <w:t>投标报价</w:t>
      </w:r>
      <w:r>
        <w:rPr>
          <w:rFonts w:hint="eastAsia" w:asciiTheme="majorEastAsia" w:hAnsiTheme="majorEastAsia" w:eastAsiaTheme="majorEastAsia" w:cstheme="majorEastAsia"/>
          <w:b/>
          <w:bCs/>
          <w:color w:val="auto"/>
          <w:sz w:val="24"/>
          <w:highlight w:val="none"/>
          <w:lang w:eastAsia="zh-CN"/>
        </w:rPr>
        <w:t>说明</w:t>
      </w:r>
    </w:p>
    <w:p>
      <w:pPr>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1.1、绿化养护费：</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1.1.1</w:t>
      </w:r>
      <w:r>
        <w:rPr>
          <w:rFonts w:hint="eastAsia" w:asciiTheme="majorEastAsia" w:hAnsiTheme="majorEastAsia" w:eastAsiaTheme="majorEastAsia" w:cstheme="majorEastAsia"/>
          <w:color w:val="auto"/>
          <w:sz w:val="24"/>
          <w:highlight w:val="none"/>
        </w:rPr>
        <w:t>根据招标要求，招标绿</w:t>
      </w:r>
      <w:r>
        <w:rPr>
          <w:rFonts w:hint="eastAsia" w:asciiTheme="majorEastAsia" w:hAnsiTheme="majorEastAsia" w:eastAsiaTheme="majorEastAsia" w:cstheme="majorEastAsia"/>
          <w:color w:val="auto"/>
          <w:sz w:val="24"/>
          <w:highlight w:val="none"/>
          <w:lang w:val="en-US" w:eastAsia="zh-CN"/>
        </w:rPr>
        <w:t>化</w:t>
      </w:r>
      <w:r>
        <w:rPr>
          <w:rFonts w:hint="eastAsia" w:asciiTheme="majorEastAsia" w:hAnsiTheme="majorEastAsia" w:eastAsiaTheme="majorEastAsia" w:cstheme="majorEastAsia"/>
          <w:color w:val="auto"/>
          <w:sz w:val="24"/>
          <w:highlight w:val="none"/>
        </w:rPr>
        <w:t>养护款的70%属于日常养护费、30%作为招标绿地的苗木调整、土壤改良等绿地提升改造费用。</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1.1.2</w:t>
      </w:r>
      <w:r>
        <w:rPr>
          <w:rFonts w:hint="eastAsia" w:asciiTheme="majorEastAsia" w:hAnsiTheme="majorEastAsia" w:eastAsiaTheme="majorEastAsia" w:cstheme="majorEastAsia"/>
          <w:color w:val="auto"/>
          <w:sz w:val="24"/>
          <w:highlight w:val="none"/>
        </w:rPr>
        <w:t>日常绿化养护费包括：绿化养护人工工资、绿化施肥费、绿化浇水费、绿化防病防虫用药费、绿化零星补植费、防台抗雪等应急物资储备费、其他费用；</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w:t>
      </w:r>
      <w:r>
        <w:rPr>
          <w:rFonts w:hint="eastAsia" w:asciiTheme="majorEastAsia" w:hAnsiTheme="majorEastAsia" w:eastAsiaTheme="majorEastAsia" w:cstheme="majorEastAsia"/>
          <w:color w:val="auto"/>
          <w:sz w:val="24"/>
          <w:highlight w:val="yellow"/>
          <w:lang w:val="en-US" w:eastAsia="zh-CN"/>
        </w:rPr>
        <w:t>3</w:t>
      </w:r>
      <w:r>
        <w:rPr>
          <w:rFonts w:hint="eastAsia" w:asciiTheme="majorEastAsia" w:hAnsiTheme="majorEastAsia" w:eastAsiaTheme="majorEastAsia" w:cstheme="majorEastAsia"/>
          <w:color w:val="auto"/>
          <w:sz w:val="24"/>
          <w:highlight w:val="yellow"/>
        </w:rPr>
        <w:t>绿化养护人员不少于2人/万平方米，</w:t>
      </w:r>
      <w:r>
        <w:rPr>
          <w:rFonts w:hint="eastAsia" w:asciiTheme="majorEastAsia" w:hAnsiTheme="majorEastAsia" w:eastAsiaTheme="majorEastAsia" w:cstheme="majorEastAsia"/>
          <w:color w:val="auto"/>
          <w:sz w:val="24"/>
          <w:highlight w:val="none"/>
        </w:rPr>
        <w:t>养护人员工资不得低于杭州市最低工资标准（根据《</w:t>
      </w:r>
      <w:r>
        <w:rPr>
          <w:rFonts w:hint="eastAsia" w:asciiTheme="majorEastAsia" w:hAnsiTheme="majorEastAsia" w:eastAsiaTheme="majorEastAsia" w:cstheme="majorEastAsia"/>
          <w:color w:val="auto"/>
          <w:sz w:val="24"/>
          <w:highlight w:val="none"/>
          <w:lang w:val="en-US" w:eastAsia="zh-CN"/>
        </w:rPr>
        <w:t>浙江省</w:t>
      </w:r>
      <w:r>
        <w:rPr>
          <w:rFonts w:hint="eastAsia" w:asciiTheme="majorEastAsia" w:hAnsiTheme="majorEastAsia" w:eastAsiaTheme="majorEastAsia" w:cstheme="majorEastAsia"/>
          <w:color w:val="auto"/>
          <w:sz w:val="24"/>
          <w:highlight w:val="none"/>
        </w:rPr>
        <w:t>人民政府关于调整</w:t>
      </w:r>
      <w:r>
        <w:rPr>
          <w:rFonts w:hint="eastAsia" w:asciiTheme="majorEastAsia" w:hAnsiTheme="majorEastAsia" w:eastAsiaTheme="majorEastAsia" w:cstheme="majorEastAsia"/>
          <w:color w:val="auto"/>
          <w:sz w:val="24"/>
          <w:highlight w:val="none"/>
          <w:lang w:val="en-US" w:eastAsia="zh-CN"/>
        </w:rPr>
        <w:t>全省</w:t>
      </w:r>
      <w:r>
        <w:rPr>
          <w:rFonts w:hint="eastAsia" w:asciiTheme="majorEastAsia" w:hAnsiTheme="majorEastAsia" w:eastAsiaTheme="majorEastAsia" w:cstheme="majorEastAsia"/>
          <w:color w:val="auto"/>
          <w:sz w:val="24"/>
          <w:highlight w:val="none"/>
        </w:rPr>
        <w:t>最低工资标准的通知》（</w:t>
      </w:r>
      <w:r>
        <w:rPr>
          <w:rFonts w:hint="eastAsia" w:asciiTheme="majorEastAsia" w:hAnsiTheme="majorEastAsia" w:eastAsiaTheme="majorEastAsia" w:cstheme="majorEastAsia"/>
          <w:color w:val="auto"/>
          <w:sz w:val="24"/>
          <w:highlight w:val="none"/>
          <w:lang w:val="en-US" w:eastAsia="zh-CN"/>
        </w:rPr>
        <w:t>浙政发</w:t>
      </w:r>
      <w:r>
        <w:rPr>
          <w:rFonts w:hint="eastAsia" w:asciiTheme="majorEastAsia" w:hAnsiTheme="majorEastAsia" w:eastAsiaTheme="majorEastAsia" w:cstheme="majorEastAsia"/>
          <w:color w:val="auto"/>
          <w:sz w:val="24"/>
          <w:highlight w:val="none"/>
        </w:rPr>
        <w:t>〔20</w:t>
      </w:r>
      <w:r>
        <w:rPr>
          <w:rFonts w:hint="eastAsia" w:asciiTheme="majorEastAsia" w:hAnsiTheme="majorEastAsia" w:eastAsiaTheme="majorEastAsia" w:cstheme="majorEastAsia"/>
          <w:color w:val="auto"/>
          <w:sz w:val="24"/>
          <w:highlight w:val="none"/>
          <w:lang w:val="en-US" w:eastAsia="zh-CN"/>
        </w:rPr>
        <w:t>21</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22</w:t>
      </w:r>
      <w:r>
        <w:rPr>
          <w:rFonts w:hint="eastAsia" w:asciiTheme="majorEastAsia" w:hAnsiTheme="majorEastAsia" w:eastAsiaTheme="majorEastAsia" w:cstheme="majorEastAsia"/>
          <w:color w:val="auto"/>
          <w:sz w:val="24"/>
          <w:highlight w:val="none"/>
        </w:rPr>
        <w:t>号）精神执行，合同期内如遇工作人员的最低工资调整等其他因素，产生的费用由投标单位承担）。人工工资主要包括基本工资、社会保障五险、高温补助、意外伤害险等，人员配备必须附本企业最近一季度交纳的养老保险为依据。养护人员主要做好绿地养护中各类养护工作，其中包括服从采购人派遣任务、绿化施肥、浇水、植物修剪、绿地保洁、除草、设施维修、补种、喷洒农药、应急响应等养护工作；</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1.1.4</w:t>
      </w:r>
      <w:r>
        <w:rPr>
          <w:rFonts w:hint="eastAsia" w:asciiTheme="majorEastAsia" w:hAnsiTheme="majorEastAsia" w:eastAsiaTheme="majorEastAsia" w:cstheme="majorEastAsia"/>
          <w:color w:val="auto"/>
          <w:sz w:val="24"/>
          <w:highlight w:val="none"/>
        </w:rPr>
        <w:t>绿化施肥费：每年施肥不少于2次，平日应及时追肥，确保绿化生长所必需的养分，用有机肥或复合肥0.5kg／㎡，该项费用最少不低于日常绿化养护费的</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1.1.5</w:t>
      </w:r>
      <w:r>
        <w:rPr>
          <w:rFonts w:hint="eastAsia" w:asciiTheme="majorEastAsia" w:hAnsiTheme="majorEastAsia" w:eastAsiaTheme="majorEastAsia" w:cstheme="majorEastAsia"/>
          <w:color w:val="auto"/>
          <w:sz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1.1.6</w:t>
      </w:r>
      <w:r>
        <w:rPr>
          <w:rFonts w:hint="eastAsia" w:asciiTheme="majorEastAsia" w:hAnsiTheme="majorEastAsia" w:eastAsiaTheme="majorEastAsia" w:cstheme="majorEastAsia"/>
          <w:color w:val="auto"/>
          <w:sz w:val="24"/>
          <w:highlight w:val="none"/>
        </w:rPr>
        <w:t>绿化防病防虫用药费：要求综合防治，以防为主。病虫害危害应控制在以不影响观赏效果的范围之内，其中食叶性害虫危害的叶片，每株不超过</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%；刺吸性害虫危害的叶片，每株不超过10%；无蛀干性害虫的活虫、活卵，该项费用最少不低于日常绿化养护费的</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1.1.7</w:t>
      </w:r>
      <w:r>
        <w:rPr>
          <w:rFonts w:hint="eastAsia" w:asciiTheme="majorEastAsia" w:hAnsiTheme="majorEastAsia" w:eastAsiaTheme="majorEastAsia" w:cstheme="majorEastAsia"/>
          <w:color w:val="auto"/>
          <w:sz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1.1.8</w:t>
      </w:r>
      <w:r>
        <w:rPr>
          <w:rFonts w:hint="eastAsia" w:asciiTheme="majorEastAsia" w:hAnsiTheme="majorEastAsia" w:eastAsiaTheme="majorEastAsia" w:cstheme="majorEastAsia"/>
          <w:color w:val="auto"/>
          <w:sz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1.1.9</w:t>
      </w:r>
      <w:r>
        <w:rPr>
          <w:rFonts w:hint="eastAsia" w:asciiTheme="majorEastAsia" w:hAnsiTheme="majorEastAsia" w:eastAsiaTheme="majorEastAsia" w:cstheme="majorEastAsia"/>
          <w:color w:val="auto"/>
          <w:sz w:val="24"/>
          <w:highlight w:val="none"/>
        </w:rPr>
        <w:t>其他费用：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pPr>
        <w:autoSpaceDE w:val="0"/>
        <w:autoSpaceDN w:val="0"/>
        <w:adjustRightInd w:val="0"/>
        <w:snapToGrid w:val="0"/>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1.2、绿化更新改造费：</w:t>
      </w:r>
    </w:p>
    <w:p>
      <w:pPr>
        <w:autoSpaceDE w:val="0"/>
        <w:autoSpaceDN w:val="0"/>
        <w:adjustRightInd w:val="0"/>
        <w:snapToGrid w:val="0"/>
        <w:spacing w:line="360" w:lineRule="auto"/>
        <w:ind w:firstLine="496" w:firstLineChars="200"/>
        <w:rPr>
          <w:rFonts w:hint="eastAsia" w:asciiTheme="majorEastAsia" w:hAnsiTheme="majorEastAsia" w:eastAsiaTheme="majorEastAsia" w:cstheme="majorEastAsia"/>
          <w:color w:val="auto"/>
          <w:spacing w:val="4"/>
          <w:kern w:val="0"/>
          <w:sz w:val="24"/>
          <w:szCs w:val="24"/>
          <w:highlight w:val="none"/>
        </w:rPr>
      </w:pPr>
      <w:r>
        <w:rPr>
          <w:rFonts w:hint="eastAsia" w:asciiTheme="majorEastAsia" w:hAnsiTheme="majorEastAsia" w:eastAsiaTheme="majorEastAsia" w:cstheme="majorEastAsia"/>
          <w:color w:val="auto"/>
          <w:spacing w:val="4"/>
          <w:kern w:val="0"/>
          <w:sz w:val="24"/>
          <w:szCs w:val="24"/>
          <w:highlight w:val="none"/>
        </w:rPr>
        <w:t>①每一期改造竣工验收后，由</w:t>
      </w:r>
      <w:r>
        <w:rPr>
          <w:rFonts w:hint="eastAsia" w:asciiTheme="majorEastAsia" w:hAnsiTheme="majorEastAsia" w:eastAsiaTheme="majorEastAsia" w:cstheme="majorEastAsia"/>
          <w:color w:val="auto"/>
          <w:spacing w:val="4"/>
          <w:kern w:val="0"/>
          <w:sz w:val="24"/>
          <w:szCs w:val="24"/>
          <w:highlight w:val="none"/>
          <w:lang w:val="en-US" w:eastAsia="zh-CN"/>
        </w:rPr>
        <w:t>甲方</w:t>
      </w:r>
      <w:r>
        <w:rPr>
          <w:rFonts w:hint="eastAsia" w:asciiTheme="majorEastAsia" w:hAnsiTheme="majorEastAsia" w:eastAsiaTheme="majorEastAsia" w:cstheme="majorEastAsia"/>
          <w:color w:val="auto"/>
          <w:spacing w:val="4"/>
          <w:kern w:val="0"/>
          <w:sz w:val="24"/>
          <w:szCs w:val="24"/>
          <w:highlight w:val="none"/>
        </w:rPr>
        <w:t>送审计部门进行审计，并按最终审计价支付。若更新改造费尾款低于2万以内，</w:t>
      </w:r>
      <w:r>
        <w:rPr>
          <w:rFonts w:hint="eastAsia" w:asciiTheme="majorEastAsia" w:hAnsiTheme="majorEastAsia" w:eastAsiaTheme="majorEastAsia" w:cstheme="majorEastAsia"/>
          <w:color w:val="auto"/>
          <w:spacing w:val="4"/>
          <w:kern w:val="0"/>
          <w:sz w:val="24"/>
          <w:szCs w:val="24"/>
          <w:highlight w:val="none"/>
          <w:lang w:val="en-US" w:eastAsia="zh-CN"/>
        </w:rPr>
        <w:t>甲方</w:t>
      </w:r>
      <w:r>
        <w:rPr>
          <w:rFonts w:hint="eastAsia" w:asciiTheme="majorEastAsia" w:hAnsiTheme="majorEastAsia" w:eastAsiaTheme="majorEastAsia" w:cstheme="majorEastAsia"/>
          <w:color w:val="auto"/>
          <w:spacing w:val="4"/>
          <w:kern w:val="0"/>
          <w:sz w:val="24"/>
          <w:szCs w:val="24"/>
          <w:highlight w:val="none"/>
        </w:rPr>
        <w:t>可以通过双方签订零星改造协议、并经</w:t>
      </w:r>
      <w:r>
        <w:rPr>
          <w:rFonts w:hint="eastAsia" w:asciiTheme="majorEastAsia" w:hAnsiTheme="majorEastAsia" w:eastAsiaTheme="majorEastAsia" w:cstheme="majorEastAsia"/>
          <w:color w:val="auto"/>
          <w:spacing w:val="4"/>
          <w:kern w:val="0"/>
          <w:sz w:val="24"/>
          <w:szCs w:val="24"/>
          <w:highlight w:val="none"/>
          <w:lang w:val="en-US" w:eastAsia="zh-CN"/>
        </w:rPr>
        <w:t>甲方</w:t>
      </w:r>
      <w:r>
        <w:rPr>
          <w:rFonts w:hint="eastAsia" w:asciiTheme="majorEastAsia" w:hAnsiTheme="majorEastAsia" w:eastAsiaTheme="majorEastAsia" w:cstheme="majorEastAsia"/>
          <w:color w:val="auto"/>
          <w:spacing w:val="4"/>
          <w:kern w:val="0"/>
          <w:sz w:val="24"/>
          <w:szCs w:val="24"/>
          <w:highlight w:val="none"/>
        </w:rPr>
        <w:t>验收合格后，按照决算价下浮20%后进行支付。</w:t>
      </w:r>
    </w:p>
    <w:p>
      <w:pPr>
        <w:autoSpaceDE w:val="0"/>
        <w:autoSpaceDN w:val="0"/>
        <w:adjustRightInd w:val="0"/>
        <w:snapToGrid w:val="0"/>
        <w:spacing w:line="360" w:lineRule="auto"/>
        <w:ind w:firstLine="496" w:firstLineChars="200"/>
        <w:rPr>
          <w:rFonts w:hint="eastAsia" w:asciiTheme="majorEastAsia" w:hAnsiTheme="majorEastAsia" w:eastAsiaTheme="majorEastAsia" w:cstheme="majorEastAsia"/>
          <w:color w:val="auto"/>
          <w:spacing w:val="4"/>
          <w:kern w:val="0"/>
          <w:sz w:val="24"/>
          <w:szCs w:val="24"/>
          <w:highlight w:val="none"/>
        </w:rPr>
      </w:pPr>
      <w:r>
        <w:rPr>
          <w:rFonts w:hint="eastAsia" w:asciiTheme="majorEastAsia" w:hAnsiTheme="majorEastAsia" w:eastAsiaTheme="majorEastAsia" w:cstheme="majorEastAsia"/>
          <w:color w:val="auto"/>
          <w:spacing w:val="4"/>
          <w:kern w:val="0"/>
          <w:sz w:val="24"/>
          <w:szCs w:val="24"/>
          <w:highlight w:val="none"/>
        </w:rPr>
        <w:t>②若改造工程中涉及到基本审计费，经</w:t>
      </w:r>
      <w:r>
        <w:rPr>
          <w:rFonts w:hint="eastAsia" w:asciiTheme="majorEastAsia" w:hAnsiTheme="majorEastAsia" w:eastAsiaTheme="majorEastAsia" w:cstheme="majorEastAsia"/>
          <w:color w:val="auto"/>
          <w:spacing w:val="4"/>
          <w:kern w:val="0"/>
          <w:sz w:val="24"/>
          <w:szCs w:val="24"/>
          <w:highlight w:val="none"/>
          <w:lang w:val="en-US" w:eastAsia="zh-CN"/>
        </w:rPr>
        <w:t>甲方</w:t>
      </w:r>
      <w:r>
        <w:rPr>
          <w:rFonts w:hint="eastAsia" w:asciiTheme="majorEastAsia" w:hAnsiTheme="majorEastAsia" w:eastAsiaTheme="majorEastAsia" w:cstheme="majorEastAsia"/>
          <w:color w:val="auto"/>
          <w:spacing w:val="4"/>
          <w:kern w:val="0"/>
          <w:sz w:val="24"/>
          <w:szCs w:val="24"/>
          <w:highlight w:val="none"/>
        </w:rPr>
        <w:t>审核同意后支付。</w:t>
      </w:r>
    </w:p>
    <w:p>
      <w:pPr>
        <w:autoSpaceDE w:val="0"/>
        <w:autoSpaceDN w:val="0"/>
        <w:adjustRightInd w:val="0"/>
        <w:snapToGrid w:val="0"/>
        <w:spacing w:line="360" w:lineRule="auto"/>
        <w:ind w:firstLine="496" w:firstLineChars="200"/>
        <w:rPr>
          <w:rFonts w:hint="eastAsia" w:asciiTheme="majorEastAsia" w:hAnsiTheme="majorEastAsia" w:eastAsiaTheme="majorEastAsia" w:cstheme="majorEastAsia"/>
          <w:color w:val="auto"/>
          <w:spacing w:val="4"/>
          <w:kern w:val="0"/>
          <w:sz w:val="24"/>
          <w:szCs w:val="24"/>
          <w:highlight w:val="none"/>
        </w:rPr>
      </w:pPr>
      <w:r>
        <w:rPr>
          <w:rFonts w:hint="eastAsia" w:asciiTheme="majorEastAsia" w:hAnsiTheme="majorEastAsia" w:eastAsiaTheme="majorEastAsia" w:cstheme="majorEastAsia"/>
          <w:color w:val="auto"/>
          <w:spacing w:val="4"/>
          <w:kern w:val="0"/>
          <w:sz w:val="24"/>
          <w:szCs w:val="24"/>
          <w:highlight w:val="none"/>
        </w:rPr>
        <w:t>③超出综合养护中的更新改造费以及超出部分审计产生的审计费，由</w:t>
      </w:r>
      <w:r>
        <w:rPr>
          <w:rFonts w:hint="eastAsia" w:asciiTheme="majorEastAsia" w:hAnsiTheme="majorEastAsia" w:eastAsiaTheme="majorEastAsia" w:cstheme="majorEastAsia"/>
          <w:color w:val="auto"/>
          <w:spacing w:val="4"/>
          <w:kern w:val="0"/>
          <w:sz w:val="24"/>
          <w:szCs w:val="24"/>
          <w:highlight w:val="none"/>
          <w:lang w:val="en-US" w:eastAsia="zh-CN"/>
        </w:rPr>
        <w:t>乙方</w:t>
      </w:r>
      <w:r>
        <w:rPr>
          <w:rFonts w:hint="eastAsia" w:asciiTheme="majorEastAsia" w:hAnsiTheme="majorEastAsia" w:eastAsiaTheme="majorEastAsia" w:cstheme="majorEastAsia"/>
          <w:color w:val="auto"/>
          <w:spacing w:val="4"/>
          <w:kern w:val="0"/>
          <w:sz w:val="24"/>
          <w:szCs w:val="24"/>
          <w:highlight w:val="none"/>
        </w:rPr>
        <w:t>承担。</w:t>
      </w:r>
    </w:p>
    <w:p>
      <w:pPr>
        <w:snapToGrid w:val="0"/>
        <w:spacing w:before="0" w:beforeAutospacing="0" w:after="0" w:afterAutospacing="0" w:line="400" w:lineRule="atLeast"/>
        <w:ind w:firstLine="486" w:firstLineChars="196"/>
        <w:jc w:val="both"/>
        <w:textAlignment w:val="baseline"/>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pacing w:val="4"/>
          <w:kern w:val="0"/>
          <w:sz w:val="24"/>
          <w:szCs w:val="24"/>
          <w:highlight w:val="none"/>
        </w:rPr>
        <w:t>④根据招标范围，养护期内如有绿地改造，苗木迁移、补种等零星绿化项目，甲方委托乙方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20％。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pPr>
        <w:spacing w:line="360" w:lineRule="auto"/>
        <w:ind w:firstLine="480" w:firstLineChars="200"/>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1.3、</w:t>
      </w:r>
      <w:r>
        <w:rPr>
          <w:rFonts w:hint="eastAsia" w:asciiTheme="majorEastAsia" w:hAnsiTheme="majorEastAsia" w:eastAsiaTheme="majorEastAsia" w:cstheme="majorEastAsia"/>
          <w:color w:val="auto"/>
          <w:sz w:val="24"/>
          <w:highlight w:val="none"/>
        </w:rPr>
        <w:t>时花更换费：</w:t>
      </w:r>
      <w:r>
        <w:rPr>
          <w:rFonts w:hint="eastAsia" w:asciiTheme="majorEastAsia" w:hAnsiTheme="majorEastAsia" w:eastAsiaTheme="majorEastAsia" w:cstheme="majorEastAsia"/>
          <w:color w:val="auto"/>
          <w:sz w:val="24"/>
          <w:highlight w:val="none"/>
          <w:lang w:val="en-US" w:eastAsia="zh-CN"/>
        </w:rPr>
        <w:t>时花更换</w:t>
      </w:r>
      <w:r>
        <w:rPr>
          <w:rFonts w:hint="eastAsia" w:asciiTheme="majorEastAsia" w:hAnsiTheme="majorEastAsia" w:eastAsiaTheme="majorEastAsia" w:cstheme="majorEastAsia"/>
          <w:color w:val="auto"/>
          <w:sz w:val="24"/>
          <w:highlight w:val="none"/>
        </w:rPr>
        <w:t>主要用于一年不少于六次的时花更换，根据招标方要求，在养护期限内，由中标方提出时花更换方案，经招标方论证同意后方可实施，时花更换按时花投标报价（除时花种植面积增加或减少外，投标单</w:t>
      </w:r>
      <w:r>
        <w:rPr>
          <w:rFonts w:hint="eastAsia" w:asciiTheme="majorEastAsia" w:hAnsiTheme="majorEastAsia" w:eastAsiaTheme="majorEastAsia" w:cstheme="majorEastAsia"/>
          <w:color w:val="auto"/>
          <w:sz w:val="24"/>
          <w:highlight w:val="none"/>
          <w:lang w:val="en-US" w:eastAsia="zh-CN"/>
        </w:rPr>
        <w:t>价</w:t>
      </w:r>
      <w:r>
        <w:rPr>
          <w:rFonts w:hint="eastAsia" w:asciiTheme="majorEastAsia" w:hAnsiTheme="majorEastAsia" w:eastAsiaTheme="majorEastAsia" w:cstheme="majorEastAsia"/>
          <w:color w:val="auto"/>
          <w:sz w:val="24"/>
          <w:highlight w:val="none"/>
        </w:rPr>
        <w:t>不变，工程量按实计取）。中标单位在合同期限内有意不实施且阻挠工程改造的，情节严重的，招标方有权中止合同。</w:t>
      </w:r>
    </w:p>
    <w:p>
      <w:pPr>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1.4、市政养护费：</w:t>
      </w:r>
    </w:p>
    <w:p>
      <w:pPr>
        <w:snapToGrid w:val="0"/>
        <w:spacing w:line="600" w:lineRule="exact"/>
        <w:ind w:firstLine="480" w:firstLineChars="200"/>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val="en-US" w:eastAsia="zh-CN"/>
        </w:rPr>
        <w:t>1.4.1</w:t>
      </w:r>
      <w:r>
        <w:rPr>
          <w:rFonts w:hint="eastAsia" w:asciiTheme="majorEastAsia" w:hAnsiTheme="majorEastAsia" w:eastAsiaTheme="majorEastAsia" w:cstheme="majorEastAsia"/>
          <w:snapToGrid w:val="0"/>
          <w:color w:val="auto"/>
          <w:kern w:val="0"/>
          <w:sz w:val="24"/>
          <w:highlight w:val="none"/>
          <w:lang w:val="zh-CN"/>
        </w:rPr>
        <w:t>本项目采用费率招标</w:t>
      </w:r>
      <w:r>
        <w:rPr>
          <w:rFonts w:hint="eastAsia" w:asciiTheme="majorEastAsia" w:hAnsiTheme="majorEastAsia" w:eastAsiaTheme="majorEastAsia" w:cstheme="majorEastAsia"/>
          <w:snapToGrid w:val="0"/>
          <w:color w:val="auto"/>
          <w:kern w:val="0"/>
          <w:sz w:val="24"/>
          <w:highlight w:val="none"/>
          <w:lang w:val="en-US" w:eastAsia="zh-CN"/>
        </w:rPr>
        <w:t>(小数点后保留两位小数)，</w:t>
      </w:r>
      <w:r>
        <w:rPr>
          <w:rFonts w:hint="eastAsia" w:ascii="宋体" w:hAnsi="宋体" w:eastAsia="宋体" w:cs="宋体"/>
          <w:b/>
          <w:bCs/>
          <w:color w:val="auto"/>
          <w:sz w:val="24"/>
          <w:highlight w:val="none"/>
          <w:lang w:val="zh-CN"/>
        </w:rPr>
        <w:t>最高限价为基价的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val="zh-CN"/>
        </w:rPr>
        <w:t>0%</w:t>
      </w:r>
      <w:r>
        <w:rPr>
          <w:rFonts w:hint="eastAsia" w:ascii="宋体" w:hAnsi="宋体" w:cs="宋体"/>
          <w:b/>
          <w:bCs/>
          <w:color w:val="auto"/>
          <w:sz w:val="24"/>
          <w:highlight w:val="none"/>
          <w:lang w:val="zh-CN"/>
        </w:rPr>
        <w:t>；</w:t>
      </w:r>
      <w:r>
        <w:rPr>
          <w:rFonts w:hint="eastAsia" w:asciiTheme="majorEastAsia" w:hAnsiTheme="majorEastAsia" w:eastAsiaTheme="majorEastAsia" w:cstheme="majorEastAsia"/>
          <w:snapToGrid w:val="0"/>
          <w:color w:val="auto"/>
          <w:kern w:val="0"/>
          <w:sz w:val="24"/>
          <w:highlight w:val="none"/>
        </w:rPr>
        <w:t>结算方式：工程量按实计算，本工程基价套用《浙江省市政设施养护维修定额》（2018版）相应定额子目、如《浙江省市政设施养护维修定额》（2018版）无相应定额子目的可套用《浙江省市政工程预算定额（2018版）》相应定额子目，相应取费按《浙江省建设工程计价规则》2018版，</w:t>
      </w:r>
      <w:r>
        <w:rPr>
          <w:rFonts w:hint="eastAsia" w:asciiTheme="majorEastAsia" w:hAnsiTheme="majorEastAsia" w:eastAsiaTheme="majorEastAsia" w:cstheme="majorEastAsia"/>
          <w:snapToGrid w:val="0"/>
          <w:color w:val="auto"/>
          <w:kern w:val="0"/>
          <w:sz w:val="24"/>
          <w:highlight w:val="none"/>
          <w:lang w:val="en-US" w:eastAsia="zh-CN"/>
        </w:rPr>
        <w:t>套用</w:t>
      </w:r>
      <w:r>
        <w:rPr>
          <w:rFonts w:hint="eastAsia" w:asciiTheme="majorEastAsia" w:hAnsiTheme="majorEastAsia" w:eastAsiaTheme="majorEastAsia" w:cstheme="majorEastAsia"/>
          <w:snapToGrid w:val="0"/>
          <w:color w:val="auto"/>
          <w:kern w:val="0"/>
          <w:sz w:val="24"/>
          <w:highlight w:val="none"/>
        </w:rPr>
        <w:t>定额</w:t>
      </w:r>
      <w:r>
        <w:rPr>
          <w:rFonts w:hint="eastAsia" w:asciiTheme="majorEastAsia" w:hAnsiTheme="majorEastAsia" w:eastAsiaTheme="majorEastAsia" w:cstheme="majorEastAsia"/>
          <w:snapToGrid w:val="0"/>
          <w:color w:val="auto"/>
          <w:kern w:val="0"/>
          <w:sz w:val="24"/>
          <w:highlight w:val="none"/>
          <w:lang w:val="en-US" w:eastAsia="zh-CN"/>
        </w:rPr>
        <w:t>子目的</w:t>
      </w:r>
      <w:r>
        <w:rPr>
          <w:rFonts w:hint="eastAsia" w:asciiTheme="majorEastAsia" w:hAnsiTheme="majorEastAsia" w:eastAsiaTheme="majorEastAsia" w:cstheme="majorEastAsia"/>
          <w:snapToGrid w:val="0"/>
          <w:color w:val="auto"/>
          <w:kern w:val="0"/>
          <w:sz w:val="24"/>
          <w:highlight w:val="none"/>
        </w:rPr>
        <w:t>结算价=基价*投标报价（%）*实际工程量。2、无定额价的：结算按浙江省造价信息当年当月信息价下浮15%结算。3、没有造价信息的，按市场价下浮20%结算。</w:t>
      </w:r>
    </w:p>
    <w:p>
      <w:pPr>
        <w:pStyle w:val="83"/>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rPr>
        <w:t>1.4.2 市政养护累计合同金额不得超过551.1620万元。</w:t>
      </w:r>
    </w:p>
    <w:p>
      <w:pPr>
        <w:snapToGrid w:val="0"/>
        <w:spacing w:line="360" w:lineRule="auto"/>
        <w:jc w:val="both"/>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
          <w:color w:val="auto"/>
          <w:sz w:val="36"/>
          <w:szCs w:val="36"/>
          <w:highlight w:val="none"/>
        </w:rPr>
        <w:t xml:space="preserve">第四部分   </w:t>
      </w:r>
      <w:bookmarkStart w:id="26" w:name="_Toc184314431"/>
      <w:bookmarkEnd w:id="26"/>
      <w:bookmarkStart w:id="27" w:name="_Toc184308058"/>
      <w:bookmarkEnd w:id="27"/>
      <w:bookmarkStart w:id="28" w:name="_Toc184314430"/>
      <w:bookmarkEnd w:id="28"/>
      <w:bookmarkStart w:id="29" w:name="_Toc184310290"/>
      <w:bookmarkEnd w:id="29"/>
      <w:bookmarkStart w:id="30" w:name="_Toc184312094"/>
      <w:bookmarkEnd w:id="30"/>
      <w:bookmarkStart w:id="31" w:name="_Toc184308103"/>
      <w:bookmarkEnd w:id="31"/>
      <w:bookmarkStart w:id="32" w:name="_Toc184310272"/>
      <w:bookmarkEnd w:id="32"/>
      <w:bookmarkStart w:id="33" w:name="_Toc184310305"/>
      <w:bookmarkEnd w:id="33"/>
      <w:bookmarkStart w:id="34" w:name="_Toc184314480"/>
      <w:bookmarkEnd w:id="34"/>
      <w:bookmarkStart w:id="35" w:name="_Toc184310301"/>
      <w:bookmarkEnd w:id="35"/>
      <w:bookmarkStart w:id="36" w:name="_Toc184308037"/>
      <w:bookmarkEnd w:id="36"/>
      <w:bookmarkStart w:id="37" w:name="_Toc184312115"/>
      <w:bookmarkEnd w:id="37"/>
      <w:bookmarkStart w:id="38" w:name="_Toc184312074"/>
      <w:bookmarkEnd w:id="38"/>
      <w:bookmarkStart w:id="39" w:name="_Toc184313287"/>
      <w:bookmarkEnd w:id="39"/>
      <w:bookmarkStart w:id="40" w:name="_Toc184308036"/>
      <w:bookmarkEnd w:id="40"/>
      <w:bookmarkStart w:id="41" w:name="_Toc184314412"/>
      <w:bookmarkEnd w:id="41"/>
      <w:bookmarkStart w:id="42" w:name="_Toc184313246"/>
      <w:bookmarkEnd w:id="42"/>
      <w:bookmarkStart w:id="43" w:name="_Toc184312097"/>
      <w:bookmarkEnd w:id="43"/>
      <w:bookmarkStart w:id="44" w:name="_Toc184313265"/>
      <w:bookmarkEnd w:id="44"/>
      <w:bookmarkStart w:id="45" w:name="_Toc184312131"/>
      <w:bookmarkEnd w:id="45"/>
      <w:bookmarkStart w:id="46" w:name="_Toc184313284"/>
      <w:bookmarkEnd w:id="46"/>
      <w:bookmarkStart w:id="47" w:name="_Toc184310294"/>
      <w:bookmarkEnd w:id="47"/>
      <w:bookmarkStart w:id="48" w:name="_Toc184308041"/>
      <w:bookmarkEnd w:id="48"/>
      <w:bookmarkStart w:id="49" w:name="_Toc184314417"/>
      <w:bookmarkEnd w:id="49"/>
      <w:bookmarkStart w:id="50" w:name="_Toc184314423"/>
      <w:bookmarkEnd w:id="50"/>
      <w:bookmarkStart w:id="51" w:name="_Toc184313255"/>
      <w:bookmarkEnd w:id="51"/>
      <w:bookmarkStart w:id="52" w:name="_Toc184312111"/>
      <w:bookmarkEnd w:id="52"/>
      <w:bookmarkStart w:id="53" w:name="_Toc184310280"/>
      <w:bookmarkEnd w:id="53"/>
      <w:bookmarkStart w:id="54" w:name="_Toc184314471"/>
      <w:bookmarkEnd w:id="54"/>
      <w:bookmarkStart w:id="55" w:name="_Toc184313260"/>
      <w:bookmarkEnd w:id="55"/>
      <w:bookmarkStart w:id="56" w:name="_Toc184308059"/>
      <w:bookmarkEnd w:id="56"/>
      <w:bookmarkStart w:id="57" w:name="_Toc184310276"/>
      <w:bookmarkEnd w:id="57"/>
      <w:bookmarkStart w:id="58" w:name="_Toc184310335"/>
      <w:bookmarkEnd w:id="58"/>
      <w:bookmarkStart w:id="59" w:name="_Toc184308069"/>
      <w:bookmarkEnd w:id="59"/>
      <w:bookmarkStart w:id="60" w:name="_Toc184313277"/>
      <w:bookmarkEnd w:id="60"/>
      <w:bookmarkStart w:id="61" w:name="_Toc184310274"/>
      <w:bookmarkEnd w:id="61"/>
      <w:bookmarkStart w:id="62" w:name="_Toc184312100"/>
      <w:bookmarkEnd w:id="62"/>
      <w:bookmarkStart w:id="63" w:name="_Toc184308062"/>
      <w:bookmarkEnd w:id="63"/>
      <w:bookmarkStart w:id="64" w:name="_Toc184308104"/>
      <w:bookmarkEnd w:id="64"/>
      <w:bookmarkStart w:id="65" w:name="_Toc184310342"/>
      <w:bookmarkEnd w:id="65"/>
      <w:bookmarkStart w:id="66" w:name="_Toc184308044"/>
      <w:bookmarkEnd w:id="66"/>
      <w:bookmarkStart w:id="67" w:name="_Toc184308105"/>
      <w:bookmarkEnd w:id="67"/>
      <w:bookmarkStart w:id="68" w:name="_Toc184314443"/>
      <w:bookmarkEnd w:id="68"/>
      <w:bookmarkStart w:id="69" w:name="_Toc184314474"/>
      <w:bookmarkEnd w:id="69"/>
      <w:bookmarkStart w:id="70" w:name="_Toc184313308"/>
      <w:bookmarkEnd w:id="70"/>
      <w:bookmarkStart w:id="71" w:name="_Toc184314415"/>
      <w:bookmarkEnd w:id="71"/>
      <w:bookmarkStart w:id="72" w:name="_Toc184313259"/>
      <w:bookmarkEnd w:id="72"/>
      <w:bookmarkStart w:id="73" w:name="_Toc184314437"/>
      <w:bookmarkEnd w:id="73"/>
      <w:bookmarkStart w:id="74" w:name="_Toc184313253"/>
      <w:bookmarkEnd w:id="74"/>
      <w:bookmarkStart w:id="75" w:name="_Toc184308075"/>
      <w:bookmarkEnd w:id="75"/>
      <w:bookmarkStart w:id="76" w:name="_Toc184308043"/>
      <w:bookmarkEnd w:id="76"/>
      <w:bookmarkStart w:id="77" w:name="_Toc184308042"/>
      <w:bookmarkEnd w:id="77"/>
      <w:bookmarkStart w:id="78" w:name="_Toc184308061"/>
      <w:bookmarkEnd w:id="78"/>
      <w:bookmarkStart w:id="79" w:name="_Toc184308097"/>
      <w:bookmarkEnd w:id="79"/>
      <w:bookmarkStart w:id="80" w:name="_Toc184313254"/>
      <w:bookmarkEnd w:id="80"/>
      <w:bookmarkStart w:id="81" w:name="_Toc184308096"/>
      <w:bookmarkEnd w:id="81"/>
      <w:bookmarkStart w:id="82" w:name="_Toc184313244"/>
      <w:bookmarkEnd w:id="82"/>
      <w:bookmarkStart w:id="83" w:name="_Toc184310317"/>
      <w:bookmarkEnd w:id="83"/>
      <w:bookmarkStart w:id="84" w:name="_Toc184313297"/>
      <w:bookmarkEnd w:id="84"/>
      <w:bookmarkStart w:id="85" w:name="_Toc184310285"/>
      <w:bookmarkEnd w:id="85"/>
      <w:bookmarkStart w:id="86" w:name="_Toc184314433"/>
      <w:bookmarkEnd w:id="86"/>
      <w:bookmarkStart w:id="87" w:name="_Toc184312103"/>
      <w:bookmarkEnd w:id="87"/>
      <w:bookmarkStart w:id="88" w:name="_Toc184314450"/>
      <w:bookmarkEnd w:id="88"/>
      <w:bookmarkStart w:id="89" w:name="_Toc184310295"/>
      <w:bookmarkEnd w:id="89"/>
      <w:bookmarkStart w:id="90" w:name="_Toc184312109"/>
      <w:bookmarkEnd w:id="90"/>
      <w:bookmarkStart w:id="91" w:name="_Toc184312083"/>
      <w:bookmarkEnd w:id="91"/>
      <w:bookmarkStart w:id="92" w:name="_Toc184314473"/>
      <w:bookmarkEnd w:id="92"/>
      <w:bookmarkStart w:id="93" w:name="_Toc184314448"/>
      <w:bookmarkEnd w:id="93"/>
      <w:bookmarkStart w:id="94" w:name="_Toc184310316"/>
      <w:bookmarkEnd w:id="94"/>
      <w:bookmarkStart w:id="95" w:name="_Toc184313288"/>
      <w:bookmarkEnd w:id="95"/>
      <w:bookmarkStart w:id="96" w:name="_Toc184312112"/>
      <w:bookmarkEnd w:id="96"/>
      <w:bookmarkStart w:id="97" w:name="_Toc184314418"/>
      <w:bookmarkEnd w:id="97"/>
      <w:bookmarkStart w:id="98" w:name="_Toc184314414"/>
      <w:bookmarkEnd w:id="98"/>
      <w:bookmarkStart w:id="99" w:name="_Toc184313269"/>
      <w:bookmarkEnd w:id="99"/>
      <w:bookmarkStart w:id="100" w:name="_Toc184313267"/>
      <w:bookmarkEnd w:id="100"/>
      <w:bookmarkStart w:id="101" w:name="_Toc184314481"/>
      <w:bookmarkEnd w:id="101"/>
      <w:bookmarkStart w:id="102" w:name="_Toc184312067"/>
      <w:bookmarkEnd w:id="102"/>
      <w:bookmarkStart w:id="103" w:name="_Toc184314416"/>
      <w:bookmarkEnd w:id="103"/>
      <w:bookmarkStart w:id="104" w:name="_Toc184314413"/>
      <w:bookmarkEnd w:id="104"/>
      <w:bookmarkStart w:id="105" w:name="_Toc184314475"/>
      <w:bookmarkEnd w:id="105"/>
      <w:bookmarkStart w:id="106" w:name="_Toc184314429"/>
      <w:bookmarkEnd w:id="106"/>
      <w:bookmarkStart w:id="107" w:name="_Toc184312072"/>
      <w:bookmarkEnd w:id="107"/>
      <w:bookmarkStart w:id="108" w:name="_Toc184312085"/>
      <w:bookmarkEnd w:id="108"/>
      <w:bookmarkStart w:id="109" w:name="_Toc184312128"/>
      <w:bookmarkEnd w:id="109"/>
      <w:bookmarkStart w:id="110" w:name="_Toc184313306"/>
      <w:bookmarkEnd w:id="110"/>
      <w:bookmarkStart w:id="111" w:name="_Toc184313273"/>
      <w:bookmarkEnd w:id="111"/>
      <w:bookmarkStart w:id="112" w:name="_Toc184314428"/>
      <w:bookmarkEnd w:id="112"/>
      <w:bookmarkStart w:id="113" w:name="_Toc184313286"/>
      <w:bookmarkEnd w:id="113"/>
      <w:bookmarkStart w:id="114" w:name="_Toc184312132"/>
      <w:bookmarkEnd w:id="114"/>
      <w:bookmarkStart w:id="115" w:name="_Toc184312070"/>
      <w:bookmarkEnd w:id="115"/>
      <w:bookmarkStart w:id="116" w:name="_Toc184312095"/>
      <w:bookmarkEnd w:id="116"/>
      <w:bookmarkStart w:id="117" w:name="_Toc184308055"/>
      <w:bookmarkEnd w:id="117"/>
      <w:bookmarkStart w:id="118" w:name="_Toc184308101"/>
      <w:bookmarkEnd w:id="118"/>
      <w:bookmarkStart w:id="119" w:name="_Toc184310315"/>
      <w:bookmarkEnd w:id="119"/>
      <w:bookmarkStart w:id="120" w:name="_Toc184308056"/>
      <w:bookmarkEnd w:id="120"/>
      <w:bookmarkStart w:id="121" w:name="_Toc184308048"/>
      <w:bookmarkEnd w:id="121"/>
      <w:bookmarkStart w:id="122" w:name="_Toc184308064"/>
      <w:bookmarkEnd w:id="122"/>
      <w:bookmarkStart w:id="123" w:name="_Toc184310288"/>
      <w:bookmarkEnd w:id="123"/>
      <w:bookmarkStart w:id="124" w:name="_Toc184310292"/>
      <w:bookmarkEnd w:id="124"/>
      <w:bookmarkStart w:id="125" w:name="_Toc184314449"/>
      <w:bookmarkEnd w:id="125"/>
      <w:bookmarkStart w:id="126" w:name="_Toc184313283"/>
      <w:bookmarkEnd w:id="126"/>
      <w:bookmarkStart w:id="127" w:name="_Toc184310287"/>
      <w:bookmarkEnd w:id="127"/>
      <w:bookmarkStart w:id="128" w:name="_Toc184313275"/>
      <w:bookmarkEnd w:id="128"/>
      <w:bookmarkStart w:id="129" w:name="_Toc184310341"/>
      <w:bookmarkEnd w:id="129"/>
      <w:bookmarkStart w:id="130" w:name="_Toc184310310"/>
      <w:bookmarkEnd w:id="130"/>
      <w:bookmarkStart w:id="131" w:name="_Toc184310302"/>
      <w:bookmarkEnd w:id="131"/>
      <w:bookmarkStart w:id="132" w:name="_Toc184314472"/>
      <w:bookmarkEnd w:id="132"/>
      <w:bookmarkStart w:id="133" w:name="_Toc184314434"/>
      <w:bookmarkEnd w:id="133"/>
      <w:bookmarkStart w:id="134" w:name="_Toc184312090"/>
      <w:bookmarkEnd w:id="134"/>
      <w:bookmarkStart w:id="135" w:name="_Toc184314410"/>
      <w:bookmarkEnd w:id="135"/>
      <w:bookmarkStart w:id="136" w:name="_Toc184312098"/>
      <w:bookmarkEnd w:id="136"/>
      <w:bookmarkStart w:id="137" w:name="_Toc184310300"/>
      <w:bookmarkEnd w:id="137"/>
      <w:bookmarkStart w:id="138" w:name="_Toc184313280"/>
      <w:bookmarkEnd w:id="138"/>
      <w:bookmarkStart w:id="139" w:name="_Toc184314459"/>
      <w:bookmarkEnd w:id="139"/>
      <w:bookmarkStart w:id="140" w:name="_Toc184313271"/>
      <w:bookmarkEnd w:id="140"/>
      <w:bookmarkStart w:id="141" w:name="_Toc184314426"/>
      <w:bookmarkEnd w:id="141"/>
      <w:bookmarkStart w:id="142" w:name="_Toc184308040"/>
      <w:bookmarkEnd w:id="142"/>
      <w:bookmarkStart w:id="143" w:name="_Toc184310275"/>
      <w:bookmarkEnd w:id="143"/>
      <w:bookmarkStart w:id="144" w:name="_Toc184310297"/>
      <w:bookmarkEnd w:id="144"/>
      <w:bookmarkStart w:id="145" w:name="_Toc184310291"/>
      <w:bookmarkEnd w:id="145"/>
      <w:bookmarkStart w:id="146" w:name="_Toc184312087"/>
      <w:bookmarkEnd w:id="146"/>
      <w:bookmarkStart w:id="147" w:name="_Toc184312122"/>
      <w:bookmarkEnd w:id="147"/>
      <w:bookmarkStart w:id="148" w:name="_Toc184313262"/>
      <w:bookmarkEnd w:id="148"/>
      <w:bookmarkStart w:id="149" w:name="_Toc184310344"/>
      <w:bookmarkEnd w:id="149"/>
      <w:bookmarkStart w:id="150" w:name="_Toc184308067"/>
      <w:bookmarkEnd w:id="150"/>
      <w:bookmarkStart w:id="151" w:name="_Toc184314455"/>
      <w:bookmarkEnd w:id="151"/>
      <w:bookmarkStart w:id="152" w:name="_Toc184314464"/>
      <w:bookmarkEnd w:id="152"/>
      <w:bookmarkStart w:id="153" w:name="_Toc184310308"/>
      <w:bookmarkEnd w:id="153"/>
      <w:bookmarkStart w:id="154" w:name="_Toc184310289"/>
      <w:bookmarkEnd w:id="154"/>
      <w:bookmarkStart w:id="155" w:name="_Toc184310273"/>
      <w:bookmarkEnd w:id="155"/>
      <w:bookmarkStart w:id="156" w:name="_Toc184313266"/>
      <w:bookmarkEnd w:id="156"/>
      <w:bookmarkStart w:id="157" w:name="_Toc184314432"/>
      <w:bookmarkEnd w:id="157"/>
      <w:bookmarkStart w:id="158" w:name="_Toc184313258"/>
      <w:bookmarkEnd w:id="158"/>
      <w:bookmarkStart w:id="159" w:name="_Toc184312069"/>
      <w:bookmarkEnd w:id="159"/>
      <w:bookmarkStart w:id="160" w:name="_Toc184312116"/>
      <w:bookmarkEnd w:id="160"/>
      <w:bookmarkStart w:id="161" w:name="_Toc184314446"/>
      <w:bookmarkEnd w:id="161"/>
      <w:bookmarkStart w:id="162" w:name="_Toc184308065"/>
      <w:bookmarkEnd w:id="162"/>
      <w:bookmarkStart w:id="163" w:name="_Toc184313251"/>
      <w:bookmarkEnd w:id="163"/>
      <w:bookmarkStart w:id="164" w:name="_Toc184314439"/>
      <w:bookmarkEnd w:id="164"/>
      <w:bookmarkStart w:id="165" w:name="_Toc184313307"/>
      <w:bookmarkEnd w:id="165"/>
      <w:bookmarkStart w:id="166" w:name="_Toc184314411"/>
      <w:bookmarkEnd w:id="166"/>
      <w:bookmarkStart w:id="167" w:name="_Toc184310299"/>
      <w:bookmarkEnd w:id="167"/>
      <w:bookmarkStart w:id="168" w:name="_Toc184310293"/>
      <w:bookmarkEnd w:id="168"/>
      <w:bookmarkStart w:id="169" w:name="_Toc184308039"/>
      <w:bookmarkEnd w:id="169"/>
      <w:bookmarkStart w:id="170" w:name="_Toc184312088"/>
      <w:bookmarkEnd w:id="170"/>
      <w:bookmarkStart w:id="171" w:name="_Toc184308049"/>
      <w:bookmarkEnd w:id="171"/>
      <w:bookmarkStart w:id="172" w:name="_Toc184313257"/>
      <w:bookmarkEnd w:id="172"/>
      <w:bookmarkStart w:id="173" w:name="_Toc184310282"/>
      <w:bookmarkEnd w:id="173"/>
      <w:bookmarkStart w:id="174" w:name="_Toc184308083"/>
      <w:bookmarkEnd w:id="174"/>
      <w:bookmarkStart w:id="175" w:name="_Toc184314438"/>
      <w:bookmarkEnd w:id="175"/>
      <w:bookmarkStart w:id="176" w:name="_Toc184313263"/>
      <w:bookmarkEnd w:id="176"/>
      <w:bookmarkStart w:id="177" w:name="_Toc184308070"/>
      <w:bookmarkEnd w:id="177"/>
      <w:bookmarkStart w:id="178" w:name="_Toc184308066"/>
      <w:bookmarkEnd w:id="178"/>
      <w:bookmarkStart w:id="179" w:name="_Toc184314458"/>
      <w:bookmarkEnd w:id="179"/>
      <w:bookmarkStart w:id="180" w:name="_Toc184308071"/>
      <w:bookmarkEnd w:id="180"/>
      <w:bookmarkStart w:id="181" w:name="_Toc184308084"/>
      <w:bookmarkEnd w:id="181"/>
      <w:bookmarkStart w:id="182" w:name="_Toc184312117"/>
      <w:bookmarkEnd w:id="182"/>
      <w:bookmarkStart w:id="183" w:name="_Toc184313256"/>
      <w:bookmarkEnd w:id="183"/>
      <w:bookmarkStart w:id="184" w:name="_Toc184310337"/>
      <w:bookmarkEnd w:id="184"/>
      <w:bookmarkStart w:id="185" w:name="_Toc184310322"/>
      <w:bookmarkEnd w:id="185"/>
      <w:bookmarkStart w:id="186" w:name="_Toc184310296"/>
      <w:bookmarkEnd w:id="186"/>
      <w:bookmarkStart w:id="187" w:name="_Toc184310333"/>
      <w:bookmarkEnd w:id="187"/>
      <w:bookmarkStart w:id="188" w:name="_Toc184312135"/>
      <w:bookmarkEnd w:id="188"/>
      <w:bookmarkStart w:id="189" w:name="_Toc184313291"/>
      <w:bookmarkEnd w:id="189"/>
      <w:bookmarkStart w:id="190" w:name="_Toc184313240"/>
      <w:bookmarkEnd w:id="190"/>
      <w:bookmarkStart w:id="191" w:name="_Toc184314441"/>
      <w:bookmarkEnd w:id="191"/>
      <w:bookmarkStart w:id="192" w:name="_Toc184310336"/>
      <w:bookmarkEnd w:id="192"/>
      <w:bookmarkStart w:id="193" w:name="_Toc184313282"/>
      <w:bookmarkEnd w:id="193"/>
      <w:bookmarkStart w:id="194" w:name="_Toc184312106"/>
      <w:bookmarkEnd w:id="194"/>
      <w:bookmarkStart w:id="195" w:name="_Toc184313303"/>
      <w:bookmarkEnd w:id="195"/>
      <w:bookmarkStart w:id="196" w:name="_Toc184310311"/>
      <w:bookmarkEnd w:id="196"/>
      <w:bookmarkStart w:id="197" w:name="_Toc184312084"/>
      <w:bookmarkEnd w:id="197"/>
      <w:bookmarkStart w:id="198" w:name="_Toc184313285"/>
      <w:bookmarkEnd w:id="198"/>
      <w:bookmarkStart w:id="199" w:name="_Toc184308047"/>
      <w:bookmarkEnd w:id="199"/>
      <w:bookmarkStart w:id="200" w:name="_Toc184310343"/>
      <w:bookmarkEnd w:id="200"/>
      <w:bookmarkStart w:id="201" w:name="_Toc184310306"/>
      <w:bookmarkEnd w:id="201"/>
      <w:bookmarkStart w:id="202" w:name="_Toc184308054"/>
      <w:bookmarkEnd w:id="202"/>
      <w:bookmarkStart w:id="203" w:name="_Toc184314447"/>
      <w:bookmarkEnd w:id="203"/>
      <w:bookmarkStart w:id="204" w:name="_Toc184308052"/>
      <w:bookmarkEnd w:id="204"/>
      <w:bookmarkStart w:id="205" w:name="_Toc184310298"/>
      <w:bookmarkEnd w:id="205"/>
      <w:bookmarkStart w:id="206" w:name="_Toc184308081"/>
      <w:bookmarkEnd w:id="206"/>
      <w:bookmarkStart w:id="207" w:name="_Toc184308057"/>
      <w:bookmarkEnd w:id="207"/>
      <w:bookmarkStart w:id="208" w:name="_Toc184314445"/>
      <w:bookmarkEnd w:id="208"/>
      <w:bookmarkStart w:id="209" w:name="_Toc184312068"/>
      <w:bookmarkEnd w:id="209"/>
      <w:bookmarkStart w:id="210" w:name="_Toc184314440"/>
      <w:bookmarkEnd w:id="210"/>
      <w:bookmarkStart w:id="211" w:name="_Toc184308053"/>
      <w:bookmarkEnd w:id="211"/>
      <w:bookmarkStart w:id="212" w:name="_Toc184313270"/>
      <w:bookmarkEnd w:id="212"/>
      <w:bookmarkStart w:id="213" w:name="_Toc184308046"/>
      <w:bookmarkEnd w:id="213"/>
      <w:bookmarkStart w:id="214" w:name="_Toc184313279"/>
      <w:bookmarkEnd w:id="214"/>
      <w:bookmarkStart w:id="215" w:name="_Toc184314457"/>
      <w:bookmarkEnd w:id="215"/>
      <w:bookmarkStart w:id="216" w:name="_Toc184314478"/>
      <w:bookmarkEnd w:id="216"/>
      <w:bookmarkStart w:id="217" w:name="_Toc184308095"/>
      <w:bookmarkEnd w:id="217"/>
      <w:bookmarkStart w:id="218" w:name="_Toc184310312"/>
      <w:bookmarkEnd w:id="218"/>
      <w:bookmarkStart w:id="219" w:name="_Toc184310279"/>
      <w:bookmarkEnd w:id="219"/>
      <w:bookmarkStart w:id="220" w:name="_Toc184312073"/>
      <w:bookmarkEnd w:id="220"/>
      <w:bookmarkStart w:id="221" w:name="_Toc184314454"/>
      <w:bookmarkEnd w:id="221"/>
      <w:bookmarkStart w:id="222" w:name="_Toc184310314"/>
      <w:bookmarkEnd w:id="222"/>
      <w:bookmarkStart w:id="223" w:name="_Toc184312081"/>
      <w:bookmarkEnd w:id="223"/>
      <w:bookmarkStart w:id="224" w:name="_Toc184312078"/>
      <w:bookmarkEnd w:id="224"/>
      <w:bookmarkStart w:id="225" w:name="_Toc184310283"/>
      <w:bookmarkEnd w:id="225"/>
      <w:bookmarkStart w:id="226" w:name="_Toc184312076"/>
      <w:bookmarkEnd w:id="226"/>
      <w:bookmarkStart w:id="227" w:name="_Toc184313293"/>
      <w:bookmarkEnd w:id="227"/>
      <w:bookmarkStart w:id="228" w:name="_Toc184308038"/>
      <w:bookmarkEnd w:id="228"/>
      <w:bookmarkStart w:id="229" w:name="_Toc184310281"/>
      <w:bookmarkEnd w:id="229"/>
      <w:bookmarkStart w:id="230" w:name="_Toc184313247"/>
      <w:bookmarkEnd w:id="230"/>
      <w:bookmarkStart w:id="231" w:name="_Toc184308091"/>
      <w:bookmarkEnd w:id="231"/>
      <w:bookmarkStart w:id="232" w:name="_Toc184313252"/>
      <w:bookmarkEnd w:id="232"/>
      <w:bookmarkStart w:id="233" w:name="_Toc184313238"/>
      <w:bookmarkEnd w:id="233"/>
      <w:bookmarkStart w:id="234" w:name="_Toc184313281"/>
      <w:bookmarkEnd w:id="234"/>
      <w:bookmarkStart w:id="235" w:name="_Toc184310284"/>
      <w:bookmarkEnd w:id="235"/>
      <w:bookmarkStart w:id="236" w:name="_Toc184312075"/>
      <w:bookmarkEnd w:id="236"/>
      <w:bookmarkStart w:id="237" w:name="_Toc184308074"/>
      <w:bookmarkEnd w:id="237"/>
      <w:bookmarkStart w:id="238" w:name="_Toc184312133"/>
      <w:bookmarkEnd w:id="238"/>
      <w:bookmarkStart w:id="239" w:name="_Toc184312086"/>
      <w:bookmarkEnd w:id="239"/>
      <w:bookmarkStart w:id="240" w:name="_Toc184312079"/>
      <w:bookmarkEnd w:id="240"/>
      <w:bookmarkStart w:id="241" w:name="_Toc184310340"/>
      <w:bookmarkEnd w:id="241"/>
      <w:bookmarkStart w:id="242" w:name="_Toc184310339"/>
      <w:bookmarkEnd w:id="242"/>
      <w:bookmarkStart w:id="243" w:name="_Toc184310303"/>
      <w:bookmarkEnd w:id="243"/>
      <w:bookmarkStart w:id="244" w:name="_Toc184313239"/>
      <w:bookmarkEnd w:id="244"/>
      <w:bookmarkStart w:id="245" w:name="_Toc184314453"/>
      <w:bookmarkEnd w:id="245"/>
      <w:bookmarkStart w:id="246" w:name="_Toc184308078"/>
      <w:bookmarkEnd w:id="246"/>
      <w:bookmarkStart w:id="247" w:name="_Toc184310325"/>
      <w:bookmarkEnd w:id="247"/>
      <w:bookmarkStart w:id="248" w:name="_Toc184312105"/>
      <w:bookmarkEnd w:id="248"/>
      <w:bookmarkStart w:id="249" w:name="_Toc184312130"/>
      <w:bookmarkEnd w:id="249"/>
      <w:bookmarkStart w:id="250" w:name="_Toc184313249"/>
      <w:bookmarkEnd w:id="250"/>
      <w:bookmarkStart w:id="251" w:name="_Toc184313268"/>
      <w:bookmarkEnd w:id="251"/>
      <w:bookmarkStart w:id="252" w:name="_Toc184314465"/>
      <w:bookmarkEnd w:id="252"/>
      <w:bookmarkStart w:id="253" w:name="_Toc184312101"/>
      <w:bookmarkEnd w:id="253"/>
      <w:bookmarkStart w:id="254" w:name="_Toc184314462"/>
      <w:bookmarkEnd w:id="254"/>
      <w:bookmarkStart w:id="255" w:name="_Toc184308082"/>
      <w:bookmarkEnd w:id="255"/>
      <w:bookmarkStart w:id="256" w:name="_Toc184308072"/>
      <w:bookmarkEnd w:id="256"/>
      <w:bookmarkStart w:id="257" w:name="_Toc184313245"/>
      <w:bookmarkEnd w:id="257"/>
      <w:bookmarkStart w:id="258" w:name="_Toc184308088"/>
      <w:bookmarkEnd w:id="258"/>
      <w:bookmarkStart w:id="259" w:name="_Toc184312093"/>
      <w:bookmarkEnd w:id="259"/>
      <w:bookmarkStart w:id="260" w:name="_Toc184313264"/>
      <w:bookmarkEnd w:id="260"/>
      <w:bookmarkStart w:id="261" w:name="_Toc184310327"/>
      <w:bookmarkEnd w:id="261"/>
      <w:bookmarkStart w:id="262" w:name="_Toc184312138"/>
      <w:bookmarkEnd w:id="262"/>
      <w:bookmarkStart w:id="263" w:name="_Toc184312096"/>
      <w:bookmarkEnd w:id="263"/>
      <w:bookmarkStart w:id="264" w:name="_Toc184312071"/>
      <w:bookmarkEnd w:id="264"/>
      <w:bookmarkStart w:id="265" w:name="_Toc184314466"/>
      <w:bookmarkEnd w:id="265"/>
      <w:bookmarkStart w:id="266" w:name="_Toc184314420"/>
      <w:bookmarkEnd w:id="266"/>
      <w:bookmarkStart w:id="267" w:name="_Toc184312113"/>
      <w:bookmarkEnd w:id="267"/>
      <w:bookmarkStart w:id="268" w:name="_Toc184310328"/>
      <w:bookmarkEnd w:id="268"/>
      <w:bookmarkStart w:id="269" w:name="_Toc184313274"/>
      <w:bookmarkEnd w:id="269"/>
      <w:bookmarkStart w:id="270" w:name="_Toc184310313"/>
      <w:bookmarkEnd w:id="270"/>
      <w:bookmarkStart w:id="271" w:name="_Toc184312123"/>
      <w:bookmarkEnd w:id="271"/>
      <w:bookmarkStart w:id="272" w:name="_Toc184312127"/>
      <w:bookmarkEnd w:id="272"/>
      <w:bookmarkStart w:id="273" w:name="_Toc184308087"/>
      <w:bookmarkEnd w:id="273"/>
      <w:bookmarkStart w:id="274" w:name="_Toc184314470"/>
      <w:bookmarkEnd w:id="274"/>
      <w:bookmarkStart w:id="275" w:name="_Toc184313248"/>
      <w:bookmarkEnd w:id="275"/>
      <w:bookmarkStart w:id="276" w:name="_Toc184313250"/>
      <w:bookmarkEnd w:id="276"/>
      <w:bookmarkStart w:id="277" w:name="_Toc184314467"/>
      <w:bookmarkEnd w:id="277"/>
      <w:bookmarkStart w:id="278" w:name="_Toc184314442"/>
      <w:bookmarkEnd w:id="278"/>
      <w:bookmarkStart w:id="279" w:name="_Toc184313301"/>
      <w:bookmarkEnd w:id="279"/>
      <w:bookmarkStart w:id="280" w:name="_Toc184314482"/>
      <w:bookmarkEnd w:id="280"/>
      <w:bookmarkStart w:id="281" w:name="_Toc184308077"/>
      <w:bookmarkEnd w:id="281"/>
      <w:bookmarkStart w:id="282" w:name="_Toc184308063"/>
      <w:bookmarkEnd w:id="282"/>
      <w:bookmarkStart w:id="283" w:name="_Toc184312124"/>
      <w:bookmarkEnd w:id="283"/>
      <w:bookmarkStart w:id="284" w:name="_Toc184310330"/>
      <w:bookmarkEnd w:id="284"/>
      <w:bookmarkStart w:id="285" w:name="_Toc184314424"/>
      <w:bookmarkEnd w:id="285"/>
      <w:bookmarkStart w:id="286" w:name="_Toc184308086"/>
      <w:bookmarkEnd w:id="286"/>
      <w:bookmarkStart w:id="287" w:name="_Toc184310286"/>
      <w:bookmarkEnd w:id="287"/>
      <w:bookmarkStart w:id="288" w:name="_Toc184314436"/>
      <w:bookmarkEnd w:id="288"/>
      <w:bookmarkStart w:id="289" w:name="_Toc184308085"/>
      <w:bookmarkEnd w:id="289"/>
      <w:bookmarkStart w:id="290" w:name="_Toc184312114"/>
      <w:bookmarkEnd w:id="290"/>
      <w:bookmarkStart w:id="291" w:name="_Toc184308090"/>
      <w:bookmarkEnd w:id="291"/>
      <w:bookmarkStart w:id="292" w:name="_Toc184313298"/>
      <w:bookmarkEnd w:id="292"/>
      <w:bookmarkStart w:id="293" w:name="_Toc184313289"/>
      <w:bookmarkEnd w:id="293"/>
      <w:bookmarkStart w:id="294" w:name="_Toc184308076"/>
      <w:bookmarkEnd w:id="294"/>
      <w:bookmarkStart w:id="295" w:name="_Toc184310332"/>
      <w:bookmarkEnd w:id="295"/>
      <w:bookmarkStart w:id="296" w:name="_Toc184312139"/>
      <w:bookmarkEnd w:id="296"/>
      <w:bookmarkStart w:id="297" w:name="_Toc184308094"/>
      <w:bookmarkEnd w:id="297"/>
      <w:bookmarkStart w:id="298" w:name="_Toc184314422"/>
      <w:bookmarkEnd w:id="298"/>
      <w:bookmarkStart w:id="299" w:name="_Toc184312119"/>
      <w:bookmarkEnd w:id="299"/>
      <w:bookmarkStart w:id="300" w:name="_Toc184312121"/>
      <w:bookmarkEnd w:id="300"/>
      <w:bookmarkStart w:id="301" w:name="_Toc184312136"/>
      <w:bookmarkEnd w:id="301"/>
      <w:bookmarkStart w:id="302" w:name="_Toc184308099"/>
      <w:bookmarkEnd w:id="302"/>
      <w:bookmarkStart w:id="303" w:name="_Toc184313294"/>
      <w:bookmarkEnd w:id="303"/>
      <w:bookmarkStart w:id="304" w:name="_Toc184314469"/>
      <w:bookmarkEnd w:id="304"/>
      <w:bookmarkStart w:id="305" w:name="_Toc184314460"/>
      <w:bookmarkEnd w:id="305"/>
      <w:bookmarkStart w:id="306" w:name="_Toc184310320"/>
      <w:bookmarkEnd w:id="306"/>
      <w:bookmarkStart w:id="307" w:name="_Toc184314461"/>
      <w:bookmarkEnd w:id="307"/>
      <w:bookmarkStart w:id="308" w:name="_Toc184312137"/>
      <w:bookmarkEnd w:id="308"/>
      <w:bookmarkStart w:id="309" w:name="_Toc184308108"/>
      <w:bookmarkEnd w:id="309"/>
      <w:bookmarkStart w:id="310" w:name="_Toc184313295"/>
      <w:bookmarkEnd w:id="310"/>
      <w:bookmarkStart w:id="311" w:name="_Toc184308106"/>
      <w:bookmarkEnd w:id="311"/>
      <w:bookmarkStart w:id="312" w:name="_Toc184308079"/>
      <w:bookmarkEnd w:id="312"/>
      <w:bookmarkStart w:id="313" w:name="_Toc184313261"/>
      <w:bookmarkEnd w:id="313"/>
      <w:bookmarkStart w:id="314" w:name="_Toc184308100"/>
      <w:bookmarkEnd w:id="314"/>
      <w:bookmarkStart w:id="315" w:name="_Toc184314452"/>
      <w:bookmarkEnd w:id="315"/>
      <w:bookmarkStart w:id="316" w:name="_Toc184310326"/>
      <w:bookmarkEnd w:id="316"/>
      <w:bookmarkStart w:id="317" w:name="_Toc184314463"/>
      <w:bookmarkEnd w:id="317"/>
      <w:bookmarkStart w:id="318" w:name="_Toc184308051"/>
      <w:bookmarkEnd w:id="318"/>
      <w:bookmarkStart w:id="319" w:name="_Toc184313241"/>
      <w:bookmarkEnd w:id="319"/>
      <w:bookmarkStart w:id="320" w:name="_Toc184313310"/>
      <w:bookmarkEnd w:id="320"/>
      <w:bookmarkStart w:id="321" w:name="_Toc184310304"/>
      <w:bookmarkEnd w:id="321"/>
      <w:bookmarkStart w:id="322" w:name="_Toc184314456"/>
      <w:bookmarkEnd w:id="322"/>
      <w:bookmarkStart w:id="323" w:name="_Toc184310338"/>
      <w:bookmarkEnd w:id="323"/>
      <w:bookmarkStart w:id="324" w:name="_Toc184313296"/>
      <w:bookmarkEnd w:id="324"/>
      <w:bookmarkStart w:id="325" w:name="_Toc184313290"/>
      <w:bookmarkEnd w:id="325"/>
      <w:bookmarkStart w:id="326" w:name="_Toc184308068"/>
      <w:bookmarkEnd w:id="326"/>
      <w:bookmarkStart w:id="327" w:name="_Toc184308080"/>
      <w:bookmarkEnd w:id="327"/>
      <w:bookmarkStart w:id="328" w:name="_Toc184312099"/>
      <w:bookmarkEnd w:id="328"/>
      <w:bookmarkStart w:id="329" w:name="_Toc184313242"/>
      <w:bookmarkEnd w:id="329"/>
      <w:bookmarkStart w:id="330" w:name="_Toc184310307"/>
      <w:bookmarkEnd w:id="330"/>
      <w:bookmarkStart w:id="331" w:name="_Toc184313300"/>
      <w:bookmarkEnd w:id="331"/>
      <w:bookmarkStart w:id="332" w:name="_Toc184314451"/>
      <w:bookmarkEnd w:id="332"/>
      <w:bookmarkStart w:id="333" w:name="_Toc184312102"/>
      <w:bookmarkEnd w:id="333"/>
      <w:bookmarkStart w:id="334" w:name="_Toc184314479"/>
      <w:bookmarkEnd w:id="334"/>
      <w:bookmarkStart w:id="335" w:name="_Toc184313276"/>
      <w:bookmarkEnd w:id="335"/>
      <w:bookmarkStart w:id="336" w:name="_Toc184312089"/>
      <w:bookmarkEnd w:id="336"/>
      <w:bookmarkStart w:id="337" w:name="_Toc184312118"/>
      <w:bookmarkEnd w:id="337"/>
      <w:bookmarkStart w:id="338" w:name="_Toc184313309"/>
      <w:bookmarkEnd w:id="338"/>
      <w:bookmarkStart w:id="339" w:name="_Toc184310309"/>
      <w:bookmarkEnd w:id="339"/>
      <w:bookmarkStart w:id="340" w:name="_Toc184310324"/>
      <w:bookmarkEnd w:id="340"/>
      <w:bookmarkStart w:id="341" w:name="_Toc184314444"/>
      <w:bookmarkEnd w:id="341"/>
      <w:bookmarkStart w:id="342" w:name="_Toc184310331"/>
      <w:bookmarkEnd w:id="342"/>
      <w:bookmarkStart w:id="343" w:name="_Toc184310321"/>
      <w:bookmarkEnd w:id="343"/>
      <w:bookmarkStart w:id="344" w:name="_Toc184314419"/>
      <w:bookmarkEnd w:id="344"/>
      <w:bookmarkStart w:id="345" w:name="_Toc184312092"/>
      <w:bookmarkEnd w:id="345"/>
      <w:bookmarkStart w:id="346" w:name="_Toc184313278"/>
      <w:bookmarkEnd w:id="346"/>
      <w:bookmarkStart w:id="347" w:name="_Toc184314435"/>
      <w:bookmarkEnd w:id="347"/>
      <w:bookmarkStart w:id="348" w:name="_Toc184313299"/>
      <w:bookmarkEnd w:id="348"/>
      <w:bookmarkStart w:id="349" w:name="_Toc184310318"/>
      <w:bookmarkEnd w:id="349"/>
      <w:bookmarkStart w:id="350" w:name="_Toc184312080"/>
      <w:bookmarkEnd w:id="350"/>
      <w:bookmarkStart w:id="351" w:name="_Toc184313272"/>
      <w:bookmarkEnd w:id="351"/>
      <w:bookmarkStart w:id="352" w:name="_Toc184314468"/>
      <w:bookmarkEnd w:id="352"/>
      <w:bookmarkStart w:id="353" w:name="_Toc184312082"/>
      <w:bookmarkEnd w:id="353"/>
      <w:bookmarkStart w:id="354" w:name="_Toc184310319"/>
      <w:bookmarkEnd w:id="354"/>
      <w:bookmarkStart w:id="355" w:name="_Toc184314477"/>
      <w:bookmarkEnd w:id="355"/>
      <w:bookmarkStart w:id="356" w:name="_Toc184313304"/>
      <w:bookmarkEnd w:id="356"/>
      <w:bookmarkStart w:id="357" w:name="_Toc184314476"/>
      <w:bookmarkEnd w:id="357"/>
      <w:bookmarkStart w:id="358" w:name="_Toc184308107"/>
      <w:bookmarkEnd w:id="358"/>
      <w:bookmarkStart w:id="359" w:name="_Toc184312107"/>
      <w:bookmarkEnd w:id="359"/>
      <w:bookmarkStart w:id="360" w:name="_Toc184310323"/>
      <w:bookmarkEnd w:id="360"/>
      <w:bookmarkStart w:id="361" w:name="_Toc184308060"/>
      <w:bookmarkEnd w:id="361"/>
      <w:bookmarkStart w:id="362" w:name="_Toc184312120"/>
      <w:bookmarkEnd w:id="362"/>
      <w:bookmarkStart w:id="363" w:name="_Toc184312134"/>
      <w:bookmarkEnd w:id="363"/>
      <w:bookmarkStart w:id="364" w:name="_Toc184310329"/>
      <w:bookmarkEnd w:id="364"/>
      <w:bookmarkStart w:id="365" w:name="_Toc184312126"/>
      <w:bookmarkEnd w:id="365"/>
      <w:bookmarkStart w:id="366" w:name="_Toc184312077"/>
      <w:bookmarkEnd w:id="366"/>
      <w:bookmarkStart w:id="367" w:name="_Toc184312104"/>
      <w:bookmarkEnd w:id="367"/>
      <w:bookmarkStart w:id="368" w:name="_Toc184313302"/>
      <w:bookmarkEnd w:id="368"/>
      <w:bookmarkStart w:id="369" w:name="_Toc184314421"/>
      <w:bookmarkEnd w:id="369"/>
      <w:bookmarkStart w:id="370" w:name="_Toc184312108"/>
      <w:bookmarkEnd w:id="370"/>
      <w:bookmarkStart w:id="371" w:name="_Toc184313243"/>
      <w:bookmarkEnd w:id="371"/>
      <w:bookmarkStart w:id="372" w:name="_Toc184310277"/>
      <w:bookmarkEnd w:id="372"/>
      <w:bookmarkStart w:id="373" w:name="_Toc184310278"/>
      <w:bookmarkEnd w:id="373"/>
      <w:bookmarkStart w:id="374" w:name="_Toc184312129"/>
      <w:bookmarkEnd w:id="374"/>
      <w:bookmarkStart w:id="375" w:name="_Toc184308045"/>
      <w:bookmarkEnd w:id="375"/>
      <w:bookmarkStart w:id="376" w:name="_Toc184308098"/>
      <w:bookmarkEnd w:id="376"/>
      <w:bookmarkStart w:id="377" w:name="_Toc184312125"/>
      <w:bookmarkEnd w:id="377"/>
      <w:bookmarkStart w:id="378" w:name="_Toc184314427"/>
      <w:bookmarkEnd w:id="378"/>
      <w:bookmarkStart w:id="379" w:name="_Toc184308073"/>
      <w:bookmarkEnd w:id="379"/>
      <w:bookmarkStart w:id="380" w:name="_Toc184308050"/>
      <w:bookmarkEnd w:id="380"/>
      <w:bookmarkStart w:id="381" w:name="_Toc184313292"/>
      <w:bookmarkEnd w:id="381"/>
      <w:bookmarkStart w:id="382" w:name="_Toc184308092"/>
      <w:bookmarkEnd w:id="382"/>
      <w:bookmarkStart w:id="383" w:name="_Toc184310334"/>
      <w:bookmarkEnd w:id="383"/>
      <w:bookmarkStart w:id="384" w:name="_Toc184308089"/>
      <w:bookmarkEnd w:id="384"/>
      <w:bookmarkStart w:id="385" w:name="_Toc184314425"/>
      <w:bookmarkEnd w:id="385"/>
      <w:bookmarkStart w:id="386" w:name="_Toc184312110"/>
      <w:bookmarkEnd w:id="386"/>
      <w:bookmarkStart w:id="387" w:name="_Toc184308093"/>
      <w:bookmarkEnd w:id="387"/>
      <w:bookmarkStart w:id="388" w:name="_Toc184308102"/>
      <w:bookmarkEnd w:id="388"/>
      <w:bookmarkStart w:id="389" w:name="_Toc184313305"/>
      <w:bookmarkEnd w:id="389"/>
      <w:bookmarkStart w:id="390" w:name="_Toc184312091"/>
      <w:bookmarkEnd w:id="390"/>
      <w:r>
        <w:rPr>
          <w:rFonts w:hint="eastAsia" w:asciiTheme="majorEastAsia" w:hAnsiTheme="majorEastAsia" w:eastAsiaTheme="majorEastAsia" w:cstheme="majorEastAsia"/>
          <w:b/>
          <w:color w:val="auto"/>
          <w:sz w:val="36"/>
          <w:szCs w:val="36"/>
          <w:highlight w:val="none"/>
        </w:rPr>
        <w:t>评标办法</w:t>
      </w:r>
    </w:p>
    <w:p>
      <w:pPr>
        <w:snapToGrid w:val="0"/>
        <w:spacing w:line="360" w:lineRule="auto"/>
        <w:jc w:val="center"/>
        <w:rPr>
          <w:rFonts w:hint="eastAsia" w:asciiTheme="majorEastAsia" w:hAnsiTheme="majorEastAsia" w:eastAsiaTheme="majorEastAsia" w:cstheme="majorEastAsia"/>
          <w:b/>
          <w:color w:val="auto"/>
          <w:sz w:val="32"/>
          <w:szCs w:val="20"/>
          <w:highlight w:val="none"/>
        </w:rPr>
      </w:pPr>
      <w:r>
        <w:rPr>
          <w:rFonts w:hint="eastAsia" w:asciiTheme="majorEastAsia" w:hAnsiTheme="majorEastAsia" w:eastAsiaTheme="majorEastAsia" w:cstheme="majorEastAsia"/>
          <w:b/>
          <w:color w:val="auto"/>
          <w:sz w:val="32"/>
          <w:szCs w:val="20"/>
          <w:highlight w:val="none"/>
        </w:rPr>
        <w:t>评标办法前附表</w:t>
      </w:r>
    </w:p>
    <w:p>
      <w:pPr>
        <w:pStyle w:val="89"/>
        <w:spacing w:before="0"/>
        <w:ind w:firstLine="602" w:firstLineChars="250"/>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b/>
          <w:szCs w:val="24"/>
          <w:highlight w:val="none"/>
        </w:rPr>
        <w:t>1、本次评标采用综合评分法，总分为100分。</w:t>
      </w:r>
      <w:r>
        <w:rPr>
          <w:rFonts w:hint="eastAsia" w:asciiTheme="majorEastAsia" w:hAnsiTheme="majorEastAsia" w:eastAsiaTheme="majorEastAsia" w:cstheme="majorEastAsia"/>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9"/>
        <w:spacing w:before="0"/>
        <w:ind w:firstLine="600" w:firstLineChars="250"/>
        <w:rPr>
          <w:rFonts w:hint="eastAsia" w:asciiTheme="majorEastAsia" w:hAnsiTheme="majorEastAsia" w:eastAsiaTheme="majorEastAsia" w:cstheme="majorEastAsia"/>
          <w:bCs/>
          <w:szCs w:val="24"/>
          <w:highlight w:val="none"/>
        </w:rPr>
      </w:pPr>
      <w:r>
        <w:rPr>
          <w:rFonts w:hint="eastAsia" w:asciiTheme="majorEastAsia" w:hAnsiTheme="majorEastAsia" w:eastAsiaTheme="majorEastAsia" w:cstheme="majorEastAsia"/>
          <w:bCs/>
          <w:szCs w:val="24"/>
          <w:highlight w:val="none"/>
        </w:rPr>
        <w:t>各投标人的综合得分为：投标价格得分+技术商务得分之和，总和为100分，其中：投标价格得分</w:t>
      </w:r>
      <w:r>
        <w:rPr>
          <w:rFonts w:hint="eastAsia" w:asciiTheme="majorEastAsia" w:hAnsiTheme="majorEastAsia" w:eastAsiaTheme="majorEastAsia" w:cstheme="majorEastAsia"/>
          <w:bCs/>
          <w:szCs w:val="24"/>
          <w:highlight w:val="none"/>
          <w:lang w:val="en-US" w:eastAsia="zh-CN"/>
        </w:rPr>
        <w:t>10</w:t>
      </w:r>
      <w:r>
        <w:rPr>
          <w:rFonts w:hint="eastAsia" w:asciiTheme="majorEastAsia" w:hAnsiTheme="majorEastAsia" w:eastAsiaTheme="majorEastAsia" w:cstheme="majorEastAsia"/>
          <w:bCs/>
          <w:szCs w:val="24"/>
          <w:highlight w:val="none"/>
        </w:rPr>
        <w:t>分，商务技术得分</w:t>
      </w:r>
      <w:r>
        <w:rPr>
          <w:rFonts w:hint="eastAsia" w:asciiTheme="majorEastAsia" w:hAnsiTheme="majorEastAsia" w:eastAsiaTheme="majorEastAsia" w:cstheme="majorEastAsia"/>
          <w:bCs/>
          <w:szCs w:val="24"/>
          <w:highlight w:val="none"/>
          <w:lang w:val="en-US" w:eastAsia="zh-CN"/>
        </w:rPr>
        <w:t>90</w:t>
      </w:r>
      <w:r>
        <w:rPr>
          <w:rFonts w:hint="eastAsia" w:asciiTheme="majorEastAsia" w:hAnsiTheme="majorEastAsia" w:eastAsiaTheme="majorEastAsia" w:cstheme="majorEastAsia"/>
          <w:bCs/>
          <w:szCs w:val="24"/>
          <w:highlight w:val="none"/>
        </w:rPr>
        <w:t>分。</w:t>
      </w:r>
    </w:p>
    <w:p>
      <w:pPr>
        <w:numPr>
          <w:ilvl w:val="0"/>
          <w:numId w:val="15"/>
        </w:num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商务、技术评标细则（</w:t>
      </w:r>
      <w:r>
        <w:rPr>
          <w:rFonts w:hint="eastAsia" w:asciiTheme="majorEastAsia" w:hAnsiTheme="majorEastAsia" w:eastAsiaTheme="majorEastAsia" w:cstheme="majorEastAsia"/>
          <w:sz w:val="24"/>
          <w:highlight w:val="none"/>
          <w:lang w:val="en-US" w:eastAsia="zh-CN"/>
        </w:rPr>
        <w:t>9</w:t>
      </w:r>
      <w:r>
        <w:rPr>
          <w:rFonts w:hint="eastAsia" w:asciiTheme="majorEastAsia" w:hAnsiTheme="majorEastAsia" w:eastAsiaTheme="majorEastAsia" w:cstheme="majorEastAsia"/>
          <w:sz w:val="24"/>
          <w:highlight w:val="none"/>
        </w:rPr>
        <w:t>0分）</w:t>
      </w:r>
    </w:p>
    <w:tbl>
      <w:tblPr>
        <w:tblStyle w:val="64"/>
        <w:tblW w:w="10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890"/>
        <w:gridCol w:w="7525"/>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w:t>
            </w:r>
          </w:p>
        </w:tc>
        <w:tc>
          <w:tcPr>
            <w:tcW w:w="89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序号</w:t>
            </w:r>
          </w:p>
        </w:tc>
        <w:tc>
          <w:tcPr>
            <w:tcW w:w="75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技术分（80分）</w:t>
            </w:r>
          </w:p>
        </w:tc>
        <w:tc>
          <w:tcPr>
            <w:tcW w:w="8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c>
          <w:tcPr>
            <w:tcW w:w="752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道路养护、保洁、绿化养护方案：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1）根据投标人针对本项目服务内容及需求制定的项目方案切合项目特点，考虑全面，设置科学合理，具有针对性，可操作性，由评标委员会进行打分；（0—4分）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2）根据投标人健全的管理组织，良好的管理制度方案（包括但不限于人员管理、安全管理、财务管理，由评标委员会进行打分；（0—3分）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3）根据投标人道路养护方案（包括但不限于沥青路面维修、砼路面及人行道维修、路缘石及平石的维修更换及其他市政附属设施的维修），由评标委员会进行打分；（0—5分）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4）根据投标人道路清扫保洁方案是否针对本项目，拟投入的清扫保洁人员组织、机具设备、时间安排、不同类别道路的清扫解决方案等，由评标委员会进行打分；（0—5分），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5）根据投标人绿化养护作业方案的实操性和可行性等，由评标委员会进行打分；（0—5分）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6）根据投标人质量保证体系及质量保证措施方案，文明</w:t>
            </w:r>
            <w:r>
              <w:rPr>
                <w:rFonts w:hint="eastAsia" w:asciiTheme="majorEastAsia" w:hAnsiTheme="majorEastAsia" w:eastAsiaTheme="majorEastAsia" w:cstheme="majorEastAsia"/>
                <w:color w:val="auto"/>
                <w:sz w:val="24"/>
                <w:highlight w:val="none"/>
              </w:rPr>
              <w:t>安全保证体系和安全保证措施</w:t>
            </w:r>
            <w:r>
              <w:rPr>
                <w:rFonts w:hint="eastAsia" w:asciiTheme="majorEastAsia" w:hAnsiTheme="majorEastAsia" w:eastAsiaTheme="majorEastAsia" w:cstheme="majorEastAsia"/>
                <w:color w:val="auto"/>
                <w:sz w:val="24"/>
                <w:highlight w:val="none"/>
                <w:lang w:val="en-US" w:eastAsia="zh-CN"/>
              </w:rPr>
              <w:t>方案由评标委员会进行打分；（0—3分）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7）根据针对人员管理、车辆管理、设施管理、环卫事件管理，供应商针对本项目的智慧环卫（需纳入采购人智慧平台等）实施方案，由评标委员会进行打分；（0—5分）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根据投标人应急管理方案，能及时响应城市应急（气象灾害、防汛抗台、抗雪防冻）和项目实施过程中各类应急保障任务，有固定应急物资仓储及应急设施设备存放场地，具有丰富的应急管理经验情况，由评标委员会进行打分；（0—5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auto"/>
                <w:sz w:val="24"/>
                <w:highlight w:val="none"/>
                <w:lang w:val="en-US" w:eastAsia="zh-CN"/>
              </w:rPr>
              <w:t>9）根据投标人重大活动保障方案，方案科学合理，具有针对性及可操作性，能圆满完成大型活动、节庆假日、创优评优等重大活动保障任务情况，由评标委员会进行打分；（0—5分）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lang w:val="en-US" w:eastAsia="zh-CN"/>
              </w:rPr>
              <w:t>投标人拥有政府有关部门颁发的生活垃圾经营性清扫服务许可证且在有效期内的得2分。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投标人技术人员力量情况：须提供以下相关人员（人员不能重复，若有重复只能按一人次计）：</w:t>
            </w:r>
          </w:p>
          <w:p>
            <w:pPr>
              <w:widowControl w:val="0"/>
              <w:numPr>
                <w:ilvl w:val="0"/>
                <w:numId w:val="0"/>
              </w:numPr>
              <w:wordWrap/>
              <w:adjustRightInd/>
              <w:snapToGrid/>
              <w:spacing w:line="600" w:lineRule="exact"/>
              <w:jc w:val="left"/>
              <w:textAlignment w:val="auto"/>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项目</w:t>
            </w:r>
            <w:r>
              <w:rPr>
                <w:rFonts w:hint="eastAsia" w:asciiTheme="majorEastAsia" w:hAnsiTheme="majorEastAsia" w:eastAsiaTheme="majorEastAsia" w:cstheme="majorEastAsia"/>
                <w:color w:val="auto"/>
                <w:sz w:val="24"/>
                <w:szCs w:val="24"/>
                <w:highlight w:val="none"/>
                <w:lang w:val="en-US" w:eastAsia="zh-CN"/>
              </w:rPr>
              <w:t>市政</w:t>
            </w:r>
            <w:r>
              <w:rPr>
                <w:rFonts w:hint="eastAsia" w:asciiTheme="majorEastAsia" w:hAnsiTheme="majorEastAsia" w:eastAsiaTheme="majorEastAsia" w:cstheme="majorEastAsia"/>
                <w:color w:val="auto"/>
                <w:sz w:val="24"/>
                <w:szCs w:val="24"/>
                <w:highlight w:val="none"/>
                <w:lang w:eastAsia="zh-CN"/>
              </w:rPr>
              <w:t>养护</w:t>
            </w:r>
            <w:r>
              <w:rPr>
                <w:rFonts w:hint="eastAsia" w:asciiTheme="majorEastAsia" w:hAnsiTheme="majorEastAsia" w:eastAsiaTheme="majorEastAsia" w:cstheme="majorEastAsia"/>
                <w:color w:val="auto"/>
                <w:sz w:val="24"/>
                <w:szCs w:val="24"/>
                <w:highlight w:val="none"/>
                <w:lang w:val="en-US" w:eastAsia="zh-CN"/>
              </w:rPr>
              <w:t>作业</w:t>
            </w:r>
            <w:r>
              <w:rPr>
                <w:rFonts w:hint="eastAsia" w:asciiTheme="majorEastAsia" w:hAnsiTheme="majorEastAsia" w:eastAsiaTheme="majorEastAsia" w:cstheme="majorEastAsia"/>
                <w:color w:val="auto"/>
                <w:sz w:val="24"/>
                <w:szCs w:val="24"/>
                <w:highlight w:val="none"/>
              </w:rPr>
              <w:t>负责人</w:t>
            </w:r>
            <w:r>
              <w:rPr>
                <w:rFonts w:hint="eastAsia" w:asciiTheme="majorEastAsia" w:hAnsiTheme="majorEastAsia" w:eastAsiaTheme="majorEastAsia" w:cstheme="majorEastAsia"/>
                <w:color w:val="auto"/>
                <w:sz w:val="24"/>
                <w:szCs w:val="24"/>
                <w:highlight w:val="none"/>
                <w:lang w:val="en-US" w:eastAsia="zh-CN"/>
              </w:rPr>
              <w:t>同时具有大专及以上学历及</w:t>
            </w:r>
            <w:r>
              <w:rPr>
                <w:rFonts w:hint="eastAsia" w:asciiTheme="majorEastAsia" w:hAnsiTheme="majorEastAsia" w:eastAsiaTheme="majorEastAsia" w:cstheme="majorEastAsia"/>
                <w:color w:val="auto"/>
                <w:sz w:val="24"/>
                <w:szCs w:val="24"/>
                <w:highlight w:val="none"/>
                <w:lang w:eastAsia="zh-CN"/>
              </w:rPr>
              <w:t>二级建造师（市政公用工程专业）</w:t>
            </w:r>
            <w:r>
              <w:rPr>
                <w:rFonts w:hint="eastAsia" w:asciiTheme="majorEastAsia" w:hAnsiTheme="majorEastAsia" w:eastAsiaTheme="majorEastAsia" w:cstheme="majorEastAsia"/>
                <w:color w:val="auto"/>
                <w:sz w:val="24"/>
                <w:szCs w:val="24"/>
                <w:highlight w:val="none"/>
                <w:lang w:val="en-US" w:eastAsia="zh-CN"/>
              </w:rPr>
              <w:t>证书并具有工程师及以上职称的得2分，</w:t>
            </w:r>
            <w:r>
              <w:rPr>
                <w:rFonts w:hint="eastAsia" w:asciiTheme="majorEastAsia" w:hAnsiTheme="majorEastAsia" w:eastAsiaTheme="majorEastAsia" w:cstheme="majorEastAsia"/>
                <w:color w:val="auto"/>
                <w:sz w:val="24"/>
                <w:szCs w:val="24"/>
                <w:highlight w:val="none"/>
              </w:rPr>
              <w:t>没有不得分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本项</w:t>
            </w:r>
            <w:r>
              <w:rPr>
                <w:rFonts w:hint="eastAsia" w:asciiTheme="majorEastAsia" w:hAnsiTheme="majorEastAsia" w:eastAsiaTheme="majorEastAsia" w:cstheme="majorEastAsia"/>
                <w:color w:val="auto"/>
                <w:sz w:val="24"/>
                <w:szCs w:val="24"/>
                <w:highlight w:val="none"/>
                <w:lang w:val="en-US" w:eastAsia="zh-CN"/>
              </w:rPr>
              <w:t>最高得2</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w:t>
            </w:r>
          </w:p>
          <w:p>
            <w:pPr>
              <w:widowControl w:val="0"/>
              <w:numPr>
                <w:ilvl w:val="0"/>
                <w:numId w:val="0"/>
              </w:numPr>
              <w:wordWrap/>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2）项目保洁作业负责人同时具有大专及以上学历及环卫项目经理证证书的得2分，没有不得分，本项最高得2分；</w:t>
            </w:r>
          </w:p>
          <w:p>
            <w:pPr>
              <w:spacing w:line="600" w:lineRule="exac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kern w:val="2"/>
                <w:sz w:val="24"/>
                <w:szCs w:val="24"/>
                <w:highlight w:val="none"/>
                <w:lang w:val="en-US" w:eastAsia="zh-CN" w:bidi="ar-SA"/>
              </w:rPr>
              <w:t>项目绿化养护作业负责人</w:t>
            </w:r>
            <w:r>
              <w:rPr>
                <w:rFonts w:hint="eastAsia" w:asciiTheme="majorEastAsia" w:hAnsiTheme="majorEastAsia" w:eastAsiaTheme="majorEastAsia" w:cstheme="majorEastAsia"/>
                <w:b w:val="0"/>
                <w:bCs w:val="0"/>
                <w:color w:val="auto"/>
                <w:kern w:val="2"/>
                <w:sz w:val="24"/>
                <w:szCs w:val="24"/>
                <w:highlight w:val="none"/>
                <w:lang w:val="en-US" w:eastAsia="zh-CN" w:bidi="ar-SA"/>
              </w:rPr>
              <w:t>有</w:t>
            </w:r>
            <w:r>
              <w:rPr>
                <w:rFonts w:hint="eastAsia" w:asciiTheme="majorEastAsia" w:hAnsiTheme="majorEastAsia" w:eastAsiaTheme="majorEastAsia" w:cstheme="majorEastAsia"/>
                <w:color w:val="auto"/>
                <w:kern w:val="2"/>
                <w:sz w:val="24"/>
                <w:szCs w:val="24"/>
                <w:highlight w:val="none"/>
                <w:lang w:val="en-US" w:eastAsia="zh-CN" w:bidi="ar-SA"/>
              </w:rPr>
              <w:t>园林绿化或园林专业工程师中级及以上职称证书的得2分，没有不得分，本项最高得2分；</w:t>
            </w:r>
          </w:p>
          <w:p>
            <w:pPr>
              <w:widowControl w:val="0"/>
              <w:wordWrap/>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b w:val="0"/>
                <w:bCs w:val="0"/>
                <w:color w:val="auto"/>
                <w:kern w:val="2"/>
                <w:sz w:val="24"/>
                <w:szCs w:val="24"/>
                <w:highlight w:val="none"/>
                <w:lang w:val="en-US" w:eastAsia="zh-CN" w:bidi="ar-SA"/>
              </w:rPr>
              <w:t>项目组成人员中有</w:t>
            </w:r>
            <w:r>
              <w:rPr>
                <w:rFonts w:hint="eastAsia" w:asciiTheme="majorEastAsia" w:hAnsiTheme="majorEastAsia" w:eastAsiaTheme="majorEastAsia" w:cstheme="majorEastAsia"/>
                <w:color w:val="auto"/>
                <w:sz w:val="24"/>
                <w:szCs w:val="24"/>
                <w:highlight w:val="none"/>
                <w:lang w:val="en-US" w:eastAsia="zh-CN"/>
              </w:rPr>
              <w:t>项目专职安全管理员同时具有大专及以上学历及安全员证证书的得0.5分，没有不得分，</w:t>
            </w:r>
            <w:r>
              <w:rPr>
                <w:rFonts w:hint="eastAsia" w:asciiTheme="majorEastAsia" w:hAnsiTheme="majorEastAsia" w:eastAsiaTheme="majorEastAsia" w:cstheme="majorEastAsia"/>
                <w:color w:val="auto"/>
                <w:sz w:val="24"/>
                <w:szCs w:val="24"/>
                <w:highlight w:val="none"/>
              </w:rPr>
              <w:t>本</w:t>
            </w:r>
            <w:r>
              <w:rPr>
                <w:rFonts w:hint="eastAsia" w:asciiTheme="majorEastAsia" w:hAnsiTheme="majorEastAsia" w:eastAsiaTheme="majorEastAsia" w:cstheme="majorEastAsia"/>
                <w:color w:val="auto"/>
                <w:sz w:val="24"/>
                <w:szCs w:val="24"/>
                <w:highlight w:val="none"/>
                <w:lang w:val="en-US" w:eastAsia="zh-CN"/>
              </w:rPr>
              <w:t>项最高得0.5</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w:t>
            </w:r>
          </w:p>
          <w:p>
            <w:pPr>
              <w:pStyle w:val="6"/>
              <w:numPr>
                <w:ilvl w:val="0"/>
                <w:numId w:val="0"/>
              </w:numPr>
              <w:tabs>
                <w:tab w:val="left" w:pos="706"/>
                <w:tab w:val="clear" w:pos="432"/>
              </w:tabs>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5）项目组成人员中有绿化工证书，每一人得0.5分，没有不得分，本项最高得1分；</w:t>
            </w:r>
          </w:p>
          <w:p>
            <w:pPr>
              <w:pStyle w:val="6"/>
              <w:numPr>
                <w:ilvl w:val="0"/>
                <w:numId w:val="0"/>
              </w:numPr>
              <w:tabs>
                <w:tab w:val="left" w:pos="706"/>
                <w:tab w:val="clear" w:pos="432"/>
              </w:tabs>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kern w:val="2"/>
                <w:sz w:val="24"/>
                <w:szCs w:val="24"/>
                <w:highlight w:val="none"/>
                <w:lang w:val="en-US" w:eastAsia="zh-CN" w:bidi="ar-SA"/>
              </w:rPr>
              <w:t>6）项目组成人员中有有害生物防制员证初级(国家职业资格五级)及以上的得0.5分，</w:t>
            </w:r>
            <w:r>
              <w:rPr>
                <w:rFonts w:hint="eastAsia" w:asciiTheme="majorEastAsia" w:hAnsiTheme="majorEastAsia" w:eastAsiaTheme="majorEastAsia" w:cstheme="majorEastAsia"/>
                <w:b w:val="0"/>
                <w:bCs w:val="0"/>
                <w:color w:val="auto"/>
                <w:sz w:val="24"/>
                <w:szCs w:val="24"/>
                <w:highlight w:val="none"/>
                <w:lang w:val="en-US" w:eastAsia="zh-CN"/>
              </w:rPr>
              <w:t>没有不得分，</w:t>
            </w:r>
            <w:r>
              <w:rPr>
                <w:rFonts w:hint="eastAsia" w:asciiTheme="majorEastAsia" w:hAnsiTheme="majorEastAsia" w:eastAsiaTheme="majorEastAsia" w:cstheme="majorEastAsia"/>
                <w:b w:val="0"/>
                <w:bCs w:val="0"/>
                <w:color w:val="auto"/>
                <w:sz w:val="24"/>
                <w:szCs w:val="24"/>
                <w:highlight w:val="none"/>
              </w:rPr>
              <w:t>本</w:t>
            </w:r>
            <w:r>
              <w:rPr>
                <w:rFonts w:hint="eastAsia" w:asciiTheme="majorEastAsia" w:hAnsiTheme="majorEastAsia" w:eastAsiaTheme="majorEastAsia" w:cstheme="majorEastAsia"/>
                <w:b w:val="0"/>
                <w:bCs w:val="0"/>
                <w:color w:val="auto"/>
                <w:sz w:val="24"/>
                <w:szCs w:val="24"/>
                <w:highlight w:val="none"/>
                <w:lang w:val="en-US" w:eastAsia="zh-CN"/>
              </w:rPr>
              <w:t>项最高得0.5</w:t>
            </w:r>
            <w:r>
              <w:rPr>
                <w:rFonts w:hint="eastAsia" w:asciiTheme="majorEastAsia" w:hAnsiTheme="majorEastAsia" w:eastAsiaTheme="majorEastAsia" w:cstheme="majorEastAsia"/>
                <w:b w:val="0"/>
                <w:bCs w:val="0"/>
                <w:color w:val="auto"/>
                <w:sz w:val="24"/>
                <w:szCs w:val="24"/>
                <w:highlight w:val="none"/>
              </w:rPr>
              <w:t>分</w:t>
            </w:r>
            <w:r>
              <w:rPr>
                <w:rFonts w:hint="eastAsia" w:asciiTheme="majorEastAsia" w:hAnsiTheme="majorEastAsia" w:eastAsiaTheme="majorEastAsia" w:cstheme="majorEastAsia"/>
                <w:b w:val="0"/>
                <w:bCs w:val="0"/>
                <w:color w:val="auto"/>
                <w:sz w:val="24"/>
                <w:szCs w:val="24"/>
                <w:highlight w:val="none"/>
                <w:lang w:eastAsia="zh-CN"/>
              </w:rPr>
              <w:t>；</w:t>
            </w:r>
          </w:p>
          <w:p>
            <w:pPr>
              <w:widowControl w:val="0"/>
              <w:wordWrap/>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人员不能重复</w:t>
            </w:r>
            <w:r>
              <w:rPr>
                <w:rFonts w:hint="eastAsia" w:asciiTheme="majorEastAsia" w:hAnsiTheme="majorEastAsia" w:eastAsiaTheme="majorEastAsia" w:cstheme="majorEastAsia"/>
                <w:color w:val="auto"/>
                <w:sz w:val="24"/>
                <w:szCs w:val="24"/>
                <w:highlight w:val="none"/>
                <w:lang w:val="en-US" w:eastAsia="zh-CN"/>
              </w:rPr>
              <w:t>计分</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sz w:val="24"/>
                <w:highlight w:val="none"/>
              </w:rPr>
              <w:t>注：投标文件中提供拟派人员证书</w:t>
            </w:r>
            <w:r>
              <w:rPr>
                <w:rFonts w:hint="eastAsia" w:asciiTheme="majorEastAsia" w:hAnsiTheme="majorEastAsia" w:eastAsiaTheme="majorEastAsia" w:cstheme="majorEastAsia"/>
                <w:b/>
                <w:sz w:val="24"/>
                <w:highlight w:val="none"/>
                <w:lang w:eastAsia="zh-CN"/>
              </w:rPr>
              <w:t>、</w:t>
            </w:r>
            <w:r>
              <w:rPr>
                <w:rFonts w:hint="eastAsia" w:asciiTheme="majorEastAsia" w:hAnsiTheme="majorEastAsia" w:eastAsiaTheme="majorEastAsia" w:cstheme="majorEastAsia"/>
                <w:b/>
                <w:sz w:val="24"/>
                <w:highlight w:val="none"/>
                <w:lang w:val="en-US" w:eastAsia="zh-CN"/>
              </w:rPr>
              <w:t>毕业证</w:t>
            </w:r>
            <w:r>
              <w:rPr>
                <w:rFonts w:hint="eastAsia" w:asciiTheme="majorEastAsia" w:hAnsiTheme="majorEastAsia" w:eastAsiaTheme="majorEastAsia" w:cstheme="majorEastAsia"/>
                <w:b/>
                <w:sz w:val="24"/>
                <w:highlight w:val="none"/>
              </w:rPr>
              <w:t>及</w:t>
            </w:r>
            <w:r>
              <w:rPr>
                <w:rFonts w:hint="eastAsia" w:asciiTheme="majorEastAsia" w:hAnsiTheme="majorEastAsia" w:eastAsiaTheme="majorEastAsia" w:cstheme="majorEastAsia"/>
                <w:b/>
                <w:bCs/>
                <w:color w:val="auto"/>
                <w:sz w:val="24"/>
                <w:szCs w:val="24"/>
                <w:highlight w:val="none"/>
                <w:lang w:val="en-US" w:eastAsia="zh-CN"/>
              </w:rPr>
              <w:t>本人在本单位近</w:t>
            </w:r>
            <w:r>
              <w:rPr>
                <w:rFonts w:hint="eastAsia" w:asciiTheme="majorEastAsia" w:hAnsiTheme="majorEastAsia" w:eastAsiaTheme="majorEastAsia" w:cstheme="majorEastAsia"/>
                <w:b/>
                <w:bCs/>
                <w:color w:val="auto"/>
                <w:sz w:val="24"/>
                <w:szCs w:val="24"/>
                <w:highlight w:val="none"/>
              </w:rPr>
              <w:t>6个月</w:t>
            </w:r>
            <w:r>
              <w:rPr>
                <w:rFonts w:hint="eastAsia" w:asciiTheme="majorEastAsia" w:hAnsiTheme="majorEastAsia" w:eastAsiaTheme="majorEastAsia" w:cstheme="majorEastAsia"/>
                <w:b/>
                <w:bCs/>
                <w:color w:val="auto"/>
                <w:sz w:val="24"/>
                <w:szCs w:val="24"/>
                <w:highlight w:val="none"/>
                <w:lang w:val="en-US" w:eastAsia="zh-CN"/>
              </w:rPr>
              <w:t>社保缴纳证明复印件</w:t>
            </w:r>
            <w:r>
              <w:rPr>
                <w:rFonts w:hint="eastAsia" w:asciiTheme="majorEastAsia" w:hAnsiTheme="majorEastAsia" w:eastAsiaTheme="majorEastAsia" w:cstheme="majorEastAsia"/>
                <w:b/>
                <w:sz w:val="24"/>
                <w:highlight w:val="none"/>
              </w:rPr>
              <w:t>，否则不得分。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投标人自有作业设备用于本项目情况：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保洁设备：</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能够提供总质量16吨及以上清洗车(洒水车)不少于2辆；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总质量12吨及以上三合一洗扫车不少于2辆；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总质量15吨及以上多功能抑尘车不少于1辆；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总质量15吨及以上高压冲洗车不少于2辆；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总质量7吨及以上护栏清洗车不少于1辆；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机械化除雪设备不少于2台（除雪车、大型铲车、加装式铲雪板、滚雪装置、加装式除雪板或山猫、凯斯等大型除雪设备）；</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总质量5吨及以下或新能源小型清扫车（用于慢车道作业）不少于1辆；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巡查保障车不少于1辆；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全部满足得16分，不满足一项扣2分，扣完为止；以上清洗车(洒水车)或高压冲洗车或三合一洗扫车中为纯电动新能源车或天然气清洁能源车辆的每辆加2分，最多加6分，没有不得分。本项最高得22分；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绿化养护设备：</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能够提供专项高空作业登高车不少于1辆；</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割灌机不少于2台；</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绿篱机（修剪机）不少于2台；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全部满足得6分，不满足一项扣2分，扣完为止。本项最高得6分；</w:t>
            </w:r>
          </w:p>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注：</w:t>
            </w:r>
            <w:r>
              <w:rPr>
                <w:rFonts w:hint="eastAsia" w:asciiTheme="majorEastAsia" w:hAnsiTheme="majorEastAsia" w:eastAsiaTheme="majorEastAsia" w:cstheme="majorEastAsia"/>
                <w:b/>
                <w:bCs/>
                <w:color w:val="auto"/>
                <w:sz w:val="24"/>
                <w:highlight w:val="none"/>
                <w:lang w:val="en-US" w:eastAsia="zh-CN"/>
              </w:rPr>
              <w:t>1）必须上牌的车辆在投标文件中同时提供车辆行驶证、购车发票、车辆登记证扫描件、清晰带有车牌号的正面、45度斜侧面的照片</w:t>
            </w:r>
            <w:r>
              <w:rPr>
                <w:rFonts w:hint="eastAsia" w:asciiTheme="majorEastAsia" w:hAnsiTheme="majorEastAsia" w:eastAsiaTheme="majorEastAsia" w:cstheme="majorEastAsia"/>
                <w:b/>
                <w:bCs/>
                <w:color w:val="auto"/>
                <w:sz w:val="24"/>
                <w:szCs w:val="24"/>
                <w:highlight w:val="none"/>
                <w:lang w:val="en-US" w:eastAsia="zh-CN"/>
              </w:rPr>
              <w:t>（其中小型清扫车如</w:t>
            </w:r>
            <w:r>
              <w:rPr>
                <w:rFonts w:hint="eastAsia" w:asciiTheme="majorEastAsia" w:hAnsiTheme="majorEastAsia" w:eastAsiaTheme="majorEastAsia" w:cstheme="majorEastAsia"/>
                <w:b/>
                <w:bCs/>
                <w:color w:val="auto"/>
                <w:sz w:val="24"/>
                <w:highlight w:val="none"/>
                <w:lang w:val="en-US" w:eastAsia="zh-CN"/>
              </w:rPr>
              <w:t>为新能源的</w:t>
            </w:r>
            <w:r>
              <w:rPr>
                <w:rFonts w:hint="eastAsia" w:asciiTheme="majorEastAsia" w:hAnsiTheme="majorEastAsia" w:eastAsiaTheme="majorEastAsia" w:cstheme="majorEastAsia"/>
                <w:b/>
                <w:bCs/>
                <w:color w:val="auto"/>
                <w:sz w:val="24"/>
                <w:szCs w:val="24"/>
                <w:highlight w:val="none"/>
                <w:lang w:val="en-US" w:eastAsia="zh-CN"/>
              </w:rPr>
              <w:t>无需提供车辆行驶证和车辆登记证）</w:t>
            </w:r>
            <w:r>
              <w:rPr>
                <w:rFonts w:hint="eastAsia" w:asciiTheme="majorEastAsia" w:hAnsiTheme="majorEastAsia" w:eastAsiaTheme="majorEastAsia" w:cstheme="majorEastAsia"/>
                <w:b/>
                <w:bCs/>
                <w:color w:val="auto"/>
                <w:sz w:val="24"/>
                <w:highlight w:val="none"/>
                <w:lang w:val="en-US" w:eastAsia="zh-CN"/>
              </w:rPr>
              <w:t>；否则不予认可。按国家规定无需上牌的车辆、设备，在投标文件中同时提供购买发票、车辆或设备照片，否则不予认可。</w:t>
            </w:r>
          </w:p>
          <w:p>
            <w:pPr>
              <w:pStyle w:val="3"/>
              <w:wordWrap/>
              <w:spacing w:line="500" w:lineRule="exact"/>
              <w:ind w:left="0" w:leftChars="0" w:firstLine="0" w:firstLineChars="0"/>
              <w:jc w:val="left"/>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2）提供车辆、设备仅用于本保洁项目的书面承诺书（格式自拟）。</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3）车辆、设备必须为供应商自有，含分公司自有。</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5</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color w:val="auto"/>
                <w:sz w:val="24"/>
                <w:szCs w:val="24"/>
                <w:highlight w:val="none"/>
              </w:rPr>
              <w:t>承诺中标后根据项目实际工作要求，配备足额的样式统一的电动</w:t>
            </w:r>
            <w:r>
              <w:rPr>
                <w:rFonts w:hint="eastAsia" w:asciiTheme="majorEastAsia" w:hAnsiTheme="majorEastAsia" w:eastAsiaTheme="majorEastAsia" w:cstheme="majorEastAsia"/>
                <w:color w:val="auto"/>
                <w:sz w:val="24"/>
                <w:szCs w:val="24"/>
                <w:highlight w:val="none"/>
                <w:lang w:eastAsia="zh-CN"/>
              </w:rPr>
              <w:t>三轮</w:t>
            </w:r>
            <w:r>
              <w:rPr>
                <w:rFonts w:hint="eastAsia" w:asciiTheme="majorEastAsia" w:hAnsiTheme="majorEastAsia" w:eastAsiaTheme="majorEastAsia" w:cstheme="majorEastAsia"/>
                <w:color w:val="auto"/>
                <w:sz w:val="24"/>
                <w:szCs w:val="24"/>
                <w:highlight w:val="none"/>
              </w:rPr>
              <w:t>环卫车辆和人行道除雪设备，提供承诺书（格式自拟）得2分，否则不得分。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商务分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10分</w:t>
            </w:r>
            <w:r>
              <w:rPr>
                <w:rFonts w:hint="eastAsia" w:asciiTheme="majorEastAsia" w:hAnsiTheme="majorEastAsia" w:eastAsiaTheme="majorEastAsia" w:cstheme="majorEastAsia"/>
                <w:color w:val="auto"/>
                <w:sz w:val="24"/>
                <w:szCs w:val="24"/>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体系认证</w:t>
            </w:r>
            <w:r>
              <w:rPr>
                <w:rFonts w:hint="eastAsia" w:asciiTheme="majorEastAsia" w:hAnsiTheme="majorEastAsia" w:eastAsiaTheme="majorEastAsia" w:cstheme="majorEastAsia"/>
                <w:color w:val="auto"/>
                <w:sz w:val="24"/>
                <w:szCs w:val="24"/>
                <w:highlight w:val="none"/>
                <w:lang w:val="en-US" w:eastAsia="zh-CN"/>
              </w:rPr>
              <w:t>证书：</w:t>
            </w:r>
            <w:r>
              <w:rPr>
                <w:rFonts w:hint="eastAsia" w:asciiTheme="majorEastAsia" w:hAnsiTheme="majorEastAsia" w:eastAsiaTheme="majorEastAsia" w:cstheme="majorEastAsia"/>
                <w:color w:val="auto"/>
                <w:sz w:val="24"/>
                <w:szCs w:val="24"/>
                <w:highlight w:val="none"/>
              </w:rPr>
              <w:t>投标人具有效的环境管理体系认证、职业健康安全管理体系认证</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质量管理体系认证</w:t>
            </w:r>
            <w:r>
              <w:rPr>
                <w:rFonts w:hint="eastAsia" w:asciiTheme="majorEastAsia" w:hAnsiTheme="majorEastAsia" w:eastAsiaTheme="majorEastAsia" w:cstheme="majorEastAsia"/>
                <w:color w:val="auto"/>
                <w:sz w:val="24"/>
                <w:szCs w:val="24"/>
                <w:highlight w:val="none"/>
                <w:lang w:val="en-US" w:eastAsia="zh-CN"/>
              </w:rPr>
              <w:t>证书，每</w:t>
            </w:r>
            <w:r>
              <w:rPr>
                <w:rFonts w:hint="eastAsia" w:asciiTheme="majorEastAsia" w:hAnsiTheme="majorEastAsia" w:eastAsiaTheme="majorEastAsia" w:cstheme="majorEastAsia"/>
                <w:color w:val="auto"/>
                <w:sz w:val="24"/>
                <w:szCs w:val="24"/>
                <w:highlight w:val="none"/>
                <w:lang w:eastAsia="zh-CN"/>
              </w:rPr>
              <w:t>个</w:t>
            </w:r>
            <w:r>
              <w:rPr>
                <w:rFonts w:hint="eastAsia" w:asciiTheme="majorEastAsia" w:hAnsiTheme="majorEastAsia" w:eastAsiaTheme="majorEastAsia" w:cstheme="majorEastAsia"/>
                <w:color w:val="auto"/>
                <w:sz w:val="24"/>
                <w:szCs w:val="24"/>
                <w:highlight w:val="none"/>
              </w:rPr>
              <w:t>得</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，最</w:t>
            </w:r>
            <w:r>
              <w:rPr>
                <w:rFonts w:hint="eastAsia" w:asciiTheme="majorEastAsia" w:hAnsiTheme="majorEastAsia" w:eastAsiaTheme="majorEastAsia" w:cstheme="majorEastAsia"/>
                <w:color w:val="auto"/>
                <w:sz w:val="24"/>
                <w:szCs w:val="24"/>
                <w:highlight w:val="none"/>
                <w:lang w:val="en-US" w:eastAsia="zh-CN"/>
              </w:rPr>
              <w:t>高</w:t>
            </w:r>
            <w:r>
              <w:rPr>
                <w:rFonts w:hint="eastAsia" w:asciiTheme="majorEastAsia" w:hAnsiTheme="majorEastAsia" w:eastAsiaTheme="majorEastAsia" w:cstheme="majorEastAsia"/>
                <w:color w:val="auto"/>
                <w:sz w:val="24"/>
                <w:szCs w:val="24"/>
                <w:highlight w:val="none"/>
                <w:lang w:eastAsia="zh-CN"/>
              </w:rPr>
              <w:t>得</w:t>
            </w:r>
            <w:r>
              <w:rPr>
                <w:rFonts w:hint="eastAsia" w:asciiTheme="majorEastAsia" w:hAnsiTheme="majorEastAsia" w:eastAsiaTheme="majorEastAsia" w:cstheme="majorEastAsia"/>
                <w:color w:val="auto"/>
                <w:sz w:val="24"/>
                <w:szCs w:val="24"/>
                <w:highlight w:val="none"/>
                <w:lang w:val="en-US" w:eastAsia="zh-CN"/>
              </w:rPr>
              <w:t>6分</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sz w:val="24"/>
                <w:highlight w:val="none"/>
              </w:rPr>
              <w:t>注：投标文件中提供有效期内的证书扫描件及全国认证认可信息公共服务平台网站（http://www.cnca.gov.cn/）查询页面截图，否则不得分。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7</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企业荣誉：</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投标人自</w:t>
            </w:r>
            <w:r>
              <w:rPr>
                <w:rFonts w:hint="eastAsia" w:asciiTheme="majorEastAsia" w:hAnsiTheme="majorEastAsia" w:eastAsiaTheme="majorEastAsia" w:cstheme="majorEastAsia"/>
                <w:color w:val="auto"/>
                <w:sz w:val="24"/>
                <w:szCs w:val="24"/>
                <w:highlight w:val="none"/>
                <w:lang w:val="en-US" w:eastAsia="zh-CN"/>
              </w:rPr>
              <w:t>2019年1月1日以来（以获奖证书或获奖文件时间为准）获得过省级及以上行业主管部门表彰荣誉的，每个得3分；地市级及以上行业主管部门表彰荣誉的，每个得1.5分；本项最高得3分。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注：投标文件中提供获奖证明扫描件，时间以获奖证明落款为准。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w:t>
            </w:r>
          </w:p>
        </w:tc>
        <w:tc>
          <w:tcPr>
            <w:tcW w:w="7525" w:type="dxa"/>
            <w:tcBorders>
              <w:top w:val="single" w:color="000000" w:sz="4" w:space="0"/>
              <w:left w:val="single" w:color="000000" w:sz="4" w:space="0"/>
              <w:bottom w:val="single" w:color="000000" w:sz="4" w:space="0"/>
              <w:right w:val="single" w:color="000000" w:sz="4" w:space="0"/>
            </w:tcBorders>
            <w:noWrap w:val="0"/>
            <w:vAlign w:val="center"/>
          </w:tcPr>
          <w:p>
            <w:pPr>
              <w:pStyle w:val="22"/>
              <w:spacing w:line="60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投标人类似业绩：</w:t>
            </w:r>
          </w:p>
          <w:p>
            <w:pPr>
              <w:pStyle w:val="22"/>
              <w:spacing w:line="600" w:lineRule="exac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投标人自201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年1月1日以来（时间以合同签订时间为准）承担</w:t>
            </w:r>
            <w:r>
              <w:rPr>
                <w:rFonts w:hint="eastAsia" w:asciiTheme="majorEastAsia" w:hAnsiTheme="majorEastAsia" w:eastAsiaTheme="majorEastAsia" w:cstheme="majorEastAsia"/>
                <w:color w:val="auto"/>
                <w:sz w:val="24"/>
                <w:szCs w:val="24"/>
                <w:highlight w:val="none"/>
                <w:lang w:val="en-US" w:eastAsia="zh-CN"/>
              </w:rPr>
              <w:t>过</w:t>
            </w:r>
            <w:r>
              <w:rPr>
                <w:rFonts w:hint="eastAsia" w:asciiTheme="majorEastAsia" w:hAnsiTheme="majorEastAsia" w:eastAsiaTheme="majorEastAsia" w:cstheme="majorEastAsia"/>
                <w:color w:val="auto"/>
                <w:sz w:val="24"/>
                <w:szCs w:val="24"/>
                <w:highlight w:val="none"/>
              </w:rPr>
              <w:t>类似业绩</w:t>
            </w:r>
            <w:r>
              <w:rPr>
                <w:rFonts w:hint="eastAsia" w:asciiTheme="majorEastAsia" w:hAnsiTheme="majorEastAsia" w:eastAsiaTheme="majorEastAsia" w:cstheme="majorEastAsia"/>
                <w:color w:val="auto"/>
                <w:sz w:val="24"/>
                <w:highlight w:val="none"/>
              </w:rPr>
              <w:t>（合同内容包括道路保洁</w:t>
            </w:r>
            <w:r>
              <w:rPr>
                <w:rFonts w:hint="eastAsia" w:asciiTheme="majorEastAsia" w:hAnsiTheme="majorEastAsia" w:eastAsiaTheme="majorEastAsia" w:cstheme="majorEastAsia"/>
                <w:color w:val="auto"/>
                <w:sz w:val="24"/>
                <w:highlight w:val="none"/>
                <w:lang w:val="en-US" w:eastAsia="zh-CN"/>
              </w:rPr>
              <w:t>或市政养护</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szCs w:val="24"/>
                <w:highlight w:val="none"/>
                <w:lang w:val="en-US" w:eastAsia="zh-CN"/>
              </w:rPr>
              <w:t>的</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每</w:t>
            </w:r>
            <w:r>
              <w:rPr>
                <w:rFonts w:hint="eastAsia" w:asciiTheme="majorEastAsia" w:hAnsiTheme="majorEastAsia" w:eastAsiaTheme="majorEastAsia" w:cstheme="majorEastAsia"/>
                <w:color w:val="auto"/>
                <w:sz w:val="24"/>
                <w:szCs w:val="24"/>
                <w:highlight w:val="none"/>
              </w:rPr>
              <w:t>个业绩得</w:t>
            </w:r>
            <w:r>
              <w:rPr>
                <w:rFonts w:hint="eastAsia" w:asciiTheme="majorEastAsia" w:hAnsiTheme="majorEastAsia" w:eastAsiaTheme="majorEastAsia" w:cstheme="majorEastAsia"/>
                <w:color w:val="auto"/>
                <w:sz w:val="24"/>
                <w:szCs w:val="24"/>
                <w:highlight w:val="none"/>
                <w:lang w:val="en-US" w:eastAsia="zh-CN"/>
              </w:rPr>
              <w:t>0.5</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highlight w:val="none"/>
                <w:lang w:val="en-US" w:eastAsia="zh-CN"/>
              </w:rPr>
              <w:t>本项</w:t>
            </w:r>
            <w:r>
              <w:rPr>
                <w:rFonts w:hint="eastAsia" w:asciiTheme="majorEastAsia" w:hAnsiTheme="majorEastAsia" w:eastAsiaTheme="majorEastAsia" w:cstheme="majorEastAsia"/>
                <w:color w:val="auto"/>
                <w:sz w:val="24"/>
                <w:szCs w:val="24"/>
                <w:highlight w:val="none"/>
                <w:lang w:val="en-US" w:eastAsia="zh-CN"/>
              </w:rPr>
              <w:t>最高得1分；</w:t>
            </w:r>
          </w:p>
          <w:p>
            <w:pPr>
              <w:pStyle w:val="22"/>
              <w:spacing w:line="600" w:lineRule="exac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kern w:val="2"/>
                <w:sz w:val="24"/>
                <w:szCs w:val="24"/>
                <w:highlight w:val="none"/>
                <w:lang w:val="en-US" w:eastAsia="zh-CN" w:bidi="ar-SA"/>
              </w:rPr>
              <w:t>注：投标文件中提供合同扫描件，否则不得分。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r>
    </w:tbl>
    <w:p>
      <w:pPr>
        <w:pStyle w:val="966"/>
        <w:rPr>
          <w:rFonts w:hint="eastAsia" w:asciiTheme="majorEastAsia" w:hAnsiTheme="majorEastAsia" w:eastAsiaTheme="majorEastAsia" w:cstheme="majorEastAsia"/>
          <w:highlight w:val="none"/>
        </w:rPr>
      </w:pPr>
    </w:p>
    <w:p>
      <w:pPr>
        <w:snapToGrid w:val="0"/>
        <w:spacing w:line="360" w:lineRule="auto"/>
        <w:ind w:firstLine="482" w:firstLineChars="200"/>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3、商务分+技术分=评标委员会所有成员评分合计数/评标委员会组成人员数</w:t>
      </w:r>
    </w:p>
    <w:p>
      <w:pPr>
        <w:snapToGrid w:val="0"/>
        <w:spacing w:line="360" w:lineRule="auto"/>
        <w:ind w:firstLine="480" w:firstLineChars="20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w:t>
      </w:r>
      <w:r>
        <w:rPr>
          <w:rFonts w:hint="eastAsia" w:asciiTheme="majorEastAsia" w:hAnsiTheme="majorEastAsia" w:eastAsiaTheme="majorEastAsia" w:cstheme="majorEastAsia"/>
          <w:b/>
          <w:bCs/>
          <w:sz w:val="24"/>
          <w:highlight w:val="none"/>
        </w:rPr>
        <w:t>价格分（</w:t>
      </w:r>
      <w:r>
        <w:rPr>
          <w:rFonts w:hint="eastAsia" w:asciiTheme="majorEastAsia" w:hAnsiTheme="majorEastAsia" w:eastAsiaTheme="majorEastAsia" w:cstheme="majorEastAsia"/>
          <w:b/>
          <w:bCs/>
          <w:sz w:val="24"/>
          <w:highlight w:val="none"/>
          <w:lang w:val="en-US" w:eastAsia="zh-CN"/>
        </w:rPr>
        <w:t>1</w:t>
      </w:r>
      <w:r>
        <w:rPr>
          <w:rFonts w:hint="eastAsia" w:asciiTheme="majorEastAsia" w:hAnsiTheme="majorEastAsia" w:eastAsiaTheme="majorEastAsia" w:cstheme="majorEastAsia"/>
          <w:b/>
          <w:bCs/>
          <w:sz w:val="24"/>
          <w:highlight w:val="none"/>
        </w:rPr>
        <w:t>0分）</w:t>
      </w:r>
      <w:r>
        <w:rPr>
          <w:rFonts w:hint="eastAsia" w:asciiTheme="majorEastAsia" w:hAnsiTheme="majorEastAsia" w:eastAsiaTheme="majorEastAsia" w:cstheme="majorEastAsia"/>
          <w:sz w:val="24"/>
          <w:highlight w:val="none"/>
        </w:rPr>
        <w:t>采用低价优先法计算，即满足招标文件要求且投标价格最低的投标报价为评标基准价，其他投标人的价格分按照下列公式计算：</w:t>
      </w:r>
    </w:p>
    <w:tbl>
      <w:tblPr>
        <w:tblStyle w:val="65"/>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top"/>
          </w:tcPr>
          <w:p>
            <w:pPr>
              <w:pStyle w:val="2"/>
              <w:ind w:left="0" w:leftChars="0" w:firstLine="210" w:firstLineChars="100"/>
              <w:jc w:val="center"/>
              <w:rPr>
                <w:rFonts w:hint="eastAsia"/>
                <w:lang w:val="en-US" w:eastAsia="zh-CN"/>
              </w:rPr>
            </w:pPr>
          </w:p>
          <w:p>
            <w:pPr>
              <w:pStyle w:val="2"/>
              <w:ind w:left="0" w:leftChars="0" w:firstLine="210" w:firstLineChars="100"/>
              <w:jc w:val="center"/>
              <w:rPr>
                <w:rFonts w:hint="eastAsia"/>
                <w:lang w:val="en-US" w:eastAsia="zh-CN"/>
              </w:rPr>
            </w:pPr>
          </w:p>
          <w:p>
            <w:pPr>
              <w:pStyle w:val="2"/>
              <w:ind w:left="0" w:leftChars="0" w:firstLine="210" w:firstLineChars="100"/>
              <w:jc w:val="center"/>
              <w:rPr>
                <w:rFonts w:hint="eastAsia"/>
                <w:lang w:val="en-US" w:eastAsia="zh-CN"/>
              </w:rPr>
            </w:pPr>
          </w:p>
          <w:p>
            <w:pPr>
              <w:pStyle w:val="2"/>
              <w:ind w:left="0" w:leftChars="0" w:firstLine="0" w:firstLineChars="0"/>
              <w:jc w:val="both"/>
              <w:rPr>
                <w:rFonts w:hint="default"/>
                <w:lang w:val="en-US" w:eastAsia="zh-CN"/>
              </w:rPr>
            </w:pPr>
            <w:r>
              <w:rPr>
                <w:rFonts w:hint="eastAsia"/>
                <w:sz w:val="24"/>
                <w:szCs w:val="24"/>
                <w:lang w:val="en-US" w:eastAsia="zh-CN"/>
              </w:rPr>
              <w:t>价格分（10分）</w:t>
            </w:r>
          </w:p>
        </w:tc>
        <w:tc>
          <w:tcPr>
            <w:tcW w:w="9122" w:type="dxa"/>
            <w:noWrap w:val="0"/>
            <w:vAlign w:val="top"/>
          </w:tcPr>
          <w:p>
            <w:pPr>
              <w:widowControl/>
              <w:shd w:val="clear" w:color="auto" w:fill="FFFFFF"/>
              <w:adjustRightInd/>
              <w:spacing w:after="225" w:line="315" w:lineRule="atLeast"/>
              <w:jc w:val="left"/>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1、（道路保洁、绿化养护、时花养护、公厕保洁）价格分=（评标基准价/投标报价）×价格权重7%×100；</w:t>
            </w:r>
          </w:p>
          <w:p>
            <w:pPr>
              <w:widowControl/>
              <w:shd w:val="clear" w:color="auto" w:fill="FFFFFF"/>
              <w:adjustRightInd/>
              <w:spacing w:after="225" w:line="315" w:lineRule="atLeast"/>
              <w:jc w:val="left"/>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2、（市政养护）价格分=（评标基准价/投标报价）×价格权重3%×100；</w:t>
            </w:r>
          </w:p>
          <w:p>
            <w:pPr>
              <w:widowControl/>
              <w:shd w:val="clear" w:color="auto" w:fill="FFFFFF"/>
              <w:adjustRightInd/>
              <w:spacing w:after="225" w:line="315" w:lineRule="atLeas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价格总分=（道路保洁、绿化养护、时花养护、公厕保洁）价格分+（市政养护）价格分</w:t>
            </w:r>
            <w:r>
              <w:rPr>
                <w:rFonts w:hint="eastAsia" w:asciiTheme="majorEastAsia" w:hAnsiTheme="majorEastAsia" w:eastAsiaTheme="majorEastAsia" w:cstheme="majorEastAsia"/>
                <w:color w:val="auto"/>
                <w:kern w:val="2"/>
                <w:sz w:val="24"/>
                <w:szCs w:val="24"/>
                <w:highlight w:val="none"/>
                <w:lang w:val="en-US" w:eastAsia="zh-CN" w:bidi="ar-SA"/>
              </w:rPr>
              <w:t>。</w:t>
            </w:r>
          </w:p>
          <w:p>
            <w:pPr>
              <w:widowControl/>
              <w:shd w:val="clear" w:color="auto" w:fill="FFFFFF"/>
              <w:adjustRightInd/>
              <w:spacing w:after="225" w:line="315" w:lineRule="atLeas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评标过程中，不得去掉报价中的最高报价和最低报价。</w:t>
            </w:r>
          </w:p>
          <w:p>
            <w:pPr>
              <w:pStyle w:val="2"/>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因落实政府采购政策需要进行价格调整的，以调整后的价格计算评标基准价和投标报价。</w:t>
            </w:r>
          </w:p>
        </w:tc>
      </w:tr>
    </w:tbl>
    <w:p>
      <w:pPr>
        <w:snapToGrid w:val="0"/>
        <w:spacing w:line="360" w:lineRule="auto"/>
        <w:ind w:firstLine="482" w:firstLineChars="200"/>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5、投标人评标综合得分=价格分+商务分+技术分</w:t>
      </w:r>
    </w:p>
    <w:p>
      <w:pPr>
        <w:pStyle w:val="967"/>
        <w:snapToGrid w:val="0"/>
        <w:ind w:left="480" w:firstLine="0" w:firstLineChars="0"/>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注：以上所涉及的证明材料，需提供扫描件制作进投标响应文件内，未提供的不得分。</w:t>
      </w:r>
    </w:p>
    <w:p>
      <w:pPr>
        <w:snapToGrid w:val="0"/>
        <w:spacing w:line="360" w:lineRule="auto"/>
        <w:ind w:firstLine="472" w:firstLineChars="196"/>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报价是中标的一个重要因素，但最低报价不是中标的唯一依据。</w:t>
      </w:r>
    </w:p>
    <w:p>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0"/>
          <w:szCs w:val="20"/>
          <w:highlight w:val="none"/>
          <w:shd w:val="clear" w:color="auto" w:fill="FFFFFF"/>
        </w:rPr>
        <w:t> *</w:t>
      </w:r>
      <w:r>
        <w:rPr>
          <w:rFonts w:hint="eastAsia" w:asciiTheme="majorEastAsia" w:hAnsiTheme="majorEastAsia" w:eastAsiaTheme="majorEastAsia" w:cstheme="majorEastAsia"/>
          <w:b/>
          <w:color w:val="auto"/>
          <w:sz w:val="24"/>
          <w:highlight w:val="none"/>
        </w:rPr>
        <w:t>备注：</w:t>
      </w:r>
      <w:r>
        <w:rPr>
          <w:rFonts w:hint="eastAsia" w:asciiTheme="majorEastAsia" w:hAnsiTheme="majorEastAsia" w:eastAsiaTheme="majorEastAsia" w:cstheme="majorEastAsia"/>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32"/>
          <w:highlight w:val="none"/>
        </w:rPr>
        <w:t>一、评标方法</w:t>
      </w:r>
    </w:p>
    <w:p>
      <w:pPr>
        <w:adjustRightInd/>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1.本项目采用综合评分法。</w:t>
      </w:r>
      <w:r>
        <w:rPr>
          <w:rFonts w:hint="eastAsia" w:asciiTheme="majorEastAsia" w:hAnsiTheme="majorEastAsia" w:eastAsiaTheme="majorEastAsia" w:cstheme="majorEastAsia"/>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32"/>
          <w:highlight w:val="none"/>
        </w:rPr>
        <w:t>二、评标标准</w:t>
      </w:r>
    </w:p>
    <w:p>
      <w:pPr>
        <w:spacing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
          <w:color w:val="auto"/>
          <w:sz w:val="24"/>
          <w:highlight w:val="none"/>
        </w:rPr>
        <w:t>评标标准：</w:t>
      </w:r>
      <w:r>
        <w:rPr>
          <w:rFonts w:hint="eastAsia" w:asciiTheme="majorEastAsia" w:hAnsiTheme="majorEastAsia" w:eastAsiaTheme="majorEastAsia" w:cstheme="majorEastAsia"/>
          <w:color w:val="auto"/>
          <w:kern w:val="0"/>
          <w:sz w:val="24"/>
          <w:highlight w:val="none"/>
        </w:rPr>
        <w:t>见评标办法前附表。</w:t>
      </w:r>
    </w:p>
    <w:p>
      <w:pPr>
        <w:spacing w:line="360" w:lineRule="auto"/>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三、评标程序</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3.1符合性审查。</w:t>
      </w:r>
      <w:r>
        <w:rPr>
          <w:rFonts w:hint="eastAsia" w:asciiTheme="majorEastAsia" w:hAnsiTheme="majorEastAsia" w:eastAsiaTheme="majorEastAsia" w:cstheme="maj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3.2 比较与评价。</w:t>
      </w:r>
      <w:r>
        <w:rPr>
          <w:rFonts w:hint="eastAsia" w:asciiTheme="majorEastAsia" w:hAnsiTheme="majorEastAsia" w:eastAsiaTheme="majorEastAsia" w:cstheme="maj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3.3汇总商务技术得分。</w:t>
      </w:r>
      <w:r>
        <w:rPr>
          <w:rFonts w:hint="eastAsia" w:asciiTheme="majorEastAsia" w:hAnsiTheme="majorEastAsia" w:eastAsiaTheme="majorEastAsia" w:cstheme="maj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3.4报价评审。</w:t>
      </w:r>
    </w:p>
    <w:p>
      <w:pPr>
        <w:pStyle w:val="89"/>
        <w:spacing w:before="0"/>
        <w:ind w:firstLine="508" w:firstLineChars="212"/>
        <w:rPr>
          <w:rFonts w:hint="eastAsia"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3.4.1投标文件报价出现前后不一致的，按照下列规定修正：</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3.4.1.1投标文件中开标一览表(报价表)内容与投标文件中相应内容不一致的，以开标一览表(报价表)为准;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3.4.1.2大写金额和小写金额不一致的，以大写金额为准;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3.4.1.3单价金额小数点或者百分比有明显错位的，以开标一览表的总价为准，并修改单价;</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3.4.1.4总价金额与按单价汇总金额不一致的，以单价金额计算结果为准。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3.4.3投标报价超过招标文件中规定的预算金额或者最高限价的，投标无效。</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3.5排序与推荐。</w:t>
      </w:r>
      <w:r>
        <w:rPr>
          <w:rFonts w:hint="eastAsia" w:asciiTheme="majorEastAsia" w:hAnsiTheme="majorEastAsia" w:eastAsiaTheme="majorEastAsia" w:cstheme="maj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kern w:val="0"/>
          <w:sz w:val="24"/>
          <w:highlight w:val="none"/>
        </w:rPr>
        <w:t>3.6编写评标报告。</w:t>
      </w:r>
      <w:r>
        <w:rPr>
          <w:rFonts w:hint="eastAsia" w:asciiTheme="majorEastAsia" w:hAnsiTheme="majorEastAsia" w:eastAsiaTheme="majorEastAsia" w:cs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四、评标中的其他事项</w:t>
      </w:r>
    </w:p>
    <w:p>
      <w:pPr>
        <w:pStyle w:val="89"/>
        <w:spacing w:before="0"/>
        <w:ind w:firstLine="472" w:firstLineChars="196"/>
        <w:rPr>
          <w:rFonts w:hint="eastAsia" w:asciiTheme="majorEastAsia" w:hAnsiTheme="majorEastAsia" w:eastAsiaTheme="majorEastAsia" w:cstheme="majorEastAsia"/>
          <w:color w:val="auto"/>
          <w:kern w:val="0"/>
          <w:szCs w:val="24"/>
          <w:highlight w:val="none"/>
        </w:rPr>
      </w:pPr>
      <w:r>
        <w:rPr>
          <w:rFonts w:hint="eastAsia" w:asciiTheme="majorEastAsia" w:hAnsiTheme="majorEastAsia" w:eastAsiaTheme="majorEastAsia" w:cstheme="majorEastAsia"/>
          <w:b/>
          <w:color w:val="auto"/>
          <w:kern w:val="0"/>
          <w:szCs w:val="24"/>
          <w:highlight w:val="none"/>
        </w:rPr>
        <w:t>4.1投标人澄清、说明或者补正。</w:t>
      </w:r>
      <w:r>
        <w:rPr>
          <w:rFonts w:hint="eastAsia" w:asciiTheme="majorEastAsia" w:hAnsiTheme="majorEastAsia" w:eastAsiaTheme="majorEastAsia" w:cstheme="maj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highlight w:val="none"/>
        </w:rPr>
        <w:t>4.2投标无效。</w:t>
      </w:r>
      <w:r>
        <w:rPr>
          <w:rFonts w:hint="eastAsia" w:asciiTheme="majorEastAsia" w:hAnsiTheme="majorEastAsia" w:eastAsiaTheme="majorEastAsia" w:cstheme="majorEastAsia"/>
          <w:color w:val="auto"/>
          <w:szCs w:val="21"/>
          <w:highlight w:val="none"/>
        </w:rPr>
        <w:t>有下列情况之一的，投标无效：</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4.2.2投标文件未按照招标文件要求签署、盖章的；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4.2.4投标文件含有采购人不能接受的附加条件的；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4.2.6投标文件出现不是唯一的、有选择性投标报价的;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4.2.7投标报价超过招标文件中规定的预算金额或者最高限价的;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4.2.9投标人对根据修正原则修正后的报价不确认的；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4.2.10投标人提供虚假材料投标的；</w:t>
      </w:r>
    </w:p>
    <w:p>
      <w:pPr>
        <w:spacing w:line="360" w:lineRule="auto"/>
        <w:ind w:firstLine="240" w:firstLineChars="1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4.2.12投标人仅提交备份投标文件，没有在电子交易平台传输递交投标文件的，投标无效；</w:t>
      </w:r>
    </w:p>
    <w:p>
      <w:pPr>
        <w:pStyle w:val="6"/>
        <w:ind w:left="862" w:leftChars="205"/>
        <w:rPr>
          <w:rFonts w:hint="eastAsia" w:asciiTheme="majorEastAsia" w:hAnsiTheme="majorEastAsia" w:eastAsiaTheme="majorEastAsia" w:cstheme="majorEastAsia"/>
          <w:b w:val="0"/>
          <w:bCs w:val="0"/>
          <w:color w:val="auto"/>
          <w:kern w:val="0"/>
          <w:sz w:val="24"/>
          <w:szCs w:val="24"/>
          <w:highlight w:val="none"/>
          <w:lang w:val="en-US"/>
        </w:rPr>
      </w:pPr>
      <w:r>
        <w:rPr>
          <w:rFonts w:hint="eastAsia" w:asciiTheme="majorEastAsia" w:hAnsiTheme="majorEastAsia" w:eastAsiaTheme="majorEastAsia" w:cstheme="majorEastAsia"/>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5.废标。</w:t>
      </w:r>
      <w:r>
        <w:rPr>
          <w:rFonts w:hint="eastAsia" w:asciiTheme="majorEastAsia" w:hAnsiTheme="majorEastAsia" w:eastAsiaTheme="majorEastAsia" w:cstheme="majorEastAsia"/>
          <w:color w:val="auto"/>
          <w:highlight w:val="none"/>
        </w:rPr>
        <w:t>根据《中华人民共和国政府采购法》第三十六条之规定，在采购中，出现下列情形之一的，应予废标：</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5.1符合专业条件的供应商或者对招标文件作实质响应的供应商不足3家的；</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5.2出现影响采购公正的违法、违规行为的；</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5.3投标人的报价均超过了采购预算，采购人不能支付的；</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5.4因重大变故，采购任务取消的。</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废标后，采购机构应当将废标理由通知所有投标人。</w:t>
      </w:r>
    </w:p>
    <w:p>
      <w:pPr>
        <w:pStyle w:val="3"/>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6.修改招标文件，重新组织采购活动。</w:t>
      </w:r>
      <w:r>
        <w:rPr>
          <w:rFonts w:hint="eastAsia" w:asciiTheme="majorEastAsia" w:hAnsiTheme="majorEastAsia" w:eastAsiaTheme="majorEastAsia" w:cstheme="majorEastAsia"/>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highlight w:val="none"/>
        </w:rPr>
        <w:t>7.重新开展采购。</w:t>
      </w:r>
      <w:r>
        <w:rPr>
          <w:rFonts w:hint="eastAsia" w:asciiTheme="majorEastAsia" w:hAnsiTheme="majorEastAsia" w:eastAsiaTheme="majorEastAsia" w:cstheme="majorEastAsia"/>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7.4政府采购合同已经履行，给采购人、供应商造成损失的，由责任人承担赔偿责任。</w:t>
      </w:r>
    </w:p>
    <w:p>
      <w:pPr>
        <w:pStyle w:val="3"/>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7.5政府采购当事人有其他违反政府采购法</w:t>
      </w:r>
      <w:r>
        <w:rPr>
          <w:rFonts w:hint="eastAsia" w:asciiTheme="majorEastAsia" w:hAnsiTheme="majorEastAsia" w:eastAsiaTheme="majorEastAsia" w:cstheme="majorEastAsia"/>
          <w:color w:val="auto"/>
          <w:kern w:val="0"/>
          <w:highlight w:val="none"/>
        </w:rPr>
        <w:t>或者政府采购法实施条例等法律法规规定</w:t>
      </w:r>
      <w:r>
        <w:rPr>
          <w:rFonts w:hint="eastAsia" w:asciiTheme="majorEastAsia" w:hAnsiTheme="majorEastAsia" w:eastAsiaTheme="majorEastAsia" w:cstheme="majorEastAsia"/>
          <w:color w:val="auto"/>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Theme="majorEastAsia" w:hAnsiTheme="majorEastAsia" w:eastAsiaTheme="majorEastAsia" w:cstheme="majorEastAsia"/>
          <w:color w:val="auto"/>
          <w:highlight w:val="none"/>
        </w:rPr>
      </w:pPr>
    </w:p>
    <w:bookmarkEnd w:id="25"/>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bookmarkStart w:id="391" w:name="第五部分"/>
      <w:bookmarkStart w:id="392" w:name="_Toc86217003"/>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 xml:space="preserve">    </w:t>
      </w:r>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83"/>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6"/>
        <w:rPr>
          <w:rFonts w:hint="eastAsia"/>
        </w:rPr>
      </w:pPr>
    </w:p>
    <w:p>
      <w:pPr>
        <w:pStyle w:val="83"/>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6"/>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highlight w:val="none"/>
        </w:rPr>
      </w:pPr>
    </w:p>
    <w:p>
      <w:pPr>
        <w:pStyle w:val="83"/>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spacing w:line="360" w:lineRule="auto"/>
        <w:ind w:left="720" w:leftChars="343" w:firstLine="1084" w:firstLineChars="300"/>
        <w:outlineLvl w:val="0"/>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第五部分 拟签订的合同文本</w:t>
      </w:r>
    </w:p>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合同编号：</w:t>
      </w:r>
    </w:p>
    <w:p>
      <w:pPr>
        <w:spacing w:line="480" w:lineRule="auto"/>
        <w:jc w:val="center"/>
        <w:rPr>
          <w:rFonts w:hint="eastAsia" w:asciiTheme="majorEastAsia" w:hAnsiTheme="majorEastAsia" w:eastAsiaTheme="majorEastAsia" w:cstheme="majorEastAsia"/>
          <w:b/>
          <w:color w:val="auto"/>
          <w:sz w:val="28"/>
          <w:szCs w:val="28"/>
          <w:highlight w:val="none"/>
        </w:rPr>
      </w:pPr>
    </w:p>
    <w:p>
      <w:pPr>
        <w:pStyle w:val="83"/>
        <w:rPr>
          <w:rFonts w:hint="eastAsia" w:asciiTheme="majorEastAsia" w:hAnsiTheme="majorEastAsia" w:eastAsiaTheme="majorEastAsia" w:cstheme="majorEastAsia"/>
          <w:b/>
          <w:color w:val="auto"/>
          <w:sz w:val="28"/>
          <w:szCs w:val="28"/>
          <w:highlight w:val="none"/>
        </w:rPr>
      </w:pPr>
    </w:p>
    <w:p>
      <w:pPr>
        <w:rPr>
          <w:rFonts w:hint="eastAsia" w:asciiTheme="majorEastAsia" w:hAnsiTheme="majorEastAsia" w:eastAsiaTheme="majorEastAsia" w:cstheme="majorEastAsia"/>
          <w:b/>
          <w:color w:val="auto"/>
          <w:sz w:val="28"/>
          <w:szCs w:val="28"/>
          <w:highlight w:val="none"/>
        </w:rPr>
      </w:pPr>
    </w:p>
    <w:p>
      <w:pPr>
        <w:pStyle w:val="83"/>
        <w:rPr>
          <w:rFonts w:hint="eastAsia" w:asciiTheme="majorEastAsia" w:hAnsiTheme="majorEastAsia" w:eastAsiaTheme="majorEastAsia" w:cstheme="majorEastAsia"/>
          <w:color w:val="auto"/>
          <w:highlight w:val="none"/>
        </w:rPr>
      </w:pPr>
    </w:p>
    <w:p>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政府采购合同参考范本（以实际签订为准）</w:t>
      </w:r>
    </w:p>
    <w:p>
      <w:pPr>
        <w:spacing w:line="480" w:lineRule="auto"/>
        <w:jc w:val="cente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t>（服务类）</w:t>
      </w: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rPr>
          <w:rFonts w:hint="eastAsia" w:asciiTheme="majorEastAsia" w:hAnsiTheme="majorEastAsia" w:eastAsiaTheme="majorEastAsia" w:cstheme="majorEastAsia"/>
          <w:b/>
          <w:color w:val="auto"/>
          <w:sz w:val="36"/>
          <w:szCs w:val="36"/>
          <w:highlight w:val="none"/>
        </w:rPr>
      </w:pPr>
    </w:p>
    <w:p>
      <w:pPr>
        <w:pStyle w:val="83"/>
        <w:rPr>
          <w:rFonts w:hint="eastAsia" w:asciiTheme="majorEastAsia" w:hAnsiTheme="majorEastAsia" w:eastAsiaTheme="majorEastAsia" w:cstheme="majorEastAsia"/>
          <w:b/>
          <w:color w:val="auto"/>
          <w:sz w:val="36"/>
          <w:szCs w:val="36"/>
          <w:highlight w:val="none"/>
        </w:rPr>
      </w:pPr>
    </w:p>
    <w:p>
      <w:pPr>
        <w:spacing w:line="480" w:lineRule="auto"/>
        <w:jc w:val="center"/>
        <w:rPr>
          <w:rFonts w:hint="eastAsia" w:asciiTheme="majorEastAsia" w:hAnsiTheme="majorEastAsia" w:eastAsiaTheme="majorEastAsia" w:cstheme="majorEastAsia"/>
          <w:b/>
          <w:color w:val="auto"/>
          <w:szCs w:val="24"/>
          <w:highlight w:val="none"/>
        </w:rPr>
      </w:pPr>
    </w:p>
    <w:p>
      <w:pPr>
        <w:pStyle w:val="83"/>
        <w:rPr>
          <w:rFonts w:hint="eastAsia" w:asciiTheme="majorEastAsia" w:hAnsiTheme="majorEastAsia" w:eastAsiaTheme="majorEastAsia" w:cstheme="majorEastAsia"/>
          <w:highlight w:val="none"/>
        </w:rPr>
      </w:pPr>
    </w:p>
    <w:p>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bookmarkStart w:id="393" w:name="_Toc295465365"/>
      <w:bookmarkEnd w:id="393"/>
    </w:p>
    <w:p>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（本合同为合同样稿，最终稿由双方协商后确定）</w:t>
      </w:r>
    </w:p>
    <w:p>
      <w:pPr>
        <w:pStyle w:val="35"/>
        <w:snapToGrid w:val="0"/>
        <w:spacing w:line="360" w:lineRule="auto"/>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p>
    <w:p>
      <w:pPr>
        <w:spacing w:line="360" w:lineRule="auto"/>
        <w:ind w:firstLine="480" w:firstLineChars="200"/>
        <w:rPr>
          <w:rFonts w:ascii="华文仿宋" w:hAnsi="华文仿宋" w:eastAsia="华文仿宋"/>
          <w:sz w:val="24"/>
        </w:rPr>
      </w:pPr>
      <w:r>
        <w:rPr>
          <w:rFonts w:hint="eastAsia" w:ascii="华文仿宋" w:hAnsi="华文仿宋" w:eastAsia="华文仿宋"/>
          <w:sz w:val="24"/>
        </w:rPr>
        <w:t>合同编号：</w:t>
      </w:r>
    </w:p>
    <w:p>
      <w:pPr>
        <w:autoSpaceDE w:val="0"/>
        <w:autoSpaceDN w:val="0"/>
        <w:snapToGrid w:val="0"/>
        <w:spacing w:line="360" w:lineRule="auto"/>
        <w:ind w:firstLine="436" w:firstLineChars="182"/>
        <w:rPr>
          <w:rFonts w:ascii="华文仿宋" w:hAnsi="华文仿宋" w:eastAsia="华文仿宋"/>
          <w:sz w:val="24"/>
        </w:rPr>
      </w:pPr>
      <w:r>
        <w:rPr>
          <w:rFonts w:ascii="华文仿宋" w:hAnsi="华文仿宋" w:eastAsia="华文仿宋"/>
          <w:sz w:val="24"/>
        </w:rPr>
        <w:t>项目名称：</w:t>
      </w:r>
    </w:p>
    <w:p>
      <w:pPr>
        <w:pStyle w:val="35"/>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招标编号：</w:t>
      </w:r>
    </w:p>
    <w:p>
      <w:pPr>
        <w:pStyle w:val="35"/>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甲方：</w:t>
      </w:r>
    </w:p>
    <w:p>
      <w:pPr>
        <w:snapToGrid w:val="0"/>
        <w:spacing w:line="360" w:lineRule="auto"/>
        <w:ind w:firstLine="480" w:firstLineChars="200"/>
        <w:jc w:val="left"/>
        <w:rPr>
          <w:rFonts w:ascii="华文仿宋" w:hAnsi="华文仿宋" w:eastAsia="华文仿宋"/>
          <w:sz w:val="24"/>
        </w:rPr>
      </w:pPr>
      <w:r>
        <w:rPr>
          <w:rFonts w:ascii="华文仿宋" w:hAnsi="华文仿宋" w:eastAsia="华文仿宋"/>
          <w:sz w:val="24"/>
        </w:rPr>
        <w:t>乙方：</w:t>
      </w:r>
    </w:p>
    <w:p>
      <w:pPr>
        <w:pStyle w:val="90"/>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甲、乙双方根据</w:t>
      </w:r>
      <w:r>
        <w:rPr>
          <w:rFonts w:hint="eastAsia" w:ascii="华文仿宋" w:hAnsi="华文仿宋" w:eastAsia="华文仿宋"/>
          <w:sz w:val="24"/>
          <w:szCs w:val="24"/>
        </w:rPr>
        <w:t>政府采购</w:t>
      </w:r>
      <w:r>
        <w:rPr>
          <w:rFonts w:ascii="华文仿宋" w:hAnsi="华文仿宋" w:eastAsia="华文仿宋"/>
          <w:sz w:val="24"/>
          <w:szCs w:val="24"/>
        </w:rPr>
        <w:t>公开招标的结果，</w:t>
      </w:r>
      <w:r>
        <w:rPr>
          <w:rFonts w:hint="eastAsia" w:ascii="华文仿宋" w:hAnsi="华文仿宋" w:eastAsia="华文仿宋"/>
          <w:sz w:val="24"/>
          <w:szCs w:val="24"/>
        </w:rPr>
        <w:t>依照《中华人民共和国民法典》及其他有关法律、法规，遵循平等、自愿、公平和诚实信用的原则，双方就本项目事项协商一致，订立本合同。</w:t>
      </w:r>
    </w:p>
    <w:p>
      <w:pPr>
        <w:pStyle w:val="90"/>
        <w:snapToGrid w:val="0"/>
        <w:spacing w:line="360" w:lineRule="auto"/>
        <w:ind w:firstLine="482" w:firstLineChars="200"/>
        <w:rPr>
          <w:rFonts w:ascii="华文仿宋" w:hAnsi="华文仿宋" w:eastAsia="华文仿宋"/>
          <w:b/>
          <w:sz w:val="24"/>
          <w:szCs w:val="24"/>
        </w:rPr>
      </w:pPr>
      <w:r>
        <w:rPr>
          <w:rFonts w:hint="eastAsia" w:ascii="华文仿宋" w:hAnsi="华文仿宋" w:eastAsia="华文仿宋"/>
          <w:b/>
          <w:sz w:val="24"/>
          <w:szCs w:val="24"/>
        </w:rPr>
        <w:t>一、服务内容</w:t>
      </w:r>
    </w:p>
    <w:p>
      <w:pPr>
        <w:snapToGrid w:val="0"/>
        <w:spacing w:line="360" w:lineRule="auto"/>
        <w:ind w:firstLine="472" w:firstLineChars="196"/>
        <w:rPr>
          <w:rFonts w:hint="eastAsia" w:ascii="华文仿宋" w:hAnsi="华文仿宋" w:eastAsia="华文仿宋"/>
          <w:b/>
          <w:sz w:val="24"/>
        </w:rPr>
      </w:pPr>
      <w:r>
        <w:rPr>
          <w:rFonts w:hint="eastAsia" w:ascii="华文仿宋" w:hAnsi="华文仿宋" w:eastAsia="华文仿宋"/>
          <w:b/>
          <w:sz w:val="24"/>
        </w:rPr>
        <w:t>1.项目需求：</w:t>
      </w:r>
    </w:p>
    <w:p>
      <w:pPr>
        <w:pStyle w:val="90"/>
        <w:snapToGrid w:val="0"/>
        <w:spacing w:line="360" w:lineRule="auto"/>
        <w:ind w:firstLine="1200" w:firstLineChars="500"/>
        <w:rPr>
          <w:rFonts w:hint="eastAsia" w:ascii="华文仿宋" w:hAnsi="华文仿宋" w:eastAsia="华文仿宋"/>
          <w:sz w:val="24"/>
          <w:szCs w:val="24"/>
        </w:rPr>
      </w:pPr>
      <w:r>
        <w:rPr>
          <w:rFonts w:hint="eastAsia" w:ascii="华文仿宋" w:hAnsi="华文仿宋" w:eastAsia="华文仿宋"/>
          <w:sz w:val="24"/>
          <w:szCs w:val="24"/>
        </w:rPr>
        <w:t>仓前街道文一西路以南区块道路保洁及绿化养护明细表</w:t>
      </w:r>
    </w:p>
    <w:tbl>
      <w:tblPr>
        <w:tblStyle w:val="64"/>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692"/>
        <w:gridCol w:w="1033"/>
        <w:gridCol w:w="1995"/>
        <w:gridCol w:w="913"/>
        <w:gridCol w:w="846"/>
        <w:gridCol w:w="1186"/>
        <w:gridCol w:w="1132"/>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序号 </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保洁</w:t>
            </w:r>
          </w:p>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等级</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起止点</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长度(m)</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平均 </w:t>
            </w:r>
          </w:p>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宽度(m)</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道路及人行道面积</w:t>
            </w:r>
            <w:r>
              <w:rPr>
                <w:rFonts w:hint="eastAsia" w:asciiTheme="majorEastAsia" w:hAnsiTheme="majorEastAsia" w:eastAsiaTheme="majorEastAsia" w:cstheme="majorEastAsia"/>
                <w:color w:val="auto"/>
                <w:kern w:val="0"/>
                <w:sz w:val="21"/>
                <w:szCs w:val="21"/>
                <w:highlight w:val="none"/>
              </w:rPr>
              <w:t>(m2)</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绿化面积 (m2)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lang w:bidi="ar"/>
              </w:rPr>
              <w:t>人行道树木(</w:t>
            </w:r>
            <w:r>
              <w:rPr>
                <w:rFonts w:hint="eastAsia" w:asciiTheme="majorEastAsia" w:hAnsiTheme="majorEastAsia" w:eastAsiaTheme="majorEastAsia" w:cstheme="majorEastAsia"/>
                <w:color w:val="auto"/>
                <w:kern w:val="0"/>
                <w:sz w:val="21"/>
                <w:szCs w:val="21"/>
                <w:highlight w:val="none"/>
              </w:rPr>
              <w:t>m2</w:t>
            </w:r>
            <w:r>
              <w:rPr>
                <w:rFonts w:hint="eastAsia" w:asciiTheme="majorEastAsia" w:hAnsiTheme="majorEastAsia" w:eastAsiaTheme="majorEastAsia" w:cstheme="majorEastAsia"/>
                <w:color w:val="auto"/>
                <w:kern w:val="0"/>
                <w:sz w:val="21"/>
                <w:szCs w:val="21"/>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w:t>
            </w:r>
          </w:p>
        </w:tc>
        <w:tc>
          <w:tcPr>
            <w:tcW w:w="692"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p>
        </w:tc>
        <w:tc>
          <w:tcPr>
            <w:tcW w:w="1033"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爱橙街-文二西路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546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12208</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616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highlight w:val="none"/>
                <w:lang w:val="en-US" w:eastAsia="zh-CN"/>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w:t>
            </w:r>
          </w:p>
        </w:tc>
        <w:tc>
          <w:tcPr>
            <w:tcW w:w="692"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二类</w:t>
            </w:r>
          </w:p>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道路保洁标准</w:t>
            </w: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创景路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文一西路-葛巷路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735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26130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1800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highlight w:val="none"/>
                <w:lang w:val="en-US" w:eastAsia="zh-CN"/>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葛巷路-文二西路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150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5309</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533</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highlight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文一西路-文二西路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966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31020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2440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万和路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文一西路-绿汀路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1300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29530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颐和路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绿汀路-科凯路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245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14</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3271</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286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爱橙街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万和路-绿汀路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580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36</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20880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爱橙街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绿汀路-良睦路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1944.3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56384</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4911</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思凯路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文一西路-葛巷路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671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18957</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824</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葛巷路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绿汀路-思凯路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1691.7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22</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35794</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1092</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永兴路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创明路-闲林港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736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20</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14028</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1336</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highlight w:val="none"/>
                <w:lang w:val="en-US" w:eastAsia="zh-CN"/>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良上线</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val="en-US" w:eastAsia="zh-CN" w:bidi="ar"/>
              </w:rPr>
            </w:pPr>
            <w:r>
              <w:rPr>
                <w:rFonts w:hint="eastAsia" w:asciiTheme="majorEastAsia" w:hAnsiTheme="majorEastAsia" w:eastAsiaTheme="majorEastAsia" w:cstheme="majorEastAsia"/>
                <w:color w:val="000000"/>
                <w:kern w:val="0"/>
                <w:sz w:val="20"/>
                <w:szCs w:val="20"/>
                <w:highlight w:val="none"/>
                <w:lang w:eastAsia="zh-CN" w:bidi="ar"/>
              </w:rPr>
              <w:t>水乡北路</w:t>
            </w:r>
            <w:r>
              <w:rPr>
                <w:rFonts w:hint="eastAsia" w:asciiTheme="majorEastAsia" w:hAnsiTheme="majorEastAsia" w:eastAsiaTheme="majorEastAsia" w:cstheme="majorEastAsia"/>
                <w:color w:val="000000"/>
                <w:kern w:val="0"/>
                <w:sz w:val="20"/>
                <w:szCs w:val="20"/>
                <w:highlight w:val="none"/>
                <w:lang w:val="en-US" w:eastAsia="zh-CN" w:bidi="ar"/>
              </w:rPr>
              <w:t>-万和路</w:t>
            </w:r>
          </w:p>
        </w:tc>
        <w:tc>
          <w:tcPr>
            <w:tcW w:w="9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1146</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28</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22070</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0</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highlight w:val="none"/>
                <w:lang w:val="en-US" w:eastAsia="zh-CN"/>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0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小计</w:t>
            </w:r>
          </w:p>
        </w:tc>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275581</w:t>
            </w:r>
          </w:p>
        </w:tc>
        <w:tc>
          <w:tcPr>
            <w:tcW w:w="11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13838</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102" w:type="dxa"/>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合计</w:t>
            </w:r>
          </w:p>
        </w:tc>
        <w:tc>
          <w:tcPr>
            <w:tcW w:w="23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289419</w:t>
            </w:r>
          </w:p>
        </w:tc>
        <w:tc>
          <w:tcPr>
            <w:tcW w:w="10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r>
    </w:tbl>
    <w:p>
      <w:pPr>
        <w:snapToGrid w:val="0"/>
        <w:spacing w:line="360" w:lineRule="auto"/>
        <w:ind w:firstLine="472" w:firstLineChars="196"/>
        <w:rPr>
          <w:rFonts w:hint="eastAsia" w:ascii="华文仿宋" w:hAnsi="华文仿宋" w:eastAsia="华文仿宋"/>
          <w:b/>
          <w:sz w:val="24"/>
        </w:rPr>
      </w:pPr>
    </w:p>
    <w:p>
      <w:pPr>
        <w:pStyle w:val="2"/>
        <w:rPr>
          <w:rFonts w:hint="eastAsia" w:ascii="华文仿宋" w:hAnsi="华文仿宋" w:eastAsia="华文仿宋"/>
          <w:b/>
          <w:sz w:val="24"/>
        </w:rPr>
      </w:pPr>
    </w:p>
    <w:p>
      <w:pPr>
        <w:pStyle w:val="2"/>
        <w:rPr>
          <w:rFonts w:hint="eastAsia" w:ascii="华文仿宋" w:hAnsi="华文仿宋" w:eastAsia="华文仿宋"/>
          <w:b/>
          <w:sz w:val="24"/>
        </w:rPr>
      </w:pPr>
    </w:p>
    <w:p>
      <w:pPr>
        <w:pStyle w:val="2"/>
        <w:rPr>
          <w:rFonts w:hint="eastAsia" w:ascii="华文仿宋" w:hAnsi="华文仿宋" w:eastAsia="华文仿宋"/>
          <w:b/>
          <w:sz w:val="24"/>
        </w:rPr>
      </w:pPr>
    </w:p>
    <w:p>
      <w:pPr>
        <w:pStyle w:val="90"/>
        <w:snapToGrid w:val="0"/>
        <w:spacing w:line="360" w:lineRule="auto"/>
        <w:ind w:firstLine="1200" w:firstLineChars="500"/>
        <w:rPr>
          <w:rFonts w:hint="eastAsia" w:ascii="华文仿宋" w:hAnsi="华文仿宋" w:eastAsia="华文仿宋"/>
          <w:sz w:val="24"/>
          <w:szCs w:val="24"/>
        </w:rPr>
      </w:pPr>
      <w:r>
        <w:rPr>
          <w:rFonts w:hint="eastAsia" w:ascii="华文仿宋" w:hAnsi="华文仿宋" w:eastAsia="华文仿宋"/>
          <w:sz w:val="24"/>
          <w:szCs w:val="24"/>
          <w:lang w:val="en-US" w:eastAsia="zh-CN"/>
        </w:rPr>
        <w:t xml:space="preserve">      </w:t>
      </w:r>
      <w:r>
        <w:rPr>
          <w:rFonts w:hint="eastAsia" w:ascii="华文仿宋" w:hAnsi="华文仿宋" w:eastAsia="华文仿宋"/>
          <w:sz w:val="24"/>
          <w:szCs w:val="24"/>
        </w:rPr>
        <w:t>仓前街道文一西路以</w:t>
      </w:r>
      <w:r>
        <w:rPr>
          <w:rFonts w:hint="eastAsia" w:ascii="华文仿宋" w:hAnsi="华文仿宋" w:eastAsia="华文仿宋"/>
          <w:sz w:val="24"/>
          <w:szCs w:val="24"/>
          <w:lang w:eastAsia="zh-CN"/>
        </w:rPr>
        <w:t>南</w:t>
      </w:r>
      <w:r>
        <w:rPr>
          <w:rFonts w:hint="eastAsia" w:ascii="华文仿宋" w:hAnsi="华文仿宋" w:eastAsia="华文仿宋"/>
          <w:sz w:val="24"/>
          <w:szCs w:val="24"/>
        </w:rPr>
        <w:t>区块市政养护明细表</w:t>
      </w:r>
    </w:p>
    <w:tbl>
      <w:tblPr>
        <w:tblStyle w:val="64"/>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589"/>
        <w:gridCol w:w="1136"/>
        <w:gridCol w:w="1995"/>
        <w:gridCol w:w="1661"/>
        <w:gridCol w:w="1623"/>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序号 </w:t>
            </w:r>
          </w:p>
        </w:tc>
        <w:tc>
          <w:tcPr>
            <w:tcW w:w="5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养护等级</w:t>
            </w: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道路名</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起止点</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长度(m)</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平均 </w:t>
            </w:r>
          </w:p>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宽度(m)</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道路及人行道面积</w:t>
            </w:r>
            <w:r>
              <w:rPr>
                <w:rFonts w:hint="eastAsia" w:asciiTheme="majorEastAsia" w:hAnsiTheme="majorEastAsia" w:eastAsiaTheme="majorEastAsia" w:cstheme="majorEastAsia"/>
                <w:color w:val="auto"/>
                <w:kern w:val="0"/>
                <w:sz w:val="21"/>
                <w:szCs w:val="21"/>
                <w:highlight w:val="none"/>
              </w:rPr>
              <w:t>(m2)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589" w:type="dxa"/>
            <w:vMerge w:val="restart"/>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二级市政</w:t>
            </w:r>
          </w:p>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养护标准</w:t>
            </w: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舒心路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爱橙街-文二西路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546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创景路</w:t>
            </w:r>
          </w:p>
        </w:tc>
        <w:tc>
          <w:tcPr>
            <w:tcW w:w="199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文一西路-葛巷路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735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Theme="majorEastAsia" w:hAnsiTheme="majorEastAsia" w:eastAsiaTheme="majorEastAsia" w:cstheme="majorEastAsia"/>
                <w:color w:val="auto"/>
                <w:sz w:val="21"/>
                <w:szCs w:val="21"/>
                <w:highlight w:val="none"/>
              </w:rPr>
            </w:pPr>
          </w:p>
        </w:tc>
        <w:tc>
          <w:tcPr>
            <w:tcW w:w="1995"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葛巷路-文二西路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150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景兴路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文一西路-文二西路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966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万和路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1300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29530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颐和路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绿汀路-科凯路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245</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14</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爱橙街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万和路-绿汀路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580</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36</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爱橙街</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绿汀路-良睦路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1944.3</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56384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思凯路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文一西路-葛巷路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671</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18957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葛巷路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绿汀路-思凯路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1691.7</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22</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35794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永兴路</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创明路-闲林港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736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20</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14028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589"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良上线</w:t>
            </w:r>
          </w:p>
        </w:tc>
        <w:tc>
          <w:tcPr>
            <w:tcW w:w="19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文二西路-万和路</w:t>
            </w:r>
          </w:p>
        </w:tc>
        <w:tc>
          <w:tcPr>
            <w:tcW w:w="16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1146</w:t>
            </w:r>
          </w:p>
        </w:tc>
        <w:tc>
          <w:tcPr>
            <w:tcW w:w="1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28</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000000"/>
                <w:kern w:val="0"/>
                <w:sz w:val="20"/>
                <w:szCs w:val="20"/>
                <w:highlight w:val="none"/>
                <w:lang w:bidi="ar"/>
              </w:rPr>
              <w:t>22070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27" w:type="dxa"/>
            <w:gridSpan w:val="6"/>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合计</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auto"/>
                <w:kern w:val="0"/>
                <w:sz w:val="21"/>
                <w:szCs w:val="21"/>
                <w:highlight w:val="none"/>
              </w:rPr>
              <w:t>275581</w:t>
            </w:r>
          </w:p>
        </w:tc>
      </w:tr>
    </w:tbl>
    <w:p>
      <w:pPr>
        <w:spacing w:beforeLines="0" w:afterLines="0"/>
        <w:jc w:val="center"/>
        <w:rPr>
          <w:rFonts w:hint="eastAsia" w:ascii="宋体" w:hAnsi="宋体" w:eastAsia="宋体" w:cs="宋体"/>
          <w:b/>
          <w:color w:val="auto"/>
          <w:kern w:val="0"/>
          <w:sz w:val="30"/>
          <w:szCs w:val="30"/>
          <w:highlight w:val="none"/>
        </w:rPr>
      </w:pPr>
    </w:p>
    <w:p>
      <w:pPr>
        <w:spacing w:beforeLines="0" w:afterLines="0"/>
        <w:jc w:val="center"/>
        <w:rPr>
          <w:rFonts w:hint="eastAsia" w:ascii="宋体" w:hAnsi="宋体" w:eastAsia="宋体" w:cs="宋体"/>
          <w:b/>
          <w:color w:val="auto"/>
          <w:kern w:val="0"/>
          <w:sz w:val="30"/>
          <w:szCs w:val="30"/>
          <w:highlight w:val="none"/>
        </w:rPr>
      </w:pPr>
    </w:p>
    <w:p>
      <w:pPr>
        <w:pStyle w:val="90"/>
        <w:snapToGrid w:val="0"/>
        <w:spacing w:line="360" w:lineRule="auto"/>
        <w:ind w:firstLine="2400" w:firstLineChars="10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仓前街道文一西路以南区块时花明细表</w:t>
      </w:r>
    </w:p>
    <w:tbl>
      <w:tblPr>
        <w:tblStyle w:val="6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4040"/>
        <w:gridCol w:w="973"/>
        <w:gridCol w:w="973"/>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序号</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地址</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名称</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面积m2</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1</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舒心路（爱橙街-文二西路）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49</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2</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创景路（葛巷路-文二西路）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43</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3</w:t>
            </w:r>
          </w:p>
        </w:tc>
        <w:tc>
          <w:tcPr>
            <w:tcW w:w="40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景兴路（文一西路-文二西路）</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花坛</w:t>
            </w:r>
          </w:p>
        </w:tc>
        <w:tc>
          <w:tcPr>
            <w:tcW w:w="9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40</w:t>
            </w:r>
          </w:p>
        </w:tc>
        <w:tc>
          <w:tcPr>
            <w:tcW w:w="2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ajorEastAsia" w:hAnsiTheme="majorEastAsia" w:eastAsiaTheme="majorEastAsia" w:cstheme="majorEastAsia"/>
                <w:color w:val="auto"/>
                <w:kern w:val="0"/>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nil"/>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ajorEastAsia" w:hAnsiTheme="majorEastAsia" w:eastAsiaTheme="majorEastAsia" w:cstheme="majorEastAsia"/>
                <w:color w:val="auto"/>
                <w:kern w:val="0"/>
                <w:sz w:val="21"/>
                <w:highlight w:val="none"/>
              </w:rPr>
            </w:pPr>
            <w:r>
              <w:rPr>
                <w:rFonts w:hint="eastAsia" w:asciiTheme="majorEastAsia" w:hAnsiTheme="majorEastAsia" w:eastAsiaTheme="majorEastAsia" w:cstheme="majorEastAsia"/>
                <w:color w:val="auto"/>
                <w:kern w:val="0"/>
                <w:sz w:val="21"/>
                <w:highlight w:val="none"/>
              </w:rPr>
              <w:t>合计</w:t>
            </w:r>
          </w:p>
        </w:tc>
        <w:tc>
          <w:tcPr>
            <w:tcW w:w="4040" w:type="dxa"/>
            <w:tcBorders>
              <w:top w:val="nil"/>
              <w:left w:val="single" w:color="000000" w:sz="4" w:space="0"/>
              <w:bottom w:val="single" w:color="000000" w:sz="4" w:space="0"/>
              <w:right w:val="single" w:color="000000" w:sz="4" w:space="0"/>
              <w:tl2br w:val="nil"/>
              <w:tr2bl w:val="nil"/>
            </w:tcBorders>
            <w:noWrap w:val="0"/>
            <w:vAlign w:val="center"/>
          </w:tcPr>
          <w:p>
            <w:pPr>
              <w:rPr>
                <w:rFonts w:hint="eastAsia" w:asciiTheme="majorEastAsia" w:hAnsiTheme="majorEastAsia" w:eastAsiaTheme="majorEastAsia" w:cstheme="majorEastAsia"/>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rPr>
                <w:rFonts w:hint="eastAsia" w:asciiTheme="majorEastAsia" w:hAnsiTheme="majorEastAsia" w:eastAsiaTheme="majorEastAsia" w:cstheme="majorEastAsia"/>
                <w:color w:val="auto"/>
                <w:sz w:val="21"/>
                <w:highlight w:val="none"/>
              </w:rPr>
            </w:pPr>
          </w:p>
        </w:tc>
        <w:tc>
          <w:tcPr>
            <w:tcW w:w="973" w:type="dxa"/>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Theme="majorEastAsia" w:hAnsiTheme="majorEastAsia" w:eastAsiaTheme="majorEastAsia" w:cstheme="majorEastAsia"/>
                <w:color w:val="auto"/>
                <w:sz w:val="21"/>
                <w:highlight w:val="none"/>
              </w:rPr>
            </w:pPr>
            <w:r>
              <w:rPr>
                <w:rFonts w:hint="eastAsia" w:asciiTheme="majorEastAsia" w:hAnsiTheme="majorEastAsia" w:eastAsiaTheme="majorEastAsia" w:cstheme="majorEastAsia"/>
                <w:color w:val="auto"/>
                <w:sz w:val="21"/>
                <w:highlight w:val="none"/>
              </w:rPr>
              <w:t>132</w:t>
            </w:r>
          </w:p>
        </w:tc>
        <w:tc>
          <w:tcPr>
            <w:tcW w:w="2380" w:type="dxa"/>
            <w:tcBorders>
              <w:top w:val="nil"/>
              <w:left w:val="single" w:color="000000" w:sz="4" w:space="0"/>
              <w:bottom w:val="single" w:color="000000" w:sz="4" w:space="0"/>
              <w:right w:val="single" w:color="000000" w:sz="4" w:space="0"/>
              <w:tl2br w:val="nil"/>
              <w:tr2bl w:val="nil"/>
            </w:tcBorders>
            <w:noWrap w:val="0"/>
            <w:vAlign w:val="center"/>
          </w:tcPr>
          <w:p>
            <w:pPr>
              <w:rPr>
                <w:rFonts w:hint="eastAsia" w:asciiTheme="majorEastAsia" w:hAnsiTheme="majorEastAsia" w:eastAsiaTheme="majorEastAsia" w:cstheme="majorEastAsia"/>
                <w:color w:val="auto"/>
                <w:sz w:val="21"/>
                <w:highlight w:val="none"/>
              </w:rPr>
            </w:pPr>
          </w:p>
        </w:tc>
      </w:tr>
    </w:tbl>
    <w:p>
      <w:pPr>
        <w:rPr>
          <w:rFonts w:hint="eastAsia"/>
        </w:rPr>
      </w:pPr>
    </w:p>
    <w:p>
      <w:pPr>
        <w:pStyle w:val="6"/>
        <w:rPr>
          <w:rFonts w:hint="eastAsia"/>
        </w:rPr>
      </w:pPr>
    </w:p>
    <w:p>
      <w:pPr>
        <w:rPr>
          <w:rFonts w:hint="eastAsia"/>
        </w:rPr>
      </w:pPr>
    </w:p>
    <w:p>
      <w:pPr>
        <w:pStyle w:val="90"/>
        <w:snapToGrid w:val="0"/>
        <w:spacing w:line="360" w:lineRule="auto"/>
        <w:ind w:firstLine="2160" w:firstLineChars="9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仓前街道文一西路以南区块公厕保洁明细表</w:t>
      </w:r>
    </w:p>
    <w:tbl>
      <w:tblPr>
        <w:tblStyle w:val="64"/>
        <w:tblpPr w:leftFromText="180" w:rightFromText="180" w:vertAnchor="text" w:horzAnchor="page" w:tblpXSpec="center" w:tblpY="259"/>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023"/>
        <w:gridCol w:w="195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序号</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公厕名称</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类别</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时间（</w:t>
            </w:r>
            <w:r>
              <w:rPr>
                <w:rFonts w:hint="eastAsia" w:asciiTheme="majorEastAsia" w:hAnsiTheme="majorEastAsia" w:eastAsiaTheme="majorEastAsia" w:cstheme="majorEastAsia"/>
                <w:color w:val="000000"/>
                <w:kern w:val="0"/>
                <w:sz w:val="20"/>
                <w:szCs w:val="20"/>
                <w:highlight w:val="none"/>
                <w:lang w:eastAsia="zh-CN" w:bidi="ar"/>
              </w:rPr>
              <w:t>年</w:t>
            </w:r>
            <w:r>
              <w:rPr>
                <w:rFonts w:hint="eastAsia" w:asciiTheme="majorEastAsia" w:hAnsiTheme="majorEastAsia" w:eastAsiaTheme="majorEastAsia" w:cstheme="majorEastAsia"/>
                <w:color w:val="000000"/>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1</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何过港二号公厕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eastAsia="zh-CN" w:bidi="ar"/>
              </w:rPr>
            </w:pPr>
            <w:r>
              <w:rPr>
                <w:rFonts w:hint="eastAsia" w:asciiTheme="majorEastAsia" w:hAnsiTheme="majorEastAsia" w:eastAsiaTheme="majorEastAsia" w:cstheme="majorEastAsia"/>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2</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景兴路公厕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eastAsia="zh-CN" w:bidi="ar"/>
              </w:rPr>
            </w:pPr>
            <w:r>
              <w:rPr>
                <w:rFonts w:hint="eastAsia" w:asciiTheme="majorEastAsia" w:hAnsiTheme="majorEastAsia" w:eastAsiaTheme="majorEastAsia" w:cstheme="majorEastAsia"/>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3</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汪桥港公厕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eastAsia="zh-CN" w:bidi="ar"/>
              </w:rPr>
            </w:pPr>
            <w:r>
              <w:rPr>
                <w:rFonts w:hint="eastAsia" w:asciiTheme="majorEastAsia" w:hAnsiTheme="majorEastAsia" w:eastAsiaTheme="majorEastAsia" w:cstheme="majorEastAsia"/>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val="en-US" w:eastAsia="zh-CN" w:bidi="ar"/>
              </w:rPr>
            </w:pPr>
            <w:r>
              <w:rPr>
                <w:rFonts w:hint="eastAsia" w:asciiTheme="majorEastAsia" w:hAnsiTheme="majorEastAsia" w:eastAsiaTheme="majorEastAsia" w:cstheme="majorEastAsia"/>
                <w:color w:val="000000"/>
                <w:kern w:val="0"/>
                <w:sz w:val="20"/>
                <w:szCs w:val="20"/>
                <w:highlight w:val="none"/>
                <w:lang w:val="en-US" w:eastAsia="zh-CN" w:bidi="ar"/>
              </w:rPr>
              <w:t>4</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val="en-US" w:eastAsia="zh-CN" w:bidi="ar"/>
              </w:rPr>
            </w:pPr>
            <w:r>
              <w:rPr>
                <w:rFonts w:hint="eastAsia" w:asciiTheme="majorEastAsia" w:hAnsiTheme="majorEastAsia" w:eastAsiaTheme="majorEastAsia" w:cstheme="majorEastAsia"/>
                <w:color w:val="000000"/>
                <w:kern w:val="0"/>
                <w:sz w:val="20"/>
                <w:szCs w:val="20"/>
                <w:highlight w:val="none"/>
                <w:lang w:val="en-US" w:eastAsia="zh-CN" w:bidi="ar"/>
              </w:rPr>
              <w:t>何过港三号公厕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bidi="ar"/>
              </w:rPr>
            </w:pPr>
            <w:r>
              <w:rPr>
                <w:rFonts w:hint="eastAsia" w:asciiTheme="majorEastAsia" w:hAnsiTheme="majorEastAsia" w:eastAsiaTheme="majorEastAsia" w:cstheme="majorEastAsia"/>
                <w:color w:val="000000"/>
                <w:kern w:val="0"/>
                <w:sz w:val="20"/>
                <w:szCs w:val="20"/>
                <w:highlight w:val="none"/>
                <w:lang w:bidi="ar"/>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Theme="majorEastAsia" w:hAnsiTheme="majorEastAsia" w:eastAsiaTheme="majorEastAsia" w:cstheme="majorEastAsia"/>
                <w:color w:val="000000"/>
                <w:kern w:val="0"/>
                <w:sz w:val="20"/>
                <w:szCs w:val="20"/>
                <w:highlight w:val="none"/>
                <w:lang w:eastAsia="zh-CN" w:bidi="ar"/>
              </w:rPr>
            </w:pPr>
            <w:r>
              <w:rPr>
                <w:rFonts w:hint="eastAsia" w:asciiTheme="majorEastAsia" w:hAnsiTheme="majorEastAsia" w:eastAsiaTheme="majorEastAsia" w:cstheme="majorEastAsia"/>
                <w:color w:val="000000"/>
                <w:kern w:val="0"/>
                <w:sz w:val="20"/>
                <w:szCs w:val="20"/>
                <w:highlight w:val="none"/>
                <w:lang w:val="en-US" w:eastAsia="zh-CN" w:bidi="ar"/>
              </w:rPr>
              <w:t>2</w:t>
            </w:r>
          </w:p>
        </w:tc>
      </w:tr>
    </w:tbl>
    <w:p>
      <w:pPr>
        <w:snapToGrid w:val="0"/>
        <w:spacing w:line="360" w:lineRule="auto"/>
        <w:ind w:firstLine="472" w:firstLineChars="196"/>
        <w:rPr>
          <w:rFonts w:hint="eastAsia" w:ascii="华文仿宋" w:hAnsi="华文仿宋" w:eastAsia="华文仿宋"/>
          <w:b/>
          <w:sz w:val="24"/>
        </w:rPr>
      </w:pPr>
    </w:p>
    <w:p>
      <w:pPr>
        <w:pStyle w:val="2"/>
        <w:rPr>
          <w:rFonts w:hint="eastAsia" w:ascii="华文仿宋" w:hAnsi="华文仿宋" w:eastAsia="华文仿宋"/>
          <w:b/>
          <w:sz w:val="24"/>
        </w:rPr>
      </w:pPr>
    </w:p>
    <w:p>
      <w:pPr>
        <w:pStyle w:val="2"/>
        <w:rPr>
          <w:rFonts w:hint="eastAsia" w:ascii="华文仿宋" w:hAnsi="华文仿宋" w:eastAsia="华文仿宋"/>
          <w:b/>
          <w:sz w:val="24"/>
        </w:rPr>
      </w:pPr>
    </w:p>
    <w:p>
      <w:pPr>
        <w:pStyle w:val="2"/>
        <w:rPr>
          <w:rFonts w:hint="eastAsia" w:ascii="华文仿宋" w:hAnsi="华文仿宋" w:eastAsia="华文仿宋"/>
          <w:b/>
          <w:sz w:val="24"/>
        </w:rPr>
      </w:pPr>
    </w:p>
    <w:p>
      <w:pPr>
        <w:snapToGrid w:val="0"/>
        <w:spacing w:line="360" w:lineRule="auto"/>
        <w:ind w:firstLine="472" w:firstLineChars="196"/>
        <w:rPr>
          <w:rFonts w:ascii="华文仿宋" w:hAnsi="华文仿宋" w:eastAsia="华文仿宋"/>
          <w:b/>
          <w:sz w:val="24"/>
        </w:rPr>
      </w:pPr>
      <w:r>
        <w:rPr>
          <w:rFonts w:hint="eastAsia" w:ascii="华文仿宋" w:hAnsi="华文仿宋" w:eastAsia="华文仿宋"/>
          <w:b/>
          <w:sz w:val="24"/>
        </w:rPr>
        <w:t>2.项目范围：</w:t>
      </w:r>
    </w:p>
    <w:p>
      <w:pPr>
        <w:pStyle w:val="90"/>
        <w:snapToGrid w:val="0"/>
        <w:spacing w:line="360" w:lineRule="auto"/>
        <w:ind w:firstLine="480" w:firstLineChars="200"/>
        <w:rPr>
          <w:rFonts w:hint="eastAsia" w:ascii="华文仿宋" w:hAnsi="华文仿宋" w:eastAsia="华文仿宋"/>
          <w:bCs/>
          <w:sz w:val="24"/>
          <w:szCs w:val="24"/>
          <w:shd w:val="clear" w:color="auto" w:fill="FFFFFF"/>
          <w:lang w:val="en-US" w:eastAsia="zh-CN"/>
        </w:rPr>
      </w:pPr>
      <w:r>
        <w:rPr>
          <w:rFonts w:hint="eastAsia" w:ascii="华文仿宋" w:hAnsi="华文仿宋" w:eastAsia="华文仿宋"/>
          <w:bCs/>
          <w:sz w:val="24"/>
          <w:szCs w:val="24"/>
          <w:shd w:val="clear" w:color="auto" w:fill="FFFFFF"/>
          <w:lang w:val="en-US" w:eastAsia="zh-CN"/>
        </w:rPr>
        <w:t>本项目服务范围以文一西路以南区块，北至文一西路（不含道路）西至上仓路（含道路）南至文二西路（不含道路）东至良睦路（不含道路），该区块绿化面积13838平方米，道路及人行道保洁面积275581平方米，道路及人行道养护面积275581平方米，时花种植132平方米，标准公厕 4座。</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二、项目技术规范和服务要求</w:t>
      </w:r>
    </w:p>
    <w:p>
      <w:pPr>
        <w:pStyle w:val="90"/>
        <w:snapToGrid w:val="0"/>
        <w:spacing w:line="360" w:lineRule="auto"/>
        <w:ind w:firstLine="480" w:firstLineChars="200"/>
        <w:rPr>
          <w:rFonts w:hint="eastAsia" w:ascii="华文仿宋" w:hAnsi="华文仿宋" w:eastAsia="华文仿宋" w:cs="Times New Roman"/>
          <w:sz w:val="24"/>
          <w:szCs w:val="24"/>
          <w:lang w:val="en-US" w:eastAsia="zh-CN"/>
        </w:rPr>
      </w:pPr>
      <w:r>
        <w:rPr>
          <w:rFonts w:hint="eastAsia" w:ascii="华文仿宋" w:hAnsi="华文仿宋" w:eastAsia="华文仿宋"/>
          <w:sz w:val="24"/>
          <w:szCs w:val="24"/>
        </w:rPr>
        <w:t>1.</w:t>
      </w:r>
      <w:r>
        <w:rPr>
          <w:rFonts w:hint="eastAsia" w:ascii="华文仿宋" w:hAnsi="华文仿宋" w:eastAsia="华文仿宋" w:cs="Times New Roman"/>
          <w:sz w:val="24"/>
          <w:szCs w:val="24"/>
          <w:lang w:val="en-US" w:eastAsia="zh-CN"/>
        </w:rPr>
        <w:t xml:space="preserve">《杭州市城区绿地养护质量标准》（杭园文[2003]42号）、《余杭区城市化管理范围内市政、绿化、保洁、保序分级分类及考核办法（试行）的通知》（余政办[2013]76号）及杭州市现行城市绿地养护质量标准等文件中规定的作业标准。      </w:t>
      </w:r>
    </w:p>
    <w:p>
      <w:pPr>
        <w:pStyle w:val="90"/>
        <w:snapToGrid w:val="0"/>
        <w:spacing w:line="360" w:lineRule="auto"/>
        <w:ind w:firstLine="480" w:firstLineChars="200"/>
        <w:rPr>
          <w:rFonts w:hint="eastAsia" w:ascii="华文仿宋" w:hAnsi="华文仿宋" w:eastAsia="华文仿宋" w:cs="Times New Roman"/>
          <w:sz w:val="24"/>
          <w:szCs w:val="24"/>
        </w:rPr>
      </w:pPr>
      <w:r>
        <w:rPr>
          <w:rFonts w:hint="eastAsia" w:ascii="华文仿宋" w:hAnsi="华文仿宋" w:eastAsia="华文仿宋" w:cs="Times New Roman"/>
          <w:sz w:val="24"/>
          <w:szCs w:val="24"/>
          <w:lang w:val="en-US" w:eastAsia="zh-CN"/>
        </w:rPr>
        <w:t>2.</w:t>
      </w:r>
      <w:r>
        <w:rPr>
          <w:rFonts w:hint="eastAsia" w:ascii="华文仿宋" w:hAnsi="华文仿宋" w:eastAsia="华文仿宋" w:cs="Times New Roman"/>
          <w:sz w:val="24"/>
          <w:szCs w:val="24"/>
        </w:rPr>
        <w:t>《杭城管局[2019]49号文件所附《杭州市清洁度评价实施办法（2019年度）》、杭城管局[2021]138号《关于发布2021年版杭州市道路保洁经费定额的通知》等执行。</w:t>
      </w:r>
    </w:p>
    <w:p>
      <w:pPr>
        <w:pStyle w:val="90"/>
        <w:snapToGrid w:val="0"/>
        <w:spacing w:line="360" w:lineRule="auto"/>
        <w:ind w:firstLine="482" w:firstLineChars="200"/>
        <w:rPr>
          <w:rFonts w:ascii="华文仿宋" w:hAnsi="华文仿宋" w:eastAsia="华文仿宋"/>
          <w:b/>
          <w:bCs/>
          <w:sz w:val="24"/>
          <w:szCs w:val="24"/>
        </w:rPr>
      </w:pPr>
      <w:r>
        <w:rPr>
          <w:rFonts w:hint="eastAsia" w:ascii="华文仿宋" w:hAnsi="华文仿宋" w:eastAsia="华文仿宋"/>
          <w:b/>
          <w:bCs/>
          <w:sz w:val="24"/>
          <w:szCs w:val="24"/>
          <w:lang w:val="en-US" w:eastAsia="zh-CN"/>
        </w:rPr>
        <w:t>3</w:t>
      </w:r>
      <w:r>
        <w:rPr>
          <w:rFonts w:hint="eastAsia" w:ascii="华文仿宋" w:hAnsi="华文仿宋" w:eastAsia="华文仿宋"/>
          <w:b/>
          <w:bCs/>
          <w:sz w:val="24"/>
          <w:szCs w:val="24"/>
        </w:rPr>
        <w:t>.</w:t>
      </w:r>
      <w:r>
        <w:rPr>
          <w:rFonts w:hint="eastAsia" w:ascii="华文仿宋" w:hAnsi="华文仿宋" w:eastAsia="华文仿宋"/>
          <w:b/>
          <w:bCs/>
          <w:sz w:val="24"/>
          <w:szCs w:val="24"/>
          <w:lang w:val="en-US" w:eastAsia="zh-CN"/>
        </w:rPr>
        <w:t>道路保洁</w:t>
      </w:r>
      <w:r>
        <w:rPr>
          <w:rFonts w:hint="eastAsia" w:ascii="华文仿宋" w:hAnsi="华文仿宋" w:eastAsia="华文仿宋"/>
          <w:b/>
          <w:bCs/>
          <w:sz w:val="24"/>
          <w:szCs w:val="24"/>
        </w:rPr>
        <w:t>作业内容：</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3.1、道路保洁相关要求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1.1本项目</w:t>
      </w:r>
      <w:r>
        <w:rPr>
          <w:rFonts w:hint="eastAsia" w:ascii="华文仿宋" w:hAnsi="华文仿宋" w:eastAsia="华文仿宋"/>
          <w:sz w:val="24"/>
          <w:szCs w:val="24"/>
          <w:lang w:val="zh-CN"/>
        </w:rPr>
        <w:t>人员要求</w:t>
      </w:r>
      <w:r>
        <w:rPr>
          <w:rFonts w:hint="eastAsia" w:ascii="华文仿宋" w:hAnsi="华文仿宋" w:eastAsia="华文仿宋"/>
          <w:sz w:val="24"/>
          <w:szCs w:val="24"/>
        </w:rPr>
        <w:t>须符合专职人员基本岗位数量要求</w:t>
      </w:r>
      <w:r>
        <w:rPr>
          <w:rFonts w:hint="eastAsia" w:ascii="华文仿宋" w:hAnsi="华文仿宋" w:eastAsia="华文仿宋"/>
          <w:sz w:val="24"/>
          <w:szCs w:val="24"/>
          <w:lang w:val="zh-CN"/>
        </w:rPr>
        <w:t>。</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.1.2除项目负责人和专职保洁人员以外，供应商应根据项目保洁的实际需要配备管理人员、机械车辆驾驶人员、机修人员等，所需费用应考虑在投标总价中。</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.1.3保洁人员在岗要求男性年龄在60周岁以下</w:t>
      </w:r>
      <w:r>
        <w:rPr>
          <w:rFonts w:hint="eastAsia" w:ascii="华文仿宋" w:hAnsi="华文仿宋" w:eastAsia="华文仿宋"/>
          <w:sz w:val="24"/>
          <w:szCs w:val="24"/>
          <w:lang w:val="zh-CN"/>
        </w:rPr>
        <w:t>，女性年龄在55周岁以下，并按采购人要求完成智慧化管理措施、设施配备。大型活动、节假日、新作业方式调整或未达到管理标准等情况下</w:t>
      </w:r>
      <w:r>
        <w:rPr>
          <w:rFonts w:hint="eastAsia" w:ascii="华文仿宋" w:hAnsi="华文仿宋" w:eastAsia="华文仿宋"/>
          <w:sz w:val="24"/>
          <w:szCs w:val="24"/>
        </w:rPr>
        <w:t>应根据实际情况或采购人要求增派保洁人员、保洁设备，以确保清卫保洁质量，</w:t>
      </w:r>
      <w:r>
        <w:rPr>
          <w:rFonts w:hint="eastAsia" w:ascii="华文仿宋" w:hAnsi="华文仿宋" w:eastAsia="华文仿宋"/>
          <w:sz w:val="24"/>
          <w:szCs w:val="24"/>
          <w:lang w:val="zh-CN"/>
        </w:rPr>
        <w:t>增</w:t>
      </w:r>
      <w:r>
        <w:rPr>
          <w:rFonts w:hint="eastAsia" w:ascii="华文仿宋" w:hAnsi="华文仿宋" w:eastAsia="华文仿宋"/>
          <w:sz w:val="24"/>
          <w:szCs w:val="24"/>
        </w:rPr>
        <w:t>派人员和设备的费用应考虑在投标总报价中。</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.1.4鼓励供应商根据杭州市劳动和社会保障局、杭州市财政局“关于印发《市区“三类岗位”开发管理办法》的通知”及区政府等相关文件要求，鼓励中标供应商招聘失地失业人员参与本项目服务。</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.1.5人员用工必须符合《中华人民共和国劳动民法典》等法规的相关规定，如因违法、违规并造成不良后果的，其责任由供应商自行承担。</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.1.6 作业车辆、作业时间应符合属地交警部门要求，并按要求进行报备后实施。</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.1.7 供应商提供的设施设备，根据采购人要求统一外观，标识。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.2保洁服务内容</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.2.1本项目涵盖采购文件第三部分采购需求项目概况及要求清单中所有道路的清扫运输、垃圾收集运输、偷倒垃圾清运等服务内容。</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2.2本项目道路中间绿化带含在道路保洁范围内，及道路两侧人行道外建筑物基石边或无建筑物外可视范围内（不少于3米）均包含在保洁范围内。</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.2.3本项目涵盖地铁站（如有）出入口台阶以下周边范围的保洁含在道路保洁范围内。</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.2.4本项目道路所附属的铁路下穿涵洞（如有）、果壳箱、交通隔离栏、路灯杆（2.2米以下部分）、交通信号杆（2.2米以下部分）均属于本项目保洁范围。</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.2.5牛皮癣清理：范围内道路、围墙、道路沿线设施（含一层建筑立面）等区域的“乱涂”、“乱张贴”等牛皮癣日常清理均属于本项目保洁范围。</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.3保洁基本要求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eastAsia="zh-CN"/>
        </w:rPr>
        <w:t>二</w:t>
      </w:r>
      <w:r>
        <w:rPr>
          <w:rFonts w:hint="eastAsia" w:ascii="华文仿宋" w:hAnsi="华文仿宋" w:eastAsia="华文仿宋"/>
          <w:sz w:val="24"/>
          <w:szCs w:val="24"/>
        </w:rPr>
        <w:t>级道路</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3.3.1.1保洁时长: 18小时(4:30-22: 30)。</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3.3.1.2快车道保洁:洒水6次1日;高压冲洗2次/日;洗扫吸三合一作业2次/日，普通机扫1次/日，要求单向两边侧石、隔高栏底下全部覆盖。</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3.3.1.3慢车道和人行道保洁:日常普扫吹风机搭配小型慢车道清扫车作业2次/日:洗、扫、吸一体清洗作业2天1次。</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3.3.1.4空气抑尘:配置空气抑尘设备，每天1次洒水、抑尘。</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3.3.1.5城市家具:全覆盖擦洗2天1次。</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3.3.1.6小广告清除:配备高压冲洗设备，每天清除小广告。</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3.3.1.7道路栏杆:配备栏杆清洗车，每周清洗一次。</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3.3.1.8绿化带检拾:配置小型设备，人工配合，每天1次。</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9</w:t>
      </w:r>
      <w:r>
        <w:rPr>
          <w:rFonts w:hint="eastAsia" w:ascii="华文仿宋" w:hAnsi="华文仿宋" w:eastAsia="华文仿宋"/>
          <w:sz w:val="24"/>
          <w:szCs w:val="24"/>
        </w:rPr>
        <w:t>应做到文明、清洁、安全和有序，最大限度地减少对环境的污染和对公众生活的影响。</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10</w:t>
      </w:r>
      <w:r>
        <w:rPr>
          <w:rFonts w:hint="eastAsia" w:ascii="华文仿宋" w:hAnsi="华文仿宋" w:eastAsia="华文仿宋"/>
          <w:sz w:val="24"/>
          <w:szCs w:val="24"/>
        </w:rPr>
        <w:t>合理安排作业计划。清晨或深夜在居民住宅小区或周边道路进行环卫作业时，不得大声喧哗，并应注意控制机具噪音。组织机械化清扫、洒水、清洗作业应避开交通高峰时段（7：00—9：00，16：30—18：30）。</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.3.1.1</w:t>
      </w:r>
      <w:r>
        <w:rPr>
          <w:rFonts w:hint="eastAsia" w:ascii="华文仿宋" w:hAnsi="华文仿宋" w:eastAsia="华文仿宋"/>
          <w:sz w:val="24"/>
          <w:szCs w:val="24"/>
          <w:lang w:val="en-US" w:eastAsia="zh-CN"/>
        </w:rPr>
        <w:t>1</w:t>
      </w:r>
      <w:r>
        <w:rPr>
          <w:rFonts w:hint="eastAsia" w:ascii="华文仿宋" w:hAnsi="华文仿宋" w:eastAsia="华文仿宋"/>
          <w:sz w:val="24"/>
          <w:szCs w:val="24"/>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.3.1.1</w:t>
      </w:r>
      <w:r>
        <w:rPr>
          <w:rFonts w:hint="eastAsia" w:ascii="华文仿宋" w:hAnsi="华文仿宋" w:eastAsia="华文仿宋"/>
          <w:sz w:val="24"/>
          <w:szCs w:val="24"/>
          <w:lang w:val="en-US" w:eastAsia="zh-CN"/>
        </w:rPr>
        <w:t>2</w:t>
      </w:r>
      <w:r>
        <w:rPr>
          <w:rFonts w:hint="eastAsia" w:ascii="华文仿宋" w:hAnsi="华文仿宋" w:eastAsia="华文仿宋"/>
          <w:sz w:val="24"/>
          <w:szCs w:val="24"/>
        </w:rPr>
        <w:t>日常保洁时间内保洁单位需确保保洁范围干净，如有无主垃圾或其它垃圾，应加强监管，及时劝导并清理干净。</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13</w:t>
      </w:r>
      <w:r>
        <w:rPr>
          <w:rFonts w:hint="eastAsia" w:ascii="华文仿宋" w:hAnsi="华文仿宋" w:eastAsia="华文仿宋"/>
          <w:sz w:val="24"/>
          <w:szCs w:val="24"/>
        </w:rPr>
        <w:t>每辆环卫专用车辆应有GPS装置（并实现可视化），如GPS装置故障后应及时报修。GPS或定位系统以及为本项目服务提供的智慧环卫等相关费用均由中标单位承担，同时需纳入城管智慧平台，采购人不另支付任何费用。</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.3.1.1</w:t>
      </w: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人工辅助清扫、清洗机动车道、非机动车道或清洗机动车道交通隔离栏时，应在距清扫点来车方向100M处设置警示标识，使用荧光锥形筒等警示标识围护清扫保洁区域，面向来车方向清扫，注意车辆动态。</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.3.1.1</w:t>
      </w:r>
      <w:r>
        <w:rPr>
          <w:rFonts w:hint="eastAsia" w:ascii="华文仿宋" w:hAnsi="华文仿宋" w:eastAsia="华文仿宋"/>
          <w:sz w:val="24"/>
          <w:szCs w:val="24"/>
          <w:lang w:val="en-US" w:eastAsia="zh-CN"/>
        </w:rPr>
        <w:t>5</w:t>
      </w:r>
      <w:r>
        <w:rPr>
          <w:rFonts w:hint="eastAsia" w:ascii="华文仿宋" w:hAnsi="华文仿宋" w:eastAsia="华文仿宋"/>
          <w:sz w:val="24"/>
          <w:szCs w:val="24"/>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16</w:t>
      </w:r>
      <w:r>
        <w:rPr>
          <w:rFonts w:hint="eastAsia" w:ascii="华文仿宋" w:hAnsi="华文仿宋" w:eastAsia="华文仿宋"/>
          <w:sz w:val="24"/>
          <w:szCs w:val="24"/>
        </w:rPr>
        <w:t>本项目环卫作业车辆须有固定场所停放，严禁停放在消防通道、公交车站、盲道等影响车辆和行人通行的公共通道。</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.3.1.</w:t>
      </w:r>
      <w:r>
        <w:rPr>
          <w:rFonts w:hint="eastAsia" w:ascii="华文仿宋" w:hAnsi="华文仿宋" w:eastAsia="华文仿宋"/>
          <w:sz w:val="24"/>
          <w:szCs w:val="24"/>
          <w:lang w:val="en-US" w:eastAsia="zh-CN"/>
        </w:rPr>
        <w:t>17</w:t>
      </w:r>
      <w:r>
        <w:rPr>
          <w:rFonts w:hint="eastAsia" w:ascii="华文仿宋" w:hAnsi="华文仿宋" w:eastAsia="华文仿宋"/>
          <w:sz w:val="24"/>
          <w:szCs w:val="24"/>
        </w:rPr>
        <w:t>承诺能及时提供人力、设备、技术等支持。</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 xml:space="preserve">.4保洁作业规范 </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.4.1道路普扫次数和时间</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.4.1.1</w:t>
      </w:r>
      <w:r>
        <w:rPr>
          <w:rFonts w:hint="eastAsia" w:ascii="华文仿宋" w:hAnsi="华文仿宋" w:eastAsia="华文仿宋"/>
          <w:sz w:val="24"/>
          <w:szCs w:val="24"/>
          <w:lang w:eastAsia="zh-CN"/>
        </w:rPr>
        <w:t>二</w:t>
      </w:r>
      <w:r>
        <w:rPr>
          <w:rFonts w:hint="eastAsia" w:ascii="华文仿宋" w:hAnsi="华文仿宋" w:eastAsia="华文仿宋"/>
          <w:sz w:val="24"/>
          <w:szCs w:val="24"/>
        </w:rPr>
        <w:t>级道路普扫作业每日不少于</w:t>
      </w:r>
      <w:r>
        <w:rPr>
          <w:rFonts w:hint="eastAsia" w:ascii="华文仿宋" w:hAnsi="华文仿宋" w:eastAsia="华文仿宋"/>
          <w:sz w:val="24"/>
          <w:szCs w:val="24"/>
          <w:lang w:val="en-US" w:eastAsia="zh-CN"/>
        </w:rPr>
        <w:t>1</w:t>
      </w:r>
      <w:r>
        <w:rPr>
          <w:rFonts w:hint="eastAsia" w:ascii="华文仿宋" w:hAnsi="华文仿宋" w:eastAsia="华文仿宋"/>
          <w:sz w:val="24"/>
          <w:szCs w:val="24"/>
        </w:rPr>
        <w:t>次。夏季（6月—8月）第一次普扫应在6：30前完成，春、秋、冬季（9月—次年5月）在7：00前完成；</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 xml:space="preserve">4.1.2应根据重大活动保障、落叶旺季等因素适时增加每日普扫频次。 </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4.2洒水（清洗）</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.4.2.1</w:t>
      </w:r>
      <w:r>
        <w:rPr>
          <w:rFonts w:hint="eastAsia" w:ascii="华文仿宋" w:hAnsi="华文仿宋" w:eastAsia="华文仿宋"/>
          <w:sz w:val="24"/>
          <w:szCs w:val="24"/>
          <w:lang w:eastAsia="zh-CN"/>
        </w:rPr>
        <w:t>二</w:t>
      </w:r>
      <w:r>
        <w:rPr>
          <w:rFonts w:hint="eastAsia" w:ascii="华文仿宋" w:hAnsi="华文仿宋" w:eastAsia="华文仿宋"/>
          <w:sz w:val="24"/>
          <w:szCs w:val="24"/>
        </w:rPr>
        <w:t>级道路作业每日不少于6次，洒水时，洒水车车速不得超过25km/h；清洗时，高压清洗车车速不得超过10km/h；机械化清扫作业。</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.4.2.2洒水时，应调整好洒水车水压和水幅，保持车行道全路段路面湿润。途经地铁站、公交站、人行横道等人流量集中的地点应注意放慢车速，避让行人，调整启闭装置，避免将水洒到行人身上。</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.4.2.3晚22时以后，洒水作业时禁止播放洒水提示音乐。中、高考等重要考试期间，洒水车途经考场周边道路时应及时关闭洒水提示音乐，夏季中午时间（12时-14时）适当降低洒水提示音量。</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.4.2.4小雨及以下雨量时，按计划保持洒水作业；中雨及以上雨量或雷阵雨期间，暂停道路洒水和清洗作业。</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.4.2.5春秋季（3月—5月、9月—11月），每日道路洒水频次作为基准遍次，即</w:t>
      </w:r>
      <w:r>
        <w:rPr>
          <w:rFonts w:hint="eastAsia" w:ascii="华文仿宋" w:hAnsi="华文仿宋" w:eastAsia="华文仿宋"/>
          <w:sz w:val="24"/>
          <w:szCs w:val="24"/>
          <w:lang w:eastAsia="zh-CN"/>
        </w:rPr>
        <w:t>二</w:t>
      </w:r>
      <w:r>
        <w:rPr>
          <w:rFonts w:hint="eastAsia" w:ascii="华文仿宋" w:hAnsi="华文仿宋" w:eastAsia="华文仿宋"/>
          <w:sz w:val="24"/>
          <w:szCs w:val="24"/>
        </w:rPr>
        <w:t>级道路每日</w:t>
      </w:r>
      <w:r>
        <w:rPr>
          <w:rFonts w:hint="eastAsia" w:ascii="华文仿宋" w:hAnsi="华文仿宋" w:eastAsia="华文仿宋"/>
          <w:sz w:val="24"/>
          <w:szCs w:val="24"/>
          <w:lang w:val="en-US" w:eastAsia="zh-CN"/>
        </w:rPr>
        <w:t>6</w:t>
      </w:r>
      <w:r>
        <w:rPr>
          <w:rFonts w:hint="eastAsia" w:ascii="华文仿宋" w:hAnsi="华文仿宋" w:eastAsia="华文仿宋"/>
          <w:sz w:val="24"/>
          <w:szCs w:val="24"/>
        </w:rPr>
        <w:t>次；夏季（6月—8月），在基准频次上每日分别增加1次；冬季（12月—2月），在基准频次上每日分别减少1次。</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.4.2.6气温低于2摄氏度时应停止清洗和洒水。</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.4.2.7根据清雪作业应急保障需要，可使用洒水车、清洗车冲刷路面积雪，并使用清雪车、扫路车等专业车辆或人工辅助，及时清除路面积水、积雪。</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.4.3机械化清扫</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.4.3.1机械化清扫范围主要为机动车道，及便于使用机械化装备清洁机动车道的交通隔离栏。</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.4.3.2清扫车或洗扫车应加足水，根据路面状况调整好扫路车侧刷和吸口，喷雾洁扫无扬尘，在规定时间和路线进行机械化清扫作业。</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.4.3.3机械化清扫作业时，扫路车或洗扫车车速不得超过10km/h。</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.4.3.4清扫时应注意观察路面清扫质量和路面障碍情况，对机械化清扫不能清除的大件垃圾或硬物，在确保作业安全的前提下，及时下车清除。</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.4.3.5当日清扫结束后，应在指定地点卸空机械化清扫车辆中的垃圾。</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.4.3.6机械化清扫车辆所用的扫把丝等消耗品应根据使用状况及时更换。</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.4.4人工普扫</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.4.4.1清扫时，在距清扫点适当位置安全警示标识。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.4.4.3清扫的街面垃圾、沿街果壳箱中的垃圾应密闭化运至指定地点，运输过程不得抛洒滴漏。</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.4.5人工保洁</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.4.5.1普扫结束后，应按照规定的责任保洁区域、保洁时间组织巡回保洁。落实责任保洁区域边界管理，保洁时应向保洁边界以外适当延伸（不少于3米），不留保洁盲区和空白点。</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.4.5.2应定时清运沿街果壳箱中的垃圾，做到垃圾不落地、不积存，日产日清。</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.4.5.3突发性环境卫生污染现场清理时，应严格按照应急处置方案进行保洁，及时消除污染物，恢复路面清洁。</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.4.5.4环卫电动专用作业车辆应在非机动车道顺向行驶，不得超载，且行驶速度不得超过20Km/h。</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.4.5.5保洁作业结束后，作业工具应在规定地点摆放，不得在道路路面、墙角、绿化带、绿地中存放。</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.5保洁作业质量要求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5.1清扫应做到“五无五净”。即无垃圾杂物；无积水积泥，无痰迹烟蒂，无果皮纸屑，无土石杂草；路面干净，绿化带和树圈干净，边角侧石干净，雨水井盖沟眼畅通干净，果壳箱等环卫设施干净、路面见本色。</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5.2三化四分相关要求：本项目的供应商应按照杭州市垃圾分类工作的具体要求，确定生活垃圾分类（易腐垃圾、其他垃圾、可回收物、有害垃圾），并完成保洁范围内四类垃圾的分类、收集以及垃圾的清运工作。</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 xml:space="preserve">.5.3其他要求：   </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 xml:space="preserve">（1）遇有窨井盖丢失、破损等，承包方必须及时上报采购人。  </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 xml:space="preserve">（2）遇有重大活动或突发事件，及时组织力量做好清扫保洁保障工作。   </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（3）遇有重大活动以及抗台、抗雪等突发事件，必须及时组织力量做好清扫保洁等应急保障工作，按照城市管理保障应急机制要求，保证人员及时到位，并根据应急指令服从统一调配。</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.6.管理要求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.6.1供应商在保洁作业中投入的机械设备、人员配置等必须与投标文件中所承诺的数量规格相符合。加强日常作业质量管理，相关计划及报告按采购人要求准时递交。</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.6.2规范管理、文明作业、自觉接受采购人及其上级各部门领导的检查和社会监督，对出现的问题要及时整改。</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6.3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.6.4果壳箱应定期保养保持整洁完好无缺失，承包期间因操作或管理不善造成破损、缺失的，由中标单位承担费用并负责修复或更新（果壳箱更换款式应保持原样，或经采购人同意后调整款式）。</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.6.5专用作业车辆（含人力三轮车）符合环卫标准化管理要求，外观喷漆及规格符合采购人要求，机动、人力车辆应按时冲洗保养保持外观整洁，无抛洒滴漏、无满溢、无吊挂。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.6.6垃圾应倾倒在指定的垃圾堆放场地，不得焚烧垃圾、树叶，确需垃圾二次转运的应在指定地点进行，不得直接在保洁道路上进行。</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 xml:space="preserve">.6.7如遇渣土抛洒污染路面等情况，中标单位应及时上报采购人，并做好照片资料，同时进行道路冲洗清理。   </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.6.8无新闻媒体曝光，对“12345”市长公开电话和有关受理中心及信访处相关问题，处理、回复及时到位。加强管理，确保在国家、省、市、区的各项检查中不失责任分。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3..7</w:t>
      </w:r>
      <w:r>
        <w:rPr>
          <w:rFonts w:hint="eastAsia" w:ascii="华文仿宋" w:hAnsi="华文仿宋" w:eastAsia="华文仿宋"/>
          <w:sz w:val="24"/>
          <w:szCs w:val="24"/>
        </w:rPr>
        <w:t>、偷倒垃圾清运要求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1服务内容：主要为本项目采购人管养范围内偷倒的垃圾清运工作，垃圾运至</w:t>
      </w:r>
      <w:r>
        <w:rPr>
          <w:rFonts w:hint="eastAsia" w:ascii="华文仿宋" w:hAnsi="华文仿宋" w:eastAsia="华文仿宋"/>
          <w:sz w:val="24"/>
          <w:szCs w:val="24"/>
          <w:lang w:eastAsia="zh-CN"/>
        </w:rPr>
        <w:t>仓前街道指</w:t>
      </w:r>
      <w:r>
        <w:rPr>
          <w:rFonts w:hint="eastAsia" w:ascii="华文仿宋" w:hAnsi="华文仿宋" w:eastAsia="华文仿宋"/>
          <w:sz w:val="24"/>
          <w:szCs w:val="24"/>
        </w:rPr>
        <w:t>定的消纳处置场所，相关费包含在本次招标内容中。</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2具体要求：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在服务期内，供应商应加强所承包范围内防止垃圾偷倒的管理工作。如在所承包范围内发生偷倒，需完成偷倒的垃圾清运工作，垃圾的装车、运输至消纳处置场，因乱倒垃圾不符合相关要求所引发的问题，由供应商承担所有责任及赔偿费用。</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（2）车辆要求：本项目所需的作业车辆应具有有效的道路运输经营许可证，并到采购单位备案。</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（3）装运时必须密封整洁，不得沿路抛撒、滴漏。遵守环境卫生作业标准、规范，装运后及时复位，清理作业场地，保持场地周边环境干净整洁；装运时须铺设地垫等设施，防止污染路面，做到车走地净。</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（4）清理的时间要求：2小时之内清理。</w:t>
      </w:r>
    </w:p>
    <w:p>
      <w:pPr>
        <w:pStyle w:val="90"/>
        <w:snapToGrid w:val="0"/>
        <w:spacing w:line="360" w:lineRule="auto"/>
        <w:rPr>
          <w:rFonts w:hint="eastAsia" w:ascii="华文仿宋" w:hAnsi="华文仿宋" w:eastAsia="华文仿宋" w:cs="Times New Roman"/>
          <w:b/>
          <w:bCs/>
          <w:sz w:val="24"/>
          <w:szCs w:val="24"/>
        </w:rPr>
      </w:pPr>
      <w:r>
        <w:rPr>
          <w:rFonts w:hint="eastAsia" w:ascii="华文仿宋" w:hAnsi="华文仿宋" w:eastAsia="华文仿宋" w:cs="Times New Roman"/>
          <w:b/>
          <w:bCs/>
          <w:sz w:val="24"/>
          <w:szCs w:val="24"/>
          <w:lang w:val="en-US" w:eastAsia="zh-CN"/>
        </w:rPr>
        <w:t>4</w:t>
      </w:r>
      <w:r>
        <w:rPr>
          <w:rFonts w:hint="eastAsia" w:ascii="华文仿宋" w:hAnsi="华文仿宋" w:eastAsia="华文仿宋" w:cs="Times New Roman"/>
          <w:b/>
          <w:bCs/>
          <w:sz w:val="24"/>
          <w:szCs w:val="24"/>
        </w:rPr>
        <w:t>、绿化养护质量服务标准：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.1.道路绿化带养护标准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总体标准：指道路绿化带养护的整体质量，内容有养护质量、树木存活率、设施维护、土肥标准、病虫害防治标准及管理标准。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.1.1.植物养护标准：按道路绿化带的立地条件，对植物进行特殊养护、精心养护，使植物健康生长，具有良好的道路景观。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1.2.树木种植成活率标准：当年新栽植物成活率达95%以上，保存率98%以上，无缺株、死株。</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1.3.土肥标准：土壤疏松，无积水，种植土低于容器（或侧石）上沿5cm；充分利用有机肥，也可用复合肥，增强土壤肥力（要求一年施肥二次，有机肥或复合肥总量不少于0.5kg／㎡），其理化性状应符合下列规定：ph值为6.7—7.5之间；石砾粒径≤5cm（高架挂箱石砾粒径≤2cm），含量≤8%（w/w）；有机质含量≥25g/kg。</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.1.4.病虫害防治标准：提倡综合防治，病虫害应控制在以不影响观赏效果的危害程度之内。</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.1.5.道路绿化带的具体养管标准。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（1）道路绿化带景观要求。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（2）采用修剪等特殊手法，控制植物高度，植物高度不得影响交通视线。</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（3）特殊地段的景观应按设计精心养护，形成有特色的植物景观。整形植物必须及时修剪保持形态，悬垂植物生长健壮，及时通过修剪去除枯死枝和调整高度及生长密度，整体效果良好。</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（4）花卉花期整齐，株行距适宜，无空秃、色彩效果好。</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（5）绿带必须无裸地，可种植地被植物或草坪。</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（6）绿带内无枯枝残叶、无杂草，整洁无垃圾；每天冲洗一次以上，植物叶面无积尘。</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（7）辅助设施（包括支撑物和悬挂容器）必须安全、完好、整洁、美观。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（8）道路绿化带及悬垂挂箱冬季浇水应注意不要让水溢出，避免造成路面结冰。</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1</w:t>
      </w:r>
      <w:r>
        <w:rPr>
          <w:rFonts w:hint="eastAsia" w:ascii="华文仿宋" w:hAnsi="华文仿宋" w:eastAsia="华文仿宋"/>
          <w:sz w:val="24"/>
          <w:szCs w:val="24"/>
        </w:rPr>
        <w:t>.6.道路绿化带养护作业必须穿着有反光条的工作服，做到文明作业，尽量减少对行车的干扰。</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.2.养护管理其他要求：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（2）规范管理、文明作业、自觉接受采购人及其上级各部门领导的检查和社会监督，对出现的问题要及时整改。</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（6）道路绿化中标后，应给每一个道路绿化工作人员购买人身意外伤害保险；</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（7）加强绿化养护应急响应管理工作，具体要求参照《杭州市城区绿化防台树木支撑工作方案》。</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①制定灾害性天气应急预案，建立应急救灾队伍，将应急预案和人员名单上报采购人备案。</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②建立应急备货制，备货的内容有：抗旱、抗涝、抗台、抗寒、抗雪等物资（支撑钢管、毛竹、水泵、遮阴网、草包等），快速支撑钢管只能做为一部分应急物资储备，不是唯一的抗台应急物资。</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 xml:space="preserve">③遇灾害性天气，听从采购人统一指挥，及时组织人员夏季抗旱、抗台，冬季遇积雪必须及时组织人员进行抗雪。遇到树木斜倒时，根据采购人要求，做好清障扶正工作。 </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④做好防台树木支撑工作，在市气象台发出台风预警信号以后，立即做好树木支撑工作。</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（8）中标单位根据采购人通知要求，做好各类“迎检”和“创建”准备工作。</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（9）经过园林绿化管理部门批准的绿地内挖掘及占用绿地时，中标单位应予以积极配合，复种后的绿地应由中标单位负责正常养护。</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（10）绿化养护期内产生的各种的垃圾必须进入垃圾中转站，其处理产生费用由中标单位负责。</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（11）中标单位在养护管理期间，由于养管不力，采购人有权终止合同，并由中标单位承担一切责任。</w:t>
      </w:r>
    </w:p>
    <w:p>
      <w:pPr>
        <w:pStyle w:val="90"/>
        <w:snapToGrid w:val="0"/>
        <w:spacing w:line="360" w:lineRule="auto"/>
        <w:ind w:firstLine="482" w:firstLineChars="200"/>
        <w:rPr>
          <w:rFonts w:hint="eastAsia" w:ascii="华文仿宋" w:hAnsi="华文仿宋" w:eastAsia="华文仿宋"/>
          <w:b/>
          <w:bCs/>
          <w:sz w:val="24"/>
          <w:szCs w:val="24"/>
          <w:lang w:val="en-US" w:eastAsia="zh-CN"/>
        </w:rPr>
      </w:pPr>
      <w:r>
        <w:rPr>
          <w:rFonts w:hint="eastAsia" w:ascii="华文仿宋" w:hAnsi="华文仿宋" w:eastAsia="华文仿宋"/>
          <w:b/>
          <w:bCs/>
          <w:sz w:val="24"/>
          <w:szCs w:val="24"/>
          <w:lang w:val="en-US" w:eastAsia="zh-CN"/>
        </w:rPr>
        <w:t>5.市政道路养护内容：</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5.1、范围内的破损道路、侧石、人行道的维修及养护；</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5.2、缺失、破损窨井盖的更换与安装及养护；</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5.3、市政雨水管道、雨水检井等设施养护、市政排水管道及窨井淤泥清理外运及管道CCTV检测、检查井检修、雨水管道的疏通；并制作雨水管道详细档案；</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5.4、甲方委托的其它市政设施维修、管养工作。</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5.5二级市政设施养护标准</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路面养护标准：路面平整无裂缝，无坑洼、沉陷、堆积物；沥青路面线裂缝小于0.5cm；网裂、碎裂面积小于0.1㎡；沥青路面车辙、沉陷、拥包面积小于0.1㎡；沥青路面剥落、坑槽、啃边面积小于0.1㎡。</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人行道养护标准：人行道板铺砌平整，牢固稳定；侧石、平石整齐稳固，线型顺直；裂缝长度小于3m，宽度小于5mm；人行道下沉或拱起变形小于20mm，面积小于1㎡；人行道铺装材料统一，砌块及平侧石松动破碎面积小于0.1㎡。</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路灯设施管养标准：路灯设施完好率达98％，亮灯率达98％，城市照明及其附属设施外观整洁、安全、完好；按时亮灯熄灯，在盛夏高温季节按照有序用电要求实施亮灯；电杆配电箱等附属设施完好，无破损、油漆剥落和锈斑；灯杆无倾斜，路灯设施无缺损现象；照明质量好，照明亮度在标准范围内；无缺亮、断亮现象；控制箱完好无损；内部线路连接整齐、牢固，重大节庆活动、重大会展活动、重大体育赛事、重要接待活动或其他临时应急活动期间的亮灯保障，亮灯保障安全有序，亮灯率达100%；路灯养护采用机械化作业，文明安全施工，无安全责任事故。</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排水设施养护标准：排水设施完好，无阻水物，泄水孔畅通，无积水；排水管道通畅，积泥深度不超过1/3管径；雨水口蓖子不得高于路面影响进水；各类管线井框固定平稳，井盖与井框吻合，无破裂、缺失现象。</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城市桥梁设施养护标准：桥面平整，无坑洞、波浪；泄水孔无堵塞、损坏；伸缩缝无松动、破损；人行道、栏杆等设施无断裂；翼墙、侧墙无下沉变形；墩台与基础无滑动倾斜；支座完好，无锈蚀、脱位；钢梁构件无扭曲变形、油漆层无起皮脱落、腐蚀生锈等情况。</w:t>
      </w:r>
    </w:p>
    <w:p>
      <w:pPr>
        <w:pStyle w:val="90"/>
        <w:snapToGrid w:val="0"/>
        <w:spacing w:line="360" w:lineRule="auto"/>
        <w:ind w:firstLine="482" w:firstLineChars="200"/>
        <w:rPr>
          <w:rFonts w:hint="eastAsia" w:ascii="华文仿宋" w:hAnsi="华文仿宋" w:eastAsia="华文仿宋"/>
          <w:sz w:val="24"/>
          <w:szCs w:val="24"/>
        </w:rPr>
      </w:pPr>
      <w:r>
        <w:rPr>
          <w:rFonts w:hint="eastAsia" w:ascii="华文仿宋" w:hAnsi="华文仿宋" w:eastAsia="华文仿宋"/>
          <w:b/>
          <w:bCs/>
          <w:sz w:val="24"/>
          <w:szCs w:val="24"/>
          <w:lang w:val="en-US" w:eastAsia="zh-CN"/>
        </w:rPr>
        <w:t>6.</w:t>
      </w:r>
      <w:r>
        <w:rPr>
          <w:rFonts w:hint="eastAsia" w:ascii="华文仿宋" w:hAnsi="华文仿宋" w:eastAsia="华文仿宋"/>
          <w:b/>
          <w:bCs/>
          <w:sz w:val="24"/>
          <w:szCs w:val="24"/>
        </w:rPr>
        <w:t>时花花坛的养护标准：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（1）布置效果：按设计精心养护，有全年用花计划，做到四季有花，花期整齐，图案美观，布置效果良好。</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（2）花卉生长：花卉植株生长健壮，花色艳丽，始花期方可上花坛种植，株行距适宜，不露底土。无缺株倒伏，无枯枝残花，无杂草垃圾。</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）参照《杭州市城区花坛、花境养护管理规定（试行）》，加强对花卉的养护管理。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 xml:space="preserve">）时花更换全年至少为六次，在每一次更换时必须要将时花品种、数量（时花种植每平方不得少于49株、中盆）方案事先向招标方报备，由招标方确定种植方案，否则将作无更换时花处理，种后由招标方现场验收签字确定。 </w:t>
      </w:r>
    </w:p>
    <w:p>
      <w:pPr>
        <w:pStyle w:val="90"/>
        <w:snapToGrid w:val="0"/>
        <w:spacing w:line="360" w:lineRule="auto"/>
        <w:ind w:firstLine="482" w:firstLineChars="200"/>
        <w:rPr>
          <w:rFonts w:hint="eastAsia" w:ascii="华文仿宋" w:hAnsi="华文仿宋" w:eastAsia="华文仿宋" w:cs="Times New Roman"/>
          <w:b/>
          <w:bCs/>
          <w:sz w:val="24"/>
          <w:szCs w:val="24"/>
          <w:lang w:val="en-US" w:eastAsia="zh-CN"/>
        </w:rPr>
      </w:pPr>
      <w:r>
        <w:rPr>
          <w:rFonts w:hint="eastAsia" w:ascii="华文仿宋" w:hAnsi="华文仿宋" w:eastAsia="华文仿宋" w:cs="Times New Roman"/>
          <w:b/>
          <w:bCs/>
          <w:sz w:val="24"/>
          <w:szCs w:val="24"/>
          <w:lang w:val="en-US" w:eastAsia="zh-CN"/>
        </w:rPr>
        <w:t>7.公厕管理质量要求和管理时间</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.1、管理人员和开放时间要求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.1.1现有公厕 7座，需配备保洁人员不少于14人。标准公厕7座，16小时保洁，人员不少14人，公厕实行免费开放，不得计费，且公厕内不得出现任何经营性行为；</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.1.2公厕内失物应交还失主，未见失主的应交公处理；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.1.3工作人员要尊重游客和上厕人员，不得与其发生冲突；</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.1.4公厕的管理制度及保洁制度按规定公示；</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.1.5公厕内所产生的垃圾必须每天运到指定的垃圾中转站进行处理。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.2、公厕内设施的维护要求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.2.1公厕内设施出现破坏的，承包方要组织维修人员在2日内完成修复或更换；</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.2.2供水、供电、排水、通风等设备完好，有效保证使用，除险问题的必须12小时以内修复；</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.2.3墙壁、地面、隔断板、洗手台、门窗、便器、开关、手柄、门锁等设施损坏的必须要在两天内修复或更换；</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.2.4公厕内设置的标志保持清洁、完整、规范如出现破损的，必须在2小时以内修复或更换。</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.3、清掏公厕（包括化粪池）要求，每年清理化粪池不少于2次（6月和12月各一次）。</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.3.1随时清掏粪便不得外溢；</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.3.2清掏时不得泄漏、遗撒；</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.3.3清掏的废物承包方应按照规定运往粪便无害化处理部门进行无害化处理，并向甲方出示有关无害化处理单据证明，不得乱排乱倒。</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.4、公厕保洁要求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4.1地面保洁无污物，清洗冲刷地面时应设置国家规定的防滑志；</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.4.2墙壁、门窗、隔断板等整洁无乱涂乱画等污迹物；</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.4.3便器及时冲刷，无粪迹、尿迹和其他污物；</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.4.4定时喷洒灭蚊蝇药物，做到随有随灭；</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.4.5纸篓无污迹、无隔夜垃圾；</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.4.6空气流通无臭味；</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.4.7厕所设施和工具摆放有序，干净整洁；</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.4.8按照规定时间、地点和方式倾倒废物；</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.4.9外墙屋顶及卫生负责区内环境整洁无杂物。</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.5、人员要求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.5.1人员必须身体健康、年龄男性须小于60周岁，女性须小于55周岁；</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.5.2工作人员上岗前必须经过培训；</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.6、机械设备要求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.6.1投标单位自行解决作业工具、设备及保洁用品。车辆产生的养路费、油费、水费、维护费等一切费用由投标单位自理。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.7、台帐资料管理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.7.1中标单位年度、季度、月度有报表、工作计划，年终有总结；</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.7.2中标单位与主管单位有工作联系单制度和工作落实情况记录；</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7.3中标单位本着以保证环卫保洁管理项目达到优良的标准进行管理，应建立系统、健全的业务管理制度和标准作业规范，加强对作业队伍和作业机械的管理，分工明确，认真落实质量岗位责任制，各项基础设施台帐资料齐全，真实可信，并如实上报；</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7.4中标单位要建立巡查制度，完善巡查日报，建立月报制度。</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.8、组织管理</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.8.1环卫保洁工作由街道环卫所统一管理，保洁经费纳入财政预算。应制定相关管理制度，负责日常监管和年度考核等工作；</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.8.2中标单位应强化内部作业和管理制度，加强对内部人员的安全和责任教育，建立完善的作业和巡查登记制度，强化责任考核和整改制度，自觉接受政府、媒体和社会团体的监督；</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8.3各社区、企事业和个人对环卫保洁工作负有监管责任。</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.9、其他</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.9.1承包方必须按照杭州市地方标准规范〈公共厕所保洁与服务规范〉DB3301/T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和本招标文件进行作业。如在合同期内，行业主管部门颁发新的检查考核标准则以最新文件标准作业，合同金额不予调整。</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9.2作业人员上岗必须参加养老、人身意外等保险。其中人身意外险必须在签订合同后一个月内办理完毕并提交招标人审核，否则招标人有权终止合同，各种意外伤亡事故，均由承包人自行解决，发包人概不负责；</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.9.3如需车辆作业时遵守交通管理法规，保证安全。确保车辆整洁，设施完好，密闭运输，如有破损及时修复。发生各种意外事故由承包方自行解决，所产生的费用全部由承包方自行承担；</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.9.4鼓励使用本地区的失地或下岗人员，在同等条件下给予优先考虑；</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.9.5规范管理，文明作业，自觉接受城管部门、各级领导的检查和社会舆论的监督；</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.9.6上述保洁标准及要求中未明确的事项按杭州市地方标准规范〈公共厕所保洁与服务规范〉DB3301/T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执行。</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.10、具体管理要求：</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.10.1、清洁公司责任到人，全日开放，方便群众，优质服务；</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.10.2、照明，供水排水设施完好，如有损坏，及时修复，以保证居民正常使用；</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.10.3、工具、物品等摆放整齐；</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.10.4、所有公厕对公民实行免费；</w:t>
      </w:r>
    </w:p>
    <w:p>
      <w:pPr>
        <w:pStyle w:val="90"/>
        <w:snapToGrid w:val="0"/>
        <w:spacing w:line="36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.10.5、公厕指示牌、标志牌等规范齐全；</w:t>
      </w:r>
    </w:p>
    <w:p>
      <w:pPr>
        <w:pStyle w:val="90"/>
        <w:snapToGrid w:val="0"/>
        <w:spacing w:line="360" w:lineRule="auto"/>
        <w:ind w:firstLine="480" w:firstLineChars="200"/>
        <w:rPr>
          <w:rFonts w:hint="eastAsia" w:ascii="华文仿宋" w:hAnsi="华文仿宋" w:eastAsia="华文仿宋"/>
          <w:b/>
          <w:bCs/>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.10.6公厕内需有厕纸、垃圾袋、除臭液、清洁用品等易耗品</w:t>
      </w:r>
    </w:p>
    <w:p>
      <w:pPr>
        <w:pStyle w:val="90"/>
        <w:snapToGrid w:val="0"/>
        <w:spacing w:line="360" w:lineRule="auto"/>
        <w:rPr>
          <w:rFonts w:ascii="华文仿宋" w:hAnsi="华文仿宋" w:eastAsia="华文仿宋"/>
          <w:b/>
          <w:bCs/>
          <w:sz w:val="24"/>
          <w:szCs w:val="24"/>
        </w:rPr>
      </w:pPr>
      <w:r>
        <w:rPr>
          <w:rFonts w:hint="eastAsia" w:ascii="华文仿宋" w:hAnsi="华文仿宋" w:eastAsia="华文仿宋"/>
          <w:b/>
          <w:bCs/>
          <w:sz w:val="24"/>
          <w:szCs w:val="24"/>
        </w:rPr>
        <w:t>二、服务时间要求</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本项目承包期限为贰年，具体自2022年月日起至2024年月日止。若在合同期内乙方有严重违约行为，甲方有权提前终止合同，由此造成的一切后果和损失由乙方承担。</w:t>
      </w:r>
    </w:p>
    <w:p>
      <w:pPr>
        <w:pStyle w:val="90"/>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三、合同金额</w:t>
      </w:r>
    </w:p>
    <w:p>
      <w:pPr>
        <w:pStyle w:val="90"/>
        <w:snapToGrid w:val="0"/>
        <w:spacing w:line="360" w:lineRule="auto"/>
        <w:ind w:firstLine="480" w:firstLineChars="200"/>
        <w:rPr>
          <w:rFonts w:hint="eastAsia" w:ascii="华文仿宋" w:hAnsi="华文仿宋" w:eastAsia="华文仿宋"/>
          <w:sz w:val="24"/>
          <w:szCs w:val="24"/>
          <w:lang w:eastAsia="zh-CN"/>
        </w:rPr>
      </w:pPr>
      <w:r>
        <w:rPr>
          <w:rFonts w:hint="eastAsia" w:ascii="华文仿宋" w:hAnsi="华文仿宋" w:eastAsia="华文仿宋"/>
          <w:sz w:val="24"/>
          <w:szCs w:val="24"/>
        </w:rPr>
        <w:t>标项合同金额为（大写） 元，（￥ 元）人民币</w:t>
      </w:r>
    </w:p>
    <w:p>
      <w:pPr>
        <w:pStyle w:val="90"/>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四、技术资料</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1、乙方应按招标文件规定的时间向甲方提供有关技术资料。</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 3、乙方应履行保密义务，对于所有与甲方有关的资料和信息，乙方均应作为秘密信息对待。除非甲方事先通知许可，双方均承诺不将对方取得的信息披露或透露给无关人员。</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4、乙方应按规定与队员订立书面劳动合同，并为队员统一缴纳社保。</w:t>
      </w:r>
    </w:p>
    <w:p>
      <w:pPr>
        <w:pStyle w:val="90"/>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五、知识产权</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乙方应保证提供服务过程中不会侵犯任何第三方的知识产权。</w:t>
      </w:r>
    </w:p>
    <w:p>
      <w:pPr>
        <w:pStyle w:val="90"/>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六、履约保证金</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合同签订前乙方需向甲方提交中标总额2.5的履约保证金，在服务期满后三十天内退还（不计息）。</w:t>
      </w:r>
    </w:p>
    <w:p>
      <w:pPr>
        <w:pStyle w:val="90"/>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七、转包或分包</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1、本合同范围的服务，应由乙方直接供应，不得转让他人供应；</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2、除非得到甲方的书面同意，乙方不得将本合同范围的服务全部或部分分包给他人供应；</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3、如有转让和未经甲方同意的分包行为，甲方有权解除合同，没收履约保证金并追究乙方的违约责任。</w:t>
      </w:r>
    </w:p>
    <w:p>
      <w:pPr>
        <w:pStyle w:val="90"/>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八、合同履行时间、履行方式及履行地点</w:t>
      </w:r>
    </w:p>
    <w:p>
      <w:pPr>
        <w:pStyle w:val="90"/>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、履行时间：（2022年月日-</w:t>
      </w:r>
      <w:r>
        <w:rPr>
          <w:rFonts w:ascii="华文仿宋" w:hAnsi="华文仿宋" w:eastAsia="华文仿宋"/>
          <w:sz w:val="24"/>
          <w:szCs w:val="24"/>
        </w:rPr>
        <w:t>202</w:t>
      </w:r>
      <w:r>
        <w:rPr>
          <w:rFonts w:hint="eastAsia" w:ascii="华文仿宋" w:hAnsi="华文仿宋" w:eastAsia="华文仿宋"/>
          <w:sz w:val="24"/>
          <w:szCs w:val="24"/>
        </w:rPr>
        <w:t>4年月日）；</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2、履行</w:t>
      </w:r>
      <w:r>
        <w:rPr>
          <w:rFonts w:ascii="华文仿宋" w:hAnsi="华文仿宋" w:eastAsia="华文仿宋"/>
          <w:sz w:val="24"/>
          <w:szCs w:val="24"/>
        </w:rPr>
        <w:t>地点：</w:t>
      </w:r>
    </w:p>
    <w:p>
      <w:pPr>
        <w:pStyle w:val="90"/>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rPr>
        <w:t>九、款项支付</w:t>
      </w:r>
      <w:r>
        <w:rPr>
          <w:rFonts w:hint="eastAsia" w:ascii="华文仿宋" w:hAnsi="华文仿宋" w:eastAsia="华文仿宋"/>
          <w:b/>
          <w:bCs/>
          <w:sz w:val="24"/>
          <w:szCs w:val="24"/>
          <w:lang w:eastAsia="zh-CN"/>
        </w:rPr>
        <w:t>：</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1、绿化养护、道路保洁、时花养护、公厕保洁付款方式：采用先作业后拨付的方式，根据街道对中标人每季度的考核结果按照处罚措施的约定于次月15日前支付上季度道路保洁、绿化养护、时花养护、公厕保洁款项。甲方付款前，乙方应提供正式发票交甲方审核。因甲方支付上述款项须报财政审批，乙方同意在甲方通过财政审批且取得相应款项后支付，具体审批付款流程按仓前街道办事处规定执行</w:t>
      </w:r>
    </w:p>
    <w:p>
      <w:pPr>
        <w:pStyle w:val="90"/>
        <w:snapToGrid w:val="0"/>
        <w:spacing w:line="360" w:lineRule="auto"/>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 xml:space="preserve">2、市政养护付款方式：根据每季度实际完成维护管养量，经验收合格后，乙方凭甲方签字认可的工作联系单原件和维护管养联系单、竣工验收证书等相关结算凭证准确按时上报甲方。经审计审定后，按照招投标文件中标报价下浮后并结合中标人每季度考核结果按照处罚措施的约定支付市政养护款项。 </w:t>
      </w:r>
    </w:p>
    <w:p>
      <w:pPr>
        <w:pStyle w:val="90"/>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rPr>
        <w:t>十、税费</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本合同执行中相关的一切税费均由乙方负担。</w:t>
      </w:r>
    </w:p>
    <w:p>
      <w:pPr>
        <w:pStyle w:val="90"/>
        <w:snapToGrid w:val="0"/>
        <w:spacing w:line="360" w:lineRule="auto"/>
        <w:rPr>
          <w:rFonts w:hint="eastAsia" w:ascii="华文仿宋" w:hAnsi="华文仿宋" w:eastAsia="华文仿宋"/>
          <w:b/>
          <w:bCs/>
          <w:sz w:val="24"/>
          <w:szCs w:val="24"/>
        </w:rPr>
      </w:pPr>
      <w:r>
        <w:rPr>
          <w:rFonts w:hint="eastAsia" w:ascii="华文仿宋" w:hAnsi="华文仿宋" w:eastAsia="华文仿宋"/>
          <w:b/>
          <w:bCs/>
          <w:sz w:val="24"/>
          <w:szCs w:val="24"/>
          <w:lang w:eastAsia="zh-CN"/>
        </w:rPr>
        <w:t>十一、</w:t>
      </w:r>
      <w:r>
        <w:rPr>
          <w:rFonts w:hint="eastAsia" w:ascii="华文仿宋" w:hAnsi="华文仿宋" w:eastAsia="华文仿宋"/>
          <w:b/>
          <w:bCs/>
          <w:sz w:val="24"/>
          <w:szCs w:val="24"/>
        </w:rPr>
        <w:t>保险</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（1）第三者责任保险</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乙方应对乙方人员以及第三方全权责任（如乙方应投保第三责任险），在乙方的责任区内由于乙方原因导致自己员工或者第三方的事故由乙方负责，甲方不承担任何责任。</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（2）员工人身意外</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在承包期内，乙方所有人员的事故由乙方自行全权负责（如乙方应对其员工投保人身意外险），以保证甲方在乙方工作人员索赔时不受任何责任的约束。</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（3）其他保险及费用</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乙方须按劳动合同法和政府有关各部门规定为全体服务人员交纳所有相关的社会保险及其他相关费用，乙方对此全权负责。</w:t>
      </w:r>
    </w:p>
    <w:p>
      <w:pPr>
        <w:pStyle w:val="90"/>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十二、质量保证及后续服务</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1、乙方应按招标文件规定向甲方提供服务。</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2、乙方提供的服务成果在服务质量保证期内发生故障，乙方应负责免费提供后续服务。对达不到要求者，根据实际情况，经双方协商，可按以下办法处理：</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（1）重做：由乙方承担所发生的全部费用。</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（2）解除合同。</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3、在服务质量保证期内，乙方应对出现的质量及安全问题负责处理解决并承担一切费用。</w:t>
      </w:r>
    </w:p>
    <w:p>
      <w:pPr>
        <w:pStyle w:val="90"/>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十三、违约责任</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1、甲方无正当理由拒收接受服务的，甲方向乙方偿付合同款项百分之五作为违约金。</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0"/>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十四、不可抗力事件处理</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1、在合同有效期内，任何一方因不可抗力事件导致不能履行合同，则合同履行期可延长，其延长期与不可抗力影响期相同。</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2、不可抗力事件发生后，应立即通知对方，并寄送有关权威机构出具的证明。</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3、不可抗力事件延续120天以上，双方应通过友好协商，确定是否继续履行合同。</w:t>
      </w:r>
    </w:p>
    <w:p>
      <w:pPr>
        <w:pStyle w:val="90"/>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十五、诉讼</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双方在执行合同中所发生的一切争议，应通过协商解决。如协商不成，可向甲方所在地法院起诉。</w:t>
      </w:r>
    </w:p>
    <w:p>
      <w:pPr>
        <w:pStyle w:val="90"/>
        <w:snapToGrid w:val="0"/>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十六、合同生效及其它</w:t>
      </w:r>
    </w:p>
    <w:p>
      <w:pPr>
        <w:pStyle w:val="90"/>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1</w:t>
      </w:r>
      <w:r>
        <w:rPr>
          <w:rFonts w:hint="eastAsia" w:ascii="华文仿宋" w:hAnsi="华文仿宋" w:eastAsia="华文仿宋"/>
          <w:sz w:val="24"/>
          <w:szCs w:val="24"/>
        </w:rPr>
        <w:t>、合同经双方法定代表人或授权代表签字并加盖单位公章后生效。</w:t>
      </w:r>
    </w:p>
    <w:p>
      <w:pPr>
        <w:pStyle w:val="90"/>
        <w:snapToGrid w:val="0"/>
        <w:spacing w:line="360" w:lineRule="auto"/>
        <w:ind w:firstLine="480" w:firstLineChars="200"/>
        <w:rPr>
          <w:rFonts w:ascii="华文仿宋" w:hAnsi="华文仿宋" w:eastAsia="华文仿宋"/>
          <w:sz w:val="24"/>
          <w:szCs w:val="24"/>
        </w:rPr>
      </w:pPr>
      <w:r>
        <w:rPr>
          <w:rFonts w:ascii="华文仿宋" w:hAnsi="华文仿宋" w:eastAsia="华文仿宋"/>
          <w:sz w:val="24"/>
          <w:szCs w:val="24"/>
        </w:rPr>
        <w:t>2</w:t>
      </w:r>
      <w:r>
        <w:rPr>
          <w:rFonts w:hint="eastAsia" w:ascii="华文仿宋" w:hAnsi="华文仿宋" w:eastAsia="华文仿宋"/>
          <w:sz w:val="24"/>
          <w:szCs w:val="24"/>
        </w:rPr>
        <w:t>、</w:t>
      </w:r>
      <w:r>
        <w:rPr>
          <w:rFonts w:ascii="华文仿宋" w:hAnsi="华文仿宋" w:eastAsia="华文仿宋"/>
          <w:sz w:val="24"/>
          <w:szCs w:val="24"/>
        </w:rPr>
        <w:t>合同执行中涉及采购资金和采购内容修改或补充的，须经财政部门审批，并签书面补充协议报政府采购监督管理部门备案，方可作为主合同不可分割的一部分。</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3、招标文件、投标文件及评标过程中形成的文字资料、询标纪要均作为本合同的组成部分，具有同等效力。本合同未尽事宜，遵照《合同法》有关条文执行。</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4、本合同一式肆份，具有同等法律效力，甲乙双方各执两份。</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甲方（盖章）：                             乙方（盖章）：        </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法定代表人：                              法定代表人：    </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或受委托人（签字）：                       或受委托人（签字）：  </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联系人：                                  联系人：</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地址：                                    地址： </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电话：                                    电话：</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传真：                                    传真：</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开户银行：                                开户银行： </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帐号：                                    帐号：</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签订时间：                                签订时间：</w:t>
      </w:r>
    </w:p>
    <w:p>
      <w:pPr>
        <w:pStyle w:val="90"/>
        <w:snapToGrid w:val="0"/>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签订地点：</w:t>
      </w:r>
    </w:p>
    <w:p>
      <w:pPr>
        <w:spacing w:line="360" w:lineRule="auto"/>
        <w:ind w:left="-420" w:leftChars="-200" w:right="-420" w:rightChars="-200" w:firstLine="480" w:firstLineChars="200"/>
        <w:jc w:val="center"/>
        <w:outlineLvl w:val="0"/>
        <w:rPr>
          <w:rFonts w:hint="eastAsia" w:asciiTheme="majorEastAsia" w:hAnsiTheme="majorEastAsia" w:eastAsiaTheme="majorEastAsia" w:cstheme="majorEastAsia"/>
          <w:color w:val="auto"/>
          <w:sz w:val="24"/>
          <w:highlight w:val="none"/>
        </w:rPr>
      </w:pPr>
    </w:p>
    <w:p>
      <w:pPr>
        <w:pStyle w:val="83"/>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pStyle w:val="82"/>
        <w:rPr>
          <w:rFonts w:hint="eastAsia" w:asciiTheme="majorEastAsia" w:hAnsiTheme="majorEastAsia" w:eastAsiaTheme="majorEastAsia" w:cstheme="majorEastAsia"/>
          <w:highlight w:val="none"/>
        </w:rPr>
      </w:pPr>
    </w:p>
    <w:p>
      <w:pPr>
        <w:spacing w:line="360" w:lineRule="auto"/>
        <w:ind w:left="-420" w:leftChars="-200" w:right="-420" w:rightChars="-200" w:firstLine="480" w:firstLineChars="200"/>
        <w:jc w:val="center"/>
        <w:outlineLvl w:val="0"/>
        <w:rPr>
          <w:rFonts w:hint="eastAsia" w:asciiTheme="majorEastAsia" w:hAnsiTheme="majorEastAsia" w:eastAsiaTheme="majorEastAsia" w:cstheme="majorEastAsia"/>
          <w:color w:val="auto"/>
          <w:sz w:val="24"/>
          <w:highlight w:val="none"/>
        </w:rPr>
      </w:pPr>
    </w:p>
    <w:p>
      <w:pPr>
        <w:spacing w:line="360" w:lineRule="auto"/>
        <w:ind w:left="720" w:firstLine="723" w:firstLineChars="200"/>
        <w:outlineLvl w:val="0"/>
        <w:rPr>
          <w:rFonts w:hint="eastAsia" w:asciiTheme="majorEastAsia" w:hAnsiTheme="majorEastAsia" w:eastAsiaTheme="majorEastAsia" w:cstheme="majorEastAsia"/>
          <w:b/>
          <w:color w:val="auto"/>
          <w:sz w:val="36"/>
          <w:szCs w:val="20"/>
          <w:highlight w:val="none"/>
        </w:rPr>
      </w:pPr>
      <w:r>
        <w:rPr>
          <w:rFonts w:hint="eastAsia" w:asciiTheme="majorEastAsia" w:hAnsiTheme="majorEastAsia" w:eastAsiaTheme="majorEastAsia" w:cstheme="majorEastAsia"/>
          <w:b/>
          <w:color w:val="auto"/>
          <w:sz w:val="36"/>
          <w:szCs w:val="20"/>
          <w:highlight w:val="none"/>
        </w:rPr>
        <w:t>第六部分</w:t>
      </w:r>
      <w:bookmarkEnd w:id="391"/>
      <w:r>
        <w:rPr>
          <w:rFonts w:hint="eastAsia" w:asciiTheme="majorEastAsia" w:hAnsiTheme="majorEastAsia" w:eastAsiaTheme="majorEastAsia" w:cstheme="majorEastAsia"/>
          <w:b/>
          <w:color w:val="auto"/>
          <w:sz w:val="36"/>
          <w:szCs w:val="20"/>
          <w:highlight w:val="none"/>
        </w:rPr>
        <w:t xml:space="preserve"> </w:t>
      </w:r>
      <w:bookmarkEnd w:id="392"/>
      <w:r>
        <w:rPr>
          <w:rFonts w:hint="eastAsia" w:asciiTheme="majorEastAsia" w:hAnsiTheme="majorEastAsia" w:eastAsiaTheme="majorEastAsia" w:cstheme="majorEastAsia"/>
          <w:b/>
          <w:color w:val="auto"/>
          <w:sz w:val="36"/>
          <w:szCs w:val="20"/>
          <w:highlight w:val="none"/>
        </w:rPr>
        <w:t>应提交的有关格式范例</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资格文件部分</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（1）符合参加政府采购活动应当具备的一般条件的承诺函……………（页码）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（2）落实政府采购政策需满足的资格要求………………………………（页码）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（3）本项目的特定资格要求………………………………………………（页码）</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b/>
          <w:color w:val="auto"/>
          <w:kern w:val="0"/>
          <w:sz w:val="32"/>
          <w:szCs w:val="32"/>
          <w:highlight w:val="none"/>
        </w:rPr>
        <w:t xml:space="preserve">  一、 符合参加政府采购活动应当具备的一般条件的承诺函</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（采购人）、（采购代理机构）：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我方参与（项目名称）【招标编号：（采购编号）】政府采购活动，郑重承诺：</w:t>
      </w:r>
    </w:p>
    <w:p>
      <w:pPr>
        <w:snapToGrid w:val="0"/>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2、具有良好的商业信誉和健全的财务会计制度； </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3、具有履行合同所必需的设备和专业技术能力；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4、有依法缴纳税收和社会保障资金的良好记录；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6、具有法律、行政法规规定的其他条件。</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（三）不存在以下情况：</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投标人名称(电子签名)：</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 xml:space="preserve">：  年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w:t>
      </w: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二、落实政府采购政策需满足的资格要求</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A</w:t>
      </w:r>
      <w:r>
        <w:rPr>
          <w:rFonts w:hint="eastAsia" w:asciiTheme="majorEastAsia" w:hAnsiTheme="majorEastAsia" w:eastAsiaTheme="majorEastAsia" w:cs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Theme="majorEastAsia" w:hAnsiTheme="majorEastAsia" w:eastAsiaTheme="majorEastAsia" w:cstheme="majorEastAsia"/>
          <w:color w:val="auto"/>
          <w:sz w:val="24"/>
          <w:highlight w:val="none"/>
        </w:rPr>
      </w:pPr>
    </w:p>
    <w:p>
      <w:pPr>
        <w:widowControl/>
        <w:spacing w:line="360" w:lineRule="auto"/>
        <w:ind w:firstLine="472" w:firstLineChars="196"/>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B.</w:t>
      </w:r>
      <w:r>
        <w:rPr>
          <w:rFonts w:hint="eastAsia" w:asciiTheme="majorEastAsia" w:hAnsiTheme="majorEastAsia" w:eastAsiaTheme="majorEastAsia" w:cstheme="majorEastAsia"/>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
          <w:color w:val="auto"/>
          <w:kern w:val="0"/>
          <w:sz w:val="32"/>
          <w:szCs w:val="32"/>
          <w:highlight w:val="none"/>
          <w:lang w:val="zh-CN"/>
        </w:rPr>
        <w:t>联合协议</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 xml:space="preserve">投标。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w:t>
      </w:r>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2"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C、</w:t>
      </w:r>
      <w:r>
        <w:rPr>
          <w:rFonts w:hint="eastAsia" w:asciiTheme="majorEastAsia" w:hAnsiTheme="majorEastAsia" w:eastAsiaTheme="majorEastAsia" w:cstheme="majorEastAsia"/>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分包意向协议</w:t>
      </w:r>
    </w:p>
    <w:p>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pPr>
        <w:pStyle w:val="6"/>
        <w:ind w:left="664" w:leftChars="316" w:firstLine="229" w:firstLineChars="9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szCs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二、分包工作履行期限、地点、方式</w:t>
      </w:r>
    </w:p>
    <w:p>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三、质量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四、价款或者报酬</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五、违约责任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六、争议解决的办法</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七、其他</w:t>
      </w:r>
    </w:p>
    <w:p>
      <w:pPr>
        <w:snapToGrid w:val="0"/>
        <w:spacing w:line="360" w:lineRule="auto"/>
        <w:ind w:left="5758" w:leftChars="342" w:hanging="5040" w:hanging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中小企业合同金额达到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%，小微企业合同金额达到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highlight w:val="none"/>
          <w:lang w:val="zh-CN"/>
        </w:rPr>
        <w:t xml:space="preserve">  。                                           投标人名称(电子签名)：</w:t>
      </w:r>
    </w:p>
    <w:p>
      <w:pPr>
        <w:snapToGrid w:val="0"/>
        <w:spacing w:line="360" w:lineRule="auto"/>
        <w:ind w:firstLine="5640" w:firstLineChars="235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p>
    <w:p>
      <w:pPr>
        <w:widowControl/>
        <w:spacing w:line="360" w:lineRule="auto"/>
        <w:ind w:left="150"/>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三、本项目的特定资格要求</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（根据招标公告本项目的特定资格要求提供相应的材料；未要求的，无需提供）</w:t>
      </w:r>
    </w:p>
    <w:p>
      <w:pPr>
        <w:rPr>
          <w:rFonts w:hint="eastAsia" w:asciiTheme="majorEastAsia" w:hAnsiTheme="majorEastAsia" w:eastAsiaTheme="majorEastAsia" w:cstheme="majorEastAsia"/>
          <w:color w:val="auto"/>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spacing w:line="360" w:lineRule="auto"/>
        <w:ind w:right="420" w:firstLine="3614" w:firstLineChars="100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pPr>
        <w:spacing w:line="360" w:lineRule="auto"/>
        <w:jc w:val="center"/>
        <w:outlineLvl w:val="0"/>
        <w:rPr>
          <w:rFonts w:hint="eastAsia" w:asciiTheme="majorEastAsia" w:hAnsiTheme="majorEastAsia" w:eastAsiaTheme="majorEastAsia" w:cstheme="majorEastAsia"/>
          <w:b/>
          <w:color w:val="auto"/>
          <w:kern w:val="0"/>
          <w:sz w:val="24"/>
          <w:highlight w:val="none"/>
        </w:rPr>
      </w:pPr>
    </w:p>
    <w:p>
      <w:pPr>
        <w:spacing w:line="360" w:lineRule="auto"/>
        <w:jc w:val="center"/>
        <w:outlineLvl w:val="0"/>
        <w:rPr>
          <w:rFonts w:hint="eastAsia"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目录</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（1）投标函</w:t>
      </w:r>
      <w:r>
        <w:rPr>
          <w:rFonts w:hint="eastAsia" w:asciiTheme="majorEastAsia" w:hAnsiTheme="majorEastAsia" w:eastAsiaTheme="majorEastAsia" w:cstheme="majorEastAsia"/>
          <w:color w:val="auto"/>
          <w:highlight w:val="none"/>
        </w:rPr>
        <w:t>…………………………………………………………………………………（页码）</w:t>
      </w:r>
      <w:r>
        <w:rPr>
          <w:rFonts w:hint="eastAsia" w:asciiTheme="majorEastAsia" w:hAnsiTheme="majorEastAsia" w:eastAsiaTheme="majorEastAsia" w:cstheme="majorEastAsia"/>
          <w:color w:val="auto"/>
          <w:sz w:val="24"/>
          <w:highlight w:val="none"/>
        </w:rPr>
        <w:t>（2）授权委托书或法定代表人（单位负责人、自然人本人）身份证明</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（3）联合协议</w:t>
      </w:r>
      <w:r>
        <w:rPr>
          <w:rFonts w:hint="eastAsia" w:asciiTheme="majorEastAsia" w:hAnsiTheme="majorEastAsia" w:eastAsiaTheme="majorEastAsia" w:cstheme="majorEastAsia"/>
          <w:color w:val="auto"/>
          <w:highlight w:val="none"/>
        </w:rPr>
        <w:t>………………………………………………………………………………（页码）</w:t>
      </w:r>
    </w:p>
    <w:p>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（4）分包意向协议</w:t>
      </w:r>
      <w:r>
        <w:rPr>
          <w:rFonts w:hint="eastAsia" w:asciiTheme="majorEastAsia" w:hAnsiTheme="majorEastAsia" w:eastAsiaTheme="majorEastAsia" w:cstheme="majorEastAsia"/>
          <w:color w:val="auto"/>
          <w:highlight w:val="none"/>
        </w:rPr>
        <w:t>…………………………………………………………………………（页码）</w:t>
      </w:r>
    </w:p>
    <w:p>
      <w:pPr>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（5）符合性审查资料</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（6）评标标准相应的商务技术资料</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（7）商务技术偏离表</w:t>
      </w:r>
      <w:r>
        <w:rPr>
          <w:rFonts w:hint="eastAsia" w:asciiTheme="majorEastAsia" w:hAnsiTheme="majorEastAsia" w:eastAsiaTheme="majorEastAsia" w:cstheme="majorEastAsia"/>
          <w:color w:val="auto"/>
          <w:highlight w:val="none"/>
        </w:rPr>
        <w:t>………………………………………………………………………（页码）</w:t>
      </w:r>
    </w:p>
    <w:p>
      <w:pPr>
        <w:snapToGrid w:val="0"/>
        <w:spacing w:line="360" w:lineRule="auto"/>
        <w:ind w:left="479" w:leftChars="228"/>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r>
        <w:rPr>
          <w:rFonts w:hint="eastAsia" w:asciiTheme="majorEastAsia" w:hAnsiTheme="majorEastAsia" w:eastAsiaTheme="majorEastAsia" w:cstheme="majorEastAsia"/>
          <w:color w:val="auto"/>
          <w:highlight w:val="none"/>
        </w:rPr>
        <w:t>…………………………………………………（页码）</w:t>
      </w: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kern w:val="0"/>
          <w:sz w:val="32"/>
          <w:szCs w:val="32"/>
          <w:highlight w:val="none"/>
        </w:rPr>
      </w:pPr>
    </w:p>
    <w:p>
      <w:pPr>
        <w:snapToGrid w:val="0"/>
        <w:spacing w:line="360" w:lineRule="auto"/>
        <w:jc w:val="center"/>
        <w:outlineLvl w:val="0"/>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（采购人）、（采购代理机构）：</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1、我方承诺投标有效期从提交投标文件的截止之日起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天（不少于90天）</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本投标文件在投标有效期满之前均具有约束力。</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2、我方的投标文件包括以下内容：</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2.1资格文件：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2.1.1承诺函；</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2.1.2落实政府采购政策需满足的资格要求（如果有）；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2.1.3本项目的特定资格要求（如果有）。</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 xml:space="preserve"> </w:t>
      </w:r>
      <w:r>
        <w:rPr>
          <w:rFonts w:hint="eastAsia" w:asciiTheme="majorEastAsia" w:hAnsiTheme="majorEastAsia" w:eastAsiaTheme="majorEastAsia" w:cstheme="majorEastAsia"/>
          <w:color w:val="auto"/>
          <w:sz w:val="24"/>
          <w:highlight w:val="none"/>
        </w:rPr>
        <w:t>商务技术</w:t>
      </w:r>
      <w:r>
        <w:rPr>
          <w:rFonts w:hint="eastAsia" w:asciiTheme="majorEastAsia" w:hAnsiTheme="majorEastAsia" w:eastAsiaTheme="majorEastAsia" w:cstheme="majorEastAsia"/>
          <w:color w:val="auto"/>
          <w:sz w:val="24"/>
          <w:highlight w:val="none"/>
          <w:lang w:val="zh-CN"/>
        </w:rPr>
        <w:t>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2.2.1投标函；</w:t>
      </w:r>
      <w:r>
        <w:rPr>
          <w:rFonts w:hint="eastAsia" w:asciiTheme="majorEastAsia" w:hAnsiTheme="majorEastAsia" w:eastAsiaTheme="majorEastAsia" w:cstheme="majorEastAsia"/>
          <w:color w:val="auto"/>
          <w:sz w:val="24"/>
          <w:highlight w:val="none"/>
          <w:lang w:val="zh-CN"/>
        </w:rPr>
        <w:t xml:space="preserve"> </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2.2.2授权委托书或法定代表人（单位负责人）身份证明；</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2.2.3联合协议（如果有）；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2.2.4分包意向协议（如果有）；</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2.2.5符合性审查资料；</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2.2.6评标标准相应的商务技术资料；</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2.2.7商务技术偏离表；</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8</w:t>
      </w:r>
      <w:r>
        <w:rPr>
          <w:rFonts w:hint="eastAsia" w:asciiTheme="majorEastAsia" w:hAnsiTheme="majorEastAsia" w:eastAsiaTheme="majorEastAsia" w:cstheme="majorEastAsia"/>
          <w:color w:val="auto"/>
          <w:sz w:val="24"/>
          <w:highlight w:val="none"/>
          <w:lang w:val="zh-CN"/>
        </w:rPr>
        <w:t>政府采购供应商廉洁自律承诺书；</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3报价文件</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2.3.1开标一览表（报价表）；</w:t>
      </w:r>
    </w:p>
    <w:p>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2.3.2中小企业声明函（如果有）。</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4、如我方中标，我方承诺：</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5、其他补充说明: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pPr>
        <w:spacing w:line="360" w:lineRule="auto"/>
        <w:ind w:firstLine="3600" w:firstLineChars="15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投标人名称（电子签名）：                          </w:t>
      </w:r>
    </w:p>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pPr>
        <w:snapToGrid w:val="0"/>
        <w:spacing w:line="360" w:lineRule="auto"/>
        <w:ind w:left="420" w:leftChars="200" w:firstLine="4200" w:firstLineChars="1750"/>
        <w:rPr>
          <w:rFonts w:hint="eastAsia" w:asciiTheme="majorEastAsia" w:hAnsiTheme="majorEastAsia" w:eastAsiaTheme="majorEastAsia" w:cstheme="majorEastAsia"/>
          <w:color w:val="auto"/>
          <w:kern w:val="0"/>
          <w:sz w:val="24"/>
          <w:highlight w:val="none"/>
          <w:u w:val="single"/>
          <w:lang w:val="zh-CN"/>
        </w:rPr>
      </w:pPr>
    </w:p>
    <w:p>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zh-CN"/>
        </w:rPr>
      </w:pPr>
    </w:p>
    <w:p>
      <w:pPr>
        <w:snapToGrid w:val="0"/>
        <w:spacing w:line="360" w:lineRule="auto"/>
        <w:rPr>
          <w:rFonts w:hint="eastAsia" w:asciiTheme="majorEastAsia" w:hAnsiTheme="majorEastAsia" w:eastAsiaTheme="majorEastAsia" w:cstheme="majorEastAsia"/>
          <w:color w:val="auto"/>
          <w:sz w:val="24"/>
          <w:highlight w:val="none"/>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p>
    <w:p>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lang w:val="zh-CN"/>
        </w:rPr>
        <w:t>二、授权委托书或法定代表人（单位负责人、自然人本人）身份证明</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pPr>
        <w:snapToGrid w:val="0"/>
        <w:spacing w:line="360" w:lineRule="auto"/>
        <w:ind w:firstLine="2872" w:firstLineChars="894"/>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lang w:val="zh-CN"/>
        </w:rPr>
        <w:t>授权委托书（适用于非联合体投标）</w:t>
      </w:r>
      <w:r>
        <w:rPr>
          <w:rFonts w:hint="eastAsia" w:asciiTheme="majorEastAsia" w:hAnsiTheme="majorEastAsia" w:eastAsiaTheme="majorEastAsia" w:cstheme="majorEastAsia"/>
          <w:color w:val="auto"/>
          <w:highlight w:val="none"/>
        </w:rPr>
        <w:t xml:space="preserve">                               </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签发日期：  年  月   日</w:t>
      </w: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sz w:val="24"/>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lang w:val="zh-CN"/>
        </w:rPr>
        <w:t xml:space="preserve">      </w:t>
      </w:r>
      <w:r>
        <w:rPr>
          <w:rFonts w:hint="eastAsia" w:asciiTheme="majorEastAsia" w:hAnsiTheme="majorEastAsia" w:eastAsiaTheme="majorEastAsia" w:cstheme="majorEastAsia"/>
          <w:b/>
          <w:color w:val="auto"/>
          <w:kern w:val="0"/>
          <w:sz w:val="32"/>
          <w:szCs w:val="32"/>
          <w:highlight w:val="none"/>
        </w:rPr>
        <w:t xml:space="preserve"> </w:t>
      </w:r>
      <w:r>
        <w:rPr>
          <w:rFonts w:hint="eastAsia" w:asciiTheme="majorEastAsia" w:hAnsiTheme="majorEastAsia" w:eastAsiaTheme="majorEastAsia" w:cstheme="majorEastAsia"/>
          <w:b/>
          <w:color w:val="auto"/>
          <w:kern w:val="0"/>
          <w:sz w:val="32"/>
          <w:szCs w:val="32"/>
          <w:highlight w:val="none"/>
          <w:lang w:val="zh-CN"/>
        </w:rPr>
        <w:t>授权委托书（适用于联合体投标）</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现</w:t>
      </w:r>
      <w:r>
        <w:rPr>
          <w:rFonts w:hint="eastAsia" w:asciiTheme="majorEastAsia" w:hAnsiTheme="majorEastAsia" w:eastAsiaTheme="majorEastAsia" w:cstheme="majorEastAsia"/>
          <w:color w:val="auto"/>
          <w:kern w:val="0"/>
          <w:sz w:val="24"/>
          <w:highlight w:val="none"/>
          <w:lang w:val="zh-CN"/>
        </w:rPr>
        <w:t>委托</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（姓名）为我方代理人（身份证号码：</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，手机：</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kern w:val="0"/>
          <w:sz w:val="24"/>
          <w:highlight w:val="none"/>
          <w:lang w:val="zh-CN"/>
        </w:rPr>
        <w:t>），以我方名义处理</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政府采购投标的一切事项，其法律后果由我方承担。</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委托期限</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自</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日起至</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日止。</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特此告知。</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rPr>
          <w:rFonts w:hint="eastAsia" w:asciiTheme="majorEastAsia" w:hAnsiTheme="majorEastAsia" w:eastAsiaTheme="majorEastAsia" w:cstheme="majorEastAsia"/>
          <w:color w:val="auto"/>
          <w:highlight w:val="none"/>
        </w:rPr>
      </w:pP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autoSpaceDE w:val="0"/>
        <w:autoSpaceDN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32"/>
          <w:szCs w:val="32"/>
          <w:highlight w:val="none"/>
          <w:lang w:val="zh-CN"/>
        </w:rPr>
        <w:t>法定代表人、单位负责人或自然人本人</w:t>
      </w:r>
      <w:r>
        <w:rPr>
          <w:rFonts w:hint="eastAsia" w:asciiTheme="majorEastAsia" w:hAnsiTheme="majorEastAsia" w:eastAsiaTheme="majorEastAsia" w:cstheme="majorEastAsia"/>
          <w:b/>
          <w:color w:val="auto"/>
          <w:sz w:val="30"/>
          <w:szCs w:val="30"/>
          <w:highlight w:val="none"/>
        </w:rPr>
        <w:t>的身份证明（适用于法定代表人、单位负责人或者自然人本人代表投标人参加投标）</w:t>
      </w:r>
    </w:p>
    <w:p>
      <w:pPr>
        <w:pStyle w:val="91"/>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正面：                                 反面：</w:t>
            </w:r>
          </w:p>
          <w:p>
            <w:pPr>
              <w:pStyle w:val="91"/>
              <w:adjustRightInd w:val="0"/>
              <w:spacing w:line="360" w:lineRule="auto"/>
              <w:rPr>
                <w:rFonts w:hint="eastAsia" w:asciiTheme="majorEastAsia" w:hAnsiTheme="majorEastAsia" w:eastAsiaTheme="majorEastAsia" w:cstheme="majorEastAsia"/>
                <w:bCs/>
                <w:color w:val="auto"/>
                <w:sz w:val="24"/>
                <w:highlight w:val="none"/>
              </w:rPr>
            </w:pPr>
          </w:p>
        </w:tc>
      </w:tr>
    </w:tbl>
    <w:p>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                              </w:t>
      </w:r>
    </w:p>
    <w:p>
      <w:pPr>
        <w:spacing w:line="360" w:lineRule="auto"/>
        <w:jc w:val="center"/>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color w:val="auto"/>
          <w:kern w:val="0"/>
          <w:sz w:val="32"/>
          <w:szCs w:val="32"/>
          <w:highlight w:val="none"/>
        </w:rPr>
        <w:t>三、</w:t>
      </w:r>
      <w:r>
        <w:rPr>
          <w:rFonts w:hint="eastAsia" w:asciiTheme="majorEastAsia" w:hAnsiTheme="majorEastAsia" w:eastAsiaTheme="majorEastAsia" w:cstheme="majorEastAsia"/>
          <w:b/>
          <w:color w:val="auto"/>
          <w:kern w:val="0"/>
          <w:sz w:val="32"/>
          <w:szCs w:val="32"/>
          <w:highlight w:val="none"/>
          <w:lang w:val="zh-CN"/>
        </w:rPr>
        <w:t>联合协议</w:t>
      </w:r>
    </w:p>
    <w:p>
      <w:pPr>
        <w:widowControl/>
        <w:spacing w:line="360" w:lineRule="auto"/>
        <w:ind w:firstLine="482" w:firstLineChars="20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 xml:space="preserve">投标。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rPr>
        <w:t>提供的全部货物由小微企业制造，其合同份额占到合同总金额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snapToGrid w:val="0"/>
        <w:spacing w:line="360" w:lineRule="auto"/>
        <w:ind w:right="480"/>
        <w:rPr>
          <w:rFonts w:hint="eastAsia" w:asciiTheme="majorEastAsia" w:hAnsiTheme="majorEastAsia" w:eastAsiaTheme="majorEastAsia" w:cstheme="majorEastAsia"/>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四、分包意向协议</w:t>
      </w:r>
    </w:p>
    <w:p>
      <w:pPr>
        <w:widowControl/>
        <w:spacing w:line="360" w:lineRule="auto"/>
        <w:ind w:firstLine="120" w:firstLineChar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color w:val="auto"/>
          <w:sz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若成为</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rPr>
        <w:t>与</w:t>
      </w:r>
      <w:r>
        <w:rPr>
          <w:rFonts w:hint="eastAsia" w:asciiTheme="majorEastAsia" w:hAnsiTheme="majorEastAsia" w:eastAsiaTheme="majorEastAsia" w:cstheme="majorEastAsia"/>
          <w:color w:val="auto"/>
          <w:kern w:val="0"/>
          <w:sz w:val="24"/>
          <w:highlight w:val="none"/>
          <w:u w:val="single"/>
        </w:rPr>
        <w:t>（所有分包供应商名称）</w:t>
      </w:r>
      <w:r>
        <w:rPr>
          <w:rFonts w:hint="eastAsia" w:asciiTheme="majorEastAsia" w:hAnsiTheme="majorEastAsia" w:eastAsiaTheme="majorEastAsia" w:cstheme="majorEastAsia"/>
          <w:color w:val="auto"/>
          <w:kern w:val="0"/>
          <w:sz w:val="24"/>
          <w:highlight w:val="none"/>
        </w:rPr>
        <w:t>达成分包意向协议</w:t>
      </w:r>
      <w:r>
        <w:rPr>
          <w:rFonts w:hint="eastAsia" w:asciiTheme="majorEastAsia" w:hAnsiTheme="majorEastAsia" w:eastAsiaTheme="majorEastAsia" w:cstheme="majorEastAsia"/>
          <w:color w:val="auto"/>
          <w:kern w:val="0"/>
          <w:sz w:val="24"/>
          <w:highlight w:val="none"/>
          <w:lang w:val="zh-CN"/>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一、分包标的及数量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（投标人名称）</w:t>
      </w:r>
      <w:r>
        <w:rPr>
          <w:rFonts w:hint="eastAsia" w:asciiTheme="majorEastAsia" w:hAnsiTheme="majorEastAsia" w:eastAsiaTheme="majorEastAsia" w:cstheme="majorEastAsia"/>
          <w:color w:val="auto"/>
          <w:kern w:val="0"/>
          <w:sz w:val="24"/>
          <w:highlight w:val="none"/>
          <w:lang w:val="zh-CN"/>
        </w:rPr>
        <w:t>将</w:t>
      </w:r>
      <w:r>
        <w:rPr>
          <w:rFonts w:hint="eastAsia" w:asciiTheme="majorEastAsia" w:hAnsiTheme="majorEastAsia" w:eastAsiaTheme="majorEastAsia" w:cstheme="majorEastAsia"/>
          <w:color w:val="auto"/>
          <w:highlight w:val="none"/>
          <w:u w:val="single"/>
        </w:rPr>
        <w:t xml:space="preserve">   XX工作内容   </w:t>
      </w:r>
      <w:r>
        <w:rPr>
          <w:rFonts w:hint="eastAsia" w:asciiTheme="majorEastAsia" w:hAnsiTheme="majorEastAsia" w:eastAsiaTheme="majorEastAsia" w:cstheme="majorEastAsia"/>
          <w:color w:val="auto"/>
          <w:sz w:val="24"/>
          <w:highlight w:val="none"/>
        </w:rPr>
        <w:t>分包给</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u w:val="single"/>
        </w:rPr>
        <w:t>（某分包供应商名称），</w:t>
      </w:r>
      <w:r>
        <w:rPr>
          <w:rFonts w:hint="eastAsia" w:asciiTheme="majorEastAsia" w:hAnsiTheme="majorEastAsia" w:eastAsiaTheme="majorEastAsia" w:cstheme="majorEastAsia"/>
          <w:color w:val="auto"/>
          <w:kern w:val="0"/>
          <w:sz w:val="24"/>
          <w:highlight w:val="none"/>
          <w:lang w:val="zh-CN"/>
        </w:rPr>
        <w:t>具备承</w:t>
      </w:r>
      <w:r>
        <w:rPr>
          <w:rFonts w:hint="eastAsia" w:asciiTheme="majorEastAsia" w:hAnsiTheme="majorEastAsia" w:eastAsiaTheme="majorEastAsia" w:cstheme="majorEastAsia"/>
          <w:color w:val="auto"/>
          <w:kern w:val="0"/>
          <w:sz w:val="24"/>
          <w:highlight w:val="none"/>
        </w:rPr>
        <w:t>担</w:t>
      </w:r>
      <w:r>
        <w:rPr>
          <w:rFonts w:hint="eastAsia" w:asciiTheme="majorEastAsia" w:hAnsiTheme="majorEastAsia" w:eastAsiaTheme="majorEastAsia" w:cstheme="majorEastAsia"/>
          <w:color w:val="auto"/>
          <w:kern w:val="0"/>
          <w:sz w:val="24"/>
          <w:highlight w:val="none"/>
          <w:u w:val="single"/>
          <w:lang w:val="zh-CN"/>
        </w:rPr>
        <w:t>XX工作内容</w:t>
      </w:r>
      <w:r>
        <w:rPr>
          <w:rFonts w:hint="eastAsia" w:asciiTheme="majorEastAsia" w:hAnsiTheme="majorEastAsia" w:eastAsiaTheme="majorEastAsia" w:cstheme="majorEastAsia"/>
          <w:color w:val="auto"/>
          <w:kern w:val="0"/>
          <w:sz w:val="24"/>
          <w:highlight w:val="none"/>
          <w:lang w:val="zh-CN"/>
        </w:rPr>
        <w:t>相应资质条件且不得再次分包；</w:t>
      </w:r>
    </w:p>
    <w:p>
      <w:pPr>
        <w:pStyle w:val="6"/>
        <w:ind w:left="664" w:leftChars="316" w:firstLine="229" w:firstLineChars="9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szCs w:val="24"/>
          <w:highlight w:val="none"/>
        </w:rPr>
        <w:t>……</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二、分包工作履行期限、地点、方式</w:t>
      </w:r>
    </w:p>
    <w:p>
      <w:pPr>
        <w:snapToGrid w:val="0"/>
        <w:spacing w:line="360" w:lineRule="auto"/>
        <w:ind w:firstLine="576"/>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三、质量</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四、价款或者报酬</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left="573" w:leftChars="273"/>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五、违约责任</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六、争议解决的办法</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highlight w:val="none"/>
          <w:u w:val="single"/>
        </w:rPr>
        <w:t xml:space="preserve">                                                                                  </w:t>
      </w:r>
    </w:p>
    <w:p>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七、其他</w:t>
      </w:r>
    </w:p>
    <w:p>
      <w:pPr>
        <w:snapToGrid w:val="0"/>
        <w:spacing w:line="360" w:lineRule="auto"/>
        <w:ind w:firstLine="576"/>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（分包供应商名称）提供的货物全部由小微企业制造，</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投标人名称(电子签名)：</w:t>
      </w:r>
    </w:p>
    <w:p>
      <w:pPr>
        <w:snapToGrid w:val="0"/>
        <w:spacing w:line="360" w:lineRule="auto"/>
        <w:ind w:firstLine="5640" w:firstLineChars="235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分包供应商名称：</w:t>
      </w:r>
    </w:p>
    <w:p>
      <w:pPr>
        <w:snapToGrid w:val="0"/>
        <w:spacing w:line="360" w:lineRule="auto"/>
        <w:ind w:firstLine="5760" w:firstLineChars="24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五、符合性审查资料</w:t>
      </w:r>
    </w:p>
    <w:p>
      <w:pPr>
        <w:jc w:val="center"/>
        <w:rPr>
          <w:rFonts w:hint="eastAsia" w:asciiTheme="majorEastAsia" w:hAnsiTheme="majorEastAsia" w:eastAsiaTheme="majorEastAsia" w:cstheme="maj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4991"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实质性要求</w:t>
            </w:r>
          </w:p>
        </w:tc>
        <w:tc>
          <w:tcPr>
            <w:tcW w:w="2551"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需要提供的符合性审查资料</w:t>
            </w:r>
          </w:p>
        </w:tc>
        <w:tc>
          <w:tcPr>
            <w:tcW w:w="1418" w:type="dxa"/>
            <w:vAlign w:val="center"/>
          </w:tcPr>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投标文件中的</w:t>
            </w:r>
          </w:p>
          <w:p>
            <w:pPr>
              <w:snapToGrid w:val="0"/>
              <w:spacing w:line="240" w:lineRule="atLeast"/>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投标文件按照招标文件要求签署、盖章。</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需要使用电子签名或者签字盖章的投标文件的组成部分</w:t>
            </w:r>
          </w:p>
        </w:tc>
        <w:tc>
          <w:tcPr>
            <w:tcW w:w="1418" w:type="dxa"/>
            <w:vAlign w:val="top"/>
          </w:tcPr>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p>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见投标文件</w:t>
            </w:r>
          </w:p>
          <w:p>
            <w:pPr>
              <w:pStyle w:val="6"/>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b w:val="0"/>
                <w:bCs w:val="0"/>
                <w:color w:val="auto"/>
                <w:sz w:val="24"/>
                <w:szCs w:val="24"/>
                <w:highlight w:val="none"/>
                <w:lang w:val="en-US"/>
              </w:rPr>
              <w:t>第</w:t>
            </w:r>
            <w:r>
              <w:rPr>
                <w:rFonts w:hint="eastAsia" w:asciiTheme="majorEastAsia" w:hAnsiTheme="majorEastAsia" w:eastAsiaTheme="majorEastAsia" w:cstheme="majorEastAsia"/>
                <w:b w:val="0"/>
                <w:bCs w:val="0"/>
                <w:color w:val="auto"/>
                <w:sz w:val="24"/>
                <w:szCs w:val="24"/>
                <w:highlight w:val="none"/>
                <w:u w:val="single"/>
                <w:lang w:val="en-US"/>
              </w:rPr>
              <w:t xml:space="preserve">  </w:t>
            </w:r>
            <w:r>
              <w:rPr>
                <w:rFonts w:hint="eastAsia" w:asciiTheme="majorEastAsia" w:hAnsiTheme="majorEastAsia" w:eastAsiaTheme="majorEastAsia" w:cstheme="majorEastAsia"/>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投标文件中承诺的投标有效期不少于招标文件中载明的投标有效期。</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w:t>
            </w:r>
          </w:p>
        </w:tc>
        <w:tc>
          <w:tcPr>
            <w:tcW w:w="1418" w:type="dxa"/>
            <w:vAlign w:val="top"/>
          </w:tcPr>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4991" w:type="dxa"/>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投标文件满足招标文件的其它实质性要求。</w:t>
            </w:r>
          </w:p>
        </w:tc>
        <w:tc>
          <w:tcPr>
            <w:tcW w:w="2551" w:type="dxa"/>
            <w:vAlign w:val="center"/>
          </w:tcPr>
          <w:p>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见投标文件第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页</w:t>
            </w:r>
          </w:p>
        </w:tc>
      </w:tr>
    </w:tbl>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 xml:space="preserve">            </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六、评标标准相应的商务技术资料</w:t>
      </w:r>
    </w:p>
    <w:p>
      <w:pPr>
        <w:snapToGrid w:val="0"/>
        <w:spacing w:line="360" w:lineRule="auto"/>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（按招标文件第四部分评标办法前附表中“投标文件中评标标准相应的商务技术资料目录”提供资料）</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3683"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招标文件章节及具体内容</w:t>
            </w:r>
          </w:p>
        </w:tc>
        <w:tc>
          <w:tcPr>
            <w:tcW w:w="3546"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投标文件章节及具体内容</w:t>
            </w:r>
          </w:p>
        </w:tc>
        <w:tc>
          <w:tcPr>
            <w:tcW w:w="1276" w:type="dxa"/>
            <w:vAlign w:val="top"/>
          </w:tcPr>
          <w:p>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w:t>
            </w:r>
          </w:p>
        </w:tc>
        <w:tc>
          <w:tcPr>
            <w:tcW w:w="3683"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3546" w:type="dxa"/>
            <w:vAlign w:val="top"/>
          </w:tcPr>
          <w:p>
            <w:pPr>
              <w:jc w:val="center"/>
              <w:rPr>
                <w:rFonts w:hint="eastAsia" w:asciiTheme="majorEastAsia" w:hAnsiTheme="majorEastAsia" w:eastAsiaTheme="majorEastAsia" w:cstheme="majorEastAsia"/>
                <w:b/>
                <w:color w:val="auto"/>
                <w:kern w:val="0"/>
                <w:sz w:val="32"/>
                <w:szCs w:val="32"/>
                <w:highlight w:val="none"/>
              </w:rPr>
            </w:pPr>
          </w:p>
        </w:tc>
        <w:tc>
          <w:tcPr>
            <w:tcW w:w="1276" w:type="dxa"/>
            <w:vAlign w:val="top"/>
          </w:tcPr>
          <w:p>
            <w:pPr>
              <w:jc w:val="center"/>
              <w:rPr>
                <w:rFonts w:hint="eastAsia" w:asciiTheme="majorEastAsia" w:hAnsiTheme="majorEastAsia" w:eastAsiaTheme="majorEastAsia" w:cstheme="majorEastAsia"/>
                <w:b/>
                <w:color w:val="auto"/>
                <w:kern w:val="0"/>
                <w:sz w:val="32"/>
                <w:szCs w:val="32"/>
                <w:highlight w:val="none"/>
              </w:rPr>
            </w:pPr>
          </w:p>
        </w:tc>
      </w:tr>
    </w:tbl>
    <w:p>
      <w:pPr>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投标人保证：除商务技术偏离表列出的偏离外，投标人响应招标文件的全部要求</w:t>
      </w: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jc w:val="center"/>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bCs/>
          <w:color w:val="auto"/>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2891" w:firstLineChars="900"/>
        <w:rPr>
          <w:rFonts w:hint="eastAsia" w:asciiTheme="majorEastAsia" w:hAnsiTheme="majorEastAsia" w:eastAsiaTheme="majorEastAsia" w:cstheme="majorEastAsia"/>
          <w:b/>
          <w:color w:val="auto"/>
          <w:kern w:val="0"/>
          <w:sz w:val="32"/>
          <w:szCs w:val="32"/>
          <w:highlight w:val="none"/>
        </w:rPr>
      </w:pPr>
    </w:p>
    <w:p>
      <w:pPr>
        <w:ind w:firstLine="1911" w:firstLineChars="595"/>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八、</w:t>
      </w:r>
      <w:r>
        <w:rPr>
          <w:rFonts w:hint="eastAsia" w:asciiTheme="majorEastAsia" w:hAnsiTheme="majorEastAsia" w:eastAsiaTheme="majorEastAsia" w:cstheme="majorEastAsia"/>
          <w:b/>
          <w:color w:val="auto"/>
          <w:kern w:val="0"/>
          <w:sz w:val="32"/>
          <w:szCs w:val="32"/>
          <w:highlight w:val="none"/>
          <w:lang w:val="zh-CN"/>
        </w:rPr>
        <w:t>政府采购供应商廉洁自律承诺书</w:t>
      </w:r>
    </w:p>
    <w:p>
      <w:pPr>
        <w:snapToGrid w:val="0"/>
        <w:spacing w:line="360" w:lineRule="auto"/>
        <w:rPr>
          <w:rFonts w:hint="eastAsia" w:asciiTheme="majorEastAsia" w:hAnsiTheme="majorEastAsia" w:eastAsiaTheme="majorEastAsia" w:cstheme="majorEastAsia"/>
          <w:color w:val="auto"/>
          <w:sz w:val="24"/>
          <w:highlight w:val="none"/>
        </w:rPr>
      </w:pP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我单位响应你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好处；</w:t>
      </w:r>
    </w:p>
    <w:p>
      <w:pPr>
        <w:autoSpaceDE w:val="0"/>
        <w:autoSpaceDN w:val="0"/>
        <w:spacing w:line="360" w:lineRule="auto"/>
        <w:ind w:left="481" w:leftChars="229"/>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六、严格遵守《</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政府采购法》《</w:t>
      </w:r>
      <w:r>
        <w:rPr>
          <w:rFonts w:hint="eastAsia" w:asciiTheme="majorEastAsia" w:hAnsiTheme="majorEastAsia" w:eastAsiaTheme="majorEastAsia" w:cstheme="majorEastAsia"/>
          <w:color w:val="auto"/>
          <w:sz w:val="24"/>
          <w:highlight w:val="none"/>
          <w:lang w:val="zh-CN"/>
        </w:rPr>
        <w:t>中华人民共和国</w:t>
      </w:r>
      <w:r>
        <w:rPr>
          <w:rFonts w:hint="eastAsia" w:asciiTheme="majorEastAsia" w:hAnsiTheme="majorEastAsia" w:eastAsiaTheme="majorEastAsia" w:cstheme="majorEastAsia"/>
          <w:color w:val="auto"/>
          <w:kern w:val="0"/>
          <w:sz w:val="24"/>
          <w:highlight w:val="none"/>
          <w:lang w:val="zh-CN"/>
        </w:rPr>
        <w:t>招标投标</w:t>
      </w:r>
    </w:p>
    <w:p>
      <w:pPr>
        <w:autoSpaceDE w:val="0"/>
        <w:autoSpaceDN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法》</w:t>
      </w:r>
      <w:r>
        <w:rPr>
          <w:rFonts w:hint="eastAsia" w:asciiTheme="majorEastAsia" w:hAnsiTheme="majorEastAsia" w:eastAsiaTheme="majorEastAsia" w:cstheme="majorEastAsia"/>
          <w:color w:val="auto"/>
          <w:sz w:val="24"/>
          <w:highlight w:val="none"/>
          <w:lang w:val="zh-CN"/>
        </w:rPr>
        <w:t>《中华人民共和国民法典》</w:t>
      </w:r>
      <w:r>
        <w:rPr>
          <w:rFonts w:hint="eastAsia" w:asciiTheme="majorEastAsia" w:hAnsiTheme="majorEastAsia" w:eastAsiaTheme="majorEastAsia" w:cstheme="maj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如违反上述承诺，你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color w:val="auto"/>
          <w:sz w:val="24"/>
          <w:highlight w:val="none"/>
        </w:rPr>
        <w:t>单位</w:t>
      </w:r>
      <w:r>
        <w:rPr>
          <w:rFonts w:hint="eastAsia" w:asciiTheme="majorEastAsia" w:hAnsiTheme="majorEastAsia" w:eastAsiaTheme="majorEastAsia" w:cstheme="maj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jc w:val="left"/>
        <w:rPr>
          <w:rFonts w:hint="eastAsia" w:asciiTheme="majorEastAsia" w:hAnsiTheme="majorEastAsia" w:eastAsiaTheme="majorEastAsia" w:cstheme="maj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投标人名称（</w:t>
      </w:r>
      <w:r>
        <w:rPr>
          <w:rFonts w:hint="eastAsia" w:asciiTheme="majorEastAsia" w:hAnsiTheme="majorEastAsia" w:eastAsiaTheme="majorEastAsia" w:cstheme="majorEastAsia"/>
          <w:color w:val="auto"/>
          <w:sz w:val="24"/>
          <w:highlight w:val="none"/>
        </w:rPr>
        <w:t>电子签名</w:t>
      </w:r>
      <w:r>
        <w:rPr>
          <w:rFonts w:hint="eastAsia" w:asciiTheme="majorEastAsia" w:hAnsiTheme="majorEastAsia" w:eastAsiaTheme="majorEastAsia" w:cstheme="majorEastAsia"/>
          <w:color w:val="auto"/>
          <w:kern w:val="0"/>
          <w:sz w:val="24"/>
          <w:highlight w:val="none"/>
          <w:lang w:val="zh-CN"/>
        </w:rPr>
        <w:t xml:space="preserve">）：                                                                                                                                                                                                               </w:t>
      </w:r>
    </w:p>
    <w:p>
      <w:pPr>
        <w:spacing w:line="360" w:lineRule="auto"/>
        <w:ind w:left="4620" w:left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日期</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 xml:space="preserve">   年   月   日</w:t>
      </w:r>
    </w:p>
    <w:p>
      <w:pPr>
        <w:spacing w:line="360" w:lineRule="auto"/>
        <w:jc w:val="center"/>
        <w:rPr>
          <w:rFonts w:hint="eastAsia" w:asciiTheme="majorEastAsia" w:hAnsiTheme="majorEastAsia" w:eastAsiaTheme="majorEastAsia" w:cstheme="majorEastAsia"/>
          <w:b/>
          <w:bCs/>
          <w:color w:val="auto"/>
          <w:sz w:val="24"/>
          <w:highlight w:val="none"/>
        </w:rPr>
      </w:pPr>
    </w:p>
    <w:p>
      <w:pPr>
        <w:spacing w:line="360" w:lineRule="auto"/>
        <w:jc w:val="center"/>
        <w:rPr>
          <w:rFonts w:hint="eastAsia" w:asciiTheme="majorEastAsia" w:hAnsiTheme="majorEastAsia" w:eastAsiaTheme="majorEastAsia" w:cstheme="maj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pPr>
        <w:spacing w:line="360" w:lineRule="auto"/>
        <w:jc w:val="center"/>
        <w:outlineLvl w:val="0"/>
        <w:rPr>
          <w:rFonts w:hint="eastAsia" w:asciiTheme="majorEastAsia" w:hAnsiTheme="majorEastAsia" w:eastAsiaTheme="majorEastAsia" w:cstheme="majorEastAsia"/>
          <w:b/>
          <w:color w:val="auto"/>
          <w:kern w:val="0"/>
          <w:sz w:val="36"/>
          <w:szCs w:val="36"/>
          <w:highlight w:val="none"/>
        </w:rPr>
      </w:pPr>
    </w:p>
    <w:p>
      <w:pPr>
        <w:numPr>
          <w:ilvl w:val="0"/>
          <w:numId w:val="18"/>
        </w:num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开标一览表（报价表）………………………………………………………（页码）</w:t>
      </w:r>
    </w:p>
    <w:p>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auto"/>
          <w:sz w:val="24"/>
          <w:highlight w:val="none"/>
          <w:lang w:val="en-US" w:eastAsia="zh-CN"/>
        </w:rPr>
        <w:t>（2）报价明细清单</w:t>
      </w:r>
      <w:r>
        <w:rPr>
          <w:rFonts w:hint="eastAsia" w:asciiTheme="majorEastAsia" w:hAnsiTheme="majorEastAsia" w:eastAsiaTheme="majorEastAsia" w:cstheme="majorEastAsia"/>
          <w:color w:val="auto"/>
          <w:sz w:val="24"/>
          <w:highlight w:val="none"/>
        </w:rPr>
        <w:t>………………………………………………………………（页码）</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）中小企业声明函………………………………………………………………（页码）</w:t>
      </w: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snapToGrid w:val="0"/>
        <w:spacing w:line="360" w:lineRule="auto"/>
        <w:ind w:right="480"/>
        <w:jc w:val="center"/>
        <w:rPr>
          <w:rFonts w:hint="eastAsia" w:asciiTheme="majorEastAsia" w:hAnsiTheme="majorEastAsia" w:eastAsiaTheme="majorEastAsia" w:cstheme="majorEastAsia"/>
          <w:b/>
          <w:color w:val="auto"/>
          <w:kern w:val="0"/>
          <w:sz w:val="32"/>
          <w:szCs w:val="32"/>
          <w:highlight w:val="none"/>
        </w:rPr>
      </w:pPr>
    </w:p>
    <w:p>
      <w:pPr>
        <w:pStyle w:val="38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hint="eastAsia" w:asciiTheme="majorEastAsia" w:hAnsiTheme="majorEastAsia" w:eastAsiaTheme="majorEastAsia" w:cstheme="majorEastAsia"/>
          <w:color w:val="auto"/>
          <w:kern w:val="2"/>
          <w:sz w:val="32"/>
          <w:szCs w:val="32"/>
          <w:highlight w:val="none"/>
        </w:rPr>
      </w:pPr>
      <w:r>
        <w:rPr>
          <w:rFonts w:hint="eastAsia" w:asciiTheme="majorEastAsia" w:hAnsiTheme="majorEastAsia" w:eastAsiaTheme="majorEastAsia" w:cstheme="majorEastAsia"/>
          <w:color w:val="auto"/>
          <w:kern w:val="2"/>
          <w:sz w:val="32"/>
          <w:szCs w:val="32"/>
          <w:highlight w:val="none"/>
        </w:rPr>
        <w:t>一、开标一览表（报价表）</w:t>
      </w:r>
    </w:p>
    <w:p>
      <w:pPr>
        <w:snapToGrid w:val="0"/>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（采购人）、（采购代理机构）</w:t>
      </w:r>
      <w:r>
        <w:rPr>
          <w:rFonts w:hint="eastAsia" w:asciiTheme="majorEastAsia" w:hAnsiTheme="majorEastAsia" w:eastAsiaTheme="majorEastAsia" w:cstheme="majorEastAsia"/>
          <w:color w:val="auto"/>
          <w:kern w:val="0"/>
          <w:sz w:val="24"/>
          <w:highlight w:val="none"/>
          <w:lang w:val="zh-CN"/>
        </w:rPr>
        <w:t>：</w:t>
      </w:r>
    </w:p>
    <w:p>
      <w:pPr>
        <w:snapToGrid w:val="0"/>
        <w:spacing w:line="360" w:lineRule="auto"/>
        <w:ind w:firstLine="482"/>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kern w:val="0"/>
          <w:sz w:val="24"/>
          <w:highlight w:val="none"/>
          <w:lang w:val="zh-CN"/>
        </w:rPr>
        <w:t>【招标编号：</w:t>
      </w:r>
      <w:r>
        <w:rPr>
          <w:rFonts w:hint="eastAsia" w:asciiTheme="majorEastAsia" w:hAnsiTheme="majorEastAsia" w:eastAsiaTheme="majorEastAsia" w:cstheme="majorEastAsia"/>
          <w:color w:val="auto"/>
          <w:sz w:val="24"/>
          <w:highlight w:val="none"/>
        </w:rPr>
        <w:t>（采购编号）】的实施</w:t>
      </w:r>
      <w:r>
        <w:rPr>
          <w:rFonts w:hint="eastAsia" w:asciiTheme="majorEastAsia" w:hAnsiTheme="majorEastAsia" w:eastAsiaTheme="majorEastAsia" w:cstheme="majorEastAsia"/>
          <w:color w:val="auto"/>
          <w:kern w:val="0"/>
          <w:sz w:val="24"/>
          <w:highlight w:val="none"/>
          <w:lang w:val="zh-CN"/>
        </w:rPr>
        <w:t>。</w:t>
      </w:r>
    </w:p>
    <w:p>
      <w:pPr>
        <w:numPr>
          <w:ilvl w:val="0"/>
          <w:numId w:val="19"/>
        </w:numPr>
        <w:spacing w:line="360" w:lineRule="auto"/>
        <w:jc w:val="center"/>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b/>
          <w:color w:val="auto"/>
          <w:kern w:val="0"/>
          <w:sz w:val="24"/>
          <w:highlight w:val="none"/>
          <w:lang w:val="zh-CN"/>
        </w:rPr>
        <w:t>开标一览表(单位均为人民币元及</w:t>
      </w:r>
      <w:r>
        <w:rPr>
          <w:rFonts w:hint="eastAsia" w:asciiTheme="majorEastAsia" w:hAnsiTheme="majorEastAsia" w:eastAsiaTheme="majorEastAsia" w:cstheme="majorEastAsia"/>
          <w:b/>
          <w:color w:val="auto"/>
          <w:kern w:val="0"/>
          <w:sz w:val="24"/>
          <w:highlight w:val="none"/>
          <w:lang w:val="en-US" w:eastAsia="zh-CN"/>
        </w:rPr>
        <w:t>%</w:t>
      </w:r>
      <w:r>
        <w:rPr>
          <w:rFonts w:hint="eastAsia" w:asciiTheme="majorEastAsia" w:hAnsiTheme="majorEastAsia" w:eastAsiaTheme="majorEastAsia" w:cstheme="majorEastAsia"/>
          <w:b/>
          <w:color w:val="auto"/>
          <w:kern w:val="0"/>
          <w:sz w:val="24"/>
          <w:highlight w:val="none"/>
          <w:lang w:val="zh-CN"/>
        </w:rPr>
        <w:t>)</w:t>
      </w:r>
    </w:p>
    <w:tbl>
      <w:tblPr>
        <w:tblStyle w:val="64"/>
        <w:tblW w:w="14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39"/>
        <w:gridCol w:w="2905"/>
        <w:gridCol w:w="638"/>
        <w:gridCol w:w="543"/>
        <w:gridCol w:w="1144"/>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序号</w:t>
            </w:r>
          </w:p>
        </w:tc>
        <w:tc>
          <w:tcPr>
            <w:tcW w:w="4144"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项目</w:t>
            </w:r>
          </w:p>
        </w:tc>
        <w:tc>
          <w:tcPr>
            <w:tcW w:w="638" w:type="dxa"/>
            <w:tcBorders>
              <w:top w:val="single" w:color="000000" w:sz="4" w:space="0"/>
              <w:left w:val="single" w:color="auto" w:sz="4" w:space="0"/>
              <w:bottom w:val="single" w:color="000000" w:sz="4" w:space="0"/>
              <w:right w:val="single" w:color="auto"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单位</w:t>
            </w:r>
          </w:p>
        </w:tc>
        <w:tc>
          <w:tcPr>
            <w:tcW w:w="543" w:type="dxa"/>
            <w:tcBorders>
              <w:top w:val="single" w:color="000000" w:sz="4" w:space="0"/>
              <w:left w:val="single" w:color="auto" w:sz="4" w:space="0"/>
              <w:bottom w:val="single" w:color="000000" w:sz="4" w:space="0"/>
              <w:right w:val="single" w:color="000000"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数量</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合计（元）</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jc w:val="center"/>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6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239" w:type="dxa"/>
            <w:vMerge w:val="restart"/>
            <w:tcBorders>
              <w:top w:val="single" w:color="000000" w:sz="4" w:space="0"/>
              <w:left w:val="single" w:color="000000"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en-US"/>
              </w:rPr>
            </w:pPr>
            <w:r>
              <w:rPr>
                <w:rFonts w:hint="eastAsia" w:asciiTheme="majorEastAsia" w:hAnsiTheme="majorEastAsia" w:eastAsiaTheme="majorEastAsia" w:cstheme="majorEastAsia"/>
                <w:color w:val="auto"/>
                <w:kern w:val="2"/>
                <w:sz w:val="18"/>
                <w:szCs w:val="18"/>
                <w:highlight w:val="none"/>
                <w:lang w:val="zh-CN" w:eastAsia="zh-CN"/>
              </w:rPr>
              <w:t>道路保洁</w:t>
            </w:r>
            <w:r>
              <w:rPr>
                <w:rFonts w:hint="eastAsia" w:asciiTheme="majorEastAsia" w:hAnsiTheme="majorEastAsia" w:eastAsiaTheme="majorEastAsia" w:cstheme="majorEastAsia"/>
                <w:color w:val="auto"/>
                <w:kern w:val="2"/>
                <w:sz w:val="18"/>
                <w:szCs w:val="18"/>
                <w:highlight w:val="none"/>
                <w:lang w:val="en-US" w:eastAsia="zh-CN"/>
              </w:rPr>
              <w:t>费</w:t>
            </w:r>
          </w:p>
        </w:tc>
        <w:tc>
          <w:tcPr>
            <w:tcW w:w="2905" w:type="dxa"/>
            <w:tcBorders>
              <w:top w:val="single" w:color="000000" w:sz="4" w:space="0"/>
              <w:left w:val="single" w:color="auto"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常保洁人员工资</w:t>
            </w:r>
          </w:p>
        </w:tc>
        <w:tc>
          <w:tcPr>
            <w:tcW w:w="638" w:type="dxa"/>
            <w:tcBorders>
              <w:top w:val="single" w:color="000000" w:sz="4" w:space="0"/>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top w:val="single" w:color="000000" w:sz="4" w:space="0"/>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0" w:hRule="atLeast"/>
        </w:trPr>
        <w:tc>
          <w:tcPr>
            <w:tcW w:w="600" w:type="dxa"/>
            <w:vMerge w:val="continue"/>
            <w:tcBorders>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p>
        </w:tc>
        <w:tc>
          <w:tcPr>
            <w:tcW w:w="1239" w:type="dxa"/>
            <w:vMerge w:val="continue"/>
            <w:tcBorders>
              <w:left w:val="single" w:color="000000"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eastAsia="zh-CN"/>
              </w:rPr>
            </w:pPr>
          </w:p>
        </w:tc>
        <w:tc>
          <w:tcPr>
            <w:tcW w:w="2905" w:type="dxa"/>
            <w:tcBorders>
              <w:top w:val="single" w:color="000000" w:sz="4" w:space="0"/>
              <w:left w:val="single" w:color="auto" w:sz="4" w:space="0"/>
              <w:right w:val="single" w:color="auto"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设备投入费用</w:t>
            </w:r>
          </w:p>
        </w:tc>
        <w:tc>
          <w:tcPr>
            <w:tcW w:w="638" w:type="dxa"/>
            <w:tcBorders>
              <w:top w:val="single" w:color="000000" w:sz="4" w:space="0"/>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top w:val="single" w:color="000000" w:sz="4" w:space="0"/>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3" w:hRule="atLeast"/>
        </w:trPr>
        <w:tc>
          <w:tcPr>
            <w:tcW w:w="600" w:type="dxa"/>
            <w:vMerge w:val="restart"/>
            <w:tcBorders>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2</w:t>
            </w:r>
          </w:p>
        </w:tc>
        <w:tc>
          <w:tcPr>
            <w:tcW w:w="1239" w:type="dxa"/>
            <w:vMerge w:val="restart"/>
            <w:tcBorders>
              <w:left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en-US"/>
              </w:rPr>
            </w:pPr>
            <w:r>
              <w:rPr>
                <w:rFonts w:hint="eastAsia" w:asciiTheme="majorEastAsia" w:hAnsiTheme="majorEastAsia" w:eastAsiaTheme="majorEastAsia" w:cstheme="majorEastAsia"/>
                <w:color w:val="auto"/>
                <w:kern w:val="2"/>
                <w:sz w:val="18"/>
                <w:szCs w:val="18"/>
                <w:highlight w:val="none"/>
                <w:lang w:val="en-US" w:eastAsia="zh-CN"/>
              </w:rPr>
              <w:t>绿化养护费</w:t>
            </w:r>
          </w:p>
        </w:tc>
        <w:tc>
          <w:tcPr>
            <w:tcW w:w="2905" w:type="dxa"/>
            <w:tcBorders>
              <w:left w:val="single" w:color="auto"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sz w:val="18"/>
                <w:szCs w:val="18"/>
                <w:highlight w:val="none"/>
              </w:rPr>
              <w:t>日常养护费 （绿化养护费的70%</w:t>
            </w:r>
            <w:r>
              <w:rPr>
                <w:rFonts w:hint="eastAsia" w:asciiTheme="majorEastAsia" w:hAnsiTheme="majorEastAsia" w:eastAsiaTheme="majorEastAsia" w:cstheme="majorEastAsia"/>
                <w:color w:val="auto"/>
                <w:sz w:val="18"/>
                <w:szCs w:val="18"/>
                <w:highlight w:val="none"/>
                <w:lang w:eastAsia="zh-CN"/>
              </w:rPr>
              <w:t>）</w:t>
            </w:r>
          </w:p>
        </w:tc>
        <w:tc>
          <w:tcPr>
            <w:tcW w:w="638" w:type="dxa"/>
            <w:tcBorders>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trPr>
        <w:tc>
          <w:tcPr>
            <w:tcW w:w="600" w:type="dxa"/>
            <w:vMerge w:val="continue"/>
            <w:tcBorders>
              <w:left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p>
        </w:tc>
        <w:tc>
          <w:tcPr>
            <w:tcW w:w="1239" w:type="dxa"/>
            <w:vMerge w:val="continue"/>
            <w:tcBorders>
              <w:left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zh-CN" w:eastAsia="zh-CN"/>
              </w:rPr>
            </w:pPr>
          </w:p>
        </w:tc>
        <w:tc>
          <w:tcPr>
            <w:tcW w:w="2905" w:type="dxa"/>
            <w:tcBorders>
              <w:left w:val="single" w:color="auto"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sz w:val="18"/>
                <w:szCs w:val="18"/>
                <w:highlight w:val="none"/>
                <w:lang w:val="en-US" w:eastAsia="zh-CN"/>
              </w:rPr>
              <w:t>更</w:t>
            </w:r>
            <w:r>
              <w:rPr>
                <w:rFonts w:hint="eastAsia" w:asciiTheme="majorEastAsia" w:hAnsiTheme="majorEastAsia" w:eastAsiaTheme="majorEastAsia" w:cstheme="majorEastAsia"/>
                <w:color w:val="auto"/>
                <w:sz w:val="18"/>
                <w:szCs w:val="18"/>
                <w:highlight w:val="none"/>
              </w:rPr>
              <w:t>新改造费 （绿化养护费的30%）</w:t>
            </w:r>
          </w:p>
        </w:tc>
        <w:tc>
          <w:tcPr>
            <w:tcW w:w="638" w:type="dxa"/>
            <w:tcBorders>
              <w:left w:val="single" w:color="auto"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18"/>
                <w:szCs w:val="18"/>
                <w:highlight w:val="none"/>
                <w:lang w:val="zh-CN" w:eastAsia="zh-CN" w:bidi="ar-SA"/>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ajorEastAsia" w:hAnsiTheme="majorEastAsia" w:eastAsiaTheme="majorEastAsia" w:cstheme="majorEastAsia"/>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6"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3</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zh-CN" w:eastAsia="zh-CN"/>
              </w:rPr>
              <w:t>时花</w:t>
            </w:r>
            <w:r>
              <w:rPr>
                <w:rFonts w:hint="eastAsia" w:asciiTheme="majorEastAsia" w:hAnsiTheme="majorEastAsia" w:eastAsiaTheme="majorEastAsia" w:cstheme="majorEastAsia"/>
                <w:color w:val="auto"/>
                <w:kern w:val="2"/>
                <w:sz w:val="18"/>
                <w:szCs w:val="18"/>
                <w:highlight w:val="none"/>
                <w:lang w:val="en-US" w:eastAsia="zh-CN"/>
              </w:rPr>
              <w:t>种植及养护费</w:t>
            </w:r>
          </w:p>
        </w:tc>
        <w:tc>
          <w:tcPr>
            <w:tcW w:w="638" w:type="dxa"/>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4</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zh-CN" w:eastAsia="zh-CN"/>
              </w:rPr>
            </w:pPr>
            <w:r>
              <w:rPr>
                <w:rFonts w:hint="eastAsia" w:asciiTheme="majorEastAsia" w:hAnsiTheme="majorEastAsia" w:eastAsiaTheme="majorEastAsia" w:cstheme="majorEastAsia"/>
                <w:color w:val="auto"/>
                <w:kern w:val="2"/>
                <w:sz w:val="18"/>
                <w:szCs w:val="18"/>
                <w:highlight w:val="none"/>
                <w:lang w:val="en-US" w:eastAsia="zh-CN"/>
              </w:rPr>
              <w:t>公厕保洁费</w:t>
            </w:r>
          </w:p>
        </w:tc>
        <w:tc>
          <w:tcPr>
            <w:tcW w:w="638" w:type="dxa"/>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6" w:hRule="atLeast"/>
        </w:trPr>
        <w:tc>
          <w:tcPr>
            <w:tcW w:w="600" w:type="dxa"/>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5</w:t>
            </w:r>
          </w:p>
        </w:tc>
        <w:tc>
          <w:tcPr>
            <w:tcW w:w="4144" w:type="dxa"/>
            <w:gridSpan w:val="2"/>
            <w:tcBorders>
              <w:left w:val="single" w:color="000000" w:sz="4" w:space="0"/>
              <w:bottom w:val="single" w:color="000000" w:sz="4" w:space="0"/>
              <w:right w:val="single" w:color="auto" w:sz="4" w:space="0"/>
            </w:tcBorders>
            <w:noWrap w:val="0"/>
            <w:vAlign w:val="center"/>
          </w:tcPr>
          <w:p>
            <w:pPr>
              <w:spacing w:line="240" w:lineRule="auto"/>
              <w:ind w:firstLine="0" w:firstLineChars="0"/>
              <w:jc w:val="left"/>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color w:val="auto"/>
                <w:kern w:val="2"/>
                <w:sz w:val="18"/>
                <w:szCs w:val="18"/>
                <w:highlight w:val="none"/>
                <w:lang w:val="en-US" w:eastAsia="zh-CN"/>
              </w:rPr>
              <w:t>市政养护费</w:t>
            </w:r>
          </w:p>
        </w:tc>
        <w:tc>
          <w:tcPr>
            <w:tcW w:w="638" w:type="dxa"/>
            <w:tcBorders>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en-US" w:eastAsia="zh-CN"/>
              </w:rPr>
              <w:t>项</w:t>
            </w:r>
          </w:p>
        </w:tc>
        <w:tc>
          <w:tcPr>
            <w:tcW w:w="543" w:type="dxa"/>
            <w:tcBorders>
              <w:left w:val="single" w:color="auto"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en-US" w:eastAsia="zh-CN" w:bidi="ar-SA"/>
              </w:rPr>
            </w:pPr>
            <w:r>
              <w:rPr>
                <w:rFonts w:hint="eastAsia" w:asciiTheme="majorEastAsia" w:hAnsiTheme="majorEastAsia" w:eastAsiaTheme="majorEastAsia" w:cstheme="majorEastAsia"/>
                <w:color w:val="auto"/>
                <w:kern w:val="2"/>
                <w:sz w:val="18"/>
                <w:szCs w:val="18"/>
                <w:highlight w:val="none"/>
                <w:lang w:val="en-US" w:eastAsia="zh-CN"/>
              </w:rPr>
              <w:t>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u w:val="single"/>
                <w:lang w:val="en-US" w:eastAsia="zh-CN" w:bidi="ar-SA"/>
              </w:rPr>
            </w:pPr>
            <w:r>
              <w:rPr>
                <w:rFonts w:hint="eastAsia" w:asciiTheme="majorEastAsia" w:hAnsiTheme="majorEastAsia" w:eastAsiaTheme="majorEastAsia" w:cstheme="majorEastAsia"/>
                <w:color w:val="auto"/>
                <w:kern w:val="2"/>
                <w:sz w:val="18"/>
                <w:szCs w:val="18"/>
                <w:highlight w:val="none"/>
                <w:u w:val="single"/>
                <w:lang w:val="en-US" w:eastAsia="zh-CN"/>
              </w:rPr>
              <w:t xml:space="preserve">   </w:t>
            </w:r>
            <w:r>
              <w:rPr>
                <w:rFonts w:hint="eastAsia" w:asciiTheme="majorEastAsia" w:hAnsiTheme="majorEastAsia" w:eastAsiaTheme="majorEastAsia" w:cstheme="majorEastAsia"/>
                <w:color w:val="auto"/>
                <w:kern w:val="2"/>
                <w:sz w:val="18"/>
                <w:szCs w:val="18"/>
                <w:highlight w:val="none"/>
                <w:lang w:val="zh-CN"/>
              </w:rPr>
              <w:t>%</w:t>
            </w:r>
          </w:p>
        </w:tc>
        <w:tc>
          <w:tcPr>
            <w:tcW w:w="71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92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left="0" w:firstLine="180" w:firstLineChars="100"/>
              <w:jc w:val="left"/>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费用</w:t>
            </w:r>
            <w:r>
              <w:rPr>
                <w:rFonts w:hint="eastAsia" w:asciiTheme="majorEastAsia" w:hAnsiTheme="majorEastAsia" w:eastAsiaTheme="majorEastAsia" w:cstheme="majorEastAsia"/>
                <w:color w:val="auto"/>
                <w:kern w:val="2"/>
                <w:sz w:val="18"/>
                <w:szCs w:val="18"/>
                <w:highlight w:val="none"/>
                <w:lang w:val="en-US" w:eastAsia="zh-CN"/>
              </w:rPr>
              <w:t>一</w:t>
            </w:r>
            <w:r>
              <w:rPr>
                <w:rFonts w:hint="eastAsia" w:asciiTheme="majorEastAsia" w:hAnsiTheme="majorEastAsia" w:eastAsiaTheme="majorEastAsia" w:cstheme="majorEastAsia"/>
                <w:color w:val="auto"/>
                <w:kern w:val="2"/>
                <w:sz w:val="18"/>
                <w:szCs w:val="18"/>
                <w:highlight w:val="none"/>
                <w:lang w:val="zh-CN"/>
              </w:rPr>
              <w:t>合计总价（1+2+3</w:t>
            </w:r>
            <w:r>
              <w:rPr>
                <w:rFonts w:hint="eastAsia" w:asciiTheme="majorEastAsia" w:hAnsiTheme="majorEastAsia" w:eastAsiaTheme="majorEastAsia" w:cstheme="majorEastAsia"/>
                <w:color w:val="auto"/>
                <w:kern w:val="2"/>
                <w:sz w:val="18"/>
                <w:szCs w:val="18"/>
                <w:highlight w:val="none"/>
                <w:lang w:val="en-US" w:eastAsia="zh-CN"/>
              </w:rPr>
              <w:t>+4</w:t>
            </w:r>
            <w:r>
              <w:rPr>
                <w:rFonts w:hint="eastAsia" w:asciiTheme="majorEastAsia" w:hAnsiTheme="majorEastAsia" w:eastAsiaTheme="majorEastAsia" w:cstheme="majorEastAsia"/>
                <w:color w:val="auto"/>
                <w:kern w:val="2"/>
                <w:sz w:val="18"/>
                <w:szCs w:val="18"/>
                <w:highlight w:val="none"/>
                <w:lang w:val="zh-CN"/>
              </w:rPr>
              <w:t>）</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小写（元）</w:t>
            </w:r>
          </w:p>
        </w:tc>
        <w:tc>
          <w:tcPr>
            <w:tcW w:w="7125"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大写（元）</w:t>
            </w:r>
          </w:p>
        </w:tc>
        <w:tc>
          <w:tcPr>
            <w:tcW w:w="7125" w:type="dxa"/>
            <w:tcBorders>
              <w:top w:val="single" w:color="auto" w:sz="4" w:space="0"/>
              <w:left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925"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180" w:firstLineChars="100"/>
              <w:jc w:val="left"/>
              <w:rPr>
                <w:rFonts w:hint="eastAsia" w:asciiTheme="majorEastAsia" w:hAnsiTheme="majorEastAsia" w:eastAsiaTheme="majorEastAsia" w:cstheme="majorEastAsia"/>
                <w:color w:val="auto"/>
                <w:kern w:val="2"/>
                <w:sz w:val="18"/>
                <w:szCs w:val="18"/>
                <w:highlight w:val="none"/>
                <w:lang w:val="en-US" w:eastAsia="zh-CN"/>
              </w:rPr>
            </w:pPr>
            <w:r>
              <w:rPr>
                <w:rFonts w:hint="eastAsia" w:asciiTheme="majorEastAsia" w:hAnsiTheme="majorEastAsia" w:eastAsiaTheme="majorEastAsia" w:cstheme="majorEastAsia"/>
                <w:color w:val="auto"/>
                <w:kern w:val="2"/>
                <w:sz w:val="18"/>
                <w:szCs w:val="18"/>
                <w:highlight w:val="none"/>
                <w:lang w:val="zh-CN"/>
              </w:rPr>
              <w:t>费用</w:t>
            </w:r>
            <w:r>
              <w:rPr>
                <w:rFonts w:hint="eastAsia" w:asciiTheme="majorEastAsia" w:hAnsiTheme="majorEastAsia" w:eastAsiaTheme="majorEastAsia" w:cstheme="majorEastAsia"/>
                <w:color w:val="auto"/>
                <w:kern w:val="2"/>
                <w:sz w:val="18"/>
                <w:szCs w:val="18"/>
                <w:highlight w:val="none"/>
                <w:lang w:val="en-US" w:eastAsia="zh-CN"/>
              </w:rPr>
              <w:t>二合计总价（5）</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r>
              <w:rPr>
                <w:rFonts w:hint="eastAsia" w:asciiTheme="majorEastAsia" w:hAnsiTheme="majorEastAsia" w:eastAsiaTheme="majorEastAsia" w:cstheme="majorEastAsia"/>
                <w:color w:val="auto"/>
                <w:kern w:val="2"/>
                <w:sz w:val="18"/>
                <w:szCs w:val="18"/>
                <w:highlight w:val="none"/>
                <w:lang w:val="zh-CN"/>
              </w:rPr>
              <w:t>小写（</w:t>
            </w:r>
            <w:r>
              <w:rPr>
                <w:rFonts w:hint="eastAsia" w:asciiTheme="majorEastAsia" w:hAnsiTheme="majorEastAsia" w:eastAsiaTheme="majorEastAsia" w:cstheme="majorEastAsia"/>
                <w:color w:val="auto"/>
                <w:kern w:val="2"/>
                <w:sz w:val="18"/>
                <w:szCs w:val="18"/>
                <w:highlight w:val="none"/>
                <w:lang w:val="en-US" w:eastAsia="zh-CN"/>
              </w:rPr>
              <w:t>%</w:t>
            </w:r>
            <w:r>
              <w:rPr>
                <w:rFonts w:hint="eastAsia" w:asciiTheme="majorEastAsia" w:hAnsiTheme="majorEastAsia" w:eastAsiaTheme="majorEastAsia" w:cstheme="majorEastAsia"/>
                <w:color w:val="auto"/>
                <w:kern w:val="2"/>
                <w:sz w:val="18"/>
                <w:szCs w:val="18"/>
                <w:highlight w:val="none"/>
                <w:lang w:val="zh-CN"/>
              </w:rPr>
              <w:t>）</w:t>
            </w:r>
          </w:p>
        </w:tc>
        <w:tc>
          <w:tcPr>
            <w:tcW w:w="7125" w:type="dxa"/>
            <w:tcBorders>
              <w:top w:val="single" w:color="auto" w:sz="4" w:space="0"/>
              <w:left w:val="single" w:color="000000" w:sz="4" w:space="0"/>
              <w:right w:val="single" w:color="000000" w:sz="4" w:space="0"/>
            </w:tcBorders>
            <w:noWrap w:val="0"/>
            <w:vAlign w:val="center"/>
          </w:tcPr>
          <w:p>
            <w:pPr>
              <w:spacing w:line="240" w:lineRule="auto"/>
              <w:jc w:val="left"/>
              <w:rPr>
                <w:rFonts w:hint="eastAsia" w:asciiTheme="majorEastAsia" w:hAnsiTheme="majorEastAsia" w:eastAsiaTheme="majorEastAsia" w:cstheme="majorEastAsia"/>
                <w:color w:val="auto"/>
                <w:kern w:val="2"/>
                <w:sz w:val="18"/>
                <w:szCs w:val="18"/>
                <w:highlight w:val="none"/>
                <w:lang w:val="zh-CN"/>
              </w:rPr>
            </w:pPr>
          </w:p>
        </w:tc>
      </w:tr>
    </w:tbl>
    <w:p>
      <w:pPr>
        <w:snapToGrid w:val="0"/>
        <w:spacing w:line="360" w:lineRule="auto"/>
        <w:ind w:left="480"/>
        <w:rPr>
          <w:rFonts w:hint="eastAsia" w:asciiTheme="majorEastAsia" w:hAnsiTheme="majorEastAsia" w:eastAsiaTheme="majorEastAsia" w:cstheme="majorEastAsia"/>
          <w:b/>
          <w:color w:val="auto"/>
          <w:kern w:val="0"/>
          <w:sz w:val="24"/>
          <w:highlight w:val="none"/>
          <w:lang w:val="zh-CN"/>
        </w:rPr>
      </w:pPr>
      <w:r>
        <w:rPr>
          <w:rFonts w:hint="eastAsia" w:asciiTheme="majorEastAsia" w:hAnsiTheme="majorEastAsia" w:eastAsiaTheme="majorEastAsia" w:cstheme="majorEastAsia"/>
          <w:b/>
          <w:color w:val="auto"/>
          <w:kern w:val="0"/>
          <w:sz w:val="24"/>
          <w:highlight w:val="none"/>
          <w:lang w:val="zh-CN"/>
        </w:rPr>
        <w:t>注：</w:t>
      </w:r>
    </w:p>
    <w:p>
      <w:pPr>
        <w:spacing w:line="360" w:lineRule="auto"/>
        <w:ind w:left="-2"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1、投标人需按本表格式填写，不得自行更改。</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2、有关本项目实施所涉及的一切费用均计入报价。</w:t>
      </w:r>
      <w:r>
        <w:rPr>
          <w:rFonts w:hint="eastAsia" w:asciiTheme="majorEastAsia" w:hAnsiTheme="majorEastAsia" w:eastAsiaTheme="majorEastAsia" w:cstheme="majorEastAsia"/>
          <w:b/>
          <w:color w:val="auto"/>
          <w:kern w:val="0"/>
          <w:sz w:val="24"/>
          <w:highlight w:val="none"/>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b/>
          <w:color w:val="auto"/>
          <w:kern w:val="0"/>
          <w:sz w:val="24"/>
          <w:highlight w:val="none"/>
          <w:lang w:val="zh-CN"/>
        </w:rPr>
        <w:t>不得出现“0元”“免费赠送”等形式的无偿报价，</w:t>
      </w:r>
      <w:r>
        <w:rPr>
          <w:rFonts w:hint="eastAsia" w:asciiTheme="majorEastAsia" w:hAnsiTheme="majorEastAsia" w:eastAsiaTheme="majorEastAsia" w:cstheme="majorEastAsia"/>
          <w:b/>
          <w:color w:val="auto"/>
          <w:kern w:val="0"/>
          <w:sz w:val="24"/>
          <w:highlight w:val="none"/>
        </w:rPr>
        <w:t>否则视为</w:t>
      </w:r>
      <w:r>
        <w:rPr>
          <w:rFonts w:hint="eastAsia" w:asciiTheme="majorEastAsia" w:hAnsiTheme="majorEastAsia" w:eastAsiaTheme="majorEastAsia" w:cstheme="majorEastAsia"/>
          <w:b/>
          <w:color w:val="auto"/>
          <w:sz w:val="24"/>
          <w:highlight w:val="none"/>
        </w:rPr>
        <w:t>投标文件含有采购人不能接受的附加条件的，投标无效</w:t>
      </w:r>
      <w:r>
        <w:rPr>
          <w:rFonts w:hint="eastAsia" w:asciiTheme="majorEastAsia" w:hAnsiTheme="majorEastAsia" w:eastAsiaTheme="majorEastAsia" w:cstheme="majorEastAsia"/>
          <w:b/>
          <w:color w:val="auto"/>
          <w:kern w:val="0"/>
          <w:sz w:val="24"/>
          <w:highlight w:val="none"/>
          <w:lang w:val="zh-CN"/>
        </w:rPr>
        <w:t>。</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szCs w:val="22"/>
          <w:highlight w:val="none"/>
          <w:lang w:val="zh-CN"/>
        </w:rPr>
        <w:t>5、</w:t>
      </w:r>
      <w:r>
        <w:rPr>
          <w:rFonts w:hint="eastAsia" w:asciiTheme="majorEastAsia" w:hAnsiTheme="majorEastAsia" w:eastAsiaTheme="majorEastAsia" w:cstheme="maj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382"/>
        <w:snapToGrid w:val="0"/>
        <w:spacing w:before="120" w:after="120"/>
        <w:ind w:firstLine="0"/>
        <w:outlineLvl w:val="9"/>
        <w:rPr>
          <w:rFonts w:hint="eastAsia" w:asciiTheme="majorEastAsia" w:hAnsiTheme="majorEastAsia" w:eastAsiaTheme="majorEastAsia" w:cstheme="majorEastAsia"/>
          <w:color w:val="auto"/>
          <w:highlight w:val="none"/>
        </w:rPr>
      </w:pP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独立投标：投标人名称(电子签名)：</w:t>
      </w: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或</w:t>
      </w:r>
    </w:p>
    <w:p>
      <w:pPr>
        <w:snapToGrid w:val="0"/>
        <w:spacing w:line="360" w:lineRule="auto"/>
        <w:jc w:val="righ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采用联合体投标：联合体牵头人名称(电子签名/盖章)：</w:t>
      </w:r>
    </w:p>
    <w:p>
      <w:pPr>
        <w:pStyle w:val="382"/>
        <w:snapToGrid w:val="0"/>
        <w:spacing w:before="120" w:after="120"/>
        <w:ind w:firstLine="0"/>
        <w:jc w:val="right"/>
        <w:outlineLvl w:val="9"/>
        <w:rPr>
          <w:rFonts w:hint="eastAsia" w:asciiTheme="majorEastAsia" w:hAnsiTheme="majorEastAsia" w:eastAsiaTheme="majorEastAsia" w:cs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asciiTheme="majorEastAsia" w:hAnsiTheme="majorEastAsia" w:eastAsiaTheme="majorEastAsia" w:cstheme="majorEastAsia"/>
          <w:color w:val="auto"/>
          <w:sz w:val="24"/>
          <w:highlight w:val="none"/>
        </w:rPr>
        <w:t xml:space="preserve">   日期：  年   月 </w:t>
      </w:r>
    </w:p>
    <w:p>
      <w:pPr>
        <w:pStyle w:val="82"/>
        <w:numPr>
          <w:ilvl w:val="0"/>
          <w:numId w:val="0"/>
        </w:numPr>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19"/>
        </w:numPr>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道路报价明细清单1</w:t>
      </w:r>
    </w:p>
    <w:tbl>
      <w:tblPr>
        <w:tblStyle w:val="64"/>
        <w:tblW w:w="14516"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692"/>
        <w:gridCol w:w="1033"/>
        <w:gridCol w:w="2216"/>
        <w:gridCol w:w="1105"/>
        <w:gridCol w:w="1028"/>
        <w:gridCol w:w="1950"/>
        <w:gridCol w:w="2060"/>
        <w:gridCol w:w="2121"/>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序号 </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保洁</w:t>
            </w:r>
          </w:p>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等级</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道路名</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起止点</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长度(m)</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平均 </w:t>
            </w:r>
          </w:p>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宽度(m)</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道路及人行道面积</w:t>
            </w:r>
            <w:r>
              <w:rPr>
                <w:rFonts w:hint="eastAsia" w:asciiTheme="minorEastAsia" w:hAnsiTheme="minorEastAsia" w:eastAsiaTheme="minorEastAsia" w:cstheme="minorEastAsia"/>
                <w:color w:val="auto"/>
                <w:kern w:val="0"/>
                <w:sz w:val="24"/>
                <w:szCs w:val="24"/>
                <w:highlight w:val="none"/>
              </w:rPr>
              <w:t>(m2)</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b w:val="0"/>
                <w:color w:val="auto"/>
                <w:kern w:val="0"/>
                <w:sz w:val="24"/>
                <w:szCs w:val="24"/>
                <w:highlight w:val="none"/>
                <w:u w:val="none"/>
                <w:lang w:eastAsia="zh-CN" w:bidi="ar"/>
              </w:rPr>
            </w:pPr>
            <w:r>
              <w:rPr>
                <w:rFonts w:hint="eastAsia" w:asciiTheme="minorEastAsia" w:hAnsiTheme="minorEastAsia" w:eastAsiaTheme="minorEastAsia" w:cstheme="minorEastAsia"/>
                <w:color w:val="auto"/>
                <w:sz w:val="24"/>
                <w:szCs w:val="24"/>
                <w:highlight w:val="none"/>
                <w:lang w:val="en-US" w:eastAsia="zh-CN"/>
              </w:rPr>
              <w:t>综合</w:t>
            </w:r>
            <w:r>
              <w:rPr>
                <w:rFonts w:hint="eastAsia" w:asciiTheme="minorEastAsia" w:hAnsiTheme="minorEastAsia" w:eastAsiaTheme="minorEastAsia" w:cstheme="minorEastAsia"/>
                <w:b w:val="0"/>
                <w:color w:val="auto"/>
                <w:kern w:val="0"/>
                <w:sz w:val="24"/>
                <w:szCs w:val="24"/>
                <w:highlight w:val="none"/>
                <w:u w:val="none"/>
                <w:lang w:eastAsia="zh-CN" w:bidi="ar"/>
              </w:rPr>
              <w:t>单项最高限价</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（元/平方米/年）</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综合单价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（元/平方米/年）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年合计</w:t>
            </w:r>
            <w:r>
              <w:rPr>
                <w:rFonts w:hint="eastAsia" w:asciiTheme="minorEastAsia" w:hAnsiTheme="minorEastAsia" w:eastAsiaTheme="minorEastAsia" w:cstheme="minorEastAsia"/>
                <w:color w:val="auto"/>
                <w:sz w:val="24"/>
                <w:szCs w:val="24"/>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w:t>
            </w:r>
          </w:p>
        </w:tc>
        <w:tc>
          <w:tcPr>
            <w:tcW w:w="692"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033"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舒心路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爱橙街-文二西路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546</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12208</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w:t>
            </w:r>
          </w:p>
        </w:tc>
        <w:tc>
          <w:tcPr>
            <w:tcW w:w="692"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二类</w:t>
            </w:r>
          </w:p>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道路保洁标准</w:t>
            </w: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创景路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文一西路-葛巷路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735</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26130</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葛巷路-文二西路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150</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38</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5309</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景兴路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文一西路-文二西路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966</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31020</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万和路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文一西路-绿汀路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1300</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29530</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颐和路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绿汀路-科凯路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245</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14</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3271</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爱橙街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万和路-绿汀路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580</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36</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20880</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爱橙街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绿汀路-良睦路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1944.3</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56384</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思凯路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文一西路-葛巷路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671</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18957</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葛巷路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绿汀路-思凯路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1691.7</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22</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35794</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永兴路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创明路-闲林港</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736</w:t>
            </w:r>
          </w:p>
        </w:tc>
        <w:tc>
          <w:tcPr>
            <w:tcW w:w="1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14028</w:t>
            </w:r>
          </w:p>
        </w:tc>
        <w:tc>
          <w:tcPr>
            <w:tcW w:w="20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w:t>
            </w:r>
          </w:p>
        </w:tc>
        <w:tc>
          <w:tcPr>
            <w:tcW w:w="692" w:type="dxa"/>
            <w:vMerge w:val="continue"/>
            <w:tcBorders>
              <w:top w:val="nil"/>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良上线</w:t>
            </w:r>
          </w:p>
        </w:tc>
        <w:tc>
          <w:tcPr>
            <w:tcW w:w="221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eastAsia="zh-CN" w:bidi="ar"/>
              </w:rPr>
              <w:t>水乡北路</w:t>
            </w:r>
            <w:r>
              <w:rPr>
                <w:rFonts w:hint="eastAsia" w:asciiTheme="minorEastAsia" w:hAnsiTheme="minorEastAsia" w:eastAsiaTheme="minorEastAsia" w:cstheme="minorEastAsia"/>
                <w:color w:val="000000"/>
                <w:kern w:val="0"/>
                <w:sz w:val="24"/>
                <w:szCs w:val="24"/>
                <w:highlight w:val="none"/>
                <w:lang w:val="en-US" w:eastAsia="zh-CN" w:bidi="ar"/>
              </w:rPr>
              <w:t>-万和路</w:t>
            </w:r>
          </w:p>
        </w:tc>
        <w:tc>
          <w:tcPr>
            <w:tcW w:w="1105"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1146</w:t>
            </w:r>
          </w:p>
        </w:tc>
        <w:tc>
          <w:tcPr>
            <w:tcW w:w="1028"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28</w:t>
            </w:r>
          </w:p>
        </w:tc>
        <w:tc>
          <w:tcPr>
            <w:tcW w:w="195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22070</w:t>
            </w:r>
          </w:p>
        </w:tc>
        <w:tc>
          <w:tcPr>
            <w:tcW w:w="2060"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22.98</w:t>
            </w:r>
          </w:p>
        </w:tc>
        <w:tc>
          <w:tcPr>
            <w:tcW w:w="2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70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3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70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3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r>
    </w:tbl>
    <w:p>
      <w:pPr>
        <w:pStyle w:val="82"/>
        <w:numPr>
          <w:ilvl w:val="0"/>
          <w:numId w:val="0"/>
        </w:numPr>
        <w:ind w:leftChars="0"/>
        <w:jc w:val="both"/>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ind w:leftChars="0"/>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19"/>
        </w:numPr>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绿化养护报价明细清单2</w:t>
      </w:r>
    </w:p>
    <w:tbl>
      <w:tblPr>
        <w:tblStyle w:val="64"/>
        <w:tblW w:w="14723"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692"/>
        <w:gridCol w:w="1033"/>
        <w:gridCol w:w="2216"/>
        <w:gridCol w:w="914"/>
        <w:gridCol w:w="1077"/>
        <w:gridCol w:w="1241"/>
        <w:gridCol w:w="1159"/>
        <w:gridCol w:w="1077"/>
        <w:gridCol w:w="1023"/>
        <w:gridCol w:w="1377"/>
        <w:gridCol w:w="1173"/>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序号 </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000000"/>
                <w:kern w:val="0"/>
                <w:sz w:val="24"/>
                <w:szCs w:val="24"/>
                <w:highlight w:val="none"/>
                <w:lang w:eastAsia="zh-CN" w:bidi="ar"/>
              </w:rPr>
              <w:t>养护</w:t>
            </w:r>
            <w:r>
              <w:rPr>
                <w:rFonts w:hint="eastAsia" w:asciiTheme="minorEastAsia" w:hAnsiTheme="minorEastAsia" w:eastAsiaTheme="minorEastAsia" w:cstheme="minorEastAsia"/>
                <w:color w:val="auto"/>
                <w:sz w:val="24"/>
                <w:szCs w:val="24"/>
                <w:highlight w:val="none"/>
              </w:rPr>
              <w:t>等级</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道路名</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起止点</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长度(m)</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绿化面积 (m2)</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综合</w:t>
            </w:r>
            <w:r>
              <w:rPr>
                <w:rFonts w:hint="eastAsia" w:asciiTheme="minorEastAsia" w:hAnsiTheme="minorEastAsia" w:eastAsiaTheme="minorEastAsia" w:cstheme="minorEastAsia"/>
                <w:b w:val="0"/>
                <w:color w:val="auto"/>
                <w:kern w:val="0"/>
                <w:sz w:val="24"/>
                <w:szCs w:val="24"/>
                <w:highlight w:val="none"/>
                <w:u w:val="none"/>
                <w:lang w:eastAsia="zh-CN" w:bidi="ar"/>
              </w:rPr>
              <w:t>单项最高限价</w:t>
            </w:r>
            <w:r>
              <w:rPr>
                <w:rFonts w:hint="eastAsia" w:asciiTheme="minorEastAsia" w:hAnsiTheme="minorEastAsia" w:eastAsiaTheme="minorEastAsia" w:cstheme="minorEastAsia"/>
                <w:color w:val="auto"/>
                <w:sz w:val="24"/>
                <w:szCs w:val="24"/>
                <w:highlight w:val="none"/>
                <w:lang w:val="en-US" w:eastAsia="zh-CN"/>
              </w:rPr>
              <w:t>（元/平方米·年）</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综合单价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（元/平方米·年） </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年合计</w:t>
            </w:r>
            <w:r>
              <w:rPr>
                <w:rFonts w:hint="eastAsia" w:asciiTheme="minorEastAsia" w:hAnsiTheme="minorEastAsia" w:eastAsiaTheme="minorEastAsia" w:cstheme="minorEastAsia"/>
                <w:color w:val="auto"/>
                <w:sz w:val="24"/>
                <w:szCs w:val="24"/>
                <w:highlight w:val="none"/>
                <w:lang w:val="en-US" w:eastAsia="zh-CN"/>
              </w:rPr>
              <w:t>(元)</w:t>
            </w: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人行道树木(</w:t>
            </w:r>
            <w:r>
              <w:rPr>
                <w:rFonts w:hint="eastAsia" w:asciiTheme="minorEastAsia" w:hAnsiTheme="minorEastAsia" w:eastAsiaTheme="minorEastAsia" w:cstheme="minorEastAsia"/>
                <w:color w:val="auto"/>
                <w:kern w:val="0"/>
                <w:sz w:val="24"/>
                <w:szCs w:val="24"/>
                <w:highlight w:val="none"/>
              </w:rPr>
              <w:t>m2</w:t>
            </w:r>
            <w:r>
              <w:rPr>
                <w:rFonts w:hint="eastAsia" w:asciiTheme="minorEastAsia" w:hAnsiTheme="minorEastAsia" w:eastAsiaTheme="minorEastAsia" w:cstheme="minorEastAsia"/>
                <w:color w:val="auto"/>
                <w:kern w:val="0"/>
                <w:sz w:val="24"/>
                <w:szCs w:val="24"/>
                <w:highlight w:val="none"/>
                <w:lang w:bidi="ar"/>
              </w:rPr>
              <w:t>)</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b w:val="0"/>
                <w:color w:val="auto"/>
                <w:kern w:val="0"/>
                <w:sz w:val="24"/>
                <w:szCs w:val="24"/>
                <w:highlight w:val="none"/>
                <w:u w:val="none"/>
                <w:lang w:eastAsia="zh-CN" w:bidi="ar"/>
              </w:rPr>
            </w:pPr>
            <w:r>
              <w:rPr>
                <w:rFonts w:hint="eastAsia" w:asciiTheme="minorEastAsia" w:hAnsiTheme="minorEastAsia" w:eastAsiaTheme="minorEastAsia" w:cstheme="minorEastAsia"/>
                <w:color w:val="auto"/>
                <w:sz w:val="24"/>
                <w:szCs w:val="24"/>
                <w:highlight w:val="none"/>
                <w:lang w:val="en-US" w:eastAsia="zh-CN"/>
              </w:rPr>
              <w:t>综合</w:t>
            </w:r>
            <w:r>
              <w:rPr>
                <w:rFonts w:hint="eastAsia" w:asciiTheme="minorEastAsia" w:hAnsiTheme="minorEastAsia" w:eastAsiaTheme="minorEastAsia" w:cstheme="minorEastAsia"/>
                <w:b w:val="0"/>
                <w:color w:val="auto"/>
                <w:kern w:val="0"/>
                <w:sz w:val="24"/>
                <w:szCs w:val="24"/>
                <w:highlight w:val="none"/>
                <w:u w:val="none"/>
                <w:lang w:eastAsia="zh-CN" w:bidi="ar"/>
              </w:rPr>
              <w:t>单项最高限价</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元/平方/年</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综合单价 </w:t>
            </w:r>
          </w:p>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（元/平方米·年） </w:t>
            </w:r>
          </w:p>
          <w:p>
            <w:pPr>
              <w:widowControl/>
              <w:spacing w:beforeLines="0" w:afterLine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年合计</w:t>
            </w:r>
            <w:r>
              <w:rPr>
                <w:rFonts w:hint="eastAsia" w:asciiTheme="minorEastAsia" w:hAnsiTheme="minorEastAsia" w:eastAsiaTheme="minorEastAsia" w:cstheme="minorEastAsia"/>
                <w:color w:val="auto"/>
                <w:sz w:val="24"/>
                <w:szCs w:val="24"/>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w:t>
            </w:r>
          </w:p>
        </w:tc>
        <w:tc>
          <w:tcPr>
            <w:tcW w:w="692"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033" w:type="dxa"/>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舒心路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爱橙街-文二西路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546</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616</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312</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2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w:t>
            </w:r>
          </w:p>
        </w:tc>
        <w:tc>
          <w:tcPr>
            <w:tcW w:w="692"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二类</w:t>
            </w:r>
          </w:p>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eastAsia="zh-CN" w:bidi="ar"/>
              </w:rPr>
              <w:t>养护</w:t>
            </w:r>
            <w:r>
              <w:rPr>
                <w:rFonts w:hint="eastAsia" w:asciiTheme="minorEastAsia" w:hAnsiTheme="minorEastAsia" w:eastAsiaTheme="minorEastAsia" w:cstheme="minorEastAsia"/>
                <w:color w:val="000000"/>
                <w:kern w:val="0"/>
                <w:sz w:val="24"/>
                <w:szCs w:val="24"/>
                <w:highlight w:val="none"/>
                <w:lang w:bidi="ar"/>
              </w:rPr>
              <w:t>标准</w:t>
            </w:r>
          </w:p>
        </w:tc>
        <w:tc>
          <w:tcPr>
            <w:tcW w:w="1033"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创景路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文一西路-葛巷路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735</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1800</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848</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葛巷路-文二西路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150</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533</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56</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景兴路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文一西路-文二西路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966</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2440</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836</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万和路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文一西路-绿汀路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1300</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0</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612</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颐和路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绿汀路-科凯路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245</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286</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176</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爱橙街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万和路-绿汀路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580</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0</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180</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爱橙街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绿汀路-良睦路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1944.3</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4911</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1344</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思凯路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文一西路-葛巷路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671</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824</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288</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葛巷路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绿汀路-思凯路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1691.7</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1092</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1292</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692"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永兴路</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创明路-闲林港</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736</w:t>
            </w: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1336</w:t>
            </w:r>
          </w:p>
        </w:tc>
        <w:tc>
          <w:tcPr>
            <w:tcW w:w="12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0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576</w:t>
            </w:r>
          </w:p>
        </w:tc>
        <w:tc>
          <w:tcPr>
            <w:tcW w:w="13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w:t>
            </w:r>
          </w:p>
        </w:tc>
        <w:tc>
          <w:tcPr>
            <w:tcW w:w="692" w:type="dxa"/>
            <w:vMerge w:val="continue"/>
            <w:tcBorders>
              <w:top w:val="nil"/>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auto"/>
                <w:kern w:val="0"/>
                <w:sz w:val="24"/>
                <w:szCs w:val="24"/>
                <w:highlight w:val="none"/>
              </w:rPr>
            </w:pPr>
          </w:p>
        </w:tc>
        <w:tc>
          <w:tcPr>
            <w:tcW w:w="103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良上线</w:t>
            </w:r>
          </w:p>
        </w:tc>
        <w:tc>
          <w:tcPr>
            <w:tcW w:w="2216"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eastAsia="zh-CN" w:bidi="ar"/>
              </w:rPr>
              <w:t>水乡北路</w:t>
            </w:r>
            <w:r>
              <w:rPr>
                <w:rFonts w:hint="eastAsia" w:asciiTheme="minorEastAsia" w:hAnsiTheme="minorEastAsia" w:eastAsiaTheme="minorEastAsia" w:cstheme="minorEastAsia"/>
                <w:color w:val="000000"/>
                <w:kern w:val="0"/>
                <w:sz w:val="24"/>
                <w:szCs w:val="24"/>
                <w:highlight w:val="none"/>
                <w:lang w:val="en-US" w:eastAsia="zh-CN" w:bidi="ar"/>
              </w:rPr>
              <w:t>-万和路</w:t>
            </w:r>
          </w:p>
        </w:tc>
        <w:tc>
          <w:tcPr>
            <w:tcW w:w="91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1146</w:t>
            </w:r>
          </w:p>
        </w:tc>
        <w:tc>
          <w:tcPr>
            <w:tcW w:w="107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000000"/>
                <w:kern w:val="0"/>
                <w:sz w:val="24"/>
                <w:szCs w:val="24"/>
                <w:highlight w:val="none"/>
                <w:lang w:bidi="ar"/>
              </w:rPr>
              <w:t>0</w:t>
            </w:r>
          </w:p>
        </w:tc>
        <w:tc>
          <w:tcPr>
            <w:tcW w:w="1241"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59"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7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023"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796</w:t>
            </w:r>
          </w:p>
        </w:tc>
        <w:tc>
          <w:tcPr>
            <w:tcW w:w="137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sz w:val="24"/>
                <w:szCs w:val="24"/>
                <w:highlight w:val="none"/>
              </w:rPr>
              <w:t>10.03</w:t>
            </w:r>
          </w:p>
        </w:tc>
        <w:tc>
          <w:tcPr>
            <w:tcW w:w="11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816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000000"/>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816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Theme="minorEastAsia" w:hAnsiTheme="minorEastAsia" w:eastAsiaTheme="minorEastAsia" w:cstheme="minorEastAsia"/>
                <w:color w:val="000000"/>
                <w:kern w:val="0"/>
                <w:sz w:val="24"/>
                <w:szCs w:val="24"/>
                <w:highlight w:val="none"/>
                <w:lang w:val="en-US" w:eastAsia="zh-CN"/>
              </w:rPr>
            </w:pPr>
          </w:p>
        </w:tc>
      </w:tr>
    </w:tbl>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19"/>
        </w:numPr>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时花种植及养护费报价明细清单3</w:t>
      </w:r>
    </w:p>
    <w:p>
      <w:pPr>
        <w:pStyle w:val="82"/>
        <w:numPr>
          <w:ilvl w:val="0"/>
          <w:numId w:val="0"/>
        </w:numPr>
        <w:jc w:val="center"/>
        <w:rPr>
          <w:rFonts w:hint="eastAsia" w:asciiTheme="minorEastAsia" w:hAnsiTheme="minorEastAsia" w:eastAsiaTheme="minorEastAsia" w:cstheme="minorEastAsia"/>
          <w:color w:val="auto"/>
          <w:sz w:val="24"/>
          <w:szCs w:val="24"/>
          <w:highlight w:val="none"/>
          <w:lang w:val="zh-CN" w:eastAsia="zh-CN"/>
        </w:rPr>
      </w:pPr>
    </w:p>
    <w:tbl>
      <w:tblPr>
        <w:tblStyle w:val="64"/>
        <w:tblpPr w:leftFromText="180" w:rightFromText="180" w:vertAnchor="text" w:horzAnchor="page" w:tblpXSpec="center" w:tblpY="27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3045"/>
        <w:gridCol w:w="1189"/>
        <w:gridCol w:w="773"/>
        <w:gridCol w:w="2089"/>
        <w:gridCol w:w="1199"/>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3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地址</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名称</w:t>
            </w:r>
          </w:p>
        </w:tc>
        <w:tc>
          <w:tcPr>
            <w:tcW w:w="7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rPr>
              <w:t>面积</w:t>
            </w: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b/>
                <w:color w:val="auto"/>
                <w:kern w:val="0"/>
                <w:sz w:val="24"/>
                <w:szCs w:val="24"/>
                <w:highlight w:val="none"/>
                <w:lang w:val="en-US" w:eastAsia="zh-CN"/>
              </w:rPr>
              <w:t>m2</w:t>
            </w:r>
            <w:r>
              <w:rPr>
                <w:rFonts w:hint="eastAsia" w:asciiTheme="minorEastAsia" w:hAnsiTheme="minorEastAsia" w:eastAsiaTheme="minorEastAsia" w:cstheme="minorEastAsia"/>
                <w:b/>
                <w:color w:val="auto"/>
                <w:kern w:val="0"/>
                <w:sz w:val="24"/>
                <w:szCs w:val="24"/>
                <w:highlight w:val="none"/>
                <w:lang w:eastAsia="zh-CN"/>
              </w:rPr>
              <w:t>）</w:t>
            </w:r>
          </w:p>
        </w:tc>
        <w:tc>
          <w:tcPr>
            <w:tcW w:w="2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rPr>
              <w:t>综合</w:t>
            </w:r>
            <w:r>
              <w:rPr>
                <w:rFonts w:hint="eastAsia" w:asciiTheme="minorEastAsia" w:hAnsiTheme="minorEastAsia" w:eastAsiaTheme="minorEastAsia" w:cstheme="minorEastAsia"/>
                <w:b/>
                <w:color w:val="auto"/>
                <w:kern w:val="0"/>
                <w:sz w:val="24"/>
                <w:szCs w:val="24"/>
                <w:highlight w:val="none"/>
                <w:lang w:eastAsia="zh-CN"/>
              </w:rPr>
              <w:t>单项最高限价</w:t>
            </w:r>
          </w:p>
          <w:p>
            <w:pPr>
              <w:widowControl/>
              <w:spacing w:beforeLines="0" w:afterLines="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元/平方米·年</w:t>
            </w:r>
            <w:r>
              <w:rPr>
                <w:rFonts w:hint="eastAsia" w:asciiTheme="minorEastAsia" w:hAnsiTheme="minorEastAsia" w:eastAsiaTheme="minorEastAsia" w:cstheme="minorEastAsia"/>
                <w:b/>
                <w:color w:val="auto"/>
                <w:kern w:val="0"/>
                <w:sz w:val="24"/>
                <w:szCs w:val="24"/>
                <w:highlight w:val="none"/>
                <w:lang w:eastAsia="zh-CN"/>
              </w:rPr>
              <w:t>）</w:t>
            </w:r>
          </w:p>
        </w:tc>
        <w:tc>
          <w:tcPr>
            <w:tcW w:w="11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综合单价</w:t>
            </w:r>
          </w:p>
          <w:p>
            <w:pPr>
              <w:widowControl/>
              <w:spacing w:beforeLines="0" w:afterLines="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元/平方米·年</w:t>
            </w:r>
            <w:r>
              <w:rPr>
                <w:rFonts w:hint="eastAsia" w:asciiTheme="minorEastAsia" w:hAnsiTheme="minorEastAsia" w:eastAsiaTheme="minorEastAsia" w:cstheme="minorEastAsia"/>
                <w:b/>
                <w:color w:val="auto"/>
                <w:kern w:val="0"/>
                <w:sz w:val="24"/>
                <w:szCs w:val="24"/>
                <w:highlight w:val="none"/>
              </w:rPr>
              <w:t>)</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eastAsiaTheme="minorEastAsia" w:cstheme="minorEastAsia"/>
                <w:b/>
                <w:color w:val="auto"/>
                <w:kern w:val="0"/>
                <w:sz w:val="24"/>
                <w:szCs w:val="24"/>
                <w:highlight w:val="none"/>
                <w:lang w:eastAsia="zh-CN"/>
              </w:rPr>
              <w:t>二</w:t>
            </w:r>
            <w:r>
              <w:rPr>
                <w:rFonts w:hint="eastAsia" w:asciiTheme="minorEastAsia" w:hAnsiTheme="minorEastAsia" w:eastAsiaTheme="minorEastAsia" w:cstheme="minorEastAsia"/>
                <w:b/>
                <w:color w:val="auto"/>
                <w:kern w:val="0"/>
                <w:sz w:val="24"/>
                <w:szCs w:val="24"/>
                <w:highlight w:val="none"/>
              </w:rPr>
              <w:t>年合计</w:t>
            </w: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b/>
                <w:color w:val="auto"/>
                <w:kern w:val="0"/>
                <w:sz w:val="24"/>
                <w:szCs w:val="24"/>
                <w:highlight w:val="none"/>
                <w:lang w:val="en-US" w:eastAsia="zh-CN"/>
              </w:rPr>
              <w:t>元</w:t>
            </w:r>
            <w:r>
              <w:rPr>
                <w:rFonts w:hint="eastAsia" w:asciiTheme="minorEastAsia" w:hAnsiTheme="minorEastAsia" w:eastAsiaTheme="minorEastAsia" w:cstheme="minorEastAsia"/>
                <w:b/>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3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舒心路（爱橙街-文二西路）</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花坛</w:t>
            </w:r>
          </w:p>
        </w:tc>
        <w:tc>
          <w:tcPr>
            <w:tcW w:w="7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49</w:t>
            </w:r>
          </w:p>
        </w:tc>
        <w:tc>
          <w:tcPr>
            <w:tcW w:w="2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352.8</w:t>
            </w:r>
          </w:p>
        </w:tc>
        <w:tc>
          <w:tcPr>
            <w:tcW w:w="11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color w:val="auto"/>
                <w:kern w:val="0"/>
                <w:sz w:val="24"/>
                <w:szCs w:val="24"/>
                <w:highlight w:val="none"/>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3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创景路（葛巷路-文二西路）</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花坛</w:t>
            </w:r>
          </w:p>
        </w:tc>
        <w:tc>
          <w:tcPr>
            <w:tcW w:w="7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43</w:t>
            </w:r>
          </w:p>
        </w:tc>
        <w:tc>
          <w:tcPr>
            <w:tcW w:w="2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352.8</w:t>
            </w:r>
          </w:p>
        </w:tc>
        <w:tc>
          <w:tcPr>
            <w:tcW w:w="11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color w:val="auto"/>
                <w:kern w:val="0"/>
                <w:sz w:val="24"/>
                <w:szCs w:val="24"/>
                <w:highlight w:val="none"/>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30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景兴路（文一西路-文二西路）</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花坛</w:t>
            </w:r>
          </w:p>
        </w:tc>
        <w:tc>
          <w:tcPr>
            <w:tcW w:w="7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40</w:t>
            </w:r>
          </w:p>
        </w:tc>
        <w:tc>
          <w:tcPr>
            <w:tcW w:w="2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352.8</w:t>
            </w:r>
          </w:p>
        </w:tc>
        <w:tc>
          <w:tcPr>
            <w:tcW w:w="11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color w:val="auto"/>
                <w:kern w:val="0"/>
                <w:sz w:val="24"/>
                <w:szCs w:val="24"/>
                <w:highlight w:val="none"/>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rPr>
                <w:rFonts w:hint="eastAsia" w:asciiTheme="minorEastAsia" w:hAnsiTheme="minorEastAsia" w:eastAsiaTheme="minorEastAsia" w:cstheme="minorEastAsia"/>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70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二年总计投标报价（小写）</w:t>
            </w:r>
          </w:p>
        </w:tc>
        <w:tc>
          <w:tcPr>
            <w:tcW w:w="49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heme="minorEastAsia" w:hAnsiTheme="minorEastAsia" w:eastAsiaTheme="minorEastAsia" w:cstheme="minorEastAsia"/>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70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二年总计投标报价（大写）</w:t>
            </w:r>
          </w:p>
        </w:tc>
        <w:tc>
          <w:tcPr>
            <w:tcW w:w="493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heme="minorEastAsia" w:hAnsiTheme="minorEastAsia" w:eastAsiaTheme="minorEastAsia" w:cstheme="minorEastAsia"/>
                <w:color w:val="auto"/>
                <w:sz w:val="24"/>
                <w:szCs w:val="24"/>
                <w:highlight w:val="none"/>
              </w:rPr>
            </w:pPr>
          </w:p>
        </w:tc>
      </w:tr>
    </w:tbl>
    <w:p>
      <w:pPr>
        <w:pStyle w:val="82"/>
        <w:numPr>
          <w:ilvl w:val="0"/>
          <w:numId w:val="0"/>
        </w:numPr>
        <w:jc w:val="center"/>
        <w:rPr>
          <w:rFonts w:hint="eastAsia" w:asciiTheme="minorEastAsia" w:hAnsiTheme="minorEastAsia" w:eastAsiaTheme="minorEastAsia" w:cstheme="minorEastAsia"/>
          <w:color w:val="auto"/>
          <w:sz w:val="24"/>
          <w:szCs w:val="24"/>
          <w:highlight w:val="none"/>
          <w:lang w:val="zh-CN"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zh-CN" w:eastAsia="zh-CN"/>
        </w:rPr>
      </w:pPr>
    </w:p>
    <w:p>
      <w:pPr>
        <w:pStyle w:val="82"/>
        <w:numPr>
          <w:ilvl w:val="0"/>
          <w:numId w:val="0"/>
        </w:numPr>
        <w:jc w:val="center"/>
        <w:rPr>
          <w:rFonts w:hint="eastAsia" w:asciiTheme="minorEastAsia" w:hAnsiTheme="minorEastAsia" w:eastAsiaTheme="minorEastAsia" w:cstheme="minorEastAsia"/>
          <w:sz w:val="24"/>
          <w:szCs w:val="24"/>
          <w:highlight w:val="none"/>
          <w:lang w:val="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19"/>
        </w:numPr>
        <w:ind w:left="0" w:leftChars="0" w:firstLine="0" w:firstLineChars="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公厕保洁报价明细清单4</w:t>
      </w:r>
    </w:p>
    <w:tbl>
      <w:tblPr>
        <w:tblStyle w:val="64"/>
        <w:tblpPr w:leftFromText="180" w:rightFromText="180" w:vertAnchor="text" w:horzAnchor="page" w:tblpX="1404" w:tblpY="259"/>
        <w:tblOverlap w:val="never"/>
        <w:tblW w:w="13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023"/>
        <w:gridCol w:w="1950"/>
        <w:gridCol w:w="2400"/>
        <w:gridCol w:w="2406"/>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序号</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公厕名称</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ajorEastAsia" w:hAnsiTheme="majorEastAsia" w:eastAsiaTheme="majorEastAsia" w:cstheme="majorEastAsia"/>
                <w:b/>
                <w:color w:val="auto"/>
                <w:kern w:val="0"/>
                <w:sz w:val="24"/>
                <w:szCs w:val="24"/>
                <w:highlight w:val="none"/>
              </w:rPr>
            </w:pPr>
            <w:r>
              <w:rPr>
                <w:rFonts w:hint="eastAsia" w:asciiTheme="majorEastAsia" w:hAnsiTheme="majorEastAsia" w:eastAsiaTheme="majorEastAsia" w:cstheme="majorEastAsia"/>
                <w:b/>
                <w:color w:val="auto"/>
                <w:kern w:val="0"/>
                <w:sz w:val="24"/>
                <w:szCs w:val="24"/>
                <w:highlight w:val="none"/>
              </w:rPr>
              <w:t>类别</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360" w:lineRule="auto"/>
              <w:jc w:val="center"/>
              <w:textAlignment w:val="bottom"/>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综合</w:t>
            </w:r>
            <w:r>
              <w:rPr>
                <w:rFonts w:hint="eastAsia" w:asciiTheme="majorEastAsia" w:hAnsiTheme="majorEastAsia" w:eastAsiaTheme="majorEastAsia" w:cstheme="majorEastAsia"/>
                <w:color w:val="auto"/>
                <w:kern w:val="0"/>
                <w:sz w:val="24"/>
                <w:szCs w:val="24"/>
                <w:highlight w:val="none"/>
                <w:lang w:eastAsia="zh-CN"/>
              </w:rPr>
              <w:t>单项最高限价</w:t>
            </w:r>
          </w:p>
          <w:p>
            <w:pPr>
              <w:widowControl/>
              <w:spacing w:line="360" w:lineRule="auto"/>
              <w:jc w:val="center"/>
              <w:textAlignment w:val="bottom"/>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auto"/>
                <w:kern w:val="0"/>
                <w:sz w:val="24"/>
                <w:szCs w:val="24"/>
                <w:highlight w:val="none"/>
              </w:rPr>
              <w:t>(元/年/座)</w:t>
            </w:r>
          </w:p>
        </w:tc>
        <w:tc>
          <w:tcPr>
            <w:tcW w:w="240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360" w:lineRule="auto"/>
              <w:jc w:val="center"/>
              <w:textAlignment w:val="bottom"/>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综合单价</w:t>
            </w:r>
          </w:p>
          <w:p>
            <w:pPr>
              <w:widowControl/>
              <w:spacing w:beforeLines="0" w:afterLines="0"/>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(元/年/座)</w:t>
            </w:r>
          </w:p>
        </w:tc>
        <w:tc>
          <w:tcPr>
            <w:tcW w:w="23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二</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何过港二号公厕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sz w:val="24"/>
                <w:szCs w:val="24"/>
                <w:highlight w:val="none"/>
              </w:rPr>
              <w:t>15</w:t>
            </w:r>
            <w:r>
              <w:rPr>
                <w:rFonts w:hint="eastAsia" w:asciiTheme="majorEastAsia" w:hAnsiTheme="majorEastAsia" w:eastAsiaTheme="majorEastAsia" w:cstheme="majorEastAsia"/>
                <w:sz w:val="24"/>
                <w:szCs w:val="24"/>
                <w:highlight w:val="none"/>
                <w:lang w:val="en-US" w:eastAsia="zh-CN"/>
              </w:rPr>
              <w:t>0000</w:t>
            </w:r>
          </w:p>
        </w:tc>
        <w:tc>
          <w:tcPr>
            <w:tcW w:w="24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ajorEastAsia" w:hAnsiTheme="majorEastAsia" w:eastAsiaTheme="majorEastAsia" w:cstheme="majorEastAsia"/>
                <w:color w:val="auto"/>
                <w:sz w:val="24"/>
                <w:szCs w:val="24"/>
                <w:highlight w:val="none"/>
              </w:rPr>
            </w:pPr>
          </w:p>
        </w:tc>
        <w:tc>
          <w:tcPr>
            <w:tcW w:w="23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景兴路公厕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sz w:val="24"/>
                <w:szCs w:val="24"/>
                <w:highlight w:val="none"/>
              </w:rPr>
              <w:t>15</w:t>
            </w:r>
            <w:r>
              <w:rPr>
                <w:rFonts w:hint="eastAsia" w:asciiTheme="majorEastAsia" w:hAnsiTheme="majorEastAsia" w:eastAsiaTheme="majorEastAsia" w:cstheme="majorEastAsia"/>
                <w:sz w:val="24"/>
                <w:szCs w:val="24"/>
                <w:highlight w:val="none"/>
                <w:lang w:val="en-US" w:eastAsia="zh-CN"/>
              </w:rPr>
              <w:t>0000</w:t>
            </w:r>
          </w:p>
        </w:tc>
        <w:tc>
          <w:tcPr>
            <w:tcW w:w="24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c>
          <w:tcPr>
            <w:tcW w:w="23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汪桥港公厕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sz w:val="24"/>
                <w:szCs w:val="24"/>
                <w:highlight w:val="none"/>
              </w:rPr>
              <w:t>15</w:t>
            </w:r>
            <w:r>
              <w:rPr>
                <w:rFonts w:hint="eastAsia" w:asciiTheme="majorEastAsia" w:hAnsiTheme="majorEastAsia" w:eastAsiaTheme="majorEastAsia" w:cstheme="majorEastAsia"/>
                <w:sz w:val="24"/>
                <w:szCs w:val="24"/>
                <w:highlight w:val="none"/>
                <w:lang w:val="en-US" w:eastAsia="zh-CN"/>
              </w:rPr>
              <w:t>0000</w:t>
            </w:r>
          </w:p>
        </w:tc>
        <w:tc>
          <w:tcPr>
            <w:tcW w:w="24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c>
          <w:tcPr>
            <w:tcW w:w="23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p>
        </w:tc>
        <w:tc>
          <w:tcPr>
            <w:tcW w:w="4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何过港三号公厕</w:t>
            </w:r>
          </w:p>
        </w:tc>
        <w:tc>
          <w:tcPr>
            <w:tcW w:w="19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sz w:val="24"/>
                <w:szCs w:val="24"/>
                <w:highlight w:val="none"/>
              </w:rPr>
              <w:t>15</w:t>
            </w:r>
            <w:r>
              <w:rPr>
                <w:rFonts w:hint="eastAsia" w:asciiTheme="majorEastAsia" w:hAnsiTheme="majorEastAsia" w:eastAsiaTheme="majorEastAsia" w:cstheme="majorEastAsia"/>
                <w:sz w:val="24"/>
                <w:szCs w:val="24"/>
                <w:highlight w:val="none"/>
                <w:lang w:val="en-US" w:eastAsia="zh-CN"/>
              </w:rPr>
              <w:t>0000</w:t>
            </w:r>
          </w:p>
        </w:tc>
        <w:tc>
          <w:tcPr>
            <w:tcW w:w="24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c>
          <w:tcPr>
            <w:tcW w:w="23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二年总计投标报价（小写）</w:t>
            </w:r>
          </w:p>
        </w:tc>
        <w:tc>
          <w:tcPr>
            <w:tcW w:w="714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75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二年总计投标报价（大写）</w:t>
            </w:r>
          </w:p>
        </w:tc>
        <w:tc>
          <w:tcPr>
            <w:tcW w:w="714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heme="majorEastAsia" w:hAnsiTheme="majorEastAsia" w:eastAsiaTheme="majorEastAsia" w:cstheme="majorEastAsia"/>
                <w:sz w:val="24"/>
                <w:szCs w:val="24"/>
                <w:highlight w:val="none"/>
              </w:rPr>
            </w:pPr>
          </w:p>
        </w:tc>
      </w:tr>
    </w:tbl>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both"/>
        <w:rPr>
          <w:rFonts w:hint="eastAsia" w:asciiTheme="majorEastAsia" w:hAnsiTheme="majorEastAsia" w:eastAsiaTheme="majorEastAsia" w:cstheme="majorEastAsia"/>
          <w:color w:val="auto"/>
          <w:sz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p>
    <w:p>
      <w:pPr>
        <w:pStyle w:val="82"/>
        <w:numPr>
          <w:ilvl w:val="0"/>
          <w:numId w:val="0"/>
        </w:num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（六）市政养护报价明细清单5</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419"/>
        <w:gridCol w:w="2100"/>
        <w:gridCol w:w="87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49" w:hRule="atLeast"/>
          <w:tblHeader/>
          <w:jc w:val="center"/>
        </w:trPr>
        <w:tc>
          <w:tcPr>
            <w:tcW w:w="1686" w:type="dxa"/>
            <w:tcBorders>
              <w:top w:val="single" w:color="auto" w:sz="4" w:space="0"/>
              <w:right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项目</w:t>
            </w:r>
          </w:p>
        </w:tc>
        <w:tc>
          <w:tcPr>
            <w:tcW w:w="1419" w:type="dxa"/>
            <w:tcBorders>
              <w:top w:val="single" w:color="auto" w:sz="4" w:space="0"/>
              <w:left w:val="single" w:color="auto" w:sz="4" w:space="0"/>
              <w:right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服务期</w:t>
            </w:r>
          </w:p>
        </w:tc>
        <w:tc>
          <w:tcPr>
            <w:tcW w:w="2100" w:type="dxa"/>
            <w:tcBorders>
              <w:top w:val="single" w:color="auto" w:sz="4" w:space="0"/>
              <w:left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投标报价（</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sz w:val="24"/>
                <w:szCs w:val="24"/>
                <w:highlight w:val="none"/>
                <w:lang w:val="en-GB"/>
              </w:rPr>
              <w:t>）</w:t>
            </w:r>
          </w:p>
        </w:tc>
        <w:tc>
          <w:tcPr>
            <w:tcW w:w="8761" w:type="dxa"/>
            <w:tcBorders>
              <w:top w:val="single" w:color="auto" w:sz="4" w:space="0"/>
              <w:left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lang w:val="en-GB" w:eastAsia="zh-CN"/>
              </w:rPr>
            </w:pPr>
            <w:r>
              <w:rPr>
                <w:rFonts w:hint="eastAsia" w:asciiTheme="minorEastAsia" w:hAnsiTheme="minorEastAsia" w:eastAsiaTheme="minorEastAsia" w:cstheme="minorEastAsia"/>
                <w:sz w:val="24"/>
                <w:szCs w:val="24"/>
                <w:highlight w:val="none"/>
                <w:lang w:val="en-GB"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855" w:hRule="atLeast"/>
          <w:jc w:val="center"/>
        </w:trPr>
        <w:tc>
          <w:tcPr>
            <w:tcW w:w="1686" w:type="dxa"/>
            <w:tcBorders>
              <w:right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lang w:val="en-GB" w:eastAsia="zh-CN"/>
              </w:rPr>
            </w:pPr>
            <w:r>
              <w:rPr>
                <w:rFonts w:hint="eastAsia" w:asciiTheme="minorEastAsia" w:hAnsiTheme="minorEastAsia" w:eastAsiaTheme="minorEastAsia" w:cstheme="minorEastAsia"/>
                <w:sz w:val="24"/>
                <w:szCs w:val="24"/>
                <w:highlight w:val="none"/>
                <w:lang w:val="en-US" w:eastAsia="zh-CN"/>
              </w:rPr>
              <w:t xml:space="preserve"> 市政养护费</w:t>
            </w:r>
          </w:p>
        </w:tc>
        <w:tc>
          <w:tcPr>
            <w:tcW w:w="1419" w:type="dxa"/>
            <w:tcBorders>
              <w:left w:val="single" w:color="auto" w:sz="4" w:space="0"/>
              <w:right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2年</w:t>
            </w:r>
          </w:p>
        </w:tc>
        <w:tc>
          <w:tcPr>
            <w:tcW w:w="2100" w:type="dxa"/>
            <w:tcBorders>
              <w:left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rPr>
            </w:pPr>
          </w:p>
        </w:tc>
        <w:tc>
          <w:tcPr>
            <w:tcW w:w="8761" w:type="dxa"/>
            <w:tcBorders>
              <w:left w:val="single" w:color="auto" w:sz="4" w:space="0"/>
            </w:tcBorders>
            <w:vAlign w:val="center"/>
          </w:tcPr>
          <w:p>
            <w:pPr>
              <w:snapToGrid w:val="0"/>
              <w:spacing w:line="600" w:lineRule="exact"/>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zh-CN"/>
              </w:rPr>
              <w:t>本项目采用费率招标</w:t>
            </w:r>
            <w:r>
              <w:rPr>
                <w:rFonts w:hint="eastAsia" w:asciiTheme="minorEastAsia" w:hAnsiTheme="minorEastAsia" w:eastAsiaTheme="minorEastAsia" w:cstheme="minorEastAsia"/>
                <w:snapToGrid w:val="0"/>
                <w:color w:val="auto"/>
                <w:kern w:val="0"/>
                <w:sz w:val="24"/>
                <w:szCs w:val="24"/>
                <w:highlight w:val="none"/>
                <w:lang w:val="en-US" w:eastAsia="zh-CN"/>
              </w:rPr>
              <w:t>(小数点后保留两位小数)，</w:t>
            </w:r>
            <w:r>
              <w:rPr>
                <w:rFonts w:hint="eastAsia" w:asciiTheme="minorEastAsia" w:hAnsiTheme="minorEastAsia" w:eastAsiaTheme="minorEastAsia" w:cstheme="minorEastAsia"/>
                <w:b/>
                <w:bCs/>
                <w:color w:val="auto"/>
                <w:sz w:val="24"/>
                <w:szCs w:val="24"/>
                <w:highlight w:val="none"/>
                <w:lang w:val="zh-CN"/>
              </w:rPr>
              <w:t>最高限价为基价的</w:t>
            </w: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val="zh-CN"/>
              </w:rPr>
              <w:t>0%；</w:t>
            </w:r>
            <w:r>
              <w:rPr>
                <w:rFonts w:hint="eastAsia" w:asciiTheme="minorEastAsia" w:hAnsiTheme="minorEastAsia" w:eastAsiaTheme="minorEastAsia" w:cstheme="minorEastAsia"/>
                <w:snapToGrid w:val="0"/>
                <w:color w:val="auto"/>
                <w:kern w:val="0"/>
                <w:sz w:val="24"/>
                <w:szCs w:val="24"/>
                <w:highlight w:val="none"/>
              </w:rPr>
              <w:t>结算方式：工程量按实计算，本工程基价套用《浙江省市政设施养护维修定额》（2018版）相应定额子目、如《浙江省市政设施养护维修定额》（2018版）无相应定额子目的可套用《浙江省市政工程预算定额（2018版）》相应定额子目，相应取费按《浙江省建设工程计价规则》2018版，</w:t>
            </w:r>
            <w:r>
              <w:rPr>
                <w:rFonts w:hint="eastAsia" w:asciiTheme="minorEastAsia" w:hAnsiTheme="minorEastAsia" w:eastAsiaTheme="minorEastAsia" w:cstheme="minorEastAsia"/>
                <w:b/>
                <w:bCs/>
                <w:snapToGrid w:val="0"/>
                <w:color w:val="auto"/>
                <w:kern w:val="0"/>
                <w:sz w:val="24"/>
                <w:szCs w:val="24"/>
                <w:highlight w:val="none"/>
                <w:lang w:val="en-US" w:eastAsia="zh-CN"/>
              </w:rPr>
              <w:t>套用</w:t>
            </w:r>
            <w:r>
              <w:rPr>
                <w:rFonts w:hint="eastAsia" w:asciiTheme="minorEastAsia" w:hAnsiTheme="minorEastAsia" w:eastAsiaTheme="minorEastAsia" w:cstheme="minorEastAsia"/>
                <w:b/>
                <w:bCs/>
                <w:snapToGrid w:val="0"/>
                <w:color w:val="auto"/>
                <w:kern w:val="0"/>
                <w:sz w:val="24"/>
                <w:szCs w:val="24"/>
                <w:highlight w:val="none"/>
              </w:rPr>
              <w:t>定额</w:t>
            </w:r>
            <w:r>
              <w:rPr>
                <w:rFonts w:hint="eastAsia" w:asciiTheme="minorEastAsia" w:hAnsiTheme="minorEastAsia" w:eastAsiaTheme="minorEastAsia" w:cstheme="minorEastAsia"/>
                <w:b/>
                <w:bCs/>
                <w:snapToGrid w:val="0"/>
                <w:color w:val="auto"/>
                <w:kern w:val="0"/>
                <w:sz w:val="24"/>
                <w:szCs w:val="24"/>
                <w:highlight w:val="none"/>
                <w:lang w:val="en-US" w:eastAsia="zh-CN"/>
              </w:rPr>
              <w:t>子目的</w:t>
            </w:r>
            <w:r>
              <w:rPr>
                <w:rFonts w:hint="eastAsia" w:asciiTheme="minorEastAsia" w:hAnsiTheme="minorEastAsia" w:eastAsiaTheme="minorEastAsia" w:cstheme="minorEastAsia"/>
                <w:b/>
                <w:bCs/>
                <w:snapToGrid w:val="0"/>
                <w:color w:val="auto"/>
                <w:kern w:val="0"/>
                <w:sz w:val="24"/>
                <w:szCs w:val="24"/>
                <w:highlight w:val="none"/>
              </w:rPr>
              <w:t>结算价=基价*投标报价（%）*实际工程量</w:t>
            </w:r>
            <w:r>
              <w:rPr>
                <w:rFonts w:hint="eastAsia" w:asciiTheme="minorEastAsia" w:hAnsiTheme="minorEastAsia" w:eastAsiaTheme="minorEastAsia" w:cstheme="minorEastAsia"/>
                <w:snapToGrid w:val="0"/>
                <w:color w:val="auto"/>
                <w:kern w:val="0"/>
                <w:sz w:val="24"/>
                <w:szCs w:val="24"/>
                <w:highlight w:val="none"/>
              </w:rPr>
              <w:t>。2、无定额价的：结算按浙江省造价信息当年当月信息价下浮15%结算。3、没有造价信息的，按市场价下浮20%结算。</w:t>
            </w:r>
            <w:r>
              <w:rPr>
                <w:rFonts w:hint="eastAsia" w:asciiTheme="minorEastAsia" w:hAnsiTheme="minorEastAsia" w:eastAsiaTheme="minorEastAsia" w:cstheme="minorEastAsia"/>
                <w:color w:val="auto"/>
                <w:kern w:val="2"/>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71" w:hRule="atLeast"/>
          <w:jc w:val="center"/>
        </w:trPr>
        <w:tc>
          <w:tcPr>
            <w:tcW w:w="1686" w:type="dxa"/>
            <w:tcBorders>
              <w:bottom w:val="single" w:color="auto" w:sz="4" w:space="0"/>
              <w:right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总价（</w:t>
            </w:r>
            <w:r>
              <w:rPr>
                <w:rFonts w:hint="eastAsia" w:asciiTheme="minorEastAsia" w:hAnsiTheme="minorEastAsia" w:eastAsiaTheme="minorEastAsia" w:cstheme="minorEastAsia"/>
                <w:kern w:val="0"/>
                <w:sz w:val="24"/>
                <w:szCs w:val="24"/>
                <w:highlight w:val="none"/>
                <w:lang w:val="zh-CN"/>
              </w:rPr>
              <w:t>%</w:t>
            </w:r>
            <w:r>
              <w:rPr>
                <w:rFonts w:hint="eastAsia" w:asciiTheme="minorEastAsia" w:hAnsiTheme="minorEastAsia" w:eastAsiaTheme="minorEastAsia" w:cstheme="minorEastAsia"/>
                <w:sz w:val="24"/>
                <w:szCs w:val="24"/>
                <w:highlight w:val="none"/>
                <w:lang w:val="en-GB"/>
              </w:rPr>
              <w:t>）</w:t>
            </w:r>
          </w:p>
        </w:tc>
        <w:tc>
          <w:tcPr>
            <w:tcW w:w="12280" w:type="dxa"/>
            <w:gridSpan w:val="3"/>
            <w:tcBorders>
              <w:left w:val="single" w:color="auto" w:sz="4" w:space="0"/>
              <w:bottom w:val="single" w:color="auto" w:sz="4" w:space="0"/>
            </w:tcBorders>
            <w:vAlign w:val="center"/>
          </w:tcPr>
          <w:p>
            <w:pPr>
              <w:spacing w:line="6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小</w:t>
            </w:r>
            <w:r>
              <w:rPr>
                <w:rFonts w:hint="eastAsia" w:asciiTheme="minorEastAsia" w:hAnsiTheme="minorEastAsia" w:eastAsiaTheme="minorEastAsia" w:cstheme="minorEastAsia"/>
                <w:sz w:val="24"/>
                <w:szCs w:val="24"/>
                <w:highlight w:val="none"/>
              </w:rPr>
              <w:t>写）</w:t>
            </w:r>
          </w:p>
        </w:tc>
      </w:tr>
    </w:tbl>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独立投标：投标人名称(电子签名)：</w:t>
      </w: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或</w:t>
      </w:r>
    </w:p>
    <w:p>
      <w:pPr>
        <w:snapToGrid w:val="0"/>
        <w:spacing w:line="360" w:lineRule="auto"/>
        <w:jc w:val="righ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采用联合体投标：联合体牵头人名称(电子签名/盖章)：</w:t>
      </w:r>
    </w:p>
    <w:p>
      <w:pPr>
        <w:pStyle w:val="382"/>
        <w:wordWrap w:val="0"/>
        <w:snapToGrid w:val="0"/>
        <w:spacing w:before="120" w:after="120"/>
        <w:ind w:firstLine="0"/>
        <w:jc w:val="right"/>
        <w:outlineLvl w:val="9"/>
        <w:rPr>
          <w:rFonts w:hint="eastAsia" w:asciiTheme="majorEastAsia" w:hAnsiTheme="majorEastAsia" w:eastAsiaTheme="majorEastAsia" w:cstheme="majorEastAsia"/>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Theme="minorEastAsia" w:hAnsiTheme="minorEastAsia" w:eastAsiaTheme="minorEastAsia" w:cstheme="minorEastAsia"/>
          <w:color w:val="auto"/>
          <w:sz w:val="24"/>
          <w:szCs w:val="24"/>
          <w:highlight w:val="none"/>
        </w:rPr>
        <w:t xml:space="preserve">   日期：  年   月   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highlight w:val="none"/>
          <w:lang w:val="en-US" w:eastAsia="zh-CN"/>
        </w:rPr>
        <w:t xml:space="preserve"> </w:t>
      </w:r>
    </w:p>
    <w:p>
      <w:pPr>
        <w:pStyle w:val="380"/>
        <w:tabs>
          <w:tab w:val="clear" w:pos="720"/>
        </w:tabs>
        <w:snapToGrid w:val="0"/>
        <w:spacing w:before="120" w:after="120"/>
        <w:ind w:firstLine="3534" w:firstLineChars="1100"/>
        <w:jc w:val="both"/>
        <w:outlineLvl w:val="9"/>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kern w:val="2"/>
          <w:sz w:val="32"/>
          <w:szCs w:val="32"/>
          <w:highlight w:val="none"/>
        </w:rPr>
        <w:t>二、</w:t>
      </w:r>
      <w:r>
        <w:rPr>
          <w:rFonts w:hint="eastAsia" w:asciiTheme="majorEastAsia" w:hAnsiTheme="majorEastAsia" w:eastAsiaTheme="majorEastAsia" w:cstheme="majorEastAsia"/>
          <w:color w:val="auto"/>
          <w:sz w:val="32"/>
          <w:szCs w:val="32"/>
          <w:highlight w:val="none"/>
        </w:rPr>
        <w:t>中小企业声明函</w:t>
      </w:r>
    </w:p>
    <w:p>
      <w:pPr>
        <w:widowControl/>
        <w:spacing w:line="360" w:lineRule="auto"/>
        <w:ind w:firstLine="120" w:firstLineChars="50"/>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政府采购支持中小企业信用融资相关事项通知</w:t>
      </w:r>
    </w:p>
    <w:p>
      <w:pPr>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一、适用对象</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二、相关信息获取方式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三、　政府采购信用融资操作流程：</w:t>
      </w:r>
    </w:p>
    <w:p>
      <w:pPr>
        <w:spacing w:line="360"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（一）线上融资模式：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1.供应商根据合作银行提供的方案，自行选择金融产品，并办理开户等手续；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2.供应商中标后，可通过杭州市政府采购网或“浙里办”测算授信额度；</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3.采购合同签订后，供应商在杭州市政府采购网或“浙里办”向合作银行发出融资申请；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4.审批通过后，在线办理放贷手续。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（二）线下融资模式：</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2.采购合同签订后，供应商在杭州市政府采购网或“浙里办”向合作银行发出融资申请；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4.审批通过后，合作银行应按照合作备忘录中约定的审批放款期限和优惠利率及时予以放款。</w:t>
      </w:r>
    </w:p>
    <w:p>
      <w:pPr>
        <w:pStyle w:val="6"/>
        <w:numPr>
          <w:ilvl w:val="0"/>
          <w:numId w:val="0"/>
        </w:numPr>
        <w:ind w:firstLine="960" w:firstLineChars="400"/>
        <w:rPr>
          <w:rFonts w:hint="eastAsia" w:asciiTheme="majorEastAsia" w:hAnsiTheme="majorEastAsia" w:eastAsiaTheme="majorEastAsia" w:cstheme="majorEastAsia"/>
          <w:b w:val="0"/>
          <w:bCs w:val="0"/>
          <w:color w:val="auto"/>
          <w:sz w:val="24"/>
          <w:szCs w:val="24"/>
          <w:highlight w:val="none"/>
          <w:lang w:val="en-US"/>
        </w:rPr>
      </w:pPr>
      <w:r>
        <w:rPr>
          <w:rFonts w:hint="eastAsia" w:asciiTheme="majorEastAsia" w:hAnsiTheme="majorEastAsia" w:eastAsiaTheme="majorEastAsia" w:cstheme="majorEastAsia"/>
          <w:b w:val="0"/>
          <w:bCs w:val="0"/>
          <w:color w:val="auto"/>
          <w:sz w:val="24"/>
          <w:szCs w:val="24"/>
          <w:highlight w:val="none"/>
          <w:lang w:val="en-US"/>
        </w:rPr>
        <w:t>（三）杭州e融平台申请融资</w:t>
      </w:r>
    </w:p>
    <w:p>
      <w:pPr>
        <w:pStyle w:val="6"/>
        <w:numPr>
          <w:ilvl w:val="0"/>
          <w:numId w:val="0"/>
        </w:numPr>
        <w:ind w:firstLine="960" w:firstLineChars="400"/>
        <w:rPr>
          <w:rFonts w:hint="eastAsia" w:asciiTheme="majorEastAsia" w:hAnsiTheme="majorEastAsia" w:eastAsiaTheme="majorEastAsia" w:cstheme="majorEastAsia"/>
          <w:b w:val="0"/>
          <w:bCs w:val="0"/>
          <w:color w:val="auto"/>
          <w:sz w:val="24"/>
          <w:szCs w:val="24"/>
          <w:highlight w:val="none"/>
          <w:lang w:val="en-US"/>
        </w:rPr>
      </w:pPr>
      <w:r>
        <w:rPr>
          <w:rFonts w:hint="eastAsia" w:asciiTheme="majorEastAsia" w:hAnsiTheme="majorEastAsia" w:eastAsiaTheme="majorEastAsia" w:cstheme="majorEastAsia"/>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四、注意事项</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Theme="majorEastAsia" w:hAnsiTheme="majorEastAsia" w:eastAsiaTheme="majorEastAsia" w:cstheme="majorEastAsia"/>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hint="eastAsia" w:asciiTheme="majorEastAsia" w:hAnsiTheme="majorEastAsia" w:eastAsiaTheme="majorEastAsia" w:cstheme="majorEastAsia"/>
          <w:color w:val="auto"/>
          <w:highlight w:val="none"/>
        </w:rPr>
      </w:pPr>
      <w:bookmarkStart w:id="394" w:name="_Toc465665161"/>
      <w:r>
        <w:rPr>
          <w:rFonts w:hint="eastAsia" w:asciiTheme="majorEastAsia" w:hAnsiTheme="majorEastAsia" w:eastAsiaTheme="majorEastAsia" w:cstheme="majorEastAsia"/>
          <w:color w:val="auto"/>
          <w:highlight w:val="none"/>
        </w:rPr>
        <w:t>附件</w:t>
      </w:r>
      <w:bookmarkEnd w:id="394"/>
    </w:p>
    <w:p>
      <w:pPr>
        <w:spacing w:line="360" w:lineRule="auto"/>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附件1：</w:t>
      </w:r>
    </w:p>
    <w:p>
      <w:pPr>
        <w:spacing w:line="360" w:lineRule="auto"/>
        <w:jc w:val="center"/>
        <w:rPr>
          <w:rFonts w:hint="eastAsia" w:asciiTheme="majorEastAsia" w:hAnsiTheme="majorEastAsia" w:eastAsiaTheme="majorEastAsia" w:cstheme="majorEastAsia"/>
          <w:b/>
          <w:color w:val="auto"/>
          <w:spacing w:val="6"/>
          <w:sz w:val="32"/>
          <w:szCs w:val="32"/>
          <w:highlight w:val="none"/>
        </w:rPr>
      </w:pPr>
      <w:bookmarkStart w:id="395" w:name="OLE_LINK14"/>
      <w:bookmarkStart w:id="396" w:name="OLE_LINK13"/>
      <w:r>
        <w:rPr>
          <w:rFonts w:hint="eastAsia" w:asciiTheme="majorEastAsia" w:hAnsiTheme="majorEastAsia" w:eastAsiaTheme="majorEastAsia" w:cstheme="majorEastAsia"/>
          <w:b/>
          <w:color w:val="auto"/>
          <w:spacing w:val="6"/>
          <w:sz w:val="32"/>
          <w:szCs w:val="32"/>
          <w:highlight w:val="none"/>
        </w:rPr>
        <w:t>残疾人福利性单位声明函</w:t>
      </w:r>
    </w:p>
    <w:bookmarkEnd w:id="395"/>
    <w:bookmarkEnd w:id="396"/>
    <w:p>
      <w:pPr>
        <w:spacing w:line="360" w:lineRule="auto"/>
        <w:rPr>
          <w:rFonts w:hint="eastAsia" w:asciiTheme="majorEastAsia" w:hAnsiTheme="majorEastAsia" w:eastAsiaTheme="majorEastAsia" w:cstheme="majorEastAsia"/>
          <w:b/>
          <w:color w:val="auto"/>
          <w:spacing w:val="6"/>
          <w:sz w:val="30"/>
          <w:szCs w:val="30"/>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80" w:firstLineChars="200"/>
        <w:rPr>
          <w:rFonts w:hint="eastAsia" w:asciiTheme="majorEastAsia" w:hAnsiTheme="majorEastAsia" w:eastAsiaTheme="majorEastAsia" w:cstheme="majorEastAsia"/>
          <w:color w:val="auto"/>
          <w:sz w:val="24"/>
          <w:highlight w:val="none"/>
        </w:rPr>
      </w:pPr>
    </w:p>
    <w:p>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0"/>
          <w:sz w:val="24"/>
          <w:highlight w:val="none"/>
          <w:lang w:val="zh-CN"/>
        </w:rPr>
        <w:t>投标人名称（电子签名）</w:t>
      </w:r>
      <w:r>
        <w:rPr>
          <w:rFonts w:hint="eastAsia" w:asciiTheme="majorEastAsia" w:hAnsiTheme="majorEastAsia" w:eastAsiaTheme="majorEastAsia" w:cstheme="majorEastAsia"/>
          <w:color w:val="auto"/>
          <w:sz w:val="24"/>
          <w:highlight w:val="none"/>
        </w:rPr>
        <w:t>：</w:t>
      </w:r>
    </w:p>
    <w:p>
      <w:pPr>
        <w:tabs>
          <w:tab w:val="left" w:pos="4860"/>
        </w:tabs>
        <w:spacing w:line="360" w:lineRule="auto"/>
        <w:ind w:right="1560"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  期：</w:t>
      </w:r>
    </w:p>
    <w:p>
      <w:pPr>
        <w:spacing w:line="360" w:lineRule="auto"/>
        <w:ind w:firstLine="480" w:firstLineChars="200"/>
        <w:rPr>
          <w:rFonts w:hint="eastAsia" w:asciiTheme="majorEastAsia" w:hAnsiTheme="majorEastAsia" w:eastAsiaTheme="majorEastAsia" w:cstheme="majorEastAsia"/>
          <w:color w:val="auto"/>
          <w:sz w:val="24"/>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ind w:firstLine="420" w:firstLineChars="200"/>
        <w:rPr>
          <w:rFonts w:hint="eastAsia" w:asciiTheme="majorEastAsia" w:hAnsiTheme="majorEastAsia" w:eastAsiaTheme="majorEastAsia" w:cstheme="majorEastAsia"/>
          <w:color w:val="auto"/>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附件2：质疑函范本及制作说明</w:t>
      </w:r>
    </w:p>
    <w:p>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质疑函范本</w:t>
      </w:r>
    </w:p>
    <w:p>
      <w:pPr>
        <w:snapToGrid w:val="0"/>
        <w:spacing w:before="240" w:beforeLines="100"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一、质疑供应商基本信息</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质疑供应商：</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地址： </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二、质疑项目基本情况</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质疑项目的名称：</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质疑项目的编号：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采购文件获取日期：</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三、质疑事项具体内容</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质疑事项1：</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质疑事项2</w:t>
      </w:r>
    </w:p>
    <w:p>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四、与质疑事项相关的质疑请求</w:t>
      </w:r>
    </w:p>
    <w:p>
      <w:pPr>
        <w:snapToGrid w:val="0"/>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pPr>
        <w:spacing w:line="360" w:lineRule="auto"/>
        <w:jc w:val="center"/>
        <w:rPr>
          <w:rFonts w:hint="eastAsia" w:asciiTheme="majorEastAsia" w:hAnsiTheme="majorEastAsia" w:eastAsiaTheme="majorEastAsia" w:cstheme="majorEastAsia"/>
          <w:b/>
          <w:bCs/>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ajorEastAsia" w:hAnsiTheme="majorEastAsia" w:eastAsiaTheme="majorEastAsia" w:cstheme="majorEastAsia"/>
          <w:color w:val="auto"/>
          <w:sz w:val="30"/>
          <w:szCs w:val="30"/>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p>
    <w:p>
      <w:pPr>
        <w:spacing w:line="360" w:lineRule="auto"/>
        <w:jc w:val="left"/>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附件3：投诉书范本及制作说明</w:t>
      </w:r>
    </w:p>
    <w:p>
      <w:pPr>
        <w:spacing w:line="360" w:lineRule="auto"/>
        <w:jc w:val="center"/>
        <w:rPr>
          <w:rFonts w:hint="eastAsia" w:asciiTheme="majorEastAsia" w:hAnsiTheme="majorEastAsia" w:eastAsiaTheme="majorEastAsia" w:cstheme="majorEastAsia"/>
          <w:b/>
          <w:color w:val="auto"/>
          <w:sz w:val="24"/>
          <w:highlight w:val="none"/>
        </w:rPr>
      </w:pPr>
    </w:p>
    <w:p>
      <w:pPr>
        <w:spacing w:line="360" w:lineRule="auto"/>
        <w:jc w:val="center"/>
        <w:rPr>
          <w:rFonts w:hint="eastAsia" w:asciiTheme="majorEastAsia" w:hAnsiTheme="majorEastAsia" w:eastAsiaTheme="majorEastAsia" w:cstheme="majorEastAsia"/>
          <w:b/>
          <w:color w:val="auto"/>
          <w:spacing w:val="6"/>
          <w:sz w:val="32"/>
          <w:szCs w:val="32"/>
          <w:highlight w:val="none"/>
        </w:rPr>
      </w:pPr>
      <w:r>
        <w:rPr>
          <w:rFonts w:hint="eastAsia" w:asciiTheme="majorEastAsia" w:hAnsiTheme="majorEastAsia" w:eastAsiaTheme="majorEastAsia" w:cstheme="majorEastAsia"/>
          <w:b/>
          <w:color w:val="auto"/>
          <w:spacing w:val="6"/>
          <w:sz w:val="32"/>
          <w:szCs w:val="32"/>
          <w:highlight w:val="none"/>
        </w:rPr>
        <w:t>投诉书范本</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一、投诉相关主体基本情况</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tabs>
          <w:tab w:val="left" w:pos="6510"/>
        </w:tabs>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法定代表人/主要负责人：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tabs>
          <w:tab w:val="left" w:pos="6510"/>
        </w:tabs>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授权代表：</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被投诉人1：</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被投诉人2</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相关供应商：</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联系人：</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联系电话：</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二、投诉项目基本情况</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采购项目名称：</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采购项目编号：</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包号：</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采购人名称：</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u w:val="singl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代理机构名称：</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采购文件公告: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采购结果公告:</w:t>
      </w:r>
      <w:r>
        <w:rPr>
          <w:rFonts w:hint="eastAsia" w:asciiTheme="majorEastAsia" w:hAnsiTheme="majorEastAsia" w:eastAsiaTheme="majorEastAsia" w:cstheme="majorEastAsia"/>
          <w:color w:val="auto"/>
          <w:sz w:val="24"/>
          <w:highlight w:val="none"/>
          <w:u w:val="dotted"/>
        </w:rPr>
        <w:t xml:space="preserve">是/否 </w:t>
      </w:r>
      <w:r>
        <w:rPr>
          <w:rFonts w:hint="eastAsia" w:asciiTheme="majorEastAsia" w:hAnsiTheme="majorEastAsia" w:eastAsiaTheme="majorEastAsia" w:cstheme="majorEastAsia"/>
          <w:color w:val="auto"/>
          <w:sz w:val="24"/>
          <w:highlight w:val="none"/>
        </w:rPr>
        <w:t>公告期限：</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三、质疑基本情况</w:t>
      </w:r>
    </w:p>
    <w:p>
      <w:pPr>
        <w:spacing w:line="360" w:lineRule="auto"/>
        <w:ind w:firstLine="480" w:firstLineChars="200"/>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投诉人于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日,向</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提出质疑，质疑事项为：</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dotted"/>
        </w:rPr>
        <w:t>采购人/代理机构</w:t>
      </w:r>
      <w:r>
        <w:rPr>
          <w:rFonts w:hint="eastAsia" w:asciiTheme="majorEastAsia" w:hAnsiTheme="majorEastAsia" w:eastAsiaTheme="majorEastAsia" w:cstheme="majorEastAsia"/>
          <w:color w:val="auto"/>
          <w:sz w:val="24"/>
          <w:highlight w:val="none"/>
        </w:rPr>
        <w:t>于</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日,就质疑事项作出了答复/没有在法定期限内作出答复。</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四、投诉事项具体内容</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投诉事项 1：</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事实依据：</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法律依据：</w:t>
      </w: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u w:val="dotted"/>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投诉事项2</w:t>
      </w:r>
    </w:p>
    <w:p>
      <w:pPr>
        <w:spacing w:line="360" w:lineRule="auto"/>
        <w:rPr>
          <w:rFonts w:hint="eastAsia" w:asciiTheme="majorEastAsia" w:hAnsiTheme="majorEastAsia" w:eastAsiaTheme="majorEastAsia" w:cstheme="majorEastAsia"/>
          <w:color w:val="auto"/>
          <w:sz w:val="24"/>
          <w:highlight w:val="none"/>
          <w:u w:val="dotted"/>
        </w:rPr>
      </w:pPr>
      <w:r>
        <w:rPr>
          <w:rFonts w:hint="eastAsia" w:asciiTheme="majorEastAsia" w:hAnsiTheme="majorEastAsia" w:eastAsiaTheme="majorEastAsia" w:cstheme="majorEastAsia"/>
          <w:color w:val="auto"/>
          <w:sz w:val="24"/>
          <w:highlight w:val="none"/>
        </w:rPr>
        <w:t>……</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五、与投诉事项相关的投诉请求</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请求：</w:t>
      </w:r>
      <w:r>
        <w:rPr>
          <w:rFonts w:hint="eastAsia" w:asciiTheme="majorEastAsia" w:hAnsiTheme="majorEastAsia" w:eastAsiaTheme="majorEastAsia" w:cstheme="majorEastAsia"/>
          <w:color w:val="auto"/>
          <w:sz w:val="24"/>
          <w:highlight w:val="none"/>
          <w:u w:val="dotted"/>
        </w:rPr>
        <w:t xml:space="preserve">                                              </w:t>
      </w:r>
      <w:r>
        <w:rPr>
          <w:rFonts w:hint="eastAsia" w:asciiTheme="majorEastAsia" w:hAnsiTheme="majorEastAsia" w:eastAsiaTheme="majorEastAsia" w:cstheme="majorEastAsia"/>
          <w:color w:val="auto"/>
          <w:sz w:val="24"/>
          <w:highlight w:val="none"/>
        </w:rPr>
        <w:t xml:space="preserve"> </w:t>
      </w:r>
    </w:p>
    <w:p>
      <w:pPr>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 xml:space="preserve">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签字(签章)：                   公章：                      </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日期：    </w:t>
      </w: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p>
    <w:p>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pPr>
        <w:widowControl/>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pPr>
        <w:widowControl/>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ajorEastAsia" w:hAnsiTheme="majorEastAsia" w:eastAsiaTheme="majorEastAsia" w:cstheme="majorEastAsia"/>
          <w:b/>
          <w:color w:val="auto"/>
          <w:sz w:val="24"/>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color w:val="auto"/>
          <w:spacing w:val="6"/>
          <w:sz w:val="32"/>
          <w:szCs w:val="32"/>
          <w:highlight w:val="none"/>
        </w:rPr>
      </w:pPr>
    </w:p>
    <w:p>
      <w:pPr>
        <w:autoSpaceDE w:val="0"/>
        <w:autoSpaceDN w:val="0"/>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color w:val="auto"/>
          <w:spacing w:val="6"/>
          <w:sz w:val="32"/>
          <w:szCs w:val="32"/>
          <w:highlight w:val="none"/>
        </w:rPr>
        <w:t>附件4：</w:t>
      </w:r>
      <w:r>
        <w:rPr>
          <w:rFonts w:hint="eastAsia" w:asciiTheme="majorEastAsia" w:hAnsiTheme="majorEastAsia" w:eastAsiaTheme="majorEastAsia" w:cstheme="majorEastAsia"/>
          <w:b/>
          <w:bCs/>
          <w:color w:val="auto"/>
          <w:sz w:val="32"/>
          <w:szCs w:val="32"/>
          <w:highlight w:val="none"/>
        </w:rPr>
        <w:t>业务专用章使用说明函</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（采购人）、（采购代理机构）</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lang w:val="zh-CN"/>
        </w:rPr>
        <w:t>我方</w:t>
      </w:r>
      <w:r>
        <w:rPr>
          <w:rFonts w:hint="eastAsia" w:asciiTheme="majorEastAsia" w:hAnsiTheme="majorEastAsia" w:eastAsiaTheme="majorEastAsia" w:cstheme="majorEastAsia"/>
          <w:color w:val="auto"/>
          <w:kern w:val="0"/>
          <w:sz w:val="24"/>
          <w:highlight w:val="none"/>
          <w:u w:val="single"/>
          <w:lang w:val="zh-CN"/>
        </w:rPr>
        <w:t xml:space="preserve">                         </w:t>
      </w:r>
      <w:r>
        <w:rPr>
          <w:rFonts w:hint="eastAsia" w:asciiTheme="majorEastAsia" w:hAnsiTheme="majorEastAsia" w:eastAsiaTheme="majorEastAsia" w:cstheme="majorEastAsia"/>
          <w:color w:val="auto"/>
          <w:sz w:val="24"/>
          <w:highlight w:val="none"/>
        </w:rPr>
        <w:t>(投标人全称)是中华人民共和国依法登记注册的合法企业，</w:t>
      </w:r>
      <w:r>
        <w:rPr>
          <w:rFonts w:hint="eastAsia" w:asciiTheme="majorEastAsia" w:hAnsiTheme="majorEastAsia" w:eastAsiaTheme="majorEastAsia" w:cstheme="majorEastAsia"/>
          <w:bCs/>
          <w:color w:val="auto"/>
          <w:sz w:val="24"/>
          <w:highlight w:val="none"/>
        </w:rPr>
        <w:t>在参加</w:t>
      </w:r>
      <w:r>
        <w:rPr>
          <w:rFonts w:hint="eastAsia" w:asciiTheme="majorEastAsia" w:hAnsiTheme="majorEastAsia" w:eastAsiaTheme="majorEastAsia" w:cstheme="majorEastAsia"/>
          <w:color w:val="auto"/>
          <w:sz w:val="24"/>
          <w:highlight w:val="none"/>
        </w:rPr>
        <w:t>你方组织的（项目名称）项目【招标编号：（采购编号）】</w:t>
      </w:r>
      <w:r>
        <w:rPr>
          <w:rFonts w:hint="eastAsia" w:asciiTheme="majorEastAsia" w:hAnsiTheme="majorEastAsia" w:eastAsiaTheme="majorEastAsia" w:cstheme="majorEastAsia"/>
          <w:bCs/>
          <w:color w:val="auto"/>
          <w:sz w:val="24"/>
          <w:highlight w:val="none"/>
        </w:rPr>
        <w:t>投标活动中作如下说明：</w:t>
      </w:r>
      <w:r>
        <w:rPr>
          <w:rFonts w:hint="eastAsia" w:asciiTheme="majorEastAsia" w:hAnsiTheme="majorEastAsia" w:eastAsiaTheme="majorEastAsia" w:cstheme="maj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特此说明。</w:t>
      </w:r>
    </w:p>
    <w:p>
      <w:pPr>
        <w:spacing w:line="360" w:lineRule="auto"/>
        <w:ind w:firstLine="494"/>
        <w:rPr>
          <w:rFonts w:hint="eastAsia" w:asciiTheme="majorEastAsia" w:hAnsiTheme="majorEastAsia" w:eastAsiaTheme="majorEastAsia" w:cstheme="majorEastAsia"/>
          <w:color w:val="auto"/>
          <w:sz w:val="24"/>
          <w:highlight w:val="none"/>
        </w:rPr>
      </w:pPr>
    </w:p>
    <w:p>
      <w:pPr>
        <w:spacing w:line="360" w:lineRule="auto"/>
        <w:ind w:firstLine="494"/>
        <w:rPr>
          <w:rFonts w:hint="eastAsia" w:asciiTheme="majorEastAsia" w:hAnsiTheme="majorEastAsia" w:eastAsiaTheme="majorEastAsia" w:cstheme="majorEastAsia"/>
          <w:color w:val="auto"/>
          <w:sz w:val="24"/>
        </w:rPr>
      </w:pPr>
    </w:p>
    <w:p>
      <w:pPr>
        <w:spacing w:line="360" w:lineRule="auto"/>
        <w:ind w:firstLine="494"/>
        <w:rPr>
          <w:rFonts w:hint="eastAsia" w:asciiTheme="majorEastAsia" w:hAnsiTheme="majorEastAsia" w:eastAsiaTheme="majorEastAsia" w:cstheme="majorEastAsia"/>
          <w:color w:val="auto"/>
          <w:sz w:val="24"/>
        </w:rPr>
      </w:pPr>
    </w:p>
    <w:p>
      <w:pPr>
        <w:spacing w:line="360" w:lineRule="auto"/>
        <w:ind w:firstLine="494"/>
        <w:rPr>
          <w:rFonts w:hint="eastAsia" w:asciiTheme="majorEastAsia" w:hAnsiTheme="majorEastAsia" w:eastAsiaTheme="majorEastAsia" w:cstheme="majorEastAsia"/>
          <w:color w:val="auto"/>
          <w:sz w:val="24"/>
        </w:rPr>
      </w:pPr>
    </w:p>
    <w:p>
      <w:pPr>
        <w:spacing w:line="360" w:lineRule="auto"/>
        <w:ind w:right="480" w:firstLine="4080" w:firstLineChars="17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投标单位（法定名称章）：</w:t>
      </w:r>
    </w:p>
    <w:p>
      <w:pPr>
        <w:ind w:right="1440" w:firstLine="494"/>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                              日期：       年     月     日</w:t>
      </w:r>
    </w:p>
    <w:p>
      <w:pP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b/>
          <w:bCs/>
          <w:color w:val="auto"/>
          <w:sz w:val="24"/>
        </w:rPr>
        <w:t>附：</w:t>
      </w:r>
    </w:p>
    <w:p>
      <w:pPr>
        <w:spacing w:line="360" w:lineRule="auto"/>
        <w:rPr>
          <w:rFonts w:hint="eastAsia" w:asciiTheme="majorEastAsia" w:hAnsiTheme="majorEastAsia" w:eastAsiaTheme="majorEastAsia" w:cstheme="majorEastAsia"/>
          <w:bCs/>
          <w:color w:val="auto"/>
          <w:sz w:val="24"/>
        </w:rPr>
      </w:pPr>
      <w:r>
        <w:rPr>
          <w:rFonts w:hint="eastAsia" w:asciiTheme="majorEastAsia" w:hAnsiTheme="majorEastAsia" w:eastAsiaTheme="majorEastAsia" w:cstheme="majorEastAsia"/>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Theme="majorEastAsia" w:hAnsiTheme="majorEastAsia" w:eastAsiaTheme="majorEastAsia" w:cstheme="majorEastAsia"/>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Theme="majorEastAsia" w:hAnsiTheme="majorEastAsia" w:eastAsiaTheme="majorEastAsia" w:cstheme="majorEastAsia"/>
          <w:color w:val="auto"/>
          <w:sz w:val="24"/>
        </w:rPr>
        <w:t>投标单位法定名称章（印模）                投标单位“XX专用章”（印模）</w:t>
      </w: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color w:val="auto"/>
          <w:spacing w:val="6"/>
          <w:sz w:val="32"/>
          <w:szCs w:val="32"/>
        </w:rPr>
      </w:pPr>
    </w:p>
    <w:p>
      <w:pPr>
        <w:autoSpaceDE w:val="0"/>
        <w:autoSpaceDN w:val="0"/>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color w:val="auto"/>
          <w:spacing w:val="6"/>
          <w:sz w:val="32"/>
          <w:szCs w:val="32"/>
        </w:rPr>
        <w:t>附件5：</w:t>
      </w:r>
      <w:r>
        <w:rPr>
          <w:rFonts w:hint="eastAsia" w:asciiTheme="majorEastAsia" w:hAnsiTheme="majorEastAsia" w:eastAsiaTheme="majorEastAsia" w:cstheme="majorEastAsia"/>
          <w:b/>
          <w:color w:val="auto"/>
          <w:sz w:val="32"/>
          <w:szCs w:val="32"/>
        </w:rPr>
        <w:t>中小企业声明函</w:t>
      </w:r>
    </w:p>
    <w:p>
      <w:pPr>
        <w:spacing w:line="360" w:lineRule="auto"/>
        <w:jc w:val="center"/>
        <w:rPr>
          <w:rFonts w:hint="eastAsia" w:asciiTheme="majorEastAsia" w:hAnsiTheme="majorEastAsia" w:eastAsiaTheme="majorEastAsia" w:cstheme="majorEastAsia"/>
          <w:color w:val="auto"/>
          <w:sz w:val="24"/>
          <w:u w:val="single"/>
        </w:rPr>
      </w:pPr>
    </w:p>
    <w:p>
      <w:pPr>
        <w:spacing w:line="360" w:lineRule="auto"/>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中小企业声明函（货物）</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r>
        <w:rPr>
          <w:rFonts w:hint="eastAsia" w:asciiTheme="majorEastAsia" w:hAnsiTheme="majorEastAsia" w:eastAsiaTheme="majorEastAsia" w:cstheme="majorEastAsia"/>
          <w:color w:val="auto"/>
        </w:rPr>
        <w:t xml:space="preserve"> </w:t>
      </w:r>
      <w:r>
        <w:rPr>
          <w:rFonts w:hint="eastAsia" w:asciiTheme="majorEastAsia" w:hAnsiTheme="majorEastAsia" w:eastAsiaTheme="majorEastAsia" w:cstheme="majorEastAsia"/>
          <w:color w:val="auto"/>
          <w:sz w:val="24"/>
          <w:u w:val="single"/>
        </w:rPr>
        <w:t>（标的名称）</w:t>
      </w:r>
      <w:r>
        <w:rPr>
          <w:rFonts w:hint="eastAsia" w:asciiTheme="majorEastAsia" w:hAnsiTheme="majorEastAsia" w:eastAsiaTheme="majorEastAsia" w:cstheme="majorEastAsia"/>
          <w:color w:val="auto"/>
          <w:sz w:val="24"/>
        </w:rPr>
        <w:t xml:space="preserve"> ，属于 </w:t>
      </w:r>
      <w:r>
        <w:rPr>
          <w:rFonts w:hint="eastAsia" w:asciiTheme="majorEastAsia" w:hAnsiTheme="majorEastAsia" w:eastAsiaTheme="majorEastAsia" w:cstheme="majorEastAsia"/>
          <w:color w:val="auto"/>
          <w:sz w:val="24"/>
          <w:u w:val="single"/>
        </w:rPr>
        <w:t>（采购文件中明确的所属行业）</w:t>
      </w:r>
      <w:r>
        <w:rPr>
          <w:rFonts w:hint="eastAsia" w:asciiTheme="majorEastAsia" w:hAnsiTheme="majorEastAsia" w:eastAsiaTheme="majorEastAsia" w:cstheme="majorEastAsia"/>
          <w:color w:val="auto"/>
          <w:sz w:val="24"/>
        </w:rPr>
        <w:t>行业 ；制造商为</w:t>
      </w:r>
      <w:r>
        <w:rPr>
          <w:rFonts w:hint="eastAsia" w:asciiTheme="majorEastAsia" w:hAnsiTheme="majorEastAsia" w:eastAsiaTheme="majorEastAsia" w:cstheme="majorEastAsia"/>
          <w:color w:val="auto"/>
          <w:sz w:val="24"/>
          <w:u w:val="single"/>
        </w:rPr>
        <w:t xml:space="preserve"> （企业名称）</w:t>
      </w:r>
      <w:r>
        <w:rPr>
          <w:rFonts w:hint="eastAsia" w:asciiTheme="majorEastAsia" w:hAnsiTheme="majorEastAsia" w:eastAsiaTheme="majorEastAsia" w:cstheme="majorEastAsia"/>
          <w:color w:val="auto"/>
          <w:sz w:val="24"/>
        </w:rPr>
        <w:t xml:space="preserve"> ，从业人员</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人，营业收入为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万元，资产总额为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万元，属于</w:t>
      </w:r>
      <w:r>
        <w:rPr>
          <w:rFonts w:hint="eastAsia" w:asciiTheme="majorEastAsia" w:hAnsiTheme="majorEastAsia" w:eastAsiaTheme="majorEastAsia" w:cstheme="majorEastAsia"/>
          <w:color w:val="auto"/>
          <w:sz w:val="24"/>
          <w:u w:val="single"/>
        </w:rPr>
        <w:t xml:space="preserve"> （中型企业、小型企业、微型企业）</w:t>
      </w:r>
      <w:r>
        <w:rPr>
          <w:rFonts w:hint="eastAsia" w:asciiTheme="majorEastAsia" w:hAnsiTheme="majorEastAsia" w:eastAsiaTheme="majorEastAsia" w:cstheme="majorEastAsia"/>
          <w:color w:val="auto"/>
          <w:sz w:val="24"/>
        </w:rPr>
        <w:t xml:space="preserve"> ；</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rPr>
        <w:t xml:space="preserve"> </w:t>
      </w:r>
      <w:r>
        <w:rPr>
          <w:rFonts w:hint="eastAsia" w:asciiTheme="majorEastAsia" w:hAnsiTheme="majorEastAsia" w:eastAsiaTheme="majorEastAsia" w:cstheme="majorEastAsia"/>
          <w:color w:val="auto"/>
          <w:sz w:val="24"/>
          <w:u w:val="single"/>
        </w:rPr>
        <w:t>（标的名称）</w:t>
      </w:r>
      <w:r>
        <w:rPr>
          <w:rFonts w:hint="eastAsia" w:asciiTheme="majorEastAsia" w:hAnsiTheme="majorEastAsia" w:eastAsiaTheme="majorEastAsia" w:cstheme="majorEastAsia"/>
          <w:color w:val="auto"/>
          <w:sz w:val="24"/>
        </w:rPr>
        <w:t xml:space="preserve"> ，属于 </w:t>
      </w:r>
      <w:r>
        <w:rPr>
          <w:rFonts w:hint="eastAsia" w:asciiTheme="majorEastAsia" w:hAnsiTheme="majorEastAsia" w:eastAsiaTheme="majorEastAsia" w:cstheme="majorEastAsia"/>
          <w:color w:val="auto"/>
          <w:sz w:val="24"/>
          <w:u w:val="single"/>
        </w:rPr>
        <w:t>（采购文件中明确的所属行业）</w:t>
      </w:r>
      <w:r>
        <w:rPr>
          <w:rFonts w:hint="eastAsia" w:asciiTheme="majorEastAsia" w:hAnsiTheme="majorEastAsia" w:eastAsiaTheme="majorEastAsia" w:cstheme="majorEastAsia"/>
          <w:color w:val="auto"/>
          <w:sz w:val="24"/>
        </w:rPr>
        <w:t>行业 ；制造商为</w:t>
      </w:r>
      <w:r>
        <w:rPr>
          <w:rFonts w:hint="eastAsia" w:asciiTheme="majorEastAsia" w:hAnsiTheme="majorEastAsia" w:eastAsiaTheme="majorEastAsia" w:cstheme="majorEastAsia"/>
          <w:color w:val="auto"/>
          <w:sz w:val="24"/>
          <w:u w:val="single"/>
        </w:rPr>
        <w:t xml:space="preserve"> （企业名称）</w:t>
      </w:r>
      <w:r>
        <w:rPr>
          <w:rFonts w:hint="eastAsia" w:asciiTheme="majorEastAsia" w:hAnsiTheme="majorEastAsia" w:eastAsiaTheme="majorEastAsia" w:cstheme="majorEastAsia"/>
          <w:color w:val="auto"/>
          <w:sz w:val="24"/>
        </w:rPr>
        <w:t xml:space="preserve"> ，从业人员</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人，营业收入为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万元，资产总额为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万元，属于</w:t>
      </w:r>
      <w:r>
        <w:rPr>
          <w:rFonts w:hint="eastAsia" w:asciiTheme="majorEastAsia" w:hAnsiTheme="majorEastAsia" w:eastAsiaTheme="majorEastAsia" w:cstheme="majorEastAsia"/>
          <w:color w:val="auto"/>
          <w:sz w:val="24"/>
          <w:u w:val="single"/>
        </w:rPr>
        <w:t xml:space="preserve"> （中型企业、小型企业、微型企业）</w:t>
      </w:r>
      <w:r>
        <w:rPr>
          <w:rFonts w:hint="eastAsia" w:asciiTheme="majorEastAsia" w:hAnsiTheme="majorEastAsia" w:eastAsiaTheme="majorEastAsia" w:cstheme="majorEastAsia"/>
          <w:color w:val="auto"/>
          <w:sz w:val="24"/>
        </w:rPr>
        <w:t xml:space="preserve"> ；</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本企业对上述声明内容的真实性负责。如有虚假，将依法承担相应责任。</w:t>
      </w:r>
    </w:p>
    <w:p>
      <w:pPr>
        <w:snapToGrid w:val="0"/>
        <w:spacing w:line="360" w:lineRule="auto"/>
        <w:ind w:firstLine="5160" w:firstLineChars="2150"/>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val="zh-CN"/>
        </w:rPr>
        <w:t>投标人名称(电子签名)：</w:t>
      </w:r>
    </w:p>
    <w:p>
      <w:pPr>
        <w:snapToGrid w:val="0"/>
        <w:spacing w:line="360" w:lineRule="auto"/>
        <w:rPr>
          <w:rFonts w:hint="eastAsia"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 xml:space="preserve">                                           日期</w:t>
      </w:r>
      <w:r>
        <w:rPr>
          <w:rFonts w:hint="eastAsia" w:asciiTheme="majorEastAsia" w:hAnsiTheme="majorEastAsia" w:eastAsiaTheme="majorEastAsia" w:cstheme="majorEastAsia"/>
          <w:color w:val="auto"/>
          <w:kern w:val="0"/>
          <w:sz w:val="24"/>
        </w:rPr>
        <w:t xml:space="preserve">：  年  </w:t>
      </w:r>
      <w:r>
        <w:rPr>
          <w:rFonts w:hint="eastAsia" w:asciiTheme="majorEastAsia" w:hAnsiTheme="majorEastAsia" w:eastAsiaTheme="majorEastAsia" w:cstheme="majorEastAsia"/>
          <w:color w:val="auto"/>
          <w:kern w:val="0"/>
          <w:sz w:val="24"/>
          <w:lang w:val="zh-CN"/>
        </w:rPr>
        <w:t>月</w:t>
      </w:r>
      <w:r>
        <w:rPr>
          <w:rFonts w:hint="eastAsia" w:asciiTheme="majorEastAsia" w:hAnsiTheme="majorEastAsia" w:eastAsiaTheme="majorEastAsia" w:cstheme="majorEastAsia"/>
          <w:color w:val="auto"/>
          <w:kern w:val="0"/>
          <w:sz w:val="24"/>
        </w:rPr>
        <w:t xml:space="preserve">   </w:t>
      </w:r>
      <w:r>
        <w:rPr>
          <w:rFonts w:hint="eastAsia" w:asciiTheme="majorEastAsia" w:hAnsiTheme="majorEastAsia" w:eastAsiaTheme="majorEastAsia" w:cstheme="majorEastAsia"/>
          <w:color w:val="auto"/>
          <w:kern w:val="0"/>
          <w:sz w:val="24"/>
          <w:lang w:val="zh-CN"/>
        </w:rPr>
        <w:t>日</w:t>
      </w:r>
    </w:p>
    <w:p>
      <w:pPr>
        <w:spacing w:line="360" w:lineRule="auto"/>
        <w:jc w:val="left"/>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Theme="majorEastAsia" w:hAnsiTheme="majorEastAsia" w:eastAsiaTheme="majorEastAsia" w:cstheme="majorEastAsia"/>
          <w:b/>
          <w:color w:val="auto"/>
          <w:sz w:val="32"/>
          <w:szCs w:val="32"/>
        </w:rPr>
      </w:pPr>
    </w:p>
    <w:p>
      <w:pPr>
        <w:spacing w:line="360" w:lineRule="auto"/>
        <w:jc w:val="center"/>
        <w:rPr>
          <w:rFonts w:hint="eastAsia" w:asciiTheme="majorEastAsia" w:hAnsiTheme="majorEastAsia" w:eastAsiaTheme="majorEastAsia" w:cstheme="majorEastAsia"/>
          <w:b/>
          <w:color w:val="auto"/>
          <w:sz w:val="32"/>
          <w:szCs w:val="32"/>
        </w:rPr>
      </w:pPr>
    </w:p>
    <w:p>
      <w:pPr>
        <w:spacing w:line="360" w:lineRule="auto"/>
        <w:jc w:val="center"/>
        <w:rPr>
          <w:rFonts w:hint="eastAsia" w:asciiTheme="majorEastAsia" w:hAnsiTheme="majorEastAsia" w:eastAsiaTheme="majorEastAsia" w:cstheme="majorEastAsia"/>
          <w:b/>
          <w:color w:val="auto"/>
          <w:sz w:val="32"/>
          <w:szCs w:val="32"/>
        </w:rPr>
      </w:pPr>
    </w:p>
    <w:p>
      <w:pPr>
        <w:spacing w:line="360" w:lineRule="auto"/>
        <w:jc w:val="center"/>
        <w:rPr>
          <w:rFonts w:hint="eastAsia" w:asciiTheme="majorEastAsia" w:hAnsiTheme="majorEastAsia" w:eastAsiaTheme="majorEastAsia" w:cstheme="majorEastAsia"/>
          <w:b/>
          <w:color w:val="auto"/>
          <w:sz w:val="32"/>
          <w:szCs w:val="32"/>
        </w:rPr>
      </w:pPr>
    </w:p>
    <w:p>
      <w:pPr>
        <w:spacing w:line="360" w:lineRule="auto"/>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中小企业声明函（工程、服务）</w:t>
      </w:r>
    </w:p>
    <w:p>
      <w:pPr>
        <w:spacing w:line="360" w:lineRule="auto"/>
        <w:rPr>
          <w:rFonts w:hint="eastAsia" w:asciiTheme="majorEastAsia" w:hAnsiTheme="majorEastAsia" w:eastAsiaTheme="majorEastAsia" w:cstheme="majorEastAsia"/>
          <w:color w:val="auto"/>
        </w:rPr>
      </w:pPr>
    </w:p>
    <w:p>
      <w:pPr>
        <w:spacing w:line="360" w:lineRule="auto"/>
        <w:ind w:firstLine="360" w:firstLineChars="15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r>
        <w:rPr>
          <w:rFonts w:hint="eastAsia" w:asciiTheme="majorEastAsia" w:hAnsiTheme="majorEastAsia" w:eastAsiaTheme="majorEastAsia" w:cstheme="majorEastAsia"/>
          <w:color w:val="auto"/>
        </w:rPr>
        <w:t xml:space="preserve"> </w:t>
      </w:r>
      <w:r>
        <w:rPr>
          <w:rFonts w:hint="eastAsia" w:asciiTheme="majorEastAsia" w:hAnsiTheme="majorEastAsia" w:eastAsiaTheme="majorEastAsia" w:cstheme="majorEastAsia"/>
          <w:color w:val="auto"/>
          <w:sz w:val="24"/>
          <w:u w:val="single"/>
        </w:rPr>
        <w:t>（标的名称）</w:t>
      </w:r>
      <w:r>
        <w:rPr>
          <w:rFonts w:hint="eastAsia" w:asciiTheme="majorEastAsia" w:hAnsiTheme="majorEastAsia" w:eastAsiaTheme="majorEastAsia" w:cstheme="majorEastAsia"/>
          <w:color w:val="auto"/>
          <w:sz w:val="24"/>
        </w:rPr>
        <w:t xml:space="preserve">，属于 </w:t>
      </w:r>
      <w:r>
        <w:rPr>
          <w:rFonts w:hint="eastAsia" w:asciiTheme="majorEastAsia" w:hAnsiTheme="majorEastAsia" w:eastAsiaTheme="majorEastAsia" w:cstheme="majorEastAsia"/>
          <w:color w:val="auto"/>
          <w:sz w:val="24"/>
          <w:u w:val="single"/>
        </w:rPr>
        <w:t>（采购文件中明确的所属行业）</w:t>
      </w:r>
      <w:r>
        <w:rPr>
          <w:rFonts w:hint="eastAsia" w:asciiTheme="majorEastAsia" w:hAnsiTheme="majorEastAsia" w:eastAsiaTheme="majorEastAsia" w:cstheme="majorEastAsia"/>
          <w:color w:val="auto"/>
          <w:sz w:val="24"/>
        </w:rPr>
        <w:t xml:space="preserve"> ；承建（承接）企业为 </w:t>
      </w:r>
      <w:r>
        <w:rPr>
          <w:rFonts w:hint="eastAsia" w:asciiTheme="majorEastAsia" w:hAnsiTheme="majorEastAsia" w:eastAsiaTheme="majorEastAsia" w:cstheme="majorEastAsia"/>
          <w:color w:val="auto"/>
          <w:sz w:val="24"/>
          <w:u w:val="single"/>
        </w:rPr>
        <w:t>（企业名称）</w:t>
      </w:r>
      <w:r>
        <w:rPr>
          <w:rFonts w:hint="eastAsia" w:asciiTheme="majorEastAsia" w:hAnsiTheme="majorEastAsia" w:eastAsiaTheme="majorEastAsia" w:cstheme="majorEastAsia"/>
          <w:color w:val="auto"/>
          <w:sz w:val="24"/>
        </w:rPr>
        <w:t xml:space="preserve"> ，从业人员</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人，营业收入为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万元，资产总额为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万元属于</w:t>
      </w:r>
      <w:r>
        <w:rPr>
          <w:rFonts w:hint="eastAsia" w:asciiTheme="majorEastAsia" w:hAnsiTheme="majorEastAsia" w:eastAsiaTheme="majorEastAsia" w:cstheme="majorEastAsia"/>
          <w:color w:val="auto"/>
          <w:sz w:val="24"/>
          <w:u w:val="single"/>
        </w:rPr>
        <w:t xml:space="preserve"> （中型企业、小型企业、微型企业） </w:t>
      </w:r>
      <w:r>
        <w:rPr>
          <w:rFonts w:hint="eastAsia" w:asciiTheme="majorEastAsia" w:hAnsiTheme="majorEastAsia" w:eastAsiaTheme="majorEastAsia" w:cstheme="majorEastAsia"/>
          <w:color w:val="auto"/>
          <w:sz w:val="24"/>
        </w:rPr>
        <w:t>；</w:t>
      </w:r>
    </w:p>
    <w:p>
      <w:pPr>
        <w:spacing w:line="360" w:lineRule="auto"/>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r>
        <w:rPr>
          <w:rFonts w:hint="eastAsia" w:asciiTheme="majorEastAsia" w:hAnsiTheme="majorEastAsia" w:eastAsiaTheme="majorEastAsia" w:cstheme="majorEastAsia"/>
          <w:color w:val="auto"/>
        </w:rPr>
        <w:t xml:space="preserve"> </w:t>
      </w:r>
      <w:r>
        <w:rPr>
          <w:rFonts w:hint="eastAsia" w:asciiTheme="majorEastAsia" w:hAnsiTheme="majorEastAsia" w:eastAsiaTheme="majorEastAsia" w:cstheme="majorEastAsia"/>
          <w:color w:val="auto"/>
          <w:sz w:val="24"/>
          <w:u w:val="single"/>
        </w:rPr>
        <w:t>（标的名称）</w:t>
      </w:r>
      <w:r>
        <w:rPr>
          <w:rFonts w:hint="eastAsia" w:asciiTheme="majorEastAsia" w:hAnsiTheme="majorEastAsia" w:eastAsiaTheme="majorEastAsia" w:cstheme="majorEastAsia"/>
          <w:color w:val="auto"/>
          <w:sz w:val="24"/>
        </w:rPr>
        <w:t xml:space="preserve">，属于 </w:t>
      </w:r>
      <w:r>
        <w:rPr>
          <w:rFonts w:hint="eastAsia" w:asciiTheme="majorEastAsia" w:hAnsiTheme="majorEastAsia" w:eastAsiaTheme="majorEastAsia" w:cstheme="majorEastAsia"/>
          <w:color w:val="auto"/>
          <w:sz w:val="24"/>
          <w:u w:val="single"/>
        </w:rPr>
        <w:t>（采购文件中明确的所属行业）</w:t>
      </w:r>
      <w:r>
        <w:rPr>
          <w:rFonts w:hint="eastAsia" w:asciiTheme="majorEastAsia" w:hAnsiTheme="majorEastAsia" w:eastAsiaTheme="majorEastAsia" w:cstheme="majorEastAsia"/>
          <w:color w:val="auto"/>
          <w:sz w:val="24"/>
        </w:rPr>
        <w:t xml:space="preserve"> ；承建（承接）企业为 </w:t>
      </w:r>
      <w:r>
        <w:rPr>
          <w:rFonts w:hint="eastAsia" w:asciiTheme="majorEastAsia" w:hAnsiTheme="majorEastAsia" w:eastAsiaTheme="majorEastAsia" w:cstheme="majorEastAsia"/>
          <w:color w:val="auto"/>
          <w:sz w:val="24"/>
          <w:u w:val="single"/>
        </w:rPr>
        <w:t>（企业名称）</w:t>
      </w:r>
      <w:r>
        <w:rPr>
          <w:rFonts w:hint="eastAsia" w:asciiTheme="majorEastAsia" w:hAnsiTheme="majorEastAsia" w:eastAsiaTheme="majorEastAsia" w:cstheme="majorEastAsia"/>
          <w:color w:val="auto"/>
          <w:sz w:val="24"/>
        </w:rPr>
        <w:t xml:space="preserve"> ，从业人员</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人，营业收入为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万元，资产总额为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万元属于</w:t>
      </w:r>
      <w:r>
        <w:rPr>
          <w:rFonts w:hint="eastAsia" w:asciiTheme="majorEastAsia" w:hAnsiTheme="majorEastAsia" w:eastAsiaTheme="majorEastAsia" w:cstheme="majorEastAsia"/>
          <w:color w:val="auto"/>
          <w:sz w:val="24"/>
          <w:u w:val="single"/>
        </w:rPr>
        <w:t xml:space="preserve"> （中型企业、小型企业、微型企业） </w:t>
      </w:r>
      <w:r>
        <w:rPr>
          <w:rFonts w:hint="eastAsia" w:asciiTheme="majorEastAsia" w:hAnsiTheme="majorEastAsia" w:eastAsiaTheme="majorEastAsia" w:cstheme="majorEastAsia"/>
          <w:color w:val="auto"/>
          <w:sz w:val="24"/>
        </w:rPr>
        <w:t>；</w:t>
      </w:r>
    </w:p>
    <w:p>
      <w:pPr>
        <w:spacing w:line="360" w:lineRule="auto"/>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w:t>
      </w:r>
    </w:p>
    <w:p>
      <w:pPr>
        <w:spacing w:line="360" w:lineRule="auto"/>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本企业对上述声明内容的真实性负责。如有虚假，将依法承担相应责任。</w:t>
      </w:r>
    </w:p>
    <w:p>
      <w:pPr>
        <w:spacing w:line="360" w:lineRule="auto"/>
        <w:ind w:right="1760"/>
        <w:jc w:val="righ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投标人名称（电子签名）：</w:t>
      </w:r>
    </w:p>
    <w:p>
      <w:pPr>
        <w:spacing w:line="360" w:lineRule="auto"/>
        <w:ind w:right="1120" w:firstLine="4680" w:firstLineChars="195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日 期：</w:t>
      </w:r>
    </w:p>
    <w:p>
      <w:pPr>
        <w:spacing w:line="360" w:lineRule="auto"/>
        <w:ind w:firstLine="310" w:firstLineChars="147"/>
        <w:jc w:val="left"/>
        <w:rPr>
          <w:rFonts w:hint="eastAsia" w:asciiTheme="majorEastAsia" w:hAnsiTheme="majorEastAsia" w:eastAsiaTheme="majorEastAsia" w:cstheme="majorEastAsia"/>
          <w:b/>
          <w:color w:val="auto"/>
          <w:szCs w:val="21"/>
        </w:rPr>
      </w:pPr>
      <w:r>
        <w:rPr>
          <w:rFonts w:hint="eastAsia" w:asciiTheme="majorEastAsia" w:hAnsiTheme="majorEastAsia" w:eastAsiaTheme="majorEastAsia" w:cstheme="majorEastAsia"/>
          <w:b/>
          <w:color w:val="auto"/>
          <w:szCs w:val="21"/>
        </w:rPr>
        <w:t>从业人员、营业收入、资产总额填报上一年度数据，无上一年度数据的新成立企业可不填报。</w:t>
      </w:r>
    </w:p>
    <w:p>
      <w:pPr>
        <w:spacing w:line="360" w:lineRule="auto"/>
        <w:ind w:right="420"/>
        <w:rPr>
          <w:rFonts w:hint="eastAsia" w:asciiTheme="majorEastAsia" w:hAnsiTheme="majorEastAsia" w:eastAsiaTheme="majorEastAsia" w:cstheme="majorEastAsia"/>
          <w:color w:val="auto"/>
          <w:sz w:val="24"/>
        </w:rPr>
      </w:pPr>
    </w:p>
    <w:p>
      <w:pPr>
        <w:spacing w:line="360" w:lineRule="auto"/>
        <w:ind w:right="42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Theme="majorEastAsia" w:hAnsiTheme="majorEastAsia" w:eastAsiaTheme="majorEastAsia" w:cstheme="majorEastAsia"/>
          <w:color w:val="auto"/>
          <w:lang w:val="en-US"/>
        </w:rPr>
      </w:pPr>
    </w:p>
    <w:p>
      <w:pPr>
        <w:spacing w:line="360" w:lineRule="auto"/>
        <w:ind w:right="420"/>
        <w:rPr>
          <w:rFonts w:hint="eastAsia" w:asciiTheme="majorEastAsia" w:hAnsiTheme="majorEastAsia" w:eastAsiaTheme="majorEastAsia" w:cstheme="majorEastAsia"/>
          <w:color w:val="auto"/>
        </w:rPr>
      </w:pPr>
    </w:p>
    <w:p>
      <w:pPr>
        <w:spacing w:line="360" w:lineRule="auto"/>
        <w:rPr>
          <w:rFonts w:hint="eastAsia" w:asciiTheme="majorEastAsia" w:hAnsiTheme="majorEastAsia" w:eastAsiaTheme="majorEastAsia" w:cstheme="majorEastAsia"/>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36110187"/>
    <w:bookmarkStart w:id="398" w:name="_Toc131845147"/>
    <w:bookmarkStart w:id="399" w:name="_Toc91899912"/>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845A9"/>
    <w:multiLevelType w:val="singleLevel"/>
    <w:tmpl w:val="865845A9"/>
    <w:lvl w:ilvl="0" w:tentative="0">
      <w:start w:val="1"/>
      <w:numFmt w:val="decimal"/>
      <w:suff w:val="nothing"/>
      <w:lvlText w:val="%1）"/>
      <w:lvlJc w:val="left"/>
    </w:lvl>
  </w:abstractNum>
  <w:abstractNum w:abstractNumId="1">
    <w:nsid w:val="A8F4E69B"/>
    <w:multiLevelType w:val="singleLevel"/>
    <w:tmpl w:val="A8F4E69B"/>
    <w:lvl w:ilvl="0" w:tentative="0">
      <w:start w:val="1"/>
      <w:numFmt w:val="chineseCounting"/>
      <w:suff w:val="space"/>
      <w:lvlText w:val="第%1部分"/>
      <w:lvlJc w:val="left"/>
      <w:rPr>
        <w:rFonts w:hint="eastAsia"/>
      </w:rPr>
    </w:lvl>
  </w:abstractNum>
  <w:abstractNum w:abstractNumId="2">
    <w:nsid w:val="F335B78A"/>
    <w:multiLevelType w:val="singleLevel"/>
    <w:tmpl w:val="F335B78A"/>
    <w:lvl w:ilvl="0" w:tentative="0">
      <w:start w:val="1"/>
      <w:numFmt w:val="decimal"/>
      <w:suff w:val="nothing"/>
      <w:lvlText w:val="%1）"/>
      <w:lvlJc w:val="left"/>
    </w:lvl>
  </w:abstractNum>
  <w:abstractNum w:abstractNumId="3">
    <w:nsid w:val="F59D58E8"/>
    <w:multiLevelType w:val="singleLevel"/>
    <w:tmpl w:val="F59D58E8"/>
    <w:lvl w:ilvl="0" w:tentative="0">
      <w:start w:val="1"/>
      <w:numFmt w:val="decimal"/>
      <w:suff w:val="nothing"/>
      <w:lvlText w:val="（%1）"/>
      <w:lvlJc w:val="left"/>
    </w:lvl>
  </w:abstractNum>
  <w:abstractNum w:abstractNumId="4">
    <w:nsid w:val="59BF248F"/>
    <w:multiLevelType w:val="singleLevel"/>
    <w:tmpl w:val="59BF248F"/>
    <w:lvl w:ilvl="0" w:tentative="0">
      <w:start w:val="1"/>
      <w:numFmt w:val="decimal"/>
      <w:suff w:val="nothing"/>
      <w:lvlText w:val="%1."/>
      <w:lvlJc w:val="left"/>
    </w:lvl>
  </w:abstractNum>
  <w:abstractNum w:abstractNumId="5">
    <w:nsid w:val="59BF24C6"/>
    <w:multiLevelType w:val="singleLevel"/>
    <w:tmpl w:val="59BF24C6"/>
    <w:lvl w:ilvl="0" w:tentative="0">
      <w:start w:val="1"/>
      <w:numFmt w:val="decimal"/>
      <w:suff w:val="nothing"/>
      <w:lvlText w:val="%1."/>
      <w:lvlJc w:val="left"/>
    </w:lvl>
  </w:abstractNum>
  <w:abstractNum w:abstractNumId="6">
    <w:nsid w:val="59BF2569"/>
    <w:multiLevelType w:val="singleLevel"/>
    <w:tmpl w:val="59BF2569"/>
    <w:lvl w:ilvl="0" w:tentative="0">
      <w:start w:val="1"/>
      <w:numFmt w:val="decimal"/>
      <w:suff w:val="nothing"/>
      <w:lvlText w:val="%1."/>
      <w:lvlJc w:val="left"/>
    </w:lvl>
  </w:abstractNum>
  <w:abstractNum w:abstractNumId="7">
    <w:nsid w:val="59BF25A1"/>
    <w:multiLevelType w:val="singleLevel"/>
    <w:tmpl w:val="59BF25A1"/>
    <w:lvl w:ilvl="0" w:tentative="0">
      <w:start w:val="1"/>
      <w:numFmt w:val="decimal"/>
      <w:suff w:val="nothing"/>
      <w:lvlText w:val="%1."/>
      <w:lvlJc w:val="left"/>
    </w:lvl>
  </w:abstractNum>
  <w:abstractNum w:abstractNumId="8">
    <w:nsid w:val="59BF25FA"/>
    <w:multiLevelType w:val="singleLevel"/>
    <w:tmpl w:val="59BF25FA"/>
    <w:lvl w:ilvl="0" w:tentative="0">
      <w:start w:val="1"/>
      <w:numFmt w:val="decimal"/>
      <w:suff w:val="nothing"/>
      <w:lvlText w:val="%1."/>
      <w:lvlJc w:val="left"/>
    </w:lvl>
  </w:abstractNum>
  <w:abstractNum w:abstractNumId="9">
    <w:nsid w:val="59BF2713"/>
    <w:multiLevelType w:val="singleLevel"/>
    <w:tmpl w:val="59BF2713"/>
    <w:lvl w:ilvl="0" w:tentative="0">
      <w:start w:val="1"/>
      <w:numFmt w:val="decimal"/>
      <w:suff w:val="nothing"/>
      <w:lvlText w:val="%1."/>
      <w:lvlJc w:val="left"/>
    </w:lvl>
  </w:abstractNum>
  <w:abstractNum w:abstractNumId="10">
    <w:nsid w:val="59BF2736"/>
    <w:multiLevelType w:val="singleLevel"/>
    <w:tmpl w:val="59BF2736"/>
    <w:lvl w:ilvl="0" w:tentative="0">
      <w:start w:val="1"/>
      <w:numFmt w:val="decimal"/>
      <w:suff w:val="nothing"/>
      <w:lvlText w:val="%1."/>
      <w:lvlJc w:val="left"/>
    </w:lvl>
  </w:abstractNum>
  <w:abstractNum w:abstractNumId="11">
    <w:nsid w:val="59BF275F"/>
    <w:multiLevelType w:val="singleLevel"/>
    <w:tmpl w:val="59BF275F"/>
    <w:lvl w:ilvl="0" w:tentative="0">
      <w:start w:val="1"/>
      <w:numFmt w:val="decimal"/>
      <w:suff w:val="nothing"/>
      <w:lvlText w:val="%1."/>
      <w:lvlJc w:val="left"/>
    </w:lvl>
  </w:abstractNum>
  <w:abstractNum w:abstractNumId="12">
    <w:nsid w:val="59BF2777"/>
    <w:multiLevelType w:val="singleLevel"/>
    <w:tmpl w:val="59BF2777"/>
    <w:lvl w:ilvl="0" w:tentative="0">
      <w:start w:val="1"/>
      <w:numFmt w:val="decimal"/>
      <w:suff w:val="nothing"/>
      <w:lvlText w:val="%1."/>
      <w:lvlJc w:val="left"/>
    </w:lvl>
  </w:abstractNum>
  <w:abstractNum w:abstractNumId="13">
    <w:nsid w:val="59BF279C"/>
    <w:multiLevelType w:val="singleLevel"/>
    <w:tmpl w:val="59BF279C"/>
    <w:lvl w:ilvl="0" w:tentative="0">
      <w:start w:val="1"/>
      <w:numFmt w:val="decimal"/>
      <w:suff w:val="nothing"/>
      <w:lvlText w:val="%1."/>
      <w:lvlJc w:val="left"/>
    </w:lvl>
  </w:abstractNum>
  <w:abstractNum w:abstractNumId="14">
    <w:nsid w:val="59BF27B9"/>
    <w:multiLevelType w:val="singleLevel"/>
    <w:tmpl w:val="59BF27B9"/>
    <w:lvl w:ilvl="0" w:tentative="0">
      <w:start w:val="1"/>
      <w:numFmt w:val="decimal"/>
      <w:suff w:val="nothing"/>
      <w:lvlText w:val="%1."/>
      <w:lvlJc w:val="left"/>
    </w:lvl>
  </w:abstractNum>
  <w:abstractNum w:abstractNumId="15">
    <w:nsid w:val="5E7C160A"/>
    <w:multiLevelType w:val="singleLevel"/>
    <w:tmpl w:val="5E7C160A"/>
    <w:lvl w:ilvl="0" w:tentative="0">
      <w:start w:val="1"/>
      <w:numFmt w:val="decimal"/>
      <w:suff w:val="nothing"/>
      <w:lvlText w:val="%1."/>
      <w:lvlJc w:val="left"/>
    </w:lvl>
  </w:abstractNum>
  <w:abstractNum w:abstractNumId="16">
    <w:nsid w:val="601AB719"/>
    <w:multiLevelType w:val="singleLevel"/>
    <w:tmpl w:val="601AB719"/>
    <w:lvl w:ilvl="0" w:tentative="0">
      <w:start w:val="2"/>
      <w:numFmt w:val="decimal"/>
      <w:suff w:val="nothing"/>
      <w:lvlText w:val="%1、"/>
      <w:lvlJc w:val="left"/>
    </w:lvl>
  </w:abstractNum>
  <w:abstractNum w:abstractNumId="17">
    <w:nsid w:val="63F824D2"/>
    <w:multiLevelType w:val="singleLevel"/>
    <w:tmpl w:val="63F824D2"/>
    <w:lvl w:ilvl="0" w:tentative="0">
      <w:start w:val="3"/>
      <w:numFmt w:val="chineseCounting"/>
      <w:suff w:val="space"/>
      <w:lvlText w:val="第%1部分"/>
      <w:lvlJc w:val="left"/>
      <w:rPr>
        <w:rFonts w:hint="eastAsia"/>
      </w:rPr>
    </w:lvl>
  </w:abstractNum>
  <w:abstractNum w:abstractNumId="18">
    <w:nsid w:val="7AC06AF6"/>
    <w:multiLevelType w:val="singleLevel"/>
    <w:tmpl w:val="7AC06AF6"/>
    <w:lvl w:ilvl="0" w:tentative="0">
      <w:start w:val="1"/>
      <w:numFmt w:val="chineseCounting"/>
      <w:suff w:val="nothing"/>
      <w:lvlText w:val="（%1）"/>
      <w:lvlJc w:val="left"/>
      <w:rPr>
        <w:rFonts w:hint="eastAsia"/>
      </w:rPr>
    </w:lvl>
  </w:abstractNum>
  <w:num w:numId="1">
    <w:abstractNumId w:val="1"/>
  </w:num>
  <w:num w:numId="2">
    <w:abstractNumId w:val="17"/>
  </w:num>
  <w:num w:numId="3">
    <w:abstractNumId w:val="15"/>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2"/>
  </w:num>
  <w:num w:numId="17">
    <w:abstractNumId w:val="0"/>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61E"/>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15354"/>
    <w:rsid w:val="01EC2C57"/>
    <w:rsid w:val="026B2E25"/>
    <w:rsid w:val="02824D4D"/>
    <w:rsid w:val="02DC4B10"/>
    <w:rsid w:val="02DD76CE"/>
    <w:rsid w:val="02F36323"/>
    <w:rsid w:val="02F5619C"/>
    <w:rsid w:val="0326446A"/>
    <w:rsid w:val="032D5555"/>
    <w:rsid w:val="032F0852"/>
    <w:rsid w:val="036634D2"/>
    <w:rsid w:val="03DD35E4"/>
    <w:rsid w:val="04076900"/>
    <w:rsid w:val="041A5A3B"/>
    <w:rsid w:val="042311BA"/>
    <w:rsid w:val="042B157A"/>
    <w:rsid w:val="048F763B"/>
    <w:rsid w:val="049F330E"/>
    <w:rsid w:val="04AA775C"/>
    <w:rsid w:val="04AF1889"/>
    <w:rsid w:val="04F66F48"/>
    <w:rsid w:val="05251E14"/>
    <w:rsid w:val="05620EF4"/>
    <w:rsid w:val="05A16594"/>
    <w:rsid w:val="05A7762D"/>
    <w:rsid w:val="05E36894"/>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11701"/>
    <w:rsid w:val="08E80F13"/>
    <w:rsid w:val="09012EFA"/>
    <w:rsid w:val="091348B6"/>
    <w:rsid w:val="09335624"/>
    <w:rsid w:val="093B4612"/>
    <w:rsid w:val="0944690F"/>
    <w:rsid w:val="09535675"/>
    <w:rsid w:val="095F057D"/>
    <w:rsid w:val="09642282"/>
    <w:rsid w:val="09733572"/>
    <w:rsid w:val="09772C16"/>
    <w:rsid w:val="097A0F86"/>
    <w:rsid w:val="098353B5"/>
    <w:rsid w:val="09A92330"/>
    <w:rsid w:val="09B06B87"/>
    <w:rsid w:val="09C13146"/>
    <w:rsid w:val="09E04166"/>
    <w:rsid w:val="09F935EE"/>
    <w:rsid w:val="0A0F4BBF"/>
    <w:rsid w:val="0A1C0718"/>
    <w:rsid w:val="0A3E7710"/>
    <w:rsid w:val="0A5B7E63"/>
    <w:rsid w:val="0A642BB8"/>
    <w:rsid w:val="0AA374A5"/>
    <w:rsid w:val="0AAB7649"/>
    <w:rsid w:val="0ABC5606"/>
    <w:rsid w:val="0B30404E"/>
    <w:rsid w:val="0B4C6C14"/>
    <w:rsid w:val="0B631A88"/>
    <w:rsid w:val="0B683D45"/>
    <w:rsid w:val="0B7F3F11"/>
    <w:rsid w:val="0B884417"/>
    <w:rsid w:val="0BB13844"/>
    <w:rsid w:val="0BF6188C"/>
    <w:rsid w:val="0BF73C91"/>
    <w:rsid w:val="0C170175"/>
    <w:rsid w:val="0C252E47"/>
    <w:rsid w:val="0C571A41"/>
    <w:rsid w:val="0C5C1171"/>
    <w:rsid w:val="0C5E1CBC"/>
    <w:rsid w:val="0C615B50"/>
    <w:rsid w:val="0C8445DA"/>
    <w:rsid w:val="0C87121B"/>
    <w:rsid w:val="0CAA0FAC"/>
    <w:rsid w:val="0CC007F7"/>
    <w:rsid w:val="0CC62AA3"/>
    <w:rsid w:val="0CFE707A"/>
    <w:rsid w:val="0D063BDA"/>
    <w:rsid w:val="0D08375F"/>
    <w:rsid w:val="0D184CFB"/>
    <w:rsid w:val="0D4A7419"/>
    <w:rsid w:val="0D827401"/>
    <w:rsid w:val="0D84094E"/>
    <w:rsid w:val="0D8A00E9"/>
    <w:rsid w:val="0D8D589E"/>
    <w:rsid w:val="0DA01C73"/>
    <w:rsid w:val="0DA25967"/>
    <w:rsid w:val="0DD2300E"/>
    <w:rsid w:val="0DD63300"/>
    <w:rsid w:val="0DF50604"/>
    <w:rsid w:val="0DF702FE"/>
    <w:rsid w:val="0E060E51"/>
    <w:rsid w:val="0E5604B2"/>
    <w:rsid w:val="0E6D5D79"/>
    <w:rsid w:val="0E9D0089"/>
    <w:rsid w:val="0EB803EE"/>
    <w:rsid w:val="0EE815E2"/>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F0AC7"/>
    <w:rsid w:val="10C26171"/>
    <w:rsid w:val="10F33360"/>
    <w:rsid w:val="10FC16EA"/>
    <w:rsid w:val="110F1D40"/>
    <w:rsid w:val="11266F33"/>
    <w:rsid w:val="118963A1"/>
    <w:rsid w:val="11A55E09"/>
    <w:rsid w:val="11C6522A"/>
    <w:rsid w:val="11E104CC"/>
    <w:rsid w:val="11E20309"/>
    <w:rsid w:val="12255233"/>
    <w:rsid w:val="12435D4E"/>
    <w:rsid w:val="12530213"/>
    <w:rsid w:val="127723A9"/>
    <w:rsid w:val="12862074"/>
    <w:rsid w:val="12883966"/>
    <w:rsid w:val="129E45B4"/>
    <w:rsid w:val="12D81596"/>
    <w:rsid w:val="13072A44"/>
    <w:rsid w:val="135F4BE2"/>
    <w:rsid w:val="139B1A0A"/>
    <w:rsid w:val="139D25C7"/>
    <w:rsid w:val="13BF3CE4"/>
    <w:rsid w:val="141008D8"/>
    <w:rsid w:val="14125FE6"/>
    <w:rsid w:val="141F600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CA37BF"/>
    <w:rsid w:val="17D349C1"/>
    <w:rsid w:val="1830729E"/>
    <w:rsid w:val="1870062C"/>
    <w:rsid w:val="18817102"/>
    <w:rsid w:val="18830A15"/>
    <w:rsid w:val="18852B28"/>
    <w:rsid w:val="188B5321"/>
    <w:rsid w:val="19932372"/>
    <w:rsid w:val="19A20DD5"/>
    <w:rsid w:val="19AE03F1"/>
    <w:rsid w:val="19F56E07"/>
    <w:rsid w:val="1A023DF9"/>
    <w:rsid w:val="1A071A03"/>
    <w:rsid w:val="1A1F16AE"/>
    <w:rsid w:val="1A3B5C77"/>
    <w:rsid w:val="1A984BAD"/>
    <w:rsid w:val="1AB8220E"/>
    <w:rsid w:val="1ABF0FF7"/>
    <w:rsid w:val="1AD35795"/>
    <w:rsid w:val="1AE4166C"/>
    <w:rsid w:val="1AF06CFB"/>
    <w:rsid w:val="1AF11B8D"/>
    <w:rsid w:val="1B11359C"/>
    <w:rsid w:val="1B2A271F"/>
    <w:rsid w:val="1B530544"/>
    <w:rsid w:val="1B713184"/>
    <w:rsid w:val="1BA209CF"/>
    <w:rsid w:val="1BB4777D"/>
    <w:rsid w:val="1BD75AB8"/>
    <w:rsid w:val="1C0459C2"/>
    <w:rsid w:val="1C1B3B4A"/>
    <w:rsid w:val="1C88086E"/>
    <w:rsid w:val="1CFC403F"/>
    <w:rsid w:val="1D266CE1"/>
    <w:rsid w:val="1D3963AF"/>
    <w:rsid w:val="1D4074BD"/>
    <w:rsid w:val="1D6A673C"/>
    <w:rsid w:val="1D816151"/>
    <w:rsid w:val="1D9247AE"/>
    <w:rsid w:val="1DB567EC"/>
    <w:rsid w:val="1DF51A98"/>
    <w:rsid w:val="1E3D060F"/>
    <w:rsid w:val="1E3F7D2E"/>
    <w:rsid w:val="1E4134E4"/>
    <w:rsid w:val="1E5062B3"/>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10E3338"/>
    <w:rsid w:val="211116EB"/>
    <w:rsid w:val="211641D5"/>
    <w:rsid w:val="216133FC"/>
    <w:rsid w:val="21CE589C"/>
    <w:rsid w:val="21D56769"/>
    <w:rsid w:val="21E52EF3"/>
    <w:rsid w:val="21FB5D7B"/>
    <w:rsid w:val="220B1C3D"/>
    <w:rsid w:val="22146DBF"/>
    <w:rsid w:val="221D1D20"/>
    <w:rsid w:val="22334A87"/>
    <w:rsid w:val="22BE6801"/>
    <w:rsid w:val="233500BF"/>
    <w:rsid w:val="23377FF7"/>
    <w:rsid w:val="236B425F"/>
    <w:rsid w:val="23836192"/>
    <w:rsid w:val="23901F29"/>
    <w:rsid w:val="239C0061"/>
    <w:rsid w:val="23B908A4"/>
    <w:rsid w:val="23E95BEF"/>
    <w:rsid w:val="23FD0064"/>
    <w:rsid w:val="245375B0"/>
    <w:rsid w:val="24642C0A"/>
    <w:rsid w:val="24A11016"/>
    <w:rsid w:val="24B22173"/>
    <w:rsid w:val="24B95AD9"/>
    <w:rsid w:val="24BE24DA"/>
    <w:rsid w:val="24CF5825"/>
    <w:rsid w:val="24D663E6"/>
    <w:rsid w:val="24D77F2B"/>
    <w:rsid w:val="24FB0160"/>
    <w:rsid w:val="258B00E2"/>
    <w:rsid w:val="25A917A6"/>
    <w:rsid w:val="25BE27CC"/>
    <w:rsid w:val="25F74A5C"/>
    <w:rsid w:val="2628662C"/>
    <w:rsid w:val="262D45DE"/>
    <w:rsid w:val="26A53EF9"/>
    <w:rsid w:val="26A94201"/>
    <w:rsid w:val="26AC274F"/>
    <w:rsid w:val="27044A29"/>
    <w:rsid w:val="271D34C8"/>
    <w:rsid w:val="276142BF"/>
    <w:rsid w:val="27783712"/>
    <w:rsid w:val="278B7FF6"/>
    <w:rsid w:val="27907362"/>
    <w:rsid w:val="27E92A9C"/>
    <w:rsid w:val="28333E1D"/>
    <w:rsid w:val="28454BD6"/>
    <w:rsid w:val="28455253"/>
    <w:rsid w:val="28551971"/>
    <w:rsid w:val="285B1C53"/>
    <w:rsid w:val="289F7086"/>
    <w:rsid w:val="28C32028"/>
    <w:rsid w:val="28CC490F"/>
    <w:rsid w:val="28DE40AA"/>
    <w:rsid w:val="28ED3C59"/>
    <w:rsid w:val="29345E77"/>
    <w:rsid w:val="294C65AD"/>
    <w:rsid w:val="29806583"/>
    <w:rsid w:val="298B3C4C"/>
    <w:rsid w:val="29F26D24"/>
    <w:rsid w:val="29F41FB8"/>
    <w:rsid w:val="2A15033F"/>
    <w:rsid w:val="2A1662C1"/>
    <w:rsid w:val="2A1C7367"/>
    <w:rsid w:val="2A2815FA"/>
    <w:rsid w:val="2A6D6092"/>
    <w:rsid w:val="2A7D76B4"/>
    <w:rsid w:val="2B437463"/>
    <w:rsid w:val="2B7807EE"/>
    <w:rsid w:val="2BBF00EC"/>
    <w:rsid w:val="2BC37CFD"/>
    <w:rsid w:val="2BD5237F"/>
    <w:rsid w:val="2BE536CE"/>
    <w:rsid w:val="2BE758D9"/>
    <w:rsid w:val="2BFF1D8B"/>
    <w:rsid w:val="2C09049E"/>
    <w:rsid w:val="2C0A653C"/>
    <w:rsid w:val="2C191F85"/>
    <w:rsid w:val="2C49746E"/>
    <w:rsid w:val="2CE82D6F"/>
    <w:rsid w:val="2D343236"/>
    <w:rsid w:val="2DD15014"/>
    <w:rsid w:val="2DF72DE4"/>
    <w:rsid w:val="2E0220AF"/>
    <w:rsid w:val="2E4B082A"/>
    <w:rsid w:val="2E4B710B"/>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AC57D7"/>
    <w:rsid w:val="32BE5C2C"/>
    <w:rsid w:val="32FB6478"/>
    <w:rsid w:val="33263B3F"/>
    <w:rsid w:val="336963EB"/>
    <w:rsid w:val="33816EEB"/>
    <w:rsid w:val="33AB6E04"/>
    <w:rsid w:val="33EB55CD"/>
    <w:rsid w:val="33EC4C02"/>
    <w:rsid w:val="340D2360"/>
    <w:rsid w:val="3410665D"/>
    <w:rsid w:val="34211214"/>
    <w:rsid w:val="342E63AB"/>
    <w:rsid w:val="34303663"/>
    <w:rsid w:val="34950E68"/>
    <w:rsid w:val="34986E94"/>
    <w:rsid w:val="34AF62C9"/>
    <w:rsid w:val="34CB4388"/>
    <w:rsid w:val="34FA6E12"/>
    <w:rsid w:val="35016021"/>
    <w:rsid w:val="358D5588"/>
    <w:rsid w:val="363A3B40"/>
    <w:rsid w:val="365302AE"/>
    <w:rsid w:val="36607A0A"/>
    <w:rsid w:val="366E227C"/>
    <w:rsid w:val="366F2E0D"/>
    <w:rsid w:val="367B6A5C"/>
    <w:rsid w:val="368C79E1"/>
    <w:rsid w:val="36A74ADA"/>
    <w:rsid w:val="36AD60D5"/>
    <w:rsid w:val="36B224F9"/>
    <w:rsid w:val="36EC0CC9"/>
    <w:rsid w:val="373F410B"/>
    <w:rsid w:val="379320DC"/>
    <w:rsid w:val="37EE7094"/>
    <w:rsid w:val="37F85DAF"/>
    <w:rsid w:val="38296C89"/>
    <w:rsid w:val="383002EB"/>
    <w:rsid w:val="38586797"/>
    <w:rsid w:val="38BC0149"/>
    <w:rsid w:val="38D87D1C"/>
    <w:rsid w:val="394F6A60"/>
    <w:rsid w:val="39636459"/>
    <w:rsid w:val="396B7F6C"/>
    <w:rsid w:val="396C0E37"/>
    <w:rsid w:val="39B417A9"/>
    <w:rsid w:val="39FC5695"/>
    <w:rsid w:val="3A006D8E"/>
    <w:rsid w:val="3A3651E5"/>
    <w:rsid w:val="3A744481"/>
    <w:rsid w:val="3A8947DC"/>
    <w:rsid w:val="3A8C7BEF"/>
    <w:rsid w:val="3A906246"/>
    <w:rsid w:val="3B2349B7"/>
    <w:rsid w:val="3B616CFF"/>
    <w:rsid w:val="3B6259F6"/>
    <w:rsid w:val="3B976654"/>
    <w:rsid w:val="3BC01EFC"/>
    <w:rsid w:val="3BCA786A"/>
    <w:rsid w:val="3BD31E2F"/>
    <w:rsid w:val="3BE65D9C"/>
    <w:rsid w:val="3BF15831"/>
    <w:rsid w:val="3C105946"/>
    <w:rsid w:val="3C471448"/>
    <w:rsid w:val="3C4D352D"/>
    <w:rsid w:val="3C5F759A"/>
    <w:rsid w:val="3C6C525A"/>
    <w:rsid w:val="3CCE23CB"/>
    <w:rsid w:val="3CD17D17"/>
    <w:rsid w:val="3D3C7F39"/>
    <w:rsid w:val="3D440F09"/>
    <w:rsid w:val="3D4504A0"/>
    <w:rsid w:val="3D8734BB"/>
    <w:rsid w:val="3D9A11D4"/>
    <w:rsid w:val="3DA16D89"/>
    <w:rsid w:val="3DA364BE"/>
    <w:rsid w:val="3DE041CB"/>
    <w:rsid w:val="3E0D48F6"/>
    <w:rsid w:val="3E173A67"/>
    <w:rsid w:val="3E1868B4"/>
    <w:rsid w:val="3E377251"/>
    <w:rsid w:val="3E42664B"/>
    <w:rsid w:val="3E5A7334"/>
    <w:rsid w:val="3E7B5D6B"/>
    <w:rsid w:val="3E843E66"/>
    <w:rsid w:val="3E8F51FE"/>
    <w:rsid w:val="3E926F87"/>
    <w:rsid w:val="3E9A59DE"/>
    <w:rsid w:val="3EAF4836"/>
    <w:rsid w:val="3EC040FF"/>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F0D2A"/>
    <w:rsid w:val="41D01505"/>
    <w:rsid w:val="42474939"/>
    <w:rsid w:val="424C3C57"/>
    <w:rsid w:val="426134B9"/>
    <w:rsid w:val="42613FF3"/>
    <w:rsid w:val="42660D96"/>
    <w:rsid w:val="428611BC"/>
    <w:rsid w:val="428667D2"/>
    <w:rsid w:val="42880503"/>
    <w:rsid w:val="42CD1CE0"/>
    <w:rsid w:val="42E1381E"/>
    <w:rsid w:val="42ED6459"/>
    <w:rsid w:val="42FE58DD"/>
    <w:rsid w:val="43170510"/>
    <w:rsid w:val="43174B3D"/>
    <w:rsid w:val="434B790E"/>
    <w:rsid w:val="4360274F"/>
    <w:rsid w:val="43977AB6"/>
    <w:rsid w:val="43A3342B"/>
    <w:rsid w:val="43AB7FD0"/>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95FAC"/>
    <w:rsid w:val="466A16E6"/>
    <w:rsid w:val="46893F2B"/>
    <w:rsid w:val="46C4686E"/>
    <w:rsid w:val="4712127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B18ED"/>
    <w:rsid w:val="4B236AAE"/>
    <w:rsid w:val="4B707271"/>
    <w:rsid w:val="4B9739F7"/>
    <w:rsid w:val="4BEE2503"/>
    <w:rsid w:val="4C245A30"/>
    <w:rsid w:val="4C863306"/>
    <w:rsid w:val="4CB6685F"/>
    <w:rsid w:val="4CC367FE"/>
    <w:rsid w:val="4D077F3C"/>
    <w:rsid w:val="4D123355"/>
    <w:rsid w:val="4D260D93"/>
    <w:rsid w:val="4D2A3B31"/>
    <w:rsid w:val="4D312C52"/>
    <w:rsid w:val="4D905305"/>
    <w:rsid w:val="4D964A72"/>
    <w:rsid w:val="4D9C1254"/>
    <w:rsid w:val="4E6D66C7"/>
    <w:rsid w:val="4E793892"/>
    <w:rsid w:val="4E7D2BC1"/>
    <w:rsid w:val="4E800872"/>
    <w:rsid w:val="4EC569ED"/>
    <w:rsid w:val="4ED50EA1"/>
    <w:rsid w:val="4EEC050C"/>
    <w:rsid w:val="4F104EC3"/>
    <w:rsid w:val="4F47354A"/>
    <w:rsid w:val="4F911C54"/>
    <w:rsid w:val="4FE625E0"/>
    <w:rsid w:val="5021480F"/>
    <w:rsid w:val="503724AD"/>
    <w:rsid w:val="50750E8F"/>
    <w:rsid w:val="50962ECB"/>
    <w:rsid w:val="50A12755"/>
    <w:rsid w:val="50A42E38"/>
    <w:rsid w:val="50A4577F"/>
    <w:rsid w:val="50AC3365"/>
    <w:rsid w:val="50B73D1F"/>
    <w:rsid w:val="50BD5BC9"/>
    <w:rsid w:val="50C11EEE"/>
    <w:rsid w:val="50E97CFC"/>
    <w:rsid w:val="50FA4028"/>
    <w:rsid w:val="510D65B7"/>
    <w:rsid w:val="511157AB"/>
    <w:rsid w:val="5142540C"/>
    <w:rsid w:val="518832C8"/>
    <w:rsid w:val="51966964"/>
    <w:rsid w:val="51A0432A"/>
    <w:rsid w:val="51A86090"/>
    <w:rsid w:val="51B7396D"/>
    <w:rsid w:val="522E4CC3"/>
    <w:rsid w:val="5244713B"/>
    <w:rsid w:val="52615633"/>
    <w:rsid w:val="52977FD4"/>
    <w:rsid w:val="52A20C63"/>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E0802"/>
    <w:rsid w:val="557A4C8B"/>
    <w:rsid w:val="558931E1"/>
    <w:rsid w:val="55923347"/>
    <w:rsid w:val="55925180"/>
    <w:rsid w:val="55983B1B"/>
    <w:rsid w:val="55A8376B"/>
    <w:rsid w:val="55AA3C5E"/>
    <w:rsid w:val="55BE2D74"/>
    <w:rsid w:val="55DC29B6"/>
    <w:rsid w:val="55DD4241"/>
    <w:rsid w:val="5646331D"/>
    <w:rsid w:val="566B6D1E"/>
    <w:rsid w:val="56BB7F2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F372B"/>
    <w:rsid w:val="57D675AB"/>
    <w:rsid w:val="57D95FDD"/>
    <w:rsid w:val="58917D2F"/>
    <w:rsid w:val="5894085C"/>
    <w:rsid w:val="58AE4F0C"/>
    <w:rsid w:val="58B85899"/>
    <w:rsid w:val="58E363A9"/>
    <w:rsid w:val="595E1678"/>
    <w:rsid w:val="596D5BD4"/>
    <w:rsid w:val="597E3DD8"/>
    <w:rsid w:val="599206EC"/>
    <w:rsid w:val="599F73C0"/>
    <w:rsid w:val="59DF024A"/>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63B83"/>
    <w:rsid w:val="5B873E3F"/>
    <w:rsid w:val="5BFD1995"/>
    <w:rsid w:val="5C02690E"/>
    <w:rsid w:val="5C196DA7"/>
    <w:rsid w:val="5C2A048C"/>
    <w:rsid w:val="5C80234E"/>
    <w:rsid w:val="5C8A680C"/>
    <w:rsid w:val="5D0C4701"/>
    <w:rsid w:val="5D0F0395"/>
    <w:rsid w:val="5D221076"/>
    <w:rsid w:val="5D397964"/>
    <w:rsid w:val="5D5740D7"/>
    <w:rsid w:val="5D5A391C"/>
    <w:rsid w:val="5D5F10C0"/>
    <w:rsid w:val="5D891B7B"/>
    <w:rsid w:val="5DAD38EE"/>
    <w:rsid w:val="5E006862"/>
    <w:rsid w:val="5E0207B9"/>
    <w:rsid w:val="5E1834A1"/>
    <w:rsid w:val="5E261785"/>
    <w:rsid w:val="5E4A7017"/>
    <w:rsid w:val="5E552BBA"/>
    <w:rsid w:val="5E611C10"/>
    <w:rsid w:val="5ECB1EC7"/>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103A3"/>
    <w:rsid w:val="61654E3F"/>
    <w:rsid w:val="6182292A"/>
    <w:rsid w:val="619F7F92"/>
    <w:rsid w:val="61F94C26"/>
    <w:rsid w:val="62000E56"/>
    <w:rsid w:val="620152D8"/>
    <w:rsid w:val="623B1697"/>
    <w:rsid w:val="624F3E49"/>
    <w:rsid w:val="62632286"/>
    <w:rsid w:val="627829E6"/>
    <w:rsid w:val="628250A4"/>
    <w:rsid w:val="62885958"/>
    <w:rsid w:val="62F40B65"/>
    <w:rsid w:val="62FC2CFE"/>
    <w:rsid w:val="63024505"/>
    <w:rsid w:val="630F7A96"/>
    <w:rsid w:val="63501431"/>
    <w:rsid w:val="635B1DB5"/>
    <w:rsid w:val="63711FED"/>
    <w:rsid w:val="63880DDC"/>
    <w:rsid w:val="638D750D"/>
    <w:rsid w:val="63A51893"/>
    <w:rsid w:val="63AC6CC0"/>
    <w:rsid w:val="64055776"/>
    <w:rsid w:val="64240056"/>
    <w:rsid w:val="643E143A"/>
    <w:rsid w:val="64475114"/>
    <w:rsid w:val="648B6EEF"/>
    <w:rsid w:val="64C158BF"/>
    <w:rsid w:val="64CE2EAA"/>
    <w:rsid w:val="653C3090"/>
    <w:rsid w:val="65854376"/>
    <w:rsid w:val="658767BE"/>
    <w:rsid w:val="65892531"/>
    <w:rsid w:val="65C5626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345480"/>
    <w:rsid w:val="68551F4F"/>
    <w:rsid w:val="687C10C9"/>
    <w:rsid w:val="68840C16"/>
    <w:rsid w:val="68876EFB"/>
    <w:rsid w:val="68884654"/>
    <w:rsid w:val="689F444F"/>
    <w:rsid w:val="68B96DBB"/>
    <w:rsid w:val="68C76B21"/>
    <w:rsid w:val="68CA2805"/>
    <w:rsid w:val="68E937A3"/>
    <w:rsid w:val="693E15D3"/>
    <w:rsid w:val="69627681"/>
    <w:rsid w:val="6977531D"/>
    <w:rsid w:val="69A31AC2"/>
    <w:rsid w:val="69CC2BFF"/>
    <w:rsid w:val="69FD55B8"/>
    <w:rsid w:val="6A0905B5"/>
    <w:rsid w:val="6A0B1C62"/>
    <w:rsid w:val="6A2406C8"/>
    <w:rsid w:val="6A4A6F79"/>
    <w:rsid w:val="6ADE0BD1"/>
    <w:rsid w:val="6AE96859"/>
    <w:rsid w:val="6B147746"/>
    <w:rsid w:val="6B24787C"/>
    <w:rsid w:val="6B386B35"/>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91568"/>
    <w:rsid w:val="6E8E12EF"/>
    <w:rsid w:val="6E972936"/>
    <w:rsid w:val="6ED446C5"/>
    <w:rsid w:val="6F2A7D94"/>
    <w:rsid w:val="6F354CD2"/>
    <w:rsid w:val="6F8331F1"/>
    <w:rsid w:val="6FAE1A09"/>
    <w:rsid w:val="6FB915D7"/>
    <w:rsid w:val="6FD75BF8"/>
    <w:rsid w:val="707723D0"/>
    <w:rsid w:val="70F5661B"/>
    <w:rsid w:val="71260E18"/>
    <w:rsid w:val="71360107"/>
    <w:rsid w:val="713B688E"/>
    <w:rsid w:val="71D43752"/>
    <w:rsid w:val="71F1796A"/>
    <w:rsid w:val="72154626"/>
    <w:rsid w:val="72262B5D"/>
    <w:rsid w:val="72283FF7"/>
    <w:rsid w:val="722E7212"/>
    <w:rsid w:val="723A0474"/>
    <w:rsid w:val="725923E4"/>
    <w:rsid w:val="72864BF7"/>
    <w:rsid w:val="729023FC"/>
    <w:rsid w:val="72A116D3"/>
    <w:rsid w:val="72C9287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2063B7"/>
    <w:rsid w:val="77340A39"/>
    <w:rsid w:val="77351FD0"/>
    <w:rsid w:val="77472422"/>
    <w:rsid w:val="774A3380"/>
    <w:rsid w:val="777F31F2"/>
    <w:rsid w:val="77D1700D"/>
    <w:rsid w:val="77EC04CC"/>
    <w:rsid w:val="78225227"/>
    <w:rsid w:val="78775729"/>
    <w:rsid w:val="78A42DB0"/>
    <w:rsid w:val="78A656AB"/>
    <w:rsid w:val="78B2245C"/>
    <w:rsid w:val="78E172CC"/>
    <w:rsid w:val="78EA1D1F"/>
    <w:rsid w:val="7904172F"/>
    <w:rsid w:val="790F7E27"/>
    <w:rsid w:val="792A231A"/>
    <w:rsid w:val="79316829"/>
    <w:rsid w:val="797E66A9"/>
    <w:rsid w:val="79960FDD"/>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D6ADF"/>
    <w:rsid w:val="7BEE0103"/>
    <w:rsid w:val="7C0A0FE4"/>
    <w:rsid w:val="7C1045B2"/>
    <w:rsid w:val="7C254906"/>
    <w:rsid w:val="7C590818"/>
    <w:rsid w:val="7C7C10F6"/>
    <w:rsid w:val="7C853BEA"/>
    <w:rsid w:val="7C881368"/>
    <w:rsid w:val="7CA624A5"/>
    <w:rsid w:val="7CAD556F"/>
    <w:rsid w:val="7CE0713F"/>
    <w:rsid w:val="7CE27788"/>
    <w:rsid w:val="7D0C32F1"/>
    <w:rsid w:val="7D0F408D"/>
    <w:rsid w:val="7D491C6C"/>
    <w:rsid w:val="7D5429C0"/>
    <w:rsid w:val="7D6E6D43"/>
    <w:rsid w:val="7DA57A41"/>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55"/>
    <w:qFormat/>
    <w:uiPriority w:val="0"/>
    <w:pPr>
      <w:adjustRightInd/>
      <w:spacing w:after="120" w:line="240" w:lineRule="auto"/>
      <w:ind w:left="420" w:leftChars="200" w:firstLine="210"/>
    </w:pPr>
    <w:rPr>
      <w:sz w:val="21"/>
    </w:rPr>
  </w:style>
  <w:style w:type="paragraph" w:styleId="3">
    <w:name w:val="Body Text Indent"/>
    <w:basedOn w:val="1"/>
    <w:next w:val="4"/>
    <w:link w:val="783"/>
    <w:qFormat/>
    <w:uiPriority w:val="0"/>
    <w:pPr>
      <w:spacing w:line="480" w:lineRule="exact"/>
      <w:ind w:firstLine="480" w:firstLineChars="200"/>
    </w:pPr>
    <w:rPr>
      <w:rFonts w:ascii="宋体" w:hAnsi="宋体"/>
      <w:sz w:val="24"/>
    </w:rPr>
  </w:style>
  <w:style w:type="paragraph" w:customStyle="1" w:styleId="4">
    <w:name w:val="正文文本首行缩进 2"/>
    <w:basedOn w:val="3"/>
    <w:qFormat/>
    <w:uiPriority w:val="99"/>
    <w:pPr>
      <w:spacing w:line="200" w:lineRule="atLeast"/>
      <w:ind w:firstLine="420"/>
    </w:pPr>
    <w:rPr>
      <w:rFonts w:ascii="宋体" w:hAnsi="Courier New"/>
      <w:spacing w:val="-4"/>
      <w:sz w:val="18"/>
    </w:rPr>
  </w:style>
  <w:style w:type="paragraph" w:styleId="8">
    <w:name w:val="Normal Indent"/>
    <w:basedOn w:val="1"/>
    <w:next w:val="3"/>
    <w:link w:val="72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32"/>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834"/>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825"/>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2"/>
    <w:next w:val="22"/>
    <w:link w:val="632"/>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uiPriority w:val="0"/>
    <w:rPr>
      <w:rFonts w:ascii="Courier New" w:hAnsi="Courier New"/>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6"/>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9"/>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9"/>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0"/>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9"/>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7"/>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10"/>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7"/>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9"/>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9"/>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5"/>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9"/>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7"/>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6"/>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1"/>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0"/>
    <w:next w:val="1"/>
    <w:qFormat/>
    <w:uiPriority w:val="0"/>
    <w:pPr>
      <w:tabs>
        <w:tab w:val="left" w:pos="1080"/>
        <w:tab w:val="clear" w:pos="1008"/>
      </w:tabs>
      <w:ind w:left="1080" w:hanging="1080"/>
    </w:pPr>
  </w:style>
  <w:style w:type="paragraph" w:customStyle="1" w:styleId="583">
    <w:name w:val="数字标题1"/>
    <w:basedOn w:val="5"/>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1"/>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4"/>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3"/>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5"/>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0"/>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2"/>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0"/>
    <w:rPr>
      <w:rFonts w:ascii="宋体" w:hAnsi="Courier New"/>
    </w:rPr>
  </w:style>
  <w:style w:type="character" w:customStyle="1" w:styleId="834">
    <w:name w:val="正文首行缩进 Char"/>
    <w:link w:val="27"/>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9"/>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2"/>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3"/>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8"/>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tblPr>
      <w:tblCellMar>
        <w:top w:w="0" w:type="dxa"/>
        <w:left w:w="0" w:type="dxa"/>
        <w:bottom w:w="0" w:type="dxa"/>
        <w:right w:w="0" w:type="dxa"/>
      </w:tblCellMar>
    </w:tblPr>
  </w:style>
  <w:style w:type="paragraph" w:customStyle="1" w:styleId="966">
    <w:name w:val="正文文本首行缩进 21"/>
    <w:basedOn w:val="3"/>
    <w:qFormat/>
    <w:uiPriority w:val="99"/>
    <w:pPr>
      <w:spacing w:line="200" w:lineRule="atLeast"/>
      <w:ind w:firstLine="420"/>
    </w:pPr>
    <w:rPr>
      <w:rFonts w:ascii="宋体" w:hAnsi="Courier New"/>
      <w:spacing w:val="-4"/>
      <w:sz w:val="18"/>
    </w:r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8">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69">
    <w:name w:val="BodyTextIndent"/>
    <w:basedOn w:val="1"/>
    <w:next w:val="970"/>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970">
    <w:name w:val="UserStyle_460"/>
    <w:basedOn w:val="969"/>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余靖</cp:lastModifiedBy>
  <cp:lastPrinted>2021-12-27T03:06:00Z</cp:lastPrinted>
  <dcterms:modified xsi:type="dcterms:W3CDTF">2022-03-05T15:28:48Z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6D39573A3F074C61860993CEF4419578</vt:lpwstr>
  </property>
</Properties>
</file>