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Theme="majorEastAsia" w:hAnsiTheme="majorEastAsia" w:eastAsiaTheme="majorEastAsia" w:cstheme="majorEastAsia"/>
          <w:color w:val="auto"/>
          <w:sz w:val="48"/>
          <w:szCs w:val="48"/>
          <w:highlight w:val="none"/>
        </w:rPr>
      </w:pPr>
    </w:p>
    <w:p>
      <w:pPr>
        <w:adjustRightInd/>
        <w:spacing w:line="360" w:lineRule="auto"/>
        <w:jc w:val="center"/>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仓前街道2023-2024年西站枢纽移交区块（绿汀路-东西大道）综合养护项目</w:t>
      </w:r>
    </w:p>
    <w:p>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color w:val="auto"/>
          <w:sz w:val="48"/>
          <w:szCs w:val="48"/>
          <w:highlight w:val="none"/>
        </w:rPr>
        <w:t>招标文件</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（电子招投标）</w:t>
      </w:r>
    </w:p>
    <w:p>
      <w:pPr>
        <w:snapToGrid w:val="0"/>
        <w:spacing w:line="360" w:lineRule="auto"/>
        <w:jc w:val="center"/>
        <w:rPr>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color w:val="auto"/>
          <w:sz w:val="32"/>
          <w:szCs w:val="32"/>
          <w:highlight w:val="none"/>
        </w:rPr>
        <w:t>编号:</w:t>
      </w:r>
      <w:r>
        <w:rPr>
          <w:rFonts w:hint="eastAsia" w:asciiTheme="majorEastAsia" w:hAnsiTheme="majorEastAsia" w:eastAsiaTheme="majorEastAsia" w:cstheme="majorEastAsia"/>
          <w:color w:val="auto"/>
          <w:sz w:val="32"/>
          <w:szCs w:val="32"/>
          <w:highlight w:val="none"/>
          <w:lang w:val="en-US" w:eastAsia="zh-CN"/>
        </w:rPr>
        <w:t>ZJDL-2022-044</w:t>
      </w:r>
    </w:p>
    <w:p>
      <w:pPr>
        <w:adjustRightInd/>
        <w:spacing w:line="360" w:lineRule="auto"/>
        <w:rPr>
          <w:rFonts w:hint="eastAsia" w:asciiTheme="majorEastAsia" w:hAnsiTheme="majorEastAsia" w:eastAsiaTheme="majorEastAsia" w:cstheme="majorEastAsia"/>
          <w:color w:val="auto"/>
          <w:sz w:val="28"/>
          <w:szCs w:val="20"/>
          <w:highlight w:val="none"/>
        </w:rPr>
      </w:pPr>
    </w:p>
    <w:p>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spacing w:line="360" w:lineRule="auto"/>
        <w:jc w:val="center"/>
        <w:rPr>
          <w:rFonts w:hint="eastAsia" w:asciiTheme="majorEastAsia" w:hAnsiTheme="majorEastAsia" w:eastAsiaTheme="majorEastAsia" w:cstheme="majorEastAsia"/>
          <w:b/>
          <w:color w:val="auto"/>
          <w:sz w:val="44"/>
          <w:szCs w:val="4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32"/>
          <w:szCs w:val="32"/>
          <w:highlight w:val="none"/>
          <w:lang w:eastAsia="zh-CN"/>
        </w:rPr>
      </w:pPr>
    </w:p>
    <w:p>
      <w:pPr>
        <w:pStyle w:val="3"/>
        <w:rPr>
          <w:rFonts w:hint="eastAsia" w:asciiTheme="majorEastAsia" w:hAnsiTheme="majorEastAsia" w:eastAsiaTheme="majorEastAsia" w:cstheme="majorEastAsia"/>
          <w:color w:val="auto"/>
          <w:highlight w:val="none"/>
          <w:lang w:eastAsia="zh-CN"/>
        </w:rPr>
      </w:pPr>
    </w:p>
    <w:p>
      <w:pPr>
        <w:rPr>
          <w:rFonts w:hint="eastAsia"/>
          <w:color w:val="auto"/>
          <w:highlight w:val="none"/>
          <w:lang w:eastAsia="zh-CN"/>
        </w:rPr>
      </w:pPr>
    </w:p>
    <w:p>
      <w:pPr>
        <w:snapToGrid w:val="0"/>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采购人</w:t>
      </w:r>
      <w:r>
        <w:rPr>
          <w:rFonts w:hint="eastAsia" w:asciiTheme="majorEastAsia" w:hAnsiTheme="majorEastAsia" w:eastAsiaTheme="majorEastAsia" w:cstheme="majorEastAsia"/>
          <w:color w:val="auto"/>
          <w:sz w:val="32"/>
          <w:szCs w:val="32"/>
          <w:highlight w:val="none"/>
          <w:lang w:eastAsia="zh-CN"/>
        </w:rPr>
        <w:t>：杭州市余杭区人民政府仓前街道办事处</w:t>
      </w:r>
    </w:p>
    <w:p>
      <w:pPr>
        <w:snapToGrid w:val="0"/>
        <w:spacing w:line="360" w:lineRule="auto"/>
        <w:jc w:val="center"/>
        <w:rPr>
          <w:rFonts w:hint="eastAsia"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rPr>
        <w:t>采购代理机构</w:t>
      </w:r>
      <w:r>
        <w:rPr>
          <w:rFonts w:hint="eastAsia" w:asciiTheme="majorEastAsia" w:hAnsiTheme="majorEastAsia" w:eastAsiaTheme="majorEastAsia" w:cstheme="majorEastAsia"/>
          <w:color w:val="auto"/>
          <w:sz w:val="32"/>
          <w:szCs w:val="32"/>
          <w:highlight w:val="none"/>
          <w:lang w:eastAsia="zh-CN"/>
        </w:rPr>
        <w:t>：浙江中际工程项目管理有限公司</w:t>
      </w:r>
    </w:p>
    <w:p>
      <w:pPr>
        <w:snapToGrid w:val="0"/>
        <w:spacing w:line="360" w:lineRule="auto"/>
        <w:jc w:val="center"/>
        <w:rPr>
          <w:rFonts w:hint="eastAsia" w:asciiTheme="majorEastAsia" w:hAnsiTheme="majorEastAsia" w:eastAsiaTheme="majorEastAsia" w:cstheme="majorEastAsia"/>
          <w:b w:val="0"/>
          <w:bCs w:val="0"/>
          <w:color w:val="auto"/>
          <w:sz w:val="32"/>
          <w:szCs w:val="32"/>
          <w:highlight w:val="none"/>
        </w:rPr>
      </w:pPr>
      <w:r>
        <w:rPr>
          <w:rFonts w:hint="eastAsia" w:asciiTheme="majorEastAsia" w:hAnsiTheme="majorEastAsia" w:eastAsiaTheme="majorEastAsia" w:cstheme="majorEastAsia"/>
          <w:b w:val="0"/>
          <w:bCs w:val="0"/>
          <w:color w:val="auto"/>
          <w:sz w:val="32"/>
          <w:szCs w:val="32"/>
          <w:highlight w:val="none"/>
        </w:rPr>
        <w:t>二〇二</w:t>
      </w:r>
      <w:r>
        <w:rPr>
          <w:rFonts w:hint="eastAsia" w:asciiTheme="majorEastAsia" w:hAnsiTheme="majorEastAsia" w:eastAsiaTheme="majorEastAsia" w:cstheme="majorEastAsia"/>
          <w:b w:val="0"/>
          <w:bCs w:val="0"/>
          <w:color w:val="auto"/>
          <w:sz w:val="32"/>
          <w:szCs w:val="32"/>
          <w:highlight w:val="none"/>
          <w:lang w:val="en-US" w:eastAsia="zh-CN"/>
        </w:rPr>
        <w:t>二</w:t>
      </w:r>
      <w:r>
        <w:rPr>
          <w:rFonts w:hint="eastAsia" w:asciiTheme="majorEastAsia" w:hAnsiTheme="majorEastAsia" w:eastAsiaTheme="majorEastAsia" w:cstheme="majorEastAsia"/>
          <w:b w:val="0"/>
          <w:bCs w:val="0"/>
          <w:color w:val="auto"/>
          <w:sz w:val="32"/>
          <w:szCs w:val="32"/>
          <w:highlight w:val="none"/>
        </w:rPr>
        <w:t>年</w:t>
      </w:r>
      <w:r>
        <w:rPr>
          <w:rFonts w:hint="eastAsia" w:asciiTheme="majorEastAsia" w:hAnsiTheme="majorEastAsia" w:eastAsiaTheme="majorEastAsia" w:cstheme="majorEastAsia"/>
          <w:b w:val="0"/>
          <w:bCs w:val="0"/>
          <w:color w:val="auto"/>
          <w:sz w:val="32"/>
          <w:szCs w:val="32"/>
          <w:highlight w:val="none"/>
          <w:lang w:eastAsia="zh-CN"/>
        </w:rPr>
        <w:t>十一</w:t>
      </w:r>
      <w:r>
        <w:rPr>
          <w:rFonts w:hint="eastAsia" w:asciiTheme="majorEastAsia" w:hAnsiTheme="majorEastAsia" w:eastAsiaTheme="majorEastAsia" w:cstheme="majorEastAsia"/>
          <w:b w:val="0"/>
          <w:bCs w:val="0"/>
          <w:color w:val="auto"/>
          <w:sz w:val="32"/>
          <w:szCs w:val="32"/>
          <w:highlight w:val="none"/>
        </w:rPr>
        <w:t>月</w:t>
      </w:r>
      <w:r>
        <w:rPr>
          <w:rFonts w:hint="eastAsia" w:asciiTheme="majorEastAsia" w:hAnsiTheme="majorEastAsia" w:eastAsiaTheme="majorEastAsia" w:cstheme="majorEastAsia"/>
          <w:b w:val="0"/>
          <w:bCs w:val="0"/>
          <w:color w:val="auto"/>
          <w:sz w:val="32"/>
          <w:szCs w:val="32"/>
          <w:highlight w:val="none"/>
          <w:lang w:eastAsia="zh-CN"/>
        </w:rPr>
        <w:t>十一</w:t>
      </w:r>
      <w:r>
        <w:rPr>
          <w:rFonts w:hint="eastAsia" w:asciiTheme="majorEastAsia" w:hAnsiTheme="majorEastAsia" w:eastAsiaTheme="majorEastAsia" w:cstheme="majorEastAsia"/>
          <w:b w:val="0"/>
          <w:bCs w:val="0"/>
          <w:color w:val="auto"/>
          <w:sz w:val="32"/>
          <w:szCs w:val="32"/>
          <w:highlight w:val="none"/>
        </w:rPr>
        <w:t>日</w:t>
      </w:r>
    </w:p>
    <w:p>
      <w:pPr>
        <w:spacing w:line="360" w:lineRule="auto"/>
        <w:jc w:val="center"/>
        <w:rPr>
          <w:rFonts w:hint="eastAsia" w:asciiTheme="majorEastAsia" w:hAnsiTheme="majorEastAsia" w:eastAsiaTheme="majorEastAsia" w:cstheme="majorEastAsia"/>
          <w:b/>
          <w:color w:val="auto"/>
          <w:sz w:val="48"/>
          <w:szCs w:val="48"/>
          <w:highlight w:val="none"/>
        </w:rPr>
      </w:pPr>
    </w:p>
    <w:p>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pPr>
        <w:spacing w:line="360" w:lineRule="auto"/>
        <w:ind w:firstLine="549" w:firstLineChars="229"/>
        <w:rPr>
          <w:rFonts w:hint="eastAsia" w:asciiTheme="majorEastAsia" w:hAnsiTheme="majorEastAsia" w:eastAsiaTheme="majorEastAsia" w:cstheme="majorEastAsia"/>
          <w:color w:val="auto"/>
          <w:sz w:val="24"/>
          <w:highlight w:val="none"/>
        </w:rPr>
      </w:pPr>
      <w:bookmarkStart w:id="0" w:name="_Hlt91233176"/>
      <w:bookmarkEnd w:id="0"/>
      <w:bookmarkStart w:id="1" w:name="_Toc91899869"/>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keepNext w:val="0"/>
        <w:keepLines w:val="0"/>
        <w:widowControl/>
        <w:suppressLineNumbers w:val="0"/>
        <w:ind w:left="0" w:firstLine="0"/>
        <w:jc w:val="left"/>
        <w:rPr>
          <w:rFonts w:hint="eastAsia" w:asciiTheme="majorEastAsia" w:hAnsiTheme="majorEastAsia" w:eastAsiaTheme="majorEastAsia" w:cstheme="majorEastAsia"/>
          <w:b/>
          <w:color w:val="auto"/>
          <w:sz w:val="36"/>
          <w:szCs w:val="20"/>
          <w:highlight w:val="none"/>
        </w:rPr>
      </w:pPr>
      <w:bookmarkStart w:id="2" w:name="第一部分"/>
      <w:r>
        <w:rPr>
          <w:rFonts w:hint="eastAsia" w:asciiTheme="majorEastAsia" w:hAnsiTheme="majorEastAsia" w:eastAsiaTheme="majorEastAsia" w:cstheme="majorEastAsia"/>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keepNext w:val="0"/>
        <w:keepLines w:val="0"/>
        <w:pageBreakBefore w:val="0"/>
        <w:numPr>
          <w:ilvl w:val="0"/>
          <w:numId w:val="1"/>
        </w:numPr>
        <w:kinsoku/>
        <w:wordWrap/>
        <w:overflowPunct/>
        <w:topLinePunct w:val="0"/>
        <w:autoSpaceDE/>
        <w:autoSpaceDN/>
        <w:bidi w:val="0"/>
        <w:adjustRightInd w:val="0"/>
        <w:snapToGrid/>
        <w:spacing w:line="440" w:lineRule="atLeast"/>
        <w:ind w:firstLine="723"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highlight w:val="none"/>
          <w:u w:val="single"/>
        </w:rPr>
      </w:pPr>
      <w:r>
        <w:rPr>
          <w:rFonts w:hint="eastAsia" w:ascii="仿宋" w:hAnsi="仿宋" w:eastAsia="仿宋" w:cs="仿宋"/>
          <w:i w:val="0"/>
          <w:iCs w:val="0"/>
          <w:caps w:val="0"/>
          <w:color w:val="auto"/>
          <w:spacing w:val="0"/>
          <w:sz w:val="24"/>
          <w:szCs w:val="24"/>
          <w:highlight w:val="none"/>
          <w:u w:val="single"/>
          <w:lang w:eastAsia="zh-CN"/>
        </w:rPr>
        <w:t>仓前街道2023-2024年西站枢纽移交区块（绿汀路-东西大道）综合养护项目</w:t>
      </w:r>
      <w:r>
        <w:rPr>
          <w:rFonts w:hint="eastAsia" w:ascii="仿宋_GB2312" w:hAnsi="仿宋" w:eastAsia="仿宋_GB2312"/>
          <w:color w:val="auto"/>
          <w:sz w:val="24"/>
          <w:szCs w:val="24"/>
          <w:highlight w:val="none"/>
        </w:rPr>
        <w:t>招标项目的潜在投标人应在政采云平台（</w:t>
      </w:r>
      <w:r>
        <w:rPr>
          <w:color w:val="auto"/>
          <w:sz w:val="24"/>
          <w:szCs w:val="24"/>
          <w:highlight w:val="none"/>
        </w:rPr>
        <w:fldChar w:fldCharType="begin"/>
      </w:r>
      <w:r>
        <w:rPr>
          <w:color w:val="auto"/>
          <w:sz w:val="24"/>
          <w:szCs w:val="24"/>
          <w:highlight w:val="none"/>
        </w:rPr>
        <w:instrText xml:space="preserve"> HYPERLINK "https://www.zcygov.cn/）获取（下载）招标文件，并于2021年" </w:instrText>
      </w:r>
      <w:r>
        <w:rPr>
          <w:color w:val="auto"/>
          <w:sz w:val="24"/>
          <w:szCs w:val="24"/>
          <w:highlight w:val="none"/>
        </w:rPr>
        <w:fldChar w:fldCharType="separate"/>
      </w:r>
      <w:r>
        <w:rPr>
          <w:rStyle w:val="78"/>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szCs w:val="24"/>
          <w:highlight w:val="none"/>
          <w:u w:val="single"/>
        </w:rPr>
        <w:t>202</w:t>
      </w:r>
      <w:r>
        <w:rPr>
          <w:rFonts w:hint="eastAsia" w:ascii="仿宋_GB2312" w:hAnsi="仿宋" w:eastAsia="仿宋_GB2312"/>
          <w:color w:val="auto"/>
          <w:sz w:val="24"/>
          <w:szCs w:val="24"/>
          <w:highlight w:val="none"/>
          <w:u w:val="single"/>
          <w:lang w:val="en-US" w:eastAsia="zh-CN"/>
        </w:rPr>
        <w:t>2</w:t>
      </w:r>
      <w:r>
        <w:rPr>
          <w:rFonts w:ascii="仿宋_GB2312" w:hAnsi="仿宋" w:eastAsia="仿宋_GB2312"/>
          <w:color w:val="auto"/>
          <w:sz w:val="24"/>
          <w:szCs w:val="24"/>
          <w:highlight w:val="none"/>
          <w:u w:val="single"/>
        </w:rPr>
        <w:t>年</w:t>
      </w:r>
      <w:r>
        <w:rPr>
          <w:rFonts w:hint="eastAsia" w:ascii="仿宋_GB2312" w:hAnsi="仿宋" w:eastAsia="仿宋_GB2312"/>
          <w:color w:val="auto"/>
          <w:sz w:val="24"/>
          <w:szCs w:val="24"/>
          <w:highlight w:val="none"/>
          <w:u w:val="single"/>
          <w:lang w:val="en-US" w:eastAsia="zh-CN"/>
        </w:rPr>
        <w:t>12</w:t>
      </w:r>
      <w:r>
        <w:rPr>
          <w:rFonts w:hint="eastAsia" w:ascii="仿宋_GB2312" w:hAnsi="仿宋" w:eastAsia="仿宋_GB2312"/>
          <w:color w:val="auto"/>
          <w:sz w:val="24"/>
          <w:szCs w:val="24"/>
          <w:highlight w:val="none"/>
          <w:u w:val="single"/>
        </w:rPr>
        <w:t>月</w:t>
      </w:r>
      <w:r>
        <w:rPr>
          <w:rFonts w:hint="eastAsia" w:ascii="仿宋_GB2312" w:hAnsi="仿宋" w:eastAsia="仿宋_GB2312"/>
          <w:color w:val="auto"/>
          <w:sz w:val="24"/>
          <w:szCs w:val="24"/>
          <w:highlight w:val="none"/>
          <w:u w:val="single"/>
          <w:lang w:val="en-US" w:eastAsia="zh-CN"/>
        </w:rPr>
        <w:t>6</w:t>
      </w:r>
      <w:r>
        <w:rPr>
          <w:rFonts w:hint="eastAsia" w:ascii="仿宋_GB2312" w:hAnsi="仿宋" w:eastAsia="仿宋_GB2312"/>
          <w:color w:val="auto"/>
          <w:sz w:val="24"/>
          <w:szCs w:val="24"/>
          <w:highlight w:val="none"/>
          <w:u w:val="single"/>
        </w:rPr>
        <w:t>日</w:t>
      </w:r>
      <w:r>
        <w:rPr>
          <w:rFonts w:hint="eastAsia" w:ascii="仿宋_GB2312" w:hAnsi="仿宋" w:eastAsia="仿宋_GB2312"/>
          <w:color w:val="auto"/>
          <w:sz w:val="24"/>
          <w:szCs w:val="24"/>
          <w:highlight w:val="none"/>
          <w:u w:val="single"/>
          <w:lang w:val="en-US" w:eastAsia="zh-CN"/>
        </w:rPr>
        <w:t>13</w:t>
      </w:r>
      <w:r>
        <w:rPr>
          <w:rFonts w:hint="eastAsia" w:ascii="仿宋_GB2312" w:hAnsi="仿宋" w:eastAsia="仿宋_GB2312"/>
          <w:color w:val="auto"/>
          <w:sz w:val="24"/>
          <w:szCs w:val="24"/>
          <w:highlight w:val="none"/>
          <w:u w:val="single"/>
        </w:rPr>
        <w:t>点</w:t>
      </w:r>
      <w:r>
        <w:rPr>
          <w:rFonts w:hint="eastAsia" w:ascii="仿宋_GB2312" w:hAnsi="仿宋" w:eastAsia="仿宋_GB2312"/>
          <w:color w:val="auto"/>
          <w:sz w:val="24"/>
          <w:szCs w:val="24"/>
          <w:highlight w:val="none"/>
          <w:u w:val="single"/>
          <w:lang w:val="en-US" w:eastAsia="zh-CN"/>
        </w:rPr>
        <w:t>30</w:t>
      </w:r>
      <w:r>
        <w:rPr>
          <w:rFonts w:hint="eastAsia" w:ascii="仿宋_GB2312" w:hAnsi="仿宋" w:eastAsia="仿宋_GB2312"/>
          <w:color w:val="auto"/>
          <w:sz w:val="24"/>
          <w:szCs w:val="24"/>
          <w:highlight w:val="none"/>
          <w:u w:val="single"/>
        </w:rPr>
        <w:t>分</w:t>
      </w:r>
      <w:r>
        <w:rPr>
          <w:rFonts w:hint="eastAsia" w:ascii="仿宋_GB2312" w:hAnsi="仿宋" w:eastAsia="仿宋_GB2312"/>
          <w:bCs/>
          <w:color w:val="auto"/>
          <w:sz w:val="24"/>
          <w:szCs w:val="24"/>
          <w:highlight w:val="none"/>
          <w:u w:val="single"/>
        </w:rPr>
        <w:t>00秒</w:t>
      </w:r>
      <w:r>
        <w:rPr>
          <w:rFonts w:hint="eastAsia" w:ascii="仿宋_GB2312" w:hAnsi="仿宋" w:eastAsia="仿宋_GB2312"/>
          <w:bCs/>
          <w:color w:val="auto"/>
          <w:sz w:val="24"/>
          <w:szCs w:val="24"/>
          <w:highlight w:val="none"/>
          <w:u w:val="single"/>
        </w:rPr>
        <w:fldChar w:fldCharType="end"/>
      </w:r>
      <w:r>
        <w:rPr>
          <w:rFonts w:hint="eastAsia" w:ascii="仿宋_GB2312" w:hAnsi="仿宋" w:eastAsia="仿宋_GB2312"/>
          <w:bCs/>
          <w:color w:val="auto"/>
          <w:sz w:val="24"/>
          <w:szCs w:val="24"/>
          <w:highlight w:val="none"/>
        </w:rPr>
        <w:t>（北京时间）前</w:t>
      </w:r>
      <w:r>
        <w:rPr>
          <w:rFonts w:hint="eastAsia" w:ascii="仿宋_GB2312" w:hAnsi="仿宋" w:eastAsia="仿宋_GB2312"/>
          <w:color w:val="auto"/>
          <w:sz w:val="24"/>
          <w:szCs w:val="24"/>
          <w:highlight w:val="none"/>
        </w:rPr>
        <w:t>递交（上传）投标文件。</w:t>
      </w:r>
    </w:p>
    <w:p>
      <w:pPr>
        <w:spacing w:line="360" w:lineRule="auto"/>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一、项目基本情况</w:t>
      </w:r>
      <w:r>
        <w:rPr>
          <w:rFonts w:ascii="仿宋_GB2312" w:hAnsi="仿宋" w:eastAsia="仿宋_GB2312"/>
          <w:b/>
          <w:color w:val="auto"/>
          <w:sz w:val="24"/>
          <w:szCs w:val="24"/>
          <w:highlight w:val="none"/>
        </w:rPr>
        <w:t xml:space="preserve">                                            </w:t>
      </w:r>
    </w:p>
    <w:p>
      <w:pPr>
        <w:spacing w:line="360" w:lineRule="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    </w:t>
      </w:r>
      <w:r>
        <w:rPr>
          <w:rFonts w:hint="eastAsia" w:ascii="仿宋_GB2312" w:hAnsi="仿宋" w:eastAsia="仿宋_GB2312"/>
          <w:b/>
          <w:color w:val="auto"/>
          <w:sz w:val="24"/>
          <w:szCs w:val="24"/>
          <w:highlight w:val="none"/>
        </w:rPr>
        <w:t>项目编号：</w:t>
      </w:r>
      <w:r>
        <w:rPr>
          <w:rFonts w:hint="eastAsia" w:ascii="仿宋_GB2312" w:hAnsi="仿宋" w:eastAsia="仿宋_GB2312"/>
          <w:b/>
          <w:color w:val="auto"/>
          <w:sz w:val="24"/>
          <w:szCs w:val="24"/>
          <w:highlight w:val="none"/>
          <w:lang w:eastAsia="zh-CN"/>
        </w:rPr>
        <w:t>ZJDL-2022-044</w:t>
      </w:r>
    </w:p>
    <w:p>
      <w:pPr>
        <w:spacing w:line="360" w:lineRule="auto"/>
        <w:rPr>
          <w:rFonts w:hint="eastAsia" w:ascii="仿宋_GB2312" w:hAnsi="仿宋" w:eastAsia="仿宋_GB2312"/>
          <w:color w:val="auto"/>
          <w:sz w:val="24"/>
          <w:szCs w:val="24"/>
          <w:highlight w:val="none"/>
          <w:lang w:eastAsia="zh-CN"/>
        </w:rPr>
      </w:pPr>
      <w:r>
        <w:rPr>
          <w:rFonts w:ascii="仿宋_GB2312" w:hAnsi="仿宋" w:eastAsia="仿宋_GB2312"/>
          <w:color w:val="auto"/>
          <w:sz w:val="24"/>
          <w:szCs w:val="24"/>
          <w:highlight w:val="none"/>
        </w:rPr>
        <w:t xml:space="preserve">   </w:t>
      </w:r>
      <w:r>
        <w:rPr>
          <w:rFonts w:ascii="仿宋_GB2312" w:hAnsi="仿宋" w:eastAsia="仿宋_GB2312"/>
          <w:b/>
          <w:color w:val="auto"/>
          <w:sz w:val="24"/>
          <w:szCs w:val="24"/>
          <w:highlight w:val="none"/>
        </w:rPr>
        <w:t xml:space="preserve"> 项目名称：</w:t>
      </w:r>
      <w:r>
        <w:rPr>
          <w:rFonts w:hint="eastAsia" w:ascii="仿宋" w:hAnsi="仿宋" w:eastAsia="仿宋" w:cs="仿宋"/>
          <w:i w:val="0"/>
          <w:iCs w:val="0"/>
          <w:caps w:val="0"/>
          <w:color w:val="auto"/>
          <w:spacing w:val="0"/>
          <w:sz w:val="24"/>
          <w:szCs w:val="24"/>
          <w:highlight w:val="none"/>
          <w:lang w:eastAsia="zh-CN"/>
        </w:rPr>
        <w:t>仓前街道2023-2024年西站枢纽移交区块（绿汀路-东西大道）综合养护项目</w:t>
      </w:r>
    </w:p>
    <w:p>
      <w:pPr>
        <w:spacing w:line="360" w:lineRule="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   </w:t>
      </w:r>
      <w:r>
        <w:rPr>
          <w:rFonts w:ascii="仿宋_GB2312" w:hAnsi="仿宋" w:eastAsia="仿宋_GB2312"/>
          <w:b/>
          <w:color w:val="auto"/>
          <w:sz w:val="24"/>
          <w:szCs w:val="24"/>
          <w:highlight w:val="none"/>
        </w:rPr>
        <w:t xml:space="preserve"> 预算金额（元）：</w:t>
      </w:r>
      <w:r>
        <w:rPr>
          <w:rFonts w:hint="eastAsia" w:ascii="仿宋_GB2312" w:hAnsi="仿宋" w:eastAsia="仿宋_GB2312"/>
          <w:b/>
          <w:color w:val="auto"/>
          <w:sz w:val="24"/>
          <w:szCs w:val="24"/>
          <w:highlight w:val="none"/>
          <w:lang w:val="en-US" w:eastAsia="zh-CN"/>
        </w:rPr>
        <w:t>900</w:t>
      </w:r>
      <w:r>
        <w:rPr>
          <w:rFonts w:hint="eastAsia" w:ascii="仿宋_GB2312" w:hAnsi="仿宋" w:eastAsia="仿宋_GB2312"/>
          <w:b/>
          <w:color w:val="auto"/>
          <w:sz w:val="24"/>
          <w:szCs w:val="24"/>
          <w:highlight w:val="none"/>
        </w:rPr>
        <w:t>0000  </w:t>
      </w: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 xml:space="preserve"> </w:t>
      </w:r>
    </w:p>
    <w:p>
      <w:pPr>
        <w:spacing w:line="360" w:lineRule="auto"/>
        <w:ind w:firstLine="48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最高限价（元）：</w:t>
      </w:r>
      <w:r>
        <w:rPr>
          <w:rFonts w:hint="eastAsia" w:ascii="仿宋_GB2312" w:hAnsi="仿宋" w:eastAsia="仿宋_GB2312"/>
          <w:b/>
          <w:color w:val="auto"/>
          <w:sz w:val="24"/>
          <w:szCs w:val="24"/>
          <w:highlight w:val="none"/>
          <w:lang w:val="en-US" w:eastAsia="zh-CN"/>
        </w:rPr>
        <w:t>900</w:t>
      </w:r>
      <w:r>
        <w:rPr>
          <w:rFonts w:hint="eastAsia" w:ascii="仿宋_GB2312" w:hAnsi="仿宋" w:eastAsia="仿宋_GB2312"/>
          <w:b/>
          <w:color w:val="auto"/>
          <w:sz w:val="24"/>
          <w:szCs w:val="24"/>
          <w:highlight w:val="none"/>
        </w:rPr>
        <w:t>0000</w:t>
      </w: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 xml:space="preserve"> </w:t>
      </w:r>
    </w:p>
    <w:p>
      <w:pPr>
        <w:pStyle w:val="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szCs w:val="24"/>
          <w:highlight w:val="none"/>
        </w:rPr>
        <w:t>采购需求：</w:t>
      </w:r>
      <w:r>
        <w:rPr>
          <w:rFonts w:hint="eastAsia" w:ascii="仿宋" w:hAnsi="仿宋" w:eastAsia="仿宋" w:cs="仿宋"/>
          <w:color w:val="auto"/>
          <w:sz w:val="24"/>
          <w:highlight w:val="none"/>
        </w:rPr>
        <w:t>本项目采购内容为</w:t>
      </w:r>
      <w:r>
        <w:rPr>
          <w:rFonts w:hint="eastAsia" w:ascii="仿宋" w:hAnsi="仿宋" w:eastAsia="仿宋" w:cs="仿宋"/>
          <w:i w:val="0"/>
          <w:iCs w:val="0"/>
          <w:caps w:val="0"/>
          <w:color w:val="auto"/>
          <w:spacing w:val="0"/>
          <w:sz w:val="24"/>
          <w:szCs w:val="24"/>
          <w:highlight w:val="none"/>
          <w:lang w:eastAsia="zh-CN"/>
        </w:rPr>
        <w:t>仓前街道2023-2024年西站枢纽移交区块（绿汀路-东西大道）综合养护项目</w:t>
      </w:r>
      <w:r>
        <w:rPr>
          <w:rFonts w:hint="eastAsia" w:ascii="仿宋" w:hAnsi="仿宋" w:eastAsia="仿宋" w:cs="仿宋"/>
          <w:color w:val="auto"/>
          <w:sz w:val="24"/>
          <w:highlight w:val="none"/>
        </w:rPr>
        <w:t>，</w:t>
      </w:r>
      <w:r>
        <w:rPr>
          <w:rFonts w:hint="eastAsia" w:ascii="仿宋" w:hAnsi="仿宋" w:eastAsia="仿宋" w:cs="仿宋"/>
          <w:bCs/>
          <w:color w:val="auto"/>
          <w:kern w:val="2"/>
          <w:sz w:val="24"/>
          <w:szCs w:val="24"/>
          <w:highlight w:val="none"/>
        </w:rPr>
        <w:t>详见招标文件第三部分采购需求。</w:t>
      </w:r>
    </w:p>
    <w:p>
      <w:pPr>
        <w:pStyle w:val="89"/>
        <w:ind w:firstLine="482"/>
        <w:outlineLvl w:val="2"/>
        <w:rPr>
          <w:rFonts w:hint="eastAsia" w:ascii="仿宋_GB2312" w:hAnsi="仿宋" w:eastAsia="仿宋"/>
          <w:color w:val="auto"/>
          <w:sz w:val="24"/>
          <w:szCs w:val="24"/>
          <w:highlight w:val="none"/>
          <w:lang w:val="en-US" w:eastAsia="zh-CN"/>
        </w:rPr>
      </w:pPr>
      <w:r>
        <w:rPr>
          <w:rFonts w:hint="eastAsia" w:ascii="仿宋_GB2312" w:hAnsi="仿宋" w:eastAsia="仿宋_GB2312"/>
          <w:b/>
          <w:color w:val="auto"/>
          <w:sz w:val="24"/>
          <w:szCs w:val="24"/>
          <w:highlight w:val="none"/>
        </w:rPr>
        <w:t>合同履约期限：</w:t>
      </w:r>
      <w:r>
        <w:rPr>
          <w:rFonts w:hint="eastAsia" w:ascii="仿宋" w:hAnsi="仿宋" w:eastAsia="仿宋" w:cs="仿宋"/>
          <w:i w:val="0"/>
          <w:iCs w:val="0"/>
          <w:caps w:val="0"/>
          <w:color w:val="auto"/>
          <w:spacing w:val="0"/>
          <w:sz w:val="24"/>
          <w:szCs w:val="24"/>
          <w:highlight w:val="none"/>
        </w:rPr>
        <w:t>标项 1，</w:t>
      </w:r>
      <w:r>
        <w:rPr>
          <w:rFonts w:hint="eastAsia" w:ascii="仿宋" w:hAnsi="仿宋" w:eastAsia="仿宋" w:cs="仿宋"/>
          <w:i w:val="0"/>
          <w:iCs w:val="0"/>
          <w:caps w:val="0"/>
          <w:color w:val="auto"/>
          <w:spacing w:val="0"/>
          <w:sz w:val="24"/>
          <w:szCs w:val="24"/>
          <w:highlight w:val="none"/>
          <w:lang w:eastAsia="zh-CN"/>
        </w:rPr>
        <w:t>贰</w:t>
      </w:r>
      <w:r>
        <w:rPr>
          <w:rFonts w:hint="eastAsia" w:ascii="仿宋" w:hAnsi="仿宋" w:eastAsia="仿宋" w:cs="仿宋"/>
          <w:i w:val="0"/>
          <w:iCs w:val="0"/>
          <w:caps w:val="0"/>
          <w:color w:val="auto"/>
          <w:spacing w:val="0"/>
          <w:sz w:val="24"/>
          <w:szCs w:val="24"/>
          <w:highlight w:val="none"/>
          <w:lang w:val="en-US" w:eastAsia="zh-CN"/>
        </w:rPr>
        <w:t>年</w:t>
      </w:r>
    </w:p>
    <w:p>
      <w:pPr>
        <w:pStyle w:val="5"/>
        <w:spacing w:line="360" w:lineRule="auto"/>
        <w:ind w:firstLine="48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本项目接受联合体投标：</w:t>
      </w:r>
      <w:sdt>
        <w:sdtPr>
          <w:rPr>
            <w:rFonts w:hint="eastAsia" w:ascii="仿宋_GB2312" w:hAnsi="仿宋" w:eastAsia="仿宋_GB2312" w:cs="Arial"/>
            <w:color w:val="auto"/>
            <w:kern w:val="0"/>
            <w:sz w:val="24"/>
            <w:szCs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rPr>
            <w:sym w:font="Wingdings" w:char="F0FE"/>
          </w:r>
        </w:sdtContent>
      </w:sdt>
      <w:r>
        <w:rPr>
          <w:rFonts w:hint="eastAsia" w:ascii="仿宋_GB2312" w:hAnsi="仿宋" w:eastAsia="仿宋_GB2312"/>
          <w:b/>
          <w:color w:val="auto"/>
          <w:sz w:val="24"/>
          <w:szCs w:val="24"/>
          <w:highlight w:val="none"/>
        </w:rPr>
        <w:t>是，</w:t>
      </w:r>
      <w:sdt>
        <w:sdtPr>
          <w:rPr>
            <w:rFonts w:hint="eastAsia" w:ascii="仿宋_GB2312" w:hAnsi="仿宋" w:eastAsia="仿宋_GB2312" w:cs="Arial"/>
            <w:color w:val="auto"/>
            <w:kern w:val="0"/>
            <w:sz w:val="24"/>
            <w:szCs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rPr>
            <w:t>☐</w:t>
          </w:r>
        </w:sdtContent>
      </w:sdt>
      <w:r>
        <w:rPr>
          <w:rFonts w:hint="eastAsia" w:ascii="仿宋_GB2312" w:hAnsi="仿宋" w:eastAsia="仿宋_GB2312"/>
          <w:b/>
          <w:color w:val="auto"/>
          <w:sz w:val="24"/>
          <w:szCs w:val="24"/>
          <w:highlight w:val="none"/>
        </w:rPr>
        <w:t>否</w:t>
      </w:r>
      <w:r>
        <w:rPr>
          <w:rFonts w:hint="eastAsia" w:cs="Arial" w:asciiTheme="minorEastAsia" w:hAnsiTheme="minorEastAsia" w:eastAsiaTheme="minorEastAsia"/>
          <w:color w:val="auto"/>
          <w:kern w:val="0"/>
          <w:sz w:val="24"/>
          <w:szCs w:val="24"/>
          <w:highlight w:val="none"/>
        </w:rPr>
        <w:t>。</w:t>
      </w:r>
    </w:p>
    <w:p>
      <w:pPr>
        <w:spacing w:line="360" w:lineRule="auto"/>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二、申请人的资格要求：</w:t>
      </w:r>
    </w:p>
    <w:p>
      <w:pPr>
        <w:spacing w:line="360" w:lineRule="auto"/>
        <w:ind w:firstLine="480"/>
        <w:rPr>
          <w:rFonts w:ascii="仿宋" w:hAnsi="仿宋" w:eastAsia="仿宋" w:cs="仿宋_GB2312"/>
          <w:snapToGrid w:val="0"/>
          <w:color w:val="auto"/>
          <w:kern w:val="28"/>
          <w:sz w:val="24"/>
          <w:szCs w:val="24"/>
          <w:highlight w:val="none"/>
        </w:rPr>
      </w:pPr>
      <w:r>
        <w:rPr>
          <w:rFonts w:ascii="仿宋" w:hAnsi="仿宋" w:eastAsia="仿宋" w:cs="仿宋_GB2312"/>
          <w:snapToGrid w:val="0"/>
          <w:color w:val="auto"/>
          <w:kern w:val="28"/>
          <w:sz w:val="24"/>
          <w:szCs w:val="24"/>
          <w:highlight w:val="none"/>
        </w:rPr>
        <w:t>1.</w:t>
      </w:r>
      <w:r>
        <w:rPr>
          <w:rFonts w:hint="eastAsia" w:ascii="仿宋" w:hAnsi="仿宋" w:eastAsia="仿宋" w:cs="仿宋_GB2312"/>
          <w:snapToGrid w:val="0"/>
          <w:color w:val="auto"/>
          <w:kern w:val="28"/>
          <w:sz w:val="24"/>
          <w:szCs w:val="24"/>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4"/>
          <w:highlight w:val="none"/>
        </w:rPr>
      </w:pPr>
      <w:r>
        <w:rPr>
          <w:rFonts w:ascii="仿宋" w:hAnsi="仿宋" w:eastAsia="仿宋" w:cs="仿宋_GB2312"/>
          <w:snapToGrid w:val="0"/>
          <w:color w:val="auto"/>
          <w:kern w:val="28"/>
          <w:sz w:val="24"/>
          <w:szCs w:val="24"/>
          <w:highlight w:val="none"/>
        </w:rPr>
        <w:t xml:space="preserve">    2.</w:t>
      </w:r>
      <w:r>
        <w:rPr>
          <w:rFonts w:hint="eastAsia" w:ascii="仿宋" w:hAnsi="仿宋" w:eastAsia="仿宋" w:cs="仿宋_GB2312"/>
          <w:snapToGrid w:val="0"/>
          <w:color w:val="auto"/>
          <w:kern w:val="28"/>
          <w:sz w:val="24"/>
          <w:szCs w:val="24"/>
          <w:highlight w:val="none"/>
        </w:rPr>
        <w:t>落实政府采购政策需满足的资格要求：</w:t>
      </w:r>
    </w:p>
    <w:p>
      <w:pPr>
        <w:spacing w:line="360" w:lineRule="auto"/>
        <w:ind w:firstLine="480" w:firstLineChars="200"/>
        <w:rPr>
          <w:rFonts w:ascii="仿宋_GB2312" w:hAnsi="仿宋" w:eastAsia="仿宋_GB2312"/>
          <w:color w:val="auto"/>
          <w:sz w:val="24"/>
          <w:szCs w:val="24"/>
          <w:highlight w:val="none"/>
        </w:rPr>
      </w:pPr>
      <w:sdt>
        <w:sdtPr>
          <w:rPr>
            <w:rFonts w:hint="eastAsia" w:ascii="仿宋_GB2312" w:hAnsi="仿宋" w:eastAsia="仿宋_GB2312" w:cs="Arial"/>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rPr>
            <w:t>☐</w:t>
          </w:r>
        </w:sdtContent>
      </w:sdt>
      <w:r>
        <w:rPr>
          <w:rFonts w:hint="eastAsia" w:ascii="仿宋_GB2312" w:hAnsi="仿宋" w:eastAsia="仿宋_GB2312"/>
          <w:color w:val="auto"/>
          <w:sz w:val="24"/>
          <w:szCs w:val="24"/>
          <w:highlight w:val="none"/>
        </w:rPr>
        <w:t>无；</w:t>
      </w:r>
    </w:p>
    <w:p>
      <w:pPr>
        <w:spacing w:line="360" w:lineRule="auto"/>
        <w:ind w:firstLine="480" w:firstLineChars="200"/>
        <w:rPr>
          <w:rFonts w:ascii="仿宋_GB2312" w:hAnsi="仿宋" w:eastAsia="仿宋_GB2312"/>
          <w:color w:val="auto"/>
          <w:sz w:val="24"/>
          <w:szCs w:val="24"/>
          <w:highlight w:val="none"/>
        </w:rPr>
      </w:pPr>
      <w:sdt>
        <w:sdtPr>
          <w:rPr>
            <w:rFonts w:hint="eastAsia" w:ascii="仿宋_GB2312" w:hAnsi="仿宋" w:eastAsia="仿宋_GB2312" w:cs="Arial"/>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rPr>
            <w:sym w:font="Wingdings" w:char="F0FE"/>
          </w:r>
        </w:sdtContent>
      </w:sdt>
      <w:r>
        <w:rPr>
          <w:rFonts w:hint="eastAsia" w:ascii="仿宋_GB2312" w:hAnsi="仿宋" w:eastAsia="仿宋_GB2312" w:cs="Arial"/>
          <w:color w:val="auto"/>
          <w:kern w:val="0"/>
          <w:sz w:val="24"/>
          <w:szCs w:val="24"/>
          <w:highlight w:val="none"/>
        </w:rPr>
        <w:t>专</w:t>
      </w:r>
      <w:r>
        <w:rPr>
          <w:rFonts w:hint="eastAsia" w:ascii="仿宋_GB2312" w:hAnsi="仿宋" w:eastAsia="仿宋_GB2312"/>
          <w:color w:val="auto"/>
          <w:sz w:val="24"/>
          <w:szCs w:val="24"/>
          <w:highlight w:val="none"/>
        </w:rPr>
        <w:t>门面向中小企业</w:t>
      </w:r>
    </w:p>
    <w:p>
      <w:pPr>
        <w:spacing w:line="360" w:lineRule="auto"/>
        <w:ind w:firstLine="897" w:firstLineChars="374"/>
        <w:rPr>
          <w:rFonts w:ascii="仿宋_GB2312" w:hAnsi="仿宋" w:eastAsia="仿宋_GB2312"/>
          <w:color w:val="auto"/>
          <w:sz w:val="24"/>
          <w:szCs w:val="24"/>
          <w:highlight w:val="none"/>
          <w:u w:val="single"/>
        </w:rPr>
      </w:pPr>
      <w:sdt>
        <w:sdtPr>
          <w:rPr>
            <w:rFonts w:hint="eastAsia" w:ascii="仿宋_GB2312" w:hAnsi="仿宋" w:eastAsia="仿宋_GB2312" w:cs="Arial"/>
            <w:color w:val="auto"/>
            <w:kern w:val="0"/>
            <w:sz w:val="24"/>
            <w:szCs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szCs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szCs w:val="24"/>
          <w:highlight w:val="none"/>
        </w:rPr>
      </w:pPr>
      <w:sdt>
        <w:sdtPr>
          <w:rPr>
            <w:rFonts w:hint="eastAsia" w:ascii="仿宋_GB2312" w:hAnsi="仿宋" w:eastAsia="仿宋_GB2312" w:cs="Arial"/>
            <w:color w:val="auto"/>
            <w:kern w:val="0"/>
            <w:sz w:val="24"/>
            <w:szCs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olor w:val="auto"/>
          <w:sz w:val="24"/>
          <w:szCs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szCs w:val="24"/>
          <w:highlight w:val="none"/>
        </w:rPr>
      </w:pPr>
      <w:sdt>
        <w:sdtPr>
          <w:rPr>
            <w:rFonts w:hint="eastAsia" w:ascii="仿宋_GB2312" w:hAnsi="仿宋" w:eastAsia="仿宋_GB2312" w:cs="Arial"/>
            <w:color w:val="auto"/>
            <w:kern w:val="0"/>
            <w:sz w:val="24"/>
            <w:szCs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szCs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szCs w:val="24"/>
          <w:highlight w:val="none"/>
        </w:rPr>
      </w:pPr>
      <w:sdt>
        <w:sdtPr>
          <w:rPr>
            <w:rFonts w:hint="eastAsia" w:ascii="仿宋_GB2312" w:hAnsi="仿宋" w:eastAsia="仿宋_GB2312" w:cs="Arial"/>
            <w:color w:val="auto"/>
            <w:kern w:val="0"/>
            <w:sz w:val="24"/>
            <w:szCs w:val="24"/>
            <w:highlight w:val="none"/>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szCs w:val="24"/>
          <w:highlight w:val="none"/>
        </w:rPr>
        <w:t>服务全部由符合政策要求的小微企业承接，提供中小企业声明函；</w:t>
      </w:r>
    </w:p>
    <w:p>
      <w:pPr>
        <w:rPr>
          <w:color w:val="auto"/>
          <w:sz w:val="24"/>
          <w:szCs w:val="24"/>
          <w:highlight w:val="none"/>
        </w:rPr>
      </w:pPr>
    </w:p>
    <w:p>
      <w:pPr>
        <w:spacing w:line="360" w:lineRule="auto"/>
        <w:ind w:firstLine="480" w:firstLineChars="200"/>
        <w:rPr>
          <w:rFonts w:ascii="仿宋" w:hAnsi="仿宋" w:eastAsia="仿宋"/>
          <w:color w:val="auto"/>
          <w:sz w:val="24"/>
          <w:szCs w:val="24"/>
          <w:highlight w:val="none"/>
        </w:rPr>
      </w:pPr>
      <w:sdt>
        <w:sdtPr>
          <w:rPr>
            <w:rFonts w:hint="eastAsia" w:ascii="仿宋_GB2312" w:hAnsi="仿宋" w:eastAsia="仿宋_GB2312" w:cs="Arial"/>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olor w:val="auto"/>
          <w:sz w:val="24"/>
          <w:szCs w:val="24"/>
          <w:highlight w:val="none"/>
        </w:rPr>
        <w:t>要求以联合体形式参加，提供联合协议和中小企业声明函，联合协议中中小企业合同金额应当达到</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rPr>
        <w:t>%，小</w:t>
      </w:r>
      <w:r>
        <w:rPr>
          <w:rFonts w:hint="eastAsia" w:ascii="仿宋_GB2312" w:hAnsi="仿宋" w:eastAsia="仿宋_GB2312"/>
          <w:color w:val="auto"/>
          <w:sz w:val="24"/>
          <w:szCs w:val="24"/>
          <w:highlight w:val="none"/>
        </w:rPr>
        <w:t>微企业合同金额应当达到</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rPr>
        <w:t>%;</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sdt>
        <w:sdtPr>
          <w:rPr>
            <w:rFonts w:hint="eastAsia" w:ascii="仿宋_GB2312" w:hAnsi="仿宋" w:eastAsia="仿宋_GB2312" w:cs="Arial"/>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 w:hAnsi="仿宋" w:eastAsia="仿宋"/>
          <w:color w:val="auto"/>
          <w:sz w:val="24"/>
          <w:szCs w:val="24"/>
          <w:highlight w:val="none"/>
        </w:rPr>
        <w:t>要求合同分包，提供分包意向协议和中小企业声明函，分包意向协议中中小企业合同金额应当达到</w:t>
      </w:r>
      <w:r>
        <w:rPr>
          <w:rFonts w:hint="eastAsia" w:ascii="仿宋_GB2312" w:hAnsi="仿宋" w:eastAsia="仿宋_GB2312"/>
          <w:color w:val="auto"/>
          <w:sz w:val="24"/>
          <w:szCs w:val="24"/>
          <w:highlight w:val="none"/>
        </w:rPr>
        <w:t>达到</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，小微企业合同金额应当达到</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rPr>
        <w:t>% ;</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szCs w:val="24"/>
          <w:highlight w:val="none"/>
        </w:rPr>
        <w:t>；</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3.本项目的特定资格要求：无</w:t>
      </w:r>
      <w:r>
        <w:rPr>
          <w:rFonts w:hint="eastAsia" w:ascii="仿宋_GB2312" w:hAnsi="仿宋" w:eastAsia="仿宋_GB2312"/>
          <w:color w:val="auto"/>
          <w:sz w:val="24"/>
          <w:szCs w:val="24"/>
          <w:highlight w:val="none"/>
        </w:rPr>
        <w:t>；</w:t>
      </w:r>
    </w:p>
    <w:p>
      <w:pPr>
        <w:snapToGrid w:val="0"/>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olor w:val="auto"/>
          <w:sz w:val="24"/>
          <w:szCs w:val="24"/>
          <w:highlight w:val="none"/>
        </w:rPr>
        <w:t>4.</w:t>
      </w:r>
      <w:r>
        <w:rPr>
          <w:rFonts w:hint="eastAsia" w:ascii="仿宋_GB2312" w:hAnsi="仿宋" w:eastAsia="仿宋_GB2312"/>
          <w:color w:val="auto"/>
          <w:sz w:val="24"/>
          <w:szCs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szCs w:val="24"/>
          <w:highlight w:val="none"/>
        </w:rPr>
        <w:t>为采购项目提供整体设计、规范编制或者项目管理、监理、检测等服务后</w:t>
      </w:r>
      <w:r>
        <w:rPr>
          <w:rFonts w:hint="eastAsia" w:ascii="仿宋_GB2312" w:hAnsi="仿宋" w:eastAsia="仿宋_GB2312" w:cs="仿宋_GB2312"/>
          <w:color w:val="auto"/>
          <w:sz w:val="24"/>
          <w:szCs w:val="24"/>
          <w:highlight w:val="none"/>
        </w:rPr>
        <w:t>不得</w:t>
      </w:r>
      <w:r>
        <w:rPr>
          <w:rFonts w:ascii="仿宋_GB2312" w:hAnsi="仿宋" w:eastAsia="仿宋_GB2312" w:cs="仿宋_GB2312"/>
          <w:color w:val="auto"/>
          <w:sz w:val="24"/>
          <w:szCs w:val="24"/>
          <w:highlight w:val="none"/>
        </w:rPr>
        <w:t>再参加该采购项目的其他采购活动。</w:t>
      </w:r>
    </w:p>
    <w:p>
      <w:pPr>
        <w:spacing w:line="360" w:lineRule="auto"/>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三、获取招标文件</w:t>
      </w:r>
      <w:r>
        <w:rPr>
          <w:rFonts w:ascii="仿宋_GB2312" w:hAnsi="仿宋" w:eastAsia="仿宋_GB2312"/>
          <w:b/>
          <w:color w:val="auto"/>
          <w:sz w:val="24"/>
          <w:szCs w:val="24"/>
          <w:highlight w:val="none"/>
        </w:rPr>
        <w:t xml:space="preserve">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时间：</w:t>
      </w:r>
      <w:r>
        <w:rPr>
          <w:rFonts w:ascii="仿宋_GB2312" w:hAnsi="仿宋" w:eastAsia="仿宋_GB2312"/>
          <w:color w:val="auto"/>
          <w:sz w:val="24"/>
          <w:szCs w:val="24"/>
          <w:highlight w:val="none"/>
        </w:rPr>
        <w:t>/至</w:t>
      </w:r>
      <w:r>
        <w:rPr>
          <w:rFonts w:hint="eastAsia" w:ascii="仿宋_GB2312" w:hAnsi="仿宋" w:eastAsia="仿宋_GB2312"/>
          <w:color w:val="auto"/>
          <w:sz w:val="24"/>
          <w:szCs w:val="24"/>
          <w:highlight w:val="none"/>
          <w:u w:val="single"/>
        </w:rPr>
        <w:t>202</w:t>
      </w:r>
      <w:r>
        <w:rPr>
          <w:rFonts w:hint="eastAsia" w:ascii="仿宋_GB2312" w:hAnsi="仿宋" w:eastAsia="仿宋_GB2312"/>
          <w:color w:val="auto"/>
          <w:sz w:val="24"/>
          <w:szCs w:val="24"/>
          <w:highlight w:val="none"/>
          <w:u w:val="single"/>
          <w:lang w:val="en-US" w:eastAsia="zh-CN"/>
        </w:rPr>
        <w:t>2</w:t>
      </w:r>
      <w:r>
        <w:rPr>
          <w:rFonts w:ascii="仿宋_GB2312" w:hAnsi="仿宋" w:eastAsia="仿宋_GB2312"/>
          <w:color w:val="auto"/>
          <w:sz w:val="24"/>
          <w:szCs w:val="24"/>
          <w:highlight w:val="none"/>
          <w:u w:val="single"/>
        </w:rPr>
        <w:t>年</w:t>
      </w:r>
      <w:r>
        <w:rPr>
          <w:rFonts w:hint="eastAsia" w:ascii="仿宋_GB2312" w:hAnsi="仿宋" w:eastAsia="仿宋_GB2312"/>
          <w:color w:val="auto"/>
          <w:sz w:val="24"/>
          <w:szCs w:val="24"/>
          <w:highlight w:val="none"/>
          <w:u w:val="single"/>
          <w:lang w:val="en-US" w:eastAsia="zh-CN"/>
        </w:rPr>
        <w:t>12</w:t>
      </w:r>
      <w:r>
        <w:rPr>
          <w:rFonts w:ascii="仿宋_GB2312" w:hAnsi="仿宋" w:eastAsia="仿宋_GB2312"/>
          <w:color w:val="auto"/>
          <w:sz w:val="24"/>
          <w:szCs w:val="24"/>
          <w:highlight w:val="none"/>
          <w:u w:val="single"/>
        </w:rPr>
        <w:t>月</w:t>
      </w:r>
      <w:r>
        <w:rPr>
          <w:rFonts w:hint="eastAsia" w:ascii="仿宋_GB2312" w:hAnsi="仿宋" w:eastAsia="仿宋_GB2312"/>
          <w:color w:val="auto"/>
          <w:sz w:val="24"/>
          <w:szCs w:val="24"/>
          <w:highlight w:val="none"/>
          <w:u w:val="single"/>
          <w:lang w:val="en-US" w:eastAsia="zh-CN"/>
        </w:rPr>
        <w:t>6</w:t>
      </w:r>
      <w:r>
        <w:rPr>
          <w:rFonts w:ascii="仿宋_GB2312" w:hAnsi="仿宋" w:eastAsia="仿宋_GB2312"/>
          <w:color w:val="auto"/>
          <w:sz w:val="24"/>
          <w:szCs w:val="24"/>
          <w:highlight w:val="none"/>
          <w:u w:val="single"/>
        </w:rPr>
        <w:t>日</w:t>
      </w:r>
      <w:r>
        <w:rPr>
          <w:rFonts w:hint="eastAsia" w:ascii="仿宋_GB2312" w:hAnsi="仿宋" w:eastAsia="仿宋_GB2312"/>
          <w:color w:val="auto"/>
          <w:sz w:val="24"/>
          <w:szCs w:val="24"/>
          <w:highlight w:val="none"/>
        </w:rPr>
        <w:t>，每天上午</w:t>
      </w:r>
      <w:r>
        <w:rPr>
          <w:rFonts w:ascii="仿宋_GB2312" w:hAnsi="仿宋" w:eastAsia="仿宋_GB2312"/>
          <w:color w:val="auto"/>
          <w:sz w:val="24"/>
          <w:szCs w:val="24"/>
          <w:highlight w:val="none"/>
        </w:rPr>
        <w:t xml:space="preserve">00:00至12:00 </w:t>
      </w:r>
      <w:r>
        <w:rPr>
          <w:rFonts w:hint="eastAsia" w:ascii="仿宋_GB2312" w:hAnsi="仿宋" w:eastAsia="仿宋_GB2312"/>
          <w:color w:val="auto"/>
          <w:sz w:val="24"/>
          <w:szCs w:val="24"/>
          <w:highlight w:val="none"/>
        </w:rPr>
        <w:t>，下午</w:t>
      </w:r>
      <w:r>
        <w:rPr>
          <w:rFonts w:ascii="仿宋_GB2312" w:hAnsi="仿宋" w:eastAsia="仿宋_GB2312"/>
          <w:color w:val="auto"/>
          <w:sz w:val="24"/>
          <w:szCs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地点（网址）：</w:t>
      </w:r>
      <w:r>
        <w:rPr>
          <w:rFonts w:hint="eastAsia" w:ascii="仿宋_GB2312" w:hAnsi="仿宋" w:eastAsia="仿宋_GB2312"/>
          <w:color w:val="auto"/>
          <w:sz w:val="24"/>
          <w:szCs w:val="24"/>
          <w:highlight w:val="none"/>
        </w:rPr>
        <w:t>政采云平台（</w:t>
      </w:r>
      <w:r>
        <w:rPr>
          <w:rFonts w:ascii="仿宋_GB2312" w:hAnsi="仿宋" w:eastAsia="仿宋_GB2312"/>
          <w:color w:val="auto"/>
          <w:sz w:val="24"/>
          <w:szCs w:val="24"/>
          <w:highlight w:val="none"/>
        </w:rPr>
        <w:t xml:space="preserve">https://www.zcygov.cn/）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方式：</w:t>
      </w:r>
      <w:r>
        <w:rPr>
          <w:rFonts w:hint="eastAsia" w:ascii="仿宋_GB2312" w:hAnsi="仿宋" w:eastAsia="仿宋_GB2312"/>
          <w:color w:val="auto"/>
          <w:sz w:val="24"/>
          <w:szCs w:val="24"/>
          <w:highlight w:val="none"/>
        </w:rPr>
        <w:t>供应商登录政采云平台</w:t>
      </w:r>
      <w:r>
        <w:rPr>
          <w:rFonts w:ascii="仿宋_GB2312" w:hAnsi="仿宋" w:eastAsia="仿宋_GB2312"/>
          <w:color w:val="auto"/>
          <w:sz w:val="24"/>
          <w:szCs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售价（元）：</w:t>
      </w:r>
      <w:r>
        <w:rPr>
          <w:rFonts w:ascii="仿宋_GB2312" w:hAnsi="仿宋" w:eastAsia="仿宋_GB2312"/>
          <w:color w:val="auto"/>
          <w:sz w:val="24"/>
          <w:szCs w:val="24"/>
          <w:highlight w:val="none"/>
        </w:rPr>
        <w:t xml:space="preserve">0 </w:t>
      </w:r>
      <w:r>
        <w:rPr>
          <w:rFonts w:ascii="仿宋_GB2312" w:hAnsi="仿宋" w:eastAsia="仿宋_GB2312"/>
          <w:color w:val="auto"/>
          <w:sz w:val="24"/>
          <w:szCs w:val="24"/>
          <w:highlight w:val="none"/>
        </w:rPr>
        <w:tab/>
      </w:r>
    </w:p>
    <w:p>
      <w:pPr>
        <w:spacing w:line="360" w:lineRule="auto"/>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四、提交投标文件截止时间、开标时间和地点</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提交投标文件截止时间：</w:t>
      </w:r>
      <w:r>
        <w:rPr>
          <w:rFonts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rPr>
        <w:t>202</w:t>
      </w:r>
      <w:r>
        <w:rPr>
          <w:rFonts w:hint="eastAsia" w:ascii="仿宋_GB2312" w:hAnsi="仿宋" w:eastAsia="仿宋_GB2312"/>
          <w:color w:val="auto"/>
          <w:sz w:val="24"/>
          <w:szCs w:val="24"/>
          <w:highlight w:val="none"/>
          <w:u w:val="single"/>
          <w:lang w:val="en-US" w:eastAsia="zh-CN"/>
        </w:rPr>
        <w:t>2</w:t>
      </w:r>
      <w:r>
        <w:rPr>
          <w:rFonts w:ascii="仿宋_GB2312" w:hAnsi="仿宋" w:eastAsia="仿宋_GB2312"/>
          <w:color w:val="auto"/>
          <w:sz w:val="24"/>
          <w:szCs w:val="24"/>
          <w:highlight w:val="none"/>
          <w:u w:val="single"/>
        </w:rPr>
        <w:t>年</w:t>
      </w:r>
      <w:r>
        <w:rPr>
          <w:rFonts w:hint="eastAsia" w:ascii="仿宋_GB2312" w:hAnsi="仿宋" w:eastAsia="仿宋_GB2312"/>
          <w:color w:val="auto"/>
          <w:sz w:val="24"/>
          <w:szCs w:val="24"/>
          <w:highlight w:val="none"/>
          <w:u w:val="single"/>
          <w:lang w:val="en-US" w:eastAsia="zh-CN"/>
        </w:rPr>
        <w:t>12</w:t>
      </w:r>
      <w:r>
        <w:rPr>
          <w:rFonts w:hint="eastAsia" w:ascii="仿宋_GB2312" w:hAnsi="仿宋" w:eastAsia="仿宋_GB2312"/>
          <w:color w:val="auto"/>
          <w:sz w:val="24"/>
          <w:szCs w:val="24"/>
          <w:highlight w:val="none"/>
          <w:u w:val="single"/>
        </w:rPr>
        <w:t>月</w:t>
      </w:r>
      <w:r>
        <w:rPr>
          <w:rFonts w:hint="eastAsia" w:ascii="仿宋_GB2312" w:hAnsi="仿宋" w:eastAsia="仿宋_GB2312"/>
          <w:color w:val="auto"/>
          <w:sz w:val="24"/>
          <w:szCs w:val="24"/>
          <w:highlight w:val="none"/>
          <w:u w:val="single"/>
          <w:lang w:val="en-US" w:eastAsia="zh-CN"/>
        </w:rPr>
        <w:t>6</w:t>
      </w:r>
      <w:r>
        <w:rPr>
          <w:rFonts w:hint="eastAsia" w:ascii="仿宋_GB2312" w:hAnsi="仿宋" w:eastAsia="仿宋_GB2312"/>
          <w:color w:val="auto"/>
          <w:sz w:val="24"/>
          <w:szCs w:val="24"/>
          <w:highlight w:val="none"/>
          <w:u w:val="single"/>
        </w:rPr>
        <w:t>日</w:t>
      </w:r>
      <w:r>
        <w:rPr>
          <w:rFonts w:hint="eastAsia" w:ascii="仿宋_GB2312" w:hAnsi="仿宋" w:eastAsia="仿宋_GB2312"/>
          <w:color w:val="auto"/>
          <w:sz w:val="24"/>
          <w:szCs w:val="24"/>
          <w:highlight w:val="none"/>
          <w:u w:val="single"/>
          <w:lang w:val="en-US" w:eastAsia="zh-CN"/>
        </w:rPr>
        <w:t>13</w:t>
      </w:r>
      <w:r>
        <w:rPr>
          <w:rFonts w:hint="eastAsia" w:ascii="仿宋_GB2312" w:hAnsi="仿宋" w:eastAsia="仿宋_GB2312"/>
          <w:color w:val="auto"/>
          <w:sz w:val="24"/>
          <w:szCs w:val="24"/>
          <w:highlight w:val="none"/>
          <w:u w:val="single"/>
        </w:rPr>
        <w:t>点</w:t>
      </w:r>
      <w:r>
        <w:rPr>
          <w:rFonts w:hint="eastAsia" w:ascii="仿宋_GB2312" w:hAnsi="仿宋" w:eastAsia="仿宋_GB2312"/>
          <w:color w:val="auto"/>
          <w:sz w:val="24"/>
          <w:szCs w:val="24"/>
          <w:highlight w:val="none"/>
          <w:u w:val="single"/>
          <w:lang w:val="en-US" w:eastAsia="zh-CN"/>
        </w:rPr>
        <w:t>30</w:t>
      </w:r>
      <w:r>
        <w:rPr>
          <w:rFonts w:hint="eastAsia" w:ascii="仿宋_GB2312" w:hAnsi="仿宋" w:eastAsia="仿宋_GB2312"/>
          <w:color w:val="auto"/>
          <w:sz w:val="24"/>
          <w:szCs w:val="24"/>
          <w:highlight w:val="none"/>
          <w:u w:val="single"/>
        </w:rPr>
        <w:t>分</w:t>
      </w:r>
      <w:r>
        <w:rPr>
          <w:rFonts w:hint="eastAsia" w:ascii="仿宋_GB2312" w:hAnsi="仿宋" w:eastAsia="仿宋_GB2312"/>
          <w:bCs/>
          <w:color w:val="auto"/>
          <w:sz w:val="24"/>
          <w:szCs w:val="24"/>
          <w:highlight w:val="none"/>
          <w:u w:val="single"/>
        </w:rPr>
        <w:t xml:space="preserve"> </w:t>
      </w:r>
      <w:r>
        <w:rPr>
          <w:rFonts w:hint="eastAsia" w:ascii="仿宋_GB2312" w:hAnsi="仿宋" w:eastAsia="仿宋_GB2312"/>
          <w:color w:val="auto"/>
          <w:sz w:val="24"/>
          <w:szCs w:val="24"/>
          <w:highlight w:val="none"/>
        </w:rPr>
        <w:t>（北京时间）</w:t>
      </w:r>
    </w:p>
    <w:p>
      <w:pPr>
        <w:spacing w:line="360" w:lineRule="auto"/>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投标地点（网址）：</w:t>
      </w:r>
      <w:r>
        <w:rPr>
          <w:rFonts w:hint="eastAsia" w:ascii="仿宋_GB2312" w:hAnsi="仿宋" w:eastAsia="仿宋_GB2312"/>
          <w:color w:val="auto"/>
          <w:sz w:val="24"/>
          <w:szCs w:val="24"/>
          <w:highlight w:val="none"/>
        </w:rPr>
        <w:t>政采云平台（</w:t>
      </w:r>
      <w:r>
        <w:rPr>
          <w:rFonts w:ascii="仿宋_GB2312" w:hAnsi="仿宋" w:eastAsia="仿宋_GB2312"/>
          <w:color w:val="auto"/>
          <w:sz w:val="24"/>
          <w:szCs w:val="24"/>
          <w:highlight w:val="none"/>
        </w:rPr>
        <w:t xml:space="preserve">https://www.zcygov.cn/） </w:t>
      </w:r>
    </w:p>
    <w:p>
      <w:pPr>
        <w:spacing w:line="360" w:lineRule="auto"/>
        <w:ind w:firstLine="482" w:firstLineChars="200"/>
        <w:rPr>
          <w:rFonts w:ascii="仿宋_GB2312" w:hAnsi="仿宋" w:eastAsia="仿宋_GB2312"/>
          <w:bCs/>
          <w:color w:val="auto"/>
          <w:sz w:val="24"/>
          <w:szCs w:val="24"/>
          <w:highlight w:val="none"/>
          <w:u w:val="single"/>
        </w:rPr>
      </w:pPr>
      <w:r>
        <w:rPr>
          <w:rFonts w:hint="eastAsia" w:ascii="仿宋_GB2312" w:hAnsi="仿宋" w:eastAsia="仿宋_GB2312"/>
          <w:b/>
          <w:color w:val="auto"/>
          <w:sz w:val="24"/>
          <w:szCs w:val="24"/>
          <w:highlight w:val="none"/>
        </w:rPr>
        <w:t>开标时间：</w:t>
      </w:r>
      <w:r>
        <w:rPr>
          <w:rFonts w:hint="eastAsia" w:ascii="仿宋_GB2312" w:hAnsi="仿宋" w:eastAsia="仿宋_GB2312"/>
          <w:color w:val="auto"/>
          <w:sz w:val="24"/>
          <w:szCs w:val="24"/>
          <w:highlight w:val="none"/>
          <w:u w:val="single"/>
        </w:rPr>
        <w:t>202</w:t>
      </w:r>
      <w:r>
        <w:rPr>
          <w:rFonts w:hint="eastAsia" w:ascii="仿宋_GB2312" w:hAnsi="仿宋" w:eastAsia="仿宋_GB2312"/>
          <w:color w:val="auto"/>
          <w:sz w:val="24"/>
          <w:szCs w:val="24"/>
          <w:highlight w:val="none"/>
          <w:u w:val="single"/>
          <w:lang w:val="en-US" w:eastAsia="zh-CN"/>
        </w:rPr>
        <w:t>2</w:t>
      </w:r>
      <w:r>
        <w:rPr>
          <w:rFonts w:ascii="仿宋_GB2312" w:hAnsi="仿宋" w:eastAsia="仿宋_GB2312"/>
          <w:color w:val="auto"/>
          <w:sz w:val="24"/>
          <w:szCs w:val="24"/>
          <w:highlight w:val="none"/>
          <w:u w:val="single"/>
        </w:rPr>
        <w:t>年</w:t>
      </w:r>
      <w:r>
        <w:rPr>
          <w:rFonts w:hint="eastAsia" w:ascii="仿宋_GB2312" w:hAnsi="仿宋" w:eastAsia="仿宋_GB2312"/>
          <w:color w:val="auto"/>
          <w:sz w:val="24"/>
          <w:szCs w:val="24"/>
          <w:highlight w:val="none"/>
          <w:u w:val="single"/>
          <w:lang w:val="en-US" w:eastAsia="zh-CN"/>
        </w:rPr>
        <w:t>12</w:t>
      </w:r>
      <w:r>
        <w:rPr>
          <w:rFonts w:hint="eastAsia" w:ascii="仿宋_GB2312" w:hAnsi="仿宋" w:eastAsia="仿宋_GB2312"/>
          <w:color w:val="auto"/>
          <w:sz w:val="24"/>
          <w:szCs w:val="24"/>
          <w:highlight w:val="none"/>
          <w:u w:val="single"/>
        </w:rPr>
        <w:t>月</w:t>
      </w:r>
      <w:r>
        <w:rPr>
          <w:rFonts w:hint="eastAsia" w:ascii="仿宋_GB2312" w:hAnsi="仿宋" w:eastAsia="仿宋_GB2312"/>
          <w:color w:val="auto"/>
          <w:sz w:val="24"/>
          <w:szCs w:val="24"/>
          <w:highlight w:val="none"/>
          <w:u w:val="single"/>
          <w:lang w:val="en-US" w:eastAsia="zh-CN"/>
        </w:rPr>
        <w:t>6</w:t>
      </w:r>
      <w:r>
        <w:rPr>
          <w:rFonts w:hint="eastAsia" w:ascii="仿宋_GB2312" w:hAnsi="仿宋" w:eastAsia="仿宋_GB2312"/>
          <w:color w:val="auto"/>
          <w:sz w:val="24"/>
          <w:szCs w:val="24"/>
          <w:highlight w:val="none"/>
          <w:u w:val="single"/>
        </w:rPr>
        <w:t>日</w:t>
      </w:r>
      <w:r>
        <w:rPr>
          <w:rFonts w:hint="eastAsia" w:ascii="仿宋_GB2312" w:hAnsi="仿宋" w:eastAsia="仿宋_GB2312"/>
          <w:color w:val="auto"/>
          <w:sz w:val="24"/>
          <w:szCs w:val="24"/>
          <w:highlight w:val="none"/>
          <w:u w:val="single"/>
          <w:lang w:val="en-US" w:eastAsia="zh-CN"/>
        </w:rPr>
        <w:t>13</w:t>
      </w:r>
      <w:r>
        <w:rPr>
          <w:rFonts w:hint="eastAsia" w:ascii="仿宋_GB2312" w:hAnsi="仿宋" w:eastAsia="仿宋_GB2312"/>
          <w:color w:val="auto"/>
          <w:sz w:val="24"/>
          <w:szCs w:val="24"/>
          <w:highlight w:val="none"/>
          <w:u w:val="single"/>
        </w:rPr>
        <w:t>点</w:t>
      </w:r>
      <w:r>
        <w:rPr>
          <w:rFonts w:hint="eastAsia" w:ascii="仿宋_GB2312" w:hAnsi="仿宋" w:eastAsia="仿宋_GB2312"/>
          <w:color w:val="auto"/>
          <w:sz w:val="24"/>
          <w:szCs w:val="24"/>
          <w:highlight w:val="none"/>
          <w:u w:val="single"/>
          <w:lang w:val="en-US" w:eastAsia="zh-CN"/>
        </w:rPr>
        <w:t>30</w:t>
      </w:r>
      <w:r>
        <w:rPr>
          <w:rFonts w:hint="eastAsia" w:ascii="仿宋_GB2312" w:hAnsi="仿宋" w:eastAsia="仿宋_GB2312"/>
          <w:color w:val="auto"/>
          <w:sz w:val="24"/>
          <w:szCs w:val="24"/>
          <w:highlight w:val="none"/>
          <w:u w:val="single"/>
        </w:rPr>
        <w:t>分</w:t>
      </w:r>
      <w:r>
        <w:rPr>
          <w:rFonts w:hint="eastAsia" w:ascii="仿宋_GB2312" w:hAnsi="仿宋" w:eastAsia="仿宋_GB2312"/>
          <w:bCs/>
          <w:color w:val="auto"/>
          <w:sz w:val="24"/>
          <w:szCs w:val="24"/>
          <w:highlight w:val="none"/>
          <w:u w:val="single"/>
        </w:rPr>
        <w:t xml:space="preserve">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开标地点（网址）：</w:t>
      </w:r>
      <w:r>
        <w:rPr>
          <w:rFonts w:ascii="仿宋_GB2312" w:hAnsi="仿宋" w:eastAsia="仿宋_GB2312"/>
          <w:color w:val="auto"/>
          <w:sz w:val="24"/>
          <w:szCs w:val="24"/>
          <w:highlight w:val="none"/>
        </w:rPr>
        <w:t>政</w:t>
      </w:r>
      <w:r>
        <w:rPr>
          <w:rFonts w:hint="eastAsia" w:ascii="仿宋_GB2312" w:hAnsi="仿宋" w:eastAsia="仿宋_GB2312"/>
          <w:color w:val="auto"/>
          <w:sz w:val="24"/>
          <w:szCs w:val="24"/>
          <w:highlight w:val="none"/>
        </w:rPr>
        <w:t>采云平台（</w:t>
      </w:r>
      <w:r>
        <w:rPr>
          <w:rFonts w:ascii="仿宋_GB2312" w:hAnsi="仿宋" w:eastAsia="仿宋_GB2312"/>
          <w:color w:val="auto"/>
          <w:sz w:val="24"/>
          <w:szCs w:val="24"/>
          <w:highlight w:val="none"/>
        </w:rPr>
        <w:t>https://www.zcygov.cn/）</w:t>
      </w:r>
    </w:p>
    <w:p>
      <w:pPr>
        <w:spacing w:line="360" w:lineRule="auto"/>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五、公告期限</w:t>
      </w:r>
      <w:r>
        <w:rPr>
          <w:rFonts w:ascii="仿宋_GB2312" w:hAnsi="仿宋" w:eastAsia="仿宋_GB2312"/>
          <w:b/>
          <w:color w:val="auto"/>
          <w:sz w:val="24"/>
          <w:szCs w:val="24"/>
          <w:highlight w:val="none"/>
        </w:rPr>
        <w:t xml:space="preserve"> </w:t>
      </w: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自本公告发布之日起</w:t>
      </w:r>
      <w:r>
        <w:rPr>
          <w:rFonts w:ascii="仿宋_GB2312" w:hAnsi="仿宋" w:eastAsia="仿宋_GB2312"/>
          <w:color w:val="auto"/>
          <w:sz w:val="24"/>
          <w:szCs w:val="24"/>
          <w:highlight w:val="none"/>
        </w:rPr>
        <w:t>5个工作日。</w:t>
      </w:r>
    </w:p>
    <w:p>
      <w:pPr>
        <w:spacing w:line="360" w:lineRule="auto"/>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六、其他补充事宜</w:t>
      </w:r>
      <w:bookmarkStart w:id="505" w:name="_GoBack"/>
      <w:bookmarkEnd w:id="505"/>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szCs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szCs w:val="24"/>
          <w:highlight w:val="none"/>
        </w:rPr>
      </w:pPr>
      <w:r>
        <w:rPr>
          <w:rFonts w:hint="eastAsia" w:ascii="仿宋_GB2312" w:hAnsi="仿宋" w:eastAsia="仿宋_GB2312"/>
          <w:color w:val="auto"/>
          <w:sz w:val="24"/>
          <w:szCs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szCs w:val="24"/>
          <w:highlight w:val="none"/>
        </w:rPr>
        <w:t>电子招投标的说明：</w:t>
      </w:r>
      <w:r>
        <w:rPr>
          <w:rFonts w:hint="eastAsia" w:ascii="仿宋_GB2312" w:hAnsi="仿宋" w:eastAsia="仿宋_GB2312" w:cs="仿宋_GB2312"/>
          <w:color w:val="auto"/>
          <w:sz w:val="24"/>
          <w:szCs w:val="24"/>
          <w:highlight w:val="none"/>
        </w:rPr>
        <w:t>①</w:t>
      </w:r>
      <w:r>
        <w:rPr>
          <w:rFonts w:ascii="仿宋_GB2312" w:hAnsi="仿宋" w:eastAsia="仿宋_GB2312" w:cs="仿宋_GB2312"/>
          <w:color w:val="auto"/>
          <w:sz w:val="24"/>
          <w:szCs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szCs w:val="24"/>
          <w:highlight w:val="none"/>
        </w:rPr>
        <w:t>；②</w:t>
      </w:r>
      <w:r>
        <w:rPr>
          <w:rFonts w:ascii="仿宋_GB2312" w:hAnsi="仿宋" w:eastAsia="仿宋_GB2312" w:cs="仿宋_GB2312"/>
          <w:color w:val="auto"/>
          <w:sz w:val="24"/>
          <w:szCs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szCs w:val="24"/>
          <w:highlight w:val="none"/>
        </w:rPr>
        <w:t>采云电子交易客户端”</w:t>
      </w:r>
      <w:r>
        <w:rPr>
          <w:rFonts w:ascii="仿宋_GB2312" w:hAnsi="仿宋" w:eastAsia="仿宋_GB2312" w:cs="仿宋_GB2312"/>
          <w:color w:val="auto"/>
          <w:sz w:val="24"/>
          <w:szCs w:val="24"/>
          <w:highlight w:val="none"/>
        </w:rPr>
        <w:t>----前往“浙江政府采购网-下载专区-电子交易客户端”进行下载并安装</w:t>
      </w:r>
      <w:r>
        <w:rPr>
          <w:rFonts w:hint="eastAsia" w:ascii="仿宋_GB2312" w:hAnsi="仿宋" w:eastAsia="仿宋_GB2312" w:cs="仿宋_GB2312"/>
          <w:color w:val="auto"/>
          <w:sz w:val="24"/>
          <w:szCs w:val="24"/>
          <w:highlight w:val="none"/>
        </w:rPr>
        <w:t>；③</w:t>
      </w:r>
      <w:r>
        <w:rPr>
          <w:rFonts w:ascii="仿宋_GB2312" w:hAnsi="仿宋" w:eastAsia="仿宋_GB2312" w:cs="仿宋_GB2312"/>
          <w:color w:val="auto"/>
          <w:sz w:val="24"/>
          <w:szCs w:val="24"/>
          <w:highlight w:val="none"/>
        </w:rPr>
        <w:t>招标文件的获取：使用账号登录或者使用CA登录政</w:t>
      </w:r>
      <w:r>
        <w:rPr>
          <w:rFonts w:hint="eastAsia" w:ascii="仿宋_GB2312" w:hAnsi="仿宋" w:eastAsia="仿宋_GB2312" w:cs="仿宋_GB2312"/>
          <w:color w:val="auto"/>
          <w:sz w:val="24"/>
          <w:szCs w:val="24"/>
          <w:highlight w:val="none"/>
        </w:rPr>
        <w:t>采云平台；进入“项目采购”应用，在获取采购文件菜单中选择项目，获取招标文件；④</w:t>
      </w:r>
      <w:r>
        <w:rPr>
          <w:rFonts w:ascii="仿宋_GB2312" w:hAnsi="仿宋" w:eastAsia="仿宋_GB2312" w:cs="仿宋_GB2312"/>
          <w:color w:val="auto"/>
          <w:sz w:val="24"/>
          <w:szCs w:val="24"/>
          <w:highlight w:val="none"/>
        </w:rPr>
        <w:t>投标文件的制作：在“政</w:t>
      </w:r>
      <w:r>
        <w:rPr>
          <w:rFonts w:hint="eastAsia" w:ascii="仿宋_GB2312" w:hAnsi="仿宋" w:eastAsia="仿宋_GB2312" w:cs="仿宋_GB2312"/>
          <w:color w:val="auto"/>
          <w:sz w:val="24"/>
          <w:szCs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szCs w:val="24"/>
          <w:highlight w:val="none"/>
        </w:rPr>
        <w:t>⑤</w:t>
      </w:r>
      <w:r>
        <w:rPr>
          <w:rFonts w:ascii="仿宋_GB2312" w:hAnsi="仿宋" w:eastAsia="仿宋_GB2312"/>
          <w:color w:val="auto"/>
          <w:sz w:val="24"/>
          <w:szCs w:val="24"/>
          <w:highlight w:val="none"/>
        </w:rPr>
        <w:t>采购人、采购机构将依托政</w:t>
      </w:r>
      <w:r>
        <w:rPr>
          <w:rFonts w:hint="eastAsia" w:ascii="仿宋_GB2312" w:hAnsi="仿宋" w:eastAsia="仿宋_GB2312"/>
          <w:color w:val="auto"/>
          <w:sz w:val="24"/>
          <w:szCs w:val="24"/>
          <w:highlight w:val="none"/>
        </w:rPr>
        <w:t>采云平台完成本项目的电子交易活动，平台不接受未按上述方式获取招标文件的供应商进行投标活动；</w:t>
      </w: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⑥</w:t>
      </w:r>
      <w:r>
        <w:rPr>
          <w:rFonts w:ascii="仿宋_GB2312" w:hAnsi="仿宋" w:eastAsia="仿宋_GB2312"/>
          <w:color w:val="auto"/>
          <w:sz w:val="24"/>
          <w:szCs w:val="24"/>
          <w:highlight w:val="none"/>
        </w:rPr>
        <w:t>对未按上述方式获取招标文件的供应商对该文件提出的质疑，采购人或采购代理机构将</w:t>
      </w:r>
      <w:r>
        <w:rPr>
          <w:rFonts w:hint="eastAsia" w:ascii="仿宋_GB2312" w:hAnsi="仿宋" w:eastAsia="仿宋_GB2312"/>
          <w:color w:val="auto"/>
          <w:sz w:val="24"/>
          <w:szCs w:val="24"/>
          <w:highlight w:val="none"/>
        </w:rPr>
        <w:t>不予处理；⑦</w:t>
      </w:r>
      <w:r>
        <w:rPr>
          <w:rFonts w:ascii="仿宋_GB2312" w:hAnsi="仿宋" w:eastAsia="仿宋_GB2312"/>
          <w:color w:val="auto"/>
          <w:sz w:val="24"/>
          <w:szCs w:val="24"/>
          <w:highlight w:val="none"/>
        </w:rPr>
        <w:t>不提供招标文件纸质版</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sz w:val="24"/>
          <w:szCs w:val="24"/>
          <w:highlight w:val="none"/>
        </w:rPr>
        <w:t>⑧</w:t>
      </w:r>
      <w:r>
        <w:rPr>
          <w:rFonts w:ascii="仿宋_GB2312" w:hAnsi="仿宋" w:eastAsia="仿宋_GB2312" w:cs="仿宋_GB2312"/>
          <w:color w:val="auto"/>
          <w:sz w:val="24"/>
          <w:szCs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szCs w:val="24"/>
          <w:highlight w:val="none"/>
        </w:rPr>
        <w:t>；</w:t>
      </w:r>
      <w:r>
        <w:rPr>
          <w:rFonts w:hint="eastAsia" w:ascii="仿宋_GB2312" w:hAnsi="仿宋" w:eastAsia="仿宋_GB2312"/>
          <w:color w:val="auto"/>
          <w:sz w:val="24"/>
          <w:szCs w:val="24"/>
          <w:highlight w:val="none"/>
        </w:rPr>
        <w:t>⑨</w:t>
      </w:r>
      <w:r>
        <w:rPr>
          <w:rFonts w:hint="eastAsia" w:ascii="仿宋_GB2312" w:hAnsi="仿宋" w:eastAsia="仿宋_GB2312" w:cs="仿宋_GB2312"/>
          <w:color w:val="auto"/>
          <w:sz w:val="24"/>
          <w:szCs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szCs w:val="24"/>
          <w:highlight w:val="none"/>
        </w:rPr>
        <w:t>具体操作指南：详见政</w:t>
      </w:r>
      <w:r>
        <w:rPr>
          <w:rFonts w:hint="eastAsia" w:ascii="仿宋_GB2312" w:hAnsi="仿宋" w:eastAsia="仿宋_GB2312" w:cs="仿宋_GB2312"/>
          <w:color w:val="auto"/>
          <w:sz w:val="24"/>
          <w:szCs w:val="24"/>
          <w:highlight w:val="none"/>
        </w:rPr>
        <w:t>采云平台“服务中心</w:t>
      </w:r>
      <w:r>
        <w:rPr>
          <w:rFonts w:ascii="仿宋_GB2312" w:hAnsi="仿宋" w:eastAsia="仿宋_GB2312" w:cs="仿宋_GB2312"/>
          <w:color w:val="auto"/>
          <w:sz w:val="24"/>
          <w:szCs w:val="24"/>
          <w:highlight w:val="none"/>
        </w:rPr>
        <w:t>-帮助文档-项目采购-操作流程-电子招投标-政府采购项目电子交易管理操作指南-供应商”。</w:t>
      </w:r>
    </w:p>
    <w:p>
      <w:pPr>
        <w:pStyle w:val="60"/>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400" w:lineRule="atLeast"/>
        <w:ind w:left="0" w:right="0"/>
        <w:jc w:val="both"/>
        <w:textAlignment w:val="auto"/>
        <w:rPr>
          <w:rFonts w:hint="eastAsia" w:ascii="仿宋" w:hAnsi="仿宋" w:eastAsia="仿宋" w:cs="仿宋"/>
          <w:color w:val="auto"/>
          <w:sz w:val="24"/>
          <w:szCs w:val="24"/>
          <w:highlight w:val="none"/>
        </w:rPr>
      </w:pPr>
      <w:r>
        <w:rPr>
          <w:rStyle w:val="72"/>
          <w:rFonts w:hint="eastAsia" w:ascii="仿宋" w:hAnsi="仿宋" w:eastAsia="仿宋" w:cs="仿宋"/>
          <w:i w:val="0"/>
          <w:iCs w:val="0"/>
          <w:caps w:val="0"/>
          <w:color w:val="auto"/>
          <w:spacing w:val="0"/>
          <w:sz w:val="24"/>
          <w:szCs w:val="24"/>
          <w:highlight w:val="none"/>
          <w:lang w:val="en-US" w:eastAsia="zh-CN"/>
        </w:rPr>
        <w:t>七</w:t>
      </w:r>
      <w:r>
        <w:rPr>
          <w:rStyle w:val="72"/>
          <w:rFonts w:hint="eastAsia" w:ascii="仿宋" w:hAnsi="仿宋" w:eastAsia="仿宋" w:cs="仿宋"/>
          <w:i w:val="0"/>
          <w:iCs w:val="0"/>
          <w:caps w:val="0"/>
          <w:color w:val="auto"/>
          <w:spacing w:val="0"/>
          <w:sz w:val="24"/>
          <w:szCs w:val="24"/>
          <w:highlight w:val="none"/>
        </w:rPr>
        <w:t>、对本次采购提出询问、质疑、投诉，请按以下方式联系</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1.采购人信息</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名    称：杭州市余杭区人民政府仓前街道办事处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地    址：仓前街道向往街1008号乐富海邦园18幢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项目联系人（询问）：林程奇</w:t>
      </w:r>
      <w:r>
        <w:rPr>
          <w:rFonts w:hint="eastAsia" w:ascii="仿宋" w:hAnsi="仿宋" w:eastAsia="仿宋" w:cs="仿宋"/>
          <w:i w:val="0"/>
          <w:iCs w:val="0"/>
          <w:caps w:val="0"/>
          <w:color w:val="auto"/>
          <w:spacing w:val="0"/>
          <w:sz w:val="24"/>
          <w:szCs w:val="24"/>
          <w:highlight w:val="none"/>
          <w:lang w:val="en-US" w:eastAsia="zh-CN"/>
        </w:rPr>
        <w:t xml:space="preserve">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firstLine="240" w:firstLine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项目联系方式（询问）： 18367119758</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firstLine="240" w:firstLine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质疑联系人：王天玉</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 xml:space="preserve">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firstLine="240" w:firstLine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质疑联系方式：13738161665</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rPr>
        <w:br w:type="textWrapping"/>
      </w:r>
      <w:r>
        <w:rPr>
          <w:rFonts w:hint="eastAsia" w:ascii="仿宋" w:hAnsi="仿宋" w:eastAsia="仿宋" w:cs="仿宋"/>
          <w:i w:val="0"/>
          <w:iCs w:val="0"/>
          <w:caps w:val="0"/>
          <w:color w:val="auto"/>
          <w:spacing w:val="0"/>
          <w:sz w:val="24"/>
          <w:szCs w:val="24"/>
          <w:highlight w:val="none"/>
        </w:rPr>
        <w:t>    2.采购代理机构信息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名    称：浙江中际工程项目管理有限公司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地    址：杭州市临平区南苑街道嘉信国际6楼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项目联系人（询问）：郑泽瑶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项目联系方式（询问）：13735410713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质疑联系人：周杨威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质疑联系方式：13362030720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rPr>
        <w:br w:type="textWrapping"/>
      </w:r>
      <w:r>
        <w:rPr>
          <w:rFonts w:hint="eastAsia" w:ascii="仿宋" w:hAnsi="仿宋" w:eastAsia="仿宋" w:cs="仿宋"/>
          <w:i w:val="0"/>
          <w:iCs w:val="0"/>
          <w:caps w:val="0"/>
          <w:color w:val="auto"/>
          <w:spacing w:val="0"/>
          <w:sz w:val="24"/>
          <w:szCs w:val="24"/>
          <w:highlight w:val="none"/>
        </w:rPr>
        <w:t>    3.同级政府采购监督管理部门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名    称：杭州市余杭区财政局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地    址：杭州市余杭区</w:t>
      </w:r>
      <w:r>
        <w:rPr>
          <w:rFonts w:hint="eastAsia" w:ascii="仿宋" w:hAnsi="仿宋" w:eastAsia="仿宋" w:cs="仿宋"/>
          <w:i w:val="0"/>
          <w:iCs w:val="0"/>
          <w:caps w:val="0"/>
          <w:color w:val="auto"/>
          <w:spacing w:val="0"/>
          <w:sz w:val="24"/>
          <w:szCs w:val="24"/>
          <w:highlight w:val="none"/>
          <w:lang w:val="en-US" w:eastAsia="zh-CN"/>
        </w:rPr>
        <w:t>文一西路1500号8号楼1201室</w:t>
      </w:r>
      <w:r>
        <w:rPr>
          <w:rFonts w:hint="eastAsia" w:ascii="仿宋" w:hAnsi="仿宋" w:eastAsia="仿宋" w:cs="仿宋"/>
          <w:i w:val="0"/>
          <w:iCs w:val="0"/>
          <w:caps w:val="0"/>
          <w:color w:val="auto"/>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联系人 ：杜国强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监督投诉电话：0571-88728858           </w:t>
      </w:r>
      <w:r>
        <w:rPr>
          <w:rFonts w:hint="eastAsia" w:ascii="仿宋" w:hAnsi="仿宋" w:eastAsia="仿宋" w:cs="仿宋"/>
          <w:i w:val="0"/>
          <w:iCs w:val="0"/>
          <w:caps w:val="0"/>
          <w:color w:val="auto"/>
          <w:spacing w:val="0"/>
          <w:sz w:val="24"/>
          <w:szCs w:val="24"/>
          <w:highlight w:val="none"/>
        </w:rPr>
        <w:br w:type="textWrapping"/>
      </w:r>
      <w:r>
        <w:rPr>
          <w:rFonts w:hint="eastAsia" w:ascii="仿宋" w:hAnsi="仿宋" w:eastAsia="仿宋" w:cs="仿宋"/>
          <w:i w:val="0"/>
          <w:iCs w:val="0"/>
          <w:caps w:val="0"/>
          <w:color w:val="auto"/>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keepNext w:val="0"/>
        <w:keepLines w:val="0"/>
        <w:pageBreakBefore w:val="0"/>
        <w:widowControl/>
        <w:suppressLineNumbers w:val="0"/>
        <w:kinsoku/>
        <w:wordWrap/>
        <w:overflowPunct/>
        <w:topLinePunct w:val="0"/>
        <w:autoSpaceDE/>
        <w:autoSpaceDN/>
        <w:bidi w:val="0"/>
        <w:adjustRightInd w:val="0"/>
        <w:snapToGrid/>
        <w:spacing w:line="400" w:lineRule="atLeast"/>
        <w:ind w:left="0" w:firstLine="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val="0"/>
        <w:snapToGrid/>
        <w:spacing w:line="400" w:lineRule="atLeast"/>
        <w:ind w:left="0" w:firstLine="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CA问题联系电话（人工）：汇信CA 400-888-4636；天谷CA 400-087-8198。</w:t>
      </w: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7"/>
      <w:r>
        <w:rPr>
          <w:rFonts w:hint="eastAsia" w:asciiTheme="majorEastAsia" w:hAnsiTheme="majorEastAsia" w:eastAsiaTheme="majorEastAsia" w:cstheme="majorEastAsia"/>
          <w:b/>
          <w:color w:val="auto"/>
          <w:sz w:val="36"/>
          <w:szCs w:val="20"/>
          <w:highlight w:val="none"/>
        </w:rPr>
        <w:t xml:space="preserve"> 投标人须知</w:t>
      </w:r>
      <w:bookmarkEnd w:id="8"/>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color w:val="auto"/>
                <w:sz w:val="24"/>
                <w:highlight w:val="none"/>
              </w:rPr>
              <w:t>开标一览表（报价表）是报价的唯一载体</w:t>
            </w:r>
            <w:r>
              <w:rPr>
                <w:rFonts w:hint="eastAsia" w:asciiTheme="majorEastAsia" w:hAnsiTheme="majorEastAsia" w:eastAsiaTheme="majorEastAsia" w:cstheme="majorEastAsia"/>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pPr>
              <w:spacing w:line="360" w:lineRule="auto"/>
              <w:ind w:firstLine="241"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snapToGrid w:val="0"/>
                <w:color w:val="auto"/>
                <w:kern w:val="28"/>
                <w:sz w:val="24"/>
                <w:highlight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否；☐是，检测机构的要求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B组织。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w:t>
            </w:r>
            <w:r>
              <w:rPr>
                <w:rFonts w:hint="eastAsia" w:asciiTheme="majorEastAsia" w:hAnsiTheme="majorEastAsia" w:eastAsiaTheme="majorEastAsia" w:cstheme="majorEastAsia"/>
                <w:b/>
                <w:bCs/>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本项目不允许采购进口产品。</w:t>
            </w:r>
          </w:p>
          <w:p>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B</w:t>
            </w:r>
            <w:r>
              <w:rPr>
                <w:rFonts w:hint="eastAsia" w:asciiTheme="majorEastAsia" w:hAnsiTheme="majorEastAsia" w:eastAsiaTheme="majorEastAsia" w:cstheme="maj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color w:val="auto"/>
                <w:kern w:val="0"/>
                <w:sz w:val="24"/>
                <w:highlight w:val="none"/>
                <w:lang w:eastAsia="zh-CN"/>
              </w:rPr>
              <w:t>综合养护</w:t>
            </w:r>
            <w:r>
              <w:rPr>
                <w:rFonts w:hint="eastAsia" w:asciiTheme="majorEastAsia" w:hAnsiTheme="majorEastAsia" w:eastAsiaTheme="majorEastAsia" w:cstheme="majorEastAsia"/>
                <w:color w:val="auto"/>
                <w:kern w:val="0"/>
                <w:sz w:val="24"/>
                <w:highlight w:val="none"/>
              </w:rPr>
              <w:t>服务，属于物业管理类；具体详见《中小企业划型标准规定》。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kern w:val="28"/>
                <w:sz w:val="24"/>
                <w:szCs w:val="24"/>
                <w:highlight w:val="none"/>
                <w:lang w:eastAsia="zh-CN"/>
              </w:rPr>
              <w:t>杭州市临平区南苑街道嘉信国际6楼</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highlight w:val="none"/>
                <w:u w:val="single"/>
                <w:lang w:val="en-US" w:eastAsia="zh-CN"/>
              </w:rPr>
              <w:t>13362030720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eastAsia="仿宋" w:asciiTheme="majorEastAsia" w:hAnsiTheme="majorEastAsia" w:cstheme="majorEastAsia"/>
                <w:snapToGrid w:val="0"/>
                <w:color w:val="auto"/>
                <w:kern w:val="28"/>
                <w:sz w:val="24"/>
                <w:highlight w:val="none"/>
                <w:lang w:eastAsia="zh-CN"/>
              </w:rPr>
            </w:pPr>
            <w:r>
              <w:rPr>
                <w:rFonts w:hint="eastAsia" w:ascii="宋体" w:hAnsi="宋体" w:eastAsia="宋体" w:cs="宋体"/>
                <w:b/>
                <w:snapToGrid w:val="0"/>
                <w:color w:val="auto"/>
                <w:kern w:val="28"/>
                <w:sz w:val="24"/>
                <w:highlight w:val="none"/>
                <w:lang w:eastAsia="zh-CN"/>
              </w:rPr>
              <w:t>本次招标分</w:t>
            </w:r>
            <w:r>
              <w:rPr>
                <w:rFonts w:hint="eastAsia" w:ascii="宋体" w:hAnsi="宋体" w:eastAsia="宋体" w:cs="宋体"/>
                <w:b/>
                <w:snapToGrid w:val="0"/>
                <w:color w:val="auto"/>
                <w:kern w:val="28"/>
                <w:sz w:val="24"/>
                <w:highlight w:val="none"/>
                <w:lang w:val="en-US" w:eastAsia="zh-CN"/>
              </w:rPr>
              <w:t>1、</w:t>
            </w:r>
            <w:r>
              <w:rPr>
                <w:rFonts w:hint="eastAsia" w:ascii="宋体" w:hAnsi="宋体" w:cs="宋体"/>
                <w:b/>
                <w:snapToGrid w:val="0"/>
                <w:color w:val="auto"/>
                <w:kern w:val="28"/>
                <w:sz w:val="24"/>
                <w:highlight w:val="none"/>
                <w:lang w:val="en-US" w:eastAsia="zh-CN"/>
              </w:rPr>
              <w:t>仓前街道2023-2024年西站枢纽移交区块（绿汀路-东西大道）综合养护项目</w:t>
            </w:r>
            <w:r>
              <w:rPr>
                <w:rFonts w:hint="eastAsia" w:ascii="宋体" w:hAnsi="宋体" w:eastAsia="宋体" w:cs="宋体"/>
                <w:b/>
                <w:snapToGrid w:val="0"/>
                <w:color w:val="auto"/>
                <w:kern w:val="28"/>
                <w:sz w:val="24"/>
                <w:highlight w:val="none"/>
                <w:lang w:eastAsia="zh-CN"/>
              </w:rPr>
              <w:t>；</w:t>
            </w:r>
            <w:r>
              <w:rPr>
                <w:rFonts w:hint="eastAsia" w:ascii="宋体" w:hAnsi="宋体" w:eastAsia="宋体" w:cs="宋体"/>
                <w:b/>
                <w:snapToGrid w:val="0"/>
                <w:color w:val="auto"/>
                <w:kern w:val="28"/>
                <w:sz w:val="24"/>
                <w:highlight w:val="none"/>
                <w:lang w:val="en-US" w:eastAsia="zh-CN"/>
              </w:rPr>
              <w:t>2、仓前街道2023-2024年西站枢纽移交区块（绿汀路-东西大道）综合养护项目，3、仓前街道2023-2024年西站枢纽移交区块（公园绿化河道公厕）综合养护项目三</w:t>
            </w:r>
            <w:r>
              <w:rPr>
                <w:rFonts w:hint="eastAsia" w:ascii="宋体" w:hAnsi="宋体" w:eastAsia="宋体" w:cs="宋体"/>
                <w:b/>
                <w:snapToGrid w:val="0"/>
                <w:color w:val="auto"/>
                <w:kern w:val="28"/>
                <w:sz w:val="24"/>
                <w:highlight w:val="none"/>
                <w:lang w:eastAsia="zh-CN"/>
              </w:rPr>
              <w:t>个项目，供应商可选择其中一个或多个标项进行投标，但只能中其中一个标项，中标顺序按</w:t>
            </w:r>
            <w:r>
              <w:rPr>
                <w:rFonts w:hint="eastAsia" w:ascii="宋体" w:hAnsi="宋体" w:eastAsia="宋体" w:cs="宋体"/>
                <w:b/>
                <w:snapToGrid w:val="0"/>
                <w:color w:val="auto"/>
                <w:kern w:val="28"/>
                <w:sz w:val="24"/>
                <w:highlight w:val="none"/>
                <w:lang w:val="en-US" w:eastAsia="zh-CN"/>
              </w:rPr>
              <w:t>开标的先后顺序确定，</w:t>
            </w:r>
            <w:r>
              <w:rPr>
                <w:rFonts w:hint="eastAsia" w:ascii="宋体" w:hAnsi="宋体" w:eastAsia="宋体" w:cs="宋体"/>
                <w:b/>
                <w:snapToGrid w:val="0"/>
                <w:color w:val="auto"/>
                <w:kern w:val="28"/>
                <w:sz w:val="24"/>
                <w:highlight w:val="none"/>
                <w:lang w:eastAsia="zh-CN"/>
              </w:rPr>
              <w:t>如供应商前一个标项已经被确定为该标项的第一中标候选人，则后续标项将不被推荐为中标候选人；以此类推。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color w:val="auto"/>
                <w:sz w:val="24"/>
                <w:highlight w:val="none"/>
              </w:rPr>
              <w:t>供应商以联合体形式投标的：按采购文件要求提供联合协议，联合体投标的联合体各方承担连带责任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 xml:space="preserve">联合体成 </w:t>
            </w:r>
          </w:p>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员（含联合体牵头人）不得超过 3 个。</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宋体" w:hAnsi="宋体" w:eastAsia="宋体" w:cs="宋体"/>
                <w:b/>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bookmarkStart w:id="10" w:name="第三部分"/>
      <w:bookmarkStart w:id="11" w:name="_Toc164416483"/>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“采购机构”系指招标公告中载明的本项目的采购机构。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2.6“电子交易平台”是指本项目政府采购活动所依托的政府采购云平台（https://www.zcygov.cn/）。</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系指实质性要求条款，“★”系产品采购项目中单一产品或核心产品，“</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 系指适用本项目的要求，“</w:t>
      </w: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sz w:val="24"/>
          <w:highlight w:val="none"/>
        </w:rPr>
        <w:t>” 系指不适用本项目的要求。</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sz w:val="24"/>
          <w:highlight w:val="none"/>
        </w:rPr>
        <w:t>4. 询问、质疑、投诉</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4.1供应商询问</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Theme="majorEastAsia" w:hAnsiTheme="majorEastAsia" w:eastAsiaTheme="majorEastAsia" w:cstheme="majorEastAsia"/>
          <w:color w:val="auto"/>
          <w:kern w:val="2"/>
          <w:sz w:val="24"/>
          <w:highlight w:val="none"/>
        </w:rPr>
      </w:pPr>
      <w:r>
        <w:rPr>
          <w:rFonts w:hint="eastAsia" w:asciiTheme="majorEastAsia" w:hAnsiTheme="majorEastAsia" w:eastAsiaTheme="majorEastAsia" w:cstheme="majorEastAsia"/>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4.2.3.2质疑项目的名称、编号；</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4.2.3.4事实依据；</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4.2.3.5必要的法律依据；</w:t>
      </w:r>
    </w:p>
    <w:p>
      <w:pPr>
        <w:pStyle w:val="35"/>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4.2.3.6提出质疑的日期。</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4.3供应商投诉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pPr>
        <w:pStyle w:val="89"/>
        <w:snapToGrid w:val="0"/>
        <w:spacing w:before="0"/>
        <w:ind w:firstLine="360"/>
        <w:rPr>
          <w:rFonts w:hint="eastAsia" w:asciiTheme="majorEastAsia" w:hAnsiTheme="majorEastAsia" w:eastAsiaTheme="majorEastAsia" w:cstheme="majorEastAsia"/>
          <w:color w:val="auto"/>
          <w:sz w:val="18"/>
          <w:szCs w:val="18"/>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6.1已获取招标文件的潜在投标人，若有问题需要澄清，应于投标截止时间前，以书面形式向采购机构提出。</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pPr>
        <w:pStyle w:val="5"/>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11.1.2落实政府采购政策需满足的资格要求；</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11.1.3本项目的特定资格要求。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11.2.3联合协议；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11.2.4分包意向协议；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11.2.5符合性审查资料；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11.2.6评标标准相应的商务技术资料；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11.3.2报价明细清单；</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w:t>
      </w:r>
    </w:p>
    <w:p>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pPr>
        <w:pStyle w:val="89"/>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pPr>
        <w:pStyle w:val="89"/>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pPr>
        <w:pStyle w:val="89"/>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pPr>
        <w:pStyle w:val="35"/>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15.5投标人仅提交备份投标文件，没有在电子交易平台传输递交投标文件的，投标无效。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pPr>
        <w:pStyle w:val="26"/>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highlight w:val="none"/>
        </w:rPr>
        <w:t>第13项规定</w:t>
      </w:r>
      <w:r>
        <w:rPr>
          <w:rFonts w:hint="eastAsia" w:asciiTheme="majorEastAsia" w:hAnsiTheme="majorEastAsia" w:eastAsiaTheme="majorEastAsia" w:cstheme="majorEastAsia"/>
          <w:color w:val="auto"/>
          <w:szCs w:val="21"/>
          <w:highlight w:val="none"/>
        </w:rPr>
        <w:t>的情形之一的，投标无效：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Theme="majorEastAsia" w:hAnsiTheme="majorEastAsia" w:eastAsiaTheme="majorEastAsia" w:cstheme="majorEastAsia"/>
          <w:b/>
          <w:color w:val="auto"/>
          <w:sz w:val="32"/>
          <w:highlight w:val="none"/>
        </w:rPr>
      </w:pPr>
    </w:p>
    <w:p>
      <w:pPr>
        <w:pStyle w:val="89"/>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pPr>
        <w:pStyle w:val="244"/>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pPr>
        <w:pStyle w:val="244"/>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19.2</w:t>
      </w:r>
      <w:r>
        <w:rPr>
          <w:rFonts w:hint="eastAsia" w:asciiTheme="majorEastAsia" w:hAnsiTheme="majorEastAsia" w:eastAsiaTheme="majorEastAsia" w:cstheme="majorEastAsia"/>
          <w:color w:val="auto"/>
          <w:sz w:val="24"/>
          <w:highlight w:val="none"/>
        </w:rPr>
        <w:t>采购人或采购机构依据法律法规和招标文件的规定，对投标人的基本资格条件、特定资格条件进行审查。</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19.3投标人未按照招标文件要求提供与</w:t>
      </w:r>
      <w:r>
        <w:rPr>
          <w:rFonts w:hint="eastAsia" w:asciiTheme="majorEastAsia" w:hAnsiTheme="majorEastAsia" w:eastAsiaTheme="majorEastAsia" w:cstheme="majorEastAsia"/>
          <w:color w:val="auto"/>
          <w:highlight w:val="none"/>
        </w:rPr>
        <w:t>基本资格条件、特定资格条件相应的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4对未通过资格审查的投标人，采购人或采购机构告知其未通过的原因。</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5合格投标人不足3家的，不再评标。</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pPr>
        <w:pStyle w:val="89"/>
        <w:spacing w:before="0"/>
        <w:ind w:firstLine="0" w:firstLineChars="0"/>
        <w:rPr>
          <w:rFonts w:hint="eastAsia" w:asciiTheme="majorEastAsia" w:hAnsiTheme="majorEastAsia" w:eastAsiaTheme="majorEastAsia" w:cstheme="majorEastAsia"/>
          <w:color w:val="auto"/>
          <w:kern w:val="0"/>
          <w:szCs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pPr>
        <w:spacing w:line="360" w:lineRule="auto"/>
        <w:rPr>
          <w:rFonts w:hint="eastAsia" w:asciiTheme="majorEastAsia" w:hAnsiTheme="majorEastAsia" w:eastAsiaTheme="majorEastAsia" w:cstheme="majorEastAsia"/>
          <w:b/>
          <w:color w:val="auto"/>
          <w:sz w:val="24"/>
          <w:highlight w:val="none"/>
        </w:rPr>
      </w:pPr>
      <w:bookmarkStart w:id="12"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pPr>
        <w:spacing w:line="360" w:lineRule="auto"/>
        <w:rPr>
          <w:rFonts w:hint="eastAsia" w:asciiTheme="majorEastAsia" w:hAnsiTheme="majorEastAsia" w:eastAsiaTheme="majorEastAsia" w:cstheme="majorEastAsia"/>
          <w:b/>
          <w:color w:val="auto"/>
          <w:sz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pPr>
        <w:pStyle w:val="2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pPr>
        <w:pStyle w:val="89"/>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采购人将自收到评审报告之日起5个工作日内通过电子交易平台在评审报告推荐的中标候选人中按顺序确定中标供应商。</w:t>
      </w:r>
    </w:p>
    <w:p>
      <w:pPr>
        <w:pStyle w:val="89"/>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pPr>
        <w:pStyle w:val="2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pPr>
        <w:pStyle w:val="2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pPr>
        <w:pStyle w:val="89"/>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pPr>
        <w:tabs>
          <w:tab w:val="left" w:pos="0"/>
        </w:tabs>
        <w:spacing w:line="360" w:lineRule="auto"/>
        <w:ind w:firstLine="482"/>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%。鼓励和支持供应商以银行、保险公司出具的保函形式提供履约保证金。</w:t>
      </w:r>
      <w:r>
        <w:rPr>
          <w:rFonts w:hint="eastAsia" w:asciiTheme="majorEastAsia" w:hAnsiTheme="majorEastAsia" w:eastAsiaTheme="majorEastAsia" w:cstheme="majorEastAsia"/>
          <w:b/>
          <w:color w:val="auto"/>
          <w:sz w:val="24"/>
          <w:highlight w:val="none"/>
        </w:rPr>
        <w:t>采购人不得拒收履约保函。</w:t>
      </w:r>
    </w:p>
    <w:p>
      <w:pPr>
        <w:tabs>
          <w:tab w:val="left" w:pos="0"/>
        </w:tabs>
        <w:spacing w:line="360" w:lineRule="auto"/>
        <w:ind w:firstLine="482"/>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Theme="majorEastAsia" w:hAnsiTheme="majorEastAsia" w:eastAsiaTheme="majorEastAsia" w:cstheme="majorEastAsia"/>
          <w:color w:val="auto"/>
          <w:sz w:val="24"/>
          <w:szCs w:val="20"/>
          <w:highlight w:val="none"/>
          <w:lang w:val="en-US" w:eastAsia="zh-CN"/>
        </w:rPr>
        <w:t>0.5</w:t>
      </w:r>
      <w:r>
        <w:rPr>
          <w:rFonts w:hint="eastAsia" w:asciiTheme="majorEastAsia" w:hAnsiTheme="majorEastAsia" w:eastAsiaTheme="majorEastAsia" w:cstheme="majorEastAsia"/>
          <w:color w:val="auto"/>
          <w:sz w:val="24"/>
          <w:szCs w:val="20"/>
          <w:highlight w:val="none"/>
        </w:rPr>
        <w:t>%；评价总分在90分以下或者暂无评分的，收取履约保证金不得高于合同金额</w:t>
      </w:r>
      <w:r>
        <w:rPr>
          <w:rFonts w:hint="eastAsia" w:asciiTheme="majorEastAsia" w:hAnsiTheme="majorEastAsia" w:eastAsiaTheme="majorEastAsia" w:cstheme="majorEastAsia"/>
          <w:color w:val="auto"/>
          <w:sz w:val="24"/>
          <w:szCs w:val="20"/>
          <w:highlight w:val="none"/>
          <w:lang w:val="en-US" w:eastAsia="zh-CN"/>
        </w:rPr>
        <w:t>1</w:t>
      </w:r>
      <w:r>
        <w:rPr>
          <w:rFonts w:hint="eastAsia" w:asciiTheme="majorEastAsia" w:hAnsiTheme="majorEastAsia" w:eastAsiaTheme="majorEastAsia" w:cstheme="majorEastAsia"/>
          <w:color w:val="auto"/>
          <w:sz w:val="24"/>
          <w:szCs w:val="20"/>
          <w:highlight w:val="none"/>
        </w:rPr>
        <w:t>%。</w:t>
      </w:r>
    </w:p>
    <w:p>
      <w:pPr>
        <w:pStyle w:val="3"/>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b/>
          <w:color w:val="auto"/>
          <w:szCs w:val="24"/>
          <w:highlight w:val="none"/>
        </w:rPr>
        <w:t>7.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27.1电子交易平台发生故障而无法登录访问的；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27.2电子交易平台应用或数据库出现错误，不能进行正常操作的；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27.3电子交易平台发现严重安全漏洞，有潜在泄密危险的；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27.4病毒发作导致不能进行正常操作的；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27.5其他无法保证电子交易的公平、公正和安全的情况。</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pPr>
        <w:pStyle w:val="26"/>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29.验收</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29768"/>
      <w:bookmarkEnd w:id="13"/>
      <w:bookmarkStart w:id="14" w:name="_Hlt75236101"/>
      <w:bookmarkEnd w:id="14"/>
      <w:bookmarkStart w:id="15" w:name="_Hlt75236290"/>
      <w:bookmarkEnd w:id="15"/>
      <w:bookmarkStart w:id="16" w:name="_Hlt68073093"/>
      <w:bookmarkEnd w:id="16"/>
      <w:bookmarkStart w:id="17" w:name="_Hlt75236011"/>
      <w:bookmarkEnd w:id="17"/>
      <w:bookmarkStart w:id="18" w:name="_Hlt74707468"/>
      <w:bookmarkEnd w:id="18"/>
      <w:bookmarkStart w:id="19" w:name="_Hlt68072990"/>
      <w:bookmarkEnd w:id="19"/>
      <w:bookmarkStart w:id="20" w:name="_Hlt74714665"/>
      <w:bookmarkEnd w:id="20"/>
      <w:bookmarkStart w:id="21" w:name="_Hlt68403820"/>
      <w:bookmarkEnd w:id="21"/>
      <w:bookmarkStart w:id="22" w:name="_Hlt68072998"/>
      <w:bookmarkEnd w:id="22"/>
      <w:bookmarkStart w:id="23" w:name="_Hlt74730295"/>
      <w:bookmarkEnd w:id="23"/>
      <w:bookmarkStart w:id="24" w:name="_Hlt68057669"/>
      <w:bookmarkEnd w:id="24"/>
    </w:p>
    <w:bookmarkEnd w:id="10"/>
    <w:bookmarkEnd w:id="11"/>
    <w:p>
      <w:pPr>
        <w:numPr>
          <w:ilvl w:val="0"/>
          <w:numId w:val="2"/>
        </w:num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25" w:name="第四部分"/>
      <w:r>
        <w:rPr>
          <w:rFonts w:hint="eastAsia" w:asciiTheme="majorEastAsia" w:hAnsiTheme="majorEastAsia" w:eastAsiaTheme="majorEastAsia" w:cstheme="majorEastAsia"/>
          <w:b/>
          <w:color w:val="auto"/>
          <w:sz w:val="36"/>
          <w:szCs w:val="36"/>
          <w:highlight w:val="none"/>
        </w:rPr>
        <w:t xml:space="preserve">  采购需求</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lang w:val="zh-CN" w:eastAsia="zh-CN"/>
        </w:rPr>
      </w:pPr>
      <w:r>
        <w:rPr>
          <w:rFonts w:hint="eastAsia" w:asciiTheme="majorEastAsia" w:hAnsiTheme="majorEastAsia" w:eastAsiaTheme="majorEastAsia" w:cstheme="majorEastAsia"/>
          <w:b/>
          <w:bCs/>
          <w:color w:val="auto"/>
          <w:szCs w:val="24"/>
          <w:highlight w:val="none"/>
          <w:lang w:val="zh-CN" w:eastAsia="zh-CN"/>
        </w:rPr>
        <w:t>一、项目概况</w:t>
      </w:r>
    </w:p>
    <w:p>
      <w:pPr>
        <w:numPr>
          <w:ilvl w:val="0"/>
          <w:numId w:val="0"/>
        </w:numPr>
        <w:wordWrap/>
        <w:adjustRightInd/>
        <w:snapToGrid/>
        <w:spacing w:line="500" w:lineRule="exact"/>
        <w:ind w:left="-420" w:leftChars="-200" w:firstLine="840" w:firstLineChars="35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招标代理费</w:t>
      </w:r>
      <w:r>
        <w:rPr>
          <w:rFonts w:hint="eastAsia" w:asciiTheme="majorEastAsia" w:hAnsiTheme="majorEastAsia" w:eastAsiaTheme="majorEastAsia" w:cstheme="majorEastAsia"/>
          <w:color w:val="auto"/>
          <w:sz w:val="24"/>
          <w:highlight w:val="none"/>
        </w:rPr>
        <w:t>等一切费用</w:t>
      </w:r>
      <w:r>
        <w:rPr>
          <w:rFonts w:hint="eastAsia" w:asciiTheme="majorEastAsia" w:hAnsiTheme="majorEastAsia" w:eastAsiaTheme="majorEastAsia" w:cstheme="majorEastAsia"/>
          <w:color w:val="auto"/>
          <w:sz w:val="24"/>
          <w:highlight w:val="none"/>
          <w:lang w:eastAsia="zh-CN"/>
        </w:rPr>
        <w:t>。</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rPr>
      </w:pPr>
      <w:r>
        <w:rPr>
          <w:rFonts w:hint="eastAsia" w:asciiTheme="majorEastAsia" w:hAnsiTheme="majorEastAsia" w:eastAsiaTheme="majorEastAsia" w:cstheme="majorEastAsia"/>
          <w:color w:val="auto"/>
          <w:szCs w:val="24"/>
          <w:highlight w:val="none"/>
        </w:rPr>
        <w:t>二、</w:t>
      </w:r>
      <w:r>
        <w:rPr>
          <w:rFonts w:hint="eastAsia" w:asciiTheme="majorEastAsia" w:hAnsiTheme="majorEastAsia" w:eastAsiaTheme="majorEastAsia" w:cstheme="majorEastAsia"/>
          <w:b/>
          <w:bCs/>
          <w:color w:val="auto"/>
          <w:szCs w:val="24"/>
          <w:highlight w:val="none"/>
        </w:rPr>
        <w:t>服务范围：</w:t>
      </w:r>
    </w:p>
    <w:p>
      <w:pPr>
        <w:numPr>
          <w:ilvl w:val="0"/>
          <w:numId w:val="0"/>
        </w:numPr>
        <w:wordWrap/>
        <w:adjustRightInd/>
        <w:snapToGrid/>
        <w:spacing w:line="500" w:lineRule="exact"/>
        <w:ind w:left="-420" w:leftChars="-200" w:firstLine="843" w:firstLineChars="35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1、项目服务内容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仓前街道2023-2024年西站枢纽移交区块（绿汀路-东西大道）综合养护</w:t>
      </w:r>
      <w:r>
        <w:rPr>
          <w:rFonts w:hint="eastAsia" w:asciiTheme="majorEastAsia" w:hAnsiTheme="majorEastAsia" w:eastAsiaTheme="majorEastAsia" w:cstheme="majorEastAsia"/>
          <w:color w:val="auto"/>
          <w:sz w:val="24"/>
          <w:highlight w:val="none"/>
          <w:lang w:val="en-US" w:eastAsia="zh-CN"/>
        </w:rPr>
        <w:t>服务内容</w:t>
      </w:r>
      <w:r>
        <w:rPr>
          <w:rFonts w:hint="eastAsia" w:asciiTheme="majorEastAsia" w:hAnsiTheme="majorEastAsia" w:eastAsiaTheme="majorEastAsia" w:cstheme="majorEastAsia"/>
          <w:color w:val="auto"/>
          <w:sz w:val="24"/>
          <w:highlight w:val="none"/>
          <w:lang w:eastAsia="zh-CN"/>
        </w:rPr>
        <w:t>；</w:t>
      </w:r>
      <w:r>
        <w:rPr>
          <w:rFonts w:hint="eastAsia" w:asciiTheme="minorEastAsia" w:hAnsiTheme="minorEastAsia" w:eastAsiaTheme="minorEastAsia" w:cstheme="minorEastAsia"/>
          <w:bCs/>
          <w:color w:val="auto"/>
          <w:sz w:val="24"/>
          <w:szCs w:val="24"/>
          <w:highlight w:val="none"/>
          <w:shd w:val="clear" w:color="auto" w:fill="FFFFFF"/>
          <w:lang w:val="en-US" w:eastAsia="zh-CN"/>
        </w:rPr>
        <w:t>该区块道保洁面积156773平方米，市政养护121617平方米，路灯养护395盏。</w:t>
      </w: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2、招标范围及内容：</w:t>
      </w:r>
    </w:p>
    <w:p>
      <w:pPr>
        <w:numPr>
          <w:ilvl w:val="0"/>
          <w:numId w:val="0"/>
        </w:numPr>
        <w:wordWrap/>
        <w:adjustRightInd/>
        <w:snapToGrid/>
        <w:spacing w:line="500" w:lineRule="exact"/>
        <w:ind w:firstLine="3373" w:firstLineChars="1200"/>
        <w:jc w:val="both"/>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lang w:eastAsia="zh-CN"/>
        </w:rPr>
        <w:t>①</w:t>
      </w:r>
      <w:r>
        <w:rPr>
          <w:rFonts w:hint="eastAsia" w:asciiTheme="majorEastAsia" w:hAnsiTheme="majorEastAsia" w:eastAsiaTheme="majorEastAsia" w:cstheme="majorEastAsia"/>
          <w:b/>
          <w:color w:val="auto"/>
          <w:sz w:val="28"/>
          <w:szCs w:val="28"/>
          <w:highlight w:val="none"/>
        </w:rPr>
        <w:t>道路</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10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562"/>
        <w:gridCol w:w="2368"/>
        <w:gridCol w:w="1266"/>
        <w:gridCol w:w="975"/>
        <w:gridCol w:w="1601"/>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8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62"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2368"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12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道路等级</w:t>
            </w: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601"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站城北街</w:t>
            </w:r>
          </w:p>
        </w:tc>
        <w:tc>
          <w:tcPr>
            <w:tcW w:w="23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27516.3</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220" w:firstLineChars="1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23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43393 </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23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12905</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3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10200</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3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7582.4</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56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2368"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7408</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56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2368"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2540</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56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2368"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3586</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36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4756.4</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5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236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15340</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5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236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21546</w:t>
            </w:r>
          </w:p>
        </w:tc>
        <w:tc>
          <w:tcPr>
            <w:tcW w:w="160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57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018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Theme="majorEastAsia" w:hAnsiTheme="majorEastAsia" w:eastAsiaTheme="majorEastAsia" w:cstheme="majorEastAsia"/>
                <w:b/>
                <w:color w:val="auto"/>
                <w:sz w:val="24"/>
                <w:highlight w:val="none"/>
              </w:rPr>
              <w:t>：</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eastAsia="zh-CN"/>
              </w:rPr>
              <w:t>保洁</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tc>
      </w:tr>
    </w:tbl>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8"/>
          <w:szCs w:val="28"/>
          <w:highlight w:val="none"/>
          <w:lang w:val="en-US" w:eastAsia="zh-CN"/>
        </w:rPr>
      </w:pPr>
    </w:p>
    <w:p>
      <w:pPr>
        <w:numPr>
          <w:ilvl w:val="0"/>
          <w:numId w:val="0"/>
        </w:numPr>
        <w:wordWrap/>
        <w:adjustRightInd/>
        <w:snapToGrid/>
        <w:spacing w:line="500" w:lineRule="exact"/>
        <w:ind w:firstLine="3654" w:firstLineChars="1300"/>
        <w:jc w:val="both"/>
        <w:textAlignment w:val="auto"/>
        <w:rPr>
          <w:rFonts w:hint="eastAsia" w:asciiTheme="majorEastAsia" w:hAnsiTheme="majorEastAsia" w:eastAsiaTheme="majorEastAsia" w:cstheme="majorEastAsia"/>
          <w:b/>
          <w:color w:val="auto"/>
          <w:sz w:val="28"/>
          <w:szCs w:val="28"/>
          <w:highlight w:val="none"/>
          <w:lang w:val="en-US" w:eastAsia="zh-CN"/>
        </w:rPr>
      </w:pPr>
    </w:p>
    <w:p>
      <w:pPr>
        <w:numPr>
          <w:ilvl w:val="0"/>
          <w:numId w:val="0"/>
        </w:numPr>
        <w:wordWrap/>
        <w:adjustRightInd/>
        <w:snapToGrid/>
        <w:spacing w:line="500" w:lineRule="exact"/>
        <w:ind w:firstLine="3654" w:firstLineChars="13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②市政养护</w:t>
      </w:r>
      <w:r>
        <w:rPr>
          <w:rFonts w:hint="eastAsia" w:asciiTheme="majorEastAsia" w:hAnsiTheme="majorEastAsia" w:eastAsiaTheme="majorEastAsia" w:cstheme="majorEastAsia"/>
          <w:b/>
          <w:color w:val="auto"/>
          <w:sz w:val="28"/>
          <w:szCs w:val="28"/>
          <w:highlight w:val="none"/>
        </w:rPr>
        <w:t>明细表</w:t>
      </w:r>
    </w:p>
    <w:tbl>
      <w:tblPr>
        <w:tblStyle w:val="64"/>
        <w:tblW w:w="10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1668"/>
        <w:gridCol w:w="2474"/>
        <w:gridCol w:w="1062"/>
        <w:gridCol w:w="1140"/>
        <w:gridCol w:w="1350"/>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99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68"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2474"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10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道路等级</w:t>
            </w:r>
          </w:p>
        </w:tc>
        <w:tc>
          <w:tcPr>
            <w:tcW w:w="11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3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 xml:space="preserve"> </w:t>
            </w:r>
            <w:r>
              <w:rPr>
                <w:rFonts w:hint="eastAsia" w:ascii="宋体" w:hAnsi="宋体" w:eastAsia="宋体" w:cs="宋体"/>
                <w:i w:val="0"/>
                <w:iCs w:val="0"/>
                <w:color w:val="auto"/>
                <w:sz w:val="22"/>
                <w:szCs w:val="22"/>
                <w:highlight w:val="none"/>
                <w:u w:val="none"/>
              </w:rPr>
              <w:t>站城北街</w:t>
            </w:r>
          </w:p>
        </w:tc>
        <w:tc>
          <w:tcPr>
            <w:tcW w:w="24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14016.3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6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440" w:firstLineChars="2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24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28986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24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12886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4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10095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4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7191.4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66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247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7408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66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247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2508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668"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247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1500.2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8"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4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3029.6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66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24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14970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66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24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19026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3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00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Theme="majorEastAsia" w:hAnsiTheme="majorEastAsia" w:eastAsiaTheme="majorEastAsia" w:cstheme="majorEastAsia"/>
                <w:b/>
                <w:color w:val="auto"/>
                <w:sz w:val="24"/>
                <w:highlight w:val="none"/>
              </w:rPr>
              <w:t>：</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tc>
      </w:tr>
    </w:tbl>
    <w:p>
      <w:pPr>
        <w:pStyle w:val="63"/>
        <w:rPr>
          <w:rFonts w:hint="eastAsia" w:asciiTheme="majorEastAsia" w:hAnsiTheme="majorEastAsia" w:eastAsiaTheme="majorEastAsia" w:cstheme="majorEastAsia"/>
          <w:b/>
          <w:color w:val="auto"/>
          <w:sz w:val="24"/>
          <w:highlight w:val="none"/>
          <w:lang w:val="en-US" w:eastAsia="zh-CN"/>
        </w:rPr>
      </w:pPr>
    </w:p>
    <w:p>
      <w:pPr>
        <w:pStyle w:val="63"/>
        <w:ind w:firstLine="3092" w:firstLineChars="1100"/>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③路灯养护</w:t>
      </w:r>
      <w:r>
        <w:rPr>
          <w:rFonts w:hint="eastAsia" w:asciiTheme="majorEastAsia" w:hAnsiTheme="majorEastAsia" w:eastAsiaTheme="majorEastAsia" w:cstheme="majorEastAsia"/>
          <w:b/>
          <w:color w:val="auto"/>
          <w:sz w:val="28"/>
          <w:szCs w:val="28"/>
          <w:highlight w:val="none"/>
        </w:rPr>
        <w:t>明细表</w:t>
      </w:r>
    </w:p>
    <w:tbl>
      <w:tblPr>
        <w:tblStyle w:val="64"/>
        <w:tblW w:w="9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1"/>
        <w:gridCol w:w="1672"/>
        <w:gridCol w:w="2506"/>
        <w:gridCol w:w="1369"/>
        <w:gridCol w:w="745"/>
        <w:gridCol w:w="1025"/>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道路等级</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 xml:space="preserve"> </w:t>
            </w:r>
            <w:r>
              <w:rPr>
                <w:rFonts w:hint="eastAsia" w:ascii="宋体" w:hAnsi="宋体" w:eastAsia="宋体" w:cs="宋体"/>
                <w:i w:val="0"/>
                <w:iCs w:val="0"/>
                <w:color w:val="auto"/>
                <w:sz w:val="22"/>
                <w:szCs w:val="22"/>
                <w:highlight w:val="none"/>
                <w:u w:val="none"/>
              </w:rPr>
              <w:t>站城北街</w:t>
            </w: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440" w:firstLineChars="2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72"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72"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72"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5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67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250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67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250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67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250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72"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50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6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250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6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250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rPr>
              <w:t>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pStyle w:val="63"/>
        <w:rPr>
          <w:rFonts w:hint="eastAsia" w:asciiTheme="majorEastAsia" w:hAnsiTheme="majorEastAsia" w:eastAsiaTheme="majorEastAsia" w:cstheme="majorEastAsia"/>
          <w:b/>
          <w:color w:val="auto"/>
          <w:sz w:val="24"/>
          <w:highlight w:val="none"/>
          <w:lang w:val="en-US" w:eastAsia="zh-CN"/>
        </w:rPr>
      </w:pPr>
    </w:p>
    <w:p>
      <w:pPr>
        <w:pStyle w:val="63"/>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3.1、道路保洁相关要求</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1.1本项目</w:t>
      </w:r>
      <w:r>
        <w:rPr>
          <w:rFonts w:hint="eastAsia" w:asciiTheme="majorEastAsia" w:hAnsiTheme="majorEastAsia" w:eastAsiaTheme="majorEastAsia" w:cstheme="majorEastAsia"/>
          <w:color w:val="auto"/>
          <w:sz w:val="24"/>
          <w:highlight w:val="none"/>
          <w:lang w:val="zh-CN"/>
        </w:rPr>
        <w:t>人员要求</w:t>
      </w:r>
      <w:r>
        <w:rPr>
          <w:rFonts w:hint="eastAsia" w:asciiTheme="majorEastAsia" w:hAnsiTheme="majorEastAsia" w:eastAsiaTheme="majorEastAsia" w:cstheme="majorEastAsia"/>
          <w:color w:val="auto"/>
          <w:sz w:val="24"/>
          <w:highlight w:val="none"/>
        </w:rPr>
        <w:t>须符合</w:t>
      </w:r>
      <w:r>
        <w:rPr>
          <w:rFonts w:hint="eastAsia" w:asciiTheme="majorEastAsia" w:hAnsiTheme="majorEastAsia" w:eastAsiaTheme="majorEastAsia" w:cstheme="majorEastAsia"/>
          <w:bCs/>
          <w:color w:val="auto"/>
          <w:sz w:val="24"/>
          <w:highlight w:val="none"/>
        </w:rPr>
        <w:t>专职人员基本岗位数量要求</w:t>
      </w:r>
      <w:r>
        <w:rPr>
          <w:rFonts w:hint="eastAsia" w:asciiTheme="majorEastAsia" w:hAnsiTheme="majorEastAsia" w:eastAsiaTheme="majorEastAsia" w:cstheme="majorEastAsia"/>
          <w:color w:val="auto"/>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.1.3保洁人员在岗要求男性年龄在60周岁以下</w:t>
      </w:r>
      <w:r>
        <w:rPr>
          <w:rFonts w:hint="eastAsia" w:asciiTheme="majorEastAsia" w:hAnsiTheme="majorEastAsia" w:eastAsiaTheme="majorEastAsia" w:cstheme="majorEastAsia"/>
          <w:color w:val="auto"/>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Theme="majorEastAsia" w:hAnsiTheme="majorEastAsia" w:eastAsiaTheme="majorEastAsia" w:cstheme="majorEastAsia"/>
          <w:color w:val="auto"/>
          <w:sz w:val="24"/>
          <w:highlight w:val="none"/>
        </w:rPr>
        <w:t>应根据实际情况或采购人要求增派保洁人员、保洁设备，以确保清卫保洁质量，</w:t>
      </w:r>
      <w:r>
        <w:rPr>
          <w:rFonts w:hint="eastAsia" w:asciiTheme="majorEastAsia" w:hAnsiTheme="majorEastAsia" w:eastAsiaTheme="majorEastAsia" w:cstheme="majorEastAsia"/>
          <w:color w:val="auto"/>
          <w:sz w:val="24"/>
          <w:highlight w:val="none"/>
          <w:lang w:val="zh-CN"/>
        </w:rPr>
        <w:t>增</w:t>
      </w:r>
      <w:r>
        <w:rPr>
          <w:rFonts w:hint="eastAsia" w:asciiTheme="majorEastAsia" w:hAnsiTheme="majorEastAsia" w:eastAsiaTheme="majorEastAsia" w:cstheme="majorEastAsia"/>
          <w:color w:val="auto"/>
          <w:sz w:val="24"/>
          <w:highlight w:val="none"/>
        </w:rPr>
        <w:t>派人员和设备的费用应考虑在投标总报价中。</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.1.7 供应商提供的设施设备，根据采购人要求统一外观，标识。</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3</w:t>
      </w:r>
      <w:r>
        <w:rPr>
          <w:rFonts w:hint="eastAsia" w:asciiTheme="majorEastAsia" w:hAnsiTheme="majorEastAsia" w:eastAsiaTheme="majorEastAsia" w:cstheme="majorEastAsia"/>
          <w:b/>
          <w:color w:val="auto"/>
          <w:sz w:val="24"/>
          <w:highlight w:val="none"/>
        </w:rPr>
        <w:t>.2保洁服务内容</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2.2</w:t>
      </w:r>
      <w:r>
        <w:rPr>
          <w:rFonts w:hint="eastAsia" w:asciiTheme="majorEastAsia" w:hAnsiTheme="majorEastAsia" w:eastAsiaTheme="majorEastAsia" w:cstheme="majorEastAsia"/>
          <w:bCs/>
          <w:color w:val="auto"/>
          <w:sz w:val="24"/>
          <w:highlight w:val="none"/>
        </w:rPr>
        <w:t>本项目</w:t>
      </w:r>
      <w:r>
        <w:rPr>
          <w:rFonts w:hint="eastAsia" w:asciiTheme="majorEastAsia" w:hAnsiTheme="majorEastAsia" w:eastAsiaTheme="majorEastAsia" w:cstheme="majorEastAsia"/>
          <w:color w:val="auto"/>
          <w:sz w:val="24"/>
          <w:highlight w:val="none"/>
        </w:rPr>
        <w:t>道路中间绿化带含在道路保洁范围内，及道路两侧人行道外建筑物基石边或无建筑物外可视范围内</w:t>
      </w:r>
      <w:r>
        <w:rPr>
          <w:rFonts w:hint="eastAsia" w:asciiTheme="majorEastAsia" w:hAnsiTheme="majorEastAsia" w:eastAsiaTheme="majorEastAsia" w:cstheme="majorEastAsia"/>
          <w:bCs/>
          <w:color w:val="auto"/>
          <w:sz w:val="24"/>
          <w:highlight w:val="none"/>
        </w:rPr>
        <w:t>（不少于3米</w:t>
      </w:r>
      <w:r>
        <w:rPr>
          <w:rFonts w:hint="eastAsia" w:asciiTheme="majorEastAsia" w:hAnsiTheme="majorEastAsia" w:eastAsiaTheme="majorEastAsia" w:cstheme="majorEastAsia"/>
          <w:color w:val="auto"/>
          <w:sz w:val="24"/>
          <w:highlight w:val="none"/>
        </w:rPr>
        <w:t>）均包含在保洁范围内。</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bCs/>
          <w:color w:val="auto"/>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bCs/>
          <w:color w:val="auto"/>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.2.5</w:t>
      </w:r>
      <w:r>
        <w:rPr>
          <w:rFonts w:hint="eastAsia" w:asciiTheme="majorEastAsia" w:hAnsiTheme="majorEastAsia" w:eastAsiaTheme="majorEastAsia" w:cstheme="majorEastAsia"/>
          <w:color w:val="auto"/>
          <w:sz w:val="24"/>
          <w:highlight w:val="none"/>
        </w:rPr>
        <w:t>牛皮癣清理：范围内道路、围墙、道路沿线设施（含一层建筑立面）等区域的“乱涂”、“乱张贴”等牛皮癣日常清理</w:t>
      </w:r>
      <w:r>
        <w:rPr>
          <w:rFonts w:hint="eastAsia" w:asciiTheme="majorEastAsia" w:hAnsiTheme="majorEastAsia" w:eastAsiaTheme="majorEastAsia" w:cstheme="majorEastAsia"/>
          <w:bCs/>
          <w:color w:val="auto"/>
          <w:sz w:val="24"/>
          <w:highlight w:val="none"/>
        </w:rPr>
        <w:t>均属于本项目保洁范围</w:t>
      </w:r>
      <w:r>
        <w:rPr>
          <w:rFonts w:hint="eastAsia" w:asciiTheme="majorEastAsia" w:hAnsiTheme="majorEastAsia" w:eastAsiaTheme="majorEastAsia" w:cstheme="majorEastAsia"/>
          <w:color w:val="auto"/>
          <w:sz w:val="24"/>
          <w:highlight w:val="none"/>
        </w:rPr>
        <w:t>。</w:t>
      </w:r>
    </w:p>
    <w:p>
      <w:pPr>
        <w:snapToGrid w:val="0"/>
        <w:spacing w:line="360" w:lineRule="auto"/>
        <w:ind w:firstLine="482" w:firstLineChars="2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.3保洁基本要求</w:t>
      </w:r>
      <w:r>
        <w:rPr>
          <w:rFonts w:hint="eastAsia" w:ascii="宋体" w:hAnsi="宋体" w:eastAsia="宋体" w:cs="宋体"/>
          <w:b/>
          <w:bCs/>
          <w:color w:val="auto"/>
          <w:sz w:val="24"/>
          <w:highlight w:val="none"/>
          <w:lang w:val="en-US" w:eastAsia="zh-CN"/>
        </w:rPr>
        <w:t>标准</w:t>
      </w:r>
    </w:p>
    <w:p>
      <w:pPr>
        <w:pStyle w:val="26"/>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lang w:val="en-US" w:eastAsia="zh-CN"/>
        </w:rPr>
        <w:t>3</w:t>
      </w:r>
      <w:r>
        <w:rPr>
          <w:rFonts w:hint="eastAsia" w:asciiTheme="majorEastAsia" w:hAnsiTheme="majorEastAsia" w:eastAsiaTheme="majorEastAsia" w:cstheme="majorEastAsia"/>
          <w:b/>
          <w:bCs/>
          <w:color w:val="auto"/>
          <w:highlight w:val="none"/>
        </w:rPr>
        <w:t>.3.1</w:t>
      </w:r>
      <w:r>
        <w:rPr>
          <w:rFonts w:hint="eastAsia" w:asciiTheme="majorEastAsia" w:hAnsiTheme="majorEastAsia" w:eastAsiaTheme="majorEastAsia" w:cstheme="majorEastAsia"/>
          <w:b/>
          <w:bCs/>
          <w:color w:val="auto"/>
          <w:highlight w:val="none"/>
          <w:lang w:eastAsia="zh-CN"/>
        </w:rPr>
        <w:t>二</w:t>
      </w:r>
      <w:r>
        <w:rPr>
          <w:rFonts w:hint="eastAsia" w:asciiTheme="majorEastAsia" w:hAnsiTheme="majorEastAsia" w:eastAsiaTheme="majorEastAsia" w:cstheme="majorEastAsia"/>
          <w:b/>
          <w:bCs/>
          <w:color w:val="auto"/>
          <w:highlight w:val="none"/>
        </w:rPr>
        <w:t>级道路</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3.3.1.1保洁时长: 18小时(4:30-22: 30)。</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3.3.1.4空气抑尘:配置空气抑尘设备，每天1次洒水、抑尘。</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3.3.1.5城市家具:全覆盖擦洗2天1次。</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3.3.1.7道路栏杆:配备栏杆清洗车，每周清洗一次。</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3.3.1.8绿化带检拾:配置小型设备，人工配合，每天1次。</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.3.1.</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3.1.</w:t>
      </w: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.3.1.1</w:t>
      </w:r>
      <w:r>
        <w:rPr>
          <w:rFonts w:hint="eastAsia" w:asciiTheme="majorEastAsia" w:hAnsiTheme="majorEastAsia" w:eastAsiaTheme="majorEastAsia" w:cstheme="majorEastAsia"/>
          <w:bCs/>
          <w:color w:val="auto"/>
          <w:sz w:val="24"/>
          <w:highlight w:val="none"/>
          <w:lang w:val="en-US" w:eastAsia="zh-CN"/>
        </w:rPr>
        <w:t>1</w:t>
      </w:r>
      <w:r>
        <w:rPr>
          <w:rFonts w:hint="eastAsia" w:asciiTheme="majorEastAsia" w:hAnsiTheme="majorEastAsia" w:eastAsiaTheme="majorEastAsia" w:cstheme="majorEastAsia"/>
          <w:bCs/>
          <w:color w:val="auto"/>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.3.1.1</w:t>
      </w:r>
      <w:r>
        <w:rPr>
          <w:rFonts w:hint="eastAsia" w:asciiTheme="majorEastAsia" w:hAnsiTheme="majorEastAsia" w:eastAsiaTheme="majorEastAsia" w:cstheme="majorEastAsia"/>
          <w:bCs/>
          <w:color w:val="auto"/>
          <w:sz w:val="24"/>
          <w:highlight w:val="none"/>
          <w:lang w:val="en-US" w:eastAsia="zh-CN"/>
        </w:rPr>
        <w:t>2</w:t>
      </w:r>
      <w:r>
        <w:rPr>
          <w:rFonts w:hint="eastAsia" w:asciiTheme="majorEastAsia" w:hAnsiTheme="majorEastAsia" w:eastAsiaTheme="majorEastAsia" w:cstheme="majorEastAsia"/>
          <w:bCs/>
          <w:color w:val="auto"/>
          <w:sz w:val="24"/>
          <w:highlight w:val="none"/>
        </w:rPr>
        <w:t>日常</w:t>
      </w:r>
      <w:r>
        <w:rPr>
          <w:rFonts w:hint="eastAsia" w:asciiTheme="majorEastAsia" w:hAnsiTheme="majorEastAsia" w:eastAsiaTheme="majorEastAsia" w:cstheme="majorEastAsia"/>
          <w:color w:val="auto"/>
          <w:sz w:val="24"/>
          <w:highlight w:val="none"/>
        </w:rPr>
        <w:t>保洁时间内</w:t>
      </w:r>
      <w:r>
        <w:rPr>
          <w:rFonts w:hint="eastAsia" w:asciiTheme="majorEastAsia" w:hAnsiTheme="majorEastAsia" w:eastAsiaTheme="majorEastAsia" w:cstheme="majorEastAsia"/>
          <w:bCs/>
          <w:color w:val="auto"/>
          <w:sz w:val="24"/>
          <w:highlight w:val="none"/>
        </w:rPr>
        <w:t>保洁单位需确保</w:t>
      </w:r>
      <w:r>
        <w:rPr>
          <w:rFonts w:hint="eastAsia" w:asciiTheme="majorEastAsia" w:hAnsiTheme="majorEastAsia" w:eastAsiaTheme="majorEastAsia" w:cstheme="majorEastAsia"/>
          <w:color w:val="auto"/>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w:t>
      </w:r>
      <w:r>
        <w:rPr>
          <w:rFonts w:hint="eastAsia" w:asciiTheme="majorEastAsia" w:hAnsiTheme="majorEastAsia" w:eastAsiaTheme="majorEastAsia" w:cstheme="majorEastAsia"/>
          <w:bCs/>
          <w:color w:val="auto"/>
          <w:sz w:val="24"/>
          <w:highlight w:val="none"/>
          <w:lang w:val="en-US" w:eastAsia="zh-CN"/>
        </w:rPr>
        <w:t>13</w:t>
      </w:r>
      <w:r>
        <w:rPr>
          <w:rFonts w:hint="eastAsia" w:asciiTheme="majorEastAsia" w:hAnsiTheme="majorEastAsia" w:eastAsiaTheme="majorEastAsia" w:cstheme="majorEastAsia"/>
          <w:bCs/>
          <w:color w:val="auto"/>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.3.1.1</w:t>
      </w:r>
      <w:r>
        <w:rPr>
          <w:rFonts w:hint="eastAsia" w:asciiTheme="majorEastAsia" w:hAnsiTheme="majorEastAsia" w:eastAsiaTheme="majorEastAsia" w:cstheme="majorEastAsia"/>
          <w:bCs/>
          <w:color w:val="auto"/>
          <w:sz w:val="24"/>
          <w:highlight w:val="none"/>
          <w:lang w:val="en-US" w:eastAsia="zh-CN"/>
        </w:rPr>
        <w:t>4</w:t>
      </w:r>
      <w:r>
        <w:rPr>
          <w:rFonts w:hint="eastAsia" w:asciiTheme="majorEastAsia" w:hAnsiTheme="majorEastAsia" w:eastAsiaTheme="majorEastAsia" w:cstheme="majorEastAsia"/>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.3.1.1</w:t>
      </w:r>
      <w:r>
        <w:rPr>
          <w:rFonts w:hint="eastAsia" w:asciiTheme="majorEastAsia" w:hAnsiTheme="majorEastAsia" w:eastAsiaTheme="majorEastAsia" w:cstheme="majorEastAsia"/>
          <w:bCs/>
          <w:color w:val="auto"/>
          <w:sz w:val="24"/>
          <w:highlight w:val="none"/>
          <w:lang w:val="en-US" w:eastAsia="zh-CN"/>
        </w:rPr>
        <w:t>5</w:t>
      </w:r>
      <w:r>
        <w:rPr>
          <w:rFonts w:hint="eastAsia" w:asciiTheme="majorEastAsia" w:hAnsiTheme="majorEastAsia" w:eastAsiaTheme="majorEastAsia" w:cstheme="majorEastAsia"/>
          <w:bCs/>
          <w:color w:val="auto"/>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w:t>
      </w:r>
      <w:r>
        <w:rPr>
          <w:rFonts w:hint="eastAsia" w:asciiTheme="majorEastAsia" w:hAnsiTheme="majorEastAsia" w:eastAsiaTheme="majorEastAsia" w:cstheme="majorEastAsia"/>
          <w:bCs/>
          <w:color w:val="auto"/>
          <w:sz w:val="24"/>
          <w:highlight w:val="none"/>
          <w:lang w:val="en-US" w:eastAsia="zh-CN"/>
        </w:rPr>
        <w:t>16</w:t>
      </w:r>
      <w:r>
        <w:rPr>
          <w:rFonts w:hint="eastAsia" w:asciiTheme="majorEastAsia" w:hAnsiTheme="majorEastAsia" w:eastAsiaTheme="majorEastAsia" w:cstheme="majorEastAsia"/>
          <w:bCs/>
          <w:color w:val="auto"/>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.3.1.</w:t>
      </w:r>
      <w:r>
        <w:rPr>
          <w:rFonts w:hint="eastAsia" w:asciiTheme="majorEastAsia" w:hAnsiTheme="majorEastAsia" w:eastAsiaTheme="majorEastAsia" w:cstheme="majorEastAsia"/>
          <w:bCs/>
          <w:color w:val="auto"/>
          <w:sz w:val="24"/>
          <w:highlight w:val="none"/>
          <w:lang w:val="en-US" w:eastAsia="zh-CN"/>
        </w:rPr>
        <w:t>17</w:t>
      </w:r>
      <w:r>
        <w:rPr>
          <w:rFonts w:hint="eastAsia" w:asciiTheme="majorEastAsia" w:hAnsiTheme="majorEastAsia" w:eastAsiaTheme="majorEastAsia" w:cstheme="majorEastAsia"/>
          <w:bCs/>
          <w:color w:val="auto"/>
          <w:sz w:val="24"/>
          <w:highlight w:val="none"/>
        </w:rPr>
        <w:t>承诺能及时提供人力、设备、技术等支持。</w:t>
      </w:r>
    </w:p>
    <w:p>
      <w:pPr>
        <w:snapToGrid w:val="0"/>
        <w:spacing w:line="360" w:lineRule="auto"/>
        <w:ind w:firstLine="482" w:firstLineChars="2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 xml:space="preserve">.4保洁作业规范 </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.4.1道路普扫次数和时间</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.4.1.1</w:t>
      </w:r>
      <w:r>
        <w:rPr>
          <w:rFonts w:hint="eastAsia" w:asciiTheme="majorEastAsia" w:hAnsiTheme="majorEastAsia" w:eastAsiaTheme="majorEastAsia" w:cstheme="majorEastAsia"/>
          <w:color w:val="auto"/>
          <w:sz w:val="24"/>
          <w:highlight w:val="none"/>
          <w:lang w:eastAsia="zh-CN"/>
        </w:rPr>
        <w:t>二</w:t>
      </w:r>
      <w:r>
        <w:rPr>
          <w:rFonts w:hint="eastAsia" w:asciiTheme="majorEastAsia" w:hAnsiTheme="majorEastAsia" w:eastAsiaTheme="majorEastAsia" w:cstheme="majorEastAsia"/>
          <w:color w:val="auto"/>
          <w:sz w:val="24"/>
          <w:highlight w:val="none"/>
        </w:rPr>
        <w:t>级道路普扫作业每日不少于</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3.</w:t>
      </w:r>
      <w:r>
        <w:rPr>
          <w:rFonts w:hint="eastAsia" w:asciiTheme="majorEastAsia" w:hAnsiTheme="majorEastAsia" w:eastAsiaTheme="majorEastAsia" w:cstheme="majorEastAsia"/>
          <w:b/>
          <w:color w:val="auto"/>
          <w:sz w:val="24"/>
          <w:highlight w:val="none"/>
        </w:rPr>
        <w:t>4.2洒水（清洗）</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.4.2.1</w:t>
      </w:r>
      <w:r>
        <w:rPr>
          <w:rFonts w:hint="eastAsia" w:asciiTheme="majorEastAsia" w:hAnsiTheme="majorEastAsia" w:eastAsiaTheme="majorEastAsia" w:cstheme="majorEastAsia"/>
          <w:color w:val="auto"/>
          <w:sz w:val="24"/>
          <w:highlight w:val="none"/>
          <w:lang w:eastAsia="zh-CN"/>
        </w:rPr>
        <w:t>二</w:t>
      </w:r>
      <w:r>
        <w:rPr>
          <w:rFonts w:hint="eastAsia" w:asciiTheme="majorEastAsia" w:hAnsiTheme="majorEastAsia" w:eastAsiaTheme="majorEastAsia" w:cstheme="majorEastAsia"/>
          <w:color w:val="auto"/>
          <w:sz w:val="24"/>
          <w:highlight w:val="none"/>
        </w:rPr>
        <w:t>级道路作业每日不少于6次，</w:t>
      </w:r>
      <w:r>
        <w:rPr>
          <w:rFonts w:hint="eastAsia" w:asciiTheme="majorEastAsia" w:hAnsiTheme="majorEastAsia" w:eastAsiaTheme="majorEastAsia" w:cstheme="majorEastAsia"/>
          <w:bCs/>
          <w:color w:val="auto"/>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.4.2.2</w:t>
      </w:r>
      <w:r>
        <w:rPr>
          <w:rFonts w:hint="eastAsia" w:asciiTheme="majorEastAsia" w:hAnsiTheme="majorEastAsia" w:eastAsiaTheme="majorEastAsia" w:cstheme="majorEastAsia"/>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.4.2.3</w:t>
      </w:r>
      <w:r>
        <w:rPr>
          <w:rFonts w:hint="eastAsia" w:asciiTheme="majorEastAsia" w:hAnsiTheme="majorEastAsia" w:eastAsiaTheme="majorEastAsia" w:cstheme="majorEastAsia"/>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.4.2.4</w:t>
      </w:r>
      <w:r>
        <w:rPr>
          <w:rFonts w:hint="eastAsia" w:asciiTheme="majorEastAsia" w:hAnsiTheme="majorEastAsia" w:eastAsiaTheme="majorEastAsia" w:cstheme="majorEastAsia"/>
          <w:bCs/>
          <w:color w:val="auto"/>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.4.2.5春秋季（3月—5月、9月—11月），每日道路洒水频次作为基准遍次，即</w:t>
      </w:r>
      <w:r>
        <w:rPr>
          <w:rFonts w:hint="eastAsia" w:asciiTheme="majorEastAsia" w:hAnsiTheme="majorEastAsia" w:eastAsiaTheme="majorEastAsia" w:cstheme="majorEastAsia"/>
          <w:bCs/>
          <w:color w:val="auto"/>
          <w:sz w:val="24"/>
          <w:highlight w:val="none"/>
          <w:lang w:eastAsia="zh-CN"/>
        </w:rPr>
        <w:t>二</w:t>
      </w:r>
      <w:r>
        <w:rPr>
          <w:rFonts w:hint="eastAsia" w:asciiTheme="majorEastAsia" w:hAnsiTheme="majorEastAsia" w:eastAsiaTheme="majorEastAsia" w:cstheme="majorEastAsia"/>
          <w:bCs/>
          <w:color w:val="auto"/>
          <w:sz w:val="24"/>
          <w:highlight w:val="none"/>
        </w:rPr>
        <w:t>级道路每日</w:t>
      </w:r>
      <w:r>
        <w:rPr>
          <w:rFonts w:hint="eastAsia" w:asciiTheme="majorEastAsia" w:hAnsiTheme="majorEastAsia" w:eastAsiaTheme="majorEastAsia" w:cstheme="majorEastAsia"/>
          <w:bCs/>
          <w:color w:val="auto"/>
          <w:sz w:val="24"/>
          <w:highlight w:val="none"/>
          <w:lang w:val="en-US" w:eastAsia="zh-CN"/>
        </w:rPr>
        <w:t>6</w:t>
      </w:r>
      <w:r>
        <w:rPr>
          <w:rFonts w:hint="eastAsia" w:asciiTheme="majorEastAsia" w:hAnsiTheme="majorEastAsia" w:eastAsiaTheme="majorEastAsia" w:cstheme="majorEastAsia"/>
          <w:bCs/>
          <w:color w:val="auto"/>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.4.2.6</w:t>
      </w:r>
      <w:r>
        <w:rPr>
          <w:rFonts w:hint="eastAsia" w:asciiTheme="majorEastAsia" w:hAnsiTheme="majorEastAsia" w:eastAsiaTheme="majorEastAsia" w:cstheme="majorEastAsia"/>
          <w:bCs/>
          <w:color w:val="auto"/>
          <w:sz w:val="24"/>
          <w:highlight w:val="none"/>
        </w:rPr>
        <w:t>气温低于2摄氏度时应停止清洗和洒水。</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.4.2.7</w:t>
      </w:r>
      <w:r>
        <w:rPr>
          <w:rFonts w:hint="eastAsia" w:asciiTheme="majorEastAsia" w:hAnsiTheme="majorEastAsia" w:eastAsiaTheme="majorEastAsia" w:cstheme="majorEastAsia"/>
          <w:bCs/>
          <w:color w:val="auto"/>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3</w:t>
      </w:r>
      <w:r>
        <w:rPr>
          <w:rFonts w:hint="eastAsia" w:asciiTheme="majorEastAsia" w:hAnsiTheme="majorEastAsia" w:eastAsiaTheme="majorEastAsia" w:cstheme="majorEastAsia"/>
          <w:b/>
          <w:color w:val="auto"/>
          <w:sz w:val="24"/>
          <w:highlight w:val="none"/>
        </w:rPr>
        <w:t>.4.3机械化清扫</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.4.3.1</w:t>
      </w:r>
      <w:r>
        <w:rPr>
          <w:rFonts w:hint="eastAsia" w:asciiTheme="majorEastAsia" w:hAnsiTheme="majorEastAsia" w:eastAsiaTheme="majorEastAsia" w:cstheme="majorEastAsia"/>
          <w:bCs/>
          <w:color w:val="auto"/>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.4.3.2</w:t>
      </w:r>
      <w:r>
        <w:rPr>
          <w:rFonts w:hint="eastAsia" w:asciiTheme="majorEastAsia" w:hAnsiTheme="majorEastAsia" w:eastAsiaTheme="majorEastAsia" w:cstheme="majorEastAsia"/>
          <w:bCs/>
          <w:color w:val="auto"/>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.4.3.3</w:t>
      </w:r>
      <w:r>
        <w:rPr>
          <w:rFonts w:hint="eastAsia" w:asciiTheme="majorEastAsia" w:hAnsiTheme="majorEastAsia" w:eastAsiaTheme="majorEastAsia" w:cstheme="majorEastAsia"/>
          <w:bCs/>
          <w:color w:val="auto"/>
          <w:sz w:val="24"/>
          <w:highlight w:val="none"/>
        </w:rPr>
        <w:t>机械化清扫作业时，扫路车或洗扫车车速不得超过10km/h。</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.4.3.4</w:t>
      </w:r>
      <w:r>
        <w:rPr>
          <w:rFonts w:hint="eastAsia" w:asciiTheme="majorEastAsia" w:hAnsiTheme="majorEastAsia" w:eastAsiaTheme="majorEastAsia" w:cstheme="majorEastAsia"/>
          <w:bCs/>
          <w:color w:val="auto"/>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.4.3.5</w:t>
      </w:r>
      <w:r>
        <w:rPr>
          <w:rFonts w:hint="eastAsia" w:asciiTheme="majorEastAsia" w:hAnsiTheme="majorEastAsia" w:eastAsiaTheme="majorEastAsia" w:cstheme="majorEastAsia"/>
          <w:bCs/>
          <w:color w:val="auto"/>
          <w:sz w:val="24"/>
          <w:highlight w:val="none"/>
        </w:rPr>
        <w:t>当日清扫结束后，应在指定地点卸空机械化清扫车辆中的垃圾。</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.4.3.6</w:t>
      </w:r>
      <w:r>
        <w:rPr>
          <w:rFonts w:hint="eastAsia" w:asciiTheme="majorEastAsia" w:hAnsiTheme="majorEastAsia" w:eastAsiaTheme="majorEastAsia" w:cstheme="majorEastAsia"/>
          <w:bCs/>
          <w:color w:val="auto"/>
          <w:sz w:val="24"/>
          <w:highlight w:val="none"/>
        </w:rPr>
        <w:t>机械化清扫车辆所用的扫把丝等消耗品应根据使用状况及时更换。</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3</w:t>
      </w:r>
      <w:r>
        <w:rPr>
          <w:rFonts w:hint="eastAsia" w:asciiTheme="majorEastAsia" w:hAnsiTheme="majorEastAsia" w:eastAsiaTheme="majorEastAsia" w:cstheme="majorEastAsia"/>
          <w:b/>
          <w:color w:val="auto"/>
          <w:sz w:val="24"/>
          <w:highlight w:val="none"/>
        </w:rPr>
        <w:t>.4.4人工普扫</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.4.4.1清扫时，在距清扫点适当位置安全警示标识。</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3</w:t>
      </w:r>
      <w:r>
        <w:rPr>
          <w:rFonts w:hint="eastAsia" w:asciiTheme="majorEastAsia" w:hAnsiTheme="majorEastAsia" w:eastAsiaTheme="majorEastAsia" w:cstheme="majorEastAsia"/>
          <w:b/>
          <w:color w:val="auto"/>
          <w:sz w:val="24"/>
          <w:highlight w:val="none"/>
        </w:rPr>
        <w:t>.4.5人工保洁</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.4.5.2应定时清运沿街果壳箱中的垃圾，做到垃圾不落地、不积存，日产日清。</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.5保洁作业质量要求</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.5.2三化四分相关要求：</w:t>
      </w:r>
      <w:r>
        <w:rPr>
          <w:rFonts w:hint="eastAsia" w:asciiTheme="majorEastAsia" w:hAnsiTheme="majorEastAsia" w:eastAsiaTheme="majorEastAsia" w:cstheme="majorEastAsia"/>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 xml:space="preserve">.5.3其他要求：   </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（1）遇有窨井盖丢失、破损等，承包方必须及时上报采购人。  </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.6.管理要求</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val="en-US" w:eastAsia="zh-CN"/>
        </w:rPr>
        <w:t>3</w:t>
      </w:r>
      <w:r>
        <w:rPr>
          <w:rFonts w:hint="eastAsia" w:asciiTheme="majorEastAsia" w:hAnsiTheme="majorEastAsia" w:eastAsiaTheme="majorEastAsia" w:cstheme="majorEastAsia"/>
          <w:bCs/>
          <w:color w:val="auto"/>
          <w:sz w:val="24"/>
          <w:highlight w:val="none"/>
        </w:rPr>
        <w:t>.6.8无新闻媒体曝光，对“12345”市长公开电话和有关受理中心及信访处相关问题，处理、回复及时到位。</w:t>
      </w:r>
      <w:r>
        <w:rPr>
          <w:rFonts w:hint="eastAsia" w:asciiTheme="majorEastAsia" w:hAnsiTheme="majorEastAsia" w:eastAsiaTheme="majorEastAsia" w:cstheme="majorEastAsia"/>
          <w:color w:val="auto"/>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Theme="majorEastAsia" w:hAnsiTheme="majorEastAsia" w:eastAsiaTheme="majorEastAsia" w:cstheme="majorEastAsia"/>
          <w:b/>
          <w:bCs/>
          <w:color w:val="auto"/>
          <w:kern w:val="44"/>
          <w:sz w:val="24"/>
          <w:highlight w:val="none"/>
        </w:rPr>
      </w:pPr>
      <w:r>
        <w:rPr>
          <w:rFonts w:hint="eastAsia" w:asciiTheme="majorEastAsia" w:hAnsiTheme="majorEastAsia" w:eastAsiaTheme="majorEastAsia" w:cstheme="majorEastAsia"/>
          <w:b/>
          <w:bCs/>
          <w:color w:val="auto"/>
          <w:kern w:val="44"/>
          <w:sz w:val="24"/>
          <w:highlight w:val="none"/>
          <w:lang w:val="en-US" w:eastAsia="zh-CN"/>
        </w:rPr>
        <w:t>3.7.</w:t>
      </w:r>
      <w:r>
        <w:rPr>
          <w:rFonts w:hint="eastAsia" w:asciiTheme="majorEastAsia" w:hAnsiTheme="majorEastAsia" w:eastAsiaTheme="majorEastAsia" w:cstheme="majorEastAsia"/>
          <w:b/>
          <w:bCs/>
          <w:color w:val="auto"/>
          <w:kern w:val="44"/>
          <w:sz w:val="24"/>
          <w:highlight w:val="none"/>
        </w:rPr>
        <w:t>偷倒垃圾清运要求</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
          <w:bCs/>
          <w:color w:val="auto"/>
          <w:kern w:val="44"/>
          <w:sz w:val="24"/>
          <w:highlight w:val="none"/>
        </w:rPr>
      </w:pPr>
      <w:r>
        <w:rPr>
          <w:rFonts w:hint="eastAsia" w:asciiTheme="majorEastAsia" w:hAnsiTheme="majorEastAsia" w:eastAsiaTheme="majorEastAsia" w:cstheme="majorEastAsia"/>
          <w:bCs/>
          <w:color w:val="auto"/>
          <w:kern w:val="0"/>
          <w:sz w:val="24"/>
          <w:highlight w:val="none"/>
          <w:lang w:val="en-US" w:eastAsia="zh-CN"/>
        </w:rPr>
        <w:t>3</w:t>
      </w:r>
      <w:r>
        <w:rPr>
          <w:rFonts w:hint="eastAsia" w:asciiTheme="majorEastAsia" w:hAnsiTheme="majorEastAsia" w:eastAsiaTheme="majorEastAsia" w:cstheme="majorEastAsia"/>
          <w:bCs/>
          <w:color w:val="auto"/>
          <w:kern w:val="0"/>
          <w:sz w:val="24"/>
          <w:highlight w:val="none"/>
        </w:rPr>
        <w:t>.</w:t>
      </w:r>
      <w:r>
        <w:rPr>
          <w:rFonts w:hint="eastAsia" w:asciiTheme="majorEastAsia" w:hAnsiTheme="majorEastAsia" w:eastAsiaTheme="majorEastAsia" w:cstheme="majorEastAsia"/>
          <w:bCs/>
          <w:color w:val="auto"/>
          <w:kern w:val="0"/>
          <w:sz w:val="24"/>
          <w:highlight w:val="none"/>
          <w:lang w:val="en-US" w:eastAsia="zh-CN"/>
        </w:rPr>
        <w:t>7.</w:t>
      </w:r>
      <w:r>
        <w:rPr>
          <w:rFonts w:hint="eastAsia" w:asciiTheme="majorEastAsia" w:hAnsiTheme="majorEastAsia" w:eastAsiaTheme="majorEastAsia" w:cstheme="majorEastAsia"/>
          <w:bCs/>
          <w:color w:val="auto"/>
          <w:kern w:val="0"/>
          <w:sz w:val="24"/>
          <w:highlight w:val="none"/>
        </w:rPr>
        <w:t>1服务内容：</w:t>
      </w:r>
      <w:r>
        <w:rPr>
          <w:rFonts w:hint="eastAsia" w:asciiTheme="majorEastAsia" w:hAnsiTheme="majorEastAsia" w:eastAsiaTheme="majorEastAsia" w:cstheme="majorEastAsia"/>
          <w:color w:val="auto"/>
          <w:sz w:val="24"/>
          <w:highlight w:val="none"/>
        </w:rPr>
        <w:t>主要为本项目采购人管养范围内偷倒的垃圾清运</w:t>
      </w:r>
      <w:r>
        <w:rPr>
          <w:rFonts w:hint="eastAsia" w:asciiTheme="majorEastAsia" w:hAnsiTheme="majorEastAsia" w:eastAsiaTheme="majorEastAsia" w:cstheme="majorEastAsia"/>
          <w:bCs/>
          <w:color w:val="auto"/>
          <w:sz w:val="24"/>
          <w:highlight w:val="none"/>
        </w:rPr>
        <w:t>工作，垃圾运至</w:t>
      </w:r>
      <w:r>
        <w:rPr>
          <w:rFonts w:hint="eastAsia" w:asciiTheme="majorEastAsia" w:hAnsiTheme="majorEastAsia" w:eastAsiaTheme="majorEastAsia" w:cstheme="majorEastAsia"/>
          <w:bCs/>
          <w:color w:val="auto"/>
          <w:sz w:val="24"/>
          <w:highlight w:val="none"/>
          <w:lang w:eastAsia="zh-CN"/>
        </w:rPr>
        <w:t>仓前街道指</w:t>
      </w:r>
      <w:r>
        <w:rPr>
          <w:rFonts w:hint="eastAsia" w:asciiTheme="majorEastAsia" w:hAnsiTheme="majorEastAsia" w:eastAsiaTheme="majorEastAsia" w:cstheme="majorEastAsia"/>
          <w:bCs/>
          <w:color w:val="auto"/>
          <w:sz w:val="24"/>
          <w:highlight w:val="none"/>
        </w:rPr>
        <w:t>定的消纳处置场所，相关费包含在本次招标内容中。</w:t>
      </w:r>
    </w:p>
    <w:p>
      <w:pPr>
        <w:snapToGrid w:val="0"/>
        <w:spacing w:line="360" w:lineRule="auto"/>
        <w:ind w:firstLine="480" w:firstLineChars="200"/>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lang w:val="en-US" w:eastAsia="zh-CN"/>
        </w:rPr>
        <w:t>3</w:t>
      </w:r>
      <w:r>
        <w:rPr>
          <w:rFonts w:hint="eastAsia" w:asciiTheme="majorEastAsia" w:hAnsiTheme="majorEastAsia" w:eastAsiaTheme="majorEastAsia" w:cstheme="majorEastAsia"/>
          <w:bCs/>
          <w:color w:val="auto"/>
          <w:kern w:val="0"/>
          <w:sz w:val="24"/>
          <w:highlight w:val="none"/>
        </w:rPr>
        <w:t>.</w:t>
      </w:r>
      <w:r>
        <w:rPr>
          <w:rFonts w:hint="eastAsia" w:asciiTheme="majorEastAsia" w:hAnsiTheme="majorEastAsia" w:eastAsiaTheme="majorEastAsia" w:cstheme="majorEastAsia"/>
          <w:bCs/>
          <w:color w:val="auto"/>
          <w:kern w:val="0"/>
          <w:sz w:val="24"/>
          <w:highlight w:val="none"/>
          <w:lang w:val="en-US" w:eastAsia="zh-CN"/>
        </w:rPr>
        <w:t>7.</w:t>
      </w:r>
      <w:r>
        <w:rPr>
          <w:rFonts w:hint="eastAsia" w:asciiTheme="majorEastAsia" w:hAnsiTheme="majorEastAsia" w:eastAsiaTheme="majorEastAsia" w:cstheme="majorEastAsia"/>
          <w:bCs/>
          <w:color w:val="auto"/>
          <w:kern w:val="0"/>
          <w:sz w:val="24"/>
          <w:highlight w:val="none"/>
        </w:rPr>
        <w:t>2具体要求：</w:t>
      </w:r>
    </w:p>
    <w:p>
      <w:pPr>
        <w:snapToGrid w:val="0"/>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w:t>
      </w:r>
      <w:r>
        <w:rPr>
          <w:rFonts w:hint="eastAsia" w:asciiTheme="majorEastAsia" w:hAnsiTheme="majorEastAsia" w:eastAsiaTheme="majorEastAsia" w:cstheme="majorEastAsia"/>
          <w:color w:val="auto"/>
          <w:sz w:val="24"/>
          <w:highlight w:val="none"/>
        </w:rPr>
        <w:t>服务期内，</w:t>
      </w:r>
      <w:r>
        <w:rPr>
          <w:rFonts w:hint="eastAsia" w:asciiTheme="majorEastAsia" w:hAnsiTheme="majorEastAsia" w:eastAsiaTheme="majorEastAsia" w:cstheme="majorEastAsia"/>
          <w:color w:val="auto"/>
          <w:kern w:val="0"/>
          <w:sz w:val="24"/>
          <w:highlight w:val="none"/>
        </w:rPr>
        <w:t>供应商应加强</w:t>
      </w:r>
      <w:r>
        <w:rPr>
          <w:rFonts w:hint="eastAsia" w:asciiTheme="majorEastAsia" w:hAnsiTheme="majorEastAsia" w:eastAsiaTheme="majorEastAsia" w:cstheme="majorEastAsia"/>
          <w:color w:val="auto"/>
          <w:sz w:val="24"/>
          <w:highlight w:val="none"/>
        </w:rPr>
        <w:t>所承包范围内防止垃圾偷倒的管理工作。如在所承包范围内发生偷倒，</w:t>
      </w:r>
      <w:r>
        <w:rPr>
          <w:rFonts w:hint="eastAsia" w:asciiTheme="majorEastAsia" w:hAnsiTheme="majorEastAsia" w:eastAsiaTheme="majorEastAsia" w:cstheme="majorEastAsia"/>
          <w:color w:val="auto"/>
          <w:kern w:val="0"/>
          <w:sz w:val="24"/>
          <w:highlight w:val="none"/>
        </w:rPr>
        <w:t>需完成</w:t>
      </w:r>
      <w:r>
        <w:rPr>
          <w:rFonts w:hint="eastAsia" w:asciiTheme="majorEastAsia" w:hAnsiTheme="majorEastAsia" w:eastAsiaTheme="majorEastAsia" w:cstheme="majorEastAsia"/>
          <w:color w:val="auto"/>
          <w:sz w:val="24"/>
          <w:highlight w:val="none"/>
        </w:rPr>
        <w:t>偷倒的垃圾清运</w:t>
      </w:r>
      <w:r>
        <w:rPr>
          <w:rFonts w:hint="eastAsia" w:asciiTheme="majorEastAsia" w:hAnsiTheme="majorEastAsia" w:eastAsiaTheme="majorEastAsia" w:cstheme="majorEastAsia"/>
          <w:bCs/>
          <w:color w:val="auto"/>
          <w:sz w:val="24"/>
          <w:highlight w:val="none"/>
        </w:rPr>
        <w:t>工作，</w:t>
      </w:r>
      <w:r>
        <w:rPr>
          <w:rFonts w:hint="eastAsia" w:asciiTheme="majorEastAsia" w:hAnsiTheme="majorEastAsia" w:eastAsiaTheme="majorEastAsia" w:cstheme="majorEastAsia"/>
          <w:color w:val="auto"/>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w:t>
      </w:r>
      <w:r>
        <w:rPr>
          <w:rFonts w:hint="eastAsia" w:asciiTheme="majorEastAsia" w:hAnsiTheme="majorEastAsia" w:eastAsiaTheme="majorEastAsia" w:cstheme="majorEastAsia"/>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kern w:val="0"/>
          <w:sz w:val="24"/>
          <w:highlight w:val="none"/>
        </w:rPr>
        <w:t>（4）清理的时间要求：</w:t>
      </w:r>
      <w:r>
        <w:rPr>
          <w:rFonts w:hint="eastAsia" w:asciiTheme="majorEastAsia" w:hAnsiTheme="majorEastAsia" w:eastAsiaTheme="majorEastAsia" w:cstheme="majorEastAsia"/>
          <w:color w:val="auto"/>
          <w:kern w:val="0"/>
          <w:sz w:val="24"/>
          <w:highlight w:val="none"/>
          <w:u w:val="single"/>
        </w:rPr>
        <w:t>2小时之内清理</w:t>
      </w:r>
      <w:r>
        <w:rPr>
          <w:rFonts w:hint="eastAsia" w:asciiTheme="majorEastAsia" w:hAnsiTheme="majorEastAsia" w:eastAsiaTheme="majorEastAsia" w:cstheme="majorEastAsia"/>
          <w:color w:val="auto"/>
          <w:kern w:val="0"/>
          <w:sz w:val="24"/>
          <w:highlight w:val="none"/>
        </w:rPr>
        <w:t>。</w:t>
      </w:r>
    </w:p>
    <w:p>
      <w:pPr>
        <w:wordWrap/>
        <w:spacing w:line="500" w:lineRule="exact"/>
        <w:textAlignment w:val="auto"/>
        <w:rPr>
          <w:rFonts w:hint="eastAsia" w:asciiTheme="majorEastAsia" w:hAnsiTheme="majorEastAsia" w:eastAsiaTheme="majorEastAsia" w:cstheme="majorEastAsia"/>
          <w:b/>
          <w:color w:val="auto"/>
          <w:kern w:val="0"/>
          <w:sz w:val="24"/>
          <w:highlight w:val="none"/>
          <w:lang w:eastAsia="zh-CN"/>
        </w:rPr>
      </w:pPr>
      <w:r>
        <w:rPr>
          <w:rFonts w:hint="eastAsia" w:asciiTheme="majorEastAsia" w:hAnsiTheme="majorEastAsia" w:eastAsiaTheme="majorEastAsia" w:cstheme="majorEastAsia"/>
          <w:b/>
          <w:color w:val="auto"/>
          <w:kern w:val="0"/>
          <w:sz w:val="24"/>
          <w:highlight w:val="none"/>
          <w:lang w:val="en-US" w:eastAsia="zh-CN"/>
        </w:rPr>
        <w:t>3.8</w:t>
      </w:r>
      <w:r>
        <w:rPr>
          <w:rFonts w:hint="eastAsia" w:asciiTheme="majorEastAsia" w:hAnsiTheme="majorEastAsia" w:eastAsiaTheme="majorEastAsia" w:cstheme="majorEastAsia"/>
          <w:b/>
          <w:color w:val="auto"/>
          <w:kern w:val="0"/>
          <w:sz w:val="24"/>
          <w:highlight w:val="none"/>
          <w:lang w:eastAsia="zh-CN"/>
        </w:rPr>
        <w:t>市政修复养护标准</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二级市政设施养护标准：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wordWrap/>
        <w:spacing w:line="500" w:lineRule="exact"/>
        <w:textAlignment w:val="auto"/>
        <w:rPr>
          <w:rFonts w:hint="eastAsia" w:asciiTheme="majorEastAsia" w:hAnsiTheme="majorEastAsia" w:eastAsiaTheme="majorEastAsia" w:cstheme="majorEastAsia"/>
          <w:b/>
          <w:color w:val="auto"/>
          <w:kern w:val="0"/>
          <w:sz w:val="24"/>
          <w:highlight w:val="none"/>
          <w:lang w:eastAsia="zh-CN"/>
        </w:rPr>
      </w:pPr>
      <w:r>
        <w:rPr>
          <w:rFonts w:hint="eastAsia" w:asciiTheme="majorEastAsia" w:hAnsiTheme="majorEastAsia" w:eastAsiaTheme="majorEastAsia" w:cstheme="majorEastAsia"/>
          <w:b/>
          <w:color w:val="auto"/>
          <w:kern w:val="0"/>
          <w:sz w:val="24"/>
          <w:highlight w:val="none"/>
          <w:lang w:val="en-US" w:eastAsia="zh-CN"/>
        </w:rPr>
        <w:t>3.9</w:t>
      </w:r>
      <w:r>
        <w:rPr>
          <w:rFonts w:hint="eastAsia" w:asciiTheme="majorEastAsia" w:hAnsiTheme="majorEastAsia" w:eastAsiaTheme="majorEastAsia" w:cstheme="majorEastAsia"/>
          <w:b/>
          <w:color w:val="auto"/>
          <w:kern w:val="0"/>
          <w:sz w:val="24"/>
          <w:highlight w:val="none"/>
          <w:lang w:eastAsia="zh-CN"/>
        </w:rPr>
        <w:t>路灯养护标准</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
          <w:color w:val="auto"/>
          <w:kern w:val="0"/>
          <w:sz w:val="24"/>
          <w:highlight w:val="none"/>
          <w:lang w:eastAsia="zh-CN"/>
        </w:rPr>
      </w:pPr>
      <w:r>
        <w:rPr>
          <w:rFonts w:hint="eastAsia" w:asciiTheme="majorEastAsia" w:hAnsiTheme="majorEastAsia" w:eastAsiaTheme="majorEastAsia" w:cstheme="majorEastAsia"/>
          <w:bCs/>
          <w:color w:val="auto"/>
          <w:sz w:val="24"/>
          <w:highlight w:val="none"/>
          <w:lang w:eastAsia="zh-CN"/>
        </w:rPr>
        <w:t>1、路灯设施管养标准：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wordWrap/>
        <w:spacing w:line="500" w:lineRule="exact"/>
        <w:textAlignment w:val="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lang w:eastAsia="zh-CN"/>
        </w:rPr>
        <w:t>三</w:t>
      </w:r>
      <w:r>
        <w:rPr>
          <w:rFonts w:hint="eastAsia" w:asciiTheme="majorEastAsia" w:hAnsiTheme="majorEastAsia" w:eastAsiaTheme="majorEastAsia" w:cstheme="majorEastAsia"/>
          <w:b/>
          <w:color w:val="auto"/>
          <w:kern w:val="0"/>
          <w:sz w:val="24"/>
          <w:highlight w:val="none"/>
        </w:rPr>
        <w:t>、</w:t>
      </w:r>
      <w:r>
        <w:rPr>
          <w:rFonts w:hint="eastAsia" w:asciiTheme="majorEastAsia" w:hAnsiTheme="majorEastAsia" w:eastAsiaTheme="majorEastAsia" w:cstheme="majorEastAsia"/>
          <w:b/>
          <w:color w:val="auto"/>
          <w:kern w:val="0"/>
          <w:sz w:val="24"/>
          <w:highlight w:val="none"/>
          <w:lang w:eastAsia="zh-CN"/>
        </w:rPr>
        <w:t>服务</w:t>
      </w:r>
      <w:r>
        <w:rPr>
          <w:rFonts w:hint="eastAsia" w:asciiTheme="majorEastAsia" w:hAnsiTheme="majorEastAsia" w:eastAsiaTheme="majorEastAsia" w:cstheme="majorEastAsia"/>
          <w:b/>
          <w:color w:val="auto"/>
          <w:kern w:val="0"/>
          <w:sz w:val="24"/>
          <w:highlight w:val="none"/>
        </w:rPr>
        <w:t>期：</w:t>
      </w:r>
      <w:r>
        <w:rPr>
          <w:rFonts w:hint="eastAsia" w:asciiTheme="majorEastAsia" w:hAnsiTheme="majorEastAsia" w:eastAsiaTheme="majorEastAsia" w:cstheme="majorEastAsia"/>
          <w:snapToGrid w:val="0"/>
          <w:color w:val="auto"/>
          <w:kern w:val="0"/>
          <w:sz w:val="24"/>
          <w:highlight w:val="none"/>
        </w:rPr>
        <w:t>自合同签订日起贰</w:t>
      </w:r>
      <w:r>
        <w:rPr>
          <w:rFonts w:hint="eastAsia" w:asciiTheme="majorEastAsia" w:hAnsiTheme="majorEastAsia" w:eastAsiaTheme="majorEastAsia" w:cstheme="majorEastAsia"/>
          <w:snapToGrid w:val="0"/>
          <w:color w:val="auto"/>
          <w:kern w:val="0"/>
          <w:sz w:val="24"/>
          <w:highlight w:val="none"/>
          <w:lang w:eastAsia="zh-CN"/>
        </w:rPr>
        <w:t>年。</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val="en-US" w:eastAsia="zh-CN"/>
        </w:rPr>
        <w:t>1、</w:t>
      </w:r>
      <w:r>
        <w:rPr>
          <w:rFonts w:hint="eastAsia" w:asciiTheme="majorEastAsia" w:hAnsiTheme="majorEastAsia" w:eastAsiaTheme="majorEastAsia" w:cstheme="majorEastAsia"/>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lang w:val="en-US" w:eastAsia="zh-CN"/>
        </w:rPr>
        <w:t>2、</w:t>
      </w:r>
      <w:r>
        <w:rPr>
          <w:rFonts w:hint="eastAsia" w:asciiTheme="majorEastAsia" w:hAnsiTheme="majorEastAsia" w:eastAsiaTheme="majorEastAsia" w:cstheme="majorEastAsia"/>
          <w:snapToGrid w:val="0"/>
          <w:color w:val="auto"/>
          <w:kern w:val="0"/>
          <w:sz w:val="24"/>
          <w:highlight w:val="none"/>
          <w:lang w:eastAsia="zh-CN"/>
        </w:rPr>
        <w:t>本项目不得分包或者转包，一旦发现分包或转包现象，</w:t>
      </w:r>
      <w:r>
        <w:rPr>
          <w:rFonts w:hint="eastAsia" w:asciiTheme="majorEastAsia" w:hAnsiTheme="majorEastAsia" w:eastAsiaTheme="majorEastAsia" w:cstheme="majorEastAsia"/>
          <w:snapToGrid w:val="0"/>
          <w:color w:val="auto"/>
          <w:kern w:val="0"/>
          <w:sz w:val="24"/>
          <w:highlight w:val="none"/>
        </w:rPr>
        <w:t>甲方有权提前终止合同，由此造成的一切后果和损失由乙方承担。</w:t>
      </w:r>
    </w:p>
    <w:p>
      <w:pPr>
        <w:spacing w:line="600" w:lineRule="exact"/>
        <w:outlineLvl w:val="0"/>
        <w:rPr>
          <w:rFonts w:hint="eastAsia" w:ascii="华文仿宋" w:hAnsi="华文仿宋" w:eastAsia="华文仿宋" w:cs="宋体"/>
          <w:b/>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四</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rPr>
        <w:t>拟投入人员、设施配备最低要求配备表</w:t>
      </w:r>
    </w:p>
    <w:p>
      <w:pPr>
        <w:pStyle w:val="82"/>
        <w:spacing w:line="600" w:lineRule="exact"/>
        <w:ind w:firstLine="721" w:firstLineChars="300"/>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color w:val="auto"/>
          <w:sz w:val="24"/>
          <w:highlight w:val="none"/>
        </w:rPr>
        <w:t>▲</w:t>
      </w:r>
      <w:r>
        <w:rPr>
          <w:rFonts w:hint="eastAsia" w:asciiTheme="majorEastAsia" w:hAnsiTheme="majorEastAsia" w:eastAsiaTheme="majorEastAsia" w:cstheme="majorEastAsia"/>
          <w:b/>
          <w:bCs/>
          <w:color w:val="auto"/>
          <w:szCs w:val="24"/>
          <w:highlight w:val="none"/>
          <w:lang w:val="en-US" w:eastAsia="zh-CN"/>
        </w:rPr>
        <w:t>1、</w:t>
      </w:r>
      <w:r>
        <w:rPr>
          <w:rFonts w:hint="eastAsia" w:asciiTheme="majorEastAsia" w:hAnsiTheme="majorEastAsia" w:eastAsiaTheme="majorEastAsia" w:cstheme="majorEastAsia"/>
          <w:b/>
          <w:bCs/>
          <w:color w:val="auto"/>
          <w:szCs w:val="24"/>
          <w:highlight w:val="none"/>
          <w:lang w:val="en-US"/>
        </w:rPr>
        <w:t>拟投入人员配置表</w:t>
      </w:r>
    </w:p>
    <w:tbl>
      <w:tblPr>
        <w:tblStyle w:val="64"/>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286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人员配备工种</w:t>
            </w:r>
          </w:p>
        </w:tc>
        <w:tc>
          <w:tcPr>
            <w:tcW w:w="1648"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数量</w:t>
            </w:r>
          </w:p>
        </w:tc>
        <w:tc>
          <w:tcPr>
            <w:tcW w:w="3504"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default" w:asciiTheme="majorEastAsia" w:hAnsiTheme="majorEastAsia" w:eastAsiaTheme="majorEastAsia" w:cstheme="majorEastAsia"/>
                <w:b/>
                <w:bCs/>
                <w:color w:val="auto"/>
                <w:sz w:val="24"/>
                <w:szCs w:val="22"/>
                <w:highlight w:val="none"/>
                <w:lang w:val="en-US"/>
              </w:rPr>
            </w:pPr>
            <w:r>
              <w:rPr>
                <w:rFonts w:hint="eastAsia" w:asciiTheme="majorEastAsia" w:hAnsiTheme="majorEastAsia" w:eastAsiaTheme="majorEastAsia" w:cstheme="majorEastAsia"/>
                <w:b/>
                <w:bCs/>
                <w:color w:val="auto"/>
                <w:sz w:val="24"/>
                <w:highlight w:val="none"/>
                <w:lang w:val="en-US"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项目负责人</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1人</w:t>
            </w:r>
          </w:p>
        </w:tc>
        <w:tc>
          <w:tcPr>
            <w:tcW w:w="3504" w:type="dxa"/>
            <w:noWrap w:val="0"/>
            <w:vAlign w:val="center"/>
          </w:tcPr>
          <w:p>
            <w:pPr>
              <w:spacing w:line="4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spacing w:line="400" w:lineRule="exact"/>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bCs/>
                <w:color w:val="auto"/>
                <w:sz w:val="24"/>
                <w:highlight w:val="none"/>
                <w:lang w:val="en-US" w:eastAsia="zh-CN"/>
              </w:rPr>
              <w:t>道路保洁</w:t>
            </w:r>
            <w:r>
              <w:rPr>
                <w:rFonts w:hint="eastAsia" w:asciiTheme="majorEastAsia" w:hAnsiTheme="majorEastAsia" w:eastAsiaTheme="majorEastAsia" w:cstheme="majorEastAsia"/>
                <w:b/>
                <w:bCs/>
                <w:color w:val="auto"/>
                <w:sz w:val="24"/>
                <w:highlight w:val="no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val="0"/>
                <w:bCs w:val="0"/>
                <w:color w:val="auto"/>
                <w:sz w:val="24"/>
                <w:szCs w:val="22"/>
                <w:highlight w:val="none"/>
                <w:lang w:val="en-US" w:eastAsia="zh-CN"/>
              </w:rPr>
              <w:t>道路保洁</w:t>
            </w:r>
            <w:r>
              <w:rPr>
                <w:rFonts w:hint="eastAsia" w:asciiTheme="majorEastAsia" w:hAnsiTheme="majorEastAsia" w:eastAsiaTheme="majorEastAsia" w:cstheme="majorEastAsia"/>
                <w:b w:val="0"/>
                <w:bCs w:val="0"/>
                <w:color w:val="auto"/>
                <w:sz w:val="24"/>
                <w:szCs w:val="22"/>
                <w:highlight w:val="none"/>
              </w:rPr>
              <w:t>人员</w:t>
            </w:r>
          </w:p>
        </w:tc>
        <w:tc>
          <w:tcPr>
            <w:tcW w:w="1648"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43</w:t>
            </w:r>
            <w:r>
              <w:rPr>
                <w:rFonts w:hint="eastAsia" w:asciiTheme="majorEastAsia" w:hAnsiTheme="majorEastAsia" w:eastAsiaTheme="majorEastAsia" w:cstheme="majorEastAsia"/>
                <w:color w:val="auto"/>
                <w:sz w:val="24"/>
                <w:szCs w:val="22"/>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市政养护人员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市政养护人员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路灯养护人员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val="0"/>
                <w:bCs w:val="0"/>
                <w:color w:val="auto"/>
                <w:sz w:val="24"/>
                <w:highlight w:val="none"/>
                <w:lang w:val="en-US" w:eastAsia="zh-CN"/>
              </w:rPr>
              <w:t>路灯养护人员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132" w:type="dxa"/>
            <w:gridSpan w:val="4"/>
            <w:noWrap w:val="0"/>
            <w:vAlign w:val="center"/>
          </w:tcPr>
          <w:p>
            <w:pPr>
              <w:pStyle w:val="26"/>
              <w:spacing w:line="360" w:lineRule="auto"/>
              <w:ind w:firstLine="0" w:firstLineChars="0"/>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pPr>
              <w:pStyle w:val="26"/>
              <w:spacing w:line="360" w:lineRule="auto"/>
              <w:ind w:firstLine="480" w:firstLineChars="200"/>
              <w:rPr>
                <w:rFonts w:hint="eastAsia" w:asciiTheme="majorEastAsia" w:hAnsiTheme="majorEastAsia" w:eastAsiaTheme="majorEastAsia" w:cstheme="majorEastAsia"/>
                <w:bCs/>
                <w:color w:val="auto"/>
                <w:sz w:val="24"/>
                <w:szCs w:val="22"/>
                <w:highlight w:val="none"/>
                <w:lang w:val="en-US" w:eastAsia="zh-CN"/>
              </w:rPr>
            </w:pPr>
            <w:r>
              <w:rPr>
                <w:rFonts w:hint="eastAsia" w:asciiTheme="majorEastAsia" w:hAnsiTheme="majorEastAsia" w:eastAsiaTheme="majorEastAsia" w:cstheme="majorEastAsia"/>
                <w:color w:val="auto"/>
                <w:kern w:val="2"/>
                <w:sz w:val="24"/>
                <w:szCs w:val="22"/>
                <w:highlight w:val="none"/>
                <w:lang w:val="en-US" w:eastAsia="zh-CN" w:bidi="ar-SA"/>
              </w:rPr>
              <w:t>2、所有的人工费用均应考虑在投标总价中。</w:t>
            </w:r>
          </w:p>
        </w:tc>
      </w:tr>
    </w:tbl>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color w:val="auto"/>
          <w:sz w:val="24"/>
          <w:highlight w:val="none"/>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4"/>
        <w:tblpPr w:leftFromText="180" w:rightFromText="180" w:vertAnchor="text" w:horzAnchor="page" w:tblpX="1475" w:tblpY="396"/>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550"/>
        <w:gridCol w:w="98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26"/>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设备名称</w:t>
            </w:r>
          </w:p>
        </w:tc>
        <w:tc>
          <w:tcPr>
            <w:tcW w:w="2550" w:type="dxa"/>
            <w:tcBorders>
              <w:left w:val="single" w:color="auto" w:sz="4" w:space="0"/>
              <w:bottom w:val="single" w:color="auto" w:sz="4" w:space="0"/>
              <w:right w:val="single" w:color="auto" w:sz="4" w:space="0"/>
            </w:tcBorders>
            <w:noWrap w:val="0"/>
            <w:vAlign w:val="center"/>
          </w:tcPr>
          <w:p>
            <w:pPr>
              <w:pStyle w:val="26"/>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规格要求</w:t>
            </w:r>
          </w:p>
        </w:tc>
        <w:tc>
          <w:tcPr>
            <w:tcW w:w="982" w:type="dxa"/>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最低数量要求</w:t>
            </w:r>
          </w:p>
        </w:tc>
        <w:tc>
          <w:tcPr>
            <w:tcW w:w="2823" w:type="dxa"/>
            <w:tcBorders>
              <w:left w:val="single" w:color="auto" w:sz="4" w:space="0"/>
              <w:bottom w:val="single" w:color="auto" w:sz="4" w:space="0"/>
            </w:tcBorders>
            <w:noWrap w:val="0"/>
            <w:vAlign w:val="center"/>
          </w:tcPr>
          <w:p>
            <w:pPr>
              <w:pStyle w:val="26"/>
              <w:wordWrap/>
              <w:spacing w:line="500" w:lineRule="exact"/>
              <w:ind w:left="0" w:leftChars="0" w:firstLine="0" w:firstLineChars="0"/>
              <w:jc w:val="center"/>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清洗车(洒水车)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总质量16吨及以上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restart"/>
            <w:tcBorders>
              <w:top w:val="single" w:color="auto" w:sz="4" w:space="0"/>
              <w:left w:val="single" w:color="auto" w:sz="4" w:space="0"/>
              <w:bottom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仿宋" w:hAnsi="仿宋" w:eastAsia="仿宋" w:cs="仿宋"/>
                <w:color w:val="auto"/>
                <w:sz w:val="22"/>
                <w:szCs w:val="22"/>
                <w:highlight w:val="none"/>
                <w:lang w:val="en-US" w:eastAsia="zh-CN"/>
              </w:rPr>
              <w:t>注：提供车辆、设备仅用于本保洁项目的书面承诺书（格式自拟）。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0" w:type="dxa"/>
            <w:vMerge w:val="restart"/>
            <w:tcBorders>
              <w:top w:val="single" w:color="auto" w:sz="4" w:space="0"/>
              <w:left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2018" w:type="dxa"/>
            <w:vMerge w:val="restart"/>
            <w:tcBorders>
              <w:top w:val="single" w:color="auto" w:sz="4" w:space="0"/>
              <w:left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三合一洗扫车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总质量12吨及以上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0" w:type="dxa"/>
            <w:vMerge w:val="continue"/>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2018" w:type="dxa"/>
            <w:vMerge w:val="continue"/>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总质量16吨及以上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多功能抑尘车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高压冲洗车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护栏清洗车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240" w:firstLineChars="10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机械化除雪设备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（除雪车、大型铲车、加装式铲雪板、滚雪装置、加装式除雪板或山猫、凯斯等大型除雪设备）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小型清扫车（用于慢车道作业）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总质量5吨及以下或新能源</w:t>
            </w: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巡查保障车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高空作业登高车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240" w:firstLineChars="1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割灌机</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2台</w:t>
            </w:r>
          </w:p>
        </w:tc>
        <w:tc>
          <w:tcPr>
            <w:tcW w:w="2823" w:type="dxa"/>
            <w:tcBorders>
              <w:top w:val="single" w:color="auto" w:sz="4" w:space="0"/>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绿篱机（修剪机）</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top w:val="single" w:color="auto" w:sz="4" w:space="0"/>
              <w:left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2台</w:t>
            </w:r>
          </w:p>
        </w:tc>
        <w:tc>
          <w:tcPr>
            <w:tcW w:w="2823" w:type="dxa"/>
            <w:tcBorders>
              <w:top w:val="single" w:color="auto" w:sz="4" w:space="0"/>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bl>
    <w:p>
      <w:pPr>
        <w:widowControl/>
        <w:numPr>
          <w:ilvl w:val="0"/>
          <w:numId w:val="0"/>
        </w:numPr>
        <w:spacing w:line="600" w:lineRule="exact"/>
        <w:rPr>
          <w:rFonts w:hint="eastAsia" w:ascii="华文仿宋" w:hAnsi="华文仿宋" w:eastAsia="华文仿宋" w:cs="宋体"/>
          <w:b/>
          <w:color w:val="auto"/>
          <w:sz w:val="24"/>
          <w:highlight w:val="none"/>
        </w:rPr>
      </w:pPr>
    </w:p>
    <w:p>
      <w:pPr>
        <w:widowControl/>
        <w:numPr>
          <w:ilvl w:val="0"/>
          <w:numId w:val="0"/>
        </w:numPr>
        <w:spacing w:line="600" w:lineRule="exact"/>
        <w:rPr>
          <w:rFonts w:hint="eastAsia" w:ascii="华文仿宋" w:hAnsi="华文仿宋" w:eastAsia="华文仿宋" w:cs="宋体"/>
          <w:b/>
          <w:color w:val="auto"/>
          <w:sz w:val="24"/>
          <w:highlight w:val="none"/>
        </w:rPr>
      </w:pPr>
    </w:p>
    <w:p>
      <w:pPr>
        <w:widowControl/>
        <w:numPr>
          <w:ilvl w:val="0"/>
          <w:numId w:val="0"/>
        </w:numPr>
        <w:spacing w:line="600" w:lineRule="exact"/>
        <w:rPr>
          <w:rFonts w:hint="eastAsia" w:ascii="华文仿宋" w:hAnsi="华文仿宋" w:eastAsia="华文仿宋" w:cs="宋体"/>
          <w:b/>
          <w:color w:val="auto"/>
          <w:sz w:val="24"/>
          <w:highlight w:val="none"/>
        </w:rPr>
      </w:pPr>
    </w:p>
    <w:p>
      <w:pPr>
        <w:widowControl/>
        <w:numPr>
          <w:ilvl w:val="0"/>
          <w:numId w:val="0"/>
        </w:numPr>
        <w:spacing w:line="600" w:lineRule="exact"/>
        <w:rPr>
          <w:rFonts w:hint="eastAsia" w:ascii="华文仿宋" w:hAnsi="华文仿宋" w:eastAsia="华文仿宋" w:cs="宋体"/>
          <w:b/>
          <w:color w:val="auto"/>
          <w:sz w:val="24"/>
          <w:highlight w:val="none"/>
        </w:rPr>
      </w:pPr>
    </w:p>
    <w:p>
      <w:pPr>
        <w:widowControl/>
        <w:numPr>
          <w:ilvl w:val="0"/>
          <w:numId w:val="0"/>
        </w:numPr>
        <w:spacing w:line="600" w:lineRule="exact"/>
        <w:rPr>
          <w:rFonts w:hint="eastAsia" w:ascii="华文仿宋" w:hAnsi="华文仿宋" w:eastAsia="华文仿宋" w:cs="宋体"/>
          <w:b/>
          <w:color w:val="auto"/>
          <w:sz w:val="24"/>
          <w:highlight w:val="none"/>
        </w:rPr>
      </w:pPr>
    </w:p>
    <w:p>
      <w:pPr>
        <w:widowControl/>
        <w:numPr>
          <w:ilvl w:val="0"/>
          <w:numId w:val="0"/>
        </w:numPr>
        <w:spacing w:line="600" w:lineRule="exact"/>
        <w:rPr>
          <w:rFonts w:hint="eastAsia" w:asciiTheme="majorEastAsia" w:hAnsiTheme="majorEastAsia" w:eastAsiaTheme="majorEastAsia" w:cstheme="majorEastAsia"/>
          <w:color w:val="auto"/>
          <w:sz w:val="24"/>
          <w:highlight w:val="none"/>
          <w:lang w:val="en-US" w:eastAsia="zh-CN"/>
        </w:rPr>
      </w:pPr>
      <w:r>
        <w:rPr>
          <w:rFonts w:hint="eastAsia" w:ascii="华文仿宋" w:hAnsi="华文仿宋" w:eastAsia="华文仿宋" w:cs="宋体"/>
          <w:b/>
          <w:color w:val="auto"/>
          <w:sz w:val="24"/>
          <w:highlight w:val="none"/>
        </w:rPr>
        <w:t>▲</w:t>
      </w:r>
      <w:r>
        <w:rPr>
          <w:rFonts w:hint="eastAsia" w:asciiTheme="majorEastAsia" w:hAnsiTheme="majorEastAsia" w:eastAsiaTheme="majorEastAsia" w:cstheme="majorEastAsia"/>
          <w:color w:val="auto"/>
          <w:sz w:val="24"/>
          <w:highlight w:val="none"/>
          <w:lang w:val="en-US" w:eastAsia="zh-CN"/>
        </w:rPr>
        <w:t>注：以上设备要求中标单位须在收到中标通知书之日起10天内自行配备到位，并在投标文件中承诺，</w:t>
      </w:r>
      <w:r>
        <w:rPr>
          <w:rFonts w:hint="eastAsia" w:asciiTheme="majorEastAsia" w:hAnsiTheme="majorEastAsia" w:eastAsiaTheme="majorEastAsia" w:cstheme="majorEastAsia"/>
          <w:color w:val="auto"/>
          <w:sz w:val="24"/>
          <w:highlight w:val="none"/>
        </w:rPr>
        <w:t>否则视为不满足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26"/>
        <w:adjustRightInd w:val="0"/>
        <w:spacing w:line="480" w:lineRule="exact"/>
        <w:ind w:firstLine="0"/>
        <w:rPr>
          <w:rFonts w:hint="eastAsia" w:asciiTheme="majorEastAsia" w:hAnsiTheme="majorEastAsia" w:eastAsiaTheme="majorEastAsia" w:cstheme="majorEastAsia"/>
          <w:b/>
          <w:color w:val="auto"/>
          <w:kern w:val="0"/>
          <w:highlight w:val="none"/>
          <w:lang w:val="en-US" w:eastAsia="zh-CN"/>
        </w:rPr>
      </w:pPr>
      <w:r>
        <w:rPr>
          <w:rFonts w:hint="eastAsia" w:asciiTheme="majorEastAsia" w:hAnsiTheme="majorEastAsia" w:eastAsiaTheme="majorEastAsia" w:cstheme="majorEastAsia"/>
          <w:b/>
          <w:color w:val="auto"/>
          <w:kern w:val="0"/>
          <w:highlight w:val="none"/>
          <w:lang w:val="en-US" w:eastAsia="zh-CN"/>
        </w:rPr>
        <w:t>五、检查考核办法及处罚制度</w:t>
      </w:r>
    </w:p>
    <w:p>
      <w:pPr>
        <w:adjustRightInd w:val="0"/>
        <w:snapToGrid w:val="0"/>
        <w:spacing w:line="360" w:lineRule="auto"/>
        <w:ind w:firstLine="482"/>
        <w:rPr>
          <w:rFonts w:hint="eastAsia" w:asciiTheme="majorEastAsia" w:hAnsiTheme="majorEastAsia" w:eastAsiaTheme="majorEastAsia" w:cstheme="majorEastAsia"/>
          <w:b/>
          <w:color w:val="auto"/>
          <w:kern w:val="0"/>
          <w:sz w:val="24"/>
          <w:szCs w:val="24"/>
          <w:highlight w:val="none"/>
        </w:rPr>
      </w:pPr>
    </w:p>
    <w:p>
      <w:pPr>
        <w:adjustRightInd w:val="0"/>
        <w:snapToGrid w:val="0"/>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1</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color w:val="auto"/>
          <w:sz w:val="24"/>
          <w:highlight w:val="none"/>
        </w:rPr>
        <w:t>采购单位将定期和不定期地对供应商管理服务进行检查和抽查，检查记录和整改时限反馈供应商，并将每</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rPr>
        <w:t>考核结果进行反馈。服务方达不到采购单位要求及各项服务承诺，根据附件1、附件2、附件</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的考核细则进行处罚，并且采购单位有权要求其整改，直至扣款或终止合同。</w:t>
      </w:r>
    </w:p>
    <w:p>
      <w:pPr>
        <w:adjustRightInd w:val="0"/>
        <w:snapToGrid w:val="0"/>
        <w:spacing w:line="360" w:lineRule="auto"/>
        <w:ind w:firstLine="482"/>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处罚</w:t>
      </w:r>
      <w:r>
        <w:rPr>
          <w:rFonts w:hint="eastAsia" w:asciiTheme="majorEastAsia" w:hAnsiTheme="majorEastAsia" w:eastAsiaTheme="majorEastAsia" w:cstheme="majorEastAsia"/>
          <w:color w:val="auto"/>
          <w:sz w:val="24"/>
          <w:highlight w:val="none"/>
        </w:rPr>
        <w:t>措施</w:t>
      </w:r>
      <w:r>
        <w:rPr>
          <w:rFonts w:hint="eastAsia" w:asciiTheme="majorEastAsia" w:hAnsiTheme="majorEastAsia" w:eastAsiaTheme="majorEastAsia" w:cstheme="majorEastAsia"/>
          <w:color w:val="auto"/>
          <w:sz w:val="24"/>
          <w:highlight w:val="none"/>
          <w:lang w:eastAsia="zh-CN"/>
        </w:rPr>
        <w:t>：考核成绩得分在9</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lang w:eastAsia="zh-CN"/>
        </w:rPr>
        <w:t>分（含）以上的，全额支付当月市政、保洁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lang w:eastAsia="zh-CN"/>
        </w:rPr>
        <w:t>经费；月度考核得分在90</w:t>
      </w:r>
      <w:r>
        <w:rPr>
          <w:rFonts w:hint="eastAsia" w:asciiTheme="majorEastAsia" w:hAnsiTheme="majorEastAsia" w:eastAsiaTheme="majorEastAsia" w:cstheme="majorEastAsia"/>
          <w:color w:val="auto"/>
          <w:sz w:val="24"/>
          <w:highlight w:val="none"/>
          <w:lang w:val="en-US" w:eastAsia="zh-CN"/>
        </w:rPr>
        <w:t>-80</w:t>
      </w:r>
      <w:r>
        <w:rPr>
          <w:rFonts w:hint="eastAsia" w:asciiTheme="majorEastAsia" w:hAnsiTheme="majorEastAsia" w:eastAsiaTheme="majorEastAsia" w:cstheme="majorEastAsia"/>
          <w:color w:val="auto"/>
          <w:sz w:val="24"/>
          <w:highlight w:val="none"/>
          <w:lang w:eastAsia="zh-CN"/>
        </w:rPr>
        <w:t>分</w:t>
      </w:r>
      <w:r>
        <w:rPr>
          <w:rFonts w:hint="eastAsia" w:asciiTheme="majorEastAsia" w:hAnsiTheme="majorEastAsia" w:eastAsiaTheme="majorEastAsia" w:cstheme="majorEastAsia"/>
          <w:color w:val="auto"/>
          <w:sz w:val="24"/>
          <w:highlight w:val="none"/>
          <w:lang w:val="en-US" w:eastAsia="zh-CN"/>
        </w:rPr>
        <w:t>(含80分)</w:t>
      </w:r>
      <w:r>
        <w:rPr>
          <w:rFonts w:hint="eastAsia" w:asciiTheme="majorEastAsia" w:hAnsiTheme="majorEastAsia" w:eastAsiaTheme="majorEastAsia" w:cstheme="majorEastAsia"/>
          <w:color w:val="auto"/>
          <w:sz w:val="24"/>
          <w:highlight w:val="none"/>
          <w:lang w:eastAsia="zh-CN"/>
        </w:rPr>
        <w:t>的，每下降1分扣除当月养护款的</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eastAsia="zh-CN"/>
        </w:rPr>
        <w:t>%，考核得分在</w:t>
      </w:r>
      <w:r>
        <w:rPr>
          <w:rFonts w:hint="eastAsia" w:asciiTheme="majorEastAsia" w:hAnsiTheme="majorEastAsia" w:eastAsiaTheme="majorEastAsia" w:cstheme="majorEastAsia"/>
          <w:color w:val="auto"/>
          <w:sz w:val="24"/>
          <w:highlight w:val="none"/>
          <w:lang w:val="en-US" w:eastAsia="zh-CN"/>
        </w:rPr>
        <w:t>80分以下的，每下降1分扣除当月养护款的2%</w:t>
      </w:r>
      <w:r>
        <w:rPr>
          <w:rFonts w:hint="eastAsia" w:asciiTheme="majorEastAsia" w:hAnsiTheme="majorEastAsia" w:eastAsiaTheme="majorEastAsia" w:cstheme="majorEastAsia"/>
          <w:color w:val="auto"/>
          <w:sz w:val="24"/>
          <w:highlight w:val="none"/>
          <w:lang w:eastAsia="zh-CN"/>
        </w:rPr>
        <w:t>。除此之外，发生下列问题的需另行加扣。</w:t>
      </w:r>
      <w:r>
        <w:rPr>
          <w:rFonts w:hint="eastAsia" w:asciiTheme="majorEastAsia" w:hAnsiTheme="majorEastAsia" w:eastAsiaTheme="majorEastAsia" w:cstheme="majorEastAsia"/>
          <w:color w:val="auto"/>
          <w:sz w:val="24"/>
          <w:highlight w:val="none"/>
          <w:lang w:val="en-US" w:eastAsia="zh-CN"/>
        </w:rPr>
        <w:t>在“数字城管”存在返工案卷、延期未整改案卷的每件扣款500元，在市、区“城市环境长效管理”工作复核中出现复核不通过，造成街道扣分的按市级每件扣款5000元、区级每件扣款1500元。</w:t>
      </w:r>
      <w:r>
        <w:rPr>
          <w:rFonts w:hint="eastAsia" w:asciiTheme="majorEastAsia" w:hAnsiTheme="majorEastAsia" w:eastAsiaTheme="majorEastAsia" w:cstheme="majorEastAsia"/>
          <w:color w:val="auto"/>
          <w:sz w:val="24"/>
          <w:highlight w:val="none"/>
          <w:lang w:eastAsia="zh-CN"/>
        </w:rPr>
        <w:t>每日洒水频次与机扫频次未按合同约定次数完成洒水和机扫的，每少一次扣款</w:t>
      </w:r>
      <w:r>
        <w:rPr>
          <w:rFonts w:hint="eastAsia" w:asciiTheme="majorEastAsia" w:hAnsiTheme="majorEastAsia" w:eastAsiaTheme="majorEastAsia" w:cstheme="majorEastAsia"/>
          <w:color w:val="auto"/>
          <w:sz w:val="24"/>
          <w:highlight w:val="none"/>
          <w:lang w:val="en-US" w:eastAsia="zh-CN"/>
        </w:rPr>
        <w:t>1000元，保洁时间未按合同约定的保洁时长和时间段内进行保洁作业的，每出现一次扣款1000元，未按合同约定安排相应数量保洁人员的，每少一人扣款500元。被上级部门评比为最不清洁城市道路的每条扣款5万元，最不整洁城市公厕的，每座扣款1万元，最不清洁河道的，每条1万元。</w:t>
      </w:r>
    </w:p>
    <w:p>
      <w:pPr>
        <w:pStyle w:val="63"/>
        <w:keepNext w:val="0"/>
        <w:keepLines w:val="0"/>
        <w:pageBreakBefore w:val="0"/>
        <w:kinsoku/>
        <w:wordWrap/>
        <w:overflowPunct/>
        <w:topLinePunct w:val="0"/>
        <w:autoSpaceDE/>
        <w:autoSpaceDN/>
        <w:bidi w:val="0"/>
        <w:spacing w:line="440" w:lineRule="atLeast"/>
        <w:ind w:left="0" w:leftChars="0" w:firstLine="0" w:firstLineChars="0"/>
        <w:textAlignment w:val="auto"/>
        <w:rPr>
          <w:rFonts w:hint="default"/>
          <w:b/>
          <w:bCs/>
          <w:color w:val="auto"/>
          <w:highlight w:val="none"/>
          <w:lang w:val="en-US" w:eastAsia="zh-CN"/>
        </w:rPr>
      </w:pPr>
      <w:r>
        <w:rPr>
          <w:rFonts w:hint="eastAsia" w:ascii="仿宋" w:hAnsi="仿宋" w:eastAsia="仿宋" w:cs="仿宋"/>
          <w:b/>
          <w:bCs/>
          <w:color w:val="auto"/>
          <w:sz w:val="24"/>
          <w:highlight w:val="none"/>
          <w:lang w:val="en-US" w:eastAsia="zh-CN"/>
        </w:rPr>
        <w:t>六、款项支付</w:t>
      </w:r>
    </w:p>
    <w:p>
      <w:pPr>
        <w:keepNext w:val="0"/>
        <w:keepLines w:val="0"/>
        <w:pageBreakBefore w:val="0"/>
        <w:widowControl/>
        <w:kinsoku/>
        <w:wordWrap/>
        <w:overflowPunct/>
        <w:topLinePunct w:val="0"/>
        <w:autoSpaceDE/>
        <w:autoSpaceDN/>
        <w:bidi w:val="0"/>
        <w:spacing w:line="440" w:lineRule="atLeast"/>
        <w:ind w:firstLine="482"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bCs w:val="0"/>
          <w:color w:val="auto"/>
          <w:sz w:val="24"/>
          <w:highlight w:val="none"/>
        </w:rPr>
        <w:t>付款方式</w:t>
      </w:r>
      <w:r>
        <w:rPr>
          <w:rFonts w:hint="eastAsia" w:ascii="仿宋" w:hAnsi="仿宋" w:eastAsia="仿宋" w:cs="仿宋"/>
          <w:bCs/>
          <w:color w:val="auto"/>
          <w:sz w:val="24"/>
          <w:highlight w:val="none"/>
        </w:rPr>
        <w:t>:采用先作业后拨付的方式，根据街道对中标人每季度的考核结果按照处罚措施的约定于次月15日前支付上季度款项。甲方付款前，乙方应提供正式发票交甲方审核。因甲方支付上述款项须报财政审批，乙方同意在甲方通过财政审批且取得相应款项后支付，具体审批付款流程按仓前街道办事处规定执行</w:t>
      </w:r>
      <w:r>
        <w:rPr>
          <w:rFonts w:hint="eastAsia" w:ascii="仿宋" w:hAnsi="仿宋" w:eastAsia="仿宋" w:cs="仿宋"/>
          <w:bCs/>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atLeas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、特别说明：</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kern w:val="0"/>
          <w:sz w:val="24"/>
          <w:szCs w:val="24"/>
          <w:highlight w:val="none"/>
        </w:rPr>
        <w:t>《杭州市人民政府关于调整市区最低工资标准的通知》（杭政函[2021]69号，项目人员工资不得低于杭州市最低工资标准相关工资要求，日常加班工资按劳动法相关要求另行计算</w:t>
      </w:r>
      <w:r>
        <w:rPr>
          <w:rFonts w:hint="eastAsia" w:ascii="仿宋" w:hAnsi="仿宋" w:eastAsia="仿宋" w:cs="仿宋"/>
          <w:color w:val="auto"/>
          <w:kern w:val="0"/>
          <w:sz w:val="24"/>
          <w:szCs w:val="24"/>
          <w:highlight w:val="none"/>
          <w:lang w:eastAsia="zh-CN"/>
        </w:rPr>
        <w:t>。</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、中标通知书发出后15天内，中标单位须向采购人出具以下资料，否则视为自动放弃中标资格，不予签订合同：</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.1投标单位在项目所在地及其周边区域范围内有固定办公及仓库场所（综合面积不少于</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平方米）的有效证件。若办公场所、仓库为中标单位所有的，须出具本单位房产证、土地证等有效证件；若办公场所、仓库为租赁的，须出具租赁合同，且租赁到期期限须在招标合同期内。无自有或租赁的必须承诺中标后租赁固定办公及仓库、停车场所总面积在100m²及以上，由采购人现场考察确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投标单位在项目</w:t>
      </w:r>
      <w:r>
        <w:rPr>
          <w:rFonts w:hint="eastAsia" w:ascii="仿宋" w:hAnsi="仿宋" w:eastAsia="仿宋" w:cs="仿宋"/>
          <w:color w:val="auto"/>
          <w:sz w:val="24"/>
          <w:highlight w:val="none"/>
        </w:rPr>
        <w:t>所在地及其周边区域范围内若</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固定办公及仓库场所</w:t>
      </w:r>
      <w:r>
        <w:rPr>
          <w:rFonts w:hint="eastAsia" w:ascii="仿宋" w:hAnsi="仿宋" w:eastAsia="仿宋" w:cs="仿宋"/>
          <w:color w:val="auto"/>
          <w:sz w:val="24"/>
          <w:highlight w:val="none"/>
          <w:lang w:val="en-US" w:eastAsia="zh-CN"/>
        </w:rPr>
        <w:t>的，需提供意向租赁协议及相关证明材料</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.2中标单位若为</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外企业，还须提供：</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①已在</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备案的外地企业，须出具《外地施工企业管理手册》；</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②未在</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备案的外地企业，须提供由中标单位注册地建设行政主管部门（本省企业由所在地级市出具、外省企业由所在省出具）出具的当年无死亡事故、近两年无重大质量安全事故和扰乱园林市场活动、拖欠农民工工资等违法违规行为的证明。</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、中标单位在进场</w:t>
      </w:r>
      <w:r>
        <w:rPr>
          <w:rFonts w:hint="eastAsia" w:ascii="仿宋" w:hAnsi="仿宋" w:eastAsia="仿宋" w:cs="仿宋"/>
          <w:color w:val="auto"/>
          <w:sz w:val="24"/>
          <w:highlight w:val="none"/>
          <w:lang w:val="en-US" w:eastAsia="zh-CN"/>
        </w:rPr>
        <w:t>作业</w:t>
      </w:r>
      <w:r>
        <w:rPr>
          <w:rFonts w:hint="eastAsia" w:ascii="仿宋" w:hAnsi="仿宋" w:eastAsia="仿宋" w:cs="仿宋"/>
          <w:color w:val="auto"/>
          <w:sz w:val="24"/>
          <w:highlight w:val="none"/>
        </w:rPr>
        <w:t>后2个月内，须向采购人提供本项目</w:t>
      </w:r>
      <w:r>
        <w:rPr>
          <w:rFonts w:hint="eastAsia" w:ascii="仿宋" w:hAnsi="仿宋" w:eastAsia="仿宋" w:cs="仿宋"/>
          <w:color w:val="auto"/>
          <w:sz w:val="24"/>
          <w:highlight w:val="none"/>
          <w:lang w:val="en-US" w:eastAsia="zh-CN"/>
        </w:rPr>
        <w:t>作业</w:t>
      </w:r>
      <w:r>
        <w:rPr>
          <w:rFonts w:hint="eastAsia" w:ascii="仿宋" w:hAnsi="仿宋" w:eastAsia="仿宋" w:cs="仿宋"/>
          <w:color w:val="auto"/>
          <w:sz w:val="24"/>
          <w:highlight w:val="none"/>
        </w:rPr>
        <w:t>人员的养老保险为依据，经采购人核查，人员配备达不到投标要求的，要求中标单位限期整改，逾期不整改的，采购人有权终止合同。</w:t>
      </w:r>
    </w:p>
    <w:p>
      <w:pPr>
        <w:keepNext w:val="0"/>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、中标单位所提供资料，经查实为虚假材料的，或经成本核算达不到额定标准的，或经发现中标单位转包给其他企业的，或违规有关养护合同约定的，采购人有权不予签订合同或终止合同。</w:t>
      </w:r>
    </w:p>
    <w:p>
      <w:pPr>
        <w:pStyle w:val="82"/>
        <w:keepNext w:val="0"/>
        <w:keepLines w:val="0"/>
        <w:pageBreakBefore w:val="0"/>
        <w:kinsoku/>
        <w:wordWrap/>
        <w:overflowPunct/>
        <w:topLinePunct w:val="0"/>
        <w:autoSpaceDE/>
        <w:autoSpaceDN/>
        <w:bidi w:val="0"/>
        <w:spacing w:line="440" w:lineRule="atLeas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5、本项目报价包括作业人员人工工资、绿化施肥费、绿化防病防虫用药费、绿化零星补植费、防台抗雪等应急物资储备费、其他费用。</w:t>
      </w:r>
    </w:p>
    <w:p>
      <w:pPr>
        <w:adjustRightInd w:val="0"/>
        <w:snapToGrid w:val="0"/>
        <w:spacing w:line="360" w:lineRule="auto"/>
        <w:ind w:firstLine="482"/>
        <w:rPr>
          <w:rFonts w:hint="eastAsia" w:asciiTheme="majorEastAsia" w:hAnsiTheme="majorEastAsia" w:eastAsiaTheme="majorEastAsia" w:cstheme="majorEastAsia"/>
          <w:color w:val="auto"/>
          <w:sz w:val="24"/>
          <w:highlight w:val="none"/>
        </w:rPr>
      </w:pPr>
    </w:p>
    <w:p>
      <w:pPr>
        <w:jc w:val="left"/>
        <w:rPr>
          <w:rFonts w:hint="eastAsia"/>
          <w:b/>
          <w:bCs/>
          <w:color w:val="auto"/>
          <w:sz w:val="28"/>
          <w:szCs w:val="28"/>
          <w:highlight w:val="none"/>
          <w:lang w:val="en-US" w:eastAsia="zh-CN"/>
        </w:rPr>
      </w:pPr>
    </w:p>
    <w:p>
      <w:pPr>
        <w:pStyle w:val="2"/>
        <w:rPr>
          <w:rFonts w:hint="eastAsia"/>
          <w:b/>
          <w:bCs/>
          <w:color w:val="auto"/>
          <w:sz w:val="28"/>
          <w:szCs w:val="28"/>
          <w:highlight w:val="none"/>
          <w:lang w:val="en-US" w:eastAsia="zh-CN"/>
        </w:rPr>
      </w:pPr>
    </w:p>
    <w:p>
      <w:pPr>
        <w:rPr>
          <w:rFonts w:hint="eastAsia"/>
          <w:b/>
          <w:bCs/>
          <w:color w:val="auto"/>
          <w:sz w:val="28"/>
          <w:szCs w:val="28"/>
          <w:highlight w:val="none"/>
          <w:lang w:val="en-US" w:eastAsia="zh-CN"/>
        </w:rPr>
      </w:pPr>
    </w:p>
    <w:p>
      <w:pPr>
        <w:pStyle w:val="2"/>
        <w:rPr>
          <w:rFonts w:hint="eastAsia"/>
          <w:b/>
          <w:bCs/>
          <w:color w:val="auto"/>
          <w:sz w:val="28"/>
          <w:szCs w:val="28"/>
          <w:highlight w:val="none"/>
          <w:lang w:val="en-US" w:eastAsia="zh-CN"/>
        </w:rPr>
      </w:pPr>
    </w:p>
    <w:p>
      <w:pPr>
        <w:rPr>
          <w:rFonts w:hint="eastAsia"/>
          <w:b/>
          <w:bCs/>
          <w:color w:val="auto"/>
          <w:sz w:val="28"/>
          <w:szCs w:val="28"/>
          <w:highlight w:val="none"/>
          <w:lang w:val="en-US" w:eastAsia="zh-CN"/>
        </w:rPr>
      </w:pPr>
    </w:p>
    <w:p>
      <w:pPr>
        <w:pStyle w:val="2"/>
        <w:rPr>
          <w:rFonts w:hint="eastAsia"/>
          <w:color w:val="auto"/>
          <w:highlight w:val="none"/>
          <w:lang w:val="en-US" w:eastAsia="zh-CN"/>
        </w:rPr>
      </w:pPr>
    </w:p>
    <w:p>
      <w:pPr>
        <w:jc w:val="left"/>
        <w:rPr>
          <w:rFonts w:hint="eastAsia"/>
          <w:b/>
          <w:bCs/>
          <w:color w:val="auto"/>
          <w:sz w:val="28"/>
          <w:szCs w:val="28"/>
          <w:highlight w:val="none"/>
          <w:lang w:val="en-US" w:eastAsia="zh-CN"/>
        </w:rPr>
      </w:pPr>
      <w:r>
        <w:rPr>
          <w:rFonts w:hint="eastAsia"/>
          <w:b/>
          <w:bCs/>
          <w:color w:val="auto"/>
          <w:sz w:val="28"/>
          <w:szCs w:val="28"/>
          <w:highlight w:val="none"/>
          <w:lang w:val="en-US" w:eastAsia="zh-CN"/>
        </w:rPr>
        <w:t>附件1：</w:t>
      </w:r>
    </w:p>
    <w:p>
      <w:pPr>
        <w:jc w:val="center"/>
        <w:rPr>
          <w:rFonts w:hint="eastAsia"/>
          <w:b/>
          <w:bCs/>
          <w:color w:val="auto"/>
          <w:sz w:val="30"/>
          <w:szCs w:val="30"/>
          <w:highlight w:val="none"/>
          <w:lang w:val="en-US" w:eastAsia="zh-CN"/>
        </w:rPr>
      </w:pPr>
      <w:r>
        <w:rPr>
          <w:rFonts w:hint="eastAsia"/>
          <w:b/>
          <w:bCs/>
          <w:color w:val="auto"/>
          <w:sz w:val="30"/>
          <w:szCs w:val="30"/>
          <w:highlight w:val="none"/>
          <w:lang w:val="en-US" w:eastAsia="zh-CN"/>
        </w:rPr>
        <w:t>市政道路保洁养护考核评分细则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noWrap w:val="0"/>
            <w:vAlign w:val="center"/>
          </w:tcPr>
          <w:p>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考核项目</w:t>
            </w:r>
          </w:p>
        </w:tc>
        <w:tc>
          <w:tcPr>
            <w:tcW w:w="1085" w:type="dxa"/>
            <w:noWrap w:val="0"/>
            <w:vAlign w:val="center"/>
          </w:tcPr>
          <w:p>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项目内容</w:t>
            </w:r>
          </w:p>
        </w:tc>
        <w:tc>
          <w:tcPr>
            <w:tcW w:w="5953" w:type="dxa"/>
            <w:noWrap w:val="0"/>
            <w:vAlign w:val="center"/>
          </w:tcPr>
          <w:p>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评分标准</w:t>
            </w:r>
          </w:p>
        </w:tc>
        <w:tc>
          <w:tcPr>
            <w:tcW w:w="818" w:type="dxa"/>
            <w:noWrap w:val="0"/>
            <w:vAlign w:val="center"/>
          </w:tcPr>
          <w:p>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考核</w:t>
            </w:r>
          </w:p>
          <w:p>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道路清扫保洁</w:t>
            </w:r>
          </w:p>
        </w:tc>
        <w:tc>
          <w:tcPr>
            <w:tcW w:w="1085" w:type="dxa"/>
            <w:shd w:val="clear" w:color="auto" w:fill="auto"/>
            <w:noWrap w:val="0"/>
            <w:vAlign w:val="center"/>
          </w:tcPr>
          <w:p>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日常保洁</w:t>
            </w:r>
          </w:p>
        </w:tc>
        <w:tc>
          <w:tcPr>
            <w:tcW w:w="5953" w:type="dxa"/>
            <w:shd w:val="clear" w:color="auto" w:fill="FFFFFF"/>
            <w:noWrap w:val="0"/>
            <w:vAlign w:val="center"/>
          </w:tcPr>
          <w:p>
            <w:pPr>
              <w:numPr>
                <w:ilvl w:val="0"/>
                <w:numId w:val="3"/>
              </w:numPr>
              <w:spacing w:line="26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未在规定时间内普扫的每条扣5分，未全路段普扫的每条扣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分，机扫路面后垃圾未吸净而形成条或小堆的或清扫时将垃圾扫入窨井、雨水井、绿地等，扣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分；恶劣天气下，应急保障不力的扣3分</w:t>
            </w:r>
            <w:r>
              <w:rPr>
                <w:rFonts w:hint="eastAsia" w:ascii="仿宋_GB2312" w:hAnsi="仿宋" w:eastAsia="仿宋_GB2312" w:cs="仿宋"/>
                <w:color w:val="auto"/>
                <w:sz w:val="21"/>
                <w:szCs w:val="21"/>
                <w:highlight w:val="none"/>
                <w:lang w:eastAsia="zh-CN"/>
              </w:rPr>
              <w:t>，有重要保障任务，应急响应不及时的扣</w:t>
            </w:r>
            <w:r>
              <w:rPr>
                <w:rFonts w:hint="eastAsia" w:ascii="仿宋_GB2312" w:hAnsi="仿宋" w:eastAsia="仿宋_GB2312" w:cs="仿宋"/>
                <w:color w:val="auto"/>
                <w:sz w:val="21"/>
                <w:szCs w:val="21"/>
                <w:highlight w:val="none"/>
                <w:lang w:val="en-US" w:eastAsia="zh-CN"/>
              </w:rPr>
              <w:t>3分</w:t>
            </w:r>
            <w:r>
              <w:rPr>
                <w:rFonts w:hint="eastAsia" w:ascii="仿宋_GB2312" w:hAnsi="仿宋" w:eastAsia="仿宋_GB2312" w:cs="仿宋"/>
                <w:color w:val="auto"/>
                <w:sz w:val="21"/>
                <w:szCs w:val="21"/>
                <w:highlight w:val="none"/>
              </w:rPr>
              <w:t>。2.</w:t>
            </w:r>
            <w:r>
              <w:rPr>
                <w:rFonts w:hint="eastAsia" w:ascii="仿宋_GB2312" w:hAnsi="宋体" w:eastAsia="仿宋_GB2312" w:cs="宋体"/>
                <w:color w:val="auto"/>
                <w:kern w:val="0"/>
                <w:sz w:val="21"/>
                <w:szCs w:val="21"/>
                <w:highlight w:val="none"/>
              </w:rPr>
              <w:t>日常保洁及道路红线外3米范围内</w:t>
            </w:r>
            <w:r>
              <w:rPr>
                <w:rFonts w:hint="eastAsia" w:ascii="仿宋_GB2312" w:hAnsi="仿宋" w:eastAsia="仿宋_GB2312" w:cs="仿宋"/>
                <w:color w:val="auto"/>
                <w:sz w:val="21"/>
                <w:szCs w:val="21"/>
                <w:highlight w:val="none"/>
              </w:rPr>
              <w:t>不符合环卫保洁要求每处扣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-5分，其中，道路路面、绿化带、树圈等有</w:t>
            </w:r>
            <w:r>
              <w:rPr>
                <w:rFonts w:hint="eastAsia" w:ascii="仿宋_GB2312" w:hAnsi="仿宋" w:eastAsia="仿宋_GB2312" w:cs="仿宋"/>
                <w:color w:val="auto"/>
                <w:sz w:val="21"/>
                <w:szCs w:val="21"/>
                <w:highlight w:val="none"/>
                <w:lang w:eastAsia="zh-CN"/>
              </w:rPr>
              <w:t>白</w:t>
            </w:r>
            <w:r>
              <w:rPr>
                <w:rFonts w:hint="eastAsia" w:ascii="仿宋_GB2312" w:hAnsi="仿宋" w:eastAsia="仿宋_GB2312" w:cs="仿宋"/>
                <w:color w:val="auto"/>
                <w:sz w:val="21"/>
                <w:szCs w:val="21"/>
                <w:highlight w:val="none"/>
              </w:rPr>
              <w:t>色垃圾、烟蒂的，扣</w:t>
            </w:r>
            <w:r>
              <w:rPr>
                <w:rFonts w:hint="eastAsia" w:ascii="仿宋_GB2312" w:hAnsi="仿宋" w:eastAsia="仿宋_GB2312" w:cs="仿宋"/>
                <w:color w:val="auto"/>
                <w:sz w:val="21"/>
                <w:szCs w:val="21"/>
                <w:highlight w:val="none"/>
                <w:lang w:val="en-US" w:eastAsia="zh-CN"/>
              </w:rPr>
              <w:t>0</w:t>
            </w:r>
            <w:r>
              <w:rPr>
                <w:rFonts w:hint="eastAsia" w:ascii="仿宋_GB2312" w:hAnsi="仿宋" w:eastAsia="仿宋_GB2312" w:cs="仿宋"/>
                <w:color w:val="auto"/>
                <w:sz w:val="21"/>
                <w:szCs w:val="21"/>
                <w:highlight w:val="none"/>
              </w:rPr>
              <w:t>.5分；有卫生死角、道路外成堆暴露垃圾未清理每处扣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分；路面积泥（砂石）的每处扣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分；道路侧石积尘扣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分，路面污渍、污水每处扣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分；晴天道路明显积水、路面雨水井沟眼堵塞、有积泥（嵌石）每处扣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分；清扫保洁作业不规范导致路面扬尘的扣</w:t>
            </w:r>
            <w:r>
              <w:rPr>
                <w:rFonts w:hint="eastAsia" w:ascii="仿宋_GB2312" w:hAnsi="仿宋" w:eastAsia="仿宋_GB2312" w:cs="仿宋"/>
                <w:color w:val="auto"/>
                <w:sz w:val="21"/>
                <w:szCs w:val="21"/>
                <w:highlight w:val="none"/>
                <w:lang w:val="en-US" w:eastAsia="zh-CN"/>
              </w:rPr>
              <w:t>3</w:t>
            </w:r>
            <w:r>
              <w:rPr>
                <w:rFonts w:hint="eastAsia" w:ascii="仿宋_GB2312" w:hAnsi="仿宋" w:eastAsia="仿宋_GB2312" w:cs="仿宋"/>
                <w:color w:val="auto"/>
                <w:sz w:val="21"/>
                <w:szCs w:val="21"/>
                <w:highlight w:val="none"/>
              </w:rPr>
              <w:t>分；道路两侧有乱涂写、乱张贴的每处扣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车辆管理</w:t>
            </w:r>
          </w:p>
        </w:tc>
        <w:tc>
          <w:tcPr>
            <w:tcW w:w="5953" w:type="dxa"/>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未按照规定进行洒水、机扫、清洗的每次扣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分；机扫车、洒水车未按规定使用警示灯、提示音每次扣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环卫</w:t>
            </w:r>
          </w:p>
          <w:p>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设施</w:t>
            </w: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pacing w:val="-4"/>
                <w:sz w:val="21"/>
                <w:szCs w:val="21"/>
                <w:highlight w:val="none"/>
              </w:rPr>
              <w:t>垃圾收集设施</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垃圾收集设施设置不规范每处扣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分。垃圾收集设施出现内外不洁、满溢等每处扣</w:t>
            </w:r>
            <w:r>
              <w:rPr>
                <w:rFonts w:hint="eastAsia" w:ascii="仿宋_GB2312" w:hAnsi="仿宋" w:eastAsia="仿宋_GB2312" w:cs="仿宋"/>
                <w:color w:val="auto"/>
                <w:sz w:val="21"/>
                <w:szCs w:val="21"/>
                <w:highlight w:val="none"/>
                <w:lang w:val="en-US" w:eastAsia="zh-CN"/>
              </w:rPr>
              <w:t>0</w:t>
            </w:r>
            <w:r>
              <w:rPr>
                <w:rFonts w:hint="eastAsia" w:ascii="仿宋_GB2312" w:hAnsi="仿宋" w:eastAsia="仿宋_GB2312" w:cs="仿宋"/>
                <w:color w:val="auto"/>
                <w:sz w:val="21"/>
                <w:szCs w:val="21"/>
                <w:highlight w:val="none"/>
              </w:rPr>
              <w:t>.5分；垃圾收集设施破损每处扣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公厕制度、设施管理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未设置公厕管理制度牌和保洁质量监督牌，扣1.5分/处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标识标牌缺失，扣0.</w:t>
            </w:r>
            <w:r>
              <w:rPr>
                <w:rFonts w:hint="eastAsia" w:ascii="仿宋_GB2312" w:hAnsi="宋体" w:eastAsia="仿宋_GB2312"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无故关闭第三卫生间、无障碍间、男女厕位，扣3分/处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未免费向公众提供洗手液和手纸服务，扣</w:t>
            </w:r>
            <w:r>
              <w:rPr>
                <w:rFonts w:hint="eastAsia" w:ascii="仿宋_GB2312" w:hAnsi="宋体" w:eastAsia="仿宋_GB2312" w:cs="宋体"/>
                <w:color w:val="auto"/>
                <w:kern w:val="0"/>
                <w:sz w:val="21"/>
                <w:szCs w:val="21"/>
                <w:highlight w:val="none"/>
                <w:lang w:val="en-US" w:eastAsia="zh-CN"/>
              </w:rPr>
              <w:t>1</w:t>
            </w:r>
            <w:r>
              <w:rPr>
                <w:rFonts w:hint="eastAsia" w:ascii="仿宋_GB2312" w:hAnsi="宋体" w:eastAsia="仿宋_GB2312" w:cs="宋体"/>
                <w:color w:val="auto"/>
                <w:kern w:val="0"/>
                <w:sz w:val="21"/>
                <w:szCs w:val="21"/>
                <w:highlight w:val="none"/>
              </w:rPr>
              <w:t>分/处。</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公厕保洁管理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内外环境、厕位、墙面、地面和设施设备不洁 ，扣0.5分/处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未设置分类垃圾桶（其他垃圾、可回收物），垃圾桶或纸篓满溢，扣0.5分/处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有明显臭味，扣2分/处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倒粪处以及大、小便器（槽）有水锈、尿垢、积粪，扣0.</w:t>
            </w:r>
            <w:r>
              <w:rPr>
                <w:rFonts w:hint="eastAsia" w:ascii="仿宋_GB2312" w:hAnsi="宋体"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道路    设施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color w:val="auto"/>
                <w:sz w:val="21"/>
                <w:szCs w:val="21"/>
                <w:highlight w:val="none"/>
              </w:rPr>
            </w:pPr>
            <w:r>
              <w:rPr>
                <w:rFonts w:hint="eastAsia" w:ascii="仿宋_GB2312" w:eastAsia="仿宋_GB2312"/>
                <w:color w:val="auto"/>
                <w:sz w:val="21"/>
                <w:szCs w:val="21"/>
                <w:highlight w:val="none"/>
              </w:rPr>
              <w:t>养护</w:t>
            </w:r>
          </w:p>
        </w:tc>
        <w:tc>
          <w:tcPr>
            <w:tcW w:w="1085" w:type="dxa"/>
            <w:shd w:val="clear" w:color="auto" w:fill="auto"/>
            <w:noWrap w:val="0"/>
            <w:vAlign w:val="center"/>
          </w:tcPr>
          <w:p>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路面养护</w:t>
            </w:r>
          </w:p>
        </w:tc>
        <w:tc>
          <w:tcPr>
            <w:tcW w:w="5953" w:type="dxa"/>
            <w:shd w:val="clear" w:color="auto" w:fill="FFFFFF"/>
            <w:noWrap w:val="0"/>
            <w:vAlign w:val="center"/>
          </w:tcPr>
          <w:p>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路面裂缝每处扣1分,超出养护标准2倍扣3分；路面破损、网裂、接坡、碎裂等每处扣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分；1平方米以内坑洞、坑槽每处扣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分、超出1平方米扣</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分；下沉造成</w:t>
            </w:r>
            <w:r>
              <w:rPr>
                <w:rFonts w:hint="eastAsia" w:ascii="仿宋_GB2312" w:hAnsi="仿宋_GB2312" w:eastAsia="仿宋_GB2312" w:cs="仿宋_GB2312"/>
                <w:color w:val="auto"/>
                <w:sz w:val="21"/>
                <w:szCs w:val="21"/>
                <w:highlight w:val="none"/>
              </w:rPr>
              <w:t>较大面积积水</w:t>
            </w:r>
            <w:r>
              <w:rPr>
                <w:rFonts w:hint="eastAsia" w:ascii="仿宋_GB2312" w:eastAsia="仿宋_GB2312"/>
                <w:color w:val="auto"/>
                <w:sz w:val="21"/>
                <w:szCs w:val="21"/>
                <w:highlight w:val="none"/>
              </w:rPr>
              <w:t>每处</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1</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分；路面其他病害每处扣2分。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tabs>
                <w:tab w:val="left" w:pos="339"/>
              </w:tabs>
              <w:spacing w:line="300" w:lineRule="exact"/>
              <w:jc w:val="left"/>
              <w:rPr>
                <w:rFonts w:hint="eastAsia" w:ascii="仿宋_GB2312" w:hAnsi="宋体" w:eastAsia="仿宋_GB2312" w:cs="宋体"/>
                <w:color w:val="auto"/>
                <w:kern w:val="0"/>
                <w:sz w:val="21"/>
                <w:szCs w:val="21"/>
                <w:highlight w:val="none"/>
                <w:lang w:eastAsia="zh-CN"/>
              </w:rPr>
            </w:pPr>
            <w:r>
              <w:rPr>
                <w:rFonts w:hint="eastAsia" w:ascii="仿宋_GB2312" w:eastAsia="仿宋_GB2312"/>
                <w:color w:val="auto"/>
                <w:sz w:val="21"/>
                <w:szCs w:val="21"/>
                <w:highlight w:val="none"/>
              </w:rPr>
              <w:t>人行道养护</w:t>
            </w:r>
          </w:p>
        </w:tc>
        <w:tc>
          <w:tcPr>
            <w:tcW w:w="5953" w:type="dxa"/>
            <w:shd w:val="clear" w:color="auto" w:fill="FFFFFF"/>
            <w:noWrap w:val="0"/>
            <w:vAlign w:val="center"/>
          </w:tcPr>
          <w:p>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人行道破损每处扣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分、松动每处扣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分，超出养护标准2倍扣3分；1平方米以内坑洞、坑槽每处扣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分、超出1平方米扣</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分；平侧石破损缺失每处扣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分；无障碍设施不规范每处扣2分；人行道其他病害每处2分。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窨井盖养护</w:t>
            </w:r>
          </w:p>
        </w:tc>
        <w:tc>
          <w:tcPr>
            <w:tcW w:w="5953" w:type="dxa"/>
            <w:shd w:val="clear" w:color="auto" w:fill="FFFFFF"/>
            <w:noWrap w:val="0"/>
            <w:vAlign w:val="center"/>
          </w:tcPr>
          <w:p>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雨水检查井盖、雨水篦子与道路存在较大高差或破损每处扣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分；其他井盖与道路存在较大高差或破损每处扣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分；窨井井圈、盖板存在破损、断裂的每处扣</w:t>
            </w:r>
            <w:r>
              <w:rPr>
                <w:rFonts w:hint="eastAsia" w:ascii="仿宋_GB2312" w:eastAsia="仿宋_GB2312"/>
                <w:color w:val="auto"/>
                <w:sz w:val="21"/>
                <w:szCs w:val="21"/>
                <w:highlight w:val="none"/>
                <w:lang w:val="en-US" w:eastAsia="zh-CN"/>
              </w:rPr>
              <w:t>2</w:t>
            </w:r>
            <w:r>
              <w:rPr>
                <w:rFonts w:hint="eastAsia" w:ascii="仿宋_GB2312" w:eastAsia="仿宋_GB2312"/>
                <w:color w:val="auto"/>
                <w:sz w:val="21"/>
                <w:szCs w:val="21"/>
                <w:highlight w:val="none"/>
              </w:rPr>
              <w:t>分，窨井盖板缺失等存在安全隐患的每处扣5分，反盖、错盖、松动每处扣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noWrap w:val="0"/>
            <w:vAlign w:val="center"/>
          </w:tcPr>
          <w:p>
            <w:pPr>
              <w:tabs>
                <w:tab w:val="left" w:pos="279"/>
              </w:tabs>
              <w:spacing w:line="300" w:lineRule="exact"/>
              <w:jc w:val="left"/>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市政基础设施完整率</w:t>
            </w:r>
          </w:p>
        </w:tc>
        <w:tc>
          <w:tcPr>
            <w:tcW w:w="5953" w:type="dxa"/>
            <w:shd w:val="clear" w:color="auto" w:fill="FFFFFF"/>
            <w:noWrap w:val="0"/>
            <w:vAlign w:val="center"/>
          </w:tcPr>
          <w:p>
            <w:pPr>
              <w:spacing w:line="30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道路无人行道设施或人行道成段断缺、未设置无障碍设施、无照明设施等每处扣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5</w:t>
            </w:r>
            <w:r>
              <w:rPr>
                <w:rFonts w:hint="eastAsia" w:ascii="仿宋_GB2312" w:eastAsia="仿宋_GB2312"/>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color w:val="auto"/>
                <w:sz w:val="21"/>
                <w:szCs w:val="21"/>
                <w:highlight w:val="none"/>
              </w:rPr>
            </w:pPr>
            <w:r>
              <w:rPr>
                <w:rFonts w:hint="eastAsia" w:ascii="仿宋_GB2312" w:eastAsia="仿宋_GB2312"/>
                <w:color w:val="auto"/>
                <w:sz w:val="21"/>
                <w:szCs w:val="21"/>
                <w:highlight w:val="none"/>
              </w:rPr>
              <w:t>排水设施</w:t>
            </w:r>
          </w:p>
        </w:tc>
        <w:tc>
          <w:tcPr>
            <w:tcW w:w="1085" w:type="dxa"/>
            <w:shd w:val="clear" w:color="auto" w:fill="auto"/>
            <w:noWrap w:val="0"/>
            <w:vAlign w:val="center"/>
          </w:tcPr>
          <w:p>
            <w:pPr>
              <w:spacing w:line="300" w:lineRule="exact"/>
              <w:jc w:val="center"/>
              <w:rPr>
                <w:rFonts w:hint="eastAsia" w:ascii="仿宋_GB2312" w:eastAsia="仿宋_GB2312"/>
                <w:color w:val="auto"/>
                <w:sz w:val="21"/>
                <w:szCs w:val="21"/>
                <w:highlight w:val="none"/>
              </w:rPr>
            </w:pPr>
            <w:r>
              <w:rPr>
                <w:rFonts w:hint="eastAsia" w:ascii="仿宋_GB2312" w:eastAsia="仿宋_GB2312"/>
                <w:color w:val="auto"/>
                <w:spacing w:val="-8"/>
                <w:sz w:val="21"/>
                <w:szCs w:val="21"/>
                <w:highlight w:val="none"/>
              </w:rPr>
              <w:t>市政管网清淤专项检查</w:t>
            </w:r>
          </w:p>
        </w:tc>
        <w:tc>
          <w:tcPr>
            <w:tcW w:w="5953" w:type="dxa"/>
            <w:shd w:val="clear" w:color="auto" w:fill="FFFFFF"/>
            <w:noWrap w:val="0"/>
            <w:vAlign w:val="center"/>
          </w:tcPr>
          <w:p>
            <w:pPr>
              <w:spacing w:line="300" w:lineRule="exact"/>
              <w:rPr>
                <w:rFonts w:hint="eastAsia" w:ascii="仿宋_GB2312" w:eastAsia="仿宋_GB2312"/>
                <w:color w:val="auto"/>
                <w:sz w:val="21"/>
                <w:szCs w:val="21"/>
                <w:highlight w:val="none"/>
              </w:rPr>
            </w:pPr>
            <w:r>
              <w:rPr>
                <w:rFonts w:hint="eastAsia" w:ascii="仿宋_GB2312" w:eastAsia="仿宋_GB2312"/>
                <w:color w:val="auto"/>
                <w:spacing w:val="-8"/>
                <w:sz w:val="21"/>
                <w:szCs w:val="21"/>
                <w:highlight w:val="none"/>
              </w:rPr>
              <w:t>市政管网堵塞每处扣2分；积泥严重每处扣2分；</w:t>
            </w:r>
            <w:r>
              <w:rPr>
                <w:rFonts w:hint="eastAsia" w:ascii="仿宋_GB2312" w:eastAsia="仿宋_GB2312"/>
                <w:color w:val="auto"/>
                <w:sz w:val="21"/>
                <w:szCs w:val="21"/>
                <w:highlight w:val="none"/>
              </w:rPr>
              <w:t>雨污不分的每处扣3分；</w:t>
            </w:r>
            <w:r>
              <w:rPr>
                <w:rFonts w:hint="eastAsia" w:ascii="仿宋_GB2312" w:eastAsia="仿宋_GB2312"/>
                <w:color w:val="auto"/>
                <w:spacing w:val="-8"/>
                <w:sz w:val="21"/>
                <w:szCs w:val="21"/>
                <w:highlight w:val="none"/>
              </w:rPr>
              <w:t>雨污井无防坠网的每处扣3分，存在安全隐患的扣</w:t>
            </w:r>
            <w:r>
              <w:rPr>
                <w:rFonts w:hint="eastAsia" w:ascii="仿宋_GB2312" w:eastAsia="仿宋_GB2312"/>
                <w:color w:val="auto"/>
                <w:spacing w:val="-8"/>
                <w:sz w:val="21"/>
                <w:szCs w:val="21"/>
                <w:highlight w:val="none"/>
                <w:lang w:val="en-US" w:eastAsia="zh-CN"/>
              </w:rPr>
              <w:t>5</w:t>
            </w:r>
            <w:r>
              <w:rPr>
                <w:rFonts w:hint="eastAsia" w:ascii="仿宋_GB2312" w:eastAsia="仿宋_GB2312"/>
                <w:color w:val="auto"/>
                <w:spacing w:val="-8"/>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路灯设施养护</w:t>
            </w:r>
          </w:p>
        </w:tc>
        <w:tc>
          <w:tcPr>
            <w:tcW w:w="1085" w:type="dxa"/>
            <w:shd w:val="clear" w:color="auto" w:fill="auto"/>
            <w:noWrap w:val="0"/>
            <w:vAlign w:val="center"/>
          </w:tcPr>
          <w:p>
            <w:pPr>
              <w:spacing w:line="300" w:lineRule="exact"/>
              <w:jc w:val="center"/>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亮灯率</w:t>
            </w:r>
          </w:p>
        </w:tc>
        <w:tc>
          <w:tcPr>
            <w:tcW w:w="5953" w:type="dxa"/>
            <w:shd w:val="clear" w:color="auto" w:fill="FFFFFF"/>
            <w:noWrap w:val="0"/>
            <w:vAlign w:val="center"/>
          </w:tcPr>
          <w:p>
            <w:pPr>
              <w:spacing w:line="300" w:lineRule="exact"/>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亮灯率低于99%的每下降1%扣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noWrap w:val="0"/>
            <w:vAlign w:val="center"/>
          </w:tcPr>
          <w:p>
            <w:pPr>
              <w:spacing w:line="300" w:lineRule="exact"/>
              <w:jc w:val="center"/>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群众投诉</w:t>
            </w:r>
          </w:p>
        </w:tc>
        <w:tc>
          <w:tcPr>
            <w:tcW w:w="5953" w:type="dxa"/>
            <w:shd w:val="clear" w:color="auto" w:fill="FFFFFF"/>
            <w:noWrap w:val="0"/>
            <w:vAlign w:val="center"/>
          </w:tcPr>
          <w:p>
            <w:pPr>
              <w:spacing w:line="300" w:lineRule="exact"/>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投诉未按时亮熄灯，每处每次扣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分;投诉管养不到位有一盏不亮，扣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设施完好率</w:t>
            </w:r>
          </w:p>
        </w:tc>
        <w:tc>
          <w:tcPr>
            <w:tcW w:w="5953" w:type="dxa"/>
            <w:shd w:val="clear" w:color="auto" w:fill="FFFFFF"/>
            <w:noWrap w:val="0"/>
            <w:vAlign w:val="center"/>
          </w:tcPr>
          <w:p>
            <w:pPr>
              <w:spacing w:line="30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路灯设施倾斜、缺损每处扣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分；油漆剥落和锈斑、外观不整洁每处扣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安全文明施工</w:t>
            </w: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highlight w:val="none"/>
                <w:lang w:eastAsia="zh-CN"/>
              </w:rPr>
            </w:pPr>
            <w:r>
              <w:rPr>
                <w:rFonts w:hint="eastAsia" w:ascii="仿宋_GB2312" w:hAnsi="宋体" w:eastAsia="仿宋_GB2312" w:cs="宋体"/>
                <w:color w:val="auto"/>
                <w:kern w:val="0"/>
                <w:sz w:val="21"/>
                <w:szCs w:val="21"/>
                <w:highlight w:val="none"/>
              </w:rPr>
              <w:t>安全管理</w:t>
            </w:r>
          </w:p>
        </w:tc>
        <w:tc>
          <w:tcPr>
            <w:tcW w:w="5953" w:type="dxa"/>
            <w:shd w:val="clear" w:color="auto" w:fill="FFFFFF"/>
            <w:noWrap w:val="0"/>
            <w:vAlign w:val="center"/>
          </w:tcPr>
          <w:p>
            <w:pPr>
              <w:spacing w:line="300" w:lineRule="exact"/>
              <w:rPr>
                <w:rFonts w:hint="eastAsia"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环卫工人未按规定着装、不遵守交通规则、未文明规范作业，环卫车辆未设置反光标识每处</w:t>
            </w:r>
            <w:r>
              <w:rPr>
                <w:rFonts w:hint="eastAsia" w:ascii="仿宋_GB2312" w:hAnsi="仿宋" w:eastAsia="仿宋_GB2312" w:cs="仿宋"/>
                <w:color w:val="auto"/>
                <w:sz w:val="21"/>
                <w:szCs w:val="21"/>
                <w:highlight w:val="none"/>
              </w:rPr>
              <w:t>扣2分</w:t>
            </w:r>
            <w:r>
              <w:rPr>
                <w:rFonts w:hint="eastAsia" w:ascii="仿宋_GB2312" w:hAnsi="宋体" w:eastAsia="仿宋_GB2312" w:cs="宋体"/>
                <w:color w:val="auto"/>
                <w:kern w:val="0"/>
                <w:sz w:val="21"/>
                <w:szCs w:val="21"/>
                <w:highlight w:val="none"/>
              </w:rPr>
              <w:t>。</w:t>
            </w:r>
            <w:r>
              <w:rPr>
                <w:rFonts w:hint="eastAsia" w:ascii="仿宋_GB2312" w:hAnsi="仿宋" w:eastAsia="仿宋_GB2312" w:cs="仿宋"/>
                <w:color w:val="auto"/>
                <w:sz w:val="21"/>
                <w:szCs w:val="21"/>
                <w:highlight w:val="none"/>
              </w:rPr>
              <w:t>因上述原因造成安全事故未上报扣2分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vMerge w:val="restart"/>
            <w:shd w:val="clear" w:color="auto" w:fill="auto"/>
            <w:noWrap w:val="0"/>
            <w:vAlign w:val="center"/>
          </w:tcPr>
          <w:p>
            <w:pPr>
              <w:tabs>
                <w:tab w:val="left" w:pos="354"/>
              </w:tabs>
              <w:spacing w:line="300" w:lineRule="exact"/>
              <w:jc w:val="lef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养护作业</w:t>
            </w: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发现违章施工每次扣3分，养护不当存在安全隐患的每处扣5分。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vMerge w:val="continue"/>
            <w:shd w:val="clear" w:color="auto" w:fill="auto"/>
            <w:noWrap w:val="0"/>
            <w:vAlign w:val="center"/>
          </w:tcPr>
          <w:p>
            <w:pPr>
              <w:tabs>
                <w:tab w:val="left" w:pos="354"/>
              </w:tabs>
              <w:spacing w:line="300" w:lineRule="exact"/>
              <w:jc w:val="left"/>
              <w:rPr>
                <w:rFonts w:hint="eastAsia" w:ascii="仿宋_GB2312" w:hAnsi="宋体" w:eastAsia="仿宋_GB2312" w:cs="宋体"/>
                <w:color w:val="auto"/>
                <w:kern w:val="0"/>
                <w:sz w:val="21"/>
                <w:szCs w:val="21"/>
                <w:highlight w:val="none"/>
              </w:rPr>
            </w:pP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不文明施工，无围护扣5分、围护不到位扣2分、着装不规范扣2分。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noWrap w:val="0"/>
            <w:vAlign w:val="center"/>
          </w:tcPr>
          <w:p>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监督管理</w:t>
            </w:r>
          </w:p>
        </w:tc>
        <w:tc>
          <w:tcPr>
            <w:tcW w:w="5953" w:type="dxa"/>
            <w:shd w:val="clear" w:color="auto" w:fill="FFFFFF"/>
            <w:noWrap w:val="0"/>
            <w:vAlign w:val="center"/>
          </w:tcPr>
          <w:p>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未经审批私自开挖市政道路或未按市政养护规范要求恢复，及管养区域其他市政设施不规范问题等每处扣</w:t>
            </w:r>
            <w:r>
              <w:rPr>
                <w:rFonts w:ascii="仿宋_GB2312" w:eastAsia="仿宋_GB2312"/>
                <w:color w:val="auto"/>
                <w:sz w:val="21"/>
                <w:szCs w:val="21"/>
                <w:highlight w:val="none"/>
              </w:rPr>
              <w:t>2-</w:t>
            </w:r>
            <w:r>
              <w:rPr>
                <w:rFonts w:hint="eastAsia" w:ascii="仿宋_GB2312" w:eastAsia="仿宋_GB2312"/>
                <w:color w:val="auto"/>
                <w:sz w:val="21"/>
                <w:szCs w:val="21"/>
                <w:highlight w:val="none"/>
              </w:rPr>
              <w:t>5分。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noWrap w:val="0"/>
            <w:vAlign w:val="center"/>
          </w:tcPr>
          <w:p>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hAnsi="仿宋" w:eastAsia="仿宋_GB2312" w:cs="仿宋"/>
                <w:color w:val="auto"/>
                <w:sz w:val="21"/>
                <w:szCs w:val="21"/>
                <w:highlight w:val="none"/>
                <w:lang w:eastAsia="zh-CN"/>
              </w:rPr>
              <w:t>其它事宜</w:t>
            </w:r>
          </w:p>
        </w:tc>
        <w:tc>
          <w:tcPr>
            <w:tcW w:w="7045" w:type="dxa"/>
            <w:gridSpan w:val="3"/>
            <w:noWrap w:val="0"/>
            <w:vAlign w:val="center"/>
          </w:tcPr>
          <w:p>
            <w:pPr>
              <w:spacing w:line="300" w:lineRule="exact"/>
              <w:rPr>
                <w:rFonts w:hint="eastAsia" w:ascii="仿宋_GB2312" w:hAnsi="仿宋" w:eastAsia="仿宋_GB2312" w:cs="仿宋"/>
                <w:color w:val="auto"/>
                <w:sz w:val="21"/>
                <w:szCs w:val="21"/>
                <w:highlight w:val="none"/>
              </w:rPr>
            </w:pP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noWrap w:val="0"/>
            <w:vAlign w:val="center"/>
          </w:tcPr>
          <w:p>
            <w:pPr>
              <w:spacing w:line="300" w:lineRule="exact"/>
              <w:jc w:val="center"/>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评分合计</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noWrap w:val="0"/>
            <w:vAlign w:val="center"/>
          </w:tcPr>
          <w:p>
            <w:pPr>
              <w:widowControl/>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备注</w:t>
            </w:r>
          </w:p>
        </w:tc>
        <w:tc>
          <w:tcPr>
            <w:tcW w:w="7045" w:type="dxa"/>
            <w:gridSpan w:val="3"/>
            <w:noWrap w:val="0"/>
            <w:vAlign w:val="center"/>
          </w:tcPr>
          <w:p>
            <w:pPr>
              <w:widowControl/>
              <w:spacing w:line="300" w:lineRule="exact"/>
              <w:rPr>
                <w:rFonts w:hint="eastAsia" w:ascii="仿宋_GB2312" w:eastAsia="仿宋_GB2312"/>
                <w:color w:val="auto"/>
                <w:sz w:val="21"/>
                <w:szCs w:val="21"/>
                <w:highlight w:val="none"/>
              </w:rPr>
            </w:pPr>
            <w:r>
              <w:rPr>
                <w:rFonts w:hint="eastAsia" w:ascii="仿宋_GB2312" w:hAnsi="仿宋" w:eastAsia="仿宋_GB2312" w:cs="仿宋"/>
                <w:color w:val="auto"/>
                <w:sz w:val="21"/>
                <w:szCs w:val="21"/>
                <w:highlight w:val="none"/>
              </w:rPr>
              <w:t>1.</w:t>
            </w:r>
            <w:r>
              <w:rPr>
                <w:rFonts w:hint="eastAsia" w:ascii="仿宋_GB2312" w:hAnsi="仿宋" w:eastAsia="仿宋_GB2312" w:cs="仿宋"/>
                <w:color w:val="auto"/>
                <w:sz w:val="21"/>
                <w:szCs w:val="21"/>
                <w:highlight w:val="none"/>
                <w:lang w:eastAsia="zh-CN"/>
              </w:rPr>
              <w:t>其它</w:t>
            </w:r>
            <w:r>
              <w:rPr>
                <w:rFonts w:hint="eastAsia" w:ascii="仿宋_GB2312" w:hAnsi="仿宋" w:eastAsia="仿宋_GB2312" w:cs="仿宋"/>
                <w:color w:val="auto"/>
                <w:sz w:val="21"/>
                <w:szCs w:val="21"/>
                <w:highlight w:val="none"/>
              </w:rPr>
              <w:t>未尽事宜，当月可视情况酌情</w:t>
            </w:r>
            <w:r>
              <w:rPr>
                <w:rFonts w:hint="eastAsia" w:ascii="仿宋_GB2312" w:hAnsi="宋体" w:eastAsia="仿宋_GB2312" w:cs="宋体"/>
                <w:color w:val="auto"/>
                <w:kern w:val="0"/>
                <w:sz w:val="21"/>
                <w:szCs w:val="21"/>
                <w:highlight w:val="none"/>
              </w:rPr>
              <w:t>加、扣1-5分。</w:t>
            </w:r>
          </w:p>
        </w:tc>
        <w:tc>
          <w:tcPr>
            <w:tcW w:w="818" w:type="dxa"/>
            <w:noWrap w:val="0"/>
            <w:vAlign w:val="center"/>
          </w:tcPr>
          <w:p>
            <w:pPr>
              <w:spacing w:line="300" w:lineRule="exact"/>
              <w:rPr>
                <w:rFonts w:hint="eastAsia" w:ascii="仿宋_GB2312" w:hAnsi="仿宋" w:eastAsia="仿宋_GB2312" w:cs="仿宋"/>
                <w:color w:val="auto"/>
                <w:sz w:val="21"/>
                <w:szCs w:val="21"/>
                <w:highlight w:val="none"/>
              </w:rPr>
            </w:pPr>
          </w:p>
        </w:tc>
      </w:tr>
    </w:tbl>
    <w:p>
      <w:pPr>
        <w:ind w:firstLine="560" w:firstLineChars="200"/>
        <w:jc w:val="both"/>
        <w:rPr>
          <w:rFonts w:hint="eastAsia"/>
          <w:b w:val="0"/>
          <w:bCs w:val="0"/>
          <w:color w:val="auto"/>
          <w:sz w:val="28"/>
          <w:szCs w:val="28"/>
          <w:highlight w:val="none"/>
          <w:lang w:val="en-US" w:eastAsia="zh-CN"/>
        </w:rPr>
      </w:pPr>
    </w:p>
    <w:p>
      <w:pPr>
        <w:ind w:firstLine="560" w:firstLineChars="200"/>
        <w:jc w:val="both"/>
        <w:rPr>
          <w:rFonts w:hint="eastAsia"/>
          <w:b w:val="0"/>
          <w:bCs w:val="0"/>
          <w:color w:val="auto"/>
          <w:sz w:val="28"/>
          <w:szCs w:val="28"/>
          <w:highlight w:val="none"/>
          <w:lang w:val="en-US" w:eastAsia="zh-CN"/>
        </w:rPr>
      </w:pPr>
    </w:p>
    <w:p>
      <w:pPr>
        <w:ind w:firstLine="560" w:firstLineChars="200"/>
        <w:jc w:val="both"/>
        <w:rPr>
          <w:rFonts w:hint="eastAsia"/>
          <w:b w:val="0"/>
          <w:bCs w:val="0"/>
          <w:color w:val="auto"/>
          <w:sz w:val="28"/>
          <w:szCs w:val="28"/>
          <w:highlight w:val="none"/>
          <w:lang w:val="en-US" w:eastAsia="zh-CN"/>
        </w:rPr>
      </w:pPr>
    </w:p>
    <w:p>
      <w:pPr>
        <w:pStyle w:val="23"/>
        <w:rPr>
          <w:rFonts w:hint="eastAsia"/>
          <w:b w:val="0"/>
          <w:bCs w:val="0"/>
          <w:color w:val="auto"/>
          <w:sz w:val="28"/>
          <w:szCs w:val="28"/>
          <w:highlight w:val="none"/>
          <w:lang w:val="en-US" w:eastAsia="zh-CN"/>
        </w:rPr>
      </w:pPr>
    </w:p>
    <w:p>
      <w:pPr>
        <w:pStyle w:val="24"/>
        <w:rPr>
          <w:rFonts w:hint="eastAsia"/>
          <w:b w:val="0"/>
          <w:bCs w:val="0"/>
          <w:color w:val="auto"/>
          <w:sz w:val="28"/>
          <w:szCs w:val="28"/>
          <w:highlight w:val="none"/>
          <w:lang w:val="en-US" w:eastAsia="zh-CN"/>
        </w:rPr>
      </w:pPr>
    </w:p>
    <w:p>
      <w:pPr>
        <w:pStyle w:val="25"/>
        <w:rPr>
          <w:rFonts w:hint="eastAsia"/>
          <w:b w:val="0"/>
          <w:bCs w:val="0"/>
          <w:color w:val="auto"/>
          <w:sz w:val="28"/>
          <w:szCs w:val="28"/>
          <w:highlight w:val="none"/>
          <w:lang w:val="en-US" w:eastAsia="zh-CN"/>
        </w:rPr>
      </w:pPr>
    </w:p>
    <w:p>
      <w:pPr>
        <w:rPr>
          <w:rFonts w:hint="eastAsia"/>
          <w:b w:val="0"/>
          <w:bCs w:val="0"/>
          <w:color w:val="auto"/>
          <w:sz w:val="28"/>
          <w:szCs w:val="28"/>
          <w:highlight w:val="none"/>
          <w:lang w:val="en-US" w:eastAsia="zh-CN"/>
        </w:rPr>
      </w:pPr>
    </w:p>
    <w:p>
      <w:pPr>
        <w:pStyle w:val="23"/>
        <w:rPr>
          <w:rFonts w:hint="eastAsia"/>
          <w:b w:val="0"/>
          <w:bCs w:val="0"/>
          <w:color w:val="auto"/>
          <w:sz w:val="28"/>
          <w:szCs w:val="28"/>
          <w:highlight w:val="none"/>
          <w:lang w:val="en-US" w:eastAsia="zh-CN"/>
        </w:rPr>
      </w:pPr>
    </w:p>
    <w:p>
      <w:pPr>
        <w:pStyle w:val="24"/>
        <w:rPr>
          <w:rFonts w:hint="eastAsia"/>
          <w:b w:val="0"/>
          <w:bCs w:val="0"/>
          <w:color w:val="auto"/>
          <w:sz w:val="28"/>
          <w:szCs w:val="28"/>
          <w:highlight w:val="none"/>
          <w:lang w:val="en-US" w:eastAsia="zh-CN"/>
        </w:rPr>
      </w:pPr>
    </w:p>
    <w:p>
      <w:pPr>
        <w:pStyle w:val="25"/>
        <w:rPr>
          <w:rFonts w:hint="eastAsia"/>
          <w:b w:val="0"/>
          <w:bCs w:val="0"/>
          <w:color w:val="auto"/>
          <w:sz w:val="28"/>
          <w:szCs w:val="28"/>
          <w:highlight w:val="none"/>
          <w:lang w:val="en-US" w:eastAsia="zh-CN"/>
        </w:rPr>
      </w:pPr>
    </w:p>
    <w:p>
      <w:pPr>
        <w:rPr>
          <w:rFonts w:hint="eastAsia"/>
          <w:color w:val="auto"/>
          <w:highlight w:val="none"/>
          <w:lang w:val="en-US" w:eastAsia="zh-CN"/>
        </w:rPr>
      </w:pPr>
    </w:p>
    <w:p>
      <w:pPr>
        <w:pStyle w:val="24"/>
        <w:rPr>
          <w:rFonts w:hint="eastAsia"/>
          <w:b w:val="0"/>
          <w:bCs w:val="0"/>
          <w:color w:val="auto"/>
          <w:sz w:val="28"/>
          <w:szCs w:val="28"/>
          <w:highlight w:val="none"/>
          <w:lang w:val="en-US" w:eastAsia="zh-CN"/>
        </w:rPr>
      </w:pPr>
    </w:p>
    <w:p>
      <w:pPr>
        <w:pStyle w:val="25"/>
        <w:rPr>
          <w:rFonts w:hint="eastAsia"/>
          <w:b w:val="0"/>
          <w:bCs w:val="0"/>
          <w:color w:val="auto"/>
          <w:sz w:val="28"/>
          <w:szCs w:val="28"/>
          <w:highlight w:val="none"/>
          <w:lang w:val="en-US" w:eastAsia="zh-CN"/>
        </w:rPr>
      </w:pPr>
    </w:p>
    <w:p>
      <w:pPr>
        <w:rPr>
          <w:rFonts w:hint="eastAsia"/>
          <w:b w:val="0"/>
          <w:bCs w:val="0"/>
          <w:color w:val="auto"/>
          <w:sz w:val="28"/>
          <w:szCs w:val="28"/>
          <w:highlight w:val="none"/>
          <w:lang w:val="en-US" w:eastAsia="zh-CN"/>
        </w:rPr>
      </w:pPr>
    </w:p>
    <w:p>
      <w:pPr>
        <w:ind w:firstLine="560" w:firstLineChars="200"/>
        <w:jc w:val="both"/>
        <w:rPr>
          <w:rFonts w:hint="eastAsia"/>
          <w:b w:val="0"/>
          <w:bCs w:val="0"/>
          <w:color w:val="auto"/>
          <w:sz w:val="28"/>
          <w:szCs w:val="28"/>
          <w:highlight w:val="none"/>
          <w:lang w:val="en-US" w:eastAsia="zh-CN"/>
        </w:rPr>
      </w:pPr>
    </w:p>
    <w:p>
      <w:pPr>
        <w:pStyle w:val="2"/>
        <w:rPr>
          <w:rFonts w:hint="eastAsia"/>
          <w:color w:val="auto"/>
          <w:highlight w:val="none"/>
          <w:lang w:val="en-US" w:eastAsia="zh-CN"/>
        </w:rPr>
      </w:pPr>
    </w:p>
    <w:p>
      <w:pPr>
        <w:jc w:val="left"/>
        <w:rPr>
          <w:rFonts w:hint="eastAsia"/>
          <w:b/>
          <w:bCs/>
          <w:color w:val="auto"/>
          <w:sz w:val="28"/>
          <w:szCs w:val="28"/>
          <w:highlight w:val="none"/>
          <w:lang w:val="en-US" w:eastAsia="zh-CN"/>
        </w:rPr>
      </w:pPr>
      <w:r>
        <w:rPr>
          <w:rFonts w:hint="eastAsia"/>
          <w:b/>
          <w:bCs/>
          <w:color w:val="auto"/>
          <w:sz w:val="28"/>
          <w:szCs w:val="28"/>
          <w:highlight w:val="none"/>
          <w:lang w:val="en-US" w:eastAsia="zh-CN"/>
        </w:rPr>
        <w:t>附件2：</w:t>
      </w:r>
    </w:p>
    <w:p>
      <w:pPr>
        <w:ind w:firstLine="602" w:firstLineChars="200"/>
        <w:jc w:val="center"/>
        <w:rPr>
          <w:rFonts w:hint="eastAsia"/>
          <w:b/>
          <w:bCs/>
          <w:color w:val="auto"/>
          <w:sz w:val="30"/>
          <w:szCs w:val="30"/>
          <w:highlight w:val="none"/>
          <w:lang w:val="en-US" w:eastAsia="zh-CN"/>
        </w:rPr>
      </w:pPr>
      <w:r>
        <w:rPr>
          <w:rFonts w:hint="eastAsia"/>
          <w:b/>
          <w:bCs/>
          <w:color w:val="auto"/>
          <w:sz w:val="30"/>
          <w:szCs w:val="30"/>
          <w:highlight w:val="none"/>
          <w:lang w:val="en-US" w:eastAsia="zh-CN"/>
        </w:rPr>
        <w:t>绿地绿化养护管理考核评分细则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植</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物</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基</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本</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养</w:t>
            </w:r>
          </w:p>
          <w:p>
            <w:pPr>
              <w:spacing w:line="400" w:lineRule="exact"/>
              <w:jc w:val="center"/>
              <w:rPr>
                <w:rFonts w:hint="eastAsia" w:ascii="仿宋_GB2312" w:eastAsia="仿宋_GB2312" w:cs="宋体"/>
                <w:strike/>
                <w:color w:val="auto"/>
                <w:kern w:val="0"/>
                <w:sz w:val="21"/>
                <w:szCs w:val="21"/>
                <w:highlight w:val="none"/>
              </w:rPr>
            </w:pPr>
            <w:r>
              <w:rPr>
                <w:rFonts w:hint="eastAsia" w:ascii="仿宋_GB2312" w:eastAsia="仿宋_GB2312" w:cs="宋体"/>
                <w:color w:val="auto"/>
                <w:kern w:val="0"/>
                <w:sz w:val="21"/>
                <w:szCs w:val="21"/>
                <w:highlight w:val="none"/>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行道树和乔木死株、缺株，每处扣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w:t>
            </w:r>
            <w:r>
              <w:rPr>
                <w:rFonts w:hint="eastAsia" w:ascii="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s="宋体"/>
                <w:color w:val="auto"/>
                <w:kern w:val="0"/>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行道树和乔木支撑不规范、支撑架倒塌、断桩、坏桩、树木倾斜严重，每处扣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行道树和乔木病虫枝、枯枝、伤损枝、徒长枝超过养护标准的，未疏枝、树皮开裂、孔洞未及时填补，每处扣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分；修剪不规范造成树木严重受损的，每处扣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分，沿线出现严重修剪问题每次扣</w:t>
            </w:r>
            <w:r>
              <w:rPr>
                <w:rFonts w:hint="eastAsia" w:ascii="仿宋_GB2312" w:eastAsia="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w:t>
            </w:r>
            <w:r>
              <w:rPr>
                <w:rFonts w:hint="eastAsia" w:ascii="仿宋_GB2312" w:cs="宋体"/>
                <w:color w:val="auto"/>
                <w:kern w:val="0"/>
                <w:sz w:val="21"/>
                <w:szCs w:val="21"/>
                <w:highlight w:val="none"/>
                <w:lang w:val="en-US" w:eastAsia="zh-CN"/>
              </w:rPr>
              <w:t>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行道树和乔木长势不佳、偏冠严重、无冠幅，每处扣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分；树木长势较弱，黄叶、焦叶、落叶株数较多，每处扣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树穴土壤高于侧石、板结、填充物缺失，每处扣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分；0.5平方米以内树穴裸露扣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分，超出0.5平方米每处扣</w:t>
            </w:r>
            <w:r>
              <w:rPr>
                <w:rFonts w:hint="eastAsia" w:ascii="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lang w:val="en-US" w:eastAsia="zh-CN"/>
              </w:rPr>
            </w:pPr>
            <w:r>
              <w:rPr>
                <w:rFonts w:hint="eastAsia" w:ascii="仿宋_GB2312" w:eastAsia="仿宋_GB2312"/>
                <w:color w:val="auto"/>
                <w:spacing w:val="-8"/>
                <w:sz w:val="21"/>
                <w:szCs w:val="21"/>
                <w:highlight w:val="none"/>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绿篱和灌木出现死株、缺株、混种、小道、杂株返祖的、绿植倒伏，每处</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分；0.5平方米以内黄土裸露每处扣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分，超出0.5平方米每处扣</w:t>
            </w:r>
            <w:r>
              <w:rPr>
                <w:rFonts w:hint="eastAsia" w:ascii="仿宋_GB2312" w:eastAsia="仿宋_GB2312" w:cs="宋体"/>
                <w:color w:val="auto"/>
                <w:kern w:val="0"/>
                <w:sz w:val="21"/>
                <w:szCs w:val="21"/>
                <w:highlight w:val="none"/>
                <w:lang w:val="en-US" w:eastAsia="zh-CN"/>
              </w:rPr>
              <w:t>1.5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草坪高度超出养护标准、草坪边缘不清淅、草坪空秃、草坪覆盖率低的，每处扣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分，0.5平方米以内黄土裸露的，每处扣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分，超出0.5平方米每处扣</w:t>
            </w:r>
            <w:r>
              <w:rPr>
                <w:rFonts w:hint="eastAsia" w:ascii="仿宋_GB2312" w:eastAsia="仿宋_GB2312" w:cs="宋体"/>
                <w:color w:val="auto"/>
                <w:kern w:val="0"/>
                <w:sz w:val="21"/>
                <w:szCs w:val="21"/>
                <w:highlight w:val="none"/>
                <w:lang w:val="en-US" w:eastAsia="zh-CN"/>
              </w:rPr>
              <w:t>1.5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绿地内杂草超过养护标准的，每处扣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r>
              <w:rPr>
                <w:rFonts w:ascii="仿宋_GB2312" w:eastAsia="仿宋_GB2312" w:cs="宋体"/>
                <w:color w:val="auto"/>
                <w:kern w:val="0"/>
                <w:sz w:val="21"/>
                <w:szCs w:val="21"/>
                <w:highlight w:val="none"/>
              </w:rPr>
              <w:t xml:space="preserve">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花坛花箱内时花缺株、倒伏、枯枝残花、杂草垃圾等每处扣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绿化补种不规范、以及绿地养护出现其他问题的每处扣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分;管养区域内绿地失管每处扣</w:t>
            </w:r>
            <w:r>
              <w:rPr>
                <w:rFonts w:hint="eastAsia" w:ascii="仿宋_GB2312" w:eastAsia="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病</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虫</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害</w:t>
            </w:r>
          </w:p>
          <w:p>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防</w:t>
            </w:r>
          </w:p>
          <w:p>
            <w:pPr>
              <w:spacing w:line="400" w:lineRule="exact"/>
              <w:jc w:val="center"/>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发生病虫害每处扣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r>
              <w:rPr>
                <w:rFonts w:hint="eastAsia" w:ascii="仿宋_GB2312" w:eastAsia="仿宋_GB2312" w:cs="宋体"/>
                <w:b/>
                <w:bCs/>
                <w:color w:val="auto"/>
                <w:kern w:val="0"/>
                <w:sz w:val="21"/>
                <w:szCs w:val="21"/>
                <w:highlight w:val="none"/>
              </w:rPr>
              <w:t>，</w:t>
            </w:r>
            <w:r>
              <w:rPr>
                <w:rFonts w:hint="eastAsia" w:ascii="仿宋_GB2312" w:eastAsia="仿宋_GB2312" w:cs="宋体"/>
                <w:color w:val="auto"/>
                <w:kern w:val="0"/>
                <w:sz w:val="21"/>
                <w:szCs w:val="21"/>
                <w:highlight w:val="none"/>
              </w:rPr>
              <w:t>大面积爆发扣</w:t>
            </w:r>
            <w:r>
              <w:rPr>
                <w:rFonts w:hint="eastAsia" w:ascii="仿宋_GB2312" w:eastAsia="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r>
              <w:rPr>
                <w:rFonts w:hint="eastAsia" w:ascii="仿宋_GB2312" w:eastAsia="仿宋_GB2312" w:cs="宋体"/>
                <w:b/>
                <w:bCs/>
                <w:color w:val="auto"/>
                <w:kern w:val="0"/>
                <w:sz w:val="21"/>
                <w:szCs w:val="21"/>
                <w:highlight w:val="none"/>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发现病虫害未及时进行防治措施的每处扣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分。病虫害防治措施不到位的每处扣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食叶性害虫危害树木，每处扣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发现活蛀虫和活卵，每处扣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rPr>
            </w:pPr>
          </w:p>
          <w:p>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绿化</w:t>
            </w:r>
          </w:p>
          <w:p>
            <w:pPr>
              <w:spacing w:line="420" w:lineRule="exact"/>
              <w:jc w:val="center"/>
              <w:rPr>
                <w:rFonts w:hint="eastAsia" w:ascii="仿宋_GB2312" w:eastAsia="仿宋_GB2312" w:cs="宋体"/>
                <w:strike/>
                <w:color w:val="auto"/>
                <w:kern w:val="0"/>
                <w:sz w:val="21"/>
                <w:szCs w:val="21"/>
                <w:highlight w:val="none"/>
              </w:rPr>
            </w:pPr>
            <w:r>
              <w:rPr>
                <w:rFonts w:hint="eastAsia" w:ascii="仿宋_GB2312" w:eastAsia="仿宋_GB2312" w:cs="宋体"/>
                <w:color w:val="auto"/>
                <w:kern w:val="0"/>
                <w:sz w:val="21"/>
                <w:szCs w:val="21"/>
                <w:highlight w:val="none"/>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花箱、花坛、树穴破损、缺失扣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分，其他设施缺失扣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公园及绿地内果壳箱有污迹、破损，箱内垃圾未日产日清的，每处扣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设施有污迹、破损，金属构件设施有锈斑，油漆剥落等现象的每处扣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分，公园设施存在明显安全隐患，未采取安全措施的，每处扣</w:t>
            </w:r>
            <w:r>
              <w:rPr>
                <w:rFonts w:hint="eastAsia" w:ascii="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rPr>
            </w:pPr>
          </w:p>
          <w:p>
            <w:pPr>
              <w:spacing w:line="420" w:lineRule="exact"/>
              <w:jc w:val="center"/>
              <w:rPr>
                <w:rFonts w:hint="eastAsia" w:ascii="仿宋_GB2312" w:eastAsia="仿宋_GB2312" w:cs="宋体"/>
                <w:color w:val="auto"/>
                <w:kern w:val="0"/>
                <w:sz w:val="21"/>
                <w:szCs w:val="21"/>
                <w:highlight w:val="none"/>
              </w:rPr>
            </w:pPr>
          </w:p>
          <w:p>
            <w:pPr>
              <w:spacing w:line="420" w:lineRule="exact"/>
              <w:jc w:val="center"/>
              <w:rPr>
                <w:rFonts w:hint="eastAsia" w:ascii="仿宋_GB2312" w:eastAsia="仿宋_GB2312" w:cs="宋体"/>
                <w:color w:val="auto"/>
                <w:kern w:val="0"/>
                <w:sz w:val="21"/>
                <w:szCs w:val="21"/>
                <w:highlight w:val="none"/>
              </w:rPr>
            </w:pPr>
          </w:p>
          <w:p>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卫生及</w:t>
            </w:r>
          </w:p>
          <w:p>
            <w:pPr>
              <w:spacing w:line="420" w:lineRule="exact"/>
              <w:jc w:val="center"/>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管理</w:t>
            </w:r>
          </w:p>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树上及绿带内有垃圾袋、零乱草绳、钉子、扎缚铁丝、电线、挂晾晒衣物、堆物、</w:t>
            </w:r>
            <w:r>
              <w:rPr>
                <w:rFonts w:hint="eastAsia" w:ascii="仿宋_GB2312" w:eastAsia="仿宋_GB2312" w:cs="宋体"/>
                <w:color w:val="auto"/>
                <w:kern w:val="0"/>
                <w:sz w:val="21"/>
                <w:szCs w:val="21"/>
                <w:highlight w:val="none"/>
                <w:lang w:eastAsia="zh-CN"/>
              </w:rPr>
              <w:t>渣土积泥</w:t>
            </w:r>
            <w:r>
              <w:rPr>
                <w:rFonts w:hint="eastAsia" w:ascii="仿宋_GB2312" w:eastAsia="仿宋_GB2312" w:cs="宋体"/>
                <w:color w:val="auto"/>
                <w:kern w:val="0"/>
                <w:sz w:val="21"/>
                <w:szCs w:val="21"/>
                <w:highlight w:val="none"/>
              </w:rPr>
              <w:t>等，每处扣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绿地内有明显枯叶堆积、白色垃圾、石块、果壳等杂物的每处扣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乔木及绿带积尘明显每处扣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分，沿线绿带色块叶面积灰严重的每处扣</w:t>
            </w:r>
            <w:r>
              <w:rPr>
                <w:rFonts w:hint="eastAsia" w:ascii="仿宋_GB2312" w:eastAsia="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color w:val="auto"/>
                <w:kern w:val="0"/>
                <w:sz w:val="21"/>
                <w:szCs w:val="21"/>
                <w:highlight w:val="none"/>
              </w:rPr>
            </w:pPr>
            <w:r>
              <w:rPr>
                <w:rFonts w:hint="eastAsia" w:ascii="仿宋_GB2312" w:eastAsia="仿宋_GB2312"/>
                <w:color w:val="auto"/>
                <w:sz w:val="21"/>
                <w:szCs w:val="21"/>
                <w:highlight w:val="none"/>
              </w:rPr>
              <w:t>未经审批私自开挖绿地或未按绿化养护规范要求恢复等每处扣</w:t>
            </w:r>
            <w:r>
              <w:rPr>
                <w:rFonts w:hint="eastAsia" w:ascii="仿宋_GB2312"/>
                <w:color w:val="auto"/>
                <w:sz w:val="21"/>
                <w:szCs w:val="21"/>
                <w:highlight w:val="none"/>
                <w:lang w:val="en-US" w:eastAsia="zh-CN"/>
              </w:rPr>
              <w:t>2</w:t>
            </w:r>
            <w:r>
              <w:rPr>
                <w:rFonts w:hint="eastAsia" w:ascii="仿宋_GB2312" w:eastAsia="仿宋_GB2312"/>
                <w:color w:val="auto"/>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河道</w:t>
            </w:r>
          </w:p>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color w:val="auto"/>
                <w:kern w:val="0"/>
                <w:sz w:val="21"/>
                <w:szCs w:val="21"/>
                <w:highlight w:val="none"/>
              </w:rPr>
            </w:pPr>
            <w:r>
              <w:rPr>
                <w:rFonts w:hint="eastAsia" w:ascii="仿宋_GB2312" w:hAnsi="宋体" w:eastAsia="仿宋_GB2312"/>
                <w:color w:val="auto"/>
                <w:sz w:val="21"/>
                <w:szCs w:val="21"/>
                <w:highlight w:val="none"/>
              </w:rPr>
              <w:t>每</w:t>
            </w:r>
            <w:r>
              <w:rPr>
                <w:rFonts w:hint="eastAsia" w:ascii="仿宋_GB2312" w:hAnsi="宋体" w:eastAsia="仿宋_GB2312"/>
                <w:color w:val="auto"/>
                <w:sz w:val="21"/>
                <w:szCs w:val="21"/>
                <w:highlight w:val="none"/>
                <w:lang w:eastAsia="zh-CN"/>
              </w:rPr>
              <w:t>50米内河道漂浮物（除固定圈养的水草）超过3处或单处漂浮物面积超过</w:t>
            </w:r>
            <w:r>
              <w:rPr>
                <w:rFonts w:hint="eastAsia" w:ascii="仿宋_GB2312" w:hAnsi="宋体" w:eastAsia="仿宋_GB2312"/>
                <w:color w:val="auto"/>
                <w:sz w:val="21"/>
                <w:szCs w:val="21"/>
                <w:highlight w:val="none"/>
                <w:lang w:val="en-US" w:eastAsia="zh-CN"/>
              </w:rPr>
              <w:t>0.5个平方</w:t>
            </w:r>
            <w:r>
              <w:rPr>
                <w:rFonts w:hint="eastAsia" w:ascii="仿宋_GB2312" w:hAnsi="宋体" w:eastAsia="仿宋_GB2312"/>
                <w:color w:val="auto"/>
                <w:sz w:val="21"/>
                <w:szCs w:val="21"/>
                <w:highlight w:val="none"/>
                <w:lang w:eastAsia="zh-CN"/>
              </w:rPr>
              <w:t>及以上的每段扣</w:t>
            </w:r>
            <w:r>
              <w:rPr>
                <w:rFonts w:hint="eastAsia" w:ascii="仿宋_GB2312" w:hAnsi="宋体"/>
                <w:color w:val="auto"/>
                <w:sz w:val="21"/>
                <w:szCs w:val="21"/>
                <w:highlight w:val="none"/>
                <w:lang w:val="en-US" w:eastAsia="zh-CN"/>
              </w:rPr>
              <w:t>2</w:t>
            </w:r>
            <w:r>
              <w:rPr>
                <w:rFonts w:hint="eastAsia" w:ascii="仿宋_GB2312" w:hAnsi="宋体" w:eastAsia="仿宋_GB2312"/>
                <w:color w:val="auto"/>
                <w:sz w:val="21"/>
                <w:szCs w:val="21"/>
                <w:highlight w:val="none"/>
                <w:lang w:eastAsia="zh-CN"/>
              </w:rPr>
              <w:t>分；每发现一处河道内渔网渔具的扣1分；河岸</w:t>
            </w:r>
            <w:r>
              <w:rPr>
                <w:rFonts w:hint="eastAsia" w:ascii="仿宋_GB2312" w:hAnsi="宋体" w:eastAsia="仿宋_GB2312"/>
                <w:color w:val="auto"/>
                <w:sz w:val="21"/>
                <w:szCs w:val="21"/>
                <w:highlight w:val="none"/>
                <w:lang w:val="en-US" w:eastAsia="zh-CN"/>
              </w:rPr>
              <w:t>10米范围内</w:t>
            </w:r>
            <w:r>
              <w:rPr>
                <w:rFonts w:hint="eastAsia" w:ascii="仿宋_GB2312" w:hAnsi="宋体" w:eastAsia="仿宋_GB2312"/>
                <w:color w:val="auto"/>
                <w:sz w:val="21"/>
                <w:szCs w:val="21"/>
                <w:highlight w:val="none"/>
                <w:lang w:eastAsia="zh-CN"/>
              </w:rPr>
              <w:t>滩地、岸坡上有新增建筑垃圾倾倒和生活垃圾、枯枝杂树堆放未及时清理的，每处扣</w:t>
            </w:r>
            <w:r>
              <w:rPr>
                <w:rFonts w:hint="eastAsia" w:ascii="仿宋_GB2312" w:hAnsi="宋体" w:eastAsia="仿宋_GB2312"/>
                <w:color w:val="auto"/>
                <w:sz w:val="21"/>
                <w:szCs w:val="21"/>
                <w:highlight w:val="none"/>
                <w:lang w:val="en-US" w:eastAsia="zh-CN"/>
              </w:rPr>
              <w:t>2分；</w:t>
            </w:r>
            <w:r>
              <w:rPr>
                <w:rFonts w:hint="eastAsia" w:ascii="仿宋_GB2312" w:hAnsi="宋体" w:eastAsia="仿宋_GB2312"/>
                <w:color w:val="auto"/>
                <w:sz w:val="21"/>
                <w:szCs w:val="21"/>
                <w:highlight w:val="none"/>
                <w:lang w:eastAsia="zh-CN"/>
              </w:rPr>
              <w:t>如发现用草甘膦等污染水体的药剂处理的每次扣</w:t>
            </w:r>
            <w:r>
              <w:rPr>
                <w:rFonts w:hint="eastAsia" w:ascii="仿宋_GB2312" w:hAnsi="宋体" w:eastAsia="仿宋_GB2312"/>
                <w:color w:val="auto"/>
                <w:sz w:val="21"/>
                <w:szCs w:val="21"/>
                <w:highlight w:val="none"/>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保洁人员须两人一船，单独作业的每次扣1分；工作时间不穿着救生衣的每次扣1分；未及时发现</w:t>
            </w:r>
            <w:r>
              <w:rPr>
                <w:rFonts w:hint="eastAsia" w:ascii="仿宋" w:hAnsi="仿宋" w:eastAsia="仿宋" w:cs="仿宋"/>
                <w:color w:val="auto"/>
                <w:sz w:val="21"/>
                <w:szCs w:val="21"/>
                <w:highlight w:val="none"/>
              </w:rPr>
              <w:t>电捕网捕等行为</w:t>
            </w:r>
            <w:r>
              <w:rPr>
                <w:rFonts w:hint="eastAsia" w:ascii="仿宋" w:hAnsi="仿宋" w:eastAsia="仿宋" w:cs="仿宋"/>
                <w:color w:val="auto"/>
                <w:sz w:val="21"/>
                <w:szCs w:val="21"/>
                <w:highlight w:val="none"/>
                <w:lang w:eastAsia="zh-CN"/>
              </w:rPr>
              <w:t>及新增晴天排污口</w:t>
            </w:r>
            <w:r>
              <w:rPr>
                <w:rFonts w:hint="eastAsia" w:ascii="仿宋" w:hAnsi="仿宋" w:eastAsia="仿宋" w:cs="仿宋"/>
                <w:color w:val="auto"/>
                <w:sz w:val="21"/>
                <w:szCs w:val="21"/>
                <w:highlight w:val="none"/>
              </w:rPr>
              <w:t>的每起扣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color w:val="auto"/>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lang w:eastAsia="zh-CN"/>
              </w:rPr>
            </w:pPr>
            <w:r>
              <w:rPr>
                <w:rFonts w:hint="eastAsia" w:ascii="仿宋_GB2312" w:eastAsia="仿宋_GB2312" w:cs="宋体"/>
                <w:color w:val="auto"/>
                <w:kern w:val="0"/>
                <w:sz w:val="21"/>
                <w:szCs w:val="21"/>
                <w:highlight w:val="none"/>
                <w:lang w:eastAsia="zh-CN"/>
              </w:rPr>
              <w:t>其它</w:t>
            </w:r>
            <w:r>
              <w:rPr>
                <w:rFonts w:hint="eastAsia" w:ascii="仿宋_GB2312" w:eastAsia="仿宋_GB2312" w:cs="宋体"/>
                <w:color w:val="auto"/>
                <w:kern w:val="0"/>
                <w:sz w:val="21"/>
                <w:szCs w:val="21"/>
                <w:highlight w:val="none"/>
                <w:lang w:val="en-US" w:eastAsia="zh-CN"/>
              </w:rPr>
              <w:t xml:space="preserve"> </w:t>
            </w:r>
            <w:r>
              <w:rPr>
                <w:rFonts w:hint="eastAsia" w:ascii="仿宋_GB2312" w:eastAsia="仿宋_GB2312" w:cs="宋体"/>
                <w:color w:val="auto"/>
                <w:kern w:val="0"/>
                <w:sz w:val="21"/>
                <w:szCs w:val="21"/>
                <w:highlight w:val="none"/>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color w:val="auto"/>
                <w:kern w:val="0"/>
                <w:sz w:val="21"/>
                <w:szCs w:val="21"/>
                <w:highlight w:val="none"/>
              </w:rPr>
            </w:pPr>
            <w:r>
              <w:rPr>
                <w:rFonts w:hint="eastAsia" w:ascii="仿宋_GB2312" w:eastAsia="仿宋_GB2312"/>
                <w:color w:val="auto"/>
                <w:sz w:val="21"/>
                <w:szCs w:val="21"/>
                <w:highlight w:val="none"/>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color w:val="auto"/>
                <w:spacing w:val="-8"/>
                <w:sz w:val="21"/>
                <w:szCs w:val="21"/>
                <w:highlight w:val="none"/>
              </w:rPr>
            </w:pPr>
            <w:r>
              <w:rPr>
                <w:rFonts w:hint="eastAsia" w:ascii="仿宋_GB2312" w:eastAsia="仿宋_GB2312"/>
                <w:color w:val="auto"/>
                <w:spacing w:val="-8"/>
                <w:sz w:val="21"/>
                <w:szCs w:val="21"/>
                <w:highlight w:val="none"/>
              </w:rPr>
              <w:t>1、</w:t>
            </w:r>
            <w:r>
              <w:rPr>
                <w:rFonts w:hint="eastAsia" w:ascii="仿宋_GB2312" w:eastAsia="仿宋_GB2312"/>
                <w:color w:val="auto"/>
                <w:spacing w:val="-8"/>
                <w:sz w:val="21"/>
                <w:szCs w:val="21"/>
                <w:highlight w:val="none"/>
                <w:lang w:eastAsia="zh-CN"/>
              </w:rPr>
              <w:t>其它</w:t>
            </w:r>
            <w:r>
              <w:rPr>
                <w:rFonts w:hint="eastAsia" w:ascii="仿宋_GB2312" w:eastAsia="仿宋_GB2312"/>
                <w:color w:val="auto"/>
                <w:spacing w:val="-8"/>
                <w:sz w:val="21"/>
                <w:szCs w:val="21"/>
                <w:highlight w:val="none"/>
              </w:rPr>
              <w:t>未尽事宜（如市“绿化双最”评比等市、区相关绿化工作），考核视情况加或扣1-5分。</w:t>
            </w:r>
          </w:p>
        </w:tc>
      </w:tr>
    </w:tbl>
    <w:p>
      <w:pPr>
        <w:jc w:val="left"/>
        <w:rPr>
          <w:rFonts w:hint="eastAsia" w:ascii="仿宋_GB2312" w:hAnsi="仿宋" w:eastAsia="仿宋_GB2312" w:cs="仿宋"/>
          <w:b/>
          <w:bCs/>
          <w:color w:val="auto"/>
          <w:sz w:val="21"/>
          <w:szCs w:val="21"/>
          <w:highlight w:val="none"/>
          <w:lang w:eastAsia="zh-CN"/>
        </w:rPr>
      </w:pPr>
    </w:p>
    <w:p>
      <w:pPr>
        <w:jc w:val="both"/>
        <w:rPr>
          <w:rFonts w:hint="eastAsia"/>
          <w:b/>
          <w:bCs/>
          <w:color w:val="auto"/>
          <w:sz w:val="28"/>
          <w:szCs w:val="28"/>
          <w:highlight w:val="none"/>
          <w:lang w:val="en-US" w:eastAsia="zh-CN"/>
        </w:rPr>
      </w:pPr>
    </w:p>
    <w:p>
      <w:pPr>
        <w:jc w:val="both"/>
        <w:rPr>
          <w:rFonts w:hint="eastAsia"/>
          <w:b/>
          <w:bCs/>
          <w:color w:val="auto"/>
          <w:sz w:val="28"/>
          <w:szCs w:val="28"/>
          <w:highlight w:val="none"/>
          <w:lang w:val="en-US" w:eastAsia="zh-CN"/>
        </w:rPr>
      </w:pPr>
    </w:p>
    <w:p>
      <w:pPr>
        <w:jc w:val="both"/>
        <w:rPr>
          <w:rFonts w:hint="eastAsia"/>
          <w:b/>
          <w:bCs/>
          <w:color w:val="auto"/>
          <w:sz w:val="28"/>
          <w:szCs w:val="28"/>
          <w:highlight w:val="none"/>
          <w:lang w:val="en-US" w:eastAsia="zh-CN"/>
        </w:rPr>
      </w:pPr>
    </w:p>
    <w:p>
      <w:pPr>
        <w:jc w:val="both"/>
        <w:rPr>
          <w:rFonts w:hint="eastAsia"/>
          <w:color w:val="auto"/>
          <w:highlight w:val="none"/>
          <w:lang w:val="en-US" w:eastAsia="zh-CN"/>
        </w:rPr>
      </w:pPr>
    </w:p>
    <w:p>
      <w:pPr>
        <w:pStyle w:val="23"/>
        <w:rPr>
          <w:rFonts w:hint="eastAsia"/>
          <w:color w:val="auto"/>
          <w:highlight w:val="none"/>
          <w:lang w:val="en-US" w:eastAsia="zh-CN"/>
        </w:rPr>
      </w:pPr>
    </w:p>
    <w:p>
      <w:pPr>
        <w:pStyle w:val="24"/>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3"/>
        <w:rPr>
          <w:rFonts w:hint="eastAsia"/>
          <w:color w:val="auto"/>
          <w:highlight w:val="none"/>
          <w:lang w:val="en-US" w:eastAsia="zh-CN"/>
        </w:rPr>
      </w:pPr>
    </w:p>
    <w:p>
      <w:pPr>
        <w:jc w:val="both"/>
        <w:rPr>
          <w:rFonts w:hint="eastAsia"/>
          <w:b/>
          <w:bCs/>
          <w:color w:val="auto"/>
          <w:sz w:val="28"/>
          <w:szCs w:val="28"/>
          <w:highlight w:val="none"/>
          <w:lang w:val="en-US" w:eastAsia="zh-CN"/>
        </w:rPr>
      </w:pPr>
      <w:r>
        <w:rPr>
          <w:rFonts w:hint="eastAsia"/>
          <w:b/>
          <w:bCs/>
          <w:color w:val="auto"/>
          <w:sz w:val="28"/>
          <w:szCs w:val="28"/>
          <w:highlight w:val="none"/>
          <w:lang w:val="en-US" w:eastAsia="zh-CN"/>
        </w:rPr>
        <w:t>附件3：</w:t>
      </w:r>
    </w:p>
    <w:p>
      <w:pPr>
        <w:jc w:val="center"/>
        <w:rPr>
          <w:rFonts w:hint="eastAsia"/>
          <w:b/>
          <w:bCs/>
          <w:color w:val="auto"/>
          <w:sz w:val="30"/>
          <w:szCs w:val="30"/>
          <w:highlight w:val="none"/>
          <w:lang w:val="en-US" w:eastAsia="zh-CN"/>
        </w:rPr>
      </w:pPr>
      <w:r>
        <w:rPr>
          <w:rFonts w:hint="eastAsia"/>
          <w:b/>
          <w:bCs/>
          <w:color w:val="auto"/>
          <w:sz w:val="30"/>
          <w:szCs w:val="30"/>
          <w:highlight w:val="none"/>
          <w:lang w:val="en-US" w:eastAsia="zh-CN"/>
        </w:rPr>
        <w:t>日常综合考核评分表</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分值</w:t>
            </w:r>
          </w:p>
        </w:tc>
      </w:tr>
      <w:tr>
        <w:tblPrEx>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日常</w:t>
            </w:r>
          </w:p>
          <w:p>
            <w:pPr>
              <w:spacing w:line="420" w:lineRule="exact"/>
              <w:jc w:val="center"/>
              <w:rPr>
                <w:rFonts w:hint="eastAsia" w:ascii="仿宋" w:hAnsi="仿宋" w:eastAsia="仿宋" w:cs="仿宋"/>
                <w:strike/>
                <w:color w:val="auto"/>
                <w:kern w:val="0"/>
                <w:sz w:val="21"/>
                <w:szCs w:val="21"/>
                <w:highlight w:val="none"/>
              </w:rPr>
            </w:pPr>
            <w:r>
              <w:rPr>
                <w:rFonts w:hint="eastAsia" w:ascii="仿宋" w:hAnsi="仿宋" w:eastAsia="仿宋" w:cs="仿宋"/>
                <w:color w:val="auto"/>
                <w:kern w:val="0"/>
                <w:sz w:val="21"/>
                <w:szCs w:val="21"/>
                <w:highlight w:val="none"/>
                <w:lang w:eastAsia="zh-CN"/>
              </w:rPr>
              <w:t>巡查</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日常巡查发现的问题将以抄告单的形式发送至养护单位，未按要求整改的每件扣5分，拒不整改的每件扣10分,问题重复出现的每件扣3分。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rPr>
            </w:pPr>
          </w:p>
          <w:p>
            <w:pPr>
              <w:spacing w:line="420" w:lineRule="exact"/>
              <w:jc w:val="center"/>
              <w:rPr>
                <w:rFonts w:hint="eastAsia" w:ascii="仿宋" w:hAnsi="仿宋" w:eastAsia="仿宋" w:cs="仿宋"/>
                <w:color w:val="auto"/>
                <w:kern w:val="0"/>
                <w:sz w:val="21"/>
                <w:szCs w:val="21"/>
                <w:highlight w:val="none"/>
              </w:rPr>
            </w:pPr>
          </w:p>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社会</w:t>
            </w:r>
          </w:p>
          <w:p>
            <w:pPr>
              <w:spacing w:line="4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监督</w:t>
            </w:r>
          </w:p>
          <w:p>
            <w:pPr>
              <w:spacing w:line="420" w:lineRule="exact"/>
              <w:jc w:val="center"/>
              <w:rPr>
                <w:rFonts w:hint="eastAsia" w:ascii="仿宋" w:hAnsi="仿宋" w:eastAsia="仿宋" w:cs="仿宋"/>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“数字城管”督察，有责抄告及延期未整改，返工的每件扣1分。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38"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市、区“城市环境长效管理”工作考核通报，有责抄告及重复问题每件扣5分。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行业主管督察，有责抄告及未按要求整改的每件扣5分。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其他政府机构、社会团体、市民群众的监督投诉，有责抄告及未按要求整改的每件扣5分；发生媒体曝光每件扣10分。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资料</w:t>
            </w:r>
          </w:p>
          <w:p>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台账</w:t>
            </w: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管理制度、应急专项方案，未按要求制定扣5分，资料内容不齐全或不完善的扣2分。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582"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strike/>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月报表及养护日记台账，相关报表或材料未及时上报的扣5分；内容不详实的扣2分。</w:t>
            </w: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45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strike/>
                <w:color w:val="auto"/>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安全检查台账，相关报表或材料未及时上报的扣5分；内容不详实的扣2分；养护期内发生安全责任事故扣10分。</w:t>
            </w: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lang w:eastAsia="zh-CN"/>
              </w:rPr>
            </w:pPr>
            <w:r>
              <w:rPr>
                <w:rFonts w:hint="eastAsia" w:ascii="仿宋_GB2312" w:eastAsia="仿宋_GB2312" w:cs="宋体"/>
                <w:color w:val="auto"/>
                <w:kern w:val="0"/>
                <w:sz w:val="21"/>
                <w:szCs w:val="21"/>
                <w:highlight w:val="none"/>
                <w:lang w:eastAsia="zh-CN"/>
              </w:rPr>
              <w:t>其它</w:t>
            </w:r>
            <w:r>
              <w:rPr>
                <w:rFonts w:hint="eastAsia" w:ascii="仿宋_GB2312" w:eastAsia="仿宋_GB2312" w:cs="宋体"/>
                <w:color w:val="auto"/>
                <w:kern w:val="0"/>
                <w:sz w:val="21"/>
                <w:szCs w:val="21"/>
                <w:highlight w:val="none"/>
                <w:lang w:val="en-US" w:eastAsia="zh-CN"/>
              </w:rPr>
              <w:t xml:space="preserve"> </w:t>
            </w:r>
            <w:r>
              <w:rPr>
                <w:rFonts w:hint="eastAsia" w:ascii="仿宋_GB2312" w:eastAsia="仿宋_GB2312" w:cs="宋体"/>
                <w:color w:val="auto"/>
                <w:kern w:val="0"/>
                <w:sz w:val="21"/>
                <w:szCs w:val="21"/>
                <w:highlight w:val="none"/>
                <w:lang w:eastAsia="zh-CN"/>
              </w:rPr>
              <w:t>事宜</w:t>
            </w:r>
          </w:p>
        </w:tc>
        <w:tc>
          <w:tcPr>
            <w:tcW w:w="6975" w:type="dxa"/>
            <w:tcBorders>
              <w:top w:val="nil"/>
              <w:left w:val="nil"/>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color w:val="auto"/>
                <w:kern w:val="0"/>
                <w:sz w:val="21"/>
                <w:szCs w:val="21"/>
                <w:highlight w:val="none"/>
              </w:rPr>
            </w:pP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495" w:hRule="atLeast"/>
        </w:trPr>
        <w:tc>
          <w:tcPr>
            <w:tcW w:w="7875" w:type="dxa"/>
            <w:gridSpan w:val="2"/>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color w:val="auto"/>
                <w:kern w:val="0"/>
                <w:sz w:val="21"/>
                <w:szCs w:val="21"/>
                <w:highlight w:val="none"/>
              </w:rPr>
            </w:pPr>
            <w:r>
              <w:rPr>
                <w:rFonts w:hint="eastAsia" w:ascii="仿宋_GB2312" w:eastAsia="仿宋_GB2312"/>
                <w:color w:val="auto"/>
                <w:sz w:val="21"/>
                <w:szCs w:val="21"/>
                <w:highlight w:val="none"/>
              </w:rPr>
              <w:t>评分合计</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color w:val="auto"/>
                <w:spacing w:val="-8"/>
                <w:sz w:val="21"/>
                <w:szCs w:val="21"/>
                <w:highlight w:val="none"/>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color w:val="auto"/>
                <w:spacing w:val="-8"/>
                <w:sz w:val="21"/>
                <w:szCs w:val="21"/>
                <w:highlight w:val="none"/>
              </w:rPr>
            </w:pPr>
            <w:r>
              <w:rPr>
                <w:rFonts w:hint="eastAsia" w:ascii="仿宋_GB2312" w:eastAsia="仿宋_GB2312"/>
                <w:color w:val="auto"/>
                <w:spacing w:val="-8"/>
                <w:sz w:val="21"/>
                <w:szCs w:val="21"/>
                <w:highlight w:val="none"/>
              </w:rPr>
              <w:t>1、</w:t>
            </w:r>
            <w:r>
              <w:rPr>
                <w:rFonts w:hint="eastAsia" w:ascii="仿宋_GB2312" w:eastAsia="仿宋_GB2312"/>
                <w:color w:val="auto"/>
                <w:spacing w:val="-8"/>
                <w:sz w:val="21"/>
                <w:szCs w:val="21"/>
                <w:highlight w:val="none"/>
                <w:lang w:eastAsia="zh-CN"/>
              </w:rPr>
              <w:t>其它</w:t>
            </w:r>
            <w:r>
              <w:rPr>
                <w:rFonts w:hint="eastAsia" w:ascii="仿宋_GB2312" w:eastAsia="仿宋_GB2312"/>
                <w:color w:val="auto"/>
                <w:spacing w:val="-8"/>
                <w:sz w:val="21"/>
                <w:szCs w:val="21"/>
                <w:highlight w:val="none"/>
              </w:rPr>
              <w:t>未尽事宜，考核视情况加或扣1-5分。</w:t>
            </w:r>
          </w:p>
        </w:tc>
      </w:tr>
    </w:tbl>
    <w:p>
      <w:pPr>
        <w:jc w:val="both"/>
        <w:rPr>
          <w:rFonts w:hint="eastAsia"/>
          <w:b/>
          <w:bCs/>
          <w:color w:val="auto"/>
          <w:sz w:val="30"/>
          <w:szCs w:val="30"/>
          <w:highlight w:val="none"/>
          <w:lang w:val="en-US" w:eastAsia="zh-CN"/>
        </w:rPr>
      </w:pPr>
    </w:p>
    <w:p>
      <w:pPr>
        <w:pStyle w:val="3"/>
        <w:rPr>
          <w:rFonts w:hint="eastAsia"/>
          <w:color w:val="auto"/>
          <w:highlight w:val="none"/>
        </w:rPr>
      </w:pP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六</w:t>
      </w:r>
      <w:r>
        <w:rPr>
          <w:rFonts w:hint="eastAsia" w:asciiTheme="majorEastAsia" w:hAnsiTheme="majorEastAsia" w:eastAsiaTheme="majorEastAsia" w:cstheme="majorEastAsia"/>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b/>
          <w:color w:val="auto"/>
          <w:sz w:val="24"/>
          <w:highlight w:val="none"/>
        </w:rPr>
        <w:t>中标单位在签订合同</w:t>
      </w:r>
      <w:r>
        <w:rPr>
          <w:rFonts w:hint="eastAsia" w:asciiTheme="majorEastAsia" w:hAnsiTheme="majorEastAsia" w:eastAsiaTheme="majorEastAsia" w:cstheme="majorEastAsia"/>
          <w:b/>
          <w:color w:val="auto"/>
          <w:sz w:val="24"/>
          <w:highlight w:val="none"/>
          <w:lang w:val="en-US" w:eastAsia="zh-CN"/>
        </w:rPr>
        <w:t>前</w:t>
      </w:r>
      <w:r>
        <w:rPr>
          <w:rFonts w:hint="eastAsia" w:asciiTheme="majorEastAsia" w:hAnsiTheme="majorEastAsia" w:eastAsiaTheme="majorEastAsia" w:cstheme="majorEastAsia"/>
          <w:b/>
          <w:color w:val="auto"/>
          <w:sz w:val="24"/>
          <w:highlight w:val="none"/>
        </w:rPr>
        <w:t>向招标人交纳中标价的</w:t>
      </w:r>
      <w:r>
        <w:rPr>
          <w:rFonts w:hint="eastAsia" w:asciiTheme="majorEastAsia" w:hAnsiTheme="majorEastAsia" w:eastAsiaTheme="majorEastAsia" w:cstheme="majorEastAsia"/>
          <w:b/>
          <w:color w:val="auto"/>
          <w:sz w:val="24"/>
          <w:highlight w:val="none"/>
          <w:lang w:val="en-US" w:eastAsia="zh-CN"/>
        </w:rPr>
        <w:t>1</w:t>
      </w:r>
      <w:r>
        <w:rPr>
          <w:rFonts w:hint="eastAsia" w:asciiTheme="majorEastAsia" w:hAnsiTheme="majorEastAsia" w:eastAsiaTheme="majorEastAsia" w:cstheme="majorEastAsia"/>
          <w:b/>
          <w:color w:val="auto"/>
          <w:sz w:val="24"/>
          <w:highlight w:val="none"/>
        </w:rPr>
        <w:t>%作为履约保证金。</w:t>
      </w:r>
    </w:p>
    <w:p>
      <w:pPr>
        <w:snapToGrid w:val="0"/>
        <w:spacing w:line="360" w:lineRule="auto"/>
        <w:jc w:val="both"/>
        <w:rPr>
          <w:rFonts w:hint="eastAsia" w:asciiTheme="majorEastAsia" w:hAnsiTheme="majorEastAsia" w:eastAsiaTheme="majorEastAsia" w:cstheme="majorEastAsia"/>
          <w:b/>
          <w:color w:val="auto"/>
          <w:sz w:val="36"/>
          <w:szCs w:val="36"/>
          <w:highlight w:val="none"/>
        </w:rPr>
      </w:pPr>
    </w:p>
    <w:p>
      <w:pPr>
        <w:pStyle w:val="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2"/>
        <w:rPr>
          <w:rFonts w:hint="eastAsia"/>
          <w:color w:val="auto"/>
          <w:highlight w:val="none"/>
        </w:rPr>
      </w:pPr>
    </w:p>
    <w:p>
      <w:pPr>
        <w:snapToGrid w:val="0"/>
        <w:spacing w:line="360" w:lineRule="auto"/>
        <w:ind w:firstLine="3253" w:firstLineChars="900"/>
        <w:jc w:val="both"/>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第四部分   </w:t>
      </w:r>
      <w:bookmarkStart w:id="26" w:name="_Toc184314415"/>
      <w:bookmarkEnd w:id="26"/>
      <w:bookmarkStart w:id="27" w:name="_Toc184313276"/>
      <w:bookmarkEnd w:id="27"/>
      <w:bookmarkStart w:id="28" w:name="_Toc184313303"/>
      <w:bookmarkEnd w:id="28"/>
      <w:bookmarkStart w:id="29" w:name="_Toc184308071"/>
      <w:bookmarkEnd w:id="29"/>
      <w:bookmarkStart w:id="30" w:name="_Toc184308070"/>
      <w:bookmarkEnd w:id="30"/>
      <w:bookmarkStart w:id="31" w:name="_Toc184312105"/>
      <w:bookmarkEnd w:id="31"/>
      <w:bookmarkStart w:id="32" w:name="_Toc184312122"/>
      <w:bookmarkEnd w:id="32"/>
      <w:bookmarkStart w:id="33" w:name="_Toc184314470"/>
      <w:bookmarkEnd w:id="33"/>
      <w:bookmarkStart w:id="34" w:name="_Toc184308040"/>
      <w:bookmarkEnd w:id="34"/>
      <w:bookmarkStart w:id="35" w:name="_Toc184310310"/>
      <w:bookmarkEnd w:id="35"/>
      <w:bookmarkStart w:id="36" w:name="_Toc184312119"/>
      <w:bookmarkEnd w:id="36"/>
      <w:bookmarkStart w:id="37" w:name="_Toc184314482"/>
      <w:bookmarkEnd w:id="37"/>
      <w:bookmarkStart w:id="38" w:name="_Toc184314414"/>
      <w:bookmarkEnd w:id="38"/>
      <w:bookmarkStart w:id="39" w:name="_Toc184314434"/>
      <w:bookmarkEnd w:id="39"/>
      <w:bookmarkStart w:id="40" w:name="_Toc184312137"/>
      <w:bookmarkEnd w:id="40"/>
      <w:bookmarkStart w:id="41" w:name="_Toc184312082"/>
      <w:bookmarkEnd w:id="41"/>
      <w:bookmarkStart w:id="42" w:name="_Toc184310329"/>
      <w:bookmarkEnd w:id="42"/>
      <w:bookmarkStart w:id="43" w:name="_Toc184312131"/>
      <w:bookmarkEnd w:id="43"/>
      <w:bookmarkStart w:id="44" w:name="_Toc184313238"/>
      <w:bookmarkEnd w:id="44"/>
      <w:bookmarkStart w:id="45" w:name="_Toc184313296"/>
      <w:bookmarkEnd w:id="45"/>
      <w:bookmarkStart w:id="46" w:name="_Toc184313290"/>
      <w:bookmarkEnd w:id="46"/>
      <w:bookmarkStart w:id="47" w:name="_Toc184312088"/>
      <w:bookmarkEnd w:id="47"/>
      <w:bookmarkStart w:id="48" w:name="_Toc184312106"/>
      <w:bookmarkEnd w:id="48"/>
      <w:bookmarkStart w:id="49" w:name="_Toc184314440"/>
      <w:bookmarkEnd w:id="49"/>
      <w:bookmarkStart w:id="50" w:name="_Toc184310327"/>
      <w:bookmarkEnd w:id="50"/>
      <w:bookmarkStart w:id="51" w:name="_Toc184310299"/>
      <w:bookmarkEnd w:id="51"/>
      <w:bookmarkStart w:id="52" w:name="_Toc184314429"/>
      <w:bookmarkEnd w:id="52"/>
      <w:bookmarkStart w:id="53" w:name="_Toc184312072"/>
      <w:bookmarkEnd w:id="53"/>
      <w:bookmarkStart w:id="54" w:name="_Toc184314451"/>
      <w:bookmarkEnd w:id="54"/>
      <w:bookmarkStart w:id="55" w:name="_Toc184308054"/>
      <w:bookmarkEnd w:id="55"/>
      <w:bookmarkStart w:id="56" w:name="_Toc184313269"/>
      <w:bookmarkEnd w:id="56"/>
      <w:bookmarkStart w:id="57" w:name="_Toc184308048"/>
      <w:bookmarkEnd w:id="57"/>
      <w:bookmarkStart w:id="58" w:name="_Toc184314427"/>
      <w:bookmarkEnd w:id="58"/>
      <w:bookmarkStart w:id="59" w:name="_Toc184308090"/>
      <w:bookmarkEnd w:id="59"/>
      <w:bookmarkStart w:id="60" w:name="_Toc184314475"/>
      <w:bookmarkEnd w:id="60"/>
      <w:bookmarkStart w:id="61" w:name="_Toc184313291"/>
      <w:bookmarkEnd w:id="61"/>
      <w:bookmarkStart w:id="62" w:name="_Toc184308108"/>
      <w:bookmarkEnd w:id="62"/>
      <w:bookmarkStart w:id="63" w:name="_Toc184310277"/>
      <w:bookmarkEnd w:id="63"/>
      <w:bookmarkStart w:id="64" w:name="_Toc184310309"/>
      <w:bookmarkEnd w:id="64"/>
      <w:bookmarkStart w:id="65" w:name="_Toc184308105"/>
      <w:bookmarkEnd w:id="65"/>
      <w:bookmarkStart w:id="66" w:name="_Toc184313243"/>
      <w:bookmarkEnd w:id="66"/>
      <w:bookmarkStart w:id="67" w:name="_Toc184313261"/>
      <w:bookmarkEnd w:id="67"/>
      <w:bookmarkStart w:id="68" w:name="_Toc184313304"/>
      <w:bookmarkEnd w:id="68"/>
      <w:bookmarkStart w:id="69" w:name="_Toc184314420"/>
      <w:bookmarkEnd w:id="69"/>
      <w:bookmarkStart w:id="70" w:name="_Toc184310323"/>
      <w:bookmarkEnd w:id="70"/>
      <w:bookmarkStart w:id="71" w:name="_Toc184308093"/>
      <w:bookmarkEnd w:id="71"/>
      <w:bookmarkStart w:id="72" w:name="_Toc184312112"/>
      <w:bookmarkEnd w:id="72"/>
      <w:bookmarkStart w:id="73" w:name="_Toc184312138"/>
      <w:bookmarkEnd w:id="73"/>
      <w:bookmarkStart w:id="74" w:name="_Toc184308045"/>
      <w:bookmarkEnd w:id="74"/>
      <w:bookmarkStart w:id="75" w:name="_Toc184313305"/>
      <w:bookmarkEnd w:id="75"/>
      <w:bookmarkStart w:id="76" w:name="_Toc184310338"/>
      <w:bookmarkEnd w:id="76"/>
      <w:bookmarkStart w:id="77" w:name="_Toc184314452"/>
      <w:bookmarkEnd w:id="77"/>
      <w:bookmarkStart w:id="78" w:name="_Toc184314481"/>
      <w:bookmarkEnd w:id="78"/>
      <w:bookmarkStart w:id="79" w:name="_Toc184308060"/>
      <w:bookmarkEnd w:id="79"/>
      <w:bookmarkStart w:id="80" w:name="_Toc184312091"/>
      <w:bookmarkEnd w:id="80"/>
      <w:bookmarkStart w:id="81" w:name="_Toc184313309"/>
      <w:bookmarkEnd w:id="81"/>
      <w:bookmarkStart w:id="82" w:name="_Toc184308102"/>
      <w:bookmarkEnd w:id="82"/>
      <w:bookmarkStart w:id="83" w:name="_Toc184314421"/>
      <w:bookmarkEnd w:id="83"/>
      <w:bookmarkStart w:id="84" w:name="_Toc184310307"/>
      <w:bookmarkEnd w:id="84"/>
      <w:bookmarkStart w:id="85" w:name="_Toc184313257"/>
      <w:bookmarkEnd w:id="85"/>
      <w:bookmarkStart w:id="86" w:name="_Toc184310326"/>
      <w:bookmarkEnd w:id="86"/>
      <w:bookmarkStart w:id="87" w:name="_Toc184312104"/>
      <w:bookmarkEnd w:id="87"/>
      <w:bookmarkStart w:id="88" w:name="_Toc184312116"/>
      <w:bookmarkEnd w:id="88"/>
      <w:bookmarkStart w:id="89" w:name="_Toc184312092"/>
      <w:bookmarkEnd w:id="89"/>
      <w:bookmarkStart w:id="90" w:name="_Toc184314410"/>
      <w:bookmarkEnd w:id="90"/>
      <w:bookmarkStart w:id="91" w:name="_Toc184308068"/>
      <w:bookmarkEnd w:id="91"/>
      <w:bookmarkStart w:id="92" w:name="_Toc184314468"/>
      <w:bookmarkEnd w:id="92"/>
      <w:bookmarkStart w:id="93" w:name="_Toc184310331"/>
      <w:bookmarkEnd w:id="93"/>
      <w:bookmarkStart w:id="94" w:name="_Toc184308051"/>
      <w:bookmarkEnd w:id="94"/>
      <w:bookmarkStart w:id="95" w:name="_Toc184310274"/>
      <w:bookmarkEnd w:id="95"/>
      <w:bookmarkStart w:id="96" w:name="_Toc184308049"/>
      <w:bookmarkEnd w:id="96"/>
      <w:bookmarkStart w:id="97" w:name="_Toc184308098"/>
      <w:bookmarkEnd w:id="97"/>
      <w:bookmarkStart w:id="98" w:name="_Toc184313281"/>
      <w:bookmarkEnd w:id="98"/>
      <w:bookmarkStart w:id="99" w:name="_Toc184312120"/>
      <w:bookmarkEnd w:id="99"/>
      <w:bookmarkStart w:id="100" w:name="_Toc184308063"/>
      <w:bookmarkEnd w:id="100"/>
      <w:bookmarkStart w:id="101" w:name="_Toc184312085"/>
      <w:bookmarkEnd w:id="101"/>
      <w:bookmarkStart w:id="102" w:name="_Toc184313293"/>
      <w:bookmarkEnd w:id="102"/>
      <w:bookmarkStart w:id="103" w:name="_Toc184313271"/>
      <w:bookmarkEnd w:id="103"/>
      <w:bookmarkStart w:id="104" w:name="_Toc184312071"/>
      <w:bookmarkEnd w:id="104"/>
      <w:bookmarkStart w:id="105" w:name="_Toc184313282"/>
      <w:bookmarkEnd w:id="105"/>
      <w:bookmarkStart w:id="106" w:name="_Toc184312113"/>
      <w:bookmarkEnd w:id="106"/>
      <w:bookmarkStart w:id="107" w:name="_Toc184310281"/>
      <w:bookmarkEnd w:id="107"/>
      <w:bookmarkStart w:id="108" w:name="_Toc184313267"/>
      <w:bookmarkEnd w:id="108"/>
      <w:bookmarkStart w:id="109" w:name="_Toc184312080"/>
      <w:bookmarkEnd w:id="109"/>
      <w:bookmarkStart w:id="110" w:name="_Toc184310313"/>
      <w:bookmarkEnd w:id="110"/>
      <w:bookmarkStart w:id="111" w:name="_Toc184308076"/>
      <w:bookmarkEnd w:id="111"/>
      <w:bookmarkStart w:id="112" w:name="_Toc184313272"/>
      <w:bookmarkEnd w:id="112"/>
      <w:bookmarkStart w:id="113" w:name="_Toc184312109"/>
      <w:bookmarkEnd w:id="113"/>
      <w:bookmarkStart w:id="114" w:name="_Toc184313258"/>
      <w:bookmarkEnd w:id="114"/>
      <w:bookmarkStart w:id="115" w:name="_Toc184313239"/>
      <w:bookmarkEnd w:id="115"/>
      <w:bookmarkStart w:id="116" w:name="_Toc184313306"/>
      <w:bookmarkEnd w:id="116"/>
      <w:bookmarkStart w:id="117" w:name="_Toc184313286"/>
      <w:bookmarkEnd w:id="117"/>
      <w:bookmarkStart w:id="118" w:name="_Toc184313244"/>
      <w:bookmarkEnd w:id="118"/>
      <w:bookmarkStart w:id="119" w:name="_Toc184312089"/>
      <w:bookmarkEnd w:id="119"/>
      <w:bookmarkStart w:id="120" w:name="_Toc184308094"/>
      <w:bookmarkEnd w:id="120"/>
      <w:bookmarkStart w:id="121" w:name="_Toc184312121"/>
      <w:bookmarkEnd w:id="121"/>
      <w:bookmarkStart w:id="122" w:name="_Toc184313255"/>
      <w:bookmarkEnd w:id="122"/>
      <w:bookmarkStart w:id="123" w:name="_Toc184312110"/>
      <w:bookmarkEnd w:id="123"/>
      <w:bookmarkStart w:id="124" w:name="_Toc184312067"/>
      <w:bookmarkEnd w:id="124"/>
      <w:bookmarkStart w:id="125" w:name="_Toc184313245"/>
      <w:bookmarkEnd w:id="125"/>
      <w:bookmarkStart w:id="126" w:name="_Toc184313300"/>
      <w:bookmarkEnd w:id="126"/>
      <w:bookmarkStart w:id="127" w:name="_Toc184313242"/>
      <w:bookmarkEnd w:id="127"/>
      <w:bookmarkStart w:id="128" w:name="_Toc184310292"/>
      <w:bookmarkEnd w:id="128"/>
      <w:bookmarkStart w:id="129" w:name="_Toc184308036"/>
      <w:bookmarkEnd w:id="129"/>
      <w:bookmarkStart w:id="130" w:name="_Toc184314465"/>
      <w:bookmarkEnd w:id="130"/>
      <w:bookmarkStart w:id="131" w:name="_Toc184308088"/>
      <w:bookmarkEnd w:id="131"/>
      <w:bookmarkStart w:id="132" w:name="_Toc184314416"/>
      <w:bookmarkEnd w:id="132"/>
      <w:bookmarkStart w:id="133" w:name="_Toc184314443"/>
      <w:bookmarkEnd w:id="133"/>
      <w:bookmarkStart w:id="134" w:name="_Toc184314478"/>
      <w:bookmarkEnd w:id="134"/>
      <w:bookmarkStart w:id="135" w:name="_Toc184308075"/>
      <w:bookmarkEnd w:id="135"/>
      <w:bookmarkStart w:id="136" w:name="_Toc184310275"/>
      <w:bookmarkEnd w:id="136"/>
      <w:bookmarkStart w:id="137" w:name="_Toc184310318"/>
      <w:bookmarkEnd w:id="137"/>
      <w:bookmarkStart w:id="138" w:name="_Toc184312115"/>
      <w:bookmarkEnd w:id="138"/>
      <w:bookmarkStart w:id="139" w:name="_Toc184314471"/>
      <w:bookmarkEnd w:id="139"/>
      <w:bookmarkStart w:id="140" w:name="_Toc184308037"/>
      <w:bookmarkEnd w:id="140"/>
      <w:bookmarkStart w:id="141" w:name="_Toc184312111"/>
      <w:bookmarkEnd w:id="141"/>
      <w:bookmarkStart w:id="142" w:name="_Toc184308043"/>
      <w:bookmarkEnd w:id="142"/>
      <w:bookmarkStart w:id="143" w:name="_Toc184312096"/>
      <w:bookmarkEnd w:id="143"/>
      <w:bookmarkStart w:id="144" w:name="_Toc184314413"/>
      <w:bookmarkEnd w:id="144"/>
      <w:bookmarkStart w:id="145" w:name="_Toc184308091"/>
      <w:bookmarkEnd w:id="145"/>
      <w:bookmarkStart w:id="146" w:name="_Toc184308078"/>
      <w:bookmarkEnd w:id="146"/>
      <w:bookmarkStart w:id="147" w:name="_Toc184313301"/>
      <w:bookmarkEnd w:id="147"/>
      <w:bookmarkStart w:id="148" w:name="_Toc184310286"/>
      <w:bookmarkEnd w:id="148"/>
      <w:bookmarkStart w:id="149" w:name="_Toc184308073"/>
      <w:bookmarkEnd w:id="149"/>
      <w:bookmarkStart w:id="150" w:name="_Toc184314444"/>
      <w:bookmarkEnd w:id="150"/>
      <w:bookmarkStart w:id="151" w:name="_Toc184308077"/>
      <w:bookmarkEnd w:id="151"/>
      <w:bookmarkStart w:id="152" w:name="_Toc184308059"/>
      <w:bookmarkEnd w:id="152"/>
      <w:bookmarkStart w:id="153" w:name="_Toc184310340"/>
      <w:bookmarkEnd w:id="153"/>
      <w:bookmarkStart w:id="154" w:name="_Toc184314431"/>
      <w:bookmarkEnd w:id="154"/>
      <w:bookmarkStart w:id="155" w:name="_Toc184310316"/>
      <w:bookmarkEnd w:id="155"/>
      <w:bookmarkStart w:id="156" w:name="_Toc184308096"/>
      <w:bookmarkEnd w:id="156"/>
      <w:bookmarkStart w:id="157" w:name="_Toc184312078"/>
      <w:bookmarkEnd w:id="157"/>
      <w:bookmarkStart w:id="158" w:name="_Toc184310272"/>
      <w:bookmarkEnd w:id="158"/>
      <w:bookmarkStart w:id="159" w:name="_Toc184308050"/>
      <w:bookmarkEnd w:id="159"/>
      <w:bookmarkStart w:id="160" w:name="_Toc184308089"/>
      <w:bookmarkEnd w:id="160"/>
      <w:bookmarkStart w:id="161" w:name="_Toc184308038"/>
      <w:bookmarkEnd w:id="161"/>
      <w:bookmarkStart w:id="162" w:name="_Toc184310305"/>
      <w:bookmarkEnd w:id="162"/>
      <w:bookmarkStart w:id="163" w:name="_Toc184312097"/>
      <w:bookmarkEnd w:id="163"/>
      <w:bookmarkStart w:id="164" w:name="_Toc184310334"/>
      <w:bookmarkEnd w:id="164"/>
      <w:bookmarkStart w:id="165" w:name="_Toc184312094"/>
      <w:bookmarkEnd w:id="165"/>
      <w:bookmarkStart w:id="166" w:name="_Toc184310288"/>
      <w:bookmarkEnd w:id="166"/>
      <w:bookmarkStart w:id="167" w:name="_Toc184308104"/>
      <w:bookmarkEnd w:id="167"/>
      <w:bookmarkStart w:id="168" w:name="_Toc184312076"/>
      <w:bookmarkEnd w:id="168"/>
      <w:bookmarkStart w:id="169" w:name="_Toc184310335"/>
      <w:bookmarkEnd w:id="169"/>
      <w:bookmarkStart w:id="170" w:name="_Toc184312123"/>
      <w:bookmarkEnd w:id="170"/>
      <w:bookmarkStart w:id="171" w:name="_Toc184310273"/>
      <w:bookmarkEnd w:id="171"/>
      <w:bookmarkStart w:id="172" w:name="_Toc184314462"/>
      <w:bookmarkEnd w:id="172"/>
      <w:bookmarkStart w:id="173" w:name="_Toc184313264"/>
      <w:bookmarkEnd w:id="173"/>
      <w:bookmarkStart w:id="174" w:name="_Toc184312081"/>
      <w:bookmarkEnd w:id="174"/>
      <w:bookmarkStart w:id="175" w:name="_Toc184308061"/>
      <w:bookmarkEnd w:id="175"/>
      <w:bookmarkStart w:id="176" w:name="_Toc184314467"/>
      <w:bookmarkEnd w:id="176"/>
      <w:bookmarkStart w:id="177" w:name="_Toc184308099"/>
      <w:bookmarkEnd w:id="177"/>
      <w:bookmarkStart w:id="178" w:name="_Toc184313287"/>
      <w:bookmarkEnd w:id="178"/>
      <w:bookmarkStart w:id="179" w:name="_Toc184314442"/>
      <w:bookmarkEnd w:id="179"/>
      <w:bookmarkStart w:id="180" w:name="_Toc184310301"/>
      <w:bookmarkEnd w:id="180"/>
      <w:bookmarkStart w:id="181" w:name="_Toc184310320"/>
      <w:bookmarkEnd w:id="181"/>
      <w:bookmarkStart w:id="182" w:name="_Toc184314417"/>
      <w:bookmarkEnd w:id="182"/>
      <w:bookmarkStart w:id="183" w:name="_Toc184308085"/>
      <w:bookmarkEnd w:id="183"/>
      <w:bookmarkStart w:id="184" w:name="_Toc184313285"/>
      <w:bookmarkEnd w:id="184"/>
      <w:bookmarkStart w:id="185" w:name="_Toc184313259"/>
      <w:bookmarkEnd w:id="185"/>
      <w:bookmarkStart w:id="186" w:name="_Toc184314447"/>
      <w:bookmarkEnd w:id="186"/>
      <w:bookmarkStart w:id="187" w:name="_Toc184313252"/>
      <w:bookmarkEnd w:id="187"/>
      <w:bookmarkStart w:id="188" w:name="_Toc184310330"/>
      <w:bookmarkEnd w:id="188"/>
      <w:bookmarkStart w:id="189" w:name="_Toc184308107"/>
      <w:bookmarkEnd w:id="189"/>
      <w:bookmarkStart w:id="190" w:name="_Toc184314430"/>
      <w:bookmarkEnd w:id="190"/>
      <w:bookmarkStart w:id="191" w:name="_Toc184313241"/>
      <w:bookmarkEnd w:id="191"/>
      <w:bookmarkStart w:id="192" w:name="_Toc184314445"/>
      <w:bookmarkEnd w:id="192"/>
      <w:bookmarkStart w:id="193" w:name="_Toc184313279"/>
      <w:bookmarkEnd w:id="193"/>
      <w:bookmarkStart w:id="194" w:name="_Toc184313275"/>
      <w:bookmarkEnd w:id="194"/>
      <w:bookmarkStart w:id="195" w:name="_Toc184314466"/>
      <w:bookmarkEnd w:id="195"/>
      <w:bookmarkStart w:id="196" w:name="_Toc184308047"/>
      <w:bookmarkEnd w:id="196"/>
      <w:bookmarkStart w:id="197" w:name="_Toc184314428"/>
      <w:bookmarkEnd w:id="197"/>
      <w:bookmarkStart w:id="198" w:name="_Toc184310289"/>
      <w:bookmarkEnd w:id="198"/>
      <w:bookmarkStart w:id="199" w:name="_Toc184314419"/>
      <w:bookmarkEnd w:id="199"/>
      <w:bookmarkStart w:id="200" w:name="_Toc184312101"/>
      <w:bookmarkEnd w:id="200"/>
      <w:bookmarkStart w:id="201" w:name="_Toc184313274"/>
      <w:bookmarkEnd w:id="201"/>
      <w:bookmarkStart w:id="202" w:name="_Toc184314463"/>
      <w:bookmarkEnd w:id="202"/>
      <w:bookmarkStart w:id="203" w:name="_Toc184314433"/>
      <w:bookmarkEnd w:id="203"/>
      <w:bookmarkStart w:id="204" w:name="_Toc184314422"/>
      <w:bookmarkEnd w:id="204"/>
      <w:bookmarkStart w:id="205" w:name="_Toc184312125"/>
      <w:bookmarkEnd w:id="205"/>
      <w:bookmarkStart w:id="206" w:name="_Toc184308079"/>
      <w:bookmarkEnd w:id="206"/>
      <w:bookmarkStart w:id="207" w:name="_Toc184310300"/>
      <w:bookmarkEnd w:id="207"/>
      <w:bookmarkStart w:id="208" w:name="_Toc184308103"/>
      <w:bookmarkEnd w:id="208"/>
      <w:bookmarkStart w:id="209" w:name="_Toc184312079"/>
      <w:bookmarkEnd w:id="209"/>
      <w:bookmarkStart w:id="210" w:name="_Toc184310314"/>
      <w:bookmarkEnd w:id="210"/>
      <w:bookmarkStart w:id="211" w:name="_Toc184310311"/>
      <w:bookmarkEnd w:id="211"/>
      <w:bookmarkStart w:id="212" w:name="_Toc184310283"/>
      <w:bookmarkEnd w:id="212"/>
      <w:bookmarkStart w:id="213" w:name="_Toc184313266"/>
      <w:bookmarkEnd w:id="213"/>
      <w:bookmarkStart w:id="214" w:name="_Toc184314476"/>
      <w:bookmarkEnd w:id="214"/>
      <w:bookmarkStart w:id="215" w:name="_Toc184313273"/>
      <w:bookmarkEnd w:id="215"/>
      <w:bookmarkStart w:id="216" w:name="_Toc184310332"/>
      <w:bookmarkEnd w:id="216"/>
      <w:bookmarkStart w:id="217" w:name="_Toc184314479"/>
      <w:bookmarkEnd w:id="217"/>
      <w:bookmarkStart w:id="218" w:name="_Toc184308092"/>
      <w:bookmarkEnd w:id="218"/>
      <w:bookmarkStart w:id="219" w:name="_Toc184312118"/>
      <w:bookmarkEnd w:id="219"/>
      <w:bookmarkStart w:id="220" w:name="_Toc184308095"/>
      <w:bookmarkEnd w:id="220"/>
      <w:bookmarkStart w:id="221" w:name="_Toc184314449"/>
      <w:bookmarkEnd w:id="221"/>
      <w:bookmarkStart w:id="222" w:name="_Toc184314461"/>
      <w:bookmarkEnd w:id="222"/>
      <w:bookmarkStart w:id="223" w:name="_Toc184312124"/>
      <w:bookmarkEnd w:id="223"/>
      <w:bookmarkStart w:id="224" w:name="_Toc184313247"/>
      <w:bookmarkEnd w:id="224"/>
      <w:bookmarkStart w:id="225" w:name="_Toc184313292"/>
      <w:bookmarkEnd w:id="225"/>
      <w:bookmarkStart w:id="226" w:name="_Toc184312068"/>
      <w:bookmarkEnd w:id="226"/>
      <w:bookmarkStart w:id="227" w:name="_Toc184313298"/>
      <w:bookmarkEnd w:id="227"/>
      <w:bookmarkStart w:id="228" w:name="_Toc184313256"/>
      <w:bookmarkEnd w:id="228"/>
      <w:bookmarkStart w:id="229" w:name="_Toc184308082"/>
      <w:bookmarkEnd w:id="229"/>
      <w:bookmarkStart w:id="230" w:name="_Toc184310298"/>
      <w:bookmarkEnd w:id="230"/>
      <w:bookmarkStart w:id="231" w:name="_Toc184312084"/>
      <w:bookmarkEnd w:id="231"/>
      <w:bookmarkStart w:id="232" w:name="_Toc184314436"/>
      <w:bookmarkEnd w:id="232"/>
      <w:bookmarkStart w:id="233" w:name="_Toc184314454"/>
      <w:bookmarkEnd w:id="233"/>
      <w:bookmarkStart w:id="234" w:name="_Toc184313240"/>
      <w:bookmarkEnd w:id="234"/>
      <w:bookmarkStart w:id="235" w:name="_Toc184310325"/>
      <w:bookmarkEnd w:id="235"/>
      <w:bookmarkStart w:id="236" w:name="_Toc184310296"/>
      <w:bookmarkEnd w:id="236"/>
      <w:bookmarkStart w:id="237" w:name="_Toc184310304"/>
      <w:bookmarkEnd w:id="237"/>
      <w:bookmarkStart w:id="238" w:name="_Toc184313294"/>
      <w:bookmarkEnd w:id="238"/>
      <w:bookmarkStart w:id="239" w:name="_Toc184310333"/>
      <w:bookmarkEnd w:id="239"/>
      <w:bookmarkStart w:id="240" w:name="_Toc184313260"/>
      <w:bookmarkEnd w:id="240"/>
      <w:bookmarkStart w:id="241" w:name="_Toc184314437"/>
      <w:bookmarkEnd w:id="241"/>
      <w:bookmarkStart w:id="242" w:name="_Toc184313263"/>
      <w:bookmarkEnd w:id="242"/>
      <w:bookmarkStart w:id="243" w:name="_Toc184312100"/>
      <w:bookmarkEnd w:id="243"/>
      <w:bookmarkStart w:id="244" w:name="_Toc184313250"/>
      <w:bookmarkEnd w:id="244"/>
      <w:bookmarkStart w:id="245" w:name="_Toc184310303"/>
      <w:bookmarkEnd w:id="245"/>
      <w:bookmarkStart w:id="246" w:name="_Toc184314432"/>
      <w:bookmarkEnd w:id="246"/>
      <w:bookmarkStart w:id="247" w:name="_Toc184312099"/>
      <w:bookmarkEnd w:id="247"/>
      <w:bookmarkStart w:id="248" w:name="_Toc184312136"/>
      <w:bookmarkEnd w:id="248"/>
      <w:bookmarkStart w:id="249" w:name="_Toc184314455"/>
      <w:bookmarkEnd w:id="249"/>
      <w:bookmarkStart w:id="250" w:name="_Toc184314411"/>
      <w:bookmarkEnd w:id="250"/>
      <w:bookmarkStart w:id="251" w:name="_Toc184312132"/>
      <w:bookmarkEnd w:id="251"/>
      <w:bookmarkStart w:id="252" w:name="_Toc184314477"/>
      <w:bookmarkEnd w:id="252"/>
      <w:bookmarkStart w:id="253" w:name="_Toc184310312"/>
      <w:bookmarkEnd w:id="253"/>
      <w:bookmarkStart w:id="254" w:name="_Toc184312077"/>
      <w:bookmarkEnd w:id="254"/>
      <w:bookmarkStart w:id="255" w:name="_Toc184310297"/>
      <w:bookmarkEnd w:id="255"/>
      <w:bookmarkStart w:id="256" w:name="_Toc184312130"/>
      <w:bookmarkEnd w:id="256"/>
      <w:bookmarkStart w:id="257" w:name="_Toc184310337"/>
      <w:bookmarkEnd w:id="257"/>
      <w:bookmarkStart w:id="258" w:name="_Toc184310315"/>
      <w:bookmarkEnd w:id="258"/>
      <w:bookmarkStart w:id="259" w:name="_Toc184314418"/>
      <w:bookmarkEnd w:id="259"/>
      <w:bookmarkStart w:id="260" w:name="_Toc184312075"/>
      <w:bookmarkEnd w:id="260"/>
      <w:bookmarkStart w:id="261" w:name="_Toc184314453"/>
      <w:bookmarkEnd w:id="261"/>
      <w:bookmarkStart w:id="262" w:name="_Toc184310282"/>
      <w:bookmarkEnd w:id="262"/>
      <w:bookmarkStart w:id="263" w:name="_Toc184314469"/>
      <w:bookmarkEnd w:id="263"/>
      <w:bookmarkStart w:id="264" w:name="_Toc184312086"/>
      <w:bookmarkEnd w:id="264"/>
      <w:bookmarkStart w:id="265" w:name="_Toc184314458"/>
      <w:bookmarkEnd w:id="265"/>
      <w:bookmarkStart w:id="266" w:name="_Toc184308084"/>
      <w:bookmarkEnd w:id="266"/>
      <w:bookmarkStart w:id="267" w:name="_Toc184312139"/>
      <w:bookmarkEnd w:id="267"/>
      <w:bookmarkStart w:id="268" w:name="_Toc184314438"/>
      <w:bookmarkEnd w:id="268"/>
      <w:bookmarkStart w:id="269" w:name="_Toc184313262"/>
      <w:bookmarkEnd w:id="269"/>
      <w:bookmarkStart w:id="270" w:name="_Toc184314441"/>
      <w:bookmarkEnd w:id="270"/>
      <w:bookmarkStart w:id="271" w:name="_Toc184313280"/>
      <w:bookmarkEnd w:id="271"/>
      <w:bookmarkStart w:id="272" w:name="_Toc184308072"/>
      <w:bookmarkEnd w:id="272"/>
      <w:bookmarkStart w:id="273" w:name="_Toc184313308"/>
      <w:bookmarkEnd w:id="273"/>
      <w:bookmarkStart w:id="274" w:name="_Toc184313307"/>
      <w:bookmarkEnd w:id="274"/>
      <w:bookmarkStart w:id="275" w:name="_Toc184312095"/>
      <w:bookmarkEnd w:id="275"/>
      <w:bookmarkStart w:id="276" w:name="_Toc184312114"/>
      <w:bookmarkEnd w:id="276"/>
      <w:bookmarkStart w:id="277" w:name="_Toc184308069"/>
      <w:bookmarkEnd w:id="277"/>
      <w:bookmarkStart w:id="278" w:name="_Toc184312107"/>
      <w:bookmarkEnd w:id="278"/>
      <w:bookmarkStart w:id="279" w:name="_Toc184308081"/>
      <w:bookmarkEnd w:id="279"/>
      <w:bookmarkStart w:id="280" w:name="_Toc184313295"/>
      <w:bookmarkEnd w:id="280"/>
      <w:bookmarkStart w:id="281" w:name="_Toc184308044"/>
      <w:bookmarkEnd w:id="281"/>
      <w:bookmarkStart w:id="282" w:name="_Toc184312135"/>
      <w:bookmarkEnd w:id="282"/>
      <w:bookmarkStart w:id="283" w:name="_Toc184308052"/>
      <w:bookmarkEnd w:id="283"/>
      <w:bookmarkStart w:id="284" w:name="_Toc184310322"/>
      <w:bookmarkEnd w:id="284"/>
      <w:bookmarkStart w:id="285" w:name="_Toc184310341"/>
      <w:bookmarkEnd w:id="285"/>
      <w:bookmarkStart w:id="286" w:name="_Toc184314424"/>
      <w:bookmarkEnd w:id="286"/>
      <w:bookmarkStart w:id="287" w:name="_Toc184312087"/>
      <w:bookmarkEnd w:id="287"/>
      <w:bookmarkStart w:id="288" w:name="_Toc184310308"/>
      <w:bookmarkEnd w:id="288"/>
      <w:bookmarkStart w:id="289" w:name="_Toc184314426"/>
      <w:bookmarkEnd w:id="289"/>
      <w:bookmarkStart w:id="290" w:name="_Toc184308053"/>
      <w:bookmarkEnd w:id="290"/>
      <w:bookmarkStart w:id="291" w:name="_Toc184313277"/>
      <w:bookmarkEnd w:id="291"/>
      <w:bookmarkStart w:id="292" w:name="_Toc184314412"/>
      <w:bookmarkEnd w:id="292"/>
      <w:bookmarkStart w:id="293" w:name="_Toc184312134"/>
      <w:bookmarkEnd w:id="293"/>
      <w:bookmarkStart w:id="294" w:name="_Toc184310336"/>
      <w:bookmarkEnd w:id="294"/>
      <w:bookmarkStart w:id="295" w:name="_Toc184312117"/>
      <w:bookmarkEnd w:id="295"/>
      <w:bookmarkStart w:id="296" w:name="_Toc184310293"/>
      <w:bookmarkEnd w:id="296"/>
      <w:bookmarkStart w:id="297" w:name="_Toc184313270"/>
      <w:bookmarkEnd w:id="297"/>
      <w:bookmarkStart w:id="298" w:name="_Toc184310317"/>
      <w:bookmarkEnd w:id="298"/>
      <w:bookmarkStart w:id="299" w:name="_Toc184313248"/>
      <w:bookmarkEnd w:id="299"/>
      <w:bookmarkStart w:id="300" w:name="_Toc184310279"/>
      <w:bookmarkEnd w:id="300"/>
      <w:bookmarkStart w:id="301" w:name="_Toc184313288"/>
      <w:bookmarkEnd w:id="301"/>
      <w:bookmarkStart w:id="302" w:name="_Toc184314473"/>
      <w:bookmarkEnd w:id="302"/>
      <w:bookmarkStart w:id="303" w:name="_Toc184312098"/>
      <w:bookmarkEnd w:id="303"/>
      <w:bookmarkStart w:id="304" w:name="_Toc184313284"/>
      <w:bookmarkEnd w:id="304"/>
      <w:bookmarkStart w:id="305" w:name="_Toc184308067"/>
      <w:bookmarkEnd w:id="305"/>
      <w:bookmarkStart w:id="306" w:name="_Toc184312074"/>
      <w:bookmarkEnd w:id="306"/>
      <w:bookmarkStart w:id="307" w:name="_Toc184314474"/>
      <w:bookmarkEnd w:id="307"/>
      <w:bookmarkStart w:id="308" w:name="_Toc184310287"/>
      <w:bookmarkEnd w:id="308"/>
      <w:bookmarkStart w:id="309" w:name="_Toc184312103"/>
      <w:bookmarkEnd w:id="309"/>
      <w:bookmarkStart w:id="310" w:name="_Toc184314448"/>
      <w:bookmarkEnd w:id="310"/>
      <w:bookmarkStart w:id="311" w:name="_Toc184314459"/>
      <w:bookmarkEnd w:id="311"/>
      <w:bookmarkStart w:id="312" w:name="_Toc184313253"/>
      <w:bookmarkEnd w:id="312"/>
      <w:bookmarkStart w:id="313" w:name="_Toc184314464"/>
      <w:bookmarkEnd w:id="313"/>
      <w:bookmarkStart w:id="314" w:name="_Toc184313254"/>
      <w:bookmarkEnd w:id="314"/>
      <w:bookmarkStart w:id="315" w:name="_Toc184313246"/>
      <w:bookmarkEnd w:id="315"/>
      <w:bookmarkStart w:id="316" w:name="_Toc184310343"/>
      <w:bookmarkEnd w:id="316"/>
      <w:bookmarkStart w:id="317" w:name="_Toc184313251"/>
      <w:bookmarkEnd w:id="317"/>
      <w:bookmarkStart w:id="318" w:name="_Toc184314425"/>
      <w:bookmarkEnd w:id="318"/>
      <w:bookmarkStart w:id="319" w:name="_Toc184308097"/>
      <w:bookmarkEnd w:id="319"/>
      <w:bookmarkStart w:id="320" w:name="_Toc184308055"/>
      <w:bookmarkEnd w:id="320"/>
      <w:bookmarkStart w:id="321" w:name="_Toc184308058"/>
      <w:bookmarkEnd w:id="321"/>
      <w:bookmarkStart w:id="322" w:name="_Toc184313289"/>
      <w:bookmarkEnd w:id="322"/>
      <w:bookmarkStart w:id="323" w:name="_Toc184308046"/>
      <w:bookmarkEnd w:id="323"/>
      <w:bookmarkStart w:id="324" w:name="_Toc184310328"/>
      <w:bookmarkEnd w:id="324"/>
      <w:bookmarkStart w:id="325" w:name="_Toc184310291"/>
      <w:bookmarkEnd w:id="325"/>
      <w:bookmarkStart w:id="326" w:name="_Toc184312073"/>
      <w:bookmarkEnd w:id="326"/>
      <w:bookmarkStart w:id="327" w:name="_Toc184308101"/>
      <w:bookmarkEnd w:id="327"/>
      <w:bookmarkStart w:id="328" w:name="_Toc184312090"/>
      <w:bookmarkEnd w:id="328"/>
      <w:bookmarkStart w:id="329" w:name="_Toc184312083"/>
      <w:bookmarkEnd w:id="329"/>
      <w:bookmarkStart w:id="330" w:name="_Toc184310339"/>
      <w:bookmarkEnd w:id="330"/>
      <w:bookmarkStart w:id="331" w:name="_Toc184310280"/>
      <w:bookmarkEnd w:id="331"/>
      <w:bookmarkStart w:id="332" w:name="_Toc184314460"/>
      <w:bookmarkEnd w:id="332"/>
      <w:bookmarkStart w:id="333" w:name="_Toc184312093"/>
      <w:bookmarkEnd w:id="333"/>
      <w:bookmarkStart w:id="334" w:name="_Toc184310344"/>
      <w:bookmarkEnd w:id="334"/>
      <w:bookmarkStart w:id="335" w:name="_Toc184314472"/>
      <w:bookmarkEnd w:id="335"/>
      <w:bookmarkStart w:id="336" w:name="_Toc184312128"/>
      <w:bookmarkEnd w:id="336"/>
      <w:bookmarkStart w:id="337" w:name="_Toc184312069"/>
      <w:bookmarkEnd w:id="337"/>
      <w:bookmarkStart w:id="338" w:name="_Toc184312127"/>
      <w:bookmarkEnd w:id="338"/>
      <w:bookmarkStart w:id="339" w:name="_Toc184308042"/>
      <w:bookmarkEnd w:id="339"/>
      <w:bookmarkStart w:id="340" w:name="_Toc184313265"/>
      <w:bookmarkEnd w:id="340"/>
      <w:bookmarkStart w:id="341" w:name="_Toc184314423"/>
      <w:bookmarkEnd w:id="341"/>
      <w:bookmarkStart w:id="342" w:name="_Toc184314446"/>
      <w:bookmarkEnd w:id="342"/>
      <w:bookmarkStart w:id="343" w:name="_Toc184310294"/>
      <w:bookmarkEnd w:id="343"/>
      <w:bookmarkStart w:id="344" w:name="_Toc184314450"/>
      <w:bookmarkEnd w:id="344"/>
      <w:bookmarkStart w:id="345" w:name="_Toc184308041"/>
      <w:bookmarkEnd w:id="345"/>
      <w:bookmarkStart w:id="346" w:name="_Toc184312070"/>
      <w:bookmarkEnd w:id="346"/>
      <w:bookmarkStart w:id="347" w:name="_Toc184308057"/>
      <w:bookmarkEnd w:id="347"/>
      <w:bookmarkStart w:id="348" w:name="_Toc184308064"/>
      <w:bookmarkEnd w:id="348"/>
      <w:bookmarkStart w:id="349" w:name="_Toc184313268"/>
      <w:bookmarkEnd w:id="349"/>
      <w:bookmarkStart w:id="350" w:name="_Toc184310285"/>
      <w:bookmarkEnd w:id="350"/>
      <w:bookmarkStart w:id="351" w:name="_Toc184310276"/>
      <w:bookmarkEnd w:id="351"/>
      <w:bookmarkStart w:id="352" w:name="_Toc184310342"/>
      <w:bookmarkEnd w:id="352"/>
      <w:bookmarkStart w:id="353" w:name="_Toc184308039"/>
      <w:bookmarkEnd w:id="353"/>
      <w:bookmarkStart w:id="354" w:name="_Toc184314480"/>
      <w:bookmarkEnd w:id="354"/>
      <w:bookmarkStart w:id="355" w:name="_Toc184308062"/>
      <w:bookmarkEnd w:id="355"/>
      <w:bookmarkStart w:id="356" w:name="_Toc184313249"/>
      <w:bookmarkEnd w:id="356"/>
      <w:bookmarkStart w:id="357" w:name="_Toc184308083"/>
      <w:bookmarkEnd w:id="357"/>
      <w:bookmarkStart w:id="358" w:name="_Toc184313297"/>
      <w:bookmarkEnd w:id="358"/>
      <w:bookmarkStart w:id="359" w:name="_Toc184310284"/>
      <w:bookmarkEnd w:id="359"/>
      <w:bookmarkStart w:id="360" w:name="_Toc184314439"/>
      <w:bookmarkEnd w:id="360"/>
      <w:bookmarkStart w:id="361" w:name="_Toc184310306"/>
      <w:bookmarkEnd w:id="361"/>
      <w:bookmarkStart w:id="362" w:name="_Toc184310302"/>
      <w:bookmarkEnd w:id="362"/>
      <w:bookmarkStart w:id="363" w:name="_Toc184308065"/>
      <w:bookmarkEnd w:id="363"/>
      <w:bookmarkStart w:id="364" w:name="_Toc184310290"/>
      <w:bookmarkEnd w:id="364"/>
      <w:bookmarkStart w:id="365" w:name="_Toc184308087"/>
      <w:bookmarkEnd w:id="365"/>
      <w:bookmarkStart w:id="366" w:name="_Toc184308056"/>
      <w:bookmarkEnd w:id="366"/>
      <w:bookmarkStart w:id="367" w:name="_Toc184310295"/>
      <w:bookmarkEnd w:id="367"/>
      <w:bookmarkStart w:id="368" w:name="_Toc184314435"/>
      <w:bookmarkEnd w:id="368"/>
      <w:bookmarkStart w:id="369" w:name="_Toc184314457"/>
      <w:bookmarkEnd w:id="369"/>
      <w:bookmarkStart w:id="370" w:name="_Toc184308066"/>
      <w:bookmarkEnd w:id="370"/>
      <w:bookmarkStart w:id="371" w:name="_Toc184310278"/>
      <w:bookmarkEnd w:id="371"/>
      <w:bookmarkStart w:id="372" w:name="_Toc184312108"/>
      <w:bookmarkEnd w:id="372"/>
      <w:bookmarkStart w:id="373" w:name="_Toc184312129"/>
      <w:bookmarkEnd w:id="373"/>
      <w:bookmarkStart w:id="374" w:name="_Toc184310321"/>
      <w:bookmarkEnd w:id="374"/>
      <w:bookmarkStart w:id="375" w:name="_Toc184308106"/>
      <w:bookmarkEnd w:id="375"/>
      <w:bookmarkStart w:id="376" w:name="_Toc184314456"/>
      <w:bookmarkEnd w:id="376"/>
      <w:bookmarkStart w:id="377" w:name="_Toc184313310"/>
      <w:bookmarkEnd w:id="377"/>
      <w:bookmarkStart w:id="378" w:name="_Toc184313302"/>
      <w:bookmarkEnd w:id="378"/>
      <w:bookmarkStart w:id="379" w:name="_Toc184312133"/>
      <w:bookmarkEnd w:id="379"/>
      <w:bookmarkStart w:id="380" w:name="_Toc184310319"/>
      <w:bookmarkEnd w:id="380"/>
      <w:bookmarkStart w:id="381" w:name="_Toc184310324"/>
      <w:bookmarkEnd w:id="381"/>
      <w:bookmarkStart w:id="382" w:name="_Toc184308080"/>
      <w:bookmarkEnd w:id="382"/>
      <w:bookmarkStart w:id="383" w:name="_Toc184312126"/>
      <w:bookmarkEnd w:id="383"/>
      <w:bookmarkStart w:id="384" w:name="_Toc184308074"/>
      <w:bookmarkEnd w:id="384"/>
      <w:bookmarkStart w:id="385" w:name="_Toc184313278"/>
      <w:bookmarkEnd w:id="385"/>
      <w:bookmarkStart w:id="386" w:name="_Toc184308100"/>
      <w:bookmarkEnd w:id="386"/>
      <w:bookmarkStart w:id="387" w:name="_Toc184313299"/>
      <w:bookmarkEnd w:id="387"/>
      <w:bookmarkStart w:id="388" w:name="_Toc184313283"/>
      <w:bookmarkEnd w:id="388"/>
      <w:bookmarkStart w:id="389" w:name="_Toc184308086"/>
      <w:bookmarkEnd w:id="389"/>
      <w:bookmarkStart w:id="390" w:name="_Toc184312102"/>
      <w:bookmarkEnd w:id="390"/>
      <w:r>
        <w:rPr>
          <w:rFonts w:hint="eastAsia" w:asciiTheme="majorEastAsia" w:hAnsiTheme="majorEastAsia" w:eastAsiaTheme="majorEastAsia" w:cstheme="majorEastAsia"/>
          <w:b/>
          <w:color w:val="auto"/>
          <w:sz w:val="36"/>
          <w:szCs w:val="36"/>
          <w:highlight w:val="none"/>
        </w:rPr>
        <w:t>评标办法</w:t>
      </w:r>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p>
      <w:pPr>
        <w:pStyle w:val="89"/>
        <w:spacing w:before="0"/>
        <w:ind w:firstLine="602" w:firstLineChars="25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b/>
          <w:color w:val="auto"/>
          <w:szCs w:val="24"/>
          <w:highlight w:val="none"/>
        </w:rPr>
        <w:t>1、本次评标采用综合评分法，总分为100分。</w:t>
      </w:r>
      <w:r>
        <w:rPr>
          <w:rFonts w:hint="eastAsia" w:asciiTheme="majorEastAsia" w:hAnsiTheme="majorEastAsia" w:eastAsiaTheme="majorEastAsia" w:cstheme="majorEastAsia"/>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hint="eastAsia" w:asciiTheme="majorEastAsia" w:hAnsiTheme="majorEastAsia" w:eastAsiaTheme="majorEastAsia" w:cstheme="majorEastAsia"/>
          <w:bCs/>
          <w:color w:val="auto"/>
          <w:szCs w:val="24"/>
          <w:highlight w:val="none"/>
        </w:rPr>
      </w:pPr>
      <w:r>
        <w:rPr>
          <w:rFonts w:hint="eastAsia" w:asciiTheme="majorEastAsia" w:hAnsiTheme="majorEastAsia" w:eastAsiaTheme="majorEastAsia" w:cstheme="majorEastAsia"/>
          <w:bCs/>
          <w:color w:val="auto"/>
          <w:szCs w:val="24"/>
          <w:highlight w:val="none"/>
        </w:rPr>
        <w:t>各投标人的综合得分为：投标价格得分+技术商务得分之和，总和为100分，其中：投标价格得分</w:t>
      </w:r>
      <w:r>
        <w:rPr>
          <w:rFonts w:hint="eastAsia" w:asciiTheme="majorEastAsia" w:hAnsiTheme="majorEastAsia" w:eastAsiaTheme="majorEastAsia" w:cstheme="majorEastAsia"/>
          <w:bCs/>
          <w:color w:val="auto"/>
          <w:szCs w:val="24"/>
          <w:highlight w:val="none"/>
          <w:lang w:val="en-US" w:eastAsia="zh-CN"/>
        </w:rPr>
        <w:t>10</w:t>
      </w:r>
      <w:r>
        <w:rPr>
          <w:rFonts w:hint="eastAsia" w:asciiTheme="majorEastAsia" w:hAnsiTheme="majorEastAsia" w:eastAsiaTheme="majorEastAsia" w:cstheme="majorEastAsia"/>
          <w:bCs/>
          <w:color w:val="auto"/>
          <w:szCs w:val="24"/>
          <w:highlight w:val="none"/>
        </w:rPr>
        <w:t>分，商务技术得分</w:t>
      </w:r>
      <w:r>
        <w:rPr>
          <w:rFonts w:hint="eastAsia" w:asciiTheme="majorEastAsia" w:hAnsiTheme="majorEastAsia" w:eastAsiaTheme="majorEastAsia" w:cstheme="majorEastAsia"/>
          <w:bCs/>
          <w:color w:val="auto"/>
          <w:szCs w:val="24"/>
          <w:highlight w:val="none"/>
          <w:lang w:val="en-US" w:eastAsia="zh-CN"/>
        </w:rPr>
        <w:t>90</w:t>
      </w:r>
      <w:r>
        <w:rPr>
          <w:rFonts w:hint="eastAsia" w:asciiTheme="majorEastAsia" w:hAnsiTheme="majorEastAsia" w:eastAsiaTheme="majorEastAsia" w:cstheme="majorEastAsia"/>
          <w:bCs/>
          <w:color w:val="auto"/>
          <w:szCs w:val="24"/>
          <w:highlight w:val="none"/>
        </w:rPr>
        <w:t>分。</w:t>
      </w:r>
    </w:p>
    <w:p>
      <w:pPr>
        <w:numPr>
          <w:ilvl w:val="0"/>
          <w:numId w:val="4"/>
        </w:numPr>
        <w:snapToGrid w:val="0"/>
        <w:spacing w:line="360" w:lineRule="auto"/>
        <w:ind w:firstLine="480" w:firstLineChars="200"/>
        <w:rPr>
          <w:rFonts w:hint="eastAsia" w:ascii="宋体" w:hAnsi="宋体" w:eastAsia="宋体" w:cs="宋体"/>
          <w:color w:val="auto"/>
          <w:highlight w:val="none"/>
        </w:rPr>
      </w:pPr>
      <w:r>
        <w:rPr>
          <w:rFonts w:hint="eastAsia" w:asciiTheme="majorEastAsia" w:hAnsiTheme="majorEastAsia" w:eastAsiaTheme="majorEastAsia" w:cstheme="majorEastAsia"/>
          <w:color w:val="auto"/>
          <w:sz w:val="24"/>
          <w:highlight w:val="none"/>
        </w:rPr>
        <w:t>商务、技术评标细则（</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0分）</w:t>
      </w:r>
    </w:p>
    <w:tbl>
      <w:tblPr>
        <w:tblStyle w:val="64"/>
        <w:tblW w:w="94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840"/>
        <w:gridCol w:w="669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4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669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技术分（80分）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供应商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针对本项目养护内容提出克服难点和要点的技术措施，技术措施、对策科学、合理、可操作性强得5分，投标人针对本项目养护内容提出克服难点和要点的技术措施，技术措施对策较为科学、合理、可操作性较好得3分，投标人针对本项目养护内容提出克服难点和要点的技术措施，技术措施对策科学性、合理性、可操作性一般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道路保洁组织方案切合本项目采购需求，</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安排科学合理，制定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方案，针对性、操作性强的得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分，道路保洁组织方案较为切合本项目采购需求，</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安排较为科学合理，制定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方案，针对性、操作性较强的得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分，道路保洁组织方案与本项目采购需求切合度一般，</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安排一般，制定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方案，针对性、操作性一般的得1分，方案不合理或未提供方案不得分。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分，方案针对本项目的实际情况进行具体制定，较为全面、详细、合理，针对性较好得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分，方案与本项目的实际情况针对性一般，重点要点表述一般得1分，方案有缺项或不合理或未提供方案不得分。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根据投标人质量保证体系及质量保证措施方案，文明</w:t>
            </w:r>
            <w:r>
              <w:rPr>
                <w:rFonts w:hint="eastAsia" w:ascii="仿宋" w:hAnsi="仿宋" w:eastAsia="仿宋" w:cs="仿宋"/>
                <w:color w:val="auto"/>
                <w:sz w:val="24"/>
                <w:highlight w:val="none"/>
              </w:rPr>
              <w:t>安全保证体系和安全保证措施</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highlight w:val="none"/>
                <w:lang w:val="zh-CN" w:eastAsia="zh-CN"/>
              </w:rPr>
              <w:t>全面、详细、合理的得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分，较为全面、详细、合理的得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一般的得</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针对人员管理、车辆管理、设施管理、环卫事件管理，供应商针对本项目的智慧环卫（需纳入采购人智慧平台等）实施方案，符合的得5分，部分符合的得3分，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符合的得5分，部分符合的得3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分，有较为完善的重大活动保障方案，方案较为科学合理，针对性及可操作性较好，能较为圆满完成大型活动、节庆假日、创优评优等重大活动保障任务情况的得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分，重大活动保障方案一般，针对性及可操作性一般，对大型活动、节庆假日、创优评优等重大活动保障任务保障的可靠性一般得1分。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投标人拥有政府有关部门颁发的生活垃圾经营性清扫服务许可证且在有效期内的得2分。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600" w:lineRule="exact"/>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投标人技术人员力量情况：须提供以下相关人员（人员不能重复，若有重复只能按一人次计）：</w:t>
            </w:r>
          </w:p>
          <w:p>
            <w:pPr>
              <w:widowControl w:val="0"/>
              <w:numPr>
                <w:ilvl w:val="0"/>
                <w:numId w:val="0"/>
              </w:numPr>
              <w:wordWrap/>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1）项目保洁作业负责人同时具有大专及以上学历及环卫项目经理证证书的得3分，没有不得分，本项最高得3分；</w:t>
            </w:r>
          </w:p>
          <w:p>
            <w:pPr>
              <w:spacing w:line="6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项目绿化养护作业负责人</w:t>
            </w:r>
            <w:r>
              <w:rPr>
                <w:rFonts w:hint="eastAsia" w:ascii="仿宋" w:hAnsi="仿宋" w:eastAsia="仿宋" w:cs="仿宋"/>
                <w:b w:val="0"/>
                <w:bCs w:val="0"/>
                <w:color w:val="auto"/>
                <w:kern w:val="2"/>
                <w:sz w:val="24"/>
                <w:szCs w:val="24"/>
                <w:highlight w:val="none"/>
                <w:lang w:val="en-US" w:eastAsia="zh-CN" w:bidi="ar-SA"/>
              </w:rPr>
              <w:t>有</w:t>
            </w:r>
            <w:r>
              <w:rPr>
                <w:rFonts w:hint="eastAsia" w:ascii="仿宋" w:hAnsi="仿宋" w:eastAsia="仿宋" w:cs="仿宋"/>
                <w:color w:val="auto"/>
                <w:kern w:val="2"/>
                <w:sz w:val="24"/>
                <w:szCs w:val="24"/>
                <w:highlight w:val="none"/>
                <w:lang w:val="en-US" w:eastAsia="zh-CN" w:bidi="ar-SA"/>
              </w:rPr>
              <w:t>园林绿化或园林专业工程师中级及以上职称证书的得3分，没有不得分，本项最高得3分；</w:t>
            </w:r>
          </w:p>
          <w:p>
            <w:pPr>
              <w:widowControl w:val="0"/>
              <w:wordWrap/>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2"/>
                <w:sz w:val="24"/>
                <w:szCs w:val="24"/>
                <w:highlight w:val="none"/>
                <w:lang w:val="en-US" w:eastAsia="zh-CN" w:bidi="ar-SA"/>
              </w:rPr>
              <w:t>项目组成人员中有</w:t>
            </w:r>
            <w:r>
              <w:rPr>
                <w:rFonts w:hint="eastAsia" w:ascii="仿宋" w:hAnsi="仿宋" w:eastAsia="仿宋" w:cs="仿宋"/>
                <w:color w:val="auto"/>
                <w:sz w:val="24"/>
                <w:szCs w:val="24"/>
                <w:highlight w:val="none"/>
                <w:lang w:val="en-US" w:eastAsia="zh-CN"/>
              </w:rPr>
              <w:t>项目专职安全管理员同时具有大专及以上学历及安全员证证书的每人得0.5分，没有不得分，</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项最高得1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pStyle w:val="3"/>
              <w:numPr>
                <w:ilvl w:val="0"/>
                <w:numId w:val="0"/>
              </w:numPr>
              <w:tabs>
                <w:tab w:val="left" w:pos="706"/>
                <w:tab w:val="clear" w:pos="432"/>
              </w:tabs>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4）项目组成人员中有绿化工证书，每一人得0.5分，没有不得分，本项最高得1分；</w:t>
            </w:r>
          </w:p>
          <w:p>
            <w:pPr>
              <w:widowControl w:val="0"/>
              <w:wordWrap/>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人员不能重复</w:t>
            </w:r>
            <w:r>
              <w:rPr>
                <w:rFonts w:hint="eastAsia" w:ascii="仿宋" w:hAnsi="仿宋" w:eastAsia="仿宋" w:cs="仿宋"/>
                <w:color w:val="auto"/>
                <w:sz w:val="24"/>
                <w:szCs w:val="24"/>
                <w:highlight w:val="none"/>
                <w:lang w:val="en-US" w:eastAsia="zh-CN"/>
              </w:rPr>
              <w:t>计分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注：投标文件中提供拟派人员证书</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毕业证</w:t>
            </w:r>
            <w:r>
              <w:rPr>
                <w:rFonts w:hint="eastAsia" w:ascii="仿宋" w:hAnsi="仿宋" w:eastAsia="仿宋" w:cs="仿宋"/>
                <w:b/>
                <w:color w:val="auto"/>
                <w:sz w:val="24"/>
                <w:highlight w:val="none"/>
              </w:rPr>
              <w:t>及</w:t>
            </w:r>
            <w:r>
              <w:rPr>
                <w:rFonts w:hint="eastAsia" w:ascii="仿宋" w:hAnsi="仿宋" w:eastAsia="仿宋" w:cs="仿宋"/>
                <w:b/>
                <w:bCs/>
                <w:color w:val="auto"/>
                <w:sz w:val="24"/>
                <w:szCs w:val="24"/>
                <w:highlight w:val="none"/>
                <w:lang w:val="en-US" w:eastAsia="zh-CN"/>
              </w:rPr>
              <w:t>本人在本单位社保缴纳证明复印件</w:t>
            </w:r>
            <w:r>
              <w:rPr>
                <w:rFonts w:hint="eastAsia" w:ascii="仿宋" w:hAnsi="仿宋" w:eastAsia="仿宋" w:cs="仿宋"/>
                <w:b/>
                <w:color w:val="auto"/>
                <w:sz w:val="24"/>
                <w:highlight w:val="none"/>
              </w:rPr>
              <w:t>，否则不得分。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投标人作业设备用于本项目情况：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保洁设备：</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能够提供总质量16吨及以上清洗车(洒水车)不少于2辆，设备为自有得2分，租赁的或承诺中标后购买的每辆的得1分，最高得2分；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总质量16吨及以上三合一洗扫车不少于1辆，总质量12吨及以上三合一洗扫车不少于1辆；设备为自有的得2分，租赁的或承诺中标后购买的每辆的得1分，最高得2分；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总质量15吨及以上多功能抑尘车不少于1辆，设备为自有得2分，租赁的或承诺中标后购买的得1分，最高得2分；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总质量15吨及以上高压冲洗车不少于1辆，设备为自有得2分，租赁的或承诺中标后购买的得1分，最高得2分；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护栏清洗车不少于1辆，设备为自有得2分，租赁的或承诺中标后购买的得1分，最高得2分；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机械化除雪设备不少于2台（除雪车、大型铲车、加装式铲雪板、滚雪装置、加装式除雪板或山猫、凯斯等大型除雪设备），设备为自有得2分，租赁的或承诺中标后购买的得1分，最高得2分；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总质量5吨及以下或新能源小型清扫车（用于慢车道作业）不少于1辆，设备为自有得2分，租赁的或承诺中标后购买的每辆的得1分，最高得2分；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巡查保障车不少于1辆，设备为自有得2分，租赁的或承诺中标后购买的每辆的得1分，最高得2分；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清洗车(洒水车)或高压冲洗车或三合一洗扫车中为纯电动新能源车或天然气清洁能源车辆的每辆加2分，最多加6分，没有不得分(如为租赁或中标后购买的不予加分）；本项最高得22分；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绿化养护设备：</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能够提供专项高空作业登高车不少于1辆，设备为自有得2分，租赁的或承诺中标后购买的得1分，最高得2分；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割灌机不少于2台，设备为自有得2分，租赁的或承诺中标后购买的得1分，最高得2分；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绿篱机（修剪机）不少于2台，设备为自有得2分，租赁的或承诺中标后购买的得1分，最高得2分；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本项最高得6分；</w:t>
            </w:r>
          </w:p>
          <w:p>
            <w:pPr>
              <w:pStyle w:val="26"/>
              <w:wordWrap/>
              <w:spacing w:line="500" w:lineRule="exact"/>
              <w:ind w:left="0" w:leftChars="0" w:firstLine="0" w:firstLineChars="0"/>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highlight w:val="none"/>
                <w:lang w:val="en-US" w:eastAsia="zh-CN"/>
              </w:rPr>
              <w:t>1）单位自有的必须上牌的车辆在投标文件中同时提供车辆行驶证、购车发票、车辆登记证扫描件、清晰带有车牌号的正面、45度斜侧面的照片</w:t>
            </w:r>
            <w:r>
              <w:rPr>
                <w:rFonts w:hint="eastAsia" w:ascii="仿宋" w:hAnsi="仿宋" w:eastAsia="仿宋" w:cs="仿宋"/>
                <w:b/>
                <w:bCs/>
                <w:color w:val="auto"/>
                <w:sz w:val="24"/>
                <w:szCs w:val="24"/>
                <w:highlight w:val="none"/>
                <w:lang w:val="en-US" w:eastAsia="zh-CN"/>
              </w:rPr>
              <w:t>（其中小型清扫车如为新能源的无需提供车辆行驶证和车辆登记证）</w:t>
            </w:r>
            <w:r>
              <w:rPr>
                <w:rFonts w:hint="eastAsia" w:ascii="仿宋" w:hAnsi="仿宋" w:eastAsia="仿宋" w:cs="仿宋"/>
                <w:b/>
                <w:bCs/>
                <w:color w:val="auto"/>
                <w:sz w:val="24"/>
                <w:highlight w:val="none"/>
                <w:lang w:val="en-US" w:eastAsia="zh-CN"/>
              </w:rPr>
              <w:t>；否则不予认可。按国家规定无需上牌的车辆、设备，在投标文件中同时提供购买发票、车辆或设备照片，否则不予认可。车辆为租赁的须在投标文件中同时提供租赁协议、车辆行驶证、购车发票、车辆登记证扫描件、清晰带有车牌号的正面、45度斜侧面的照片；否则不予认可。如</w:t>
            </w:r>
            <w:r>
              <w:rPr>
                <w:rFonts w:hint="eastAsia" w:ascii="仿宋" w:hAnsi="仿宋" w:eastAsia="仿宋" w:cs="仿宋"/>
                <w:b/>
                <w:bCs/>
                <w:color w:val="auto"/>
                <w:sz w:val="24"/>
                <w:szCs w:val="24"/>
                <w:highlight w:val="none"/>
                <w:lang w:val="en-US" w:eastAsia="zh-CN"/>
              </w:rPr>
              <w:t>承诺中标后购买的提供相应承诺书。</w:t>
            </w:r>
          </w:p>
          <w:p>
            <w:pPr>
              <w:pStyle w:val="26"/>
              <w:wordWrap/>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lang w:val="en-US" w:eastAsia="zh-CN"/>
              </w:rPr>
              <w:t>2）提供车辆、设备仅用于本保洁项目的书面承诺书（格式自拟）。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rPr>
              <w:t>承诺中标后根据项目实际工作要求，配备足额的样式统一的电动</w:t>
            </w:r>
            <w:r>
              <w:rPr>
                <w:rFonts w:hint="eastAsia" w:ascii="仿宋" w:hAnsi="仿宋" w:eastAsia="仿宋" w:cs="仿宋"/>
                <w:color w:val="auto"/>
                <w:sz w:val="24"/>
                <w:szCs w:val="24"/>
                <w:highlight w:val="none"/>
                <w:lang w:eastAsia="zh-CN"/>
              </w:rPr>
              <w:t>三轮</w:t>
            </w:r>
            <w:r>
              <w:rPr>
                <w:rFonts w:hint="eastAsia" w:ascii="仿宋" w:hAnsi="仿宋" w:eastAsia="仿宋" w:cs="仿宋"/>
                <w:color w:val="auto"/>
                <w:sz w:val="24"/>
                <w:szCs w:val="24"/>
                <w:highlight w:val="none"/>
              </w:rPr>
              <w:t>环卫车辆和人行道除雪设备，提供承诺书（格式自拟）得2分，否则不得分。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体系认证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投标人具有效的环境管理体系认证、职业健康安全管理体系认证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质量管理体系认证</w:t>
            </w:r>
            <w:r>
              <w:rPr>
                <w:rFonts w:hint="eastAsia" w:ascii="仿宋" w:hAnsi="仿宋" w:eastAsia="仿宋" w:cs="仿宋"/>
                <w:color w:val="auto"/>
                <w:sz w:val="24"/>
                <w:szCs w:val="24"/>
                <w:highlight w:val="none"/>
                <w:lang w:val="en-US" w:eastAsia="zh-CN"/>
              </w:rPr>
              <w:t>证书，每</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rPr>
              <w:t>注：投标文件中提供有效期内的证书扫描件及全国认证认可信息公共服务平台网站（http://www.cnca.gov.cn/）查询页面截图，否则不得分。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企业荣誉：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养护的项目（绿化养护或道路保洁或市政养护）自2019年1月1日以来（以获奖证书或获奖文件时间为准）获得过省级及以上行业主管部门表彰荣誉的，每个得3分；地市级及以上行业主管部门表彰荣誉的，每个得1.5分；区及以上行业主管部门表彰荣誉的，每个得1分；本项最高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注：投标文件中提供获奖证明扫描件，时间以获奖证明落款为准，单个荣誉可叠加得分。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pStyle w:val="19"/>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投标人类似业绩：</w:t>
            </w:r>
          </w:p>
          <w:p>
            <w:pPr>
              <w:pStyle w:val="19"/>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年1月1日以来（时间以合同签订时间为准）承担</w:t>
            </w:r>
            <w:r>
              <w:rPr>
                <w:rFonts w:hint="eastAsia" w:ascii="仿宋" w:hAnsi="仿宋" w:eastAsia="仿宋" w:cs="仿宋"/>
                <w:color w:val="auto"/>
                <w:sz w:val="24"/>
                <w:szCs w:val="24"/>
                <w:highlight w:val="none"/>
                <w:lang w:val="en-US" w:eastAsia="zh-CN"/>
              </w:rPr>
              <w:t>过</w:t>
            </w:r>
            <w:r>
              <w:rPr>
                <w:rFonts w:hint="eastAsia" w:ascii="仿宋" w:hAnsi="仿宋" w:eastAsia="仿宋" w:cs="仿宋"/>
                <w:color w:val="auto"/>
                <w:sz w:val="24"/>
                <w:szCs w:val="24"/>
                <w:highlight w:val="none"/>
              </w:rPr>
              <w:t>类似业绩</w:t>
            </w:r>
            <w:r>
              <w:rPr>
                <w:rFonts w:hint="eastAsia" w:ascii="仿宋" w:hAnsi="仿宋" w:eastAsia="仿宋" w:cs="仿宋"/>
                <w:color w:val="auto"/>
                <w:sz w:val="24"/>
                <w:highlight w:val="none"/>
              </w:rPr>
              <w:t>（合同内容包括道路保洁</w:t>
            </w:r>
            <w:r>
              <w:rPr>
                <w:rFonts w:hint="eastAsia" w:ascii="仿宋" w:hAnsi="仿宋" w:eastAsia="仿宋" w:cs="仿宋"/>
                <w:color w:val="auto"/>
                <w:sz w:val="24"/>
                <w:highlight w:val="none"/>
                <w:lang w:val="en-US" w:eastAsia="zh-CN"/>
              </w:rPr>
              <w:t>或绿化养护</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个业绩得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本项</w:t>
            </w:r>
            <w:r>
              <w:rPr>
                <w:rFonts w:hint="eastAsia" w:ascii="仿宋" w:hAnsi="仿宋" w:eastAsia="仿宋" w:cs="仿宋"/>
                <w:color w:val="auto"/>
                <w:sz w:val="24"/>
                <w:szCs w:val="24"/>
                <w:highlight w:val="none"/>
                <w:lang w:val="en-US" w:eastAsia="zh-CN"/>
              </w:rPr>
              <w:t>最高得1分；</w:t>
            </w:r>
          </w:p>
          <w:p>
            <w:pPr>
              <w:pStyle w:val="19"/>
              <w:spacing w:line="6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注：投标文件中提供合同扫描件，否则不得分。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pStyle w:val="23"/>
        <w:rPr>
          <w:rFonts w:hint="eastAsia" w:asciiTheme="majorEastAsia" w:hAnsiTheme="majorEastAsia" w:eastAsiaTheme="majorEastAsia" w:cstheme="majorEastAsia"/>
          <w:color w:val="auto"/>
          <w:sz w:val="24"/>
          <w:highlight w:val="none"/>
        </w:rPr>
      </w:pPr>
    </w:p>
    <w:p>
      <w:pPr>
        <w:snapToGrid w:val="0"/>
        <w:spacing w:line="360" w:lineRule="auto"/>
        <w:ind w:firstLine="482"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b/>
          <w:bCs/>
          <w:color w:val="auto"/>
          <w:sz w:val="24"/>
          <w:highlight w:val="none"/>
        </w:rPr>
        <w:t>价格分（</w:t>
      </w:r>
      <w:r>
        <w:rPr>
          <w:rFonts w:hint="eastAsia" w:asciiTheme="majorEastAsia" w:hAnsiTheme="majorEastAsia" w:eastAsiaTheme="majorEastAsia" w:cstheme="majorEastAsia"/>
          <w:b/>
          <w:bCs/>
          <w:color w:val="auto"/>
          <w:sz w:val="24"/>
          <w:highlight w:val="none"/>
          <w:lang w:val="en-US" w:eastAsia="zh-CN"/>
        </w:rPr>
        <w:t>1</w:t>
      </w:r>
      <w:r>
        <w:rPr>
          <w:rFonts w:hint="eastAsia" w:asciiTheme="majorEastAsia" w:hAnsiTheme="majorEastAsia" w:eastAsiaTheme="majorEastAsia" w:cstheme="majorEastAsia"/>
          <w:b/>
          <w:bCs/>
          <w:color w:val="auto"/>
          <w:sz w:val="24"/>
          <w:highlight w:val="none"/>
        </w:rPr>
        <w:t>0分）</w:t>
      </w:r>
      <w:r>
        <w:rPr>
          <w:rFonts w:hint="eastAsia" w:asciiTheme="majorEastAsia" w:hAnsiTheme="majorEastAsia" w:eastAsiaTheme="majorEastAsia" w:cstheme="majorEastAsia"/>
          <w:color w:val="auto"/>
          <w:sz w:val="24"/>
          <w:highlight w:val="none"/>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价格分=（评标基准价/投标报价）×10%×100；</w:t>
      </w:r>
    </w:p>
    <w:p>
      <w:pPr>
        <w:widowControl/>
        <w:shd w:val="clear" w:color="auto" w:fill="FFFFFF"/>
        <w:adjustRightInd/>
        <w:spacing w:after="225" w:line="315" w:lineRule="atLeast"/>
        <w:ind w:firstLine="720" w:firstLineChars="300"/>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评标过程中，不得去掉报价中的最高报价和最低报价。</w:t>
      </w:r>
    </w:p>
    <w:p>
      <w:pPr>
        <w:snapToGrid w:val="0"/>
        <w:spacing w:line="360" w:lineRule="auto"/>
        <w:ind w:firstLine="482"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5、投标人评标综合得分=价格分+商务分+技术分</w:t>
      </w:r>
    </w:p>
    <w:p>
      <w:pPr>
        <w:pStyle w:val="967"/>
        <w:snapToGrid w:val="0"/>
        <w:ind w:left="480"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报价是中标的一个重要因素，但最低报价不是中标的唯一依据。</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pPr>
        <w:pStyle w:val="89"/>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Theme="majorEastAsia" w:hAnsiTheme="majorEastAsia" w:eastAsiaTheme="majorEastAsia" w:cstheme="majorEastAsia"/>
          <w:color w:val="auto"/>
          <w:kern w:val="0"/>
          <w:szCs w:val="24"/>
          <w:highlight w:val="none"/>
          <w:lang w:val="en-US" w:eastAsia="zh-CN"/>
        </w:rPr>
        <w:t>2</w:t>
      </w:r>
      <w:r>
        <w:rPr>
          <w:rFonts w:hint="eastAsia" w:asciiTheme="majorEastAsia" w:hAnsiTheme="majorEastAsia" w:eastAsiaTheme="majorEastAsia" w:cstheme="majorEastAsia"/>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kern w:val="0"/>
          <w:szCs w:val="24"/>
          <w:highlight w:val="none"/>
          <w:lang w:val="en-US" w:eastAsia="zh-CN"/>
        </w:rPr>
        <w:t>6</w:t>
      </w:r>
      <w:r>
        <w:rPr>
          <w:rFonts w:hint="eastAsia" w:asciiTheme="majorEastAsia" w:hAnsiTheme="majorEastAsia" w:eastAsiaTheme="majorEastAsia" w:cstheme="majorEastAsia"/>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pPr>
        <w:pStyle w:val="89"/>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有下列情况之一的，投标无效：</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4.2.12投标人仅提交备份投标文件，没有在电子交易平台传输递交投标文件的，投标无效；</w:t>
      </w:r>
    </w:p>
    <w:p>
      <w:pPr>
        <w:pStyle w:val="3"/>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废标后，采购机构应当将废标理由通知所有投标人。</w:t>
      </w:r>
    </w:p>
    <w:p>
      <w:pPr>
        <w:pStyle w:val="26"/>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pPr>
        <w:pStyle w:val="2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w:t>
      </w:r>
      <w:r>
        <w:rPr>
          <w:rFonts w:hint="eastAsia" w:asciiTheme="majorEastAsia" w:hAnsiTheme="majorEastAsia" w:eastAsiaTheme="majorEastAsia" w:cstheme="majorEastAsia"/>
          <w:color w:val="auto"/>
          <w:kern w:val="0"/>
          <w:highlight w:val="none"/>
        </w:rPr>
        <w:t>或者政府采购法实施条例等法律法规规定</w:t>
      </w:r>
      <w:r>
        <w:rPr>
          <w:rFonts w:hint="eastAsia" w:asciiTheme="majorEastAsia" w:hAnsiTheme="majorEastAsia" w:eastAsiaTheme="majorEastAsia" w:cstheme="majorEastAsia"/>
          <w:color w:val="auto"/>
          <w:highlight w:val="none"/>
        </w:rPr>
        <w:t>的行为，经改正后仍然影响或者可能影响中标、成交结果或者依法被认定为中标、成交无效的，依照7.1-7.4规定处理。</w:t>
      </w:r>
    </w:p>
    <w:bookmarkEnd w:id="25"/>
    <w:p>
      <w:pPr>
        <w:rPr>
          <w:rFonts w:hint="eastAsia" w:asciiTheme="majorEastAsia" w:hAnsiTheme="majorEastAsia" w:eastAsiaTheme="majorEastAsia" w:cstheme="majorEastAsia"/>
          <w:color w:val="auto"/>
          <w:highlight w:val="none"/>
        </w:rPr>
      </w:pPr>
      <w:bookmarkStart w:id="391" w:name="第五部分"/>
      <w:bookmarkStart w:id="392" w:name="_Toc86217003"/>
    </w:p>
    <w:p>
      <w:pPr>
        <w:pStyle w:val="83"/>
        <w:ind w:left="0" w:leftChars="0" w:firstLine="0" w:firstLineChars="0"/>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pPr>
        <w:spacing w:line="360" w:lineRule="auto"/>
        <w:ind w:left="720" w:leftChars="343" w:firstLine="630" w:firstLineChars="300"/>
        <w:outlineLvl w:val="0"/>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pPr>
        <w:pStyle w:val="35"/>
        <w:snapToGrid w:val="0"/>
        <w:spacing w:line="360" w:lineRule="auto"/>
        <w:jc w:val="both"/>
        <w:rPr>
          <w:rFonts w:hint="eastAsia" w:asciiTheme="majorEastAsia" w:hAnsiTheme="majorEastAsia" w:eastAsiaTheme="majorEastAsia" w:cstheme="majorEastAsia"/>
          <w:b/>
          <w:bCs/>
          <w:color w:val="auto"/>
          <w:sz w:val="24"/>
          <w:szCs w:val="24"/>
          <w:highlight w:val="none"/>
        </w:rPr>
      </w:pPr>
      <w:bookmarkStart w:id="393" w:name="_Toc295465365"/>
      <w:bookmarkEnd w:id="393"/>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389"/>
        <w:rPr>
          <w:rFonts w:hint="eastAsia" w:ascii="仿宋" w:hAnsi="仿宋" w:eastAsia="仿宋" w:cs="仿宋"/>
          <w:color w:val="auto"/>
          <w:szCs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p>
    <w:p>
      <w:pPr>
        <w:widowControl/>
        <w:jc w:val="left"/>
        <w:rPr>
          <w:rFonts w:hint="eastAsia" w:ascii="仿宋" w:hAnsi="仿宋" w:eastAsia="仿宋" w:cs="仿宋"/>
          <w:color w:val="auto"/>
          <w:kern w:val="0"/>
          <w:sz w:val="24"/>
          <w:highlight w:val="none"/>
        </w:rPr>
        <w:sectPr>
          <w:pgSz w:w="11907" w:h="16840"/>
          <w:pgMar w:top="567" w:right="680" w:bottom="567" w:left="680" w:header="851" w:footer="851" w:gutter="0"/>
          <w:cols w:space="720" w:num="1"/>
        </w:sectPr>
      </w:pPr>
    </w:p>
    <w:p>
      <w:pPr>
        <w:pStyle w:val="389"/>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 w:val="28"/>
          <w:szCs w:val="28"/>
          <w:highlight w:val="none"/>
        </w:rPr>
        <w:t>第一部分 合同书</w:t>
      </w:r>
    </w:p>
    <w:p>
      <w:pPr>
        <w:pStyle w:val="389"/>
        <w:ind w:left="0" w:leftChars="0" w:firstLine="0" w:firstLineChars="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项目名称：</w:t>
      </w:r>
      <w:r>
        <w:rPr>
          <w:rFonts w:hint="eastAsia" w:ascii="仿宋" w:hAnsi="仿宋" w:eastAsia="仿宋" w:cs="仿宋"/>
          <w:color w:val="auto"/>
          <w:sz w:val="24"/>
          <w:highlight w:val="none"/>
          <w:u w:val="single"/>
        </w:rPr>
        <w:t xml:space="preserve">                                   </w:t>
      </w:r>
    </w:p>
    <w:p>
      <w:pPr>
        <w:pStyle w:val="28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600" w:lineRule="exact"/>
        <w:ind w:firstLine="482" w:firstLineChars="200"/>
        <w:outlineLvl w:val="0"/>
        <w:rPr>
          <w:rFonts w:hint="eastAsia" w:ascii="仿宋" w:hAnsi="仿宋" w:eastAsia="仿宋" w:cs="仿宋"/>
          <w:b/>
          <w:color w:val="auto"/>
          <w:sz w:val="24"/>
          <w:highlight w:val="none"/>
        </w:rPr>
      </w:pPr>
      <w:bookmarkStart w:id="394" w:name="_Toc24059"/>
      <w:bookmarkStart w:id="395" w:name="_Toc3029"/>
      <w:bookmarkStart w:id="396" w:name="_Toc2232"/>
      <w:r>
        <w:rPr>
          <w:rFonts w:hint="eastAsia" w:ascii="仿宋" w:hAnsi="仿宋" w:eastAsia="仿宋" w:cs="仿宋"/>
          <w:b/>
          <w:color w:val="auto"/>
          <w:sz w:val="24"/>
          <w:highlight w:val="none"/>
        </w:rPr>
        <w:t>1.1 合同组成部分</w:t>
      </w:r>
      <w:bookmarkEnd w:id="394"/>
      <w:bookmarkEnd w:id="395"/>
      <w:bookmarkEnd w:id="396"/>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600" w:lineRule="exact"/>
        <w:ind w:firstLine="482" w:firstLineChars="200"/>
        <w:outlineLvl w:val="0"/>
        <w:rPr>
          <w:rFonts w:hint="eastAsia" w:ascii="仿宋" w:hAnsi="仿宋" w:eastAsia="仿宋" w:cs="仿宋"/>
          <w:b/>
          <w:color w:val="auto"/>
          <w:sz w:val="24"/>
          <w:highlight w:val="none"/>
        </w:rPr>
      </w:pPr>
      <w:bookmarkStart w:id="397" w:name="_Toc21295"/>
      <w:bookmarkStart w:id="398" w:name="_Toc24300"/>
      <w:bookmarkStart w:id="399" w:name="_Toc27126"/>
      <w:r>
        <w:rPr>
          <w:rFonts w:hint="eastAsia" w:ascii="仿宋" w:hAnsi="仿宋" w:eastAsia="仿宋" w:cs="仿宋"/>
          <w:b/>
          <w:color w:val="auto"/>
          <w:sz w:val="24"/>
          <w:highlight w:val="none"/>
        </w:rPr>
        <w:t xml:space="preserve">1.2 </w:t>
      </w:r>
      <w:bookmarkEnd w:id="397"/>
      <w:bookmarkEnd w:id="398"/>
      <w:bookmarkEnd w:id="399"/>
      <w:r>
        <w:rPr>
          <w:rFonts w:hint="eastAsia" w:ascii="仿宋" w:hAnsi="仿宋" w:eastAsia="仿宋" w:cs="仿宋"/>
          <w:b/>
          <w:color w:val="auto"/>
          <w:sz w:val="24"/>
          <w:highlight w:val="none"/>
        </w:rPr>
        <w:t>服务</w:t>
      </w:r>
    </w:p>
    <w:p>
      <w:pPr>
        <w:spacing w:line="6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服务质量：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600" w:lineRule="exact"/>
        <w:ind w:firstLine="482" w:firstLineChars="200"/>
        <w:outlineLvl w:val="0"/>
        <w:rPr>
          <w:rFonts w:hint="eastAsia" w:ascii="仿宋" w:hAnsi="仿宋" w:eastAsia="仿宋" w:cs="仿宋"/>
          <w:b/>
          <w:color w:val="auto"/>
          <w:sz w:val="24"/>
          <w:highlight w:val="none"/>
        </w:rPr>
      </w:pPr>
      <w:bookmarkStart w:id="400" w:name="_Toc22618"/>
      <w:bookmarkStart w:id="401" w:name="_Toc1814"/>
      <w:bookmarkStart w:id="402" w:name="_Toc10340"/>
      <w:r>
        <w:rPr>
          <w:rFonts w:hint="eastAsia" w:ascii="仿宋" w:hAnsi="仿宋" w:eastAsia="仿宋" w:cs="仿宋"/>
          <w:b/>
          <w:color w:val="auto"/>
          <w:sz w:val="24"/>
          <w:highlight w:val="none"/>
        </w:rPr>
        <w:t>1.3 付款</w:t>
      </w:r>
      <w:bookmarkEnd w:id="400"/>
      <w:bookmarkEnd w:id="401"/>
      <w:bookmarkEnd w:id="402"/>
      <w:r>
        <w:rPr>
          <w:rFonts w:hint="eastAsia" w:ascii="仿宋" w:hAnsi="仿宋" w:eastAsia="仿宋" w:cs="仿宋"/>
          <w:b/>
          <w:color w:val="auto"/>
          <w:sz w:val="24"/>
          <w:highlight w:val="none"/>
        </w:rPr>
        <w:t>方式、时间和条件</w:t>
      </w:r>
    </w:p>
    <w:p>
      <w:pPr>
        <w:pStyle w:val="620"/>
        <w:spacing w:before="0" w:beforeAutospacing="0" w:after="0" w:afterAutospacing="0" w:line="600" w:lineRule="exact"/>
        <w:ind w:firstLine="480"/>
        <w:rPr>
          <w:rFonts w:hint="eastAsia" w:ascii="仿宋" w:hAnsi="仿宋" w:eastAsia="仿宋" w:cs="仿宋"/>
          <w:color w:val="auto"/>
          <w:kern w:val="2"/>
          <w:highlight w:val="none"/>
        </w:rPr>
      </w:pPr>
      <w:r>
        <w:rPr>
          <w:rFonts w:hint="eastAsia" w:ascii="仿宋" w:hAnsi="仿宋" w:eastAsia="仿宋" w:cs="仿宋"/>
          <w:color w:val="auto"/>
          <w:highlight w:val="none"/>
        </w:rPr>
        <w:t>1.3.1</w:t>
      </w:r>
      <w:r>
        <w:rPr>
          <w:rFonts w:hint="eastAsia" w:ascii="仿宋" w:hAnsi="仿宋" w:eastAsia="仿宋" w:cs="仿宋"/>
          <w:color w:val="auto"/>
          <w:kern w:val="2"/>
          <w:highlight w:val="none"/>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6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hint="eastAsia" w:ascii="仿宋" w:hAnsi="仿宋" w:eastAsia="仿宋" w:cs="仿宋"/>
          <w:b/>
          <w:color w:val="auto"/>
          <w:sz w:val="24"/>
          <w:highlight w:val="none"/>
        </w:rPr>
      </w:pPr>
      <w:bookmarkStart w:id="403" w:name="_Toc2846"/>
      <w:bookmarkStart w:id="404" w:name="_Toc32071"/>
      <w:bookmarkStart w:id="405" w:name="_Toc19304"/>
      <w:r>
        <w:rPr>
          <w:rFonts w:hint="eastAsia" w:ascii="仿宋" w:hAnsi="仿宋" w:eastAsia="仿宋" w:cs="仿宋"/>
          <w:b/>
          <w:color w:val="auto"/>
          <w:sz w:val="24"/>
          <w:highlight w:val="none"/>
        </w:rPr>
        <w:t>1.4 服务期限、地点和方式</w:t>
      </w:r>
      <w:bookmarkEnd w:id="403"/>
      <w:bookmarkEnd w:id="404"/>
      <w:bookmarkEnd w:id="405"/>
    </w:p>
    <w:p>
      <w:pPr>
        <w:spacing w:line="6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 服务期限：详见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服务地点：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服务方式：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600" w:lineRule="exact"/>
        <w:ind w:firstLine="482" w:firstLineChars="200"/>
        <w:outlineLvl w:val="0"/>
        <w:rPr>
          <w:rFonts w:hint="eastAsia" w:ascii="仿宋" w:hAnsi="仿宋" w:eastAsia="仿宋" w:cs="仿宋"/>
          <w:b/>
          <w:color w:val="auto"/>
          <w:sz w:val="24"/>
          <w:highlight w:val="none"/>
        </w:rPr>
      </w:pPr>
      <w:bookmarkStart w:id="406" w:name="_Toc19554"/>
      <w:bookmarkStart w:id="407" w:name="_Toc27250"/>
      <w:bookmarkStart w:id="408" w:name="_Toc21423"/>
      <w:r>
        <w:rPr>
          <w:rFonts w:hint="eastAsia" w:ascii="仿宋" w:hAnsi="仿宋" w:eastAsia="仿宋" w:cs="仿宋"/>
          <w:b/>
          <w:color w:val="auto"/>
          <w:sz w:val="24"/>
          <w:highlight w:val="none"/>
        </w:rPr>
        <w:t>1.5 违约责任</w:t>
      </w:r>
      <w:bookmarkEnd w:id="406"/>
      <w:bookmarkEnd w:id="407"/>
      <w:bookmarkEnd w:id="408"/>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bookmarkStart w:id="409" w:name="_Toc16021"/>
      <w:bookmarkStart w:id="410" w:name="_Toc28375"/>
      <w:bookmarkStart w:id="411" w:name="_Toc15583"/>
      <w:r>
        <w:rPr>
          <w:rFonts w:hint="eastAsia" w:ascii="仿宋" w:hAnsi="仿宋" w:eastAsia="仿宋" w:cs="仿宋"/>
          <w:color w:val="auto"/>
          <w:sz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合同争议的解决</w:t>
      </w:r>
      <w:bookmarkEnd w:id="409"/>
      <w:bookmarkEnd w:id="410"/>
      <w:bookmarkEnd w:id="411"/>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bookmarkStart w:id="412" w:name="_Toc11173"/>
      <w:bookmarkStart w:id="413" w:name="_Toc15322"/>
      <w:bookmarkStart w:id="414" w:name="_Toc7245"/>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合同生效</w:t>
      </w:r>
      <w:bookmarkEnd w:id="412"/>
      <w:bookmarkEnd w:id="413"/>
      <w:bookmarkEnd w:id="414"/>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600" w:lineRule="exact"/>
        <w:rPr>
          <w:rFonts w:hint="eastAsia" w:ascii="仿宋" w:hAnsi="仿宋" w:eastAsia="仿宋" w:cs="仿宋"/>
          <w:color w:val="auto"/>
          <w:sz w:val="24"/>
          <w:highlight w:val="none"/>
          <w:lang w:val="zh-CN"/>
        </w:rPr>
      </w:pP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600" w:lineRule="exact"/>
        <w:rPr>
          <w:rFonts w:hint="eastAsia" w:ascii="仿宋" w:hAnsi="仿宋" w:eastAsia="仿宋" w:cs="仿宋"/>
          <w:color w:val="auto"/>
          <w:sz w:val="24"/>
          <w:highlight w:val="none"/>
          <w:lang w:val="zh-CN"/>
        </w:rPr>
      </w:pP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                        或授权代表（签字）：</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bookmarkStart w:id="415" w:name="_Toc331685783"/>
    </w:p>
    <w:p>
      <w:pPr>
        <w:pStyle w:val="389"/>
        <w:spacing w:after="0" w:line="600" w:lineRule="exact"/>
        <w:ind w:left="0" w:leftChars="0" w:firstLine="0" w:firstLineChars="0"/>
        <w:rPr>
          <w:rFonts w:hint="eastAsia" w:ascii="仿宋" w:hAnsi="仿宋" w:eastAsia="仿宋" w:cs="仿宋"/>
          <w:b/>
          <w:color w:val="auto"/>
          <w:szCs w:val="24"/>
          <w:highlight w:val="none"/>
        </w:rPr>
      </w:pPr>
    </w:p>
    <w:p>
      <w:pPr>
        <w:pStyle w:val="389"/>
        <w:spacing w:after="0" w:line="600" w:lineRule="exact"/>
        <w:ind w:left="0" w:leftChars="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415"/>
    </w:p>
    <w:p>
      <w:pPr>
        <w:spacing w:line="600" w:lineRule="exact"/>
        <w:ind w:firstLine="482" w:firstLineChars="200"/>
        <w:outlineLvl w:val="0"/>
        <w:rPr>
          <w:rFonts w:hint="eastAsia" w:ascii="仿宋" w:hAnsi="仿宋" w:eastAsia="仿宋" w:cs="仿宋"/>
          <w:b/>
          <w:color w:val="auto"/>
          <w:sz w:val="24"/>
          <w:highlight w:val="none"/>
        </w:rPr>
      </w:pPr>
      <w:bookmarkStart w:id="416" w:name="_Toc259093669"/>
      <w:bookmarkStart w:id="417" w:name="_Ref467379214"/>
      <w:bookmarkStart w:id="418" w:name="_Toc28763"/>
      <w:bookmarkStart w:id="419" w:name="_Ref467379205"/>
      <w:bookmarkStart w:id="420" w:name="_Ref467379109"/>
      <w:bookmarkStart w:id="421" w:name="_Toc19614"/>
      <w:bookmarkStart w:id="422" w:name="_Ref467379094"/>
      <w:bookmarkStart w:id="423" w:name="_Toc487900349"/>
      <w:bookmarkStart w:id="424" w:name="_Ref467379195"/>
      <w:bookmarkStart w:id="425" w:name="_Ref467379225"/>
      <w:bookmarkStart w:id="426" w:name="_Ref467378499"/>
      <w:bookmarkStart w:id="427" w:name="_Ref467379101"/>
      <w:bookmarkStart w:id="428" w:name="_Ref467378404"/>
      <w:bookmarkStart w:id="429" w:name="_Ref467378463"/>
      <w:bookmarkStart w:id="430" w:name="_Toc16917"/>
      <w:bookmarkStart w:id="431" w:name="_Toc279701240"/>
      <w:r>
        <w:rPr>
          <w:rFonts w:hint="eastAsia" w:ascii="仿宋" w:hAnsi="仿宋" w:eastAsia="仿宋" w:cs="仿宋"/>
          <w:b/>
          <w:color w:val="auto"/>
          <w:sz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600" w:lineRule="exact"/>
        <w:ind w:firstLine="480" w:firstLineChars="200"/>
        <w:rPr>
          <w:rFonts w:hint="eastAsia" w:ascii="仿宋" w:hAnsi="仿宋" w:eastAsia="仿宋" w:cs="仿宋"/>
          <w:color w:val="auto"/>
          <w:sz w:val="24"/>
          <w:highlight w:val="none"/>
        </w:rPr>
      </w:pPr>
      <w:bookmarkStart w:id="432" w:name="_Ref467378840"/>
      <w:r>
        <w:rPr>
          <w:rFonts w:hint="eastAsia" w:ascii="仿宋" w:hAnsi="仿宋" w:eastAsia="仿宋" w:cs="仿宋"/>
          <w:color w:val="auto"/>
          <w:sz w:val="24"/>
          <w:highlight w:val="none"/>
        </w:rPr>
        <w:t>2.1.3 “甲方”系指与中标供应商签署合同的采购人</w:t>
      </w:r>
      <w:bookmarkEnd w:id="432"/>
      <w:r>
        <w:rPr>
          <w:rFonts w:hint="eastAsia" w:ascii="仿宋" w:hAnsi="仿宋" w:eastAsia="仿宋" w:cs="仿宋"/>
          <w:color w:val="auto"/>
          <w:sz w:val="24"/>
          <w:highlight w:val="none"/>
        </w:rPr>
        <w:t>；采购人委托采购代理机构代表其与乙方签订合同的，采购人的授权委托书作为合同附件。</w:t>
      </w:r>
    </w:p>
    <w:p>
      <w:pPr>
        <w:spacing w:line="600" w:lineRule="exact"/>
        <w:ind w:firstLine="480" w:firstLineChars="200"/>
        <w:rPr>
          <w:rFonts w:hint="eastAsia" w:ascii="仿宋" w:hAnsi="仿宋" w:eastAsia="仿宋" w:cs="仿宋"/>
          <w:color w:val="auto"/>
          <w:sz w:val="24"/>
          <w:highlight w:val="none"/>
        </w:rPr>
      </w:pPr>
      <w:bookmarkStart w:id="433" w:name="_Ref467379400"/>
      <w:r>
        <w:rPr>
          <w:rFonts w:hint="eastAsia" w:ascii="仿宋" w:hAnsi="仿宋" w:eastAsia="仿宋" w:cs="仿宋"/>
          <w:color w:val="auto"/>
          <w:sz w:val="24"/>
          <w:highlight w:val="none"/>
        </w:rPr>
        <w:t>2.1.4 “乙方”系指根据合同约定交付货物的中标供应商</w:t>
      </w:r>
      <w:bookmarkEnd w:id="43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hint="eastAsia" w:ascii="仿宋" w:hAnsi="仿宋" w:eastAsia="仿宋" w:cs="仿宋"/>
          <w:color w:val="auto"/>
          <w:sz w:val="24"/>
          <w:highlight w:val="none"/>
        </w:rPr>
      </w:pPr>
      <w:bookmarkStart w:id="434" w:name="_Ref467379436"/>
      <w:r>
        <w:rPr>
          <w:rFonts w:hint="eastAsia" w:ascii="仿宋" w:hAnsi="仿宋" w:eastAsia="仿宋" w:cs="仿宋"/>
          <w:color w:val="auto"/>
          <w:sz w:val="24"/>
          <w:highlight w:val="none"/>
        </w:rPr>
        <w:t>2.1.5 “现场”系指合同约定服务地点。</w:t>
      </w:r>
      <w:bookmarkEnd w:id="434"/>
    </w:p>
    <w:p>
      <w:pPr>
        <w:spacing w:line="600" w:lineRule="exact"/>
        <w:ind w:firstLine="482" w:firstLineChars="200"/>
        <w:outlineLvl w:val="0"/>
        <w:rPr>
          <w:rFonts w:hint="eastAsia" w:ascii="仿宋" w:hAnsi="仿宋" w:eastAsia="仿宋" w:cs="仿宋"/>
          <w:b/>
          <w:color w:val="auto"/>
          <w:sz w:val="24"/>
          <w:highlight w:val="none"/>
        </w:rPr>
      </w:pPr>
      <w:bookmarkStart w:id="435" w:name="_Toc9829"/>
      <w:bookmarkStart w:id="436" w:name="_Toc259093671"/>
      <w:bookmarkStart w:id="437" w:name="_Toc487900351"/>
      <w:bookmarkStart w:id="438" w:name="_Toc31634"/>
      <w:bookmarkStart w:id="439" w:name="_Toc279701242"/>
      <w:bookmarkStart w:id="440" w:name="_Toc27853"/>
      <w:r>
        <w:rPr>
          <w:rFonts w:hint="eastAsia" w:ascii="仿宋" w:hAnsi="仿宋" w:eastAsia="仿宋" w:cs="仿宋"/>
          <w:b/>
          <w:color w:val="auto"/>
          <w:sz w:val="24"/>
          <w:highlight w:val="none"/>
        </w:rPr>
        <w:t>2.2 知识产权</w:t>
      </w:r>
      <w:bookmarkEnd w:id="435"/>
      <w:bookmarkEnd w:id="436"/>
      <w:bookmarkEnd w:id="437"/>
      <w:bookmarkEnd w:id="438"/>
      <w:bookmarkEnd w:id="439"/>
      <w:bookmarkEnd w:id="440"/>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 乙方应保证提供服务过程中不会侵犯任何第三方的知识产权。</w:t>
      </w:r>
    </w:p>
    <w:p>
      <w:pPr>
        <w:spacing w:line="600" w:lineRule="exact"/>
        <w:ind w:firstLine="482" w:firstLineChars="200"/>
        <w:outlineLvl w:val="0"/>
        <w:rPr>
          <w:rFonts w:hint="eastAsia" w:ascii="仿宋" w:hAnsi="仿宋" w:eastAsia="仿宋" w:cs="仿宋"/>
          <w:b/>
          <w:color w:val="auto"/>
          <w:sz w:val="24"/>
          <w:highlight w:val="none"/>
        </w:rPr>
      </w:pPr>
      <w:bookmarkStart w:id="441" w:name="_Toc7502"/>
      <w:bookmarkStart w:id="442" w:name="_Toc259093683"/>
      <w:bookmarkStart w:id="443" w:name="_Ref467378121"/>
      <w:bookmarkStart w:id="444" w:name="_Toc279701254"/>
      <w:bookmarkStart w:id="445" w:name="_Toc487900364"/>
      <w:r>
        <w:rPr>
          <w:rFonts w:hint="eastAsia" w:ascii="仿宋" w:hAnsi="仿宋" w:eastAsia="仿宋" w:cs="仿宋"/>
          <w:b/>
          <w:color w:val="auto"/>
          <w:sz w:val="24"/>
          <w:highlight w:val="none"/>
        </w:rPr>
        <w:t>2.3合同变更</w:t>
      </w:r>
      <w:bookmarkEnd w:id="441"/>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46" w:name="_Toc487900369"/>
      <w:bookmarkStart w:id="447" w:name="_Toc259093688"/>
      <w:bookmarkStart w:id="448" w:name="_Toc279701259"/>
    </w:p>
    <w:p>
      <w:pPr>
        <w:spacing w:line="600" w:lineRule="exact"/>
        <w:ind w:firstLine="482" w:firstLineChars="200"/>
        <w:outlineLvl w:val="0"/>
        <w:rPr>
          <w:rFonts w:hint="eastAsia" w:ascii="仿宋" w:hAnsi="仿宋" w:eastAsia="仿宋" w:cs="仿宋"/>
          <w:b/>
          <w:color w:val="auto"/>
          <w:sz w:val="24"/>
          <w:highlight w:val="none"/>
        </w:rPr>
      </w:pPr>
      <w:bookmarkStart w:id="449" w:name="_Toc15237"/>
      <w:bookmarkStart w:id="450" w:name="_Toc10366"/>
      <w:bookmarkStart w:id="451" w:name="_Toc22955"/>
      <w:r>
        <w:rPr>
          <w:rFonts w:hint="eastAsia" w:ascii="仿宋" w:hAnsi="仿宋" w:eastAsia="仿宋" w:cs="仿宋"/>
          <w:b/>
          <w:color w:val="auto"/>
          <w:sz w:val="24"/>
          <w:highlight w:val="none"/>
        </w:rPr>
        <w:t>2.4 转让</w:t>
      </w:r>
      <w:bookmarkEnd w:id="446"/>
      <w:bookmarkEnd w:id="447"/>
      <w:bookmarkEnd w:id="448"/>
      <w:r>
        <w:rPr>
          <w:rFonts w:hint="eastAsia" w:ascii="仿宋" w:hAnsi="仿宋" w:eastAsia="仿宋" w:cs="仿宋"/>
          <w:b/>
          <w:color w:val="auto"/>
          <w:sz w:val="24"/>
          <w:highlight w:val="none"/>
        </w:rPr>
        <w:t>和分包</w:t>
      </w:r>
      <w:bookmarkEnd w:id="449"/>
      <w:bookmarkEnd w:id="450"/>
      <w:bookmarkEnd w:id="451"/>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hint="eastAsia" w:ascii="仿宋" w:hAnsi="仿宋" w:eastAsia="仿宋" w:cs="仿宋"/>
          <w:b/>
          <w:color w:val="auto"/>
          <w:sz w:val="24"/>
          <w:highlight w:val="none"/>
        </w:rPr>
      </w:pPr>
      <w:bookmarkStart w:id="452" w:name="_Toc16508"/>
      <w:bookmarkStart w:id="453" w:name="_Toc13566"/>
      <w:bookmarkStart w:id="454" w:name="_Toc14066"/>
      <w:r>
        <w:rPr>
          <w:rFonts w:hint="eastAsia" w:ascii="仿宋" w:hAnsi="仿宋" w:eastAsia="仿宋" w:cs="仿宋"/>
          <w:b/>
          <w:color w:val="auto"/>
          <w:sz w:val="24"/>
          <w:highlight w:val="none"/>
        </w:rPr>
        <w:t>2.5不可抗力</w:t>
      </w:r>
      <w:bookmarkEnd w:id="452"/>
      <w:bookmarkEnd w:id="453"/>
      <w:bookmarkEnd w:id="454"/>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因不可抗力致使不能实现合同目的的，当事人可以解除合同；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600" w:lineRule="exact"/>
        <w:ind w:firstLine="482" w:firstLineChars="200"/>
        <w:outlineLvl w:val="0"/>
        <w:rPr>
          <w:rFonts w:hint="eastAsia" w:ascii="仿宋" w:hAnsi="仿宋" w:eastAsia="仿宋" w:cs="仿宋"/>
          <w:b/>
          <w:color w:val="auto"/>
          <w:sz w:val="24"/>
          <w:highlight w:val="none"/>
        </w:rPr>
      </w:pPr>
      <w:bookmarkStart w:id="455" w:name="_Toc689"/>
      <w:bookmarkStart w:id="456" w:name="_Toc30676"/>
      <w:bookmarkStart w:id="457" w:name="_Toc259093684"/>
      <w:bookmarkStart w:id="458" w:name="_Toc487900365"/>
      <w:bookmarkStart w:id="459" w:name="_Toc279701255"/>
      <w:bookmarkStart w:id="460" w:name="_Toc6969"/>
      <w:r>
        <w:rPr>
          <w:rFonts w:hint="eastAsia" w:ascii="仿宋" w:hAnsi="仿宋" w:eastAsia="仿宋" w:cs="仿宋"/>
          <w:b/>
          <w:color w:val="auto"/>
          <w:sz w:val="24"/>
          <w:highlight w:val="none"/>
        </w:rPr>
        <w:t>2.6 税费</w:t>
      </w:r>
      <w:bookmarkEnd w:id="455"/>
      <w:bookmarkEnd w:id="456"/>
      <w:bookmarkEnd w:id="457"/>
      <w:bookmarkEnd w:id="458"/>
      <w:bookmarkEnd w:id="459"/>
      <w:bookmarkEnd w:id="460"/>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600" w:lineRule="exact"/>
        <w:ind w:firstLine="482" w:firstLineChars="200"/>
        <w:outlineLvl w:val="0"/>
        <w:rPr>
          <w:rFonts w:hint="eastAsia" w:ascii="仿宋" w:hAnsi="仿宋" w:eastAsia="仿宋" w:cs="仿宋"/>
          <w:b/>
          <w:color w:val="auto"/>
          <w:sz w:val="24"/>
          <w:highlight w:val="none"/>
        </w:rPr>
      </w:pPr>
      <w:bookmarkStart w:id="461" w:name="_Toc487900368"/>
      <w:bookmarkStart w:id="462" w:name="_Toc259093687"/>
      <w:bookmarkStart w:id="463" w:name="_Toc16959"/>
      <w:bookmarkStart w:id="464" w:name="_Toc279701258"/>
      <w:bookmarkStart w:id="465" w:name="_Toc8298"/>
      <w:bookmarkStart w:id="466" w:name="_Toc7102"/>
      <w:r>
        <w:rPr>
          <w:rFonts w:hint="eastAsia" w:ascii="仿宋" w:hAnsi="仿宋" w:eastAsia="仿宋" w:cs="仿宋"/>
          <w:b/>
          <w:color w:val="auto"/>
          <w:sz w:val="24"/>
          <w:highlight w:val="none"/>
        </w:rPr>
        <w:t>2.7乙方破产</w:t>
      </w:r>
      <w:bookmarkEnd w:id="461"/>
      <w:bookmarkEnd w:id="462"/>
      <w:bookmarkEnd w:id="463"/>
      <w:bookmarkEnd w:id="464"/>
      <w:bookmarkEnd w:id="465"/>
      <w:bookmarkEnd w:id="466"/>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hint="eastAsia" w:ascii="仿宋" w:hAnsi="仿宋" w:eastAsia="仿宋" w:cs="仿宋"/>
          <w:b/>
          <w:color w:val="auto"/>
          <w:sz w:val="24"/>
          <w:highlight w:val="none"/>
        </w:rPr>
      </w:pPr>
      <w:bookmarkStart w:id="467" w:name="_Toc6134"/>
      <w:bookmarkStart w:id="468" w:name="_Toc15387"/>
      <w:bookmarkStart w:id="469" w:name="_Toc29333"/>
      <w:r>
        <w:rPr>
          <w:rFonts w:hint="eastAsia" w:ascii="仿宋" w:hAnsi="仿宋" w:eastAsia="仿宋" w:cs="仿宋"/>
          <w:b/>
          <w:color w:val="auto"/>
          <w:sz w:val="24"/>
          <w:highlight w:val="none"/>
        </w:rPr>
        <w:t>2.8 合同中止、终止</w:t>
      </w:r>
      <w:bookmarkEnd w:id="467"/>
      <w:bookmarkEnd w:id="468"/>
      <w:bookmarkEnd w:id="469"/>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双方当事人不得擅自中止或者终止合同；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2.8.2合同继续履行将损害国家利益和社会公共利益的，双方当事人应当中止或者终止合同。有过错的一方应当承担赔偿责任，双方当事人都有过错的，各自承担相应的责任。</w:t>
      </w:r>
      <w:bookmarkEnd w:id="442"/>
      <w:bookmarkEnd w:id="443"/>
      <w:bookmarkEnd w:id="444"/>
      <w:bookmarkEnd w:id="445"/>
    </w:p>
    <w:p>
      <w:pPr>
        <w:spacing w:line="600" w:lineRule="exact"/>
        <w:ind w:firstLine="482" w:firstLineChars="200"/>
        <w:outlineLvl w:val="0"/>
        <w:rPr>
          <w:rFonts w:hint="eastAsia" w:ascii="仿宋" w:hAnsi="仿宋" w:eastAsia="仿宋" w:cs="仿宋"/>
          <w:b/>
          <w:color w:val="auto"/>
          <w:sz w:val="24"/>
          <w:highlight w:val="none"/>
        </w:rPr>
      </w:pPr>
      <w:bookmarkStart w:id="470" w:name="_Toc487900371"/>
      <w:bookmarkStart w:id="471" w:name="_Toc279701261"/>
      <w:bookmarkStart w:id="472" w:name="_Toc259093690"/>
      <w:bookmarkStart w:id="473" w:name="_Toc19604"/>
      <w:bookmarkStart w:id="474" w:name="_Toc25182"/>
      <w:bookmarkStart w:id="475" w:name="_Toc11284"/>
      <w:r>
        <w:rPr>
          <w:rFonts w:hint="eastAsia" w:ascii="仿宋" w:hAnsi="仿宋" w:eastAsia="仿宋" w:cs="仿宋"/>
          <w:b/>
          <w:color w:val="auto"/>
          <w:sz w:val="24"/>
          <w:highlight w:val="none"/>
        </w:rPr>
        <w:t>2.9 通知</w:t>
      </w:r>
      <w:bookmarkEnd w:id="470"/>
      <w:bookmarkEnd w:id="471"/>
      <w:bookmarkEnd w:id="472"/>
      <w:r>
        <w:rPr>
          <w:rFonts w:hint="eastAsia" w:ascii="仿宋" w:hAnsi="仿宋" w:eastAsia="仿宋" w:cs="仿宋"/>
          <w:b/>
          <w:color w:val="auto"/>
          <w:sz w:val="24"/>
          <w:highlight w:val="none"/>
        </w:rPr>
        <w:t>和送达</w:t>
      </w:r>
      <w:bookmarkEnd w:id="473"/>
      <w:bookmarkEnd w:id="474"/>
      <w:bookmarkEnd w:id="475"/>
    </w:p>
    <w:p>
      <w:pPr>
        <w:spacing w:line="600" w:lineRule="exact"/>
        <w:ind w:firstLine="480" w:firstLineChars="200"/>
        <w:rPr>
          <w:rFonts w:hint="eastAsia" w:ascii="仿宋" w:hAnsi="仿宋" w:eastAsia="仿宋" w:cs="仿宋"/>
          <w:color w:val="auto"/>
          <w:sz w:val="24"/>
          <w:highlight w:val="none"/>
        </w:rPr>
      </w:pPr>
      <w:bookmarkStart w:id="476" w:name="_Toc3135"/>
      <w:bookmarkStart w:id="477" w:name="_Toc6698"/>
      <w:bookmarkStart w:id="478" w:name="_Toc259093691"/>
      <w:bookmarkStart w:id="479" w:name="_Toc487900372"/>
      <w:bookmarkStart w:id="480" w:name="_Toc279701262"/>
      <w:r>
        <w:rPr>
          <w:rFonts w:hint="eastAsia" w:ascii="仿宋" w:hAnsi="仿宋" w:eastAsia="仿宋" w:cs="仿宋"/>
          <w:color w:val="auto"/>
          <w:sz w:val="24"/>
          <w:highlight w:val="none"/>
        </w:rPr>
        <w:t xml:space="preserve">2.9.1任何一方因履行合同而以合同第一部分尾部所列明的传真或电子邮件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476"/>
      <w:bookmarkEnd w:id="477"/>
    </w:p>
    <w:p>
      <w:pPr>
        <w:spacing w:line="600" w:lineRule="exact"/>
        <w:ind w:firstLine="480" w:firstLineChars="200"/>
        <w:rPr>
          <w:rFonts w:hint="eastAsia" w:ascii="仿宋" w:hAnsi="仿宋" w:eastAsia="仿宋" w:cs="仿宋"/>
          <w:color w:val="auto"/>
          <w:sz w:val="24"/>
          <w:highlight w:val="none"/>
        </w:rPr>
      </w:pPr>
      <w:bookmarkStart w:id="481" w:name="_Toc23128"/>
      <w:bookmarkStart w:id="482" w:name="_Toc23294"/>
      <w:r>
        <w:rPr>
          <w:rFonts w:hint="eastAsia" w:ascii="仿宋" w:hAnsi="仿宋" w:eastAsia="仿宋" w:cs="仿宋"/>
          <w:color w:val="auto"/>
          <w:sz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bookmarkEnd w:id="480"/>
      <w:bookmarkEnd w:id="481"/>
      <w:bookmarkEnd w:id="482"/>
    </w:p>
    <w:p>
      <w:pPr>
        <w:spacing w:line="600" w:lineRule="exact"/>
        <w:ind w:firstLine="482" w:firstLineChars="200"/>
        <w:outlineLvl w:val="0"/>
        <w:rPr>
          <w:rFonts w:hint="eastAsia" w:ascii="仿宋" w:hAnsi="仿宋" w:eastAsia="仿宋" w:cs="仿宋"/>
          <w:b/>
          <w:color w:val="auto"/>
          <w:sz w:val="24"/>
          <w:highlight w:val="none"/>
        </w:rPr>
      </w:pPr>
      <w:bookmarkStart w:id="483" w:name="_Toc259093692"/>
      <w:bookmarkStart w:id="484" w:name="_Toc18567"/>
      <w:bookmarkStart w:id="485" w:name="_Toc279701263"/>
      <w:bookmarkStart w:id="486" w:name="_Toc487900373"/>
      <w:bookmarkStart w:id="487" w:name="_Toc10330"/>
      <w:bookmarkStart w:id="488" w:name="_Toc12773"/>
      <w:r>
        <w:rPr>
          <w:rFonts w:hint="eastAsia" w:ascii="仿宋" w:hAnsi="仿宋" w:eastAsia="仿宋" w:cs="仿宋"/>
          <w:b/>
          <w:color w:val="auto"/>
          <w:sz w:val="24"/>
          <w:highlight w:val="none"/>
        </w:rPr>
        <w:t>2.10 合同使用的文字和适用的法律</w:t>
      </w:r>
      <w:bookmarkEnd w:id="483"/>
      <w:bookmarkEnd w:id="484"/>
      <w:bookmarkEnd w:id="485"/>
      <w:bookmarkEnd w:id="486"/>
      <w:bookmarkEnd w:id="487"/>
      <w:bookmarkEnd w:id="488"/>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2.10.1 合同使用汉语书就、变更和解释；</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2.10.2 合同适用中华人民共和国法律。</w:t>
      </w:r>
    </w:p>
    <w:p>
      <w:pPr>
        <w:spacing w:line="600" w:lineRule="exact"/>
        <w:ind w:firstLine="482" w:firstLineChars="200"/>
        <w:outlineLvl w:val="0"/>
        <w:rPr>
          <w:rFonts w:hint="eastAsia" w:ascii="仿宋" w:hAnsi="仿宋" w:eastAsia="仿宋" w:cs="仿宋"/>
          <w:b/>
          <w:color w:val="auto"/>
          <w:sz w:val="24"/>
          <w:highlight w:val="none"/>
        </w:rPr>
      </w:pPr>
      <w:bookmarkStart w:id="489" w:name="_Toc12004"/>
      <w:bookmarkStart w:id="490" w:name="_Toc259093693"/>
      <w:bookmarkStart w:id="491" w:name="_Toc279701264"/>
      <w:bookmarkStart w:id="492" w:name="_Toc3148"/>
      <w:bookmarkStart w:id="493" w:name="_Toc16673"/>
      <w:bookmarkStart w:id="494" w:name="_Toc487900374"/>
      <w:r>
        <w:rPr>
          <w:rFonts w:hint="eastAsia" w:ascii="仿宋" w:hAnsi="仿宋" w:eastAsia="仿宋" w:cs="仿宋"/>
          <w:b/>
          <w:color w:val="auto"/>
          <w:sz w:val="24"/>
          <w:highlight w:val="none"/>
        </w:rPr>
        <w:t>2.11 履约保证金</w:t>
      </w:r>
      <w:bookmarkEnd w:id="489"/>
      <w:bookmarkEnd w:id="490"/>
      <w:bookmarkEnd w:id="491"/>
      <w:bookmarkEnd w:id="492"/>
      <w:bookmarkEnd w:id="493"/>
    </w:p>
    <w:p>
      <w:pPr>
        <w:spacing w:line="6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2.11.1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%的履约保证金；鼓励和支持乙方以银行、保险公司出具的保函形式提供履约保证。</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%；评价总分在不满90分或者暂无评分的，收取履约保证金为合同金额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2.11.5甲方在乙方履行完合同约定义务事项后及时退还，延迟退还的，应当按照合同约定和法律规定承担相应的赔偿责任。</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2.12对于因甲方原因导致变更、中止或者终止政府采购合同的，甲方应当依照合同约定对供应商受到的损失予以赔偿或者补偿。</w:t>
      </w:r>
      <w:bookmarkEnd w:id="494"/>
    </w:p>
    <w:p>
      <w:pPr>
        <w:spacing w:line="600" w:lineRule="exact"/>
        <w:ind w:firstLine="482" w:firstLineChars="200"/>
        <w:outlineLvl w:val="0"/>
        <w:rPr>
          <w:rFonts w:hint="eastAsia" w:ascii="仿宋" w:hAnsi="仿宋" w:eastAsia="仿宋" w:cs="仿宋"/>
          <w:b/>
          <w:color w:val="auto"/>
          <w:sz w:val="24"/>
          <w:highlight w:val="none"/>
        </w:rPr>
      </w:pPr>
      <w:bookmarkStart w:id="495" w:name="_Toc14001"/>
      <w:bookmarkStart w:id="496" w:name="_Toc19890"/>
      <w:bookmarkStart w:id="497" w:name="_Toc6885"/>
      <w:r>
        <w:rPr>
          <w:rFonts w:hint="eastAsia" w:ascii="仿宋" w:hAnsi="仿宋" w:eastAsia="仿宋" w:cs="仿宋"/>
          <w:b/>
          <w:color w:val="auto"/>
          <w:sz w:val="24"/>
          <w:highlight w:val="none"/>
        </w:rPr>
        <w:t>2.13合同份数</w:t>
      </w:r>
      <w:bookmarkEnd w:id="495"/>
      <w:bookmarkEnd w:id="496"/>
      <w:bookmarkEnd w:id="497"/>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389"/>
        <w:spacing w:after="0" w:line="600" w:lineRule="exact"/>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28"/>
          <w:szCs w:val="28"/>
          <w:highlight w:val="none"/>
        </w:rPr>
        <w:t>第三部分  合同专用条款</w:t>
      </w:r>
    </w:p>
    <w:p>
      <w:pPr>
        <w:spacing w:line="60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noWrap w:val="0"/>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noWrap w:val="0"/>
            <w:vAlign w:val="center"/>
          </w:tcPr>
          <w:p>
            <w:pPr>
              <w:ind w:left="-420" w:leftChars="-200" w:right="-420" w:rightChars="-200" w:firstLine="480" w:firstLineChars="200"/>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5" w:type="dxa"/>
            <w:noWrap w:val="0"/>
            <w:vAlign w:val="center"/>
          </w:tcPr>
          <w:p>
            <w:pPr>
              <w:ind w:left="-420" w:leftChars="-200" w:right="-420" w:rightChars="-200" w:firstLine="480" w:firstLineChars="200"/>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2.20.2</w:t>
            </w:r>
          </w:p>
        </w:tc>
        <w:tc>
          <w:tcPr>
            <w:tcW w:w="8275" w:type="dxa"/>
            <w:noWrap w:val="0"/>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p>
        </w:tc>
        <w:tc>
          <w:tcPr>
            <w:tcW w:w="8275" w:type="dxa"/>
            <w:noWrap w:val="0"/>
            <w:vAlign w:val="center"/>
          </w:tcPr>
          <w:p>
            <w:pPr>
              <w:jc w:val="center"/>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pStyle w:val="90"/>
        <w:snapToGrid w:val="0"/>
        <w:spacing w:line="360" w:lineRule="auto"/>
        <w:rPr>
          <w:rFonts w:hint="eastAsia" w:asciiTheme="minorEastAsia" w:hAnsiTheme="minorEastAsia" w:eastAsiaTheme="minorEastAsia" w:cstheme="minorEastAsia"/>
          <w:color w:val="auto"/>
          <w:sz w:val="24"/>
          <w:szCs w:val="24"/>
          <w:highlight w:val="none"/>
        </w:rPr>
      </w:pPr>
    </w:p>
    <w:p>
      <w:pPr>
        <w:pStyle w:val="90"/>
        <w:snapToGrid w:val="0"/>
        <w:spacing w:line="360" w:lineRule="auto"/>
        <w:rPr>
          <w:rFonts w:hint="eastAsia" w:asciiTheme="minorEastAsia" w:hAnsiTheme="minorEastAsia" w:eastAsiaTheme="minorEastAsia" w:cstheme="minorEastAsia"/>
          <w:color w:val="auto"/>
          <w:sz w:val="24"/>
          <w:szCs w:val="24"/>
          <w:highlight w:val="none"/>
        </w:rPr>
      </w:pPr>
    </w:p>
    <w:p>
      <w:pPr>
        <w:pStyle w:val="90"/>
        <w:snapToGrid w:val="0"/>
        <w:spacing w:line="360" w:lineRule="auto"/>
        <w:rPr>
          <w:rFonts w:hint="eastAsia" w:asciiTheme="minorEastAsia" w:hAnsiTheme="minorEastAsia" w:eastAsiaTheme="minorEastAsia" w:cstheme="minorEastAsia"/>
          <w:color w:val="auto"/>
          <w:sz w:val="24"/>
          <w:szCs w:val="24"/>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391"/>
      <w:r>
        <w:rPr>
          <w:rFonts w:hint="eastAsia" w:asciiTheme="majorEastAsia" w:hAnsiTheme="majorEastAsia" w:eastAsiaTheme="majorEastAsia" w:cstheme="majorEastAsia"/>
          <w:b/>
          <w:color w:val="auto"/>
          <w:sz w:val="36"/>
          <w:szCs w:val="20"/>
          <w:highlight w:val="none"/>
        </w:rPr>
        <w:t xml:space="preserve"> </w:t>
      </w:r>
      <w:bookmarkEnd w:id="392"/>
      <w:r>
        <w:rPr>
          <w:rFonts w:hint="eastAsia" w:asciiTheme="majorEastAsia" w:hAnsiTheme="majorEastAsia" w:eastAsiaTheme="majorEastAsia" w:cstheme="majorEastAsia"/>
          <w:b/>
          <w:color w:val="auto"/>
          <w:sz w:val="36"/>
          <w:szCs w:val="20"/>
          <w:highlight w:val="none"/>
        </w:rPr>
        <w:t>应提交的有关格式范例</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（2）落实政府采购政策需满足的资格要求………………………………（页码）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（3）本项目的特定资格要求………………………………………………（页码）</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我方参与（项目名称）【招标编号：（采购编号）】政府采购活动，郑重承诺：</w:t>
      </w:r>
    </w:p>
    <w:p>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二、落实政府采购政策需满足的资格要求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Theme="majorEastAsia" w:hAnsiTheme="majorEastAsia" w:eastAsiaTheme="majorEastAsia" w:cstheme="majorEastAsia"/>
          <w:color w:val="auto"/>
          <w:sz w:val="24"/>
          <w:highlight w:val="none"/>
        </w:rPr>
      </w:pPr>
    </w:p>
    <w:p>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kern w:val="0"/>
          <w:sz w:val="32"/>
          <w:szCs w:val="32"/>
          <w:highlight w:val="none"/>
          <w:lang w:val="zh-CN"/>
        </w:rPr>
        <w:t>联合协议</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3"/>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  。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三、本项目的特定资格要求</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pPr>
        <w:spacing w:line="360" w:lineRule="auto"/>
        <w:jc w:val="center"/>
        <w:outlineLvl w:val="0"/>
        <w:rPr>
          <w:rFonts w:hint="eastAsia" w:asciiTheme="majorEastAsia" w:hAnsiTheme="majorEastAsia" w:eastAsiaTheme="majorEastAsia" w:cstheme="majorEastAsia"/>
          <w:b/>
          <w:color w:val="auto"/>
          <w:kern w:val="0"/>
          <w:sz w:val="24"/>
          <w:highlight w:val="none"/>
        </w:rPr>
      </w:pPr>
    </w:p>
    <w:p>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（3）联合协议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（4）分包意向协议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（5）符合性审查资料</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（6）评标标准相应的商务技术资料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2.1.2落实政府采购政策需满足的资格要求（如果有）；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2.1.3本项目的特定资格要求（如果有）。</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2.2.3联合协议（如果有）；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2.2.4分包意向协议（如果有）；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2.2.5符合性审查资料；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2.2.6评标标准相应的商务技术资料；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2.3.2中小企业声明函（如果有）。</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ind w:firstLine="3600" w:firstLineChars="1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pPr>
        <w:snapToGrid w:val="0"/>
        <w:spacing w:line="360" w:lineRule="auto"/>
        <w:ind w:left="420" w:leftChars="200" w:firstLine="4200" w:firstLineChars="1750"/>
        <w:rPr>
          <w:rFonts w:hint="eastAsia" w:asciiTheme="majorEastAsia" w:hAnsiTheme="majorEastAsia" w:eastAsiaTheme="majorEastAsia" w:cstheme="majorEastAsia"/>
          <w:color w:val="auto"/>
          <w:kern w:val="0"/>
          <w:sz w:val="24"/>
          <w:highlight w:val="none"/>
          <w:u w:val="singl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2872" w:firstLineChars="894"/>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r>
        <w:rPr>
          <w:rFonts w:hint="eastAsia" w:asciiTheme="majorEastAsia" w:hAnsiTheme="majorEastAsia" w:eastAsiaTheme="majorEastAsia" w:cstheme="majorEastAsia"/>
          <w:color w:val="auto"/>
          <w:highlight w:val="none"/>
        </w:rPr>
        <w:t xml:space="preserve">                               </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val="zh-CN"/>
        </w:rPr>
        <w:t xml:space="preserve">      </w:t>
      </w:r>
      <w:r>
        <w:rPr>
          <w:rFonts w:hint="eastAsia" w:asciiTheme="majorEastAsia" w:hAnsiTheme="majorEastAsia" w:eastAsiaTheme="majorEastAsia" w:cstheme="majorEastAsia"/>
          <w:b/>
          <w:color w:val="auto"/>
          <w:kern w:val="0"/>
          <w:sz w:val="32"/>
          <w:szCs w:val="32"/>
          <w:highlight w:val="none"/>
        </w:rPr>
        <w:t xml:space="preserve"> </w:t>
      </w: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pPr>
        <w:pStyle w:val="91"/>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1"/>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pPr>
              <w:pStyle w:val="91"/>
              <w:adjustRightInd w:val="0"/>
              <w:spacing w:line="360" w:lineRule="auto"/>
              <w:rPr>
                <w:rFonts w:hint="eastAsia" w:asciiTheme="majorEastAsia" w:hAnsiTheme="majorEastAsia" w:eastAsiaTheme="majorEastAsia" w:cstheme="majorEastAsia"/>
                <w:bCs/>
                <w:color w:val="auto"/>
                <w:sz w:val="24"/>
                <w:highlight w:val="none"/>
              </w:rPr>
            </w:pPr>
          </w:p>
        </w:tc>
      </w:tr>
    </w:tbl>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rPr>
        <w:t>三、</w:t>
      </w:r>
      <w:r>
        <w:rPr>
          <w:rFonts w:hint="eastAsia" w:asciiTheme="majorEastAsia" w:hAnsiTheme="majorEastAsia" w:eastAsiaTheme="majorEastAsia" w:cstheme="majorEastAsia"/>
          <w:b/>
          <w:color w:val="auto"/>
          <w:kern w:val="0"/>
          <w:sz w:val="32"/>
          <w:szCs w:val="32"/>
          <w:highlight w:val="none"/>
          <w:lang w:val="zh-CN"/>
        </w:rPr>
        <w:t>联合协议</w:t>
      </w:r>
    </w:p>
    <w:p>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Theme="majorEastAsia" w:hAnsiTheme="majorEastAsia" w:eastAsiaTheme="majorEastAsia" w:cstheme="majorEastAsia"/>
          <w:b/>
          <w:color w:val="auto"/>
          <w:kern w:val="0"/>
          <w:sz w:val="24"/>
          <w:highlight w:val="none"/>
          <w:lang w:val="en-US" w:eastAsia="zh-CN"/>
        </w:rPr>
        <w:t>6</w:t>
      </w:r>
      <w:r>
        <w:rPr>
          <w:rFonts w:hint="eastAsia" w:asciiTheme="majorEastAsia" w:hAnsiTheme="majorEastAsia" w:eastAsiaTheme="majorEastAsia" w:cstheme="majorEastAsia"/>
          <w:b/>
          <w:color w:val="auto"/>
          <w:kern w:val="0"/>
          <w:sz w:val="24"/>
          <w:highlight w:val="none"/>
          <w:lang w:val="zh-CN"/>
        </w:rPr>
        <w:t>%的扣除）</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napToGrid w:val="0"/>
        <w:spacing w:line="360" w:lineRule="auto"/>
        <w:ind w:right="480"/>
        <w:rPr>
          <w:rFonts w:hint="eastAsia" w:asciiTheme="majorEastAsia" w:hAnsiTheme="majorEastAsia" w:eastAsiaTheme="majorEastAsia" w:cstheme="maj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3"/>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（分包供应商名称）提供的货物全部由小微企业制造，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Theme="majorEastAsia" w:hAnsiTheme="majorEastAsia" w:eastAsiaTheme="majorEastAsia" w:cstheme="majorEastAsia"/>
          <w:b/>
          <w:color w:val="auto"/>
          <w:kern w:val="0"/>
          <w:sz w:val="24"/>
          <w:highlight w:val="none"/>
          <w:lang w:val="en-US" w:eastAsia="zh-CN"/>
        </w:rPr>
        <w:t>6</w:t>
      </w:r>
      <w:r>
        <w:rPr>
          <w:rFonts w:hint="eastAsia" w:asciiTheme="majorEastAsia" w:hAnsiTheme="majorEastAsia" w:eastAsiaTheme="majorEastAsia" w:cstheme="majorEastAsia"/>
          <w:b/>
          <w:color w:val="auto"/>
          <w:kern w:val="0"/>
          <w:sz w:val="24"/>
          <w:highlight w:val="none"/>
          <w:lang w:val="zh-CN"/>
        </w:rPr>
        <w:t>%的扣除）</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五、符合性审查资料</w:t>
      </w:r>
    </w:p>
    <w:p>
      <w:pPr>
        <w:jc w:val="center"/>
        <w:rPr>
          <w:rFonts w:hint="eastAsia" w:asciiTheme="majorEastAsia" w:hAnsiTheme="majorEastAsia" w:eastAsiaTheme="majorEastAsia" w:cstheme="maj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pStyle w:val="3"/>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sz w:val="24"/>
                <w:szCs w:val="24"/>
                <w:highlight w:val="none"/>
                <w:lang w:val="en-US"/>
              </w:rPr>
              <w:t>第</w:t>
            </w:r>
            <w:r>
              <w:rPr>
                <w:rFonts w:hint="eastAsia" w:asciiTheme="majorEastAsia" w:hAnsiTheme="majorEastAsia" w:eastAsiaTheme="majorEastAsia" w:cstheme="majorEastAsia"/>
                <w:b w:val="0"/>
                <w:bCs w:val="0"/>
                <w:color w:val="auto"/>
                <w:sz w:val="24"/>
                <w:szCs w:val="24"/>
                <w:highlight w:val="none"/>
                <w:u w:val="single"/>
                <w:lang w:val="en-US"/>
              </w:rPr>
              <w:t xml:space="preserve">  </w:t>
            </w:r>
            <w:r>
              <w:rPr>
                <w:rFonts w:hint="eastAsia" w:asciiTheme="majorEastAsia" w:hAnsiTheme="majorEastAsia" w:eastAsiaTheme="majorEastAsia" w:cstheme="maj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六、评标标准相应的商务技术资料</w:t>
      </w:r>
    </w:p>
    <w:p>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bl>
    <w:p>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八、</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numPr>
          <w:ilvl w:val="0"/>
          <w:numId w:val="7"/>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开标一览表（报价表）………………………………………………………（页码）</w:t>
      </w:r>
    </w:p>
    <w:p>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en-US" w:eastAsia="zh-CN"/>
        </w:rPr>
        <w:t>（2）报价明细清单</w:t>
      </w:r>
      <w:r>
        <w:rPr>
          <w:rFonts w:hint="eastAsia" w:asciiTheme="majorEastAsia" w:hAnsiTheme="majorEastAsia" w:eastAsiaTheme="majorEastAsia" w:cstheme="majorEastAsia"/>
          <w:color w:val="auto"/>
          <w:sz w:val="24"/>
          <w:highlight w:val="none"/>
        </w:rPr>
        <w:t>………………………………………………………………（页码）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）中小企业声明函………………………………………………………………（页码）</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rPr>
        <w:t>（采购编号）】的实施</w:t>
      </w:r>
      <w:r>
        <w:rPr>
          <w:rFonts w:hint="eastAsia" w:asciiTheme="majorEastAsia" w:hAnsiTheme="majorEastAsia" w:eastAsiaTheme="majorEastAsia" w:cstheme="majorEastAsia"/>
          <w:color w:val="auto"/>
          <w:kern w:val="0"/>
          <w:sz w:val="24"/>
          <w:highlight w:val="none"/>
          <w:lang w:val="zh-CN"/>
        </w:rPr>
        <w:t>。</w:t>
      </w:r>
    </w:p>
    <w:p>
      <w:pPr>
        <w:numPr>
          <w:ilvl w:val="0"/>
          <w:numId w:val="8"/>
        </w:numPr>
        <w:spacing w:line="360" w:lineRule="auto"/>
        <w:ind w:left="5250" w:leftChars="0" w:firstLineChars="0"/>
        <w:jc w:val="left"/>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b/>
          <w:color w:val="auto"/>
          <w:kern w:val="0"/>
          <w:sz w:val="24"/>
          <w:highlight w:val="none"/>
          <w:lang w:val="zh-CN"/>
        </w:rPr>
        <w:t>开标一览表(单位均为人民币元)</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918"/>
        <w:gridCol w:w="1017"/>
        <w:gridCol w:w="1390"/>
        <w:gridCol w:w="1310"/>
        <w:gridCol w:w="6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序号</w:t>
            </w:r>
          </w:p>
        </w:tc>
        <w:tc>
          <w:tcPr>
            <w:tcW w:w="2918"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项目</w:t>
            </w:r>
          </w:p>
        </w:tc>
        <w:tc>
          <w:tcPr>
            <w:tcW w:w="1017"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单位</w:t>
            </w:r>
          </w:p>
        </w:tc>
        <w:tc>
          <w:tcPr>
            <w:tcW w:w="1390"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数量</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合计（元）</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trPr>
        <w:tc>
          <w:tcPr>
            <w:tcW w:w="60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zh-CN" w:eastAsia="zh-CN"/>
              </w:rPr>
            </w:pPr>
            <w:r>
              <w:rPr>
                <w:rFonts w:hint="eastAsia" w:asciiTheme="majorEastAsia" w:hAnsiTheme="majorEastAsia" w:eastAsiaTheme="majorEastAsia" w:cstheme="majorEastAsia"/>
                <w:color w:val="auto"/>
                <w:kern w:val="2"/>
                <w:sz w:val="20"/>
                <w:szCs w:val="20"/>
                <w:highlight w:val="none"/>
                <w:lang w:val="en-US" w:eastAsia="zh-CN"/>
              </w:rPr>
              <w:t>1</w:t>
            </w:r>
          </w:p>
        </w:tc>
        <w:tc>
          <w:tcPr>
            <w:tcW w:w="2918" w:type="dxa"/>
            <w:tcBorders>
              <w:top w:val="single" w:color="000000" w:sz="4" w:space="0"/>
              <w:left w:val="single" w:color="000000" w:sz="4" w:space="0"/>
              <w:right w:val="single" w:color="auto"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zh-CN" w:eastAsia="zh-CN"/>
              </w:rPr>
              <w:t>道路保洁</w:t>
            </w:r>
            <w:r>
              <w:rPr>
                <w:rFonts w:hint="eastAsia" w:asciiTheme="majorEastAsia" w:hAnsiTheme="majorEastAsia" w:eastAsiaTheme="majorEastAsia" w:cstheme="majorEastAsia"/>
                <w:color w:val="auto"/>
                <w:kern w:val="2"/>
                <w:sz w:val="20"/>
                <w:szCs w:val="20"/>
                <w:highlight w:val="none"/>
                <w:lang w:val="en-US" w:eastAsia="zh-CN"/>
              </w:rPr>
              <w:t>费</w:t>
            </w:r>
          </w:p>
        </w:tc>
        <w:tc>
          <w:tcPr>
            <w:tcW w:w="1017"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项</w:t>
            </w:r>
          </w:p>
        </w:tc>
        <w:tc>
          <w:tcPr>
            <w:tcW w:w="1390"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1</w:t>
            </w:r>
          </w:p>
        </w:tc>
        <w:tc>
          <w:tcPr>
            <w:tcW w:w="131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zh-CN"/>
              </w:rPr>
            </w:pP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2</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zh-CN" w:eastAsia="zh-CN"/>
              </w:rPr>
            </w:pPr>
            <w:r>
              <w:rPr>
                <w:rFonts w:hint="eastAsia" w:asciiTheme="majorEastAsia" w:hAnsiTheme="majorEastAsia" w:eastAsiaTheme="majorEastAsia" w:cstheme="majorEastAsia"/>
                <w:color w:val="auto"/>
                <w:kern w:val="2"/>
                <w:sz w:val="20"/>
                <w:szCs w:val="20"/>
                <w:highlight w:val="none"/>
                <w:lang w:val="zh-CN" w:eastAsia="zh-CN"/>
              </w:rPr>
              <w:t>道路养护</w:t>
            </w:r>
            <w:r>
              <w:rPr>
                <w:rFonts w:hint="eastAsia" w:asciiTheme="majorEastAsia" w:hAnsiTheme="majorEastAsia" w:eastAsiaTheme="majorEastAsia" w:cstheme="majorEastAsia"/>
                <w:color w:val="auto"/>
                <w:kern w:val="2"/>
                <w:sz w:val="20"/>
                <w:szCs w:val="20"/>
                <w:highlight w:val="none"/>
                <w:lang w:val="en-US" w:eastAsia="zh-CN"/>
              </w:rPr>
              <w:t>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1</w:t>
            </w:r>
          </w:p>
        </w:tc>
        <w:tc>
          <w:tcPr>
            <w:tcW w:w="1310"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lang w:val="zh-CN" w:eastAsia="zh-CN" w:bidi="ar-SA"/>
              </w:rPr>
            </w:pP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jc w:val="center"/>
              <w:rPr>
                <w:rFonts w:hint="default"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3</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zh-CN" w:eastAsia="zh-CN"/>
              </w:rPr>
            </w:pPr>
            <w:r>
              <w:rPr>
                <w:rFonts w:hint="eastAsia" w:asciiTheme="majorEastAsia" w:hAnsiTheme="majorEastAsia" w:eastAsiaTheme="majorEastAsia" w:cstheme="majorEastAsia"/>
                <w:color w:val="auto"/>
                <w:kern w:val="2"/>
                <w:sz w:val="20"/>
                <w:szCs w:val="20"/>
                <w:highlight w:val="none"/>
                <w:lang w:val="zh-CN" w:eastAsia="zh-CN"/>
              </w:rPr>
              <w:t>路灯养护费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1</w:t>
            </w:r>
          </w:p>
        </w:tc>
        <w:tc>
          <w:tcPr>
            <w:tcW w:w="1310"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lang w:val="zh-CN" w:eastAsia="zh-CN" w:bidi="ar-SA"/>
              </w:rPr>
            </w:pP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ind w:firstLine="0" w:firstLineChars="0"/>
              <w:jc w:val="center"/>
              <w:rPr>
                <w:rFonts w:hint="default"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4</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zh-CN" w:eastAsia="zh-CN"/>
              </w:rPr>
            </w:pPr>
            <w:r>
              <w:rPr>
                <w:rFonts w:hint="eastAsia" w:asciiTheme="majorEastAsia" w:hAnsiTheme="majorEastAsia" w:eastAsiaTheme="majorEastAsia" w:cstheme="majorEastAsia"/>
                <w:color w:val="auto"/>
                <w:kern w:val="2"/>
                <w:sz w:val="20"/>
                <w:szCs w:val="20"/>
                <w:highlight w:val="none"/>
                <w:lang w:val="en-US" w:eastAsia="zh-CN"/>
              </w:rPr>
              <w:t>待移交道路预留</w:t>
            </w:r>
            <w:r>
              <w:rPr>
                <w:rFonts w:hint="eastAsia" w:asciiTheme="majorEastAsia" w:hAnsiTheme="majorEastAsia" w:eastAsiaTheme="majorEastAsia" w:cstheme="majorEastAsia"/>
                <w:color w:val="auto"/>
                <w:kern w:val="2"/>
                <w:sz w:val="20"/>
                <w:szCs w:val="20"/>
                <w:highlight w:val="none"/>
                <w:lang w:val="zh-CN" w:eastAsia="zh-CN"/>
              </w:rPr>
              <w:t>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20"/>
                <w:szCs w:val="20"/>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rPr>
              <w:t>1</w:t>
            </w:r>
          </w:p>
        </w:tc>
        <w:tc>
          <w:tcPr>
            <w:tcW w:w="1310"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lang w:val="zh-CN" w:eastAsia="zh-CN" w:bidi="ar-SA"/>
              </w:rPr>
            </w:pP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20"/>
                <w:szCs w:val="20"/>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200" w:firstLineChars="600"/>
              <w:jc w:val="left"/>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二年费用</w:t>
            </w:r>
            <w:r>
              <w:rPr>
                <w:rFonts w:hint="eastAsia" w:asciiTheme="majorEastAsia" w:hAnsiTheme="majorEastAsia" w:eastAsiaTheme="majorEastAsia" w:cstheme="majorEastAsia"/>
                <w:color w:val="auto"/>
                <w:kern w:val="2"/>
                <w:sz w:val="20"/>
                <w:szCs w:val="20"/>
                <w:highlight w:val="none"/>
                <w:lang w:val="en-US" w:eastAsia="zh-CN"/>
              </w:rPr>
              <w:t>一</w:t>
            </w:r>
            <w:r>
              <w:rPr>
                <w:rFonts w:hint="eastAsia" w:asciiTheme="majorEastAsia" w:hAnsiTheme="majorEastAsia" w:eastAsiaTheme="majorEastAsia" w:cstheme="majorEastAsia"/>
                <w:color w:val="auto"/>
                <w:kern w:val="2"/>
                <w:sz w:val="20"/>
                <w:szCs w:val="20"/>
                <w:highlight w:val="none"/>
                <w:lang w:val="zh-CN"/>
              </w:rPr>
              <w:t>合计总价（1+2+3</w:t>
            </w:r>
            <w:r>
              <w:rPr>
                <w:rFonts w:hint="eastAsia" w:asciiTheme="majorEastAsia" w:hAnsiTheme="majorEastAsia" w:eastAsiaTheme="majorEastAsia" w:cstheme="majorEastAsia"/>
                <w:color w:val="auto"/>
                <w:kern w:val="2"/>
                <w:sz w:val="20"/>
                <w:szCs w:val="20"/>
                <w:highlight w:val="none"/>
                <w:lang w:val="en-US" w:eastAsia="zh-CN"/>
              </w:rPr>
              <w:t>+4</w:t>
            </w:r>
            <w:r>
              <w:rPr>
                <w:rFonts w:hint="eastAsia" w:asciiTheme="majorEastAsia" w:hAnsiTheme="majorEastAsia" w:eastAsiaTheme="majorEastAsia" w:cstheme="majorEastAsia"/>
                <w:color w:val="auto"/>
                <w:kern w:val="2"/>
                <w:sz w:val="20"/>
                <w:szCs w:val="20"/>
                <w:highlight w:val="none"/>
                <w:lang w:val="zh-CN"/>
              </w:rPr>
              <w:t>）</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小写（元）</w:t>
            </w:r>
          </w:p>
        </w:tc>
        <w:tc>
          <w:tcPr>
            <w:tcW w:w="6959"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20"/>
                <w:szCs w:val="2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20"/>
                <w:szCs w:val="20"/>
                <w:highlight w:val="none"/>
                <w:lang w:val="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大写（元）</w:t>
            </w:r>
          </w:p>
        </w:tc>
        <w:tc>
          <w:tcPr>
            <w:tcW w:w="6959"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20"/>
                <w:szCs w:val="20"/>
                <w:highlight w:val="none"/>
                <w:lang w:val="zh-CN"/>
              </w:rPr>
            </w:pPr>
          </w:p>
        </w:tc>
      </w:tr>
    </w:tbl>
    <w:p>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pPr>
        <w:spacing w:line="360" w:lineRule="auto"/>
        <w:ind w:left="-2"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1、投标人需按本表格式填写，不得自行更改。</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投标文件含有采购人不能接受的附加条件的，投标无效</w:t>
      </w:r>
      <w:r>
        <w:rPr>
          <w:rFonts w:hint="eastAsia" w:asciiTheme="majorEastAsia" w:hAnsiTheme="majorEastAsia" w:eastAsiaTheme="majorEastAsia" w:cstheme="majorEastAsia"/>
          <w:b/>
          <w:color w:val="auto"/>
          <w:kern w:val="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5、</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382"/>
        <w:snapToGrid w:val="0"/>
        <w:spacing w:before="120" w:after="120"/>
        <w:ind w:firstLine="0"/>
        <w:outlineLvl w:val="9"/>
        <w:rPr>
          <w:rFonts w:hint="eastAsia" w:asciiTheme="majorEastAsia" w:hAnsiTheme="majorEastAsia" w:eastAsiaTheme="majorEastAsia" w:cstheme="majorEastAsia"/>
          <w:color w:val="auto"/>
          <w:highlight w:val="none"/>
        </w:rPr>
      </w:pP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独立投标：投标人名称(电子签名)：</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或</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采用联合体投标：联合体牵头人名称(电子签名/盖章)：</w:t>
      </w:r>
    </w:p>
    <w:p>
      <w:pPr>
        <w:pStyle w:val="382"/>
        <w:snapToGrid w:val="0"/>
        <w:spacing w:before="120" w:after="120"/>
        <w:ind w:firstLine="0"/>
        <w:jc w:val="right"/>
        <w:outlineLvl w:val="9"/>
        <w:rPr>
          <w:rFonts w:hint="eastAsia" w:asciiTheme="majorEastAsia" w:hAnsiTheme="majorEastAsia" w:eastAsiaTheme="majorEastAsia" w:cs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Theme="majorEastAsia" w:hAnsiTheme="majorEastAsia" w:eastAsiaTheme="majorEastAsia" w:cstheme="majorEastAsia"/>
          <w:color w:val="auto"/>
          <w:sz w:val="24"/>
          <w:highlight w:val="none"/>
        </w:rPr>
        <w:t xml:space="preserve">   日期：  年   月 </w:t>
      </w:r>
    </w:p>
    <w:p>
      <w:pPr>
        <w:pStyle w:val="82"/>
        <w:numPr>
          <w:ilvl w:val="0"/>
          <w:numId w:val="8"/>
        </w:numPr>
        <w:ind w:left="525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道路保洁报价明细清单1</w:t>
      </w:r>
    </w:p>
    <w:p>
      <w:pPr>
        <w:pStyle w:val="82"/>
        <w:numPr>
          <w:ilvl w:val="0"/>
          <w:numId w:val="0"/>
        </w:numPr>
        <w:ind w:leftChars="0"/>
        <w:jc w:val="both"/>
        <w:rPr>
          <w:rFonts w:hint="eastAsia" w:asciiTheme="minorEastAsia" w:hAnsiTheme="minorEastAsia" w:eastAsiaTheme="minorEastAsia" w:cstheme="minorEastAsia"/>
          <w:color w:val="auto"/>
          <w:sz w:val="24"/>
          <w:szCs w:val="24"/>
          <w:highlight w:val="none"/>
          <w:lang w:val="en-US" w:eastAsia="zh-CN"/>
        </w:rPr>
      </w:pPr>
    </w:p>
    <w:tbl>
      <w:tblPr>
        <w:tblStyle w:val="64"/>
        <w:tblW w:w="14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98"/>
        <w:gridCol w:w="1650"/>
        <w:gridCol w:w="1069"/>
        <w:gridCol w:w="975"/>
        <w:gridCol w:w="1087"/>
        <w:gridCol w:w="5"/>
        <w:gridCol w:w="1158"/>
        <w:gridCol w:w="1102"/>
        <w:gridCol w:w="1426"/>
        <w:gridCol w:w="1631"/>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9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165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10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97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250"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t>保洁最高限价</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eastAsia="zh-CN"/>
              </w:rPr>
              <w:t>（元/平方米/年）</w:t>
            </w:r>
          </w:p>
        </w:tc>
        <w:tc>
          <w:tcPr>
            <w:tcW w:w="252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保洁单价</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（元/平方米/年）</w:t>
            </w:r>
          </w:p>
        </w:tc>
        <w:tc>
          <w:tcPr>
            <w:tcW w:w="16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c>
          <w:tcPr>
            <w:tcW w:w="16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59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65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975"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第一年</w:t>
            </w:r>
          </w:p>
        </w:tc>
        <w:tc>
          <w:tcPr>
            <w:tcW w:w="115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第二年</w:t>
            </w:r>
          </w:p>
        </w:tc>
        <w:tc>
          <w:tcPr>
            <w:tcW w:w="110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第一年</w:t>
            </w:r>
          </w:p>
        </w:tc>
        <w:tc>
          <w:tcPr>
            <w:tcW w:w="142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第二年</w:t>
            </w:r>
          </w:p>
        </w:tc>
        <w:tc>
          <w:tcPr>
            <w:tcW w:w="16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c>
          <w:tcPr>
            <w:tcW w:w="16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9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 xml:space="preserve"> </w:t>
            </w:r>
            <w:r>
              <w:rPr>
                <w:rFonts w:hint="eastAsia" w:ascii="宋体" w:hAnsi="宋体" w:eastAsia="宋体" w:cs="宋体"/>
                <w:i w:val="0"/>
                <w:iCs w:val="0"/>
                <w:color w:val="auto"/>
                <w:sz w:val="22"/>
                <w:szCs w:val="22"/>
                <w:highlight w:val="none"/>
                <w:u w:val="none"/>
              </w:rPr>
              <w:t>站城北街</w:t>
            </w:r>
          </w:p>
        </w:tc>
        <w:tc>
          <w:tcPr>
            <w:tcW w:w="16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27516.3</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9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440" w:firstLineChars="2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16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43393 </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9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16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12905</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9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10200</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9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7582.4</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59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165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7408</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59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165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2540</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598"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165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3586</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98"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4756.4</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59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16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15340</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59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16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21546</w:t>
            </w:r>
          </w:p>
        </w:tc>
        <w:tc>
          <w:tcPr>
            <w:tcW w:w="9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15.992</w:t>
            </w:r>
          </w:p>
        </w:tc>
        <w:tc>
          <w:tcPr>
            <w:tcW w:w="116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17.991</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5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color w:val="auto"/>
                <w:kern w:val="2"/>
                <w:sz w:val="20"/>
                <w:szCs w:val="20"/>
                <w:highlight w:val="none"/>
                <w:lang w:val="zh-CN"/>
              </w:rPr>
              <w:t>合计：小写（元）</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5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color w:val="auto"/>
                <w:kern w:val="2"/>
                <w:sz w:val="20"/>
                <w:szCs w:val="20"/>
                <w:highlight w:val="none"/>
                <w:lang w:val="zh-CN"/>
              </w:rPr>
              <w:t>合计：大写（元）</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8"/>
        </w:numPr>
        <w:ind w:left="525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道路养护费报价明细清单2</w:t>
      </w:r>
    </w:p>
    <w:p>
      <w:pPr>
        <w:pStyle w:val="82"/>
        <w:numPr>
          <w:ilvl w:val="0"/>
          <w:numId w:val="0"/>
        </w:numPr>
        <w:ind w:left="5250" w:leftChars="0"/>
        <w:jc w:val="left"/>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tbl>
      <w:tblPr>
        <w:tblStyle w:val="64"/>
        <w:tblW w:w="14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407"/>
        <w:gridCol w:w="2625"/>
        <w:gridCol w:w="918"/>
        <w:gridCol w:w="619"/>
        <w:gridCol w:w="1069"/>
        <w:gridCol w:w="1125"/>
        <w:gridCol w:w="1200"/>
        <w:gridCol w:w="1462"/>
        <w:gridCol w:w="136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8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0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26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9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619"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94"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养护最高限价（</w:t>
            </w:r>
            <w:r>
              <w:rPr>
                <w:rFonts w:hint="eastAsia" w:ascii="宋体" w:hAnsi="宋体" w:eastAsia="宋体" w:cs="宋体"/>
                <w:b/>
                <w:bCs/>
                <w:i w:val="0"/>
                <w:iCs w:val="0"/>
                <w:color w:val="auto"/>
                <w:sz w:val="24"/>
                <w:szCs w:val="24"/>
                <w:highlight w:val="none"/>
                <w:u w:val="none"/>
                <w:lang w:eastAsia="zh-CN"/>
              </w:rPr>
              <w:t>元/平方米/年</w:t>
            </w:r>
            <w:r>
              <w:rPr>
                <w:rFonts w:hint="eastAsia" w:ascii="宋体" w:hAnsi="宋体" w:cs="宋体"/>
                <w:b/>
                <w:bCs/>
                <w:i w:val="0"/>
                <w:iCs w:val="0"/>
                <w:color w:val="auto"/>
                <w:kern w:val="0"/>
                <w:sz w:val="24"/>
                <w:szCs w:val="24"/>
                <w:highlight w:val="none"/>
                <w:u w:val="none"/>
                <w:lang w:val="en-US" w:eastAsia="zh-CN" w:bidi="ar"/>
              </w:rPr>
              <w:t>）</w:t>
            </w:r>
          </w:p>
        </w:tc>
        <w:tc>
          <w:tcPr>
            <w:tcW w:w="266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养护单价（</w:t>
            </w:r>
            <w:r>
              <w:rPr>
                <w:rFonts w:hint="eastAsia" w:ascii="宋体" w:hAnsi="宋体" w:eastAsia="宋体" w:cs="宋体"/>
                <w:b/>
                <w:bCs/>
                <w:i w:val="0"/>
                <w:iCs w:val="0"/>
                <w:color w:val="auto"/>
                <w:sz w:val="24"/>
                <w:szCs w:val="24"/>
                <w:highlight w:val="none"/>
                <w:u w:val="none"/>
                <w:lang w:eastAsia="zh-CN"/>
              </w:rPr>
              <w:t>元/平方米/年</w:t>
            </w:r>
            <w:r>
              <w:rPr>
                <w:rFonts w:hint="eastAsia" w:ascii="宋体" w:hAnsi="宋体" w:cs="宋体"/>
                <w:b/>
                <w:bCs/>
                <w:i w:val="0"/>
                <w:iCs w:val="0"/>
                <w:color w:val="auto"/>
                <w:kern w:val="0"/>
                <w:sz w:val="24"/>
                <w:szCs w:val="24"/>
                <w:highlight w:val="none"/>
                <w:u w:val="none"/>
                <w:lang w:val="en-US" w:eastAsia="zh-CN" w:bidi="ar"/>
              </w:rPr>
              <w:t>）</w:t>
            </w:r>
          </w:p>
        </w:tc>
        <w:tc>
          <w:tcPr>
            <w:tcW w:w="13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tc>
        <w:tc>
          <w:tcPr>
            <w:tcW w:w="15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8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0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62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9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619"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69"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lang w:val="en-US" w:eastAsia="zh-CN"/>
              </w:rPr>
              <w:t>第一年</w:t>
            </w:r>
          </w:p>
        </w:tc>
        <w:tc>
          <w:tcPr>
            <w:tcW w:w="11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lang w:val="en-US" w:eastAsia="zh-CN"/>
              </w:rPr>
              <w:t>第二年</w:t>
            </w:r>
          </w:p>
        </w:tc>
        <w:tc>
          <w:tcPr>
            <w:tcW w:w="120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lang w:val="en-US" w:eastAsia="zh-CN"/>
              </w:rPr>
              <w:t>第一年</w:t>
            </w:r>
          </w:p>
        </w:tc>
        <w:tc>
          <w:tcPr>
            <w:tcW w:w="146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lang w:val="en-US" w:eastAsia="zh-CN"/>
              </w:rPr>
              <w:t>第二年</w:t>
            </w:r>
          </w:p>
        </w:tc>
        <w:tc>
          <w:tcPr>
            <w:tcW w:w="136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c>
          <w:tcPr>
            <w:tcW w:w="15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 xml:space="preserve"> </w:t>
            </w:r>
            <w:r>
              <w:rPr>
                <w:rFonts w:hint="eastAsia" w:ascii="宋体" w:hAnsi="宋体" w:eastAsia="宋体" w:cs="宋体"/>
                <w:i w:val="0"/>
                <w:iCs w:val="0"/>
                <w:color w:val="auto"/>
                <w:sz w:val="22"/>
                <w:szCs w:val="22"/>
                <w:highlight w:val="none"/>
                <w:u w:val="none"/>
              </w:rPr>
              <w:t>站城北街</w:t>
            </w:r>
          </w:p>
        </w:tc>
        <w:tc>
          <w:tcPr>
            <w:tcW w:w="26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14016.3</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220" w:firstLineChars="1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26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28986 </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0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26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12886</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07"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6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10095</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0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6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7191.4</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40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262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7408</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40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262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2508</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407"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262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1500.2</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07"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3029.6</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4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2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14970</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4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2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19026</w:t>
            </w:r>
          </w:p>
        </w:tc>
        <w:tc>
          <w:tcPr>
            <w:tcW w:w="6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p>
        </w:tc>
        <w:tc>
          <w:tcPr>
            <w:tcW w:w="10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24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ajorEastAsia" w:hAnsiTheme="majorEastAsia" w:eastAsiaTheme="majorEastAsia" w:cstheme="majorEastAsia"/>
                <w:color w:val="auto"/>
                <w:kern w:val="2"/>
                <w:sz w:val="20"/>
                <w:szCs w:val="20"/>
                <w:highlight w:val="none"/>
                <w:lang w:val="zh-CN"/>
              </w:rPr>
            </w:pPr>
            <w:r>
              <w:rPr>
                <w:rFonts w:hint="eastAsia" w:asciiTheme="majorEastAsia" w:hAnsiTheme="majorEastAsia" w:eastAsiaTheme="majorEastAsia" w:cstheme="majorEastAsia"/>
                <w:color w:val="auto"/>
                <w:kern w:val="2"/>
                <w:sz w:val="20"/>
                <w:szCs w:val="20"/>
                <w:highlight w:val="none"/>
                <w:lang w:val="zh-CN"/>
              </w:rPr>
              <w:t>合计：小写（元）</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24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color w:val="auto"/>
                <w:kern w:val="2"/>
                <w:sz w:val="20"/>
                <w:szCs w:val="20"/>
                <w:highlight w:val="none"/>
                <w:lang w:val="zh-CN"/>
              </w:rPr>
              <w:t>合计：大写（元）</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8"/>
        </w:numPr>
        <w:ind w:left="525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路灯养护费报价明细清单3</w:t>
      </w: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tbl>
      <w:tblPr>
        <w:tblStyle w:val="64"/>
        <w:tblW w:w="14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803"/>
        <w:gridCol w:w="2947"/>
        <w:gridCol w:w="1018"/>
        <w:gridCol w:w="1080"/>
        <w:gridCol w:w="1594"/>
        <w:gridCol w:w="1561"/>
        <w:gridCol w:w="1510"/>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03"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路段名称</w:t>
            </w:r>
          </w:p>
        </w:tc>
        <w:tc>
          <w:tcPr>
            <w:tcW w:w="2947"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起止点</w:t>
            </w:r>
          </w:p>
        </w:tc>
        <w:tc>
          <w:tcPr>
            <w:tcW w:w="10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80"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594"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rPr>
              <w:t>养护</w:t>
            </w:r>
            <w:r>
              <w:rPr>
                <w:rFonts w:hint="eastAsia" w:ascii="仿宋" w:hAnsi="仿宋" w:eastAsia="仿宋" w:cs="仿宋"/>
                <w:b/>
                <w:bCs/>
                <w:i w:val="0"/>
                <w:iCs w:val="0"/>
                <w:color w:val="auto"/>
                <w:sz w:val="24"/>
                <w:szCs w:val="24"/>
                <w:highlight w:val="none"/>
                <w:u w:val="none"/>
                <w:lang w:val="en-US" w:eastAsia="zh-CN"/>
              </w:rPr>
              <w:t>单价最高限价（元/盏·年）</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 xml:space="preserve"> 养护单价</w:t>
            </w:r>
            <w:r>
              <w:rPr>
                <w:rFonts w:hint="eastAsia" w:ascii="仿宋" w:hAnsi="仿宋" w:eastAsia="仿宋" w:cs="仿宋"/>
                <w:b/>
                <w:bCs/>
                <w:i w:val="0"/>
                <w:iCs w:val="0"/>
                <w:color w:val="auto"/>
                <w:sz w:val="24"/>
                <w:szCs w:val="24"/>
                <w:highlight w:val="none"/>
                <w:u w:val="none"/>
                <w:lang w:val="en-US" w:eastAsia="zh-CN"/>
              </w:rPr>
              <w:t>（元/盏·年）</w:t>
            </w:r>
          </w:p>
        </w:tc>
        <w:tc>
          <w:tcPr>
            <w:tcW w:w="15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tc>
        <w:tc>
          <w:tcPr>
            <w:tcW w:w="15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 xml:space="preserve"> </w:t>
            </w:r>
            <w:r>
              <w:rPr>
                <w:rFonts w:hint="eastAsia" w:ascii="宋体" w:hAnsi="宋体" w:eastAsia="宋体" w:cs="宋体"/>
                <w:i w:val="0"/>
                <w:iCs w:val="0"/>
                <w:color w:val="auto"/>
                <w:sz w:val="22"/>
                <w:szCs w:val="22"/>
                <w:highlight w:val="none"/>
                <w:u w:val="none"/>
              </w:rPr>
              <w:t>站城北街</w:t>
            </w:r>
          </w:p>
        </w:tc>
        <w:tc>
          <w:tcPr>
            <w:tcW w:w="29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73</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tabs>
                <w:tab w:val="left" w:pos="762"/>
              </w:tabs>
              <w:ind w:firstLine="440" w:firstLineChars="20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站城南街</w:t>
            </w:r>
          </w:p>
        </w:tc>
        <w:tc>
          <w:tcPr>
            <w:tcW w:w="29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东西大道-站房</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80</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3"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龙舟路</w:t>
            </w:r>
          </w:p>
        </w:tc>
        <w:tc>
          <w:tcPr>
            <w:tcW w:w="29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站城南街-站城北街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33</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3"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9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钱神大街-余杭塘河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9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余杭塘河-龙泉路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80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画水大道</w:t>
            </w:r>
          </w:p>
        </w:tc>
        <w:tc>
          <w:tcPr>
            <w:tcW w:w="294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后村桥港-余杭塘河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34</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80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杭韵西路</w:t>
            </w:r>
          </w:p>
        </w:tc>
        <w:tc>
          <w:tcPr>
            <w:tcW w:w="294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后村桥港-钱神大街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803"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olor w:val="auto"/>
                <w:highlight w:val="none"/>
              </w:rPr>
              <w:t>东莲街</w:t>
            </w:r>
          </w:p>
        </w:tc>
        <w:tc>
          <w:tcPr>
            <w:tcW w:w="294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龙舟路以西-龙舟路以东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3"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29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景腾路以西-景腾路以东</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11</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18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仓兴街</w:t>
            </w:r>
          </w:p>
        </w:tc>
        <w:tc>
          <w:tcPr>
            <w:tcW w:w="29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52</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8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西站街</w:t>
            </w:r>
          </w:p>
        </w:tc>
        <w:tc>
          <w:tcPr>
            <w:tcW w:w="29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东西大道-龙舟路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48</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盏</w:t>
            </w:r>
          </w:p>
        </w:tc>
        <w:tc>
          <w:tcPr>
            <w:tcW w:w="15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highlight w:val="none"/>
              </w:rPr>
            </w:pPr>
            <w:r>
              <w:rPr>
                <w:rFonts w:hint="eastAsia" w:ascii="仿宋" w:hAnsi="仿宋" w:eastAsia="仿宋" w:cs="仿宋"/>
                <w:i w:val="0"/>
                <w:iCs w:val="0"/>
                <w:color w:val="auto"/>
                <w:sz w:val="24"/>
                <w:szCs w:val="24"/>
                <w:highlight w:val="none"/>
                <w:u w:val="none"/>
                <w:lang w:val="en-US" w:eastAsia="zh-CN"/>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0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color w:val="auto"/>
                <w:kern w:val="2"/>
                <w:sz w:val="20"/>
                <w:szCs w:val="20"/>
                <w:highlight w:val="none"/>
                <w:lang w:val="zh-CN"/>
              </w:rPr>
              <w:t>合计：小写（元）</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0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2"/>
                <w:szCs w:val="22"/>
                <w:highlight w:val="none"/>
                <w:u w:val="none"/>
              </w:rPr>
            </w:pPr>
            <w:r>
              <w:rPr>
                <w:rFonts w:hint="eastAsia" w:asciiTheme="majorEastAsia" w:hAnsiTheme="majorEastAsia" w:eastAsiaTheme="majorEastAsia" w:cstheme="majorEastAsia"/>
                <w:color w:val="auto"/>
                <w:kern w:val="2"/>
                <w:sz w:val="20"/>
                <w:szCs w:val="20"/>
                <w:highlight w:val="none"/>
                <w:lang w:val="zh-CN"/>
              </w:rPr>
              <w:t>合计：大写（元）</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                                                                </w:t>
      </w: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p>
    <w:p>
      <w:pPr>
        <w:pStyle w:val="82"/>
        <w:numPr>
          <w:ilvl w:val="0"/>
          <w:numId w:val="8"/>
        </w:numPr>
        <w:ind w:left="525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lang w:val="en-US" w:eastAsia="zh-CN" w:bidi="ar"/>
        </w:rPr>
        <w:t>待移交道路预费4</w:t>
      </w:r>
    </w:p>
    <w:p>
      <w:pPr>
        <w:snapToGrid w:val="0"/>
        <w:spacing w:line="360" w:lineRule="auto"/>
        <w:jc w:val="center"/>
        <w:rPr>
          <w:rFonts w:hint="eastAsia" w:ascii="仿宋" w:hAnsi="仿宋" w:eastAsia="仿宋" w:cs="仿宋"/>
          <w:color w:val="auto"/>
          <w:kern w:val="0"/>
          <w:sz w:val="24"/>
          <w:szCs w:val="24"/>
          <w:highlight w:val="none"/>
          <w:lang w:val="zh-CN"/>
        </w:rPr>
      </w:pPr>
    </w:p>
    <w:tbl>
      <w:tblPr>
        <w:tblStyle w:val="64"/>
        <w:tblW w:w="14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71"/>
        <w:gridCol w:w="2820"/>
        <w:gridCol w:w="6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6"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971"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82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费用（元）</w:t>
            </w:r>
          </w:p>
        </w:tc>
        <w:tc>
          <w:tcPr>
            <w:tcW w:w="61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i w:val="0"/>
                <w:iCs w:val="0"/>
                <w:color w:val="auto"/>
                <w:sz w:val="21"/>
                <w:szCs w:val="21"/>
                <w:highlight w:val="none"/>
                <w:u w:val="none"/>
                <w:lang w:val="en-US" w:eastAsia="zh-CN"/>
              </w:rPr>
              <w:t>1</w:t>
            </w:r>
          </w:p>
        </w:tc>
        <w:tc>
          <w:tcPr>
            <w:tcW w:w="39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待移交道路预留</w:t>
            </w:r>
          </w:p>
        </w:tc>
        <w:tc>
          <w:tcPr>
            <w:tcW w:w="28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 xml:space="preserve"> 1529490</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本项目涉及到后续有可能会有道路移交</w:t>
            </w:r>
            <w:r>
              <w:rPr>
                <w:rFonts w:hint="eastAsia" w:ascii="仿宋" w:hAnsi="仿宋" w:eastAsia="仿宋" w:cs="仿宋"/>
                <w:color w:val="auto"/>
                <w:sz w:val="21"/>
                <w:szCs w:val="21"/>
                <w:highlight w:val="none"/>
                <w:lang w:val="en-US" w:eastAsia="zh-CN"/>
              </w:rPr>
              <w:t>，二年总预算价为：</w:t>
            </w:r>
            <w:r>
              <w:rPr>
                <w:rFonts w:hint="eastAsia" w:ascii="仿宋" w:hAnsi="仿宋" w:eastAsia="仿宋" w:cs="仿宋"/>
                <w:i w:val="0"/>
                <w:iCs w:val="0"/>
                <w:color w:val="auto"/>
                <w:sz w:val="22"/>
                <w:szCs w:val="22"/>
                <w:highlight w:val="none"/>
                <w:u w:val="none"/>
                <w:lang w:val="en-US" w:eastAsia="zh-CN"/>
              </w:rPr>
              <w:t xml:space="preserve"> 1529490</w:t>
            </w:r>
            <w:r>
              <w:rPr>
                <w:rFonts w:hint="eastAsia" w:ascii="仿宋" w:hAnsi="仿宋" w:eastAsia="仿宋" w:cs="仿宋"/>
                <w:color w:val="auto"/>
                <w:sz w:val="21"/>
                <w:szCs w:val="21"/>
                <w:highlight w:val="none"/>
                <w:lang w:val="en-US" w:eastAsia="zh-CN"/>
              </w:rPr>
              <w:t>元，投标报价时此部分报价不做竞争，未发生则不支付本项养护费，发生后费用结算根据实际移交的道路面积结合中标单价进行结算。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505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合计：小写（元）</w:t>
            </w:r>
          </w:p>
        </w:tc>
        <w:tc>
          <w:tcPr>
            <w:tcW w:w="89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505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合计：大写（元）</w:t>
            </w:r>
          </w:p>
        </w:tc>
        <w:tc>
          <w:tcPr>
            <w:tcW w:w="89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bl>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p>
    <w:p>
      <w:pPr>
        <w:snapToGrid w:val="0"/>
        <w:spacing w:line="360" w:lineRule="auto"/>
        <w:jc w:val="center"/>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独立投标：投标人名称(电子签名)：</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或</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采用联合体投标：联合体牵头人名称(电子签名/盖章)：</w:t>
      </w:r>
    </w:p>
    <w:p>
      <w:pPr>
        <w:numPr>
          <w:ilvl w:val="0"/>
          <w:numId w:val="0"/>
        </w:numPr>
        <w:wordWrap/>
        <w:adjustRightInd/>
        <w:snapToGrid/>
        <w:spacing w:line="5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  年   月   日</w:t>
      </w:r>
      <w:r>
        <w:rPr>
          <w:rFonts w:hint="eastAsia" w:asciiTheme="minorEastAsia" w:hAnsiTheme="minorEastAsia" w:eastAsiaTheme="minorEastAsia" w:cstheme="minorEastAsia"/>
          <w:color w:val="auto"/>
          <w:sz w:val="24"/>
          <w:szCs w:val="24"/>
          <w:highlight w:val="none"/>
          <w:lang w:val="en-US" w:eastAsia="zh-CN"/>
        </w:rPr>
        <w:t xml:space="preserve"> </w:t>
      </w:r>
    </w:p>
    <w:p>
      <w:pPr>
        <w:pStyle w:val="382"/>
        <w:wordWrap w:val="0"/>
        <w:snapToGrid w:val="0"/>
        <w:spacing w:before="120" w:after="120"/>
        <w:ind w:firstLine="0"/>
        <w:jc w:val="right"/>
        <w:outlineLvl w:val="9"/>
        <w:rPr>
          <w:rFonts w:hint="eastAsia" w:asciiTheme="majorEastAsia" w:hAnsiTheme="majorEastAsia" w:eastAsiaTheme="majorEastAsia" w:cstheme="majorEastAsia"/>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3534" w:firstLineChars="1100"/>
        <w:jc w:val="both"/>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p>
    <w:p>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政府采购支持中小企业信用融资相关事项通知</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一、适用对象</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二、相关信息获取方式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　政府采购信用融资操作流程：</w:t>
      </w:r>
    </w:p>
    <w:p>
      <w:pPr>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（一）线上融资模式：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2.供应商中标后，可通过杭州市政府采购网或“浙里办”测算授信额度；</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4.审批通过后，在线办理放贷手续。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（二）线下融资模式：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4.审批通过后，合作银行应按照合作备忘录中约定的审批放款期限和优惠利率及时予以放款。</w:t>
      </w:r>
    </w:p>
    <w:p>
      <w:pPr>
        <w:pStyle w:val="3"/>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（三）杭州e融平台申请融资</w:t>
      </w:r>
    </w:p>
    <w:p>
      <w:pPr>
        <w:pStyle w:val="3"/>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四、注意事项</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Theme="majorEastAsia" w:hAnsiTheme="majorEastAsia" w:eastAsiaTheme="majorEastAsia" w:cstheme="majorEastAsia"/>
          <w:b/>
          <w:bCs/>
          <w:color w:val="auto"/>
          <w:kern w:val="0"/>
          <w:sz w:val="24"/>
          <w:highlight w:val="none"/>
        </w:rPr>
      </w:pPr>
    </w:p>
    <w:p>
      <w:pPr>
        <w:pStyle w:val="2"/>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498" w:name="_Toc465665161"/>
      <w:r>
        <w:rPr>
          <w:rFonts w:hint="eastAsia" w:asciiTheme="majorEastAsia" w:hAnsiTheme="majorEastAsia" w:eastAsiaTheme="majorEastAsia" w:cstheme="majorEastAsia"/>
          <w:color w:val="auto"/>
          <w:highlight w:val="none"/>
        </w:rPr>
        <w:t>附件</w:t>
      </w:r>
      <w:bookmarkEnd w:id="498"/>
    </w:p>
    <w:p>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499" w:name="OLE_LINK13"/>
      <w:bookmarkStart w:id="500" w:name="OLE_LINK14"/>
      <w:r>
        <w:rPr>
          <w:rFonts w:hint="eastAsia" w:asciiTheme="majorEastAsia" w:hAnsiTheme="majorEastAsia" w:eastAsiaTheme="majorEastAsia" w:cstheme="majorEastAsia"/>
          <w:b/>
          <w:color w:val="auto"/>
          <w:spacing w:val="6"/>
          <w:sz w:val="32"/>
          <w:szCs w:val="32"/>
          <w:highlight w:val="none"/>
        </w:rPr>
        <w:t>残疾人福利性单位声明函</w:t>
      </w:r>
    </w:p>
    <w:bookmarkEnd w:id="499"/>
    <w:bookmarkEnd w:id="500"/>
    <w:p>
      <w:pPr>
        <w:spacing w:line="360" w:lineRule="auto"/>
        <w:rPr>
          <w:rFonts w:hint="eastAsia" w:asciiTheme="majorEastAsia" w:hAnsiTheme="majorEastAsia" w:eastAsiaTheme="majorEastAsia" w:cstheme="majorEastAsia"/>
          <w:b/>
          <w:color w:val="auto"/>
          <w:spacing w:val="6"/>
          <w:sz w:val="30"/>
          <w:szCs w:val="30"/>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pPr>
        <w:spacing w:line="360" w:lineRule="auto"/>
        <w:jc w:val="center"/>
        <w:rPr>
          <w:rFonts w:hint="eastAsia" w:asciiTheme="majorEastAsia" w:hAnsiTheme="majorEastAsia" w:eastAsiaTheme="majorEastAsia" w:cstheme="majorEastAsia"/>
          <w:b/>
          <w:color w:val="auto"/>
          <w:sz w:val="24"/>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ajorEastAsia" w:hAnsiTheme="majorEastAsia" w:eastAsiaTheme="majorEastAsia" w:cstheme="majorEastAsia"/>
          <w:b/>
          <w:color w:val="auto"/>
          <w:sz w:val="24"/>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（采购人）、（采购代理机构）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你方组织的（项目名称）项目【招标编号：（采购编号）】</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附件5：</w:t>
      </w:r>
      <w:r>
        <w:rPr>
          <w:rFonts w:hint="eastAsia" w:asciiTheme="majorEastAsia" w:hAnsiTheme="majorEastAsia" w:eastAsiaTheme="majorEastAsia" w:cstheme="majorEastAsia"/>
          <w:b/>
          <w:color w:val="auto"/>
          <w:sz w:val="32"/>
          <w:szCs w:val="32"/>
          <w:highlight w:val="none"/>
        </w:rPr>
        <w:t>中小企业声明函</w:t>
      </w:r>
    </w:p>
    <w:p>
      <w:pPr>
        <w:spacing w:line="360" w:lineRule="auto"/>
        <w:jc w:val="center"/>
        <w:rPr>
          <w:rFonts w:hint="eastAsia" w:asciiTheme="majorEastAsia" w:hAnsiTheme="majorEastAsia" w:eastAsiaTheme="majorEastAsia" w:cstheme="majorEastAsia"/>
          <w:color w:val="auto"/>
          <w:sz w:val="24"/>
          <w:highlight w:val="none"/>
          <w:u w:val="single"/>
        </w:rPr>
      </w:pPr>
    </w:p>
    <w:p>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中小企业声明函（工程、服务）</w:t>
      </w:r>
    </w:p>
    <w:p>
      <w:pPr>
        <w:spacing w:line="360" w:lineRule="auto"/>
        <w:rPr>
          <w:rFonts w:hint="eastAsia" w:asciiTheme="majorEastAsia" w:hAnsiTheme="majorEastAsia" w:eastAsiaTheme="majorEastAsia" w:cstheme="majorEastAsia"/>
          <w:color w:val="auto"/>
          <w:highlight w:val="none"/>
        </w:rPr>
      </w:pPr>
    </w:p>
    <w:p>
      <w:pPr>
        <w:spacing w:line="360" w:lineRule="auto"/>
        <w:ind w:firstLine="360" w:firstLineChars="1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 xml:space="preserve"> ；承建（承接）企业为 </w:t>
      </w:r>
      <w:r>
        <w:rPr>
          <w:rFonts w:hint="eastAsia" w:asciiTheme="majorEastAsia" w:hAnsiTheme="majorEastAsia" w:eastAsiaTheme="majorEastAsia" w:cstheme="majorEastAsia"/>
          <w:color w:val="auto"/>
          <w:sz w:val="24"/>
          <w:highlight w:val="none"/>
          <w:u w:val="single"/>
        </w:rPr>
        <w:t>（企业名称）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 </w:t>
      </w: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 xml:space="preserve"> ；承建（承接）企业为 </w:t>
      </w:r>
      <w:r>
        <w:rPr>
          <w:rFonts w:hint="eastAsia" w:asciiTheme="majorEastAsia" w:hAnsiTheme="majorEastAsia" w:eastAsiaTheme="majorEastAsia" w:cstheme="majorEastAsia"/>
          <w:color w:val="auto"/>
          <w:sz w:val="24"/>
          <w:highlight w:val="none"/>
          <w:u w:val="single"/>
        </w:rPr>
        <w:t>（企业名称）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 </w:t>
      </w: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pPr>
        <w:spacing w:line="360" w:lineRule="auto"/>
        <w:ind w:right="1760"/>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投标人名称（电子签名）：</w:t>
      </w:r>
    </w:p>
    <w:p>
      <w:pPr>
        <w:spacing w:line="360" w:lineRule="auto"/>
        <w:ind w:right="1120" w:firstLine="4680" w:firstLineChars="19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w:t>
      </w:r>
    </w:p>
    <w:p>
      <w:pPr>
        <w:spacing w:line="360" w:lineRule="auto"/>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从业人员、营业收入、资产总额填报上一年度数据，无上一年度数据的新成立企业可不填报。</w:t>
      </w:r>
    </w:p>
    <w:p>
      <w:pPr>
        <w:spacing w:line="360" w:lineRule="auto"/>
        <w:ind w:right="420"/>
        <w:rPr>
          <w:rFonts w:hint="eastAsia" w:asciiTheme="majorEastAsia" w:hAnsiTheme="majorEastAsia" w:eastAsiaTheme="majorEastAsia" w:cstheme="majorEastAsia"/>
          <w:color w:val="auto"/>
          <w:sz w:val="24"/>
          <w:highlight w:val="none"/>
        </w:rPr>
      </w:pPr>
    </w:p>
    <w:p>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Theme="majorEastAsia" w:hAnsiTheme="majorEastAsia" w:eastAsiaTheme="majorEastAsia" w:cstheme="majorEastAsia"/>
          <w:color w:val="auto"/>
          <w:highlight w:val="none"/>
          <w:lang w:val="en-US"/>
        </w:rPr>
      </w:pPr>
    </w:p>
    <w:p>
      <w:pPr>
        <w:spacing w:line="360" w:lineRule="auto"/>
        <w:ind w:right="420"/>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1" w:name="_Toc131845147"/>
    <w:bookmarkStart w:id="502" w:name="_Toc164085800"/>
    <w:bookmarkStart w:id="503" w:name="_Toc3611018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lvl>
  </w:abstractNum>
  <w:abstractNum w:abstractNumId="1">
    <w:nsid w:val="A8F4E69B"/>
    <w:multiLevelType w:val="singleLevel"/>
    <w:tmpl w:val="A8F4E69B"/>
    <w:lvl w:ilvl="0" w:tentative="0">
      <w:start w:val="1"/>
      <w:numFmt w:val="chineseCounting"/>
      <w:suff w:val="space"/>
      <w:lvlText w:val="第%1部分"/>
      <w:lvlJc w:val="left"/>
      <w:rPr>
        <w:rFonts w:hint="eastAsia"/>
      </w:rPr>
    </w:lvl>
  </w:abstractNum>
  <w:abstractNum w:abstractNumId="2">
    <w:nsid w:val="F335B78A"/>
    <w:multiLevelType w:val="singleLevel"/>
    <w:tmpl w:val="F335B78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5E7C160A"/>
    <w:multiLevelType w:val="singleLevel"/>
    <w:tmpl w:val="5E7C160A"/>
    <w:lvl w:ilvl="0" w:tentative="0">
      <w:start w:val="1"/>
      <w:numFmt w:val="decimal"/>
      <w:suff w:val="nothing"/>
      <w:lvlText w:val="%1."/>
      <w:lvlJc w:val="left"/>
    </w:lvl>
  </w:abstractNum>
  <w:abstractNum w:abstractNumId="5">
    <w:nsid w:val="601AB719"/>
    <w:multiLevelType w:val="singleLevel"/>
    <w:tmpl w:val="601AB719"/>
    <w:lvl w:ilvl="0" w:tentative="0">
      <w:start w:val="2"/>
      <w:numFmt w:val="decimal"/>
      <w:suff w:val="nothing"/>
      <w:lvlText w:val="%1、"/>
      <w:lvlJc w:val="left"/>
    </w:lvl>
  </w:abstractNum>
  <w:abstractNum w:abstractNumId="6">
    <w:nsid w:val="63F824D2"/>
    <w:multiLevelType w:val="singleLevel"/>
    <w:tmpl w:val="63F824D2"/>
    <w:lvl w:ilvl="0" w:tentative="0">
      <w:start w:val="3"/>
      <w:numFmt w:val="chineseCounting"/>
      <w:suff w:val="space"/>
      <w:lvlText w:val="第%1部分"/>
      <w:lvlJc w:val="left"/>
      <w:rPr>
        <w:rFonts w:hint="eastAsia"/>
      </w:rPr>
    </w:lvl>
  </w:abstractNum>
  <w:abstractNum w:abstractNumId="7">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02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361"/>
    <w:rsid w:val="011F6449"/>
    <w:rsid w:val="01236AFB"/>
    <w:rsid w:val="019F7441"/>
    <w:rsid w:val="01B37585"/>
    <w:rsid w:val="01BA1319"/>
    <w:rsid w:val="01D55165"/>
    <w:rsid w:val="01DF6BF8"/>
    <w:rsid w:val="01E15354"/>
    <w:rsid w:val="01EC2C57"/>
    <w:rsid w:val="026B2E25"/>
    <w:rsid w:val="02824D4D"/>
    <w:rsid w:val="02BD75DA"/>
    <w:rsid w:val="02DB3AA3"/>
    <w:rsid w:val="02DC4B10"/>
    <w:rsid w:val="02DD76CE"/>
    <w:rsid w:val="02DF39F5"/>
    <w:rsid w:val="02F36323"/>
    <w:rsid w:val="02F5619C"/>
    <w:rsid w:val="02F92D08"/>
    <w:rsid w:val="0326446A"/>
    <w:rsid w:val="032D5555"/>
    <w:rsid w:val="032F0852"/>
    <w:rsid w:val="033027A0"/>
    <w:rsid w:val="036634D2"/>
    <w:rsid w:val="038A1BB2"/>
    <w:rsid w:val="03DD35E4"/>
    <w:rsid w:val="04076900"/>
    <w:rsid w:val="041A5A3B"/>
    <w:rsid w:val="042311BA"/>
    <w:rsid w:val="042B157A"/>
    <w:rsid w:val="048F763B"/>
    <w:rsid w:val="049F330E"/>
    <w:rsid w:val="04AA775C"/>
    <w:rsid w:val="04AF1889"/>
    <w:rsid w:val="04F66F48"/>
    <w:rsid w:val="05251E14"/>
    <w:rsid w:val="05620EF4"/>
    <w:rsid w:val="05A16594"/>
    <w:rsid w:val="05A7762D"/>
    <w:rsid w:val="05E36894"/>
    <w:rsid w:val="05E60522"/>
    <w:rsid w:val="060E5941"/>
    <w:rsid w:val="06110FAF"/>
    <w:rsid w:val="06493CA7"/>
    <w:rsid w:val="065169B7"/>
    <w:rsid w:val="065A6178"/>
    <w:rsid w:val="066F1CF3"/>
    <w:rsid w:val="06930BB8"/>
    <w:rsid w:val="06DB3866"/>
    <w:rsid w:val="07245D42"/>
    <w:rsid w:val="07264C62"/>
    <w:rsid w:val="0779354C"/>
    <w:rsid w:val="07846919"/>
    <w:rsid w:val="078B67AD"/>
    <w:rsid w:val="07D06F71"/>
    <w:rsid w:val="08061376"/>
    <w:rsid w:val="08400A92"/>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7C01EF"/>
    <w:rsid w:val="098353B5"/>
    <w:rsid w:val="09A92330"/>
    <w:rsid w:val="09B06B87"/>
    <w:rsid w:val="09C13146"/>
    <w:rsid w:val="09C556F2"/>
    <w:rsid w:val="09E04166"/>
    <w:rsid w:val="09F935EE"/>
    <w:rsid w:val="0A0F4BBF"/>
    <w:rsid w:val="0A1C0718"/>
    <w:rsid w:val="0A3E7710"/>
    <w:rsid w:val="0A5B7E63"/>
    <w:rsid w:val="0A642BB8"/>
    <w:rsid w:val="0AA374A5"/>
    <w:rsid w:val="0AAB7649"/>
    <w:rsid w:val="0ABC5606"/>
    <w:rsid w:val="0ACF1EBF"/>
    <w:rsid w:val="0AEC3153"/>
    <w:rsid w:val="0B30404E"/>
    <w:rsid w:val="0B4C6C14"/>
    <w:rsid w:val="0B631A88"/>
    <w:rsid w:val="0B683D45"/>
    <w:rsid w:val="0B7F3F11"/>
    <w:rsid w:val="0B884417"/>
    <w:rsid w:val="0B923CFA"/>
    <w:rsid w:val="0BB13844"/>
    <w:rsid w:val="0BD04822"/>
    <w:rsid w:val="0BF6188C"/>
    <w:rsid w:val="0BF73C91"/>
    <w:rsid w:val="0C170175"/>
    <w:rsid w:val="0C252E47"/>
    <w:rsid w:val="0C571A41"/>
    <w:rsid w:val="0C5C1171"/>
    <w:rsid w:val="0C5E1CBC"/>
    <w:rsid w:val="0C615B50"/>
    <w:rsid w:val="0C807FF6"/>
    <w:rsid w:val="0C8445DA"/>
    <w:rsid w:val="0C87121B"/>
    <w:rsid w:val="0C985340"/>
    <w:rsid w:val="0CAA0FAC"/>
    <w:rsid w:val="0CBF1356"/>
    <w:rsid w:val="0CC007F7"/>
    <w:rsid w:val="0CC62AA3"/>
    <w:rsid w:val="0CFE707A"/>
    <w:rsid w:val="0D063BDA"/>
    <w:rsid w:val="0D08375F"/>
    <w:rsid w:val="0D184CFB"/>
    <w:rsid w:val="0D4A7419"/>
    <w:rsid w:val="0D6D32A0"/>
    <w:rsid w:val="0D827401"/>
    <w:rsid w:val="0D84094E"/>
    <w:rsid w:val="0D8A00E9"/>
    <w:rsid w:val="0D8D589E"/>
    <w:rsid w:val="0DA01C73"/>
    <w:rsid w:val="0DA25967"/>
    <w:rsid w:val="0DA815B3"/>
    <w:rsid w:val="0DAB667D"/>
    <w:rsid w:val="0DD2300E"/>
    <w:rsid w:val="0DD63300"/>
    <w:rsid w:val="0DF50604"/>
    <w:rsid w:val="0DF702FE"/>
    <w:rsid w:val="0E060E51"/>
    <w:rsid w:val="0E5604B2"/>
    <w:rsid w:val="0E6D5D79"/>
    <w:rsid w:val="0E72396F"/>
    <w:rsid w:val="0E9D0089"/>
    <w:rsid w:val="0EB803EE"/>
    <w:rsid w:val="0EE815E2"/>
    <w:rsid w:val="0EF94D4B"/>
    <w:rsid w:val="0F4958DC"/>
    <w:rsid w:val="0F515DF7"/>
    <w:rsid w:val="0F596BA8"/>
    <w:rsid w:val="0F6248D2"/>
    <w:rsid w:val="0F693536"/>
    <w:rsid w:val="0F7B0511"/>
    <w:rsid w:val="0F7B76D9"/>
    <w:rsid w:val="0F816ACD"/>
    <w:rsid w:val="0F9832DB"/>
    <w:rsid w:val="0F9C6EF5"/>
    <w:rsid w:val="0FBF3FD2"/>
    <w:rsid w:val="0FBF7FF3"/>
    <w:rsid w:val="101822F4"/>
    <w:rsid w:val="10646583"/>
    <w:rsid w:val="107D4B15"/>
    <w:rsid w:val="108A3C80"/>
    <w:rsid w:val="109F0AC7"/>
    <w:rsid w:val="10C0384F"/>
    <w:rsid w:val="10C26171"/>
    <w:rsid w:val="10F33360"/>
    <w:rsid w:val="10FC16EA"/>
    <w:rsid w:val="110F1D40"/>
    <w:rsid w:val="11266F33"/>
    <w:rsid w:val="118963A1"/>
    <w:rsid w:val="11932410"/>
    <w:rsid w:val="11A55E09"/>
    <w:rsid w:val="11C6522A"/>
    <w:rsid w:val="11E104CC"/>
    <w:rsid w:val="11E20309"/>
    <w:rsid w:val="12255233"/>
    <w:rsid w:val="12435D4E"/>
    <w:rsid w:val="12530213"/>
    <w:rsid w:val="127723A9"/>
    <w:rsid w:val="12862074"/>
    <w:rsid w:val="12883966"/>
    <w:rsid w:val="129E45B4"/>
    <w:rsid w:val="12D81596"/>
    <w:rsid w:val="13072A44"/>
    <w:rsid w:val="131E5E73"/>
    <w:rsid w:val="133E0F80"/>
    <w:rsid w:val="13474ECD"/>
    <w:rsid w:val="135F4BE2"/>
    <w:rsid w:val="138928C9"/>
    <w:rsid w:val="139B1A0A"/>
    <w:rsid w:val="139D25C7"/>
    <w:rsid w:val="13B823B7"/>
    <w:rsid w:val="13BF3CE4"/>
    <w:rsid w:val="13CD33DE"/>
    <w:rsid w:val="141008D8"/>
    <w:rsid w:val="14125FE6"/>
    <w:rsid w:val="141F6008"/>
    <w:rsid w:val="14654093"/>
    <w:rsid w:val="146D271E"/>
    <w:rsid w:val="14924F7E"/>
    <w:rsid w:val="14982588"/>
    <w:rsid w:val="149A5AD9"/>
    <w:rsid w:val="14A7619D"/>
    <w:rsid w:val="150536C3"/>
    <w:rsid w:val="150C1963"/>
    <w:rsid w:val="151447A0"/>
    <w:rsid w:val="154A6454"/>
    <w:rsid w:val="15604521"/>
    <w:rsid w:val="15762120"/>
    <w:rsid w:val="15842905"/>
    <w:rsid w:val="15C95C2D"/>
    <w:rsid w:val="15D46A7C"/>
    <w:rsid w:val="1663076D"/>
    <w:rsid w:val="1675224E"/>
    <w:rsid w:val="16753FFC"/>
    <w:rsid w:val="16A8729C"/>
    <w:rsid w:val="16B33777"/>
    <w:rsid w:val="16BC70A7"/>
    <w:rsid w:val="16C6339E"/>
    <w:rsid w:val="172F2D79"/>
    <w:rsid w:val="17557BEF"/>
    <w:rsid w:val="17AC2EC2"/>
    <w:rsid w:val="17BF5F86"/>
    <w:rsid w:val="17CA37BF"/>
    <w:rsid w:val="17D349C1"/>
    <w:rsid w:val="181C6C23"/>
    <w:rsid w:val="1830729E"/>
    <w:rsid w:val="185D743E"/>
    <w:rsid w:val="1870062C"/>
    <w:rsid w:val="18800CE3"/>
    <w:rsid w:val="18817102"/>
    <w:rsid w:val="18830A15"/>
    <w:rsid w:val="18852B28"/>
    <w:rsid w:val="188B5321"/>
    <w:rsid w:val="19630A84"/>
    <w:rsid w:val="19932372"/>
    <w:rsid w:val="19A20DD5"/>
    <w:rsid w:val="19AE03F1"/>
    <w:rsid w:val="19DF5B4E"/>
    <w:rsid w:val="19F56E07"/>
    <w:rsid w:val="1A023DF9"/>
    <w:rsid w:val="1A071A03"/>
    <w:rsid w:val="1A1F16AE"/>
    <w:rsid w:val="1A3B5C77"/>
    <w:rsid w:val="1A7C093C"/>
    <w:rsid w:val="1A984BAD"/>
    <w:rsid w:val="1AB8220E"/>
    <w:rsid w:val="1ABF0FF7"/>
    <w:rsid w:val="1AC11F06"/>
    <w:rsid w:val="1AC506ED"/>
    <w:rsid w:val="1AD35795"/>
    <w:rsid w:val="1AE4166C"/>
    <w:rsid w:val="1AF06CFB"/>
    <w:rsid w:val="1AF11B8D"/>
    <w:rsid w:val="1B11359C"/>
    <w:rsid w:val="1B2A271F"/>
    <w:rsid w:val="1B530544"/>
    <w:rsid w:val="1B713184"/>
    <w:rsid w:val="1B9779D3"/>
    <w:rsid w:val="1BA209CF"/>
    <w:rsid w:val="1BB4777D"/>
    <w:rsid w:val="1BD13AD5"/>
    <w:rsid w:val="1BD51732"/>
    <w:rsid w:val="1BD75AB8"/>
    <w:rsid w:val="1C0459C2"/>
    <w:rsid w:val="1C1B3B4A"/>
    <w:rsid w:val="1C88086E"/>
    <w:rsid w:val="1CFC403F"/>
    <w:rsid w:val="1D266CE1"/>
    <w:rsid w:val="1D3963AF"/>
    <w:rsid w:val="1D4074BD"/>
    <w:rsid w:val="1D6A673C"/>
    <w:rsid w:val="1D7F1058"/>
    <w:rsid w:val="1D816151"/>
    <w:rsid w:val="1D9247AE"/>
    <w:rsid w:val="1DB567EC"/>
    <w:rsid w:val="1DF51A98"/>
    <w:rsid w:val="1E3D060F"/>
    <w:rsid w:val="1E3F7D2E"/>
    <w:rsid w:val="1E4134E4"/>
    <w:rsid w:val="1E5062B3"/>
    <w:rsid w:val="1E517971"/>
    <w:rsid w:val="1E523514"/>
    <w:rsid w:val="1E714A66"/>
    <w:rsid w:val="1E802593"/>
    <w:rsid w:val="1EA703CC"/>
    <w:rsid w:val="1EB7330C"/>
    <w:rsid w:val="1F0A0FF3"/>
    <w:rsid w:val="1F5771FF"/>
    <w:rsid w:val="1F771C14"/>
    <w:rsid w:val="1FC84208"/>
    <w:rsid w:val="1FE868A9"/>
    <w:rsid w:val="20034907"/>
    <w:rsid w:val="20173E4B"/>
    <w:rsid w:val="204E48BC"/>
    <w:rsid w:val="207F05EC"/>
    <w:rsid w:val="208921B3"/>
    <w:rsid w:val="20973DEB"/>
    <w:rsid w:val="20B26522"/>
    <w:rsid w:val="20B44310"/>
    <w:rsid w:val="20BB1436"/>
    <w:rsid w:val="210E3338"/>
    <w:rsid w:val="211116EB"/>
    <w:rsid w:val="211641D5"/>
    <w:rsid w:val="216133FC"/>
    <w:rsid w:val="21821B57"/>
    <w:rsid w:val="21CE589C"/>
    <w:rsid w:val="21D56769"/>
    <w:rsid w:val="21E52EF3"/>
    <w:rsid w:val="21FB5D7B"/>
    <w:rsid w:val="220B1C3D"/>
    <w:rsid w:val="22146DBF"/>
    <w:rsid w:val="221D1D20"/>
    <w:rsid w:val="22334A87"/>
    <w:rsid w:val="229E0D7F"/>
    <w:rsid w:val="22BE6801"/>
    <w:rsid w:val="233500BF"/>
    <w:rsid w:val="23377FF7"/>
    <w:rsid w:val="236B425F"/>
    <w:rsid w:val="236F588D"/>
    <w:rsid w:val="23763856"/>
    <w:rsid w:val="23836192"/>
    <w:rsid w:val="23901F29"/>
    <w:rsid w:val="239C0061"/>
    <w:rsid w:val="23A240EF"/>
    <w:rsid w:val="23B908A4"/>
    <w:rsid w:val="23CC66C9"/>
    <w:rsid w:val="23E95BEF"/>
    <w:rsid w:val="23FD0064"/>
    <w:rsid w:val="242B03F0"/>
    <w:rsid w:val="245375B0"/>
    <w:rsid w:val="24642C0A"/>
    <w:rsid w:val="246813A5"/>
    <w:rsid w:val="24A11016"/>
    <w:rsid w:val="24B22173"/>
    <w:rsid w:val="24B32A04"/>
    <w:rsid w:val="24B95AD9"/>
    <w:rsid w:val="24BE24DA"/>
    <w:rsid w:val="24CF5825"/>
    <w:rsid w:val="24D15C6C"/>
    <w:rsid w:val="24D663E6"/>
    <w:rsid w:val="24D77F2B"/>
    <w:rsid w:val="24FB0160"/>
    <w:rsid w:val="258B00E2"/>
    <w:rsid w:val="259B3353"/>
    <w:rsid w:val="25A917A6"/>
    <w:rsid w:val="25BE27CC"/>
    <w:rsid w:val="25F74A5C"/>
    <w:rsid w:val="2628662C"/>
    <w:rsid w:val="262D45DE"/>
    <w:rsid w:val="26581D4F"/>
    <w:rsid w:val="26A53EF9"/>
    <w:rsid w:val="26A94201"/>
    <w:rsid w:val="26AC274F"/>
    <w:rsid w:val="26F337F7"/>
    <w:rsid w:val="27044A29"/>
    <w:rsid w:val="271D34C8"/>
    <w:rsid w:val="275B2A8B"/>
    <w:rsid w:val="276142BF"/>
    <w:rsid w:val="27783712"/>
    <w:rsid w:val="278B7FF6"/>
    <w:rsid w:val="27907362"/>
    <w:rsid w:val="27E92A9C"/>
    <w:rsid w:val="282025DE"/>
    <w:rsid w:val="28333E1D"/>
    <w:rsid w:val="28454BD6"/>
    <w:rsid w:val="28455253"/>
    <w:rsid w:val="28551971"/>
    <w:rsid w:val="285B1C53"/>
    <w:rsid w:val="289F7086"/>
    <w:rsid w:val="28C32028"/>
    <w:rsid w:val="28CC490F"/>
    <w:rsid w:val="28DE40AA"/>
    <w:rsid w:val="28ED3C59"/>
    <w:rsid w:val="29345E77"/>
    <w:rsid w:val="29406BFB"/>
    <w:rsid w:val="294C65AD"/>
    <w:rsid w:val="29806583"/>
    <w:rsid w:val="298B3C4C"/>
    <w:rsid w:val="29995DFC"/>
    <w:rsid w:val="29EE131C"/>
    <w:rsid w:val="29F26D24"/>
    <w:rsid w:val="29F41FB8"/>
    <w:rsid w:val="2A15033F"/>
    <w:rsid w:val="2A1662C1"/>
    <w:rsid w:val="2A167548"/>
    <w:rsid w:val="2A1C7367"/>
    <w:rsid w:val="2A2815FA"/>
    <w:rsid w:val="2A2C0A1E"/>
    <w:rsid w:val="2A6D6092"/>
    <w:rsid w:val="2A7D76B4"/>
    <w:rsid w:val="2A870020"/>
    <w:rsid w:val="2AE5754B"/>
    <w:rsid w:val="2B437463"/>
    <w:rsid w:val="2B7807EE"/>
    <w:rsid w:val="2BBF00EC"/>
    <w:rsid w:val="2BC37CFD"/>
    <w:rsid w:val="2BD5237F"/>
    <w:rsid w:val="2BE536CE"/>
    <w:rsid w:val="2BE758D9"/>
    <w:rsid w:val="2BFF1D8B"/>
    <w:rsid w:val="2C09049E"/>
    <w:rsid w:val="2C0A653C"/>
    <w:rsid w:val="2C191F85"/>
    <w:rsid w:val="2C49746E"/>
    <w:rsid w:val="2CE82D6F"/>
    <w:rsid w:val="2D343236"/>
    <w:rsid w:val="2DD15014"/>
    <w:rsid w:val="2DF72DE4"/>
    <w:rsid w:val="2E0220AF"/>
    <w:rsid w:val="2E4B082A"/>
    <w:rsid w:val="2E4B710B"/>
    <w:rsid w:val="2E5D4E86"/>
    <w:rsid w:val="2E5D790B"/>
    <w:rsid w:val="2E9A3C18"/>
    <w:rsid w:val="2EAD4823"/>
    <w:rsid w:val="2EBB0FEE"/>
    <w:rsid w:val="2EC4755A"/>
    <w:rsid w:val="2EC63002"/>
    <w:rsid w:val="2EDF2503"/>
    <w:rsid w:val="2EF22236"/>
    <w:rsid w:val="2EFF3A43"/>
    <w:rsid w:val="2F0A6B38"/>
    <w:rsid w:val="2F156FA6"/>
    <w:rsid w:val="2F7B4CD7"/>
    <w:rsid w:val="2F946CCB"/>
    <w:rsid w:val="2FBB6BC1"/>
    <w:rsid w:val="2FD25781"/>
    <w:rsid w:val="2FD35FE3"/>
    <w:rsid w:val="2FFD7934"/>
    <w:rsid w:val="30733ACD"/>
    <w:rsid w:val="308C3862"/>
    <w:rsid w:val="309379D8"/>
    <w:rsid w:val="309D4424"/>
    <w:rsid w:val="30A270F7"/>
    <w:rsid w:val="30DF1478"/>
    <w:rsid w:val="30EC586F"/>
    <w:rsid w:val="30F5600E"/>
    <w:rsid w:val="319C6071"/>
    <w:rsid w:val="31AC537E"/>
    <w:rsid w:val="31E3679B"/>
    <w:rsid w:val="31E732FD"/>
    <w:rsid w:val="32104CCD"/>
    <w:rsid w:val="32517576"/>
    <w:rsid w:val="32537490"/>
    <w:rsid w:val="32AC57D7"/>
    <w:rsid w:val="32BE5C2C"/>
    <w:rsid w:val="32CC29DF"/>
    <w:rsid w:val="32E65161"/>
    <w:rsid w:val="32E66F9F"/>
    <w:rsid w:val="32FB6478"/>
    <w:rsid w:val="33263B3F"/>
    <w:rsid w:val="332E7DC5"/>
    <w:rsid w:val="336963EB"/>
    <w:rsid w:val="33816EEB"/>
    <w:rsid w:val="33AB6E04"/>
    <w:rsid w:val="33DC7D6A"/>
    <w:rsid w:val="33EB55CD"/>
    <w:rsid w:val="33EC4C02"/>
    <w:rsid w:val="33EC7B9C"/>
    <w:rsid w:val="33ED7470"/>
    <w:rsid w:val="340D2360"/>
    <w:rsid w:val="3410665D"/>
    <w:rsid w:val="34211214"/>
    <w:rsid w:val="342E63AB"/>
    <w:rsid w:val="34303663"/>
    <w:rsid w:val="346A286F"/>
    <w:rsid w:val="348F1EE3"/>
    <w:rsid w:val="34950E68"/>
    <w:rsid w:val="34986E94"/>
    <w:rsid w:val="34A14B01"/>
    <w:rsid w:val="34AF62C9"/>
    <w:rsid w:val="34CA0ED9"/>
    <w:rsid w:val="34CB4388"/>
    <w:rsid w:val="34FA6E12"/>
    <w:rsid w:val="35016021"/>
    <w:rsid w:val="351D171E"/>
    <w:rsid w:val="358D5588"/>
    <w:rsid w:val="363A3B40"/>
    <w:rsid w:val="365302AE"/>
    <w:rsid w:val="36607A0A"/>
    <w:rsid w:val="366E227C"/>
    <w:rsid w:val="366F2E0D"/>
    <w:rsid w:val="367B6A5C"/>
    <w:rsid w:val="368C79E1"/>
    <w:rsid w:val="36A74ADA"/>
    <w:rsid w:val="36AD60D5"/>
    <w:rsid w:val="36B224F9"/>
    <w:rsid w:val="36EC0CC9"/>
    <w:rsid w:val="371D006C"/>
    <w:rsid w:val="3727713D"/>
    <w:rsid w:val="373701D7"/>
    <w:rsid w:val="373F410B"/>
    <w:rsid w:val="375F52A8"/>
    <w:rsid w:val="379320DC"/>
    <w:rsid w:val="37E67A3D"/>
    <w:rsid w:val="37EE7094"/>
    <w:rsid w:val="37F85DAF"/>
    <w:rsid w:val="37FC5ED4"/>
    <w:rsid w:val="38296C89"/>
    <w:rsid w:val="383002EB"/>
    <w:rsid w:val="38586797"/>
    <w:rsid w:val="38BC0149"/>
    <w:rsid w:val="38D87D1C"/>
    <w:rsid w:val="38FE7A29"/>
    <w:rsid w:val="393E3B4B"/>
    <w:rsid w:val="394F6A60"/>
    <w:rsid w:val="39636459"/>
    <w:rsid w:val="396B7F6C"/>
    <w:rsid w:val="396C0E37"/>
    <w:rsid w:val="399218BB"/>
    <w:rsid w:val="39B417A9"/>
    <w:rsid w:val="39F94DC1"/>
    <w:rsid w:val="39FC5695"/>
    <w:rsid w:val="3A006D8E"/>
    <w:rsid w:val="3A3651E5"/>
    <w:rsid w:val="3A744481"/>
    <w:rsid w:val="3A8947DC"/>
    <w:rsid w:val="3A8C7BEF"/>
    <w:rsid w:val="3A906246"/>
    <w:rsid w:val="3ADB0022"/>
    <w:rsid w:val="3B2349B7"/>
    <w:rsid w:val="3B3566CF"/>
    <w:rsid w:val="3B616CFF"/>
    <w:rsid w:val="3B6259F6"/>
    <w:rsid w:val="3B645349"/>
    <w:rsid w:val="3B7B3259"/>
    <w:rsid w:val="3B887A95"/>
    <w:rsid w:val="3B976654"/>
    <w:rsid w:val="3BC01EFC"/>
    <w:rsid w:val="3BCA786A"/>
    <w:rsid w:val="3BD31E2F"/>
    <w:rsid w:val="3BE65D9C"/>
    <w:rsid w:val="3BF15831"/>
    <w:rsid w:val="3C105946"/>
    <w:rsid w:val="3C2D2B00"/>
    <w:rsid w:val="3C471448"/>
    <w:rsid w:val="3C4D352D"/>
    <w:rsid w:val="3C5F759A"/>
    <w:rsid w:val="3C6C525A"/>
    <w:rsid w:val="3C9C15DA"/>
    <w:rsid w:val="3CC72DC1"/>
    <w:rsid w:val="3CCE23CB"/>
    <w:rsid w:val="3CD17D17"/>
    <w:rsid w:val="3D3C7F39"/>
    <w:rsid w:val="3D440F09"/>
    <w:rsid w:val="3D4504A0"/>
    <w:rsid w:val="3D8734BB"/>
    <w:rsid w:val="3D9A11D4"/>
    <w:rsid w:val="3DA16D89"/>
    <w:rsid w:val="3DA364BE"/>
    <w:rsid w:val="3DD0408A"/>
    <w:rsid w:val="3DDD0555"/>
    <w:rsid w:val="3DE041CB"/>
    <w:rsid w:val="3E0D4036"/>
    <w:rsid w:val="3E0D48F6"/>
    <w:rsid w:val="3E173A67"/>
    <w:rsid w:val="3E1868B4"/>
    <w:rsid w:val="3E1A3557"/>
    <w:rsid w:val="3E1C72D0"/>
    <w:rsid w:val="3E377251"/>
    <w:rsid w:val="3E42664B"/>
    <w:rsid w:val="3E46434D"/>
    <w:rsid w:val="3E584752"/>
    <w:rsid w:val="3E5A7334"/>
    <w:rsid w:val="3E7B5D6B"/>
    <w:rsid w:val="3E843E66"/>
    <w:rsid w:val="3E8F51FE"/>
    <w:rsid w:val="3E926F87"/>
    <w:rsid w:val="3E9A59DE"/>
    <w:rsid w:val="3EAF4836"/>
    <w:rsid w:val="3EC040FF"/>
    <w:rsid w:val="3EC33DFA"/>
    <w:rsid w:val="3F060E16"/>
    <w:rsid w:val="3F1D1096"/>
    <w:rsid w:val="3F2F0234"/>
    <w:rsid w:val="3F6363FE"/>
    <w:rsid w:val="3F756B8F"/>
    <w:rsid w:val="3F782E10"/>
    <w:rsid w:val="3F7B6278"/>
    <w:rsid w:val="3F95482B"/>
    <w:rsid w:val="3F9D6D5C"/>
    <w:rsid w:val="3FBB0422"/>
    <w:rsid w:val="40117F7B"/>
    <w:rsid w:val="4019356B"/>
    <w:rsid w:val="40592157"/>
    <w:rsid w:val="405A7C3B"/>
    <w:rsid w:val="406E1CAE"/>
    <w:rsid w:val="40A0133A"/>
    <w:rsid w:val="40A36D5D"/>
    <w:rsid w:val="40B57568"/>
    <w:rsid w:val="40C31A53"/>
    <w:rsid w:val="40FF545D"/>
    <w:rsid w:val="410067C8"/>
    <w:rsid w:val="411B561D"/>
    <w:rsid w:val="41344CBB"/>
    <w:rsid w:val="418F0D2A"/>
    <w:rsid w:val="41D01505"/>
    <w:rsid w:val="42474939"/>
    <w:rsid w:val="424C3C57"/>
    <w:rsid w:val="426134B9"/>
    <w:rsid w:val="42613FF3"/>
    <w:rsid w:val="42660D96"/>
    <w:rsid w:val="428241A5"/>
    <w:rsid w:val="428611BC"/>
    <w:rsid w:val="428667D2"/>
    <w:rsid w:val="42880503"/>
    <w:rsid w:val="42986C86"/>
    <w:rsid w:val="42BB4B2C"/>
    <w:rsid w:val="42CD1CE0"/>
    <w:rsid w:val="42E1381E"/>
    <w:rsid w:val="42ED6459"/>
    <w:rsid w:val="42F913AD"/>
    <w:rsid w:val="42FE58DD"/>
    <w:rsid w:val="43170510"/>
    <w:rsid w:val="43174B3D"/>
    <w:rsid w:val="434B790E"/>
    <w:rsid w:val="4360274F"/>
    <w:rsid w:val="43977AB6"/>
    <w:rsid w:val="43A3342B"/>
    <w:rsid w:val="43AB7FD0"/>
    <w:rsid w:val="43C77C27"/>
    <w:rsid w:val="43C83170"/>
    <w:rsid w:val="43DE09EE"/>
    <w:rsid w:val="44002FAD"/>
    <w:rsid w:val="449101DD"/>
    <w:rsid w:val="44DE1391"/>
    <w:rsid w:val="44E34ECB"/>
    <w:rsid w:val="44F56185"/>
    <w:rsid w:val="451B225C"/>
    <w:rsid w:val="452410C9"/>
    <w:rsid w:val="45317DFB"/>
    <w:rsid w:val="456D3CE4"/>
    <w:rsid w:val="4579042C"/>
    <w:rsid w:val="457F0571"/>
    <w:rsid w:val="45851176"/>
    <w:rsid w:val="45B9767E"/>
    <w:rsid w:val="45C63B94"/>
    <w:rsid w:val="45F11042"/>
    <w:rsid w:val="460E7DA5"/>
    <w:rsid w:val="46422483"/>
    <w:rsid w:val="4659254A"/>
    <w:rsid w:val="465B0637"/>
    <w:rsid w:val="465E3F0D"/>
    <w:rsid w:val="46695FAC"/>
    <w:rsid w:val="466A16E6"/>
    <w:rsid w:val="46893F2B"/>
    <w:rsid w:val="46C4686E"/>
    <w:rsid w:val="47121270"/>
    <w:rsid w:val="477B778F"/>
    <w:rsid w:val="478203EC"/>
    <w:rsid w:val="47B025FA"/>
    <w:rsid w:val="4809698F"/>
    <w:rsid w:val="4811697D"/>
    <w:rsid w:val="487A3E25"/>
    <w:rsid w:val="488B5503"/>
    <w:rsid w:val="48937E21"/>
    <w:rsid w:val="489A0361"/>
    <w:rsid w:val="48B94FF3"/>
    <w:rsid w:val="48E37AAB"/>
    <w:rsid w:val="48E72288"/>
    <w:rsid w:val="48F5337B"/>
    <w:rsid w:val="48FD4B4C"/>
    <w:rsid w:val="490A68E0"/>
    <w:rsid w:val="491055FE"/>
    <w:rsid w:val="4918751A"/>
    <w:rsid w:val="492E6109"/>
    <w:rsid w:val="495F5B3E"/>
    <w:rsid w:val="496F77D7"/>
    <w:rsid w:val="497654FD"/>
    <w:rsid w:val="49B64211"/>
    <w:rsid w:val="49F6167F"/>
    <w:rsid w:val="4A064FA0"/>
    <w:rsid w:val="4A16118F"/>
    <w:rsid w:val="4A16615C"/>
    <w:rsid w:val="4A2B3938"/>
    <w:rsid w:val="4A4424D7"/>
    <w:rsid w:val="4AB82D0F"/>
    <w:rsid w:val="4AD4683C"/>
    <w:rsid w:val="4AEB7664"/>
    <w:rsid w:val="4AFD7C19"/>
    <w:rsid w:val="4B0567D1"/>
    <w:rsid w:val="4B1B18ED"/>
    <w:rsid w:val="4B1C7EBB"/>
    <w:rsid w:val="4B236AAE"/>
    <w:rsid w:val="4B2C0426"/>
    <w:rsid w:val="4B4668F4"/>
    <w:rsid w:val="4B576B84"/>
    <w:rsid w:val="4B707271"/>
    <w:rsid w:val="4B9739F7"/>
    <w:rsid w:val="4B9C1A50"/>
    <w:rsid w:val="4BEE2503"/>
    <w:rsid w:val="4C245A30"/>
    <w:rsid w:val="4C4C733F"/>
    <w:rsid w:val="4C863306"/>
    <w:rsid w:val="4C9A2AE8"/>
    <w:rsid w:val="4CB6685F"/>
    <w:rsid w:val="4CC367FE"/>
    <w:rsid w:val="4D077F3C"/>
    <w:rsid w:val="4D123355"/>
    <w:rsid w:val="4D260D93"/>
    <w:rsid w:val="4D2A3B31"/>
    <w:rsid w:val="4D312C52"/>
    <w:rsid w:val="4D3161C8"/>
    <w:rsid w:val="4D905305"/>
    <w:rsid w:val="4D964A72"/>
    <w:rsid w:val="4D9C1254"/>
    <w:rsid w:val="4E1E499E"/>
    <w:rsid w:val="4E202374"/>
    <w:rsid w:val="4E5B4098"/>
    <w:rsid w:val="4E661EA1"/>
    <w:rsid w:val="4E6D66C7"/>
    <w:rsid w:val="4E793892"/>
    <w:rsid w:val="4E7D2BC1"/>
    <w:rsid w:val="4E800872"/>
    <w:rsid w:val="4EC569ED"/>
    <w:rsid w:val="4ED50EA1"/>
    <w:rsid w:val="4EEC050C"/>
    <w:rsid w:val="4F104EC3"/>
    <w:rsid w:val="4F231B40"/>
    <w:rsid w:val="4F47354A"/>
    <w:rsid w:val="4F911C54"/>
    <w:rsid w:val="4FC7250D"/>
    <w:rsid w:val="4FE625E0"/>
    <w:rsid w:val="4FE70DC0"/>
    <w:rsid w:val="5021480F"/>
    <w:rsid w:val="503724AD"/>
    <w:rsid w:val="5060304C"/>
    <w:rsid w:val="50750E8F"/>
    <w:rsid w:val="50962ECB"/>
    <w:rsid w:val="50A12755"/>
    <w:rsid w:val="50A42E38"/>
    <w:rsid w:val="50A4577F"/>
    <w:rsid w:val="50AC3365"/>
    <w:rsid w:val="50B73D1F"/>
    <w:rsid w:val="50BC224C"/>
    <w:rsid w:val="50BD5BC9"/>
    <w:rsid w:val="50C11EEE"/>
    <w:rsid w:val="50E97CFC"/>
    <w:rsid w:val="50FA4028"/>
    <w:rsid w:val="510D65B7"/>
    <w:rsid w:val="511157AB"/>
    <w:rsid w:val="513A6339"/>
    <w:rsid w:val="5142540C"/>
    <w:rsid w:val="518832C8"/>
    <w:rsid w:val="51966964"/>
    <w:rsid w:val="51A0432A"/>
    <w:rsid w:val="51A86090"/>
    <w:rsid w:val="51B7396D"/>
    <w:rsid w:val="522E4CC3"/>
    <w:rsid w:val="5244713B"/>
    <w:rsid w:val="524B7D2C"/>
    <w:rsid w:val="52615633"/>
    <w:rsid w:val="52977FD4"/>
    <w:rsid w:val="52A20C63"/>
    <w:rsid w:val="52A25790"/>
    <w:rsid w:val="52A96B6F"/>
    <w:rsid w:val="52AA4A52"/>
    <w:rsid w:val="52B45975"/>
    <w:rsid w:val="52D94AA4"/>
    <w:rsid w:val="52EA3A62"/>
    <w:rsid w:val="52F50BB8"/>
    <w:rsid w:val="53097272"/>
    <w:rsid w:val="53544462"/>
    <w:rsid w:val="5397158E"/>
    <w:rsid w:val="53BA3890"/>
    <w:rsid w:val="54013861"/>
    <w:rsid w:val="54487265"/>
    <w:rsid w:val="544D6070"/>
    <w:rsid w:val="545033D7"/>
    <w:rsid w:val="54605E1E"/>
    <w:rsid w:val="54B020C8"/>
    <w:rsid w:val="54B3506A"/>
    <w:rsid w:val="54CA0D16"/>
    <w:rsid w:val="54DD4057"/>
    <w:rsid w:val="54E7490F"/>
    <w:rsid w:val="550764A4"/>
    <w:rsid w:val="550B2BF6"/>
    <w:rsid w:val="551B5793"/>
    <w:rsid w:val="55202DAA"/>
    <w:rsid w:val="55214EB5"/>
    <w:rsid w:val="55364EFD"/>
    <w:rsid w:val="555D4828"/>
    <w:rsid w:val="556E0802"/>
    <w:rsid w:val="557A4C8B"/>
    <w:rsid w:val="558931E1"/>
    <w:rsid w:val="55923347"/>
    <w:rsid w:val="55925180"/>
    <w:rsid w:val="55983B1B"/>
    <w:rsid w:val="55A8376B"/>
    <w:rsid w:val="55AA3C5E"/>
    <w:rsid w:val="55BE2D74"/>
    <w:rsid w:val="55D96717"/>
    <w:rsid w:val="55DC29B6"/>
    <w:rsid w:val="55DD4241"/>
    <w:rsid w:val="55E71B19"/>
    <w:rsid w:val="55F81F79"/>
    <w:rsid w:val="5646331D"/>
    <w:rsid w:val="566B6D1E"/>
    <w:rsid w:val="56BB7F28"/>
    <w:rsid w:val="57032A2C"/>
    <w:rsid w:val="570F4B25"/>
    <w:rsid w:val="570F5219"/>
    <w:rsid w:val="5739354E"/>
    <w:rsid w:val="57511940"/>
    <w:rsid w:val="575D12B5"/>
    <w:rsid w:val="57610A87"/>
    <w:rsid w:val="577B1140"/>
    <w:rsid w:val="577B7F21"/>
    <w:rsid w:val="577F181B"/>
    <w:rsid w:val="57921984"/>
    <w:rsid w:val="57923D07"/>
    <w:rsid w:val="579737F0"/>
    <w:rsid w:val="57AB7B30"/>
    <w:rsid w:val="57AF5251"/>
    <w:rsid w:val="57B26373"/>
    <w:rsid w:val="57B63F04"/>
    <w:rsid w:val="57CD20C2"/>
    <w:rsid w:val="57CF372B"/>
    <w:rsid w:val="57D675AB"/>
    <w:rsid w:val="57D95FDD"/>
    <w:rsid w:val="58917D2F"/>
    <w:rsid w:val="5894085C"/>
    <w:rsid w:val="58AE4F0C"/>
    <w:rsid w:val="58B253F0"/>
    <w:rsid w:val="58B63BA2"/>
    <w:rsid w:val="58B85899"/>
    <w:rsid w:val="58E363A9"/>
    <w:rsid w:val="59282B75"/>
    <w:rsid w:val="593F3A1A"/>
    <w:rsid w:val="595079D6"/>
    <w:rsid w:val="595E1678"/>
    <w:rsid w:val="59644A7F"/>
    <w:rsid w:val="596D5BD4"/>
    <w:rsid w:val="597E3DD8"/>
    <w:rsid w:val="597F36B6"/>
    <w:rsid w:val="599206EC"/>
    <w:rsid w:val="599F73C0"/>
    <w:rsid w:val="59DF024A"/>
    <w:rsid w:val="59EE603A"/>
    <w:rsid w:val="59F80043"/>
    <w:rsid w:val="5A09252F"/>
    <w:rsid w:val="5A0B2778"/>
    <w:rsid w:val="5A101373"/>
    <w:rsid w:val="5A20384C"/>
    <w:rsid w:val="5A2A7C7B"/>
    <w:rsid w:val="5A3E2560"/>
    <w:rsid w:val="5A5D3B6E"/>
    <w:rsid w:val="5A637A76"/>
    <w:rsid w:val="5A6D33BA"/>
    <w:rsid w:val="5A792B1F"/>
    <w:rsid w:val="5A874767"/>
    <w:rsid w:val="5AAD6F28"/>
    <w:rsid w:val="5AD50114"/>
    <w:rsid w:val="5AD63A24"/>
    <w:rsid w:val="5AFB544B"/>
    <w:rsid w:val="5B2E1A1D"/>
    <w:rsid w:val="5B843A1C"/>
    <w:rsid w:val="5B863B83"/>
    <w:rsid w:val="5B873E3F"/>
    <w:rsid w:val="5BC235A5"/>
    <w:rsid w:val="5BFD1995"/>
    <w:rsid w:val="5C02690E"/>
    <w:rsid w:val="5C196DA7"/>
    <w:rsid w:val="5C2A048C"/>
    <w:rsid w:val="5C80234E"/>
    <w:rsid w:val="5C8A680C"/>
    <w:rsid w:val="5CA75CC0"/>
    <w:rsid w:val="5CC72CB8"/>
    <w:rsid w:val="5CCD41E5"/>
    <w:rsid w:val="5D0C4701"/>
    <w:rsid w:val="5D0F0395"/>
    <w:rsid w:val="5D221076"/>
    <w:rsid w:val="5D397964"/>
    <w:rsid w:val="5D5740D7"/>
    <w:rsid w:val="5D5A391C"/>
    <w:rsid w:val="5D5F10C0"/>
    <w:rsid w:val="5D891B7B"/>
    <w:rsid w:val="5DAD38EE"/>
    <w:rsid w:val="5DF94AE0"/>
    <w:rsid w:val="5E006862"/>
    <w:rsid w:val="5E0207B9"/>
    <w:rsid w:val="5E1834A1"/>
    <w:rsid w:val="5E243202"/>
    <w:rsid w:val="5E261785"/>
    <w:rsid w:val="5E4A7017"/>
    <w:rsid w:val="5E552BBA"/>
    <w:rsid w:val="5E611C10"/>
    <w:rsid w:val="5EA41754"/>
    <w:rsid w:val="5ECB1EC7"/>
    <w:rsid w:val="5EFC7377"/>
    <w:rsid w:val="5F06174D"/>
    <w:rsid w:val="5F3A3602"/>
    <w:rsid w:val="5F6277C6"/>
    <w:rsid w:val="5F6D0B1D"/>
    <w:rsid w:val="5F8D0B82"/>
    <w:rsid w:val="5FCC5339"/>
    <w:rsid w:val="5FE34A5B"/>
    <w:rsid w:val="5FED3A9D"/>
    <w:rsid w:val="5FF2089A"/>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F7F92"/>
    <w:rsid w:val="61F94C26"/>
    <w:rsid w:val="62000E56"/>
    <w:rsid w:val="620152D8"/>
    <w:rsid w:val="623B1697"/>
    <w:rsid w:val="624F3E49"/>
    <w:rsid w:val="62632286"/>
    <w:rsid w:val="626D1BCA"/>
    <w:rsid w:val="627829E6"/>
    <w:rsid w:val="628250A4"/>
    <w:rsid w:val="62885958"/>
    <w:rsid w:val="62F40B65"/>
    <w:rsid w:val="62FC2CFE"/>
    <w:rsid w:val="63024505"/>
    <w:rsid w:val="630F7A96"/>
    <w:rsid w:val="631A4E87"/>
    <w:rsid w:val="63501431"/>
    <w:rsid w:val="635B1DB5"/>
    <w:rsid w:val="63711FED"/>
    <w:rsid w:val="63880DDC"/>
    <w:rsid w:val="638D750D"/>
    <w:rsid w:val="63A51893"/>
    <w:rsid w:val="63AC6CC0"/>
    <w:rsid w:val="64055776"/>
    <w:rsid w:val="64076C57"/>
    <w:rsid w:val="64240056"/>
    <w:rsid w:val="642A68A2"/>
    <w:rsid w:val="642E4DE1"/>
    <w:rsid w:val="643E143A"/>
    <w:rsid w:val="64475114"/>
    <w:rsid w:val="648B6EEF"/>
    <w:rsid w:val="64C158BF"/>
    <w:rsid w:val="64CE2EAA"/>
    <w:rsid w:val="64F24911"/>
    <w:rsid w:val="653B6707"/>
    <w:rsid w:val="653C3090"/>
    <w:rsid w:val="65854376"/>
    <w:rsid w:val="658767BE"/>
    <w:rsid w:val="65892531"/>
    <w:rsid w:val="65C56262"/>
    <w:rsid w:val="66014531"/>
    <w:rsid w:val="66195831"/>
    <w:rsid w:val="662E75B1"/>
    <w:rsid w:val="66342C2E"/>
    <w:rsid w:val="663E784C"/>
    <w:rsid w:val="668B6A45"/>
    <w:rsid w:val="66C37A39"/>
    <w:rsid w:val="66D734E4"/>
    <w:rsid w:val="66DB4D83"/>
    <w:rsid w:val="66ED146C"/>
    <w:rsid w:val="670354A0"/>
    <w:rsid w:val="672229B1"/>
    <w:rsid w:val="672F3F24"/>
    <w:rsid w:val="673E055F"/>
    <w:rsid w:val="67551CE3"/>
    <w:rsid w:val="67613BD7"/>
    <w:rsid w:val="67A22552"/>
    <w:rsid w:val="67B22DCC"/>
    <w:rsid w:val="67BE71AA"/>
    <w:rsid w:val="67D90273"/>
    <w:rsid w:val="67DE5875"/>
    <w:rsid w:val="67E55852"/>
    <w:rsid w:val="67EB1AB4"/>
    <w:rsid w:val="67FA1285"/>
    <w:rsid w:val="68345480"/>
    <w:rsid w:val="68551F4F"/>
    <w:rsid w:val="687C10C9"/>
    <w:rsid w:val="68840C16"/>
    <w:rsid w:val="68876EFB"/>
    <w:rsid w:val="68884654"/>
    <w:rsid w:val="689F444F"/>
    <w:rsid w:val="68B96DBB"/>
    <w:rsid w:val="68C76B21"/>
    <w:rsid w:val="68CA2805"/>
    <w:rsid w:val="68E937A3"/>
    <w:rsid w:val="6929752C"/>
    <w:rsid w:val="693E15D3"/>
    <w:rsid w:val="694640D8"/>
    <w:rsid w:val="69627681"/>
    <w:rsid w:val="69710F03"/>
    <w:rsid w:val="6977531D"/>
    <w:rsid w:val="69A04061"/>
    <w:rsid w:val="69A31AC2"/>
    <w:rsid w:val="69CC2BFF"/>
    <w:rsid w:val="69FD55B8"/>
    <w:rsid w:val="6A0905B5"/>
    <w:rsid w:val="6A0B1C62"/>
    <w:rsid w:val="6A2406C8"/>
    <w:rsid w:val="6A437819"/>
    <w:rsid w:val="6A4A6F79"/>
    <w:rsid w:val="6A6D20FD"/>
    <w:rsid w:val="6A7B4289"/>
    <w:rsid w:val="6ADE0BD1"/>
    <w:rsid w:val="6AE96859"/>
    <w:rsid w:val="6B147746"/>
    <w:rsid w:val="6B24787C"/>
    <w:rsid w:val="6B386B35"/>
    <w:rsid w:val="6B573233"/>
    <w:rsid w:val="6B5B6274"/>
    <w:rsid w:val="6B7E3DC3"/>
    <w:rsid w:val="6B935D53"/>
    <w:rsid w:val="6BFF7765"/>
    <w:rsid w:val="6C053E3A"/>
    <w:rsid w:val="6C196F71"/>
    <w:rsid w:val="6C226FCB"/>
    <w:rsid w:val="6C31226F"/>
    <w:rsid w:val="6C552F0B"/>
    <w:rsid w:val="6C8C67B7"/>
    <w:rsid w:val="6C9D744C"/>
    <w:rsid w:val="6D056FFD"/>
    <w:rsid w:val="6D167928"/>
    <w:rsid w:val="6D26299B"/>
    <w:rsid w:val="6D4772EC"/>
    <w:rsid w:val="6D9078AF"/>
    <w:rsid w:val="6DA404D3"/>
    <w:rsid w:val="6DAA3FEF"/>
    <w:rsid w:val="6DC0172B"/>
    <w:rsid w:val="6DCB690C"/>
    <w:rsid w:val="6DD41A5B"/>
    <w:rsid w:val="6DF43C2E"/>
    <w:rsid w:val="6DF51CA3"/>
    <w:rsid w:val="6E8335BD"/>
    <w:rsid w:val="6E891568"/>
    <w:rsid w:val="6E8E12EF"/>
    <w:rsid w:val="6E972936"/>
    <w:rsid w:val="6EA75C1A"/>
    <w:rsid w:val="6EC65CD1"/>
    <w:rsid w:val="6ED446C5"/>
    <w:rsid w:val="6F2A7D94"/>
    <w:rsid w:val="6F354CD2"/>
    <w:rsid w:val="6F392F8E"/>
    <w:rsid w:val="6F8331F1"/>
    <w:rsid w:val="6F9F2D28"/>
    <w:rsid w:val="6FA0300D"/>
    <w:rsid w:val="6FA75CB0"/>
    <w:rsid w:val="6FAE1A09"/>
    <w:rsid w:val="6FB915D7"/>
    <w:rsid w:val="6FD75BF8"/>
    <w:rsid w:val="6FE340ED"/>
    <w:rsid w:val="705A6F50"/>
    <w:rsid w:val="707723D0"/>
    <w:rsid w:val="70F5661B"/>
    <w:rsid w:val="71180B16"/>
    <w:rsid w:val="712140EE"/>
    <w:rsid w:val="71260E18"/>
    <w:rsid w:val="71360107"/>
    <w:rsid w:val="713B688E"/>
    <w:rsid w:val="71D43752"/>
    <w:rsid w:val="71F1796A"/>
    <w:rsid w:val="72014099"/>
    <w:rsid w:val="72154626"/>
    <w:rsid w:val="72262B5D"/>
    <w:rsid w:val="72283FF7"/>
    <w:rsid w:val="722E7212"/>
    <w:rsid w:val="723A0474"/>
    <w:rsid w:val="725923E4"/>
    <w:rsid w:val="72696851"/>
    <w:rsid w:val="72864BF7"/>
    <w:rsid w:val="729023FC"/>
    <w:rsid w:val="72A116D3"/>
    <w:rsid w:val="72C9287B"/>
    <w:rsid w:val="73336088"/>
    <w:rsid w:val="73C0646E"/>
    <w:rsid w:val="74037328"/>
    <w:rsid w:val="742222F5"/>
    <w:rsid w:val="74476126"/>
    <w:rsid w:val="74706664"/>
    <w:rsid w:val="747F3682"/>
    <w:rsid w:val="749C4185"/>
    <w:rsid w:val="75067759"/>
    <w:rsid w:val="75120509"/>
    <w:rsid w:val="752E6DCD"/>
    <w:rsid w:val="7551380D"/>
    <w:rsid w:val="75600BE5"/>
    <w:rsid w:val="7564475C"/>
    <w:rsid w:val="7583797F"/>
    <w:rsid w:val="75D20F1D"/>
    <w:rsid w:val="75DA2C18"/>
    <w:rsid w:val="75F54412"/>
    <w:rsid w:val="761D08E0"/>
    <w:rsid w:val="76283D5C"/>
    <w:rsid w:val="765D347C"/>
    <w:rsid w:val="76826699"/>
    <w:rsid w:val="76942C63"/>
    <w:rsid w:val="76C375E1"/>
    <w:rsid w:val="76C87133"/>
    <w:rsid w:val="76CD08D5"/>
    <w:rsid w:val="76DB4B92"/>
    <w:rsid w:val="7701216C"/>
    <w:rsid w:val="77052AA4"/>
    <w:rsid w:val="77136511"/>
    <w:rsid w:val="77200E1D"/>
    <w:rsid w:val="772063B7"/>
    <w:rsid w:val="77340A39"/>
    <w:rsid w:val="77351FD0"/>
    <w:rsid w:val="77472422"/>
    <w:rsid w:val="774A3380"/>
    <w:rsid w:val="77576FFD"/>
    <w:rsid w:val="777F31F2"/>
    <w:rsid w:val="77A411C1"/>
    <w:rsid w:val="77D1700D"/>
    <w:rsid w:val="77EC04CC"/>
    <w:rsid w:val="780879A1"/>
    <w:rsid w:val="78225227"/>
    <w:rsid w:val="78775729"/>
    <w:rsid w:val="78A42DB0"/>
    <w:rsid w:val="78A656AB"/>
    <w:rsid w:val="78B2245C"/>
    <w:rsid w:val="78E172CC"/>
    <w:rsid w:val="78EA1D1F"/>
    <w:rsid w:val="78EB5563"/>
    <w:rsid w:val="7904172F"/>
    <w:rsid w:val="790F7E27"/>
    <w:rsid w:val="792A231A"/>
    <w:rsid w:val="79316829"/>
    <w:rsid w:val="797E66A9"/>
    <w:rsid w:val="79960FDD"/>
    <w:rsid w:val="79A97383"/>
    <w:rsid w:val="79E27E8B"/>
    <w:rsid w:val="79F850CE"/>
    <w:rsid w:val="79FD443C"/>
    <w:rsid w:val="7A1D1975"/>
    <w:rsid w:val="7A3E5150"/>
    <w:rsid w:val="7A406F4E"/>
    <w:rsid w:val="7A45663C"/>
    <w:rsid w:val="7A4670D6"/>
    <w:rsid w:val="7A534B63"/>
    <w:rsid w:val="7A615382"/>
    <w:rsid w:val="7A67303B"/>
    <w:rsid w:val="7A76240F"/>
    <w:rsid w:val="7A9E0F53"/>
    <w:rsid w:val="7AAB1D04"/>
    <w:rsid w:val="7ABA4368"/>
    <w:rsid w:val="7AD05746"/>
    <w:rsid w:val="7B257FFD"/>
    <w:rsid w:val="7B2F3404"/>
    <w:rsid w:val="7B343476"/>
    <w:rsid w:val="7B4A207F"/>
    <w:rsid w:val="7B5A2978"/>
    <w:rsid w:val="7B5A7E4C"/>
    <w:rsid w:val="7B667AF9"/>
    <w:rsid w:val="7B7468F8"/>
    <w:rsid w:val="7B777538"/>
    <w:rsid w:val="7BAD6ADF"/>
    <w:rsid w:val="7BEE0103"/>
    <w:rsid w:val="7BF67219"/>
    <w:rsid w:val="7BFB2B06"/>
    <w:rsid w:val="7C0A0FE4"/>
    <w:rsid w:val="7C1045B2"/>
    <w:rsid w:val="7C254906"/>
    <w:rsid w:val="7C590818"/>
    <w:rsid w:val="7C7C10F6"/>
    <w:rsid w:val="7C853BEA"/>
    <w:rsid w:val="7C881368"/>
    <w:rsid w:val="7CA624A5"/>
    <w:rsid w:val="7CAD556F"/>
    <w:rsid w:val="7CCF6CE0"/>
    <w:rsid w:val="7CE0713F"/>
    <w:rsid w:val="7CE27788"/>
    <w:rsid w:val="7D0C32F1"/>
    <w:rsid w:val="7D0F408D"/>
    <w:rsid w:val="7D1D18EE"/>
    <w:rsid w:val="7D491C6C"/>
    <w:rsid w:val="7D5429C0"/>
    <w:rsid w:val="7D6147B9"/>
    <w:rsid w:val="7D6E6D43"/>
    <w:rsid w:val="7D7F2866"/>
    <w:rsid w:val="7DA57A41"/>
    <w:rsid w:val="7DB57A34"/>
    <w:rsid w:val="7DE60973"/>
    <w:rsid w:val="7DEF0916"/>
    <w:rsid w:val="7E1E5218"/>
    <w:rsid w:val="7E492363"/>
    <w:rsid w:val="7E8B6C36"/>
    <w:rsid w:val="7E9A4E1F"/>
    <w:rsid w:val="7EA7723A"/>
    <w:rsid w:val="7EF56FBB"/>
    <w:rsid w:val="7F004651"/>
    <w:rsid w:val="7F0768EB"/>
    <w:rsid w:val="7F143BEC"/>
    <w:rsid w:val="7F715AF2"/>
    <w:rsid w:val="7F886E69"/>
    <w:rsid w:val="7FA119FC"/>
    <w:rsid w:val="7FEE6F0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2"/>
    <w:qFormat/>
    <w:uiPriority w:val="0"/>
    <w:rPr>
      <w:b/>
      <w:bCs/>
    </w:rPr>
  </w:style>
  <w:style w:type="paragraph" w:styleId="63">
    <w:name w:val="Body Text First Indent 2"/>
    <w:basedOn w:val="26"/>
    <w:next w:val="1"/>
    <w:link w:val="65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26"/>
    <w:qFormat/>
    <w:uiPriority w:val="99"/>
    <w:pPr>
      <w:spacing w:line="200" w:lineRule="atLeast"/>
      <w:ind w:firstLine="420"/>
    </w:pPr>
    <w:rPr>
      <w:rFonts w:ascii="宋体"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71">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45743</Words>
  <Characters>48670</Characters>
  <Lines>287</Lines>
  <Paragraphs>81</Paragraphs>
  <TotalTime>4</TotalTime>
  <ScaleCrop>false</ScaleCrop>
  <LinksUpToDate>false</LinksUpToDate>
  <CharactersWithSpaces>54913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2022-11-14T03:02:22Z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6D39573A3F074C61860993CEF4419578</vt:lpwstr>
  </property>
  <property fmtid="{D5CDD505-2E9C-101B-9397-08002B2CF9AE}" pid="5" name="commondata">
    <vt:lpwstr>eyJoZGlkIjoiMmE3NTc1MTljMDA0ZWI0ZjljNTEwZjI5MzUwYjAxOTgifQ==</vt:lpwstr>
  </property>
</Properties>
</file>