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hd w:val="clear" w:color="auto" w:fill="FFFFFF"/>
        <w:tabs>
          <w:tab w:val="left" w:pos="4500"/>
        </w:tabs>
        <w:snapToGrid w:val="0"/>
        <w:spacing w:line="360" w:lineRule="auto"/>
        <w:jc w:val="center"/>
        <w:textAlignment w:val="bottom"/>
        <w:rPr>
          <w:rFonts w:hint="eastAsia" w:ascii="仿宋" w:hAnsi="仿宋" w:eastAsia="仿宋" w:cs="仿宋"/>
          <w:b/>
          <w:bCs/>
          <w:color w:val="000000"/>
          <w:spacing w:val="6"/>
          <w:sz w:val="48"/>
          <w:szCs w:val="48"/>
          <w:lang w:eastAsia="zh-CN"/>
        </w:rPr>
      </w:pPr>
      <w:r>
        <w:rPr>
          <w:rFonts w:hint="eastAsia" w:ascii="仿宋" w:hAnsi="仿宋" w:eastAsia="仿宋" w:cs="仿宋"/>
          <w:b/>
          <w:bCs/>
          <w:color w:val="000000"/>
          <w:spacing w:val="6"/>
          <w:sz w:val="48"/>
          <w:szCs w:val="48"/>
          <w:lang w:eastAsia="zh-CN"/>
        </w:rPr>
        <w:t>余杭街道2023年城市综合管理项目服务外包项目</w:t>
      </w: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default" w:ascii="仿宋" w:hAnsi="仿宋" w:eastAsia="仿宋" w:cs="仿宋_GB2312"/>
          <w:sz w:val="30"/>
          <w:szCs w:val="30"/>
          <w:lang w:val="en-US"/>
        </w:rPr>
      </w:pPr>
      <w:r>
        <w:rPr>
          <w:rFonts w:hint="eastAsia" w:ascii="仿宋" w:hAnsi="仿宋" w:eastAsia="仿宋" w:cs="仿宋_GB2312"/>
          <w:sz w:val="30"/>
          <w:szCs w:val="30"/>
        </w:rPr>
        <w:t>编号:</w:t>
      </w:r>
      <w:r>
        <w:rPr>
          <w:rFonts w:hint="eastAsia" w:ascii="仿宋" w:hAnsi="仿宋" w:eastAsia="仿宋" w:cs="仿宋_GB2312"/>
          <w:color w:val="auto"/>
          <w:sz w:val="32"/>
          <w:szCs w:val="32"/>
          <w:lang w:val="en-US" w:eastAsia="zh-CN"/>
        </w:rPr>
        <w:t>ZJDL-2022-045</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：杭州市余杭区人民政府余杭街道办事处</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浙江中际工程项目管理有限公司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十一</w:t>
      </w:r>
      <w:r>
        <w:rPr>
          <w:rFonts w:hint="eastAsia" w:ascii="仿宋_GB2312" w:hAnsi="仿宋_GB2312" w:eastAsia="仿宋_GB2312" w:cs="仿宋_GB2312"/>
          <w:b w:val="0"/>
          <w:bCs w:val="0"/>
          <w:color w:val="auto"/>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Style w:val="62"/>
        <w:keepNext w:val="0"/>
        <w:keepLines w:val="0"/>
        <w:widowControl/>
        <w:suppressLineNumbers w:val="0"/>
        <w:spacing w:before="75" w:beforeAutospacing="0" w:after="75" w:afterAutospacing="0"/>
        <w:ind w:left="0" w:right="0"/>
      </w:pPr>
      <w:r>
        <w:rPr>
          <w:rFonts w:ascii="仿宋" w:hAnsi="仿宋" w:eastAsia="仿宋" w:cs="仿宋"/>
          <w:i w:val="0"/>
          <w:iCs w:val="0"/>
          <w:caps w:val="0"/>
          <w:color w:val="000000"/>
          <w:spacing w:val="0"/>
          <w:sz w:val="27"/>
          <w:szCs w:val="27"/>
        </w:rPr>
        <w:t xml:space="preserve">  </w:t>
      </w:r>
      <w:r>
        <w:rPr>
          <w:rFonts w:ascii="仿宋" w:hAnsi="仿宋" w:eastAsia="仿宋" w:cs="仿宋"/>
          <w:sz w:val="27"/>
          <w:szCs w:val="27"/>
        </w:rPr>
        <w:t> </w:t>
      </w:r>
      <w:r>
        <w:rPr>
          <w:rFonts w:hint="eastAsia" w:ascii="仿宋" w:hAnsi="仿宋" w:eastAsia="仿宋" w:cs="仿宋"/>
          <w:sz w:val="27"/>
          <w:szCs w:val="27"/>
        </w:rPr>
        <w:t>  项目概况</w:t>
      </w:r>
      <w:r>
        <w:rPr>
          <w:rFonts w:hint="eastAsia" w:ascii="仿宋" w:hAnsi="仿宋" w:eastAsia="仿宋" w:cs="仿宋"/>
        </w:rPr>
        <w:t>                                                    </w:t>
      </w:r>
    </w:p>
    <w:p>
      <w:pPr>
        <w:pStyle w:val="62"/>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余杭街道2023年城市综合管理项目服务外包项目招标项目的潜在投标人应在</w:t>
      </w:r>
      <w:r>
        <w:rPr>
          <w:rFonts w:hint="eastAsia" w:ascii="仿宋" w:hAnsi="仿宋" w:eastAsia="仿宋" w:cs="仿宋"/>
          <w:sz w:val="27"/>
          <w:szCs w:val="27"/>
          <w:u w:val="none"/>
        </w:rPr>
        <w:t>政采云平台（http://zfcg.czt.zj.gov.cn）</w:t>
      </w:r>
      <w:r>
        <w:rPr>
          <w:rFonts w:hint="eastAsia" w:ascii="仿宋" w:hAnsi="仿宋" w:eastAsia="仿宋" w:cs="仿宋"/>
          <w:sz w:val="27"/>
          <w:szCs w:val="27"/>
        </w:rPr>
        <w:t>获取（下载）招标文件，并于 2022年12月16日 13:30（北京时间）前递交（上传）投标文件。</w:t>
      </w:r>
      <w:r>
        <w:rPr>
          <w:rFonts w:hint="eastAsia" w:ascii="仿宋" w:hAnsi="仿宋" w:eastAsia="仿宋" w:cs="仿宋"/>
        </w:rPr>
        <w:t>                             </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5"/>
          <w:rFonts w:ascii="黑体" w:hAnsi="宋体" w:eastAsia="黑体" w:cs="黑体"/>
          <w:sz w:val="27"/>
          <w:szCs w:val="27"/>
        </w:rPr>
        <w:t>一、项目基本情况</w:t>
      </w:r>
      <w:r>
        <w:rPr>
          <w:rFonts w:ascii="黑体" w:hAnsi="宋体" w:eastAsia="黑体" w:cs="黑体"/>
          <w:sz w:val="27"/>
          <w:szCs w:val="27"/>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项目编号：ZJDL-2022-045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项目名称：余杭街道2023年城市综合管理项目服务外包项目</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预算金额（元）：10477615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最高限价（元）：10477615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62"/>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标项名称: 余杭街道2023年城市综合管理项目服务外包项目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10477615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简要规格描述或项目基本概况介绍、用途：详见采购需求 </w:t>
      </w:r>
      <w:r>
        <w:rPr>
          <w:rFonts w:hint="eastAsia" w:ascii="仿宋" w:hAnsi="仿宋" w:eastAsia="仿宋" w:cs="仿宋"/>
          <w:sz w:val="27"/>
          <w:szCs w:val="27"/>
        </w:rPr>
        <w:br w:type="textWrapping"/>
      </w:r>
      <w:r>
        <w:rPr>
          <w:rFonts w:hint="eastAsia" w:ascii="仿宋" w:hAnsi="仿宋" w:eastAsia="仿宋" w:cs="仿宋"/>
          <w:sz w:val="27"/>
          <w:szCs w:val="27"/>
        </w:rPr>
        <w:t>    备注：无</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1，一年</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62"/>
        <w:keepNext w:val="0"/>
        <w:keepLines w:val="0"/>
        <w:widowControl/>
        <w:suppressLineNumbers w:val="0"/>
        <w:spacing w:before="225" w:beforeAutospacing="0" w:after="225" w:afterAutospacing="0" w:line="300" w:lineRule="atLeast"/>
        <w:ind w:left="0" w:right="0"/>
      </w:pPr>
      <w:r>
        <w:rPr>
          <w:rStyle w:val="75"/>
          <w:rFonts w:ascii="黑体" w:hAnsi="宋体" w:eastAsia="黑体" w:cs="黑体"/>
          <w:sz w:val="27"/>
          <w:szCs w:val="27"/>
        </w:rPr>
        <w:t>二、申请人的资格要求：</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2.落实政府采购政策需满足的资格要求：标项1：供应商为中小企业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5"/>
          <w:rFonts w:ascii="黑体" w:hAnsi="宋体" w:eastAsia="黑体" w:cs="黑体"/>
          <w:sz w:val="27"/>
          <w:szCs w:val="27"/>
        </w:rPr>
        <w:t>三、获取招标文件</w:t>
      </w:r>
      <w:r>
        <w:rPr>
          <w:rFonts w:ascii="黑体" w:hAnsi="宋体" w:eastAsia="黑体" w:cs="黑体"/>
          <w:sz w:val="27"/>
          <w:szCs w:val="27"/>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时间：/至2022年12月16日 ，每天上午00:00至12:00 ，下午12:00至23:59（北京时间，线上获取法定节假日均可，线下获取文件法定节假日除外）</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地点（网址）：政采云平台（http://zfcg.czt.zj.gov.cn）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5"/>
          <w:rFonts w:ascii="黑体" w:hAnsi="宋体" w:eastAsia="黑体" w:cs="黑体"/>
          <w:sz w:val="27"/>
          <w:szCs w:val="27"/>
        </w:rPr>
        <w:t>四、提交投标文件截止时间、开标时间和地点</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提交投标文件截止时间：2022年12月16日 13:30（北京时间）</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投标地点（网址）：通过“政府采购云平台（www.zcygov.cn）”实行在线投标响应（电子投标）；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开标时间：2022年12月16日 13:30</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开标地点（网址）：政采云平台（http://zfcg.czt.zj.gov.cn）</w:t>
      </w:r>
      <w:r>
        <w:rPr>
          <w:rFonts w:hint="eastAsia" w:ascii="仿宋" w:hAnsi="仿宋" w:eastAsia="仿宋" w:cs="仿宋"/>
        </w:rPr>
        <w:t>  </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5"/>
          <w:rFonts w:ascii="黑体" w:hAnsi="宋体" w:eastAsia="黑体" w:cs="黑体"/>
          <w:sz w:val="27"/>
          <w:szCs w:val="27"/>
        </w:rPr>
        <w:t>五、采购意向公开链接</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4"/>
          <w:rFonts w:hint="eastAsia" w:ascii="仿宋" w:hAnsi="仿宋" w:eastAsia="仿宋" w:cs="仿宋"/>
          <w:sz w:val="27"/>
          <w:szCs w:val="27"/>
        </w:rPr>
        <w:t>https://zfcg.czt.zj.gov.cn/innerUsed_noticeDetails/index.html?noticeId=9035613&amp;utm=web-government-front.49399a16.0.0.d9edf6706ad611ed986ddb345f3385b2</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5"/>
          <w:rFonts w:ascii="黑体" w:hAnsi="宋体" w:eastAsia="黑体" w:cs="黑体"/>
          <w:sz w:val="27"/>
          <w:szCs w:val="27"/>
        </w:rPr>
        <w:t>六、公告期限</w:t>
      </w:r>
      <w:r>
        <w:rPr>
          <w:rFonts w:ascii="黑体" w:hAnsi="宋体" w:eastAsia="黑体" w:cs="黑体"/>
          <w:sz w:val="31"/>
          <w:szCs w:val="31"/>
        </w:rPr>
        <w:t> </w:t>
      </w:r>
    </w:p>
    <w:p>
      <w:pPr>
        <w:pStyle w:val="62"/>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6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5"/>
          <w:rFonts w:ascii="黑体" w:hAnsi="宋体" w:eastAsia="黑体" w:cs="黑体"/>
          <w:sz w:val="27"/>
          <w:szCs w:val="27"/>
        </w:rPr>
        <w:t>七、其他补充事宜</w:t>
      </w:r>
    </w:p>
    <w:p>
      <w:pPr>
        <w:pStyle w:val="62"/>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62"/>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2"/>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62"/>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5"/>
          <w:rFonts w:ascii="黑体" w:hAnsi="宋体" w:eastAsia="黑体" w:cs="黑体"/>
          <w:sz w:val="27"/>
          <w:szCs w:val="27"/>
        </w:rPr>
        <w:t>八、对本次采购提出询问、质疑、投诉，请按以下方式联系</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称：杭州市余杭区人民政府余杭街道办事处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址：余杭街道城南路9号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项目联系人（询问）：盛国春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项目联系方式（询问）：0571-89051488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质疑联系人：白旭刚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质疑联系方式：0571-88662542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址：临平区南苑街道嘉信国际6楼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项目联系人（询问）：莫工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项目联系方式（询问）：13606817607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址：杭州市余杭区文一西路1500号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 0571-88728858 </w:t>
      </w:r>
      <w:r>
        <w:rPr>
          <w:rFonts w:hint="eastAsia" w:ascii="仿宋" w:hAnsi="仿宋" w:eastAsia="仿宋" w:cs="仿宋"/>
        </w:rPr>
        <w:t>            </w:t>
      </w:r>
    </w:p>
    <w:p>
      <w:pPr>
        <w:pStyle w:val="62"/>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监督投诉电话：杜国强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62"/>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62"/>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62"/>
        <w:keepNext w:val="0"/>
        <w:keepLines w:val="0"/>
        <w:widowControl/>
        <w:suppressLineNumbers w:val="0"/>
        <w:spacing w:before="75" w:beforeAutospacing="0" w:after="75" w:afterAutospacing="0"/>
        <w:ind w:left="0" w:right="0"/>
      </w:pPr>
    </w:p>
    <w:p>
      <w:pPr>
        <w:pStyle w:val="62"/>
        <w:keepNext w:val="0"/>
        <w:keepLines w:val="0"/>
        <w:widowControl/>
        <w:suppressLineNumbers w:val="0"/>
        <w:spacing w:before="75" w:beforeAutospacing="0" w:after="75" w:afterAutospacing="0"/>
        <w:ind w:left="0" w:right="0"/>
      </w:pPr>
    </w:p>
    <w:p>
      <w:pPr>
        <w:adjustRightInd/>
        <w:spacing w:line="360" w:lineRule="auto"/>
        <w:jc w:val="center"/>
        <w:outlineLvl w:val="0"/>
        <w:rPr>
          <w:rFonts w:ascii="仿宋" w:hAnsi="仿宋" w:eastAsia="仿宋" w:cs="仿宋_GB2312"/>
          <w:b/>
          <w:sz w:val="36"/>
          <w:szCs w:val="20"/>
        </w:rPr>
      </w:pPr>
      <w:bookmarkStart w:id="402" w:name="_GoBack"/>
      <w:bookmarkEnd w:id="402"/>
      <w:r>
        <w:rPr>
          <w:rFonts w:ascii="仿宋" w:hAnsi="仿宋" w:eastAsia="仿宋" w:cs="仿宋_GB2312"/>
          <w:b/>
          <w:sz w:val="36"/>
          <w:szCs w:val="20"/>
        </w:rPr>
        <w:br w:type="page"/>
      </w:r>
      <w:bookmarkEnd w:id="8"/>
      <w:bookmarkEnd w:id="9"/>
      <w:r>
        <w:rPr>
          <w:rFonts w:hint="eastAsia" w:ascii="仿宋" w:hAnsi="仿宋" w:eastAsia="仿宋" w:cs="仿宋_GB2312"/>
          <w:b/>
          <w:sz w:val="36"/>
          <w:szCs w:val="20"/>
        </w:rPr>
        <w:t>第二部分</w:t>
      </w:r>
      <w:r>
        <w:rPr>
          <w:rFonts w:ascii="仿宋" w:hAnsi="仿宋" w:eastAsia="仿宋" w:cs="仿宋_GB2312"/>
          <w:b/>
          <w:sz w:val="36"/>
          <w:szCs w:val="20"/>
        </w:rPr>
        <w:t xml:space="preserve"> 投标人须知</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7"/>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9"/>
              <w:rPr>
                <w:lang w:val="en-US"/>
              </w:rPr>
            </w:pPr>
            <w:r>
              <w:rPr>
                <w:rFonts w:hint="eastAsia" w:ascii="仿宋_GB2312" w:hAnsi="仿宋" w:eastAsia="仿宋_GB2312" w:cs="Arial"/>
                <w:b w:val="0"/>
                <w:bCs w:val="0"/>
                <w:kern w:val="0"/>
                <w:sz w:val="24"/>
              </w:rPr>
              <w:t>（</w:t>
            </w:r>
            <w:r>
              <w:rPr>
                <w:rFonts w:ascii="仿宋_GB2312" w:hAnsi="仿宋" w:eastAsia="仿宋_GB2312" w:cs="Arial"/>
                <w:b w:val="0"/>
                <w:bCs w:val="0"/>
                <w:kern w:val="0"/>
                <w:sz w:val="24"/>
              </w:rPr>
              <w:t>1</w:t>
            </w:r>
            <w:r>
              <w:rPr>
                <w:rFonts w:hint="eastAsia" w:ascii="仿宋_GB2312" w:hAnsi="仿宋" w:eastAsia="仿宋_GB2312" w:cs="Arial"/>
                <w:b w:val="0"/>
                <w:bCs w:val="0"/>
                <w:kern w:val="0"/>
                <w:sz w:val="24"/>
              </w:rPr>
              <w:t>）标的：</w:t>
            </w:r>
            <w:r>
              <w:rPr>
                <w:rFonts w:hint="eastAsia" w:ascii="仿宋_GB2312" w:hAnsi="仿宋" w:eastAsia="仿宋_GB2312" w:cs="Arial"/>
                <w:b w:val="0"/>
                <w:bCs w:val="0"/>
                <w:kern w:val="0"/>
                <w:sz w:val="24"/>
                <w:u w:val="single"/>
              </w:rPr>
              <w:t xml:space="preserve">服务外包 </w:t>
            </w:r>
            <w:r>
              <w:rPr>
                <w:rFonts w:hint="eastAsia" w:ascii="仿宋_GB2312" w:hAnsi="仿宋" w:eastAsia="仿宋_GB2312" w:cs="Arial"/>
                <w:b w:val="0"/>
                <w:bCs w:val="0"/>
                <w:kern w:val="0"/>
                <w:sz w:val="24"/>
              </w:rPr>
              <w:t>，属于</w:t>
            </w:r>
            <w:r>
              <w:rPr>
                <w:rFonts w:hint="eastAsia" w:ascii="仿宋_GB2312" w:hAnsi="仿宋" w:eastAsia="仿宋_GB2312" w:cs="Arial"/>
                <w:b w:val="0"/>
                <w:bCs w:val="0"/>
                <w:kern w:val="0"/>
                <w:sz w:val="24"/>
                <w:u w:val="single"/>
              </w:rPr>
              <w:t>租赁服务</w:t>
            </w:r>
            <w:r>
              <w:rPr>
                <w:rFonts w:hint="eastAsia" w:ascii="仿宋_GB2312" w:hAnsi="仿宋" w:eastAsia="仿宋_GB2312" w:cs="Arial"/>
                <w:b w:val="0"/>
                <w:bCs w:val="0"/>
                <w:kern w:val="0"/>
                <w:sz w:val="24"/>
                <w:highlight w:val="none"/>
                <w:u w:val="single"/>
              </w:rPr>
              <w:t>行</w:t>
            </w:r>
            <w:r>
              <w:rPr>
                <w:rFonts w:hint="eastAsia" w:ascii="仿宋_GB2312" w:hAnsi="仿宋" w:eastAsia="仿宋_GB2312" w:cs="Arial"/>
                <w:b w:val="0"/>
                <w:bCs w:val="0"/>
                <w:kern w:val="0"/>
                <w:sz w:val="24"/>
                <w:u w:val="single"/>
              </w:rPr>
              <w:t>业</w:t>
            </w:r>
            <w:r>
              <w:rPr>
                <w:rFonts w:hint="eastAsia" w:ascii="仿宋_GB2312" w:hAnsi="仿宋" w:eastAsia="仿宋_GB2312" w:cs="Arial"/>
                <w:b w:val="0"/>
                <w:bCs w:val="0"/>
                <w:kern w:val="0"/>
                <w:sz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ascii="仿宋_GB2312" w:hAnsi="仿宋" w:eastAsia="仿宋_GB2312"/>
                <w:kern w:val="28"/>
                <w:sz w:val="24"/>
              </w:rPr>
            </w:pPr>
            <w:r>
              <w:rPr>
                <w:rFonts w:hint="eastAsia" w:ascii="仿宋_GB2312" w:hAnsi="仿宋" w:eastAsia="仿宋_GB2312"/>
                <w:kern w:val="28"/>
                <w:sz w:val="24"/>
              </w:rPr>
              <w:t>备份投标文件送达地点：</w:t>
            </w:r>
            <w:r>
              <w:rPr>
                <w:rFonts w:hint="eastAsia" w:ascii="仿宋_GB2312" w:hAnsi="仿宋" w:eastAsia="仿宋_GB2312"/>
                <w:kern w:val="28"/>
                <w:sz w:val="24"/>
                <w:lang w:eastAsia="zh-CN"/>
              </w:rPr>
              <w:t>杭州市临平区南苑街道嘉信国际6楼</w:t>
            </w:r>
            <w:r>
              <w:rPr>
                <w:rFonts w:hint="eastAsia" w:ascii="仿宋_GB2312" w:hAnsi="仿宋" w:eastAsia="仿宋_GB2312"/>
                <w:kern w:val="28"/>
                <w:sz w:val="24"/>
              </w:rPr>
              <w:t>；备份投标文件签收人员联系电话：</w:t>
            </w:r>
            <w:r>
              <w:rPr>
                <w:rFonts w:hint="eastAsia" w:ascii="仿宋_GB2312" w:hAnsi="仿宋" w:eastAsia="仿宋_GB2312"/>
                <w:kern w:val="28"/>
                <w:sz w:val="24"/>
                <w:lang w:val="en-US" w:eastAsia="zh-CN"/>
              </w:rPr>
              <w:t>13362030720</w:t>
            </w:r>
            <w:r>
              <w:rPr>
                <w:rFonts w:hint="eastAsia" w:ascii="仿宋_GB2312" w:hAnsi="仿宋" w:eastAsia="仿宋_GB2312"/>
                <w:kern w:val="28"/>
                <w:sz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90"/>
              <w:snapToGrid w:val="0"/>
              <w:spacing w:line="360" w:lineRule="exact"/>
              <w:ind w:firstLine="0" w:firstLineChars="0"/>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6"/>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1"/>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6"/>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6"/>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6"/>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90"/>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6"/>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90"/>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90"/>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9"/>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6"/>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1"/>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90"/>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90"/>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90"/>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9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90"/>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6"/>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6"/>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6"/>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90"/>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90"/>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90"/>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90"/>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ascii="仿宋_GB2312" w:hAnsi="仿宋" w:eastAsia="仿宋_GB2312" w:cs="仿宋_GB2312"/>
          <w:b/>
          <w:sz w:val="32"/>
        </w:rPr>
      </w:pPr>
    </w:p>
    <w:p>
      <w:pPr>
        <w:pStyle w:val="90"/>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90"/>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90"/>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90"/>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90"/>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90"/>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9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9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90"/>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90"/>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90"/>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90"/>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90"/>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%；评价总分在90分以下或者暂无评分的，收取履约保证金不得高于合同金额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9"/>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90"/>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90"/>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90"/>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90"/>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90"/>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90"/>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75236290"/>
      <w:bookmarkEnd w:id="15"/>
      <w:bookmarkStart w:id="16" w:name="_Hlt75236011"/>
      <w:bookmarkEnd w:id="16"/>
      <w:bookmarkStart w:id="17" w:name="_Hlt68057669"/>
      <w:bookmarkEnd w:id="17"/>
      <w:bookmarkStart w:id="18" w:name="_Hlt74729768"/>
      <w:bookmarkEnd w:id="18"/>
      <w:bookmarkStart w:id="19" w:name="_Hlt75236101"/>
      <w:bookmarkEnd w:id="19"/>
      <w:bookmarkStart w:id="20" w:name="_Hlt68073093"/>
      <w:bookmarkEnd w:id="20"/>
      <w:bookmarkStart w:id="21" w:name="_Hlt74714665"/>
      <w:bookmarkEnd w:id="21"/>
      <w:bookmarkStart w:id="22" w:name="_Hlt74707468"/>
      <w:bookmarkEnd w:id="22"/>
      <w:bookmarkStart w:id="23" w:name="_Hlt68072998"/>
      <w:bookmarkEnd w:id="23"/>
      <w:bookmarkStart w:id="24" w:name="_Hlt68403820"/>
      <w:bookmarkEnd w:id="24"/>
      <w:bookmarkStart w:id="25" w:name="_Hlt68072990"/>
      <w:bookmarkEnd w:id="25"/>
    </w:p>
    <w:bookmarkEnd w:id="11"/>
    <w:bookmarkEnd w:id="12"/>
    <w:p>
      <w:pPr>
        <w:numPr>
          <w:ilvl w:val="0"/>
          <w:numId w:val="1"/>
        </w:numPr>
        <w:spacing w:line="360" w:lineRule="auto"/>
        <w:jc w:val="center"/>
        <w:outlineLvl w:val="0"/>
        <w:rPr>
          <w:rFonts w:hint="eastAsia" w:ascii="仿宋" w:hAnsi="仿宋" w:eastAsia="仿宋" w:cs="仿宋_GB2312"/>
          <w:b/>
          <w:sz w:val="36"/>
          <w:szCs w:val="36"/>
        </w:rPr>
      </w:pPr>
      <w:bookmarkStart w:id="26" w:name="第四部分"/>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keepNext w:val="0"/>
        <w:keepLines w:val="0"/>
        <w:pageBreakBefore w:val="0"/>
        <w:widowControl w:val="0"/>
        <w:numPr>
          <w:ilvl w:val="0"/>
          <w:numId w:val="2"/>
        </w:numPr>
        <w:kinsoku/>
        <w:wordWrap/>
        <w:overflowPunct/>
        <w:topLinePunct w:val="0"/>
        <w:autoSpaceDE/>
        <w:autoSpaceDN/>
        <w:bidi w:val="0"/>
        <w:spacing w:line="500" w:lineRule="exact"/>
        <w:ind w:right="0" w:rightChars="0"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项目概述：</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jc w:val="left"/>
        <w:rPr>
          <w:rFonts w:hint="eastAsia" w:ascii="宋体" w:hAnsi="宋体" w:eastAsia="宋体"/>
          <w:sz w:val="24"/>
          <w:lang w:eastAsia="zh-CN"/>
        </w:rPr>
      </w:pPr>
      <w:r>
        <w:rPr>
          <w:rFonts w:hint="eastAsia" w:ascii="宋体" w:hAnsi="宋体"/>
          <w:sz w:val="24"/>
          <w:lang w:val="en-US" w:eastAsia="zh-CN"/>
        </w:rPr>
        <w:t xml:space="preserve">    余杭街道行政区域面积100.38平方公里，城市化管理范围20平方公里，总人口约25万，辖区内现有国道2条、省道1条、县道4条，共计60余公里道路，公路两侧违法设摊情况较为严重，且非法营运活动十分猖獗，严重扰乱客运市场秩序。随着“靓城行动”持续开展，辖区内序化问题凸显，社会秩序日趋复杂，给城市综合治理带来了巨大挑战，以现有管理力量已无法满足区域管理要求。对此，为进一步缓解城市管理压力，有效维护城区管理秩序，提升城市管理水平与品质，余杭街道意向对“城市综合管理项目”进行服务外包。</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480" w:firstLineChars="200"/>
        <w:jc w:val="left"/>
        <w:rPr>
          <w:rFonts w:hint="eastAsia" w:ascii="宋体" w:hAnsi="宋体"/>
          <w:sz w:val="24"/>
        </w:rPr>
      </w:pPr>
      <w:r>
        <w:rPr>
          <w:rFonts w:hint="eastAsia" w:ascii="宋体" w:hAnsi="宋体"/>
          <w:sz w:val="24"/>
        </w:rPr>
        <w:t>本项目为“交钥匙”项目，采购内容包括按提供符合采购人要求</w:t>
      </w:r>
      <w:r>
        <w:rPr>
          <w:rFonts w:hint="eastAsia" w:ascii="宋体" w:hAnsi="宋体" w:cs="宋体"/>
          <w:sz w:val="24"/>
          <w:szCs w:val="24"/>
        </w:rPr>
        <w:t>提供合格的公共安全服务</w:t>
      </w:r>
      <w:r>
        <w:rPr>
          <w:rFonts w:hint="eastAsia" w:ascii="宋体" w:hAnsi="宋体"/>
          <w:sz w:val="24"/>
        </w:rPr>
        <w:t>。投标报价包括所有</w:t>
      </w:r>
      <w:r>
        <w:rPr>
          <w:rFonts w:hint="eastAsia" w:ascii="宋体" w:hAnsi="宋体"/>
          <w:sz w:val="24"/>
          <w:lang w:eastAsia="zh-CN"/>
        </w:rPr>
        <w:t>队员</w:t>
      </w:r>
      <w:r>
        <w:rPr>
          <w:rFonts w:hint="eastAsia" w:ascii="宋体" w:hAnsi="宋体"/>
          <w:sz w:val="24"/>
        </w:rPr>
        <w:t>的工资、社保、</w:t>
      </w:r>
      <w:r>
        <w:rPr>
          <w:rFonts w:hint="eastAsia" w:ascii="宋体" w:hAnsi="宋体"/>
          <w:sz w:val="24"/>
          <w:lang w:eastAsia="zh-CN"/>
        </w:rPr>
        <w:t>公积金、超时补贴</w:t>
      </w:r>
      <w:r>
        <w:rPr>
          <w:rFonts w:hint="eastAsia" w:ascii="宋体" w:hAnsi="宋体"/>
          <w:sz w:val="24"/>
        </w:rPr>
        <w:t>、</w:t>
      </w:r>
      <w:r>
        <w:rPr>
          <w:rFonts w:hint="eastAsia" w:ascii="宋体" w:hAnsi="宋体"/>
          <w:sz w:val="24"/>
          <w:lang w:eastAsia="zh-CN"/>
        </w:rPr>
        <w:t>绩效考核经费、伙食费、</w:t>
      </w:r>
      <w:r>
        <w:rPr>
          <w:rFonts w:hint="eastAsia" w:ascii="宋体" w:hAnsi="宋体"/>
          <w:sz w:val="24"/>
        </w:rPr>
        <w:t>培训费、</w:t>
      </w:r>
      <w:r>
        <w:rPr>
          <w:rFonts w:hint="eastAsia" w:ascii="宋体" w:hAnsi="宋体"/>
          <w:sz w:val="24"/>
          <w:lang w:eastAsia="zh-CN"/>
        </w:rPr>
        <w:t>管理费、</w:t>
      </w:r>
      <w:r>
        <w:rPr>
          <w:rFonts w:hint="eastAsia" w:ascii="宋体" w:hAnsi="宋体"/>
          <w:sz w:val="24"/>
        </w:rPr>
        <w:t>通讯设备、低值易耗品、工具及相关</w:t>
      </w:r>
      <w:r>
        <w:rPr>
          <w:rFonts w:hint="eastAsia" w:ascii="宋体" w:hAnsi="宋体"/>
          <w:sz w:val="24"/>
          <w:lang w:eastAsia="zh-CN"/>
        </w:rPr>
        <w:t>安保</w:t>
      </w:r>
      <w:r>
        <w:rPr>
          <w:rFonts w:hint="eastAsia" w:ascii="宋体" w:hAnsi="宋体"/>
          <w:sz w:val="24"/>
        </w:rPr>
        <w:t>设备费、临时性杂项服务费、政策性文件规定及合同包含的所有风险、责任、税费、合理利润等各项全部费用</w:t>
      </w:r>
      <w:r>
        <w:rPr>
          <w:rFonts w:hint="eastAsia" w:ascii="宋体" w:hAnsi="宋体"/>
          <w:sz w:val="24"/>
          <w:lang w:val="en-US"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right="0" w:rightChars="0"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具体服务内容、要求等：</w:t>
      </w:r>
    </w:p>
    <w:tbl>
      <w:tblPr>
        <w:tblStyle w:val="67"/>
        <w:tblW w:w="8436" w:type="dxa"/>
        <w:jc w:val="center"/>
        <w:tblLayout w:type="fixed"/>
        <w:tblCellMar>
          <w:top w:w="15" w:type="dxa"/>
          <w:left w:w="15" w:type="dxa"/>
          <w:bottom w:w="15" w:type="dxa"/>
          <w:right w:w="15" w:type="dxa"/>
        </w:tblCellMar>
      </w:tblPr>
      <w:tblGrid>
        <w:gridCol w:w="696"/>
        <w:gridCol w:w="3126"/>
        <w:gridCol w:w="1086"/>
        <w:gridCol w:w="3528"/>
      </w:tblGrid>
      <w:tr>
        <w:tblPrEx>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b/>
                <w:color w:val="000000"/>
                <w:sz w:val="28"/>
                <w:szCs w:val="28"/>
              </w:rPr>
            </w:pPr>
            <w:r>
              <w:rPr>
                <w:rFonts w:eastAsia="仿宋_GB2312"/>
                <w:b/>
                <w:color w:val="000000"/>
                <w:kern w:val="0"/>
                <w:sz w:val="28"/>
                <w:szCs w:val="28"/>
              </w:rPr>
              <w:t>序号</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b/>
                <w:color w:val="000000"/>
                <w:sz w:val="28"/>
                <w:szCs w:val="28"/>
              </w:rPr>
            </w:pPr>
            <w:r>
              <w:rPr>
                <w:rFonts w:eastAsia="仿宋_GB2312"/>
                <w:b/>
                <w:color w:val="000000"/>
                <w:kern w:val="0"/>
                <w:sz w:val="28"/>
                <w:szCs w:val="28"/>
              </w:rPr>
              <w:t>类别</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b/>
                <w:color w:val="000000"/>
                <w:sz w:val="28"/>
                <w:szCs w:val="28"/>
              </w:rPr>
            </w:pPr>
            <w:r>
              <w:rPr>
                <w:rFonts w:eastAsia="仿宋_GB2312"/>
                <w:b/>
                <w:color w:val="000000"/>
                <w:kern w:val="0"/>
                <w:sz w:val="28"/>
                <w:szCs w:val="28"/>
              </w:rPr>
              <w:t>数量</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b/>
                <w:color w:val="000000"/>
                <w:kern w:val="0"/>
                <w:sz w:val="28"/>
                <w:szCs w:val="28"/>
              </w:rPr>
            </w:pPr>
            <w:r>
              <w:rPr>
                <w:rFonts w:eastAsia="仿宋_GB2312"/>
                <w:b/>
                <w:color w:val="000000"/>
                <w:kern w:val="0"/>
                <w:sz w:val="28"/>
                <w:szCs w:val="28"/>
              </w:rPr>
              <w:t>备注</w:t>
            </w:r>
          </w:p>
        </w:tc>
      </w:tr>
      <w:tr>
        <w:tblPrEx>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sz w:val="28"/>
                <w:szCs w:val="28"/>
              </w:rPr>
              <w:t>1</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sz w:val="28"/>
                <w:szCs w:val="28"/>
              </w:rPr>
              <w:t>人员</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hint="default" w:eastAsia="仿宋_GB2312"/>
                <w:color w:val="000000"/>
                <w:sz w:val="28"/>
                <w:szCs w:val="28"/>
                <w:lang w:val="en-US" w:eastAsia="zh-CN"/>
              </w:rPr>
            </w:pPr>
            <w:r>
              <w:rPr>
                <w:rFonts w:hint="eastAsia" w:eastAsia="仿宋_GB2312"/>
                <w:color w:val="000000"/>
                <w:sz w:val="28"/>
                <w:szCs w:val="28"/>
                <w:lang w:val="en-US" w:eastAsia="zh-CN"/>
              </w:rPr>
              <w:t>97</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hint="eastAsia" w:eastAsia="仿宋_GB2312"/>
                <w:color w:val="auto"/>
                <w:sz w:val="28"/>
                <w:szCs w:val="28"/>
                <w:lang w:val="en-US" w:eastAsia="zh-CN"/>
              </w:rPr>
            </w:pPr>
            <w:r>
              <w:rPr>
                <w:rFonts w:hint="eastAsia" w:eastAsia="仿宋_GB2312"/>
                <w:color w:val="auto"/>
                <w:sz w:val="28"/>
                <w:szCs w:val="28"/>
                <w:lang w:val="en-US" w:eastAsia="zh-CN"/>
              </w:rPr>
              <w:t>详见队员配备要求</w:t>
            </w:r>
          </w:p>
        </w:tc>
      </w:tr>
      <w:tr>
        <w:tblPrEx>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kern w:val="0"/>
                <w:sz w:val="28"/>
                <w:szCs w:val="28"/>
              </w:rPr>
              <w:t>2</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kern w:val="0"/>
                <w:sz w:val="28"/>
                <w:szCs w:val="28"/>
              </w:rPr>
              <w:t>服装及装备</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sz w:val="28"/>
                <w:szCs w:val="28"/>
              </w:rPr>
              <w:t>80</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hint="eastAsia" w:eastAsia="仿宋_GB2312"/>
                <w:color w:val="auto"/>
                <w:sz w:val="28"/>
                <w:szCs w:val="28"/>
                <w:lang w:val="en-US" w:eastAsia="zh-CN"/>
              </w:rPr>
            </w:pPr>
            <w:r>
              <w:rPr>
                <w:rFonts w:hint="eastAsia" w:eastAsia="仿宋_GB2312"/>
                <w:color w:val="auto"/>
                <w:sz w:val="28"/>
                <w:szCs w:val="28"/>
                <w:lang w:val="en-US" w:eastAsia="zh-CN"/>
              </w:rPr>
              <w:t>由中标方按要求配备</w:t>
            </w:r>
          </w:p>
        </w:tc>
      </w:tr>
      <w:tr>
        <w:tblPrEx>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kern w:val="0"/>
                <w:sz w:val="28"/>
                <w:szCs w:val="28"/>
              </w:rPr>
            </w:pPr>
            <w:r>
              <w:rPr>
                <w:rFonts w:eastAsia="仿宋_GB2312"/>
                <w:color w:val="000000"/>
                <w:kern w:val="0"/>
                <w:sz w:val="28"/>
                <w:szCs w:val="28"/>
              </w:rPr>
              <w:t>3</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kern w:val="0"/>
                <w:sz w:val="28"/>
                <w:szCs w:val="28"/>
              </w:rPr>
            </w:pPr>
            <w:r>
              <w:rPr>
                <w:rFonts w:eastAsia="仿宋_GB2312"/>
                <w:color w:val="000000"/>
                <w:kern w:val="0"/>
                <w:sz w:val="28"/>
                <w:szCs w:val="28"/>
              </w:rPr>
              <w:t>时代经纬执法仪兼对讲机</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kern w:val="0"/>
                <w:sz w:val="28"/>
                <w:szCs w:val="28"/>
              </w:rPr>
              <w:t>80</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hint="eastAsia" w:eastAsia="仿宋_GB2312"/>
                <w:color w:val="auto"/>
                <w:sz w:val="28"/>
                <w:szCs w:val="28"/>
                <w:lang w:val="en-US" w:eastAsia="zh-CN"/>
              </w:rPr>
            </w:pPr>
            <w:r>
              <w:rPr>
                <w:rFonts w:hint="eastAsia" w:eastAsia="仿宋_GB2312"/>
                <w:color w:val="auto"/>
                <w:sz w:val="28"/>
                <w:szCs w:val="28"/>
                <w:lang w:val="en-US" w:eastAsia="zh-CN"/>
              </w:rPr>
              <w:t>由中标方按要求配备</w:t>
            </w:r>
          </w:p>
        </w:tc>
      </w:tr>
      <w:tr>
        <w:tblPrEx>
          <w:tblCellMar>
            <w:top w:w="15" w:type="dxa"/>
            <w:left w:w="15" w:type="dxa"/>
            <w:bottom w:w="15" w:type="dxa"/>
            <w:right w:w="15" w:type="dxa"/>
          </w:tblCellMar>
        </w:tblPrEx>
        <w:trPr>
          <w:trHeight w:val="68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kern w:val="0"/>
                <w:sz w:val="28"/>
                <w:szCs w:val="28"/>
              </w:rPr>
              <w:t>4</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kern w:val="0"/>
                <w:sz w:val="28"/>
                <w:szCs w:val="28"/>
              </w:rPr>
              <w:t>皮卡车</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000000"/>
                <w:sz w:val="28"/>
                <w:szCs w:val="28"/>
              </w:rPr>
            </w:pPr>
            <w:r>
              <w:rPr>
                <w:rFonts w:eastAsia="仿宋_GB2312"/>
                <w:color w:val="000000"/>
                <w:sz w:val="28"/>
                <w:szCs w:val="28"/>
              </w:rPr>
              <w:t>3</w:t>
            </w:r>
          </w:p>
        </w:tc>
        <w:tc>
          <w:tcPr>
            <w:tcW w:w="3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center"/>
              <w:textAlignment w:val="center"/>
              <w:rPr>
                <w:rFonts w:eastAsia="仿宋_GB2312"/>
                <w:color w:val="auto"/>
                <w:sz w:val="28"/>
                <w:szCs w:val="28"/>
              </w:rPr>
            </w:pPr>
            <w:r>
              <w:rPr>
                <w:rFonts w:eastAsia="仿宋_GB2312"/>
                <w:color w:val="auto"/>
                <w:kern w:val="0"/>
                <w:sz w:val="28"/>
                <w:szCs w:val="28"/>
              </w:rPr>
              <w:t>车型为：纳瓦拉2021款2.5T手动两驱尊享版QR25</w:t>
            </w:r>
          </w:p>
        </w:tc>
      </w:tr>
    </w:tbl>
    <w:p>
      <w:pPr>
        <w:keepNext w:val="0"/>
        <w:keepLines w:val="0"/>
        <w:pageBreakBefore w:val="0"/>
        <w:widowControl w:val="0"/>
        <w:kinsoku/>
        <w:wordWrap/>
        <w:overflowPunct/>
        <w:topLinePunct w:val="0"/>
        <w:autoSpaceDE/>
        <w:autoSpaceDN/>
        <w:bidi w:val="0"/>
        <w:spacing w:line="500" w:lineRule="exact"/>
        <w:ind w:right="0" w:rightChars="0"/>
        <w:rPr>
          <w:rFonts w:hint="eastAsia" w:ascii="宋体" w:hAnsi="宋体"/>
          <w:b/>
          <w:bCs/>
          <w:color w:val="000000"/>
          <w:sz w:val="24"/>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保安人员持证要求: 本项目的所有保安员上岗时必须持有公安机关颁发的《保安员证》，持证上岗，统一着装，进场服务前由采购人统一审核</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hint="eastAsia" w:ascii="宋体" w:hAnsi="宋体" w:eastAsia="宋体" w:cs="宋体-18030"/>
          <w:color w:val="000000"/>
          <w:kern w:val="0"/>
          <w:sz w:val="24"/>
          <w:lang w:val="en-US" w:eastAsia="zh-CN"/>
        </w:rPr>
      </w:pPr>
      <w:r>
        <w:rPr>
          <w:rFonts w:hint="eastAsia" w:ascii="宋体" w:hAnsi="宋体" w:cs="宋体-18030"/>
          <w:b/>
          <w:color w:val="000000"/>
          <w:kern w:val="0"/>
          <w:sz w:val="24"/>
        </w:rPr>
        <w:t>（1）人员配备：</w:t>
      </w:r>
      <w:r>
        <w:rPr>
          <w:rFonts w:hint="eastAsia" w:ascii="宋体" w:hAnsi="宋体" w:cs="宋体-18030"/>
          <w:color w:val="000000"/>
          <w:kern w:val="0"/>
          <w:sz w:val="24"/>
          <w:lang w:val="en-US" w:eastAsia="zh-CN"/>
        </w:rPr>
        <w:t>97名</w:t>
      </w:r>
    </w:p>
    <w:p>
      <w:pPr>
        <w:keepNext w:val="0"/>
        <w:keepLines w:val="0"/>
        <w:pageBreakBefore w:val="0"/>
        <w:widowControl w:val="0"/>
        <w:kinsoku/>
        <w:wordWrap/>
        <w:overflowPunct/>
        <w:topLinePunct w:val="0"/>
        <w:autoSpaceDE/>
        <w:autoSpaceDN/>
        <w:bidi w:val="0"/>
        <w:spacing w:line="500" w:lineRule="exact"/>
        <w:ind w:right="0" w:rightChars="0"/>
        <w:rPr>
          <w:rFonts w:hint="eastAsia" w:ascii="宋体" w:hAnsi="宋体"/>
          <w:b/>
          <w:sz w:val="24"/>
          <w:highlight w:val="none"/>
        </w:rPr>
      </w:pPr>
      <w:r>
        <w:rPr>
          <w:rFonts w:hint="eastAsia" w:ascii="宋体" w:hAnsi="宋体"/>
          <w:b/>
          <w:sz w:val="24"/>
        </w:rPr>
        <w:t xml:space="preserve">   1.1</w:t>
      </w:r>
      <w:r>
        <w:rPr>
          <w:rFonts w:hint="eastAsia" w:ascii="宋体" w:hAnsi="宋体"/>
          <w:b/>
          <w:sz w:val="24"/>
          <w:lang w:eastAsia="zh-CN"/>
        </w:rPr>
        <w:t>队员</w:t>
      </w:r>
      <w:r>
        <w:rPr>
          <w:rFonts w:hint="eastAsia" w:ascii="宋体" w:hAnsi="宋体"/>
          <w:b/>
          <w:sz w:val="24"/>
        </w:rPr>
        <w:t>配备要求</w:t>
      </w:r>
      <w:r>
        <w:rPr>
          <w:rFonts w:hint="eastAsia" w:ascii="宋体" w:hAnsi="宋体"/>
          <w:b/>
          <w:sz w:val="24"/>
          <w:highlight w:val="none"/>
        </w:rPr>
        <w:t>：</w:t>
      </w:r>
    </w:p>
    <w:p>
      <w:pPr>
        <w:keepNext w:val="0"/>
        <w:keepLines w:val="0"/>
        <w:pageBreakBefore w:val="0"/>
        <w:widowControl w:val="0"/>
        <w:kinsoku/>
        <w:wordWrap/>
        <w:overflowPunct/>
        <w:topLinePunct w:val="0"/>
        <w:autoSpaceDE/>
        <w:autoSpaceDN/>
        <w:bidi w:val="0"/>
        <w:spacing w:line="500" w:lineRule="exact"/>
        <w:ind w:right="0" w:rightChars="0"/>
        <w:rPr>
          <w:rFonts w:hint="eastAsia"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lang w:val="en-US" w:eastAsia="zh-CN"/>
        </w:rPr>
        <w:t>(1)</w:t>
      </w:r>
      <w:r>
        <w:rPr>
          <w:rFonts w:hint="eastAsia" w:ascii="宋体" w:hAnsi="宋体"/>
          <w:sz w:val="24"/>
          <w:highlight w:val="none"/>
          <w:lang w:eastAsia="zh-CN"/>
        </w:rPr>
        <w:t>队员</w:t>
      </w:r>
      <w:r>
        <w:rPr>
          <w:rFonts w:hint="eastAsia" w:ascii="宋体" w:hAnsi="宋体"/>
          <w:sz w:val="24"/>
          <w:highlight w:val="none"/>
        </w:rPr>
        <w:t>持证要求: 本项目的所有</w:t>
      </w:r>
      <w:r>
        <w:rPr>
          <w:rFonts w:hint="eastAsia" w:ascii="宋体" w:hAnsi="宋体"/>
          <w:sz w:val="24"/>
          <w:highlight w:val="none"/>
          <w:lang w:eastAsia="zh-CN"/>
        </w:rPr>
        <w:t>队员</w:t>
      </w:r>
      <w:r>
        <w:rPr>
          <w:rFonts w:hint="eastAsia" w:ascii="宋体" w:hAnsi="宋体"/>
          <w:sz w:val="24"/>
          <w:highlight w:val="none"/>
        </w:rPr>
        <w:t>上岗时必须持有公安机关颁发的《</w:t>
      </w:r>
      <w:r>
        <w:rPr>
          <w:rFonts w:hint="eastAsia" w:ascii="宋体" w:hAnsi="宋体"/>
          <w:sz w:val="24"/>
          <w:highlight w:val="none"/>
          <w:lang w:eastAsia="zh-CN"/>
        </w:rPr>
        <w:t>保安</w:t>
      </w:r>
      <w:r>
        <w:rPr>
          <w:rFonts w:hint="eastAsia" w:ascii="宋体" w:hAnsi="宋体"/>
          <w:sz w:val="24"/>
          <w:highlight w:val="none"/>
        </w:rPr>
        <w:t>员证》，持证上岗，统一着装，进场服务前由采购人统一审核；</w:t>
      </w:r>
    </w:p>
    <w:p>
      <w:pPr>
        <w:keepNext w:val="0"/>
        <w:keepLines w:val="0"/>
        <w:pageBreakBefore w:val="0"/>
        <w:widowControl w:val="0"/>
        <w:kinsoku/>
        <w:wordWrap/>
        <w:overflowPunct/>
        <w:topLinePunct w:val="0"/>
        <w:autoSpaceDE/>
        <w:autoSpaceDN/>
        <w:bidi w:val="0"/>
        <w:snapToGrid w:val="0"/>
        <w:spacing w:line="500" w:lineRule="exact"/>
        <w:ind w:right="0" w:rightChars="0" w:firstLine="480" w:firstLineChars="200"/>
        <w:rPr>
          <w:rFonts w:hint="eastAsia" w:ascii="宋体" w:hAnsi="宋体" w:cs="宋体"/>
          <w:color w:val="auto"/>
          <w:sz w:val="24"/>
          <w:highlight w:val="none"/>
        </w:rPr>
      </w:pPr>
      <w:r>
        <w:rPr>
          <w:rFonts w:hint="eastAsia" w:ascii="宋体" w:hAnsi="宋体"/>
          <w:sz w:val="24"/>
          <w:lang w:val="en-US" w:eastAsia="zh-CN"/>
        </w:rPr>
        <w:t>(2)</w:t>
      </w:r>
      <w:r>
        <w:rPr>
          <w:rFonts w:hint="eastAsia" w:ascii="宋体" w:hAnsi="宋体"/>
          <w:sz w:val="24"/>
          <w:highlight w:val="none"/>
          <w:lang w:eastAsia="zh-CN"/>
        </w:rPr>
        <w:t>队员</w:t>
      </w:r>
      <w:r>
        <w:rPr>
          <w:rFonts w:hint="eastAsia" w:ascii="宋体" w:hAnsi="宋体"/>
          <w:sz w:val="24"/>
          <w:highlight w:val="none"/>
        </w:rPr>
        <w:t>素质要求:治安管理人员素质要求： 人员要求</w:t>
      </w:r>
      <w:r>
        <w:rPr>
          <w:rFonts w:hint="eastAsia" w:ascii="宋体" w:hAnsi="宋体"/>
          <w:sz w:val="24"/>
          <w:highlight w:val="none"/>
          <w:lang w:val="en-US" w:eastAsia="zh-CN"/>
        </w:rPr>
        <w:t>40</w:t>
      </w:r>
      <w:r>
        <w:rPr>
          <w:rFonts w:hint="eastAsia" w:ascii="宋体" w:hAnsi="宋体"/>
          <w:sz w:val="24"/>
          <w:highlight w:val="none"/>
        </w:rPr>
        <w:t>周岁及以下，身高170cm以上，退伍军人优先</w:t>
      </w:r>
      <w:r>
        <w:rPr>
          <w:rFonts w:hint="eastAsia" w:ascii="宋体" w:hAnsi="宋体"/>
          <w:sz w:val="24"/>
          <w:highlight w:val="none"/>
          <w:lang w:eastAsia="zh-CN"/>
        </w:rPr>
        <w:t>，</w:t>
      </w:r>
      <w:r>
        <w:rPr>
          <w:rFonts w:hint="eastAsia" w:ascii="宋体" w:hAnsi="宋体"/>
          <w:sz w:val="24"/>
          <w:highlight w:val="none"/>
        </w:rPr>
        <w:t>政治素养好、品行端正、责任心强的党员优先、无违法犯罪记录、身体健康，仪表端庄，精力充沛，无不良嗜好，工作认真负责并定期接受培训。</w:t>
      </w:r>
    </w:p>
    <w:p>
      <w:pPr>
        <w:keepNext w:val="0"/>
        <w:keepLines w:val="0"/>
        <w:pageBreakBefore w:val="0"/>
        <w:widowControl w:val="0"/>
        <w:kinsoku/>
        <w:wordWrap/>
        <w:overflowPunct/>
        <w:topLinePunct w:val="0"/>
        <w:autoSpaceDE/>
        <w:autoSpaceDN/>
        <w:bidi w:val="0"/>
        <w:spacing w:line="500" w:lineRule="exact"/>
        <w:ind w:right="0" w:rightChars="0"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lang w:eastAsia="zh-CN"/>
        </w:rPr>
        <w:t>队员</w:t>
      </w:r>
      <w:r>
        <w:rPr>
          <w:rFonts w:hint="eastAsia" w:ascii="宋体" w:hAnsi="宋体"/>
          <w:sz w:val="24"/>
        </w:rPr>
        <w:t>的仪容仪表和执勤规范：</w:t>
      </w:r>
      <w:r>
        <w:rPr>
          <w:rFonts w:hint="eastAsia" w:ascii="宋体" w:hAnsi="宋体"/>
          <w:sz w:val="24"/>
          <w:lang w:eastAsia="zh-CN"/>
        </w:rPr>
        <w:t>队员</w:t>
      </w:r>
      <w:r>
        <w:rPr>
          <w:rFonts w:hint="eastAsia" w:ascii="宋体" w:hAnsi="宋体"/>
          <w:sz w:val="24"/>
        </w:rPr>
        <w:t>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keepNext w:val="0"/>
        <w:keepLines w:val="0"/>
        <w:pageBreakBefore w:val="0"/>
        <w:widowControl w:val="0"/>
        <w:numPr>
          <w:ilvl w:val="0"/>
          <w:numId w:val="3"/>
        </w:numPr>
        <w:kinsoku/>
        <w:wordWrap/>
        <w:overflowPunct/>
        <w:topLinePunct w:val="0"/>
        <w:autoSpaceDE/>
        <w:autoSpaceDN/>
        <w:bidi w:val="0"/>
        <w:spacing w:line="500" w:lineRule="exact"/>
        <w:ind w:right="0" w:rightChars="0" w:firstLine="480" w:firstLineChars="200"/>
        <w:rPr>
          <w:rFonts w:hint="eastAsia" w:ascii="宋体" w:hAnsi="宋体"/>
          <w:sz w:val="24"/>
        </w:rPr>
      </w:pPr>
      <w:r>
        <w:rPr>
          <w:rFonts w:hint="eastAsia" w:ascii="宋体" w:hAnsi="宋体"/>
          <w:sz w:val="24"/>
        </w:rPr>
        <w:t>服务范围及工作要求：</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rPr>
        <w:t xml:space="preserve">   </w:t>
      </w:r>
      <w:r>
        <w:rPr>
          <w:rFonts w:hint="eastAsia" w:ascii="宋体" w:hAnsi="宋体" w:eastAsia="宋体" w:cs="宋体"/>
          <w:lang w:val="en-US" w:eastAsia="zh-CN"/>
        </w:rPr>
        <w:t xml:space="preserve"> </w:t>
      </w:r>
      <w:r>
        <w:rPr>
          <w:rFonts w:hint="eastAsia" w:ascii="宋体" w:hAnsi="宋体"/>
          <w:sz w:val="24"/>
          <w:lang w:val="en-US" w:eastAsia="zh-CN"/>
        </w:rPr>
        <w:t>(1)</w:t>
      </w:r>
      <w:r>
        <w:rPr>
          <w:rFonts w:hint="eastAsia" w:ascii="宋体" w:hAnsi="宋体"/>
          <w:sz w:val="24"/>
          <w:lang w:eastAsia="zh-CN"/>
        </w:rPr>
        <w:t>协助余杭街道对辖区内的</w:t>
      </w:r>
      <w:r>
        <w:rPr>
          <w:rFonts w:hint="eastAsia" w:ascii="宋体" w:hAnsi="宋体"/>
          <w:sz w:val="24"/>
          <w:lang w:val="en-US" w:eastAsia="zh-CN"/>
        </w:rPr>
        <w:t>非法运营进行管控</w:t>
      </w:r>
      <w:r>
        <w:rPr>
          <w:rFonts w:hint="eastAsia" w:ascii="宋体" w:hAnsi="宋体"/>
          <w:sz w:val="24"/>
          <w:lang w:eastAsia="zh-CN"/>
        </w:rPr>
        <w:t>，有效维护辖区内的</w:t>
      </w:r>
      <w:r>
        <w:rPr>
          <w:rFonts w:hint="eastAsia" w:ascii="宋体" w:hAnsi="宋体"/>
          <w:sz w:val="24"/>
          <w:lang w:val="en-US" w:eastAsia="zh-CN"/>
        </w:rPr>
        <w:t>客运市场秩序</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lang w:val="en-US" w:eastAsia="zh-CN"/>
        </w:rPr>
        <w:t xml:space="preserve">    (2)</w:t>
      </w:r>
      <w:r>
        <w:rPr>
          <w:rFonts w:hint="eastAsia" w:ascii="宋体" w:hAnsi="宋体"/>
          <w:sz w:val="24"/>
          <w:lang w:eastAsia="zh-CN"/>
        </w:rPr>
        <w:t>协助余杭街道加强对重点区域、重点部位的</w:t>
      </w:r>
      <w:r>
        <w:rPr>
          <w:rFonts w:hint="eastAsia" w:ascii="宋体" w:hAnsi="宋体"/>
          <w:sz w:val="24"/>
          <w:lang w:val="en-US" w:eastAsia="zh-CN"/>
        </w:rPr>
        <w:t>序化维护</w:t>
      </w:r>
      <w:r>
        <w:rPr>
          <w:rFonts w:hint="eastAsia" w:ascii="宋体" w:hAnsi="宋体"/>
          <w:sz w:val="24"/>
          <w:lang w:eastAsia="zh-CN"/>
        </w:rPr>
        <w:t>值守；</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lang w:val="en-US" w:eastAsia="zh-CN"/>
        </w:rPr>
        <w:t xml:space="preserve">    (3)</w:t>
      </w:r>
      <w:r>
        <w:rPr>
          <w:rFonts w:hint="eastAsia" w:ascii="宋体" w:hAnsi="宋体"/>
          <w:sz w:val="24"/>
          <w:lang w:eastAsia="zh-CN"/>
        </w:rPr>
        <w:t>协助余杭街道开展安全防范的宣传教育，努力提高辖区内广大群众</w:t>
      </w:r>
      <w:r>
        <w:rPr>
          <w:rFonts w:hint="eastAsia" w:ascii="宋体" w:hAnsi="宋体" w:eastAsia="宋体"/>
          <w:sz w:val="24"/>
          <w:lang w:eastAsia="zh-CN"/>
        </w:rPr>
        <w:t>的靓城行动意</w:t>
      </w:r>
      <w:r>
        <w:rPr>
          <w:rFonts w:hint="eastAsia" w:ascii="宋体" w:hAnsi="宋体"/>
          <w:sz w:val="24"/>
          <w:lang w:eastAsia="zh-CN"/>
        </w:rPr>
        <w:t>识。</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lang w:val="en-US" w:eastAsia="zh-CN"/>
        </w:rPr>
        <w:t xml:space="preserve">    (4)</w:t>
      </w:r>
      <w:r>
        <w:rPr>
          <w:rFonts w:hint="eastAsia" w:ascii="宋体" w:hAnsi="宋体"/>
          <w:sz w:val="24"/>
          <w:lang w:eastAsia="zh-CN"/>
        </w:rPr>
        <w:t>协助余杭街道开展辖区内重点</w:t>
      </w:r>
      <w:r>
        <w:rPr>
          <w:rFonts w:hint="eastAsia" w:ascii="宋体" w:hAnsi="宋体"/>
          <w:sz w:val="24"/>
          <w:lang w:val="en-US" w:eastAsia="zh-CN"/>
        </w:rPr>
        <w:t>路段进行巡查</w:t>
      </w:r>
      <w:r>
        <w:rPr>
          <w:rFonts w:hint="eastAsia" w:ascii="宋体" w:hAnsi="宋体"/>
          <w:sz w:val="24"/>
          <w:lang w:eastAsia="zh-CN"/>
        </w:rPr>
        <w:t>，积极督促相关单位、人员开展整改，并将相关信息报送余杭街道；</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lang w:val="en-US" w:eastAsia="zh-CN"/>
        </w:rPr>
        <w:t xml:space="preserve">    (5)</w:t>
      </w:r>
      <w:r>
        <w:rPr>
          <w:rFonts w:hint="eastAsia" w:ascii="宋体" w:hAnsi="宋体"/>
          <w:sz w:val="24"/>
          <w:lang w:eastAsia="zh-CN"/>
        </w:rPr>
        <w:t>协助余杭街道开展重大活动、重大节日的安保工作，增强人民群众的安全感和满意度；</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lang w:eastAsia="zh-CN"/>
        </w:rPr>
      </w:pPr>
      <w:r>
        <w:rPr>
          <w:rFonts w:hint="eastAsia" w:ascii="宋体" w:hAnsi="宋体"/>
          <w:sz w:val="24"/>
          <w:lang w:val="en-US" w:eastAsia="zh-CN"/>
        </w:rPr>
        <w:t xml:space="preserve">    (6)</w:t>
      </w:r>
      <w:r>
        <w:rPr>
          <w:rFonts w:hint="eastAsia" w:ascii="宋体" w:hAnsi="宋体"/>
          <w:sz w:val="24"/>
          <w:lang w:eastAsia="zh-CN"/>
        </w:rPr>
        <w:t>协助余杭街道加强</w:t>
      </w:r>
      <w:r>
        <w:rPr>
          <w:rFonts w:hint="eastAsia" w:ascii="宋体" w:hAnsi="宋体"/>
          <w:sz w:val="24"/>
          <w:lang w:val="en-US" w:eastAsia="zh-CN"/>
        </w:rPr>
        <w:t>辖区的城市综合管理</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color w:val="auto"/>
          <w:sz w:val="24"/>
          <w:lang w:eastAsia="zh-CN"/>
        </w:rPr>
      </w:pPr>
      <w:r>
        <w:rPr>
          <w:rFonts w:hint="eastAsia" w:ascii="宋体" w:hAnsi="宋体"/>
          <w:sz w:val="24"/>
          <w:lang w:val="en-US" w:eastAsia="zh-CN"/>
        </w:rPr>
        <w:t xml:space="preserve">    (7)</w:t>
      </w:r>
      <w:r>
        <w:rPr>
          <w:rFonts w:hint="eastAsia" w:ascii="宋体" w:hAnsi="宋体"/>
          <w:sz w:val="24"/>
          <w:lang w:eastAsia="zh-CN"/>
        </w:rPr>
        <w:t>主动发现各类违法犯</w:t>
      </w:r>
      <w:r>
        <w:rPr>
          <w:rFonts w:hint="eastAsia" w:ascii="宋体" w:hAnsi="宋体"/>
          <w:color w:val="auto"/>
          <w:sz w:val="24"/>
          <w:lang w:eastAsia="zh-CN"/>
        </w:rPr>
        <w:t>罪线索并及时报告余杭街道；</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color w:val="auto"/>
          <w:sz w:val="24"/>
          <w:lang w:eastAsia="zh-CN"/>
        </w:rPr>
      </w:pPr>
      <w:r>
        <w:rPr>
          <w:rFonts w:hint="eastAsia" w:ascii="宋体" w:hAnsi="宋体"/>
          <w:color w:val="auto"/>
          <w:sz w:val="24"/>
          <w:lang w:val="en-US" w:eastAsia="zh-CN"/>
        </w:rPr>
        <w:t xml:space="preserve">    (8)</w:t>
      </w:r>
      <w:r>
        <w:rPr>
          <w:rFonts w:hint="eastAsia" w:ascii="宋体" w:hAnsi="宋体"/>
          <w:color w:val="auto"/>
          <w:sz w:val="24"/>
          <w:lang w:eastAsia="zh-CN"/>
        </w:rPr>
        <w:t>完成余杭街道交办的其他各类工作任务。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rPr>
      </w:pPr>
      <w:r>
        <w:rPr>
          <w:rFonts w:hint="eastAsia" w:ascii="宋体" w:hAnsi="宋体"/>
          <w:sz w:val="24"/>
        </w:rPr>
        <w:t>其他相关费用说明：</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如遇特殊情况，</w:t>
      </w:r>
      <w:r>
        <w:rPr>
          <w:rFonts w:hint="eastAsia" w:ascii="宋体" w:hAnsi="宋体"/>
          <w:sz w:val="24"/>
          <w:lang w:eastAsia="zh-CN"/>
        </w:rPr>
        <w:t>安保</w:t>
      </w:r>
      <w:r>
        <w:rPr>
          <w:rFonts w:hint="eastAsia" w:ascii="宋体" w:hAnsi="宋体"/>
          <w:sz w:val="24"/>
        </w:rPr>
        <w:t>须按采购人需求进行加班，加班费在投标报价中自行考虑，中标后不作调整。</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lang w:eastAsia="zh-CN"/>
        </w:rPr>
        <w:t>队员</w:t>
      </w:r>
      <w:r>
        <w:rPr>
          <w:rFonts w:hint="eastAsia" w:ascii="宋体" w:hAnsi="宋体"/>
          <w:sz w:val="24"/>
        </w:rPr>
        <w:t>使用对讲通讯、巡视等设备均由中标单位自理，</w:t>
      </w:r>
      <w:r>
        <w:rPr>
          <w:rFonts w:hint="eastAsia" w:ascii="宋体" w:hAnsi="宋体"/>
          <w:sz w:val="24"/>
          <w:lang w:eastAsia="zh-CN"/>
        </w:rPr>
        <w:t>安保</w:t>
      </w:r>
      <w:r>
        <w:rPr>
          <w:rFonts w:hint="eastAsia" w:ascii="宋体" w:hAnsi="宋体"/>
          <w:sz w:val="24"/>
        </w:rPr>
        <w:t>服务管理中所需的物品（如低值易耗品、工具及相关设备）包含在中标价中，但要附有明细。</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其它临时性杂项服务极少，如采购人在日常工作时间搬运、看管物品，应急性地保障服务等，费用包含在中标价中。</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rPr>
          <w:rFonts w:hint="eastAsia" w:ascii="宋体" w:hAnsi="宋体"/>
          <w:b/>
          <w:bCs/>
          <w:color w:val="auto"/>
          <w:sz w:val="24"/>
          <w:highlight w:val="none"/>
        </w:rPr>
      </w:pPr>
      <w:r>
        <w:rPr>
          <w:rFonts w:hint="eastAsia" w:ascii="宋体" w:hAnsi="宋体"/>
          <w:sz w:val="24"/>
        </w:rPr>
        <w:t xml:space="preserve">    </w:t>
      </w:r>
      <w:r>
        <w:rPr>
          <w:rFonts w:hint="eastAsia" w:ascii="宋体" w:hAnsi="宋体"/>
          <w:b/>
          <w:bCs/>
          <w:color w:val="auto"/>
          <w:sz w:val="24"/>
          <w:highlight w:val="none"/>
        </w:rPr>
        <w:t>三、</w:t>
      </w:r>
      <w:r>
        <w:rPr>
          <w:rFonts w:hint="eastAsia" w:ascii="宋体" w:hAnsi="宋体"/>
          <w:b/>
          <w:bCs/>
          <w:sz w:val="24"/>
          <w:lang w:eastAsia="zh-CN"/>
        </w:rPr>
        <w:t>服务期限</w:t>
      </w:r>
      <w:r>
        <w:rPr>
          <w:rFonts w:hint="eastAsia" w:ascii="宋体" w:hAnsi="宋体"/>
          <w:b/>
          <w:bCs/>
          <w:sz w:val="24"/>
        </w:rPr>
        <w:t>：</w:t>
      </w:r>
    </w:p>
    <w:p>
      <w:pPr>
        <w:keepNext w:val="0"/>
        <w:keepLines w:val="0"/>
        <w:pageBreakBefore w:val="0"/>
        <w:widowControl w:val="0"/>
        <w:kinsoku/>
        <w:wordWrap/>
        <w:overflowPunct/>
        <w:topLinePunct w:val="0"/>
        <w:autoSpaceDE/>
        <w:autoSpaceDN/>
        <w:bidi w:val="0"/>
        <w:spacing w:line="500" w:lineRule="exact"/>
        <w:ind w:right="0" w:rightChars="0" w:firstLine="480" w:firstLineChars="200"/>
        <w:rPr>
          <w:rFonts w:hint="eastAsia" w:ascii="宋体" w:hAnsi="宋体"/>
          <w:color w:val="0000FF"/>
          <w:sz w:val="24"/>
          <w:lang w:eastAsia="zh-CN"/>
        </w:rPr>
      </w:pPr>
      <w:r>
        <w:rPr>
          <w:rFonts w:hint="eastAsia" w:ascii="宋体" w:hAnsi="宋体"/>
          <w:sz w:val="24"/>
          <w:lang w:eastAsia="zh-CN"/>
        </w:rPr>
        <w:t>本合同期限一年。</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2" w:firstLineChars="200"/>
        <w:rPr>
          <w:rFonts w:hint="eastAsia" w:ascii="宋体" w:hAnsi="宋体"/>
          <w:sz w:val="24"/>
        </w:rPr>
      </w:pPr>
      <w:r>
        <w:rPr>
          <w:rFonts w:hint="eastAsia" w:ascii="宋体" w:hAnsi="宋体"/>
          <w:b/>
          <w:bCs/>
          <w:color w:val="auto"/>
          <w:sz w:val="24"/>
          <w:highlight w:val="none"/>
        </w:rPr>
        <w:t>四、培训要求：</w:t>
      </w:r>
      <w:r>
        <w:rPr>
          <w:rFonts w:hint="eastAsia" w:ascii="宋体" w:hAnsi="宋体"/>
          <w:sz w:val="24"/>
          <w:lang w:eastAsia="zh-CN"/>
        </w:rPr>
        <w:t>队员需</w:t>
      </w:r>
      <w:r>
        <w:rPr>
          <w:rFonts w:hint="eastAsia" w:ascii="宋体" w:hAnsi="宋体"/>
          <w:sz w:val="24"/>
        </w:rPr>
        <w:t>进行完善的培训后方可上岗，有详细的培训计划、内容、方案、时间等。</w:t>
      </w:r>
    </w:p>
    <w:p>
      <w:pPr>
        <w:keepNext w:val="0"/>
        <w:keepLines w:val="0"/>
        <w:pageBreakBefore w:val="0"/>
        <w:kinsoku/>
        <w:wordWrap/>
        <w:overflowPunct/>
        <w:topLinePunct w:val="0"/>
        <w:autoSpaceDE/>
        <w:autoSpaceDN/>
        <w:bidi w:val="0"/>
        <w:adjustRightInd w:val="0"/>
        <w:snapToGrid w:val="0"/>
        <w:spacing w:line="500" w:lineRule="exact"/>
        <w:ind w:right="0" w:rightChars="0" w:firstLine="482" w:firstLineChars="200"/>
        <w:rPr>
          <w:rFonts w:hint="eastAsia" w:ascii="宋体" w:hAnsi="宋体"/>
          <w:b/>
          <w:color w:val="auto"/>
          <w:sz w:val="24"/>
        </w:rPr>
      </w:pPr>
      <w:r>
        <w:rPr>
          <w:rFonts w:hint="eastAsia" w:ascii="宋体" w:hAnsi="宋体"/>
          <w:b/>
          <w:color w:val="auto"/>
          <w:sz w:val="24"/>
          <w:lang w:eastAsia="zh-CN"/>
        </w:rPr>
        <w:t>五</w:t>
      </w:r>
      <w:r>
        <w:rPr>
          <w:rFonts w:hint="eastAsia" w:ascii="宋体" w:hAnsi="宋体"/>
          <w:b/>
          <w:color w:val="auto"/>
          <w:sz w:val="24"/>
        </w:rPr>
        <w:t>、费用支付：</w:t>
      </w:r>
    </w:p>
    <w:p>
      <w:pPr>
        <w:keepNext w:val="0"/>
        <w:keepLines w:val="0"/>
        <w:pageBreakBefore w:val="0"/>
        <w:kinsoku/>
        <w:wordWrap/>
        <w:overflowPunct/>
        <w:topLinePunct w:val="0"/>
        <w:autoSpaceDE/>
        <w:autoSpaceDN/>
        <w:bidi w:val="0"/>
        <w:adjustRightInd w:val="0"/>
        <w:snapToGrid w:val="0"/>
        <w:spacing w:line="500" w:lineRule="exact"/>
        <w:ind w:left="718" w:leftChars="342" w:right="0" w:rightChars="0" w:firstLine="480" w:firstLineChars="0"/>
        <w:rPr>
          <w:rFonts w:hint="eastAsia" w:eastAsia="宋体"/>
          <w:lang w:eastAsia="zh-CN"/>
        </w:rPr>
      </w:pPr>
      <w:r>
        <w:rPr>
          <w:rFonts w:hint="eastAsia" w:ascii="宋体" w:hAnsi="宋体" w:cs="Times New Roman"/>
          <w:sz w:val="24"/>
          <w:lang w:val="en-US" w:eastAsia="zh-CN"/>
        </w:rPr>
        <w:t>第一期合同签订后30日内支付30%；第二期合同履行一半经验收通过后支付40%；第三期合同结束经验收通过后支付30%，具体金额将扣除考核扣分款。</w:t>
      </w:r>
    </w:p>
    <w:p>
      <w:pPr>
        <w:pStyle w:val="25"/>
        <w:keepNext w:val="0"/>
        <w:keepLines w:val="0"/>
        <w:pageBreakBefore w:val="0"/>
        <w:widowControl w:val="0"/>
        <w:kinsoku/>
        <w:wordWrap/>
        <w:overflowPunct/>
        <w:topLinePunct w:val="0"/>
        <w:autoSpaceDE/>
        <w:autoSpaceDN/>
        <w:bidi w:val="0"/>
        <w:spacing w:line="500" w:lineRule="exact"/>
        <w:ind w:right="0" w:rightChars="0" w:firstLine="482" w:firstLineChars="200"/>
        <w:textAlignment w:val="auto"/>
        <w:outlineLvl w:val="1"/>
        <w:rPr>
          <w:rFonts w:hint="eastAsia" w:ascii="宋体" w:hAnsi="宋体" w:eastAsia="宋体" w:cs="宋体"/>
          <w:b/>
          <w:bCs/>
          <w:kern w:val="0"/>
          <w:sz w:val="24"/>
        </w:rPr>
      </w:pPr>
      <w:bookmarkStart w:id="27" w:name="_Toc303256693"/>
      <w:r>
        <w:rPr>
          <w:rFonts w:hint="eastAsia" w:ascii="宋体" w:hAnsi="宋体"/>
          <w:b/>
          <w:sz w:val="24"/>
          <w:lang w:eastAsia="zh-CN"/>
        </w:rPr>
        <w:t>六、</w:t>
      </w:r>
      <w:r>
        <w:rPr>
          <w:rFonts w:hint="eastAsia" w:ascii="宋体" w:hAnsi="宋体" w:eastAsia="宋体" w:cs="宋体"/>
          <w:b/>
          <w:bCs/>
          <w:sz w:val="24"/>
        </w:rPr>
        <w:t>考核细则</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宋体" w:hAnsi="宋体" w:eastAsia="宋体" w:cs="宋体"/>
          <w:b/>
          <w:bCs/>
          <w:sz w:val="24"/>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72" w:firstLineChars="196"/>
        <w:jc w:val="center"/>
        <w:outlineLvl w:val="1"/>
        <w:rPr>
          <w:rFonts w:hint="eastAsia" w:ascii="宋体" w:hAnsi="宋体" w:eastAsia="宋体" w:cs="宋体"/>
          <w:b/>
          <w:bCs/>
          <w:sz w:val="24"/>
        </w:rPr>
      </w:pPr>
      <w:r>
        <w:rPr>
          <w:rFonts w:hint="eastAsia" w:ascii="宋体" w:hAnsi="宋体" w:eastAsia="宋体" w:cs="宋体"/>
          <w:b/>
          <w:bCs/>
          <w:sz w:val="24"/>
          <w:lang w:eastAsia="zh-CN"/>
        </w:rPr>
        <w:t>人员</w:t>
      </w:r>
      <w:r>
        <w:rPr>
          <w:rFonts w:hint="eastAsia" w:ascii="宋体" w:hAnsi="宋体" w:eastAsia="宋体" w:cs="宋体"/>
          <w:b/>
          <w:bCs/>
          <w:sz w:val="24"/>
        </w:rPr>
        <w:t>日常管理督查考核细则</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b/>
                <w:szCs w:val="21"/>
              </w:rPr>
            </w:pPr>
            <w:r>
              <w:rPr>
                <w:rFonts w:hint="eastAsia" w:ascii="宋体" w:hAnsi="宋体" w:eastAsia="宋体" w:cs="宋体"/>
                <w:b/>
                <w:szCs w:val="21"/>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b/>
                <w:szCs w:val="21"/>
              </w:rPr>
            </w:pPr>
            <w:r>
              <w:rPr>
                <w:rFonts w:hint="eastAsia" w:ascii="宋体" w:hAnsi="宋体" w:eastAsia="宋体" w:cs="宋体"/>
                <w:b/>
                <w:szCs w:val="21"/>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b/>
                <w:szCs w:val="21"/>
              </w:rPr>
            </w:pPr>
            <w:r>
              <w:rPr>
                <w:rFonts w:hint="eastAsia" w:ascii="宋体" w:hAnsi="宋体" w:eastAsia="宋体" w:cs="宋体"/>
                <w:b/>
                <w:szCs w:val="21"/>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上班迟到、早退、擅自离岗</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cs="宋体"/>
                <w:szCs w:val="21"/>
                <w:lang w:eastAsia="zh-CN"/>
              </w:rPr>
              <w:t>无故</w:t>
            </w:r>
            <w:r>
              <w:rPr>
                <w:rFonts w:hint="eastAsia" w:ascii="宋体" w:hAnsi="宋体" w:eastAsia="宋体" w:cs="宋体"/>
                <w:szCs w:val="21"/>
              </w:rPr>
              <w:t>旷工</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无故不参加会议、集中学习</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上班期间着装不规范、不整洁</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在管理区域、路段聚众聊天、看手机、或进入店家做与工作无关的事</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违反请销假制度</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将警用装备借于他人使用</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8</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不服从正常的工作调动</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lang w:eastAsia="zh-CN"/>
              </w:rPr>
            </w:pPr>
            <w:r>
              <w:rPr>
                <w:rFonts w:hint="eastAsia" w:ascii="宋体" w:hAnsi="宋体" w:eastAsia="宋体" w:cs="宋体"/>
                <w:szCs w:val="21"/>
              </w:rPr>
              <w:t>队员对自己巡逻、管理区域、路段不熟悉，不了解消火栓地点并不能熟练使用消防器材</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遇险情未及时上报，未采取措施制止灾害扩大</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highlight w:val="yellow"/>
              </w:rPr>
            </w:pPr>
            <w:r>
              <w:rPr>
                <w:rFonts w:hint="eastAsia" w:ascii="宋体" w:hAnsi="宋体" w:eastAsia="宋体" w:cs="宋体"/>
                <w:szCs w:val="21"/>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highlight w:val="yellow"/>
              </w:rPr>
            </w:pPr>
            <w:r>
              <w:rPr>
                <w:rFonts w:hint="eastAsia" w:ascii="宋体" w:hAnsi="宋体" w:eastAsia="宋体" w:cs="宋体"/>
                <w:szCs w:val="21"/>
              </w:rPr>
              <w:t>在巡逻过程中，遇有正在实施的不法侵害行为时，未迅速制止和报警</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highlight w:val="yellow"/>
              </w:rPr>
            </w:pPr>
            <w:r>
              <w:rPr>
                <w:rFonts w:hint="eastAsia" w:ascii="宋体" w:hAnsi="宋体" w:eastAsia="宋体" w:cs="宋体"/>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受到国家法律及治安条例处罚</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highlight w:val="yellow"/>
              </w:rPr>
            </w:pPr>
            <w:r>
              <w:rPr>
                <w:rFonts w:hint="eastAsia" w:ascii="宋体" w:hAnsi="宋体" w:eastAsia="宋体" w:cs="宋体"/>
                <w:szCs w:val="21"/>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对中队督查人员指出的问题不立即进行整改或还顶撞</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对中队领导及街道领导发现、指出的问题，不立即进行整改或还顶撞</w:t>
            </w:r>
            <w:r>
              <w:rPr>
                <w:rFonts w:hint="eastAsia" w:ascii="宋体" w:hAnsi="宋体" w:cs="宋体"/>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center"/>
              <w:rPr>
                <w:rFonts w:hint="eastAsia" w:ascii="宋体" w:hAnsi="宋体" w:eastAsia="宋体" w:cs="宋体"/>
                <w:szCs w:val="21"/>
              </w:rPr>
            </w:pPr>
            <w:r>
              <w:rPr>
                <w:rFonts w:hint="eastAsia" w:ascii="宋体" w:hAnsi="宋体" w:eastAsia="宋体" w:cs="宋体"/>
                <w:szCs w:val="21"/>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b/>
                <w:szCs w:val="21"/>
              </w:rPr>
            </w:pPr>
            <w:r>
              <w:rPr>
                <w:rFonts w:hint="eastAsia" w:ascii="宋体" w:hAnsi="宋体" w:eastAsia="宋体" w:cs="宋体"/>
                <w:b/>
                <w:szCs w:val="21"/>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500" w:lineRule="exact"/>
              <w:ind w:left="0" w:right="0" w:rightChars="0"/>
              <w:jc w:val="left"/>
              <w:rPr>
                <w:rFonts w:hint="eastAsia" w:ascii="宋体" w:hAnsi="宋体" w:eastAsia="宋体" w:cs="宋体"/>
                <w:szCs w:val="21"/>
              </w:rPr>
            </w:pPr>
            <w:r>
              <w:rPr>
                <w:rFonts w:hint="eastAsia" w:ascii="宋体" w:hAnsi="宋体" w:eastAsia="宋体" w:cs="宋体"/>
                <w:szCs w:val="21"/>
              </w:rPr>
              <w:t>此督查考核仅限于招标单位对中标单位提供的服务外包人员根据服务外包管理内容履职进行考核，根据考核扣分情况进行每月汇总。</w:t>
            </w:r>
          </w:p>
        </w:tc>
      </w:tr>
    </w:tbl>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宋体" w:hAnsi="宋体" w:cs="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宋体" w:hAnsi="宋体" w:eastAsia="宋体" w:cs="宋体"/>
          <w:szCs w:val="21"/>
        </w:rPr>
      </w:pPr>
      <w:r>
        <w:rPr>
          <w:rFonts w:hint="eastAsia" w:ascii="宋体" w:hAnsi="宋体" w:cs="宋体"/>
          <w:szCs w:val="21"/>
          <w:lang w:eastAsia="zh-CN"/>
        </w:rPr>
        <w:t>采购</w:t>
      </w:r>
      <w:r>
        <w:rPr>
          <w:rFonts w:hint="eastAsia" w:ascii="宋体" w:hAnsi="宋体" w:eastAsia="宋体" w:cs="宋体"/>
          <w:szCs w:val="21"/>
        </w:rPr>
        <w:t xml:space="preserve">方：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检查人员签字：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部室负责人签字：      </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30" w:firstLineChars="300"/>
        <w:rPr>
          <w:rFonts w:hint="eastAsia" w:ascii="宋体" w:hAnsi="宋体" w:eastAsia="宋体" w:cs="宋体"/>
          <w:szCs w:val="21"/>
        </w:rPr>
      </w:pPr>
      <w:r>
        <w:rPr>
          <w:rFonts w:hint="eastAsia" w:ascii="宋体" w:hAnsi="宋体" w:cs="宋体"/>
          <w:szCs w:val="21"/>
          <w:lang w:eastAsia="zh-CN"/>
        </w:rPr>
        <w:t>中标方：</w:t>
      </w:r>
      <w:r>
        <w:rPr>
          <w:rFonts w:hint="eastAsia" w:ascii="宋体" w:hAnsi="宋体" w:cs="宋体"/>
          <w:szCs w:val="21"/>
          <w:lang w:val="en-US" w:eastAsia="zh-CN"/>
        </w:rPr>
        <w:t xml:space="preserve">           项目负责人签字：             总经理签字：</w:t>
      </w:r>
      <w:r>
        <w:rPr>
          <w:rFonts w:hint="eastAsia" w:ascii="宋体" w:hAnsi="宋体" w:eastAsia="宋体" w:cs="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eastAsia="宋体" w:cs="宋体"/>
          <w:szCs w:val="21"/>
        </w:rPr>
        <w:t>备注：每月抽查一次，根据检查情况进行扣分；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lang w:eastAsia="zh-CN"/>
        </w:rPr>
      </w:pPr>
      <w:r>
        <w:rPr>
          <w:rFonts w:hint="eastAsia" w:ascii="宋体" w:hAnsi="宋体" w:eastAsia="宋体" w:cs="宋体"/>
          <w:szCs w:val="21"/>
        </w:rPr>
        <w:t>若分值＜80分，</w:t>
      </w:r>
      <w:r>
        <w:rPr>
          <w:rFonts w:hint="eastAsia" w:ascii="宋体" w:hAnsi="宋体" w:cs="宋体"/>
          <w:szCs w:val="21"/>
          <w:lang w:eastAsia="zh-CN"/>
        </w:rPr>
        <w:t>视为考核不合格，并扣除本月巡逻安保服务经费</w:t>
      </w:r>
      <w:r>
        <w:rPr>
          <w:rFonts w:hint="eastAsia" w:ascii="宋体" w:hAnsi="宋体" w:cs="宋体"/>
          <w:szCs w:val="21"/>
          <w:lang w:val="en-US" w:eastAsia="zh-CN"/>
        </w:rPr>
        <w:t>1</w:t>
      </w:r>
      <w:r>
        <w:rPr>
          <w:rFonts w:hint="eastAsia" w:ascii="宋体" w:hAnsi="宋体" w:cs="宋体"/>
          <w:szCs w:val="21"/>
          <w:lang w:eastAsia="zh-CN"/>
        </w:rPr>
        <w:t>0%</w:t>
      </w:r>
      <w:r>
        <w:rPr>
          <w:rFonts w:hint="eastAsia" w:ascii="宋体" w:hAnsi="宋体" w:eastAsia="宋体" w:cs="宋体"/>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cs="宋体"/>
          <w:szCs w:val="21"/>
          <w:lang w:val="en-US" w:eastAsia="zh-CN"/>
        </w:rPr>
        <w:t>B</w:t>
      </w:r>
      <w:r>
        <w:rPr>
          <w:rFonts w:hint="eastAsia" w:ascii="宋体" w:hAnsi="宋体" w:eastAsia="宋体" w:cs="宋体"/>
          <w:szCs w:val="21"/>
        </w:rPr>
        <w:t>、若</w:t>
      </w:r>
      <w:r>
        <w:rPr>
          <w:rFonts w:hint="eastAsia" w:ascii="宋体" w:hAnsi="宋体" w:cs="宋体"/>
          <w:szCs w:val="21"/>
          <w:lang w:val="en-US" w:eastAsia="zh-CN"/>
        </w:rPr>
        <w:t>85</w:t>
      </w:r>
      <w:r>
        <w:rPr>
          <w:rFonts w:hint="eastAsia" w:ascii="宋体" w:hAnsi="宋体" w:eastAsia="宋体" w:cs="宋体"/>
          <w:szCs w:val="21"/>
        </w:rPr>
        <w:t>分≤考核得分＜</w:t>
      </w:r>
      <w:r>
        <w:rPr>
          <w:rFonts w:hint="eastAsia" w:ascii="宋体" w:hAnsi="宋体" w:cs="宋体"/>
          <w:szCs w:val="21"/>
          <w:lang w:val="en-US" w:eastAsia="zh-CN"/>
        </w:rPr>
        <w:t>90</w:t>
      </w:r>
      <w:r>
        <w:rPr>
          <w:rFonts w:hint="eastAsia" w:ascii="宋体" w:hAnsi="宋体" w:eastAsia="宋体" w:cs="宋体"/>
          <w:szCs w:val="21"/>
        </w:rPr>
        <w:t>分，</w:t>
      </w:r>
      <w:r>
        <w:rPr>
          <w:rFonts w:hint="eastAsia" w:ascii="宋体" w:hAnsi="宋体" w:cs="宋体"/>
          <w:szCs w:val="21"/>
          <w:lang w:eastAsia="zh-CN"/>
        </w:rPr>
        <w:t>每扣</w:t>
      </w:r>
      <w:r>
        <w:rPr>
          <w:rFonts w:hint="eastAsia" w:ascii="宋体" w:hAnsi="宋体" w:cs="宋体"/>
          <w:szCs w:val="21"/>
          <w:lang w:val="en-US" w:eastAsia="zh-CN"/>
        </w:rPr>
        <w:t>0.1分，</w:t>
      </w:r>
      <w:r>
        <w:rPr>
          <w:rFonts w:hint="eastAsia" w:ascii="宋体" w:hAnsi="宋体" w:eastAsia="宋体" w:cs="宋体"/>
          <w:szCs w:val="21"/>
        </w:rPr>
        <w:t>扣</w:t>
      </w:r>
      <w:r>
        <w:rPr>
          <w:rFonts w:hint="eastAsia" w:ascii="宋体" w:hAnsi="宋体" w:cs="宋体"/>
          <w:szCs w:val="21"/>
          <w:lang w:val="en-US" w:eastAsia="zh-CN"/>
        </w:rPr>
        <w:t>300元</w:t>
      </w:r>
      <w:r>
        <w:rPr>
          <w:rFonts w:hint="eastAsia" w:ascii="宋体" w:hAnsi="宋体" w:eastAsia="宋体" w:cs="宋体"/>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cs="宋体"/>
          <w:szCs w:val="21"/>
          <w:lang w:val="en-US" w:eastAsia="zh-CN"/>
        </w:rPr>
        <w:t>B</w:t>
      </w:r>
      <w:r>
        <w:rPr>
          <w:rFonts w:hint="eastAsia" w:ascii="宋体" w:hAnsi="宋体" w:eastAsia="宋体" w:cs="宋体"/>
          <w:szCs w:val="21"/>
        </w:rPr>
        <w:t>、若</w:t>
      </w:r>
      <w:r>
        <w:rPr>
          <w:rFonts w:hint="eastAsia" w:ascii="宋体" w:hAnsi="宋体" w:cs="宋体"/>
          <w:szCs w:val="21"/>
          <w:lang w:val="en-US" w:eastAsia="zh-CN"/>
        </w:rPr>
        <w:t>9</w:t>
      </w:r>
      <w:r>
        <w:rPr>
          <w:rFonts w:hint="eastAsia" w:ascii="宋体" w:hAnsi="宋体" w:eastAsia="宋体" w:cs="宋体"/>
          <w:szCs w:val="21"/>
        </w:rPr>
        <w:t>0分≤考核得分＜</w:t>
      </w:r>
      <w:r>
        <w:rPr>
          <w:rFonts w:hint="eastAsia" w:ascii="宋体" w:hAnsi="宋体" w:cs="宋体"/>
          <w:szCs w:val="21"/>
          <w:lang w:val="en-US" w:eastAsia="zh-CN"/>
        </w:rPr>
        <w:t>9</w:t>
      </w:r>
      <w:r>
        <w:rPr>
          <w:rFonts w:hint="eastAsia" w:ascii="宋体" w:hAnsi="宋体" w:eastAsia="宋体" w:cs="宋体"/>
          <w:szCs w:val="21"/>
        </w:rPr>
        <w:t>5分，</w:t>
      </w:r>
      <w:r>
        <w:rPr>
          <w:rFonts w:hint="eastAsia" w:ascii="宋体" w:hAnsi="宋体" w:cs="宋体"/>
          <w:szCs w:val="21"/>
          <w:lang w:eastAsia="zh-CN"/>
        </w:rPr>
        <w:t>每扣</w:t>
      </w:r>
      <w:r>
        <w:rPr>
          <w:rFonts w:hint="eastAsia" w:ascii="宋体" w:hAnsi="宋体" w:cs="宋体"/>
          <w:szCs w:val="21"/>
          <w:lang w:val="en-US" w:eastAsia="zh-CN"/>
        </w:rPr>
        <w:t>0.1分，</w:t>
      </w:r>
      <w:r>
        <w:rPr>
          <w:rFonts w:hint="eastAsia" w:ascii="宋体" w:hAnsi="宋体" w:eastAsia="宋体" w:cs="宋体"/>
          <w:szCs w:val="21"/>
        </w:rPr>
        <w:t>扣</w:t>
      </w:r>
      <w:r>
        <w:rPr>
          <w:rFonts w:hint="eastAsia" w:ascii="宋体" w:hAnsi="宋体" w:cs="宋体"/>
          <w:szCs w:val="21"/>
          <w:lang w:val="en-US" w:eastAsia="zh-CN"/>
        </w:rPr>
        <w:t>200元</w:t>
      </w:r>
      <w:r>
        <w:rPr>
          <w:rFonts w:hint="eastAsia" w:ascii="宋体" w:hAnsi="宋体" w:eastAsia="宋体" w:cs="宋体"/>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cs="宋体"/>
          <w:szCs w:val="21"/>
          <w:lang w:val="en-US" w:eastAsia="zh-CN"/>
        </w:rPr>
        <w:t>C</w:t>
      </w:r>
      <w:r>
        <w:rPr>
          <w:rFonts w:hint="eastAsia" w:ascii="宋体" w:hAnsi="宋体" w:eastAsia="宋体" w:cs="宋体"/>
          <w:szCs w:val="21"/>
        </w:rPr>
        <w:t>、考核得分≥</w:t>
      </w:r>
      <w:r>
        <w:rPr>
          <w:rFonts w:hint="eastAsia" w:ascii="宋体" w:hAnsi="宋体" w:cs="宋体"/>
          <w:szCs w:val="21"/>
          <w:lang w:val="en-US" w:eastAsia="zh-CN"/>
        </w:rPr>
        <w:t>9</w:t>
      </w:r>
      <w:r>
        <w:rPr>
          <w:rFonts w:hint="eastAsia" w:ascii="宋体" w:hAnsi="宋体" w:eastAsia="宋体" w:cs="宋体"/>
          <w:szCs w:val="21"/>
        </w:rPr>
        <w:t>5分，支付合同约定服务费用的100%；</w:t>
      </w:r>
      <w:bookmarkEnd w:id="27"/>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lang w:eastAsia="zh-CN"/>
        </w:rPr>
      </w:pPr>
      <w:r>
        <w:rPr>
          <w:rFonts w:hint="eastAsia" w:ascii="宋体" w:hAnsi="宋体" w:cs="宋体"/>
          <w:szCs w:val="21"/>
          <w:lang w:val="en-US" w:eastAsia="zh-CN"/>
        </w:rPr>
        <w:t>D</w:t>
      </w:r>
      <w:r>
        <w:rPr>
          <w:rFonts w:hint="eastAsia" w:ascii="宋体" w:hAnsi="宋体" w:eastAsia="宋体" w:cs="宋体"/>
          <w:szCs w:val="21"/>
          <w:lang w:val="en-US" w:eastAsia="zh-CN"/>
        </w:rPr>
        <w:t>、</w:t>
      </w:r>
      <w:r>
        <w:rPr>
          <w:rFonts w:hint="eastAsia" w:ascii="宋体" w:hAnsi="宋体" w:eastAsia="宋体" w:cs="宋体"/>
          <w:szCs w:val="21"/>
          <w:lang w:eastAsia="zh-CN"/>
        </w:rPr>
        <w:t>以下情况为强制性要求，一旦发生经查实，每次将扣除本</w:t>
      </w:r>
      <w:r>
        <w:rPr>
          <w:rFonts w:hint="eastAsia" w:ascii="宋体" w:hAnsi="宋体" w:cs="宋体"/>
          <w:szCs w:val="21"/>
          <w:lang w:eastAsia="zh-CN"/>
        </w:rPr>
        <w:t>月巡逻安保</w:t>
      </w:r>
      <w:r>
        <w:rPr>
          <w:rFonts w:hint="eastAsia" w:ascii="宋体" w:hAnsi="宋体" w:eastAsia="宋体" w:cs="宋体"/>
          <w:szCs w:val="21"/>
          <w:lang w:eastAsia="zh-CN"/>
        </w:rPr>
        <w:t>服务经费20%。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巡逻安保</w:t>
      </w:r>
      <w:r>
        <w:rPr>
          <w:rFonts w:hint="eastAsia" w:ascii="宋体" w:hAnsi="宋体" w:cs="宋体"/>
          <w:szCs w:val="21"/>
          <w:lang w:eastAsia="zh-CN"/>
        </w:rPr>
        <w:t>人员</w:t>
      </w:r>
      <w:r>
        <w:rPr>
          <w:rFonts w:hint="eastAsia" w:ascii="宋体" w:hAnsi="宋体" w:eastAsia="宋体" w:cs="宋体"/>
          <w:szCs w:val="21"/>
        </w:rPr>
        <w:t>缺人、缺岗；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rPr>
          <w:rFonts w:hint="eastAsia" w:ascii="宋体" w:hAnsi="宋体" w:eastAsia="宋体" w:cs="宋体"/>
          <w:szCs w:val="21"/>
        </w:rPr>
      </w:pPr>
      <w:r>
        <w:rPr>
          <w:rFonts w:hint="eastAsia" w:ascii="宋体" w:hAnsi="宋体" w:cs="宋体"/>
          <w:szCs w:val="21"/>
          <w:lang w:val="en-US" w:eastAsia="zh-CN"/>
        </w:rPr>
        <w:t>2</w:t>
      </w:r>
      <w:r>
        <w:rPr>
          <w:rFonts w:hint="eastAsia" w:ascii="宋体" w:hAnsi="宋体" w:eastAsia="宋体" w:cs="宋体"/>
          <w:szCs w:val="21"/>
        </w:rPr>
        <w:t>、重大治安事件，责任由巡逻安保</w:t>
      </w:r>
      <w:r>
        <w:rPr>
          <w:rFonts w:hint="eastAsia" w:ascii="宋体" w:hAnsi="宋体" w:cs="宋体"/>
          <w:szCs w:val="21"/>
          <w:lang w:eastAsia="zh-CN"/>
        </w:rPr>
        <w:t>服务</w:t>
      </w:r>
      <w:r>
        <w:rPr>
          <w:rFonts w:hint="eastAsia" w:ascii="宋体" w:hAnsi="宋体" w:eastAsia="宋体" w:cs="宋体"/>
          <w:szCs w:val="21"/>
        </w:rPr>
        <w:t>方引起的；重大火灾事故，责任由</w:t>
      </w:r>
      <w:r>
        <w:rPr>
          <w:rFonts w:hint="eastAsia" w:ascii="宋体" w:hAnsi="宋体" w:eastAsia="宋体" w:cs="宋体"/>
          <w:szCs w:val="21"/>
          <w:lang w:eastAsia="zh-CN"/>
        </w:rPr>
        <w:t>巡逻安保</w:t>
      </w:r>
      <w:r>
        <w:rPr>
          <w:rFonts w:hint="eastAsia" w:ascii="宋体" w:hAnsi="宋体" w:eastAsia="宋体" w:cs="宋体"/>
          <w:szCs w:val="21"/>
        </w:rPr>
        <w:t>服务方引起的；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pPr>
      <w:r>
        <w:rPr>
          <w:rFonts w:hint="eastAsia" w:ascii="宋体" w:hAnsi="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eastAsia="zh-CN"/>
        </w:rPr>
        <w:t>巡逻安保</w:t>
      </w:r>
      <w:r>
        <w:rPr>
          <w:rFonts w:hint="eastAsia" w:ascii="宋体" w:hAnsi="宋体" w:cs="宋体"/>
          <w:szCs w:val="21"/>
          <w:lang w:eastAsia="zh-CN"/>
        </w:rPr>
        <w:t>人员</w:t>
      </w:r>
      <w:r>
        <w:rPr>
          <w:rFonts w:hint="eastAsia" w:ascii="宋体" w:hAnsi="宋体" w:eastAsia="宋体" w:cs="宋体"/>
          <w:szCs w:val="21"/>
        </w:rPr>
        <w:t>在街道管辖范围内严重违反街道规章制度，产生较严重后果的。</w:t>
      </w:r>
    </w:p>
    <w:p>
      <w:pPr>
        <w:pStyle w:val="9"/>
        <w:rPr>
          <w:rFonts w:hint="eastAsia" w:ascii="仿宋" w:hAnsi="仿宋" w:eastAsia="仿宋" w:cs="仿宋_GB2312"/>
          <w:b/>
          <w:sz w:val="36"/>
          <w:szCs w:val="36"/>
        </w:rPr>
      </w:pPr>
    </w:p>
    <w:p>
      <w:pPr>
        <w:rPr>
          <w:rFonts w:hint="eastAsia"/>
        </w:rPr>
      </w:pPr>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t xml:space="preserve">第四部分   </w:t>
      </w:r>
      <w:bookmarkStart w:id="28" w:name="_Toc184312115"/>
      <w:bookmarkEnd w:id="28"/>
      <w:bookmarkStart w:id="29" w:name="_Toc184313295"/>
      <w:bookmarkEnd w:id="29"/>
      <w:bookmarkStart w:id="30" w:name="_Toc184313293"/>
      <w:bookmarkEnd w:id="30"/>
      <w:bookmarkStart w:id="31" w:name="_Toc184312138"/>
      <w:bookmarkEnd w:id="31"/>
      <w:bookmarkStart w:id="32" w:name="_Toc184308107"/>
      <w:bookmarkEnd w:id="32"/>
      <w:bookmarkStart w:id="33" w:name="_Toc184314478"/>
      <w:bookmarkEnd w:id="33"/>
      <w:bookmarkStart w:id="34" w:name="_Toc184310286"/>
      <w:bookmarkEnd w:id="34"/>
      <w:bookmarkStart w:id="35" w:name="_Toc184308068"/>
      <w:bookmarkEnd w:id="35"/>
      <w:bookmarkStart w:id="36" w:name="_Toc184313241"/>
      <w:bookmarkEnd w:id="36"/>
      <w:bookmarkStart w:id="37" w:name="_Toc184310329"/>
      <w:bookmarkEnd w:id="37"/>
      <w:bookmarkStart w:id="38" w:name="_Toc184312117"/>
      <w:bookmarkEnd w:id="38"/>
      <w:bookmarkStart w:id="39" w:name="_Toc184308102"/>
      <w:bookmarkEnd w:id="39"/>
      <w:bookmarkStart w:id="40" w:name="_Toc184313249"/>
      <w:bookmarkEnd w:id="40"/>
      <w:bookmarkStart w:id="41" w:name="_Toc184313304"/>
      <w:bookmarkEnd w:id="41"/>
      <w:bookmarkStart w:id="42" w:name="_Toc184310326"/>
      <w:bookmarkEnd w:id="42"/>
      <w:bookmarkStart w:id="43" w:name="_Toc184313309"/>
      <w:bookmarkEnd w:id="43"/>
      <w:bookmarkStart w:id="44" w:name="_Toc184312118"/>
      <w:bookmarkEnd w:id="44"/>
      <w:bookmarkStart w:id="45" w:name="_Toc184312137"/>
      <w:bookmarkEnd w:id="45"/>
      <w:bookmarkStart w:id="46" w:name="_Toc184310289"/>
      <w:bookmarkEnd w:id="46"/>
      <w:bookmarkStart w:id="47" w:name="_Toc184313262"/>
      <w:bookmarkEnd w:id="47"/>
      <w:bookmarkStart w:id="48" w:name="_Toc184313296"/>
      <w:bookmarkEnd w:id="48"/>
      <w:bookmarkStart w:id="49" w:name="_Toc184308072"/>
      <w:bookmarkEnd w:id="49"/>
      <w:bookmarkStart w:id="50" w:name="_Toc184313307"/>
      <w:bookmarkEnd w:id="50"/>
      <w:bookmarkStart w:id="51" w:name="_Toc184314449"/>
      <w:bookmarkEnd w:id="51"/>
      <w:bookmarkStart w:id="52" w:name="_Toc184310307"/>
      <w:bookmarkEnd w:id="52"/>
      <w:bookmarkStart w:id="53" w:name="_Toc184312096"/>
      <w:bookmarkEnd w:id="53"/>
      <w:bookmarkStart w:id="54" w:name="_Toc184308046"/>
      <w:bookmarkEnd w:id="54"/>
      <w:bookmarkStart w:id="55" w:name="_Toc184308051"/>
      <w:bookmarkEnd w:id="55"/>
      <w:bookmarkStart w:id="56" w:name="_Toc184314444"/>
      <w:bookmarkEnd w:id="56"/>
      <w:bookmarkStart w:id="57" w:name="_Toc184308103"/>
      <w:bookmarkEnd w:id="57"/>
      <w:bookmarkStart w:id="58" w:name="_Toc184314439"/>
      <w:bookmarkEnd w:id="58"/>
      <w:bookmarkStart w:id="59" w:name="_Toc184313305"/>
      <w:bookmarkEnd w:id="59"/>
      <w:bookmarkStart w:id="60" w:name="_Toc184313300"/>
      <w:bookmarkEnd w:id="60"/>
      <w:bookmarkStart w:id="61" w:name="_Toc184312139"/>
      <w:bookmarkEnd w:id="61"/>
      <w:bookmarkStart w:id="62" w:name="_Toc184310299"/>
      <w:bookmarkEnd w:id="62"/>
      <w:bookmarkStart w:id="63" w:name="_Toc184314457"/>
      <w:bookmarkEnd w:id="63"/>
      <w:bookmarkStart w:id="64" w:name="_Toc184312085"/>
      <w:bookmarkEnd w:id="64"/>
      <w:bookmarkStart w:id="65" w:name="_Toc184313272"/>
      <w:bookmarkEnd w:id="65"/>
      <w:bookmarkStart w:id="66" w:name="_Toc184313290"/>
      <w:bookmarkEnd w:id="66"/>
      <w:bookmarkStart w:id="67" w:name="_Toc184308063"/>
      <w:bookmarkEnd w:id="67"/>
      <w:bookmarkStart w:id="68" w:name="_Toc184313282"/>
      <w:bookmarkEnd w:id="68"/>
      <w:bookmarkStart w:id="69" w:name="_Toc184314459"/>
      <w:bookmarkEnd w:id="69"/>
      <w:bookmarkStart w:id="70" w:name="_Toc184312104"/>
      <w:bookmarkEnd w:id="70"/>
      <w:bookmarkStart w:id="71" w:name="_Toc184313261"/>
      <w:bookmarkEnd w:id="71"/>
      <w:bookmarkStart w:id="72" w:name="_Toc184313287"/>
      <w:bookmarkEnd w:id="72"/>
      <w:bookmarkStart w:id="73" w:name="_Toc184313292"/>
      <w:bookmarkEnd w:id="73"/>
      <w:bookmarkStart w:id="74" w:name="_Toc184310288"/>
      <w:bookmarkEnd w:id="74"/>
      <w:bookmarkStart w:id="75" w:name="_Toc184313252"/>
      <w:bookmarkEnd w:id="75"/>
      <w:bookmarkStart w:id="76" w:name="_Toc184312109"/>
      <w:bookmarkEnd w:id="76"/>
      <w:bookmarkStart w:id="77" w:name="_Toc184312080"/>
      <w:bookmarkEnd w:id="77"/>
      <w:bookmarkStart w:id="78" w:name="_Toc184314464"/>
      <w:bookmarkEnd w:id="78"/>
      <w:bookmarkStart w:id="79" w:name="_Toc184310340"/>
      <w:bookmarkEnd w:id="79"/>
      <w:bookmarkStart w:id="80" w:name="_Toc184312133"/>
      <w:bookmarkEnd w:id="80"/>
      <w:bookmarkStart w:id="81" w:name="_Toc184310305"/>
      <w:bookmarkEnd w:id="81"/>
      <w:bookmarkStart w:id="82" w:name="_Toc184314461"/>
      <w:bookmarkEnd w:id="82"/>
      <w:bookmarkStart w:id="83" w:name="_Toc184312113"/>
      <w:bookmarkEnd w:id="83"/>
      <w:bookmarkStart w:id="84" w:name="_Toc184314456"/>
      <w:bookmarkEnd w:id="84"/>
      <w:bookmarkStart w:id="85" w:name="_Toc184308085"/>
      <w:bookmarkEnd w:id="85"/>
      <w:bookmarkStart w:id="86" w:name="_Toc184312126"/>
      <w:bookmarkEnd w:id="86"/>
      <w:bookmarkStart w:id="87" w:name="_Toc184314463"/>
      <w:bookmarkEnd w:id="87"/>
      <w:bookmarkStart w:id="88" w:name="_Toc184314480"/>
      <w:bookmarkEnd w:id="88"/>
      <w:bookmarkStart w:id="89" w:name="_Toc184314466"/>
      <w:bookmarkEnd w:id="89"/>
      <w:bookmarkStart w:id="90" w:name="_Toc184312116"/>
      <w:bookmarkEnd w:id="90"/>
      <w:bookmarkStart w:id="91" w:name="_Toc184314460"/>
      <w:bookmarkEnd w:id="91"/>
      <w:bookmarkStart w:id="92" w:name="_Toc184310328"/>
      <w:bookmarkEnd w:id="92"/>
      <w:bookmarkStart w:id="93" w:name="_Toc184312114"/>
      <w:bookmarkEnd w:id="93"/>
      <w:bookmarkStart w:id="94" w:name="_Toc184312102"/>
      <w:bookmarkEnd w:id="94"/>
      <w:bookmarkStart w:id="95" w:name="_Toc184314424"/>
      <w:bookmarkEnd w:id="95"/>
      <w:bookmarkStart w:id="96" w:name="_Toc184308088"/>
      <w:bookmarkEnd w:id="96"/>
      <w:bookmarkStart w:id="97" w:name="_Toc184314479"/>
      <w:bookmarkEnd w:id="97"/>
      <w:bookmarkStart w:id="98" w:name="_Toc184314420"/>
      <w:bookmarkEnd w:id="98"/>
      <w:bookmarkStart w:id="99" w:name="_Toc184313285"/>
      <w:bookmarkEnd w:id="99"/>
      <w:bookmarkStart w:id="100" w:name="_Toc184314419"/>
      <w:bookmarkEnd w:id="100"/>
      <w:bookmarkStart w:id="101" w:name="_Toc184313302"/>
      <w:bookmarkEnd w:id="101"/>
      <w:bookmarkStart w:id="102" w:name="_Toc184314470"/>
      <w:bookmarkEnd w:id="102"/>
      <w:bookmarkStart w:id="103" w:name="_Toc184312127"/>
      <w:bookmarkEnd w:id="103"/>
      <w:bookmarkStart w:id="104" w:name="_Toc184310323"/>
      <w:bookmarkEnd w:id="104"/>
      <w:bookmarkStart w:id="105" w:name="_Toc184312119"/>
      <w:bookmarkEnd w:id="105"/>
      <w:bookmarkStart w:id="106" w:name="_Toc184312093"/>
      <w:bookmarkEnd w:id="106"/>
      <w:bookmarkStart w:id="107" w:name="_Toc184310331"/>
      <w:bookmarkEnd w:id="107"/>
      <w:bookmarkStart w:id="108" w:name="_Toc184314450"/>
      <w:bookmarkEnd w:id="108"/>
      <w:bookmarkStart w:id="109" w:name="_Toc184314451"/>
      <w:bookmarkEnd w:id="109"/>
      <w:bookmarkStart w:id="110" w:name="_Toc184312067"/>
      <w:bookmarkEnd w:id="110"/>
      <w:bookmarkStart w:id="111" w:name="_Toc184310327"/>
      <w:bookmarkEnd w:id="111"/>
      <w:bookmarkStart w:id="112" w:name="_Toc184312134"/>
      <w:bookmarkEnd w:id="112"/>
      <w:bookmarkStart w:id="113" w:name="_Toc184308036"/>
      <w:bookmarkEnd w:id="113"/>
      <w:bookmarkStart w:id="114" w:name="_Toc184314462"/>
      <w:bookmarkEnd w:id="114"/>
      <w:bookmarkStart w:id="115" w:name="_Toc184312099"/>
      <w:bookmarkEnd w:id="115"/>
      <w:bookmarkStart w:id="116" w:name="_Toc184314452"/>
      <w:bookmarkEnd w:id="116"/>
      <w:bookmarkStart w:id="117" w:name="_Toc184313301"/>
      <w:bookmarkEnd w:id="117"/>
      <w:bookmarkStart w:id="118" w:name="_Toc184312125"/>
      <w:bookmarkEnd w:id="118"/>
      <w:bookmarkStart w:id="119" w:name="_Toc184313257"/>
      <w:bookmarkEnd w:id="119"/>
      <w:bookmarkStart w:id="120" w:name="_Toc184312087"/>
      <w:bookmarkEnd w:id="120"/>
      <w:bookmarkStart w:id="121" w:name="_Toc184314429"/>
      <w:bookmarkEnd w:id="121"/>
      <w:bookmarkStart w:id="122" w:name="_Toc184310303"/>
      <w:bookmarkEnd w:id="122"/>
      <w:bookmarkStart w:id="123" w:name="_Toc184310333"/>
      <w:bookmarkEnd w:id="123"/>
      <w:bookmarkStart w:id="124" w:name="_Toc184308089"/>
      <w:bookmarkEnd w:id="124"/>
      <w:bookmarkStart w:id="125" w:name="_Toc184310283"/>
      <w:bookmarkEnd w:id="125"/>
      <w:bookmarkStart w:id="126" w:name="_Toc184313265"/>
      <w:bookmarkEnd w:id="126"/>
      <w:bookmarkStart w:id="127" w:name="_Toc184312121"/>
      <w:bookmarkEnd w:id="127"/>
      <w:bookmarkStart w:id="128" w:name="_Toc184308081"/>
      <w:bookmarkEnd w:id="128"/>
      <w:bookmarkStart w:id="129" w:name="_Toc184310296"/>
      <w:bookmarkEnd w:id="129"/>
      <w:bookmarkStart w:id="130" w:name="_Toc184310325"/>
      <w:bookmarkEnd w:id="130"/>
      <w:bookmarkStart w:id="131" w:name="_Toc184312094"/>
      <w:bookmarkEnd w:id="131"/>
      <w:bookmarkStart w:id="132" w:name="_Toc184310280"/>
      <w:bookmarkEnd w:id="132"/>
      <w:bookmarkStart w:id="133" w:name="_Toc184312136"/>
      <w:bookmarkEnd w:id="133"/>
      <w:bookmarkStart w:id="134" w:name="_Toc184313294"/>
      <w:bookmarkEnd w:id="134"/>
      <w:bookmarkStart w:id="135" w:name="_Toc184312108"/>
      <w:bookmarkEnd w:id="135"/>
      <w:bookmarkStart w:id="136" w:name="_Toc184308059"/>
      <w:bookmarkEnd w:id="136"/>
      <w:bookmarkStart w:id="137" w:name="_Toc184310336"/>
      <w:bookmarkEnd w:id="137"/>
      <w:bookmarkStart w:id="138" w:name="_Toc184310310"/>
      <w:bookmarkEnd w:id="138"/>
      <w:bookmarkStart w:id="139" w:name="_Toc184308052"/>
      <w:bookmarkEnd w:id="139"/>
      <w:bookmarkStart w:id="140" w:name="_Toc184314458"/>
      <w:bookmarkEnd w:id="140"/>
      <w:bookmarkStart w:id="141" w:name="_Toc184312095"/>
      <w:bookmarkEnd w:id="141"/>
      <w:bookmarkStart w:id="142" w:name="_Toc184313275"/>
      <w:bookmarkEnd w:id="142"/>
      <w:bookmarkStart w:id="143" w:name="_Toc184313250"/>
      <w:bookmarkEnd w:id="143"/>
      <w:bookmarkStart w:id="144" w:name="_Toc184312103"/>
      <w:bookmarkEnd w:id="144"/>
      <w:bookmarkStart w:id="145" w:name="_Toc184310324"/>
      <w:bookmarkEnd w:id="145"/>
      <w:bookmarkStart w:id="146" w:name="_Toc184312101"/>
      <w:bookmarkEnd w:id="146"/>
      <w:bookmarkStart w:id="147" w:name="_Toc184313267"/>
      <w:bookmarkEnd w:id="147"/>
      <w:bookmarkStart w:id="148" w:name="_Toc184308064"/>
      <w:bookmarkEnd w:id="148"/>
      <w:bookmarkStart w:id="149" w:name="_Toc184310301"/>
      <w:bookmarkEnd w:id="149"/>
      <w:bookmarkStart w:id="150" w:name="_Toc184308055"/>
      <w:bookmarkEnd w:id="150"/>
      <w:bookmarkStart w:id="151" w:name="_Toc184308039"/>
      <w:bookmarkEnd w:id="151"/>
      <w:bookmarkStart w:id="152" w:name="_Toc184313271"/>
      <w:bookmarkEnd w:id="152"/>
      <w:bookmarkStart w:id="153" w:name="_Toc184314422"/>
      <w:bookmarkEnd w:id="153"/>
      <w:bookmarkStart w:id="154" w:name="_Toc184310295"/>
      <w:bookmarkEnd w:id="154"/>
      <w:bookmarkStart w:id="155" w:name="_Toc184314426"/>
      <w:bookmarkEnd w:id="155"/>
      <w:bookmarkStart w:id="156" w:name="_Toc184312105"/>
      <w:bookmarkEnd w:id="156"/>
      <w:bookmarkStart w:id="157" w:name="_Toc184314433"/>
      <w:bookmarkEnd w:id="157"/>
      <w:bookmarkStart w:id="158" w:name="_Toc184310337"/>
      <w:bookmarkEnd w:id="158"/>
      <w:bookmarkStart w:id="159" w:name="_Toc184308100"/>
      <w:bookmarkEnd w:id="159"/>
      <w:bookmarkStart w:id="160" w:name="_Toc184312120"/>
      <w:bookmarkEnd w:id="160"/>
      <w:bookmarkStart w:id="161" w:name="_Toc184312122"/>
      <w:bookmarkEnd w:id="161"/>
      <w:bookmarkStart w:id="162" w:name="_Toc184310309"/>
      <w:bookmarkEnd w:id="162"/>
      <w:bookmarkStart w:id="163" w:name="_Toc184314430"/>
      <w:bookmarkEnd w:id="163"/>
      <w:bookmarkStart w:id="164" w:name="_Toc184312068"/>
      <w:bookmarkEnd w:id="164"/>
      <w:bookmarkStart w:id="165" w:name="_Toc184308087"/>
      <w:bookmarkEnd w:id="165"/>
      <w:bookmarkStart w:id="166" w:name="_Toc184308061"/>
      <w:bookmarkEnd w:id="166"/>
      <w:bookmarkStart w:id="167" w:name="_Toc184308049"/>
      <w:bookmarkEnd w:id="167"/>
      <w:bookmarkStart w:id="168" w:name="_Toc184312084"/>
      <w:bookmarkEnd w:id="168"/>
      <w:bookmarkStart w:id="169" w:name="_Toc184313284"/>
      <w:bookmarkEnd w:id="169"/>
      <w:bookmarkStart w:id="170" w:name="_Toc184313291"/>
      <w:bookmarkEnd w:id="170"/>
      <w:bookmarkStart w:id="171" w:name="_Toc184308047"/>
      <w:bookmarkEnd w:id="171"/>
      <w:bookmarkStart w:id="172" w:name="_Toc184313240"/>
      <w:bookmarkEnd w:id="172"/>
      <w:bookmarkStart w:id="173" w:name="_Toc184314434"/>
      <w:bookmarkEnd w:id="173"/>
      <w:bookmarkStart w:id="174" w:name="_Toc184314411"/>
      <w:bookmarkEnd w:id="174"/>
      <w:bookmarkStart w:id="175" w:name="_Toc184313264"/>
      <w:bookmarkEnd w:id="175"/>
      <w:bookmarkStart w:id="176" w:name="_Toc184308067"/>
      <w:bookmarkEnd w:id="176"/>
      <w:bookmarkStart w:id="177" w:name="_Toc184308070"/>
      <w:bookmarkEnd w:id="177"/>
      <w:bookmarkStart w:id="178" w:name="_Toc184310273"/>
      <w:bookmarkEnd w:id="178"/>
      <w:bookmarkStart w:id="179" w:name="_Toc184313266"/>
      <w:bookmarkEnd w:id="179"/>
      <w:bookmarkStart w:id="180" w:name="_Toc184310293"/>
      <w:bookmarkEnd w:id="180"/>
      <w:bookmarkStart w:id="181" w:name="_Toc184313259"/>
      <w:bookmarkEnd w:id="181"/>
      <w:bookmarkStart w:id="182" w:name="_Toc184314413"/>
      <w:bookmarkEnd w:id="182"/>
      <w:bookmarkStart w:id="183" w:name="_Toc184314428"/>
      <w:bookmarkEnd w:id="183"/>
      <w:bookmarkStart w:id="184" w:name="_Toc184314438"/>
      <w:bookmarkEnd w:id="184"/>
      <w:bookmarkStart w:id="185" w:name="_Toc184312098"/>
      <w:bookmarkEnd w:id="185"/>
      <w:bookmarkStart w:id="186" w:name="_Toc184314445"/>
      <w:bookmarkEnd w:id="186"/>
      <w:bookmarkStart w:id="187" w:name="_Toc184313253"/>
      <w:bookmarkEnd w:id="187"/>
      <w:bookmarkStart w:id="188" w:name="_Toc184313280"/>
      <w:bookmarkEnd w:id="188"/>
      <w:bookmarkStart w:id="189" w:name="_Toc184310281"/>
      <w:bookmarkEnd w:id="189"/>
      <w:bookmarkStart w:id="190" w:name="_Toc184312071"/>
      <w:bookmarkEnd w:id="190"/>
      <w:bookmarkStart w:id="191" w:name="_Toc184312086"/>
      <w:bookmarkEnd w:id="191"/>
      <w:bookmarkStart w:id="192" w:name="_Toc184308053"/>
      <w:bookmarkEnd w:id="192"/>
      <w:bookmarkStart w:id="193" w:name="_Toc184314432"/>
      <w:bookmarkEnd w:id="193"/>
      <w:bookmarkStart w:id="194" w:name="_Toc184308098"/>
      <w:bookmarkEnd w:id="194"/>
      <w:bookmarkStart w:id="195" w:name="_Toc184312083"/>
      <w:bookmarkEnd w:id="195"/>
      <w:bookmarkStart w:id="196" w:name="_Toc184310292"/>
      <w:bookmarkEnd w:id="196"/>
      <w:bookmarkStart w:id="197" w:name="_Toc184312123"/>
      <w:bookmarkEnd w:id="197"/>
      <w:bookmarkStart w:id="198" w:name="_Toc184313268"/>
      <w:bookmarkEnd w:id="198"/>
      <w:bookmarkStart w:id="199" w:name="_Toc184310298"/>
      <w:bookmarkEnd w:id="199"/>
      <w:bookmarkStart w:id="200" w:name="_Toc184310291"/>
      <w:bookmarkEnd w:id="200"/>
      <w:bookmarkStart w:id="201" w:name="_Toc184308058"/>
      <w:bookmarkEnd w:id="201"/>
      <w:bookmarkStart w:id="202" w:name="_Toc184310314"/>
      <w:bookmarkEnd w:id="202"/>
      <w:bookmarkStart w:id="203" w:name="_Toc184310311"/>
      <w:bookmarkEnd w:id="203"/>
      <w:bookmarkStart w:id="204" w:name="_Toc184310300"/>
      <w:bookmarkEnd w:id="204"/>
      <w:bookmarkStart w:id="205" w:name="_Toc184308083"/>
      <w:bookmarkEnd w:id="205"/>
      <w:bookmarkStart w:id="206" w:name="_Toc184308069"/>
      <w:bookmarkEnd w:id="206"/>
      <w:bookmarkStart w:id="207" w:name="_Toc184313256"/>
      <w:bookmarkEnd w:id="207"/>
      <w:bookmarkStart w:id="208" w:name="_Toc184313263"/>
      <w:bookmarkEnd w:id="208"/>
      <w:bookmarkStart w:id="209" w:name="_Toc184308082"/>
      <w:bookmarkEnd w:id="209"/>
      <w:bookmarkStart w:id="210" w:name="_Toc184314473"/>
      <w:bookmarkEnd w:id="210"/>
      <w:bookmarkStart w:id="211" w:name="_Toc184312106"/>
      <w:bookmarkEnd w:id="211"/>
      <w:bookmarkStart w:id="212" w:name="_Toc184310302"/>
      <w:bookmarkEnd w:id="212"/>
      <w:bookmarkStart w:id="213" w:name="_Toc184310341"/>
      <w:bookmarkEnd w:id="213"/>
      <w:bookmarkStart w:id="214" w:name="_Toc184308084"/>
      <w:bookmarkEnd w:id="214"/>
      <w:bookmarkStart w:id="215" w:name="_Toc184310343"/>
      <w:bookmarkEnd w:id="215"/>
      <w:bookmarkStart w:id="216" w:name="_Toc184310319"/>
      <w:bookmarkEnd w:id="216"/>
      <w:bookmarkStart w:id="217" w:name="_Toc184312088"/>
      <w:bookmarkEnd w:id="217"/>
      <w:bookmarkStart w:id="218" w:name="_Toc184313270"/>
      <w:bookmarkEnd w:id="218"/>
      <w:bookmarkStart w:id="219" w:name="_Toc184310272"/>
      <w:bookmarkEnd w:id="219"/>
      <w:bookmarkStart w:id="220" w:name="_Toc184314431"/>
      <w:bookmarkEnd w:id="220"/>
      <w:bookmarkStart w:id="221" w:name="_Toc184312131"/>
      <w:bookmarkEnd w:id="221"/>
      <w:bookmarkStart w:id="222" w:name="_Toc184314446"/>
      <w:bookmarkEnd w:id="222"/>
      <w:bookmarkStart w:id="223" w:name="_Toc184314455"/>
      <w:bookmarkEnd w:id="223"/>
      <w:bookmarkStart w:id="224" w:name="_Toc184313279"/>
      <w:bookmarkEnd w:id="224"/>
      <w:bookmarkStart w:id="225" w:name="_Toc184313255"/>
      <w:bookmarkEnd w:id="225"/>
      <w:bookmarkStart w:id="226" w:name="_Toc184310285"/>
      <w:bookmarkEnd w:id="226"/>
      <w:bookmarkStart w:id="227" w:name="_Toc184312072"/>
      <w:bookmarkEnd w:id="227"/>
      <w:bookmarkStart w:id="228" w:name="_Toc184312112"/>
      <w:bookmarkEnd w:id="228"/>
      <w:bookmarkStart w:id="229" w:name="_Toc184313281"/>
      <w:bookmarkEnd w:id="229"/>
      <w:bookmarkStart w:id="230" w:name="_Toc184308078"/>
      <w:bookmarkEnd w:id="230"/>
      <w:bookmarkStart w:id="231" w:name="_Toc184312097"/>
      <w:bookmarkEnd w:id="231"/>
      <w:bookmarkStart w:id="232" w:name="_Toc184308066"/>
      <w:bookmarkEnd w:id="232"/>
      <w:bookmarkStart w:id="233" w:name="_Toc184313247"/>
      <w:bookmarkEnd w:id="233"/>
      <w:bookmarkStart w:id="234" w:name="_Toc184313251"/>
      <w:bookmarkEnd w:id="234"/>
      <w:bookmarkStart w:id="235" w:name="_Toc184313310"/>
      <w:bookmarkEnd w:id="235"/>
      <w:bookmarkStart w:id="236" w:name="_Toc184312111"/>
      <w:bookmarkEnd w:id="236"/>
      <w:bookmarkStart w:id="237" w:name="_Toc184308080"/>
      <w:bookmarkEnd w:id="237"/>
      <w:bookmarkStart w:id="238" w:name="_Toc184308065"/>
      <w:bookmarkEnd w:id="238"/>
      <w:bookmarkStart w:id="239" w:name="_Toc184313245"/>
      <w:bookmarkEnd w:id="239"/>
      <w:bookmarkStart w:id="240" w:name="_Toc184308056"/>
      <w:bookmarkEnd w:id="240"/>
      <w:bookmarkStart w:id="241" w:name="_Toc184314447"/>
      <w:bookmarkEnd w:id="241"/>
      <w:bookmarkStart w:id="242" w:name="_Toc184312081"/>
      <w:bookmarkEnd w:id="242"/>
      <w:bookmarkStart w:id="243" w:name="_Toc184314453"/>
      <w:bookmarkEnd w:id="243"/>
      <w:bookmarkStart w:id="244" w:name="_Toc184308057"/>
      <w:bookmarkEnd w:id="244"/>
      <w:bookmarkStart w:id="245" w:name="_Toc184308101"/>
      <w:bookmarkEnd w:id="245"/>
      <w:bookmarkStart w:id="246" w:name="_Toc184312130"/>
      <w:bookmarkEnd w:id="246"/>
      <w:bookmarkStart w:id="247" w:name="_Toc184314443"/>
      <w:bookmarkEnd w:id="247"/>
      <w:bookmarkStart w:id="248" w:name="_Toc184313303"/>
      <w:bookmarkEnd w:id="248"/>
      <w:bookmarkStart w:id="249" w:name="_Toc184310315"/>
      <w:bookmarkEnd w:id="249"/>
      <w:bookmarkStart w:id="250" w:name="_Toc184312076"/>
      <w:bookmarkEnd w:id="250"/>
      <w:bookmarkStart w:id="251" w:name="_Toc184308038"/>
      <w:bookmarkEnd w:id="251"/>
      <w:bookmarkStart w:id="252" w:name="_Toc184312078"/>
      <w:bookmarkEnd w:id="252"/>
      <w:bookmarkStart w:id="253" w:name="_Toc184314482"/>
      <w:bookmarkEnd w:id="253"/>
      <w:bookmarkStart w:id="254" w:name="_Toc184313254"/>
      <w:bookmarkEnd w:id="254"/>
      <w:bookmarkStart w:id="255" w:name="_Toc184314440"/>
      <w:bookmarkEnd w:id="255"/>
      <w:bookmarkStart w:id="256" w:name="_Toc184313286"/>
      <w:bookmarkEnd w:id="256"/>
      <w:bookmarkStart w:id="257" w:name="_Toc184314481"/>
      <w:bookmarkEnd w:id="257"/>
      <w:bookmarkStart w:id="258" w:name="_Toc184313273"/>
      <w:bookmarkEnd w:id="258"/>
      <w:bookmarkStart w:id="259" w:name="_Toc184308074"/>
      <w:bookmarkEnd w:id="259"/>
      <w:bookmarkStart w:id="260" w:name="_Toc184313258"/>
      <w:bookmarkEnd w:id="260"/>
      <w:bookmarkStart w:id="261" w:name="_Toc184312074"/>
      <w:bookmarkEnd w:id="261"/>
      <w:bookmarkStart w:id="262" w:name="_Toc184310282"/>
      <w:bookmarkEnd w:id="262"/>
      <w:bookmarkStart w:id="263" w:name="_Toc184312135"/>
      <w:bookmarkEnd w:id="263"/>
      <w:bookmarkStart w:id="264" w:name="_Toc184312070"/>
      <w:bookmarkEnd w:id="264"/>
      <w:bookmarkStart w:id="265" w:name="_Toc184310277"/>
      <w:bookmarkEnd w:id="265"/>
      <w:bookmarkStart w:id="266" w:name="_Toc184308048"/>
      <w:bookmarkEnd w:id="266"/>
      <w:bookmarkStart w:id="267" w:name="_Toc184313308"/>
      <w:bookmarkEnd w:id="267"/>
      <w:bookmarkStart w:id="268" w:name="_Toc184308090"/>
      <w:bookmarkEnd w:id="268"/>
      <w:bookmarkStart w:id="269" w:name="_Toc184314448"/>
      <w:bookmarkEnd w:id="269"/>
      <w:bookmarkStart w:id="270" w:name="_Toc184314425"/>
      <w:bookmarkEnd w:id="270"/>
      <w:bookmarkStart w:id="271" w:name="_Toc184312100"/>
      <w:bookmarkEnd w:id="271"/>
      <w:bookmarkStart w:id="272" w:name="_Toc184308060"/>
      <w:bookmarkEnd w:id="272"/>
      <w:bookmarkStart w:id="273" w:name="_Toc184313269"/>
      <w:bookmarkEnd w:id="273"/>
      <w:bookmarkStart w:id="274" w:name="_Toc184308040"/>
      <w:bookmarkEnd w:id="274"/>
      <w:bookmarkStart w:id="275" w:name="_Toc184308071"/>
      <w:bookmarkEnd w:id="275"/>
      <w:bookmarkStart w:id="276" w:name="_Toc184310279"/>
      <w:bookmarkEnd w:id="276"/>
      <w:bookmarkStart w:id="277" w:name="_Toc184310308"/>
      <w:bookmarkEnd w:id="277"/>
      <w:bookmarkStart w:id="278" w:name="_Toc184308076"/>
      <w:bookmarkEnd w:id="278"/>
      <w:bookmarkStart w:id="279" w:name="_Toc184310330"/>
      <w:bookmarkEnd w:id="279"/>
      <w:bookmarkStart w:id="280" w:name="_Toc184313238"/>
      <w:bookmarkEnd w:id="280"/>
      <w:bookmarkStart w:id="281" w:name="_Toc184314416"/>
      <w:bookmarkEnd w:id="281"/>
      <w:bookmarkStart w:id="282" w:name="_Toc184313283"/>
      <w:bookmarkEnd w:id="282"/>
      <w:bookmarkStart w:id="283" w:name="_Toc184310297"/>
      <w:bookmarkEnd w:id="283"/>
      <w:bookmarkStart w:id="284" w:name="_Toc184308062"/>
      <w:bookmarkEnd w:id="284"/>
      <w:bookmarkStart w:id="285" w:name="_Toc184310284"/>
      <w:bookmarkEnd w:id="285"/>
      <w:bookmarkStart w:id="286" w:name="_Toc184310312"/>
      <w:bookmarkEnd w:id="286"/>
      <w:bookmarkStart w:id="287" w:name="_Toc184310318"/>
      <w:bookmarkEnd w:id="287"/>
      <w:bookmarkStart w:id="288" w:name="_Toc184313243"/>
      <w:bookmarkEnd w:id="288"/>
      <w:bookmarkStart w:id="289" w:name="_Toc184313239"/>
      <w:bookmarkEnd w:id="289"/>
      <w:bookmarkStart w:id="290" w:name="_Toc184308105"/>
      <w:bookmarkEnd w:id="290"/>
      <w:bookmarkStart w:id="291" w:name="_Toc184310339"/>
      <w:bookmarkEnd w:id="291"/>
      <w:bookmarkStart w:id="292" w:name="_Toc184314418"/>
      <w:bookmarkEnd w:id="292"/>
      <w:bookmarkStart w:id="293" w:name="_Toc184313260"/>
      <w:bookmarkEnd w:id="293"/>
      <w:bookmarkStart w:id="294" w:name="_Toc184310321"/>
      <w:bookmarkEnd w:id="294"/>
      <w:bookmarkStart w:id="295" w:name="_Toc184310316"/>
      <w:bookmarkEnd w:id="295"/>
      <w:bookmarkStart w:id="296" w:name="_Toc184314454"/>
      <w:bookmarkEnd w:id="296"/>
      <w:bookmarkStart w:id="297" w:name="_Toc184314475"/>
      <w:bookmarkEnd w:id="297"/>
      <w:bookmarkStart w:id="298" w:name="_Toc184313244"/>
      <w:bookmarkEnd w:id="298"/>
      <w:bookmarkStart w:id="299" w:name="_Toc184314414"/>
      <w:bookmarkEnd w:id="299"/>
      <w:bookmarkStart w:id="300" w:name="_Toc184314417"/>
      <w:bookmarkEnd w:id="300"/>
      <w:bookmarkStart w:id="301" w:name="_Toc184314472"/>
      <w:bookmarkEnd w:id="301"/>
      <w:bookmarkStart w:id="302" w:name="_Toc184308106"/>
      <w:bookmarkEnd w:id="302"/>
      <w:bookmarkStart w:id="303" w:name="_Toc184308079"/>
      <w:bookmarkEnd w:id="303"/>
      <w:bookmarkStart w:id="304" w:name="_Toc184310278"/>
      <w:bookmarkEnd w:id="304"/>
      <w:bookmarkStart w:id="305" w:name="_Toc184310344"/>
      <w:bookmarkEnd w:id="305"/>
      <w:bookmarkStart w:id="306" w:name="_Toc184308092"/>
      <w:bookmarkEnd w:id="306"/>
      <w:bookmarkStart w:id="307" w:name="_Toc184308104"/>
      <w:bookmarkEnd w:id="307"/>
      <w:bookmarkStart w:id="308" w:name="_Toc184310322"/>
      <w:bookmarkEnd w:id="308"/>
      <w:bookmarkStart w:id="309" w:name="_Toc184310290"/>
      <w:bookmarkEnd w:id="309"/>
      <w:bookmarkStart w:id="310" w:name="_Toc184313297"/>
      <w:bookmarkEnd w:id="310"/>
      <w:bookmarkStart w:id="311" w:name="_Toc184310332"/>
      <w:bookmarkEnd w:id="311"/>
      <w:bookmarkStart w:id="312" w:name="_Toc184310317"/>
      <w:bookmarkEnd w:id="312"/>
      <w:bookmarkStart w:id="313" w:name="_Toc184308042"/>
      <w:bookmarkEnd w:id="313"/>
      <w:bookmarkStart w:id="314" w:name="_Toc184312077"/>
      <w:bookmarkEnd w:id="314"/>
      <w:bookmarkStart w:id="315" w:name="_Toc184314415"/>
      <w:bookmarkEnd w:id="315"/>
      <w:bookmarkStart w:id="316" w:name="_Toc184312073"/>
      <w:bookmarkEnd w:id="316"/>
      <w:bookmarkStart w:id="317" w:name="_Toc184312128"/>
      <w:bookmarkEnd w:id="317"/>
      <w:bookmarkStart w:id="318" w:name="_Toc184313246"/>
      <w:bookmarkEnd w:id="318"/>
      <w:bookmarkStart w:id="319" w:name="_Toc184308037"/>
      <w:bookmarkEnd w:id="319"/>
      <w:bookmarkStart w:id="320" w:name="_Toc184312079"/>
      <w:bookmarkEnd w:id="320"/>
      <w:bookmarkStart w:id="321" w:name="_Toc184313298"/>
      <w:bookmarkEnd w:id="321"/>
      <w:bookmarkStart w:id="322" w:name="_Toc184310335"/>
      <w:bookmarkEnd w:id="322"/>
      <w:bookmarkStart w:id="323" w:name="_Toc184314437"/>
      <w:bookmarkEnd w:id="323"/>
      <w:bookmarkStart w:id="324" w:name="_Toc184314441"/>
      <w:bookmarkEnd w:id="324"/>
      <w:bookmarkStart w:id="325" w:name="_Toc184312075"/>
      <w:bookmarkEnd w:id="325"/>
      <w:bookmarkStart w:id="326" w:name="_Toc184308073"/>
      <w:bookmarkEnd w:id="326"/>
      <w:bookmarkStart w:id="327" w:name="_Toc184310276"/>
      <w:bookmarkEnd w:id="327"/>
      <w:bookmarkStart w:id="328" w:name="_Toc184308086"/>
      <w:bookmarkEnd w:id="328"/>
      <w:bookmarkStart w:id="329" w:name="_Toc184310304"/>
      <w:bookmarkEnd w:id="329"/>
      <w:bookmarkStart w:id="330" w:name="_Toc184313276"/>
      <w:bookmarkEnd w:id="330"/>
      <w:bookmarkStart w:id="331" w:name="_Toc184308075"/>
      <w:bookmarkEnd w:id="331"/>
      <w:bookmarkStart w:id="332" w:name="_Toc184314435"/>
      <w:bookmarkEnd w:id="332"/>
      <w:bookmarkStart w:id="333" w:name="_Toc184314410"/>
      <w:bookmarkEnd w:id="333"/>
      <w:bookmarkStart w:id="334" w:name="_Toc184312129"/>
      <w:bookmarkEnd w:id="334"/>
      <w:bookmarkStart w:id="335" w:name="_Toc184308054"/>
      <w:bookmarkEnd w:id="335"/>
      <w:bookmarkStart w:id="336" w:name="_Toc184308096"/>
      <w:bookmarkEnd w:id="336"/>
      <w:bookmarkStart w:id="337" w:name="_Toc184312107"/>
      <w:bookmarkEnd w:id="337"/>
      <w:bookmarkStart w:id="338" w:name="_Toc184314476"/>
      <w:bookmarkEnd w:id="338"/>
      <w:bookmarkStart w:id="339" w:name="_Toc184308099"/>
      <w:bookmarkEnd w:id="339"/>
      <w:bookmarkStart w:id="340" w:name="_Toc184313299"/>
      <w:bookmarkEnd w:id="340"/>
      <w:bookmarkStart w:id="341" w:name="_Toc184312092"/>
      <w:bookmarkEnd w:id="341"/>
      <w:bookmarkStart w:id="342" w:name="_Toc184314423"/>
      <w:bookmarkEnd w:id="342"/>
      <w:bookmarkStart w:id="343" w:name="_Toc184310320"/>
      <w:bookmarkEnd w:id="343"/>
      <w:bookmarkStart w:id="344" w:name="_Toc184308077"/>
      <w:bookmarkEnd w:id="344"/>
      <w:bookmarkStart w:id="345" w:name="_Toc184308050"/>
      <w:bookmarkEnd w:id="345"/>
      <w:bookmarkStart w:id="346" w:name="_Toc184313278"/>
      <w:bookmarkEnd w:id="346"/>
      <w:bookmarkStart w:id="347" w:name="_Toc184314469"/>
      <w:bookmarkEnd w:id="347"/>
      <w:bookmarkStart w:id="348" w:name="_Toc184313289"/>
      <w:bookmarkEnd w:id="348"/>
      <w:bookmarkStart w:id="349" w:name="_Toc184310338"/>
      <w:bookmarkEnd w:id="349"/>
      <w:bookmarkStart w:id="350" w:name="_Toc184310274"/>
      <w:bookmarkEnd w:id="350"/>
      <w:bookmarkStart w:id="351" w:name="_Toc184308095"/>
      <w:bookmarkEnd w:id="351"/>
      <w:bookmarkStart w:id="352" w:name="_Toc184314436"/>
      <w:bookmarkEnd w:id="352"/>
      <w:bookmarkStart w:id="353" w:name="_Toc184312082"/>
      <w:bookmarkEnd w:id="353"/>
      <w:bookmarkStart w:id="354" w:name="_Toc184314474"/>
      <w:bookmarkEnd w:id="354"/>
      <w:bookmarkStart w:id="355" w:name="_Toc184310306"/>
      <w:bookmarkEnd w:id="355"/>
      <w:bookmarkStart w:id="356" w:name="_Toc184314467"/>
      <w:bookmarkEnd w:id="356"/>
      <w:bookmarkStart w:id="357" w:name="_Toc184314412"/>
      <w:bookmarkEnd w:id="357"/>
      <w:bookmarkStart w:id="358" w:name="_Toc184308045"/>
      <w:bookmarkEnd w:id="358"/>
      <w:bookmarkStart w:id="359" w:name="_Toc184310275"/>
      <w:bookmarkEnd w:id="359"/>
      <w:bookmarkStart w:id="360" w:name="_Toc184308043"/>
      <w:bookmarkEnd w:id="360"/>
      <w:bookmarkStart w:id="361" w:name="_Toc184314471"/>
      <w:bookmarkEnd w:id="361"/>
      <w:bookmarkStart w:id="362" w:name="_Toc184314477"/>
      <w:bookmarkEnd w:id="362"/>
      <w:bookmarkStart w:id="363" w:name="_Toc184310287"/>
      <w:bookmarkEnd w:id="363"/>
      <w:bookmarkStart w:id="364" w:name="_Toc184308094"/>
      <w:bookmarkEnd w:id="364"/>
      <w:bookmarkStart w:id="365" w:name="_Toc184314468"/>
      <w:bookmarkEnd w:id="365"/>
      <w:bookmarkStart w:id="366" w:name="_Toc184313288"/>
      <w:bookmarkEnd w:id="366"/>
      <w:bookmarkStart w:id="367" w:name="_Toc184308041"/>
      <w:bookmarkEnd w:id="367"/>
      <w:bookmarkStart w:id="368" w:name="_Toc184308108"/>
      <w:bookmarkEnd w:id="368"/>
      <w:bookmarkStart w:id="369" w:name="_Toc184312124"/>
      <w:bookmarkEnd w:id="369"/>
      <w:bookmarkStart w:id="370" w:name="_Toc184310334"/>
      <w:bookmarkEnd w:id="370"/>
      <w:bookmarkStart w:id="371" w:name="_Toc184314442"/>
      <w:bookmarkEnd w:id="371"/>
      <w:bookmarkStart w:id="372" w:name="_Toc184312132"/>
      <w:bookmarkEnd w:id="372"/>
      <w:bookmarkStart w:id="373" w:name="_Toc184312110"/>
      <w:bookmarkEnd w:id="373"/>
      <w:bookmarkStart w:id="374" w:name="_Toc184312091"/>
      <w:bookmarkEnd w:id="374"/>
      <w:bookmarkStart w:id="375" w:name="_Toc184308091"/>
      <w:bookmarkEnd w:id="375"/>
      <w:bookmarkStart w:id="376" w:name="_Toc184310313"/>
      <w:bookmarkEnd w:id="376"/>
      <w:bookmarkStart w:id="377" w:name="_Toc184313306"/>
      <w:bookmarkEnd w:id="377"/>
      <w:bookmarkStart w:id="378" w:name="_Toc184312069"/>
      <w:bookmarkEnd w:id="378"/>
      <w:bookmarkStart w:id="379" w:name="_Toc184313277"/>
      <w:bookmarkEnd w:id="379"/>
      <w:bookmarkStart w:id="380" w:name="_Toc184308093"/>
      <w:bookmarkEnd w:id="380"/>
      <w:bookmarkStart w:id="381" w:name="_Toc184308097"/>
      <w:bookmarkEnd w:id="381"/>
      <w:bookmarkStart w:id="382" w:name="_Toc184313274"/>
      <w:bookmarkEnd w:id="382"/>
      <w:bookmarkStart w:id="383" w:name="_Toc184314427"/>
      <w:bookmarkEnd w:id="383"/>
      <w:bookmarkStart w:id="384" w:name="_Toc184313242"/>
      <w:bookmarkEnd w:id="384"/>
      <w:bookmarkStart w:id="385" w:name="_Toc184313248"/>
      <w:bookmarkEnd w:id="385"/>
      <w:bookmarkStart w:id="386" w:name="_Toc184312090"/>
      <w:bookmarkEnd w:id="386"/>
      <w:bookmarkStart w:id="387" w:name="_Toc184312089"/>
      <w:bookmarkEnd w:id="387"/>
      <w:bookmarkStart w:id="388" w:name="_Toc184310342"/>
      <w:bookmarkEnd w:id="388"/>
      <w:bookmarkStart w:id="389" w:name="_Toc184314421"/>
      <w:bookmarkEnd w:id="389"/>
      <w:bookmarkStart w:id="390" w:name="_Toc184314465"/>
      <w:bookmarkEnd w:id="390"/>
      <w:bookmarkStart w:id="391" w:name="_Toc184308044"/>
      <w:bookmarkEnd w:id="391"/>
      <w:bookmarkStart w:id="392" w:name="_Toc184310294"/>
      <w:bookmarkEnd w:id="392"/>
      <w:r>
        <w:rPr>
          <w:rFonts w:hint="eastAsia" w:ascii="仿宋" w:hAnsi="仿宋" w:eastAsia="仿宋" w:cs="仿宋_GB2312"/>
          <w:b/>
          <w:sz w:val="36"/>
          <w:szCs w:val="20"/>
        </w:rPr>
        <w:t>评标办法</w:t>
      </w:r>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t>评标办法前附表</w:t>
      </w:r>
    </w:p>
    <w:p>
      <w:pPr>
        <w:widowControl w:val="0"/>
        <w:wordWrap/>
        <w:adjustRightInd w:val="0"/>
        <w:snapToGrid/>
        <w:spacing w:line="360" w:lineRule="auto"/>
        <w:ind w:firstLine="480" w:firstLineChars="200"/>
        <w:textAlignment w:val="baseline"/>
        <w:rPr>
          <w:rStyle w:val="965"/>
          <w:rFonts w:hint="eastAsia" w:ascii="仿宋" w:hAnsi="仿宋" w:eastAsia="仿宋" w:cs="仿宋"/>
          <w:bCs/>
          <w:sz w:val="24"/>
        </w:rPr>
      </w:pPr>
      <w:r>
        <w:rPr>
          <w:rStyle w:val="965"/>
          <w:rFonts w:hint="eastAsia" w:ascii="仿宋" w:hAnsi="仿宋" w:eastAsia="仿宋" w:cs="仿宋"/>
          <w:bCs/>
          <w:sz w:val="24"/>
        </w:rPr>
        <w:t>各投标人的综合得分为：投标价格得分+技术商务得分之和，总和为100分，其中：投标价格得分</w:t>
      </w:r>
      <w:r>
        <w:rPr>
          <w:rStyle w:val="965"/>
          <w:rFonts w:hint="eastAsia" w:ascii="仿宋" w:hAnsi="仿宋" w:eastAsia="仿宋" w:cs="仿宋"/>
          <w:bCs/>
          <w:sz w:val="24"/>
          <w:lang w:val="en-US" w:eastAsia="zh-CN"/>
        </w:rPr>
        <w:t>10</w:t>
      </w:r>
      <w:r>
        <w:rPr>
          <w:rStyle w:val="965"/>
          <w:rFonts w:hint="eastAsia" w:ascii="仿宋" w:hAnsi="仿宋" w:eastAsia="仿宋" w:cs="仿宋"/>
          <w:bCs/>
          <w:sz w:val="24"/>
        </w:rPr>
        <w:t>分，商务技术得分</w:t>
      </w:r>
      <w:r>
        <w:rPr>
          <w:rStyle w:val="965"/>
          <w:rFonts w:hint="eastAsia" w:ascii="仿宋" w:hAnsi="仿宋" w:eastAsia="仿宋" w:cs="仿宋"/>
          <w:bCs/>
          <w:sz w:val="24"/>
          <w:lang w:val="en-US" w:eastAsia="zh-CN"/>
        </w:rPr>
        <w:t>90</w:t>
      </w:r>
      <w:r>
        <w:rPr>
          <w:rStyle w:val="965"/>
          <w:rFonts w:hint="eastAsia" w:ascii="仿宋" w:hAnsi="仿宋" w:eastAsia="仿宋" w:cs="仿宋"/>
          <w:bCs/>
          <w:sz w:val="24"/>
        </w:rPr>
        <w:t>分。</w:t>
      </w:r>
    </w:p>
    <w:p>
      <w:pPr>
        <w:widowControl w:val="0"/>
        <w:wordWrap/>
        <w:adjustRightInd w:val="0"/>
        <w:snapToGrid/>
        <w:spacing w:line="360" w:lineRule="auto"/>
        <w:ind w:firstLine="480" w:firstLineChars="200"/>
        <w:textAlignment w:val="baseline"/>
        <w:rPr>
          <w:rStyle w:val="965"/>
          <w:rFonts w:hint="eastAsia" w:ascii="仿宋" w:hAnsi="仿宋" w:eastAsia="仿宋" w:cs="仿宋"/>
          <w:bCs/>
          <w:sz w:val="24"/>
        </w:rPr>
      </w:pPr>
      <w:r>
        <w:rPr>
          <w:rStyle w:val="965"/>
          <w:rFonts w:hint="eastAsia" w:ascii="仿宋" w:hAnsi="仿宋" w:eastAsia="仿宋" w:cs="仿宋"/>
          <w:bCs/>
          <w:sz w:val="24"/>
        </w:rPr>
        <w:t>1、</w:t>
      </w:r>
      <w:r>
        <w:rPr>
          <w:rStyle w:val="965"/>
          <w:rFonts w:hint="eastAsia" w:ascii="仿宋" w:hAnsi="仿宋" w:eastAsia="仿宋" w:cs="仿宋"/>
          <w:bCs/>
          <w:sz w:val="24"/>
          <w:lang w:eastAsia="zh-CN"/>
        </w:rPr>
        <w:t>商务</w:t>
      </w:r>
      <w:r>
        <w:rPr>
          <w:rStyle w:val="965"/>
          <w:rFonts w:hint="eastAsia" w:ascii="仿宋" w:hAnsi="仿宋" w:eastAsia="仿宋" w:cs="仿宋"/>
          <w:bCs/>
          <w:sz w:val="24"/>
        </w:rPr>
        <w:t>技术分  总分</w:t>
      </w:r>
      <w:r>
        <w:rPr>
          <w:rStyle w:val="965"/>
          <w:rFonts w:hint="eastAsia" w:ascii="仿宋" w:hAnsi="仿宋" w:eastAsia="仿宋" w:cs="仿宋"/>
          <w:bCs/>
          <w:sz w:val="24"/>
          <w:lang w:val="en-US" w:eastAsia="zh-CN"/>
        </w:rPr>
        <w:t>90</w:t>
      </w:r>
      <w:r>
        <w:rPr>
          <w:rStyle w:val="965"/>
          <w:rFonts w:hint="eastAsia" w:ascii="仿宋" w:hAnsi="仿宋" w:eastAsia="仿宋" w:cs="仿宋"/>
          <w:bCs/>
          <w:sz w:val="24"/>
        </w:rPr>
        <w:t>分</w:t>
      </w:r>
    </w:p>
    <w:p>
      <w:pPr>
        <w:widowControl w:val="0"/>
        <w:wordWrap/>
        <w:adjustRightInd w:val="0"/>
        <w:snapToGrid/>
        <w:spacing w:line="360" w:lineRule="auto"/>
        <w:ind w:firstLine="480" w:firstLineChars="200"/>
        <w:textAlignment w:val="baseline"/>
        <w:rPr>
          <w:rStyle w:val="965"/>
          <w:rFonts w:hint="eastAsia" w:ascii="仿宋" w:hAnsi="仿宋" w:eastAsia="仿宋" w:cs="仿宋"/>
          <w:bCs/>
          <w:sz w:val="24"/>
        </w:rPr>
      </w:pPr>
      <w:r>
        <w:rPr>
          <w:rStyle w:val="965"/>
          <w:rFonts w:hint="eastAsia" w:ascii="仿宋" w:hAnsi="仿宋" w:eastAsia="仿宋" w:cs="仿宋"/>
          <w:bCs/>
          <w:sz w:val="24"/>
        </w:rPr>
        <w:t>该评分分值由评标委员会根据评审情况在分值范围内独立打分（具体分值设定详见表格），小数点后保留一位小数。每个投标人的最终技术分为评标委员会打分的算术平均值（小数点后保留二位小数，第三位四舍五入）。</w:t>
      </w:r>
    </w:p>
    <w:tbl>
      <w:tblPr>
        <w:tblStyle w:val="67"/>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245"/>
        <w:gridCol w:w="5005"/>
        <w:gridCol w:w="897"/>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78" w:type="dxa"/>
            <w:noWrap w:val="0"/>
            <w:vAlign w:val="center"/>
          </w:tcPr>
          <w:p>
            <w:pPr>
              <w:snapToGrid w:val="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序号</w:t>
            </w:r>
          </w:p>
        </w:tc>
        <w:tc>
          <w:tcPr>
            <w:tcW w:w="6250" w:type="dxa"/>
            <w:gridSpan w:val="2"/>
            <w:noWrap w:val="0"/>
            <w:vAlign w:val="center"/>
          </w:tcPr>
          <w:p>
            <w:pPr>
              <w:snapToGrid w:val="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评标标准</w:t>
            </w:r>
          </w:p>
        </w:tc>
        <w:tc>
          <w:tcPr>
            <w:tcW w:w="897" w:type="dxa"/>
            <w:noWrap w:val="0"/>
            <w:vAlign w:val="center"/>
          </w:tcPr>
          <w:p>
            <w:pPr>
              <w:snapToGrid w:val="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权重</w:t>
            </w:r>
          </w:p>
        </w:tc>
        <w:tc>
          <w:tcPr>
            <w:tcW w:w="1514" w:type="dxa"/>
            <w:noWrap w:val="0"/>
            <w:vAlign w:val="center"/>
          </w:tcPr>
          <w:p>
            <w:pPr>
              <w:snapToGrid w:val="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投标文件中评标标准相应的商务技术资料目录</w:t>
            </w:r>
            <w:r>
              <w:rPr>
                <w:rFonts w:ascii="仿宋" w:hAnsi="仿宋" w:eastAsia="仿宋"/>
                <w:color w:val="auto"/>
                <w:sz w:val="24"/>
                <w:szCs w:val="24"/>
                <w:highlight w:val="none"/>
              </w:rPr>
              <w:t> </w:t>
            </w:r>
            <w:r>
              <w:rPr>
                <w:rFonts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678" w:type="dxa"/>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1245" w:type="dxa"/>
            <w:noWrap w:val="0"/>
            <w:vAlign w:val="center"/>
          </w:tcPr>
          <w:p>
            <w:pPr>
              <w:pStyle w:val="90"/>
              <w:snapToGrid w:val="0"/>
              <w:spacing w:before="0" w:line="240" w:lineRule="auto"/>
              <w:ind w:firstLine="0" w:firstLineChars="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服务理念、定位、目标</w:t>
            </w:r>
          </w:p>
        </w:tc>
        <w:tc>
          <w:tcPr>
            <w:tcW w:w="5005" w:type="dxa"/>
            <w:noWrap w:val="0"/>
            <w:vAlign w:val="center"/>
          </w:tcPr>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①根据本项目的特点提出合理的理念、管理模式能够切合实际作出服务定位</w:t>
            </w:r>
            <w:r>
              <w:rPr>
                <w:rFonts w:hint="eastAsia" w:ascii="仿宋" w:hAnsi="仿宋" w:eastAsia="仿宋" w:cs="仿宋"/>
                <w:color w:val="auto"/>
                <w:sz w:val="24"/>
                <w:szCs w:val="24"/>
                <w:highlight w:val="none"/>
                <w:lang w:eastAsia="zh-CN"/>
              </w:rPr>
              <w:t>。</w:t>
            </w:r>
            <w:r>
              <w:rPr>
                <w:rStyle w:val="965"/>
                <w:rFonts w:hint="eastAsia" w:ascii="仿宋" w:hAnsi="仿宋" w:eastAsia="仿宋" w:cs="仿宋"/>
                <w:bCs/>
                <w:sz w:val="24"/>
                <w:lang w:val="en-US" w:eastAsia="zh-CN"/>
              </w:rPr>
              <w:t>(全面且合理可行的得3分，存在不足或深度不够的得1.5分，无相关内容或不合理的不得分。）</w:t>
            </w:r>
          </w:p>
          <w:p>
            <w:pPr>
              <w:pStyle w:val="90"/>
              <w:snapToGrid w:val="0"/>
              <w:spacing w:before="0" w:line="240" w:lineRule="auto"/>
              <w:ind w:firstLine="0" w:firstLineChars="0"/>
              <w:jc w:val="left"/>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②遵循安全可行，保密性、安全性、文明服务作出服务目标</w:t>
            </w:r>
            <w:r>
              <w:rPr>
                <w:rFonts w:hint="eastAsia" w:ascii="仿宋" w:hAnsi="仿宋" w:eastAsia="仿宋" w:cs="仿宋"/>
                <w:color w:val="auto"/>
                <w:sz w:val="24"/>
                <w:szCs w:val="24"/>
                <w:highlight w:val="none"/>
                <w:lang w:eastAsia="zh-CN"/>
              </w:rPr>
              <w:t>。</w:t>
            </w:r>
            <w:r>
              <w:rPr>
                <w:rStyle w:val="965"/>
                <w:rFonts w:hint="eastAsia" w:ascii="仿宋" w:hAnsi="仿宋" w:eastAsia="仿宋" w:cs="仿宋"/>
                <w:bCs/>
                <w:sz w:val="24"/>
                <w:lang w:val="en-US" w:eastAsia="zh-CN"/>
              </w:rPr>
              <w:t>(全面且合理可行的得3分，存在不足或深度不够的得1.5分，无相关内容或不合理的不得分。）</w:t>
            </w:r>
          </w:p>
        </w:tc>
        <w:tc>
          <w:tcPr>
            <w:tcW w:w="897" w:type="dxa"/>
            <w:noWrap w:val="0"/>
            <w:vAlign w:val="center"/>
          </w:tcPr>
          <w:p>
            <w:pPr>
              <w:jc w:val="center"/>
              <w:rPr>
                <w:rFonts w:ascii="仿宋" w:hAnsi="仿宋" w:eastAsia="仿宋"/>
                <w:color w:val="auto"/>
                <w:sz w:val="24"/>
                <w:szCs w:val="24"/>
                <w:highlight w:val="none"/>
              </w:rPr>
            </w:pPr>
            <w:r>
              <w:rPr>
                <w:rFonts w:ascii="宋体" w:hAnsi="宋体" w:cs="宋体"/>
                <w:color w:val="auto"/>
                <w:sz w:val="24"/>
                <w:szCs w:val="24"/>
                <w:highlight w:val="none"/>
              </w:rPr>
              <w:t>6</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78" w:type="dxa"/>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1245" w:type="dxa"/>
            <w:noWrap w:val="0"/>
            <w:vAlign w:val="center"/>
          </w:tcPr>
          <w:p>
            <w:pPr>
              <w:pStyle w:val="90"/>
              <w:snapToGrid w:val="0"/>
              <w:spacing w:before="0" w:line="240" w:lineRule="auto"/>
              <w:ind w:firstLine="0" w:firstLineChars="0"/>
              <w:jc w:val="center"/>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组织架构、管理机制及质量标准措施</w:t>
            </w:r>
          </w:p>
        </w:tc>
        <w:tc>
          <w:tcPr>
            <w:tcW w:w="5005" w:type="dxa"/>
            <w:noWrap w:val="0"/>
            <w:vAlign w:val="center"/>
          </w:tcPr>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①是否有有较完善的组织架构，管理流程</w:t>
            </w:r>
            <w:r>
              <w:rPr>
                <w:rStyle w:val="965"/>
                <w:rFonts w:hint="eastAsia" w:ascii="仿宋" w:hAnsi="仿宋" w:eastAsia="仿宋" w:cs="仿宋"/>
                <w:bCs/>
                <w:sz w:val="24"/>
                <w:lang w:val="en-US" w:eastAsia="zh-CN"/>
              </w:rPr>
              <w:t>(全面且合理可行的得2分，存在不足或深度不够的得1分，无相关内容或不合理的不得分。）</w:t>
            </w:r>
          </w:p>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②对运作流程图、激励机制、监督机制、自我约束机制、信息反馈渠道及处理机制情况</w:t>
            </w:r>
            <w:r>
              <w:rPr>
                <w:rFonts w:hint="eastAsia" w:ascii="仿宋" w:hAnsi="仿宋" w:eastAsia="仿宋" w:cs="仿宋"/>
                <w:color w:val="auto"/>
                <w:sz w:val="24"/>
                <w:szCs w:val="24"/>
                <w:highlight w:val="none"/>
                <w:lang w:eastAsia="zh-CN"/>
              </w:rPr>
              <w:t>。</w:t>
            </w:r>
            <w:r>
              <w:rPr>
                <w:rStyle w:val="965"/>
                <w:rFonts w:hint="eastAsia" w:ascii="仿宋" w:hAnsi="仿宋" w:eastAsia="仿宋" w:cs="仿宋"/>
                <w:bCs/>
                <w:sz w:val="24"/>
                <w:lang w:val="en-US" w:eastAsia="zh-CN"/>
              </w:rPr>
              <w:t>(全面且合理可行的得2分，存在不足或深度不够的得1分，无相关内容或不合理的不得分。）</w:t>
            </w:r>
          </w:p>
          <w:p>
            <w:pPr>
              <w:pStyle w:val="90"/>
              <w:snapToGrid w:val="0"/>
              <w:spacing w:before="0" w:line="240" w:lineRule="auto"/>
              <w:ind w:firstLine="0" w:firstLineChars="0"/>
              <w:jc w:val="left"/>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③根据采购人提出的保安服务质量标准提出相应的措施</w:t>
            </w:r>
            <w:r>
              <w:rPr>
                <w:rFonts w:hint="eastAsia" w:ascii="仿宋" w:hAnsi="仿宋" w:eastAsia="仿宋" w:cs="仿宋"/>
                <w:color w:val="auto"/>
                <w:sz w:val="24"/>
                <w:szCs w:val="24"/>
                <w:highlight w:val="none"/>
                <w:lang w:eastAsia="zh-CN"/>
              </w:rPr>
              <w:t>。</w:t>
            </w:r>
            <w:r>
              <w:rPr>
                <w:rStyle w:val="965"/>
                <w:rFonts w:hint="eastAsia" w:ascii="仿宋" w:hAnsi="仿宋" w:eastAsia="仿宋" w:cs="仿宋"/>
                <w:bCs/>
                <w:sz w:val="24"/>
                <w:lang w:val="en-US" w:eastAsia="zh-CN"/>
              </w:rPr>
              <w:t>(全面且合理可行的得2分，存在不足或深度不够的得1分，无相关内容或不合理的不得分。）</w:t>
            </w:r>
          </w:p>
        </w:tc>
        <w:tc>
          <w:tcPr>
            <w:tcW w:w="897" w:type="dxa"/>
            <w:noWrap w:val="0"/>
            <w:vAlign w:val="center"/>
          </w:tcPr>
          <w:p>
            <w:pPr>
              <w:jc w:val="center"/>
              <w:rPr>
                <w:rFonts w:ascii="仿宋" w:hAnsi="仿宋" w:eastAsia="仿宋"/>
                <w:color w:val="auto"/>
                <w:sz w:val="24"/>
                <w:szCs w:val="24"/>
                <w:highlight w:val="none"/>
              </w:rPr>
            </w:pPr>
            <w:r>
              <w:rPr>
                <w:rFonts w:ascii="宋体" w:hAnsi="宋体" w:cs="宋体"/>
                <w:color w:val="auto"/>
                <w:sz w:val="24"/>
                <w:szCs w:val="24"/>
                <w:highlight w:val="none"/>
              </w:rPr>
              <w:t>6</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678" w:type="dxa"/>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3</w:t>
            </w:r>
          </w:p>
        </w:tc>
        <w:tc>
          <w:tcPr>
            <w:tcW w:w="1245" w:type="dxa"/>
            <w:noWrap w:val="0"/>
            <w:vAlign w:val="center"/>
          </w:tcPr>
          <w:p>
            <w:pPr>
              <w:pStyle w:val="90"/>
              <w:snapToGrid w:val="0"/>
              <w:spacing w:before="0" w:line="240" w:lineRule="auto"/>
              <w:ind w:firstLine="0" w:firstLineChars="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管理制度</w:t>
            </w:r>
          </w:p>
        </w:tc>
        <w:tc>
          <w:tcPr>
            <w:tcW w:w="5005" w:type="dxa"/>
            <w:noWrap w:val="0"/>
            <w:vAlign w:val="center"/>
          </w:tcPr>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①能清晰的列出安全制度。</w:t>
            </w:r>
            <w:r>
              <w:rPr>
                <w:rStyle w:val="965"/>
                <w:rFonts w:hint="eastAsia" w:ascii="仿宋" w:hAnsi="仿宋" w:eastAsia="仿宋" w:cs="仿宋"/>
                <w:bCs/>
                <w:sz w:val="24"/>
                <w:lang w:val="en-US" w:eastAsia="zh-CN"/>
              </w:rPr>
              <w:t>(全面且合理可行的得2分，存在不足或深度不够的得1分，无相关内容或不合理的不得分。）</w:t>
            </w:r>
          </w:p>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②岗位管理制度。</w:t>
            </w:r>
            <w:r>
              <w:rPr>
                <w:rStyle w:val="965"/>
                <w:rFonts w:hint="eastAsia" w:ascii="仿宋" w:hAnsi="仿宋" w:eastAsia="仿宋" w:cs="仿宋"/>
                <w:bCs/>
                <w:sz w:val="24"/>
                <w:lang w:val="en-US" w:eastAsia="zh-CN"/>
              </w:rPr>
              <w:t>(全面且合理可行的得2分，存在不足或深度不够的得1分，无相关内容或不合理的不得分。）</w:t>
            </w:r>
          </w:p>
          <w:p>
            <w:pPr>
              <w:pStyle w:val="90"/>
              <w:snapToGrid w:val="0"/>
              <w:spacing w:before="0" w:line="240" w:lineRule="auto"/>
              <w:ind w:firstLine="0" w:firstLineChars="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③各岗位职责明确，考核制度完善。</w:t>
            </w:r>
            <w:r>
              <w:rPr>
                <w:rStyle w:val="965"/>
                <w:rFonts w:hint="eastAsia" w:ascii="仿宋" w:hAnsi="仿宋" w:eastAsia="仿宋" w:cs="仿宋"/>
                <w:bCs/>
                <w:sz w:val="24"/>
                <w:lang w:val="en-US" w:eastAsia="zh-CN"/>
              </w:rPr>
              <w:t>(全面且合理可行的得3分，存在不足或深度不够的得1.5分，无相关内容或不合理的不得分。）</w:t>
            </w:r>
          </w:p>
        </w:tc>
        <w:tc>
          <w:tcPr>
            <w:tcW w:w="897" w:type="dxa"/>
            <w:noWrap w:val="0"/>
            <w:vAlign w:val="center"/>
          </w:tcPr>
          <w:p>
            <w:pPr>
              <w:jc w:val="center"/>
              <w:rPr>
                <w:rFonts w:ascii="仿宋" w:hAnsi="仿宋" w:eastAsia="仿宋"/>
                <w:color w:val="auto"/>
                <w:sz w:val="24"/>
                <w:szCs w:val="24"/>
                <w:highlight w:val="none"/>
              </w:rPr>
            </w:pPr>
            <w:r>
              <w:rPr>
                <w:rFonts w:ascii="宋体" w:hAnsi="宋体" w:cs="宋体"/>
                <w:color w:val="auto"/>
                <w:sz w:val="24"/>
                <w:szCs w:val="24"/>
                <w:highlight w:val="none"/>
              </w:rPr>
              <w:t>7</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8" w:type="dxa"/>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4</w:t>
            </w:r>
          </w:p>
        </w:tc>
        <w:tc>
          <w:tcPr>
            <w:tcW w:w="1245" w:type="dxa"/>
            <w:noWrap w:val="0"/>
            <w:vAlign w:val="center"/>
          </w:tcPr>
          <w:p>
            <w:pPr>
              <w:pStyle w:val="90"/>
              <w:snapToGrid w:val="0"/>
              <w:spacing w:before="0" w:line="240" w:lineRule="auto"/>
              <w:ind w:firstLine="0" w:firstLineChars="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保安管理与服务方案</w:t>
            </w:r>
          </w:p>
        </w:tc>
        <w:tc>
          <w:tcPr>
            <w:tcW w:w="5005" w:type="dxa"/>
            <w:noWrap w:val="0"/>
            <w:vAlign w:val="center"/>
          </w:tcPr>
          <w:p>
            <w:pPr>
              <w:snapToGrid w:val="0"/>
              <w:jc w:val="left"/>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根据投标人提供的保安管理与服务方案的完整性、可操作性进行综合评分。</w:t>
            </w:r>
            <w:r>
              <w:rPr>
                <w:rStyle w:val="965"/>
                <w:rFonts w:hint="eastAsia" w:ascii="仿宋" w:hAnsi="仿宋" w:eastAsia="仿宋" w:cs="仿宋"/>
                <w:bCs/>
                <w:sz w:val="24"/>
                <w:lang w:val="en-US" w:eastAsia="zh-CN"/>
              </w:rPr>
              <w:t>(全面且合理可行的得7分，存在不足或深度不够的得3.5分，无相关内容或不合理的不得分。）</w:t>
            </w:r>
          </w:p>
        </w:tc>
        <w:tc>
          <w:tcPr>
            <w:tcW w:w="897" w:type="dxa"/>
            <w:noWrap w:val="0"/>
            <w:vAlign w:val="center"/>
          </w:tcPr>
          <w:p>
            <w:pPr>
              <w:jc w:val="center"/>
              <w:rPr>
                <w:rFonts w:ascii="仿宋" w:hAnsi="仿宋" w:eastAsia="仿宋"/>
                <w:color w:val="auto"/>
                <w:sz w:val="24"/>
                <w:szCs w:val="24"/>
                <w:highlight w:val="none"/>
              </w:rPr>
            </w:pPr>
            <w:r>
              <w:rPr>
                <w:rFonts w:ascii="宋体" w:hAnsi="宋体" w:cs="宋体"/>
                <w:color w:val="auto"/>
                <w:sz w:val="24"/>
                <w:szCs w:val="24"/>
                <w:highlight w:val="none"/>
              </w:rPr>
              <w:t>7</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678" w:type="dxa"/>
            <w:noWrap w:val="0"/>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1245" w:type="dxa"/>
            <w:noWrap w:val="0"/>
            <w:vAlign w:val="center"/>
          </w:tcPr>
          <w:p>
            <w:pPr>
              <w:snapToGrid w:val="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仿宋"/>
                <w:color w:val="auto"/>
                <w:sz w:val="24"/>
                <w:szCs w:val="24"/>
                <w:highlight w:val="none"/>
              </w:rPr>
              <w:t>突发事件的应急措施、应急响应能力</w:t>
            </w: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①根据投标人提供的处理突发事件应急预案的合理性、可行性进行综合评分。</w:t>
            </w:r>
            <w:r>
              <w:rPr>
                <w:rStyle w:val="965"/>
                <w:rFonts w:hint="eastAsia" w:ascii="仿宋" w:hAnsi="仿宋" w:eastAsia="仿宋" w:cs="仿宋"/>
                <w:bCs/>
                <w:sz w:val="24"/>
                <w:lang w:val="en-US" w:eastAsia="zh-CN"/>
              </w:rPr>
              <w:t>(全面且合理可行的得5分，存在不足或深度不够的得2.5分，无相关内容或不合理的不得分。）</w:t>
            </w:r>
          </w:p>
          <w:p>
            <w:pPr>
              <w:snapToGrid w:val="0"/>
              <w:jc w:val="left"/>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仿宋"/>
                <w:color w:val="auto"/>
                <w:sz w:val="24"/>
                <w:szCs w:val="24"/>
                <w:highlight w:val="none"/>
              </w:rPr>
              <w:t>②根据投标人专业的区域报警响应能力，响应速度与时间的情况，进行综合评分，</w:t>
            </w:r>
            <w:r>
              <w:rPr>
                <w:rStyle w:val="965"/>
                <w:rFonts w:hint="eastAsia" w:ascii="仿宋" w:hAnsi="仿宋" w:eastAsia="仿宋" w:cs="仿宋"/>
                <w:bCs/>
                <w:sz w:val="24"/>
                <w:lang w:val="en-US" w:eastAsia="zh-CN"/>
              </w:rPr>
              <w:t>(全面且合理可行的得3分，存在不足或深度不够的得1.5分，无相关内容或不合理的不得分。）</w:t>
            </w:r>
          </w:p>
        </w:tc>
        <w:tc>
          <w:tcPr>
            <w:tcW w:w="897" w:type="dxa"/>
            <w:noWrap w:val="0"/>
            <w:vAlign w:val="center"/>
          </w:tcPr>
          <w:p>
            <w:pPr>
              <w:jc w:val="center"/>
              <w:rPr>
                <w:rFonts w:hint="default" w:ascii="宋体" w:hAnsi="等线" w:eastAsia="宋体" w:cs="Times New Roman"/>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8" w:type="dxa"/>
            <w:noWrap w:val="0"/>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1245" w:type="dxa"/>
            <w:noWrap w:val="0"/>
            <w:vAlign w:val="center"/>
          </w:tcPr>
          <w:p>
            <w:pPr>
              <w:snapToGrid w:val="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仿宋"/>
                <w:color w:val="auto"/>
                <w:sz w:val="24"/>
                <w:szCs w:val="24"/>
                <w:highlight w:val="none"/>
              </w:rPr>
              <w:t>服务承诺和特殊服务情况</w:t>
            </w:r>
          </w:p>
        </w:tc>
        <w:tc>
          <w:tcPr>
            <w:tcW w:w="5005" w:type="dxa"/>
            <w:noWrap w:val="0"/>
            <w:vAlign w:val="center"/>
          </w:tcPr>
          <w:p>
            <w:pPr>
              <w:snapToGrid w:val="0"/>
              <w:jc w:val="left"/>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仿宋"/>
                <w:color w:val="auto"/>
                <w:sz w:val="24"/>
                <w:szCs w:val="24"/>
                <w:highlight w:val="none"/>
              </w:rPr>
              <w:t>根据投标人提供给出的服务和承诺的程度记性综合评分</w:t>
            </w:r>
            <w:r>
              <w:rPr>
                <w:rFonts w:hint="eastAsia" w:ascii="仿宋" w:hAnsi="仿宋" w:eastAsia="仿宋" w:cs="仿宋"/>
                <w:color w:val="auto"/>
                <w:sz w:val="24"/>
                <w:szCs w:val="24"/>
                <w:highlight w:val="none"/>
                <w:lang w:val="en-US" w:eastAsia="zh-CN"/>
              </w:rPr>
              <w:t>.</w:t>
            </w:r>
            <w:r>
              <w:rPr>
                <w:rStyle w:val="965"/>
                <w:rFonts w:hint="eastAsia" w:ascii="仿宋" w:hAnsi="仿宋" w:eastAsia="仿宋" w:cs="仿宋"/>
                <w:bCs/>
                <w:sz w:val="24"/>
                <w:lang w:val="en-US" w:eastAsia="zh-CN"/>
              </w:rPr>
              <w:t>(全面且合理可行的得5分，存在不足或深度不够的得2.5分，无相关内容或不合理的不得分。）</w:t>
            </w:r>
          </w:p>
        </w:tc>
        <w:tc>
          <w:tcPr>
            <w:tcW w:w="897" w:type="dxa"/>
            <w:noWrap w:val="0"/>
            <w:vAlign w:val="center"/>
          </w:tcPr>
          <w:p>
            <w:pPr>
              <w:jc w:val="center"/>
              <w:rPr>
                <w:rFonts w:hint="eastAsia" w:ascii="宋体" w:hAnsi="等线" w:eastAsia="宋体" w:cs="Times New Roman"/>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78" w:type="dxa"/>
            <w:vMerge w:val="restart"/>
            <w:noWrap w:val="0"/>
            <w:vAlign w:val="center"/>
          </w:tcPr>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1245" w:type="dxa"/>
            <w:vMerge w:val="restart"/>
            <w:noWrap w:val="0"/>
            <w:vAlign w:val="center"/>
          </w:tcPr>
          <w:p>
            <w:pPr>
              <w:pStyle w:val="90"/>
              <w:spacing w:before="0" w:line="400" w:lineRule="atLeast"/>
              <w:ind w:firstLine="0" w:firstLineChars="0"/>
              <w:rPr>
                <w:rFonts w:ascii="仿宋" w:hAnsi="仿宋" w:eastAsia="仿宋"/>
                <w:color w:val="auto"/>
                <w:sz w:val="24"/>
                <w:szCs w:val="24"/>
                <w:highlight w:val="none"/>
              </w:rPr>
            </w:pPr>
            <w:r>
              <w:rPr>
                <w:rFonts w:hint="eastAsia" w:ascii="仿宋" w:hAnsi="仿宋" w:eastAsia="仿宋" w:cs="仿宋"/>
                <w:color w:val="auto"/>
                <w:sz w:val="24"/>
                <w:szCs w:val="24"/>
                <w:highlight w:val="none"/>
              </w:rPr>
              <w:t>项目人员配置</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rPr>
              <w:t>项目负责人：</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①本科及以上学历得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②具有保安管理师（二级保安员）证书的得</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w:t>
            </w:r>
          </w:p>
          <w:p>
            <w:pPr>
              <w:snapToGrid w:val="0"/>
              <w:jc w:val="left"/>
              <w:rPr>
                <w:color w:val="auto"/>
                <w:sz w:val="24"/>
                <w:szCs w:val="24"/>
                <w:highlight w:val="none"/>
              </w:rPr>
            </w:pPr>
            <w:r>
              <w:rPr>
                <w:rFonts w:hint="eastAsia" w:ascii="仿宋" w:hAnsi="仿宋" w:eastAsia="仿宋" w:cs="仿宋"/>
                <w:color w:val="auto"/>
                <w:sz w:val="24"/>
                <w:szCs w:val="24"/>
                <w:highlight w:val="none"/>
              </w:rPr>
              <w:t>③市级及以上政府部门或公安机关颁发的相关的先进荣誉或获奖证书，每个得</w:t>
            </w:r>
            <w:r>
              <w:rPr>
                <w:rFonts w:ascii="仿宋" w:hAnsi="仿宋" w:eastAsia="仿宋" w:cs="仿宋"/>
                <w:color w:val="auto"/>
                <w:sz w:val="24"/>
                <w:szCs w:val="24"/>
                <w:highlight w:val="none"/>
              </w:rPr>
              <w:t>2.5</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分。</w:t>
            </w:r>
          </w:p>
          <w:p>
            <w:pPr>
              <w:snapToGrid w:val="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须提供拟派人员在投标截止之日止相关证明的扫描件并加盖公章，否则不得分</w:t>
            </w:r>
            <w:r>
              <w:rPr>
                <w:rFonts w:ascii="仿宋" w:hAnsi="仿宋" w:eastAsia="仿宋" w:cs="仿宋"/>
                <w:color w:val="auto"/>
                <w:sz w:val="24"/>
                <w:szCs w:val="24"/>
                <w:highlight w:val="none"/>
              </w:rPr>
              <w:t>)</w:t>
            </w:r>
          </w:p>
        </w:tc>
        <w:tc>
          <w:tcPr>
            <w:tcW w:w="897" w:type="dxa"/>
            <w:noWrap w:val="0"/>
            <w:vAlign w:val="center"/>
          </w:tcPr>
          <w:p>
            <w:pPr>
              <w:jc w:val="center"/>
              <w:rPr>
                <w:rFonts w:ascii="仿宋" w:hAnsi="仿宋" w:eastAsia="仿宋"/>
                <w:color w:val="auto"/>
                <w:kern w:val="0"/>
                <w:sz w:val="24"/>
                <w:szCs w:val="24"/>
                <w:highlight w:val="none"/>
              </w:rPr>
            </w:pPr>
            <w:r>
              <w:rPr>
                <w:rFonts w:ascii="宋体" w:hAnsi="宋体" w:cs="宋体"/>
                <w:color w:val="auto"/>
                <w:sz w:val="24"/>
                <w:szCs w:val="24"/>
                <w:highlight w:val="none"/>
              </w:rPr>
              <w:t>8</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top"/>
          </w:tcPr>
          <w:p>
            <w:pPr>
              <w:pStyle w:val="90"/>
              <w:spacing w:before="0" w:line="400" w:lineRule="atLeast"/>
              <w:ind w:firstLine="0" w:firstLineChars="0"/>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rPr>
              <w:t>保安队长：</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①本科及以上学历得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color w:val="auto"/>
                <w:sz w:val="24"/>
                <w:szCs w:val="24"/>
                <w:highlight w:val="none"/>
              </w:rPr>
            </w:pPr>
            <w:r>
              <w:rPr>
                <w:rFonts w:hint="eastAsia" w:ascii="仿宋" w:hAnsi="仿宋" w:eastAsia="仿宋" w:cs="仿宋"/>
                <w:color w:val="auto"/>
                <w:sz w:val="24"/>
                <w:szCs w:val="24"/>
                <w:highlight w:val="none"/>
              </w:rPr>
              <w:t>②是退伍军人的得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③有保安管理师（二级保安员）证书的得</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w:t>
            </w:r>
          </w:p>
          <w:p>
            <w:pPr>
              <w:snapToGrid w:val="0"/>
              <w:jc w:val="left"/>
              <w:rPr>
                <w:color w:val="auto"/>
                <w:sz w:val="24"/>
                <w:szCs w:val="24"/>
                <w:highlight w:val="none"/>
              </w:rPr>
            </w:pPr>
            <w:r>
              <w:rPr>
                <w:rFonts w:hint="eastAsia" w:ascii="仿宋" w:hAnsi="仿宋" w:eastAsia="仿宋" w:cs="仿宋"/>
                <w:color w:val="auto"/>
                <w:sz w:val="24"/>
                <w:szCs w:val="24"/>
                <w:highlight w:val="none"/>
              </w:rPr>
              <w:t>④市级及以上政府部门或公安机关颁发的相关的先进荣誉或获奖证书每个得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napToGrid w:val="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须提供拟派人员在投标截止之日止相关证明的扫描件并加盖公章，否则不得分</w:t>
            </w:r>
            <w:r>
              <w:rPr>
                <w:rFonts w:ascii="仿宋" w:hAnsi="仿宋" w:eastAsia="仿宋" w:cs="仿宋"/>
                <w:color w:val="auto"/>
                <w:sz w:val="24"/>
                <w:szCs w:val="24"/>
                <w:highlight w:val="none"/>
              </w:rPr>
              <w:t>)</w:t>
            </w:r>
          </w:p>
        </w:tc>
        <w:tc>
          <w:tcPr>
            <w:tcW w:w="897" w:type="dxa"/>
            <w:noWrap w:val="0"/>
            <w:vAlign w:val="center"/>
          </w:tcPr>
          <w:p>
            <w:pPr>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8</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top"/>
          </w:tcPr>
          <w:p>
            <w:pPr>
              <w:pStyle w:val="90"/>
              <w:spacing w:before="0" w:line="400" w:lineRule="atLeast"/>
              <w:ind w:firstLine="0" w:firstLineChars="0"/>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rPr>
              <w:t>项目主管：</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①本科及以上学历得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②中级职称得</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分，初级职称得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③具有保安管理师（二级保安员）证书的得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snapToGrid w:val="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须提供拟派人员在投标截止之日止相关证明的扫描件并加盖公章，否则不得分</w:t>
            </w:r>
            <w:r>
              <w:rPr>
                <w:rFonts w:ascii="仿宋" w:hAnsi="仿宋" w:eastAsia="仿宋" w:cs="仿宋"/>
                <w:color w:val="auto"/>
                <w:sz w:val="24"/>
                <w:szCs w:val="24"/>
                <w:highlight w:val="none"/>
              </w:rPr>
              <w:t>)</w:t>
            </w:r>
          </w:p>
        </w:tc>
        <w:tc>
          <w:tcPr>
            <w:tcW w:w="897" w:type="dxa"/>
            <w:noWrap w:val="0"/>
            <w:vAlign w:val="center"/>
          </w:tcPr>
          <w:p>
            <w:pPr>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top"/>
          </w:tcPr>
          <w:p>
            <w:pPr>
              <w:pStyle w:val="90"/>
              <w:spacing w:before="0" w:line="400" w:lineRule="atLeast"/>
              <w:ind w:firstLine="0" w:firstLineChars="0"/>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rPr>
              <w:t>保安主管：</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①本科及以上学历得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②有公安机关颁发的荣誉证书每个得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须提供拟派人员在投标截止之日止相关证明的扫描件并加盖公章，否则不得分</w:t>
            </w:r>
            <w:r>
              <w:rPr>
                <w:rFonts w:ascii="仿宋" w:hAnsi="仿宋" w:eastAsia="仿宋" w:cs="仿宋"/>
                <w:color w:val="auto"/>
                <w:sz w:val="24"/>
                <w:szCs w:val="24"/>
                <w:highlight w:val="none"/>
              </w:rPr>
              <w:t>)</w:t>
            </w:r>
          </w:p>
        </w:tc>
        <w:tc>
          <w:tcPr>
            <w:tcW w:w="897" w:type="dxa"/>
            <w:noWrap w:val="0"/>
            <w:vAlign w:val="center"/>
          </w:tcPr>
          <w:p>
            <w:pPr>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top"/>
          </w:tcPr>
          <w:p>
            <w:pPr>
              <w:pStyle w:val="90"/>
              <w:spacing w:before="0" w:line="400" w:lineRule="atLeast"/>
              <w:ind w:firstLine="0" w:firstLineChars="0"/>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rPr>
              <w:t>保安班长：</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①有保安管理师（二级保安员）证书的得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②具有公安机关颁发的荣誉证书每个得</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napToGrid w:val="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须提供拟派人员在投标截止之日止相关证明的扫描件并加盖公章，否则不得分</w:t>
            </w:r>
            <w:r>
              <w:rPr>
                <w:rFonts w:ascii="仿宋" w:hAnsi="仿宋" w:eastAsia="仿宋" w:cs="仿宋"/>
                <w:color w:val="auto"/>
                <w:sz w:val="24"/>
                <w:szCs w:val="24"/>
                <w:highlight w:val="none"/>
              </w:rPr>
              <w:t>)</w:t>
            </w:r>
          </w:p>
        </w:tc>
        <w:tc>
          <w:tcPr>
            <w:tcW w:w="897" w:type="dxa"/>
            <w:noWrap w:val="0"/>
            <w:vAlign w:val="center"/>
          </w:tcPr>
          <w:p>
            <w:pPr>
              <w:jc w:val="center"/>
              <w:rPr>
                <w:rFonts w:hint="eastAsia" w:ascii="仿宋" w:hAnsi="仿宋" w:eastAsia="仿宋"/>
                <w:color w:val="auto"/>
                <w:sz w:val="24"/>
                <w:szCs w:val="24"/>
                <w:highlight w:val="none"/>
                <w:lang w:eastAsia="zh-CN"/>
              </w:rPr>
            </w:pPr>
            <w:r>
              <w:rPr>
                <w:rFonts w:hint="eastAsia" w:ascii="宋体" w:hAnsi="宋体" w:eastAsia="仿宋" w:cs="宋体"/>
                <w:color w:val="auto"/>
                <w:sz w:val="24"/>
                <w:szCs w:val="24"/>
                <w:highlight w:val="none"/>
                <w:lang w:val="en-US" w:eastAsia="zh-CN"/>
              </w:rPr>
              <w:t>5</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78" w:type="dxa"/>
            <w:vMerge w:val="restart"/>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8</w:t>
            </w:r>
          </w:p>
        </w:tc>
        <w:tc>
          <w:tcPr>
            <w:tcW w:w="1245" w:type="dxa"/>
            <w:vMerge w:val="restart"/>
            <w:noWrap w:val="0"/>
            <w:vAlign w:val="center"/>
          </w:tcPr>
          <w:p>
            <w:pPr>
              <w:snapToGrid w:val="0"/>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企业综合实力</w:t>
            </w:r>
          </w:p>
        </w:tc>
        <w:tc>
          <w:tcPr>
            <w:tcW w:w="5005" w:type="dxa"/>
            <w:noWrap w:val="0"/>
            <w:vAlign w:val="center"/>
          </w:tcPr>
          <w:p>
            <w:pPr>
              <w:snapToGri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具有质量管理体系认证证书、环境管理体系认证证书、职业健康安全管理体系认证证书且在有效期内，每有一项得1分，本条满分3分。</w:t>
            </w:r>
          </w:p>
          <w:p>
            <w:pPr>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（提供认证证书扫描件并加盖公章，否则不得分）</w:t>
            </w:r>
          </w:p>
        </w:tc>
        <w:tc>
          <w:tcPr>
            <w:tcW w:w="897"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78" w:type="dxa"/>
            <w:vMerge w:val="continue"/>
            <w:noWrap w:val="0"/>
            <w:vAlign w:val="center"/>
          </w:tcPr>
          <w:p>
            <w:pPr>
              <w:snapToGrid w:val="0"/>
              <w:jc w:val="center"/>
              <w:rPr>
                <w:rFonts w:ascii="仿宋" w:hAnsi="仿宋" w:eastAsia="仿宋" w:cs="仿宋"/>
                <w:color w:val="auto"/>
                <w:sz w:val="24"/>
                <w:szCs w:val="24"/>
                <w:highlight w:val="none"/>
              </w:rPr>
            </w:pPr>
          </w:p>
        </w:tc>
        <w:tc>
          <w:tcPr>
            <w:tcW w:w="1245" w:type="dxa"/>
            <w:vMerge w:val="continue"/>
            <w:noWrap w:val="0"/>
            <w:vAlign w:val="center"/>
          </w:tcPr>
          <w:p>
            <w:pPr>
              <w:snapToGrid w:val="0"/>
              <w:jc w:val="center"/>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投标人单独实施的类似保安服务项目，每提供一个得</w:t>
            </w:r>
            <w:r>
              <w:rPr>
                <w:rFonts w:ascii="仿宋" w:hAnsi="仿宋" w:eastAsia="仿宋" w:cs="仿宋"/>
                <w:color w:val="auto"/>
                <w:sz w:val="24"/>
                <w:szCs w:val="24"/>
                <w:highlight w:val="none"/>
              </w:rPr>
              <w:t>0.2</w:t>
            </w:r>
            <w:r>
              <w:rPr>
                <w:rFonts w:hint="eastAsia" w:ascii="仿宋" w:hAnsi="仿宋" w:eastAsia="仿宋" w:cs="仿宋"/>
                <w:color w:val="auto"/>
                <w:sz w:val="24"/>
                <w:szCs w:val="24"/>
                <w:highlight w:val="none"/>
              </w:rPr>
              <w:t>分，最多得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（提供合同扫描件</w:t>
            </w:r>
            <w:r>
              <w:rPr>
                <w:rFonts w:hint="eastAsia" w:ascii="仿宋" w:hAnsi="仿宋" w:eastAsia="仿宋" w:cs="仿宋"/>
                <w:color w:val="auto"/>
                <w:sz w:val="24"/>
                <w:szCs w:val="24"/>
                <w:highlight w:val="none"/>
                <w:lang w:val="en-US" w:eastAsia="zh-CN"/>
              </w:rPr>
              <w:t>及中标通知书</w:t>
            </w:r>
            <w:r>
              <w:rPr>
                <w:rFonts w:hint="eastAsia" w:ascii="仿宋" w:hAnsi="仿宋" w:eastAsia="仿宋" w:cs="仿宋"/>
                <w:color w:val="auto"/>
                <w:sz w:val="24"/>
                <w:szCs w:val="24"/>
                <w:highlight w:val="none"/>
              </w:rPr>
              <w:t>并加盖公章，否则不得分）</w:t>
            </w:r>
          </w:p>
        </w:tc>
        <w:tc>
          <w:tcPr>
            <w:tcW w:w="897" w:type="dxa"/>
            <w:noWrap w:val="0"/>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center"/>
          </w:tcPr>
          <w:p>
            <w:pPr>
              <w:snapToGrid w:val="0"/>
              <w:jc w:val="center"/>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投标人获得的荣誉证书或获奖文件评分：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投标人获得区级及以上政府部门颁发的相关的先进荣誉、表扬等，每个得</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分，最多得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（须提供荣誉证书或文件的扫描件并加盖公章，否则不得分）</w:t>
            </w:r>
          </w:p>
        </w:tc>
        <w:tc>
          <w:tcPr>
            <w:tcW w:w="897" w:type="dxa"/>
            <w:noWrap w:val="0"/>
            <w:vAlign w:val="center"/>
          </w:tcPr>
          <w:p>
            <w:pPr>
              <w:spacing w:line="600" w:lineRule="exact"/>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jc w:val="center"/>
        </w:trPr>
        <w:tc>
          <w:tcPr>
            <w:tcW w:w="678" w:type="dxa"/>
            <w:vMerge w:val="continue"/>
            <w:noWrap w:val="0"/>
            <w:vAlign w:val="center"/>
          </w:tcPr>
          <w:p>
            <w:pPr>
              <w:snapToGrid w:val="0"/>
              <w:jc w:val="center"/>
              <w:rPr>
                <w:rFonts w:ascii="仿宋" w:hAnsi="仿宋" w:eastAsia="仿宋"/>
                <w:color w:val="auto"/>
                <w:sz w:val="24"/>
                <w:szCs w:val="24"/>
                <w:highlight w:val="none"/>
              </w:rPr>
            </w:pPr>
          </w:p>
        </w:tc>
        <w:tc>
          <w:tcPr>
            <w:tcW w:w="1245" w:type="dxa"/>
            <w:vMerge w:val="continue"/>
            <w:noWrap w:val="0"/>
            <w:vAlign w:val="center"/>
          </w:tcPr>
          <w:p>
            <w:pPr>
              <w:snapToGrid w:val="0"/>
              <w:jc w:val="center"/>
              <w:rPr>
                <w:rFonts w:ascii="仿宋" w:hAnsi="仿宋" w:eastAsia="仿宋"/>
                <w:color w:val="auto"/>
                <w:sz w:val="24"/>
                <w:szCs w:val="24"/>
                <w:highlight w:val="none"/>
              </w:rPr>
            </w:pPr>
          </w:p>
        </w:tc>
        <w:tc>
          <w:tcPr>
            <w:tcW w:w="5005" w:type="dxa"/>
            <w:noWrap w:val="0"/>
            <w:vAlign w:val="center"/>
          </w:tcPr>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具有保安管理师（保安员二级）证书的每</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人得</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分，本条满分</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p>
            <w:pPr>
              <w:snapToGrid w:val="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lang w:val="en-US" w:eastAsia="zh-CN"/>
              </w:rPr>
              <w:t>②</w:t>
            </w:r>
            <w:r>
              <w:rPr>
                <w:rFonts w:hint="eastAsia" w:ascii="仿宋" w:hAnsi="仿宋" w:eastAsia="仿宋" w:cs="仿宋"/>
                <w:color w:val="auto"/>
                <w:sz w:val="24"/>
                <w:szCs w:val="24"/>
                <w:highlight w:val="none"/>
              </w:rPr>
              <w:t>具有退伍军人资格的，提供一人得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napToGri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（须提供投标截止之日止保安员相关证件扫描件并加盖公章，否则不得分。</w:t>
            </w:r>
            <w:r>
              <w:rPr>
                <w:rFonts w:ascii="仿宋" w:hAnsi="仿宋" w:eastAsia="仿宋" w:cs="仿宋"/>
                <w:color w:val="auto"/>
                <w:sz w:val="24"/>
                <w:szCs w:val="24"/>
                <w:highlight w:val="none"/>
              </w:rPr>
              <w:t>)</w:t>
            </w:r>
          </w:p>
        </w:tc>
        <w:tc>
          <w:tcPr>
            <w:tcW w:w="897" w:type="dxa"/>
            <w:noWrap w:val="0"/>
            <w:vAlign w:val="center"/>
          </w:tcPr>
          <w:p>
            <w:pPr>
              <w:spacing w:line="600" w:lineRule="exact"/>
              <w:jc w:val="center"/>
              <w:rPr>
                <w:rFonts w:hint="default" w:ascii="宋体" w:eastAsia="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514" w:type="dxa"/>
            <w:noWrap w:val="0"/>
            <w:vAlign w:val="center"/>
          </w:tcPr>
          <w:p>
            <w:pPr>
              <w:snapToGrid w:val="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678" w:type="dxa"/>
            <w:noWrap w:val="0"/>
            <w:vAlign w:val="center"/>
          </w:tcPr>
          <w:p>
            <w:pPr>
              <w:snapToGrid w:val="0"/>
              <w:jc w:val="center"/>
              <w:rPr>
                <w:rFonts w:ascii="仿宋" w:hAnsi="仿宋" w:eastAsia="仿宋"/>
                <w:color w:val="auto"/>
                <w:sz w:val="24"/>
                <w:szCs w:val="24"/>
                <w:highlight w:val="none"/>
              </w:rPr>
            </w:pPr>
          </w:p>
        </w:tc>
        <w:tc>
          <w:tcPr>
            <w:tcW w:w="6250" w:type="dxa"/>
            <w:gridSpan w:val="2"/>
            <w:noWrap w:val="0"/>
            <w:vAlign w:val="top"/>
          </w:tcPr>
          <w:p>
            <w:pPr>
              <w:spacing w:line="360" w:lineRule="auto"/>
              <w:outlineLvl w:val="0"/>
              <w:rPr>
                <w:rFonts w:ascii="仿宋" w:hAnsi="仿宋" w:eastAsia="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（评标基准价</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投标报价）</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］的计算公式计算。</w:t>
            </w:r>
          </w:p>
          <w:p>
            <w:pPr>
              <w:widowControl/>
              <w:shd w:val="clear" w:color="auto" w:fill="FFFFFF"/>
              <w:adjustRightInd/>
              <w:spacing w:after="225" w:line="315" w:lineRule="atLeast"/>
              <w:ind w:firstLine="420"/>
              <w:jc w:val="left"/>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897" w:type="dxa"/>
            <w:noWrap w:val="0"/>
            <w:vAlign w:val="center"/>
          </w:tcPr>
          <w:p>
            <w:pPr>
              <w:spacing w:line="360" w:lineRule="auto"/>
              <w:jc w:val="center"/>
              <w:outlineLvl w:val="0"/>
              <w:rPr>
                <w:rFonts w:ascii="仿宋" w:hAnsi="仿宋" w:eastAsia="仿宋"/>
                <w:color w:val="auto"/>
                <w:sz w:val="24"/>
                <w:szCs w:val="24"/>
                <w:highlight w:val="none"/>
              </w:rPr>
            </w:pPr>
            <w:r>
              <w:rPr>
                <w:rFonts w:ascii="仿宋" w:hAnsi="仿宋" w:eastAsia="仿宋" w:cs="仿宋"/>
                <w:color w:val="auto"/>
                <w:sz w:val="24"/>
                <w:szCs w:val="24"/>
                <w:highlight w:val="none"/>
              </w:rPr>
              <w:t>10</w:t>
            </w:r>
          </w:p>
        </w:tc>
        <w:tc>
          <w:tcPr>
            <w:tcW w:w="1514" w:type="dxa"/>
            <w:noWrap w:val="0"/>
            <w:vAlign w:val="center"/>
          </w:tcPr>
          <w:p>
            <w:pPr>
              <w:snapToGrid w:val="0"/>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w:t>
            </w:r>
          </w:p>
        </w:tc>
      </w:tr>
    </w:tbl>
    <w:p>
      <w:pPr>
        <w:widowControl w:val="0"/>
        <w:wordWrap/>
        <w:adjustRightInd w:val="0"/>
        <w:snapToGrid/>
        <w:spacing w:line="360" w:lineRule="auto"/>
        <w:ind w:firstLine="480" w:firstLineChars="200"/>
        <w:textAlignment w:val="baseline"/>
        <w:rPr>
          <w:rStyle w:val="965"/>
          <w:rFonts w:hint="eastAsia" w:ascii="仿宋" w:hAnsi="仿宋" w:eastAsia="仿宋" w:cs="仿宋"/>
          <w:bCs/>
          <w:sz w:val="24"/>
        </w:rPr>
      </w:pPr>
    </w:p>
    <w:p>
      <w:pPr>
        <w:widowControl w:val="0"/>
        <w:wordWrap/>
        <w:adjustRightInd w:val="0"/>
        <w:snapToGrid/>
        <w:spacing w:line="360" w:lineRule="auto"/>
        <w:ind w:firstLine="480" w:firstLineChars="200"/>
        <w:textAlignment w:val="baseline"/>
        <w:rPr>
          <w:rStyle w:val="965"/>
          <w:rFonts w:hint="eastAsia" w:ascii="仿宋" w:hAnsi="仿宋" w:eastAsia="仿宋" w:cs="仿宋"/>
          <w:bCs/>
          <w:sz w:val="24"/>
        </w:rPr>
      </w:pPr>
      <w:r>
        <w:rPr>
          <w:rStyle w:val="965"/>
          <w:rFonts w:hint="eastAsia" w:ascii="仿宋" w:hAnsi="仿宋" w:eastAsia="仿宋" w:cs="仿宋"/>
          <w:bCs/>
          <w:sz w:val="24"/>
        </w:rPr>
        <w:t>*备注：投标人编制投标文件（商务技术文件部分）时，建议按此目录（序号和内容）提供评标标准相应的商务技术资料。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90"/>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90"/>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90"/>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90"/>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90"/>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90"/>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90"/>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90"/>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90"/>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9"/>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3" w:name="第五部分"/>
      <w:bookmarkStart w:id="394"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pStyle w:val="9"/>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9"/>
        <w:rPr>
          <w:rFonts w:ascii="仿宋_GB2312" w:hAnsi="仿宋" w:eastAsia="仿宋_GB2312" w:cs="仿宋_GB2312"/>
          <w:b/>
          <w:sz w:val="36"/>
          <w:szCs w:val="36"/>
        </w:rPr>
      </w:pPr>
    </w:p>
    <w:p>
      <w:pPr>
        <w:rPr>
          <w:rFonts w:ascii="仿宋_GB2312" w:hAnsi="仿宋" w:eastAsia="仿宋_GB2312" w:cs="仿宋_GB2312"/>
          <w:b/>
          <w:sz w:val="36"/>
          <w:szCs w:val="36"/>
        </w:rPr>
      </w:pPr>
    </w:p>
    <w:p>
      <w:pPr>
        <w:rPr>
          <w:rFonts w:hint="eastAsia" w:ascii="仿宋_GB2312" w:hAnsi="仿宋" w:eastAsia="仿宋_GB2312" w:cs="仿宋_GB2312"/>
          <w:b/>
          <w:sz w:val="36"/>
          <w:szCs w:val="36"/>
        </w:rPr>
      </w:pPr>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bookmarkEnd w:id="393"/>
    <w:bookmarkEnd w:id="394"/>
    <w:p>
      <w:pPr>
        <w:snapToGrid w:val="0"/>
        <w:spacing w:line="360" w:lineRule="auto"/>
        <w:ind w:firstLine="2570" w:firstLineChars="800"/>
        <w:jc w:val="both"/>
        <w:rPr>
          <w:rFonts w:hint="eastAsia" w:ascii="仿宋" w:hAnsi="仿宋" w:eastAsia="仿宋" w:cs="仿宋"/>
        </w:rPr>
      </w:pPr>
      <w:r>
        <w:rPr>
          <w:rFonts w:hint="eastAsia" w:ascii="仿宋" w:hAnsi="仿宋" w:eastAsia="仿宋" w:cs="仿宋"/>
          <w:b/>
          <w:color w:val="000000"/>
          <w:sz w:val="32"/>
          <w:szCs w:val="32"/>
        </w:rPr>
        <w:t>（以最终合同为准）</w:t>
      </w:r>
    </w:p>
    <w:p>
      <w:pPr>
        <w:autoSpaceDE w:val="0"/>
        <w:autoSpaceDN w:val="0"/>
        <w:snapToGrid w:val="0"/>
        <w:spacing w:line="360" w:lineRule="auto"/>
        <w:ind w:firstLine="436" w:firstLineChars="182"/>
        <w:rPr>
          <w:rFonts w:hint="eastAsia" w:ascii="仿宋" w:hAnsi="仿宋" w:eastAsia="仿宋" w:cs="仿宋"/>
          <w:b/>
          <w:bCs/>
          <w:color w:val="000000"/>
          <w:sz w:val="24"/>
          <w:u w:val="single"/>
          <w:lang w:val="en-US" w:eastAsia="zh-CN"/>
        </w:rPr>
      </w:pPr>
      <w:r>
        <w:rPr>
          <w:rFonts w:hint="eastAsia" w:ascii="仿宋" w:hAnsi="仿宋" w:eastAsia="仿宋" w:cs="仿宋"/>
          <w:color w:val="000000"/>
          <w:sz w:val="24"/>
        </w:rPr>
        <w:t>项目名称：</w:t>
      </w:r>
      <w:r>
        <w:rPr>
          <w:rFonts w:hint="eastAsia" w:ascii="仿宋" w:hAnsi="仿宋" w:eastAsia="仿宋" w:cs="仿宋"/>
          <w:b/>
          <w:bCs/>
          <w:color w:val="000000"/>
          <w:sz w:val="24"/>
          <w:u w:val="single"/>
          <w:lang w:val="en-US" w:eastAsia="zh-CN"/>
        </w:rPr>
        <w:t xml:space="preserve">                   </w:t>
      </w:r>
    </w:p>
    <w:p>
      <w:pPr>
        <w:autoSpaceDE w:val="0"/>
        <w:autoSpaceDN w:val="0"/>
        <w:snapToGrid w:val="0"/>
        <w:spacing w:line="360" w:lineRule="auto"/>
        <w:ind w:firstLine="436" w:firstLineChars="182"/>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招标编号：</w:t>
      </w:r>
      <w:r>
        <w:rPr>
          <w:rFonts w:hint="eastAsia" w:ascii="仿宋" w:hAnsi="仿宋" w:eastAsia="仿宋" w:cs="仿宋"/>
          <w:b/>
          <w:bCs/>
          <w:color w:val="000000"/>
          <w:sz w:val="24"/>
          <w:szCs w:val="24"/>
          <w:u w:val="single"/>
          <w:lang w:val="en-US" w:eastAsia="zh-CN"/>
        </w:rPr>
        <w:t xml:space="preserve">                 </w:t>
      </w:r>
    </w:p>
    <w:p>
      <w:pPr>
        <w:pStyle w:val="36"/>
        <w:snapToGrid w:val="0"/>
        <w:spacing w:line="360" w:lineRule="auto"/>
        <w:ind w:firstLine="480" w:firstLineChars="200"/>
        <w:rPr>
          <w:rFonts w:hint="eastAsia" w:ascii="仿宋" w:hAnsi="仿宋" w:eastAsia="仿宋" w:cs="仿宋"/>
          <w:b/>
          <w:bCs/>
          <w:color w:val="000000"/>
          <w:sz w:val="24"/>
          <w:szCs w:val="24"/>
          <w:u w:val="single"/>
          <w:lang w:val="en-US" w:eastAsia="zh-CN"/>
        </w:rPr>
      </w:pPr>
      <w:r>
        <w:rPr>
          <w:rFonts w:hint="eastAsia" w:ascii="仿宋" w:hAnsi="仿宋" w:eastAsia="仿宋" w:cs="仿宋"/>
          <w:color w:val="000000"/>
          <w:sz w:val="24"/>
          <w:szCs w:val="24"/>
        </w:rPr>
        <w:t>甲方：</w:t>
      </w:r>
      <w:r>
        <w:rPr>
          <w:rFonts w:hint="eastAsia" w:ascii="仿宋" w:hAnsi="仿宋" w:eastAsia="仿宋" w:cs="仿宋"/>
          <w:b/>
          <w:bCs/>
          <w:color w:val="000000"/>
          <w:sz w:val="24"/>
          <w:szCs w:val="24"/>
          <w:u w:val="single"/>
          <w:lang w:val="en-US" w:eastAsia="zh-CN"/>
        </w:rPr>
        <w:t xml:space="preserve">                         </w:t>
      </w:r>
    </w:p>
    <w:p>
      <w:pPr>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乙方：</w:t>
      </w:r>
    </w:p>
    <w:p>
      <w:pPr>
        <w:pStyle w:val="621"/>
        <w:numPr>
          <w:ilvl w:val="0"/>
          <w:numId w:val="5"/>
        </w:numPr>
        <w:snapToGrid w:val="0"/>
        <w:spacing w:line="360" w:lineRule="auto"/>
        <w:ind w:firstLine="480" w:firstLineChars="200"/>
        <w:rPr>
          <w:rFonts w:hint="eastAsia" w:ascii="仿宋" w:hAnsi="仿宋" w:eastAsia="仿宋" w:cs="仿宋"/>
          <w:sz w:val="24"/>
          <w:szCs w:val="24"/>
          <w:lang w:val="en-US"/>
        </w:rPr>
      </w:pPr>
      <w:r>
        <w:rPr>
          <w:rFonts w:hint="eastAsia" w:ascii="仿宋" w:hAnsi="仿宋" w:eastAsia="仿宋" w:cs="仿宋"/>
          <w:color w:val="000000"/>
          <w:kern w:val="2"/>
          <w:sz w:val="24"/>
          <w:szCs w:val="24"/>
          <w:lang w:eastAsia="zh-CN"/>
        </w:rPr>
        <w:t>乙双方根据</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color w:val="000000"/>
          <w:kern w:val="2"/>
          <w:sz w:val="24"/>
          <w:szCs w:val="24"/>
          <w:lang w:eastAsia="zh-CN"/>
        </w:rPr>
        <w:t>（招标编号：</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szCs w:val="24"/>
          <w:lang w:eastAsia="zh-CN"/>
        </w:rPr>
        <w:t>公开招标的结果，签署本合同。</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一、采购内容</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具体内容和相关要求详见招标文件“</w:t>
      </w:r>
      <w:r>
        <w:rPr>
          <w:rFonts w:hint="eastAsia" w:ascii="仿宋" w:hAnsi="仿宋" w:eastAsia="仿宋" w:cs="仿宋"/>
          <w:kern w:val="0"/>
          <w:sz w:val="24"/>
        </w:rPr>
        <w:t>第三部分——</w:t>
      </w:r>
      <w:r>
        <w:rPr>
          <w:rFonts w:hint="eastAsia" w:ascii="仿宋" w:hAnsi="仿宋" w:eastAsia="仿宋" w:cs="仿宋"/>
          <w:kern w:val="0"/>
          <w:sz w:val="24"/>
          <w:lang w:val="en-US" w:eastAsia="zh-CN"/>
        </w:rPr>
        <w:t>采购需求</w:t>
      </w:r>
      <w:r>
        <w:rPr>
          <w:rFonts w:hint="eastAsia" w:ascii="仿宋" w:hAnsi="仿宋" w:eastAsia="仿宋" w:cs="仿宋"/>
          <w:kern w:val="0"/>
          <w:sz w:val="24"/>
        </w:rPr>
        <w:t>”</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二、</w:t>
      </w:r>
      <w:r>
        <w:rPr>
          <w:rFonts w:hint="eastAsia" w:ascii="仿宋" w:hAnsi="仿宋" w:eastAsia="仿宋" w:cs="仿宋"/>
          <w:b/>
          <w:bCs/>
          <w:sz w:val="24"/>
          <w:lang w:eastAsia="zh-CN" w:bidi="en-US"/>
        </w:rPr>
        <w:t>服务时间要求</w:t>
      </w:r>
    </w:p>
    <w:p>
      <w:pPr>
        <w:pStyle w:val="621"/>
        <w:snapToGrid w:val="0"/>
        <w:spacing w:line="360" w:lineRule="auto"/>
        <w:ind w:firstLine="480" w:firstLineChars="20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按招标文件约定。</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三、合同金额</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合同金额为（大写）</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元）人民币。</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四、技术资料</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1、乙方应按招标文件规定的时间向甲方提供有关技术资料。</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五、知识产权</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乙方应保证提供服务过程中不会侵犯任何第三方的知识产权。</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六、履约保证金</w:t>
      </w:r>
    </w:p>
    <w:p>
      <w:pPr>
        <w:pStyle w:val="621"/>
        <w:snapToGrid w:val="0"/>
        <w:spacing w:line="360" w:lineRule="auto"/>
        <w:ind w:firstLine="480" w:firstLineChars="20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按招标文件约定。</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七、分包</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1、本合同范围的服务，应由乙方直接供应，不得转让他人供应；</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2、除非得到甲方的书面同意，乙方不得将本合同范围的服务全部或部分分包给他人供应；</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3、如有转让和未经甲方同意的分包行为，甲方有权解除合同，没收履约保证金并追究乙方的违约责任。</w:t>
      </w:r>
    </w:p>
    <w:p>
      <w:pPr>
        <w:pStyle w:val="621"/>
        <w:snapToGrid w:val="0"/>
        <w:spacing w:line="360" w:lineRule="auto"/>
        <w:ind w:firstLine="482" w:firstLineChars="200"/>
        <w:rPr>
          <w:rFonts w:hint="eastAsia" w:ascii="仿宋" w:hAnsi="仿宋" w:eastAsia="仿宋" w:cs="仿宋"/>
          <w:color w:val="000000"/>
          <w:sz w:val="24"/>
          <w:szCs w:val="24"/>
          <w:lang w:eastAsia="zh-CN"/>
        </w:rPr>
      </w:pPr>
      <w:r>
        <w:rPr>
          <w:rFonts w:hint="eastAsia" w:ascii="仿宋" w:hAnsi="仿宋" w:eastAsia="仿宋" w:cs="仿宋"/>
          <w:b/>
          <w:color w:val="000000"/>
          <w:sz w:val="24"/>
          <w:szCs w:val="24"/>
          <w:lang w:eastAsia="zh-CN"/>
        </w:rPr>
        <w:t>八、合同履行时间、履行方式及履行地点</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1、履行时间：   ；</w:t>
      </w:r>
    </w:p>
    <w:p>
      <w:pPr>
        <w:pStyle w:val="621"/>
        <w:snapToGrid w:val="0"/>
        <w:spacing w:line="360" w:lineRule="auto"/>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2、</w:t>
      </w:r>
      <w:r>
        <w:rPr>
          <w:rFonts w:hint="eastAsia" w:ascii="仿宋" w:hAnsi="仿宋" w:eastAsia="仿宋" w:cs="仿宋"/>
          <w:color w:val="000000"/>
          <w:sz w:val="24"/>
          <w:lang w:eastAsia="zh-CN"/>
        </w:rPr>
        <w:t>履行地点：    。</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九、款项支付</w:t>
      </w:r>
    </w:p>
    <w:p>
      <w:pPr>
        <w:pStyle w:val="621"/>
        <w:snapToGrid w:val="0"/>
        <w:spacing w:line="360" w:lineRule="auto"/>
        <w:ind w:firstLine="960" w:firstLineChars="400"/>
        <w:rPr>
          <w:rFonts w:hint="eastAsia" w:ascii="仿宋" w:hAnsi="仿宋" w:eastAsia="仿宋" w:cs="仿宋"/>
          <w:bCs/>
          <w:color w:val="000000"/>
          <w:sz w:val="24"/>
          <w:lang w:eastAsia="zh-CN"/>
        </w:rPr>
      </w:pPr>
      <w:r>
        <w:rPr>
          <w:rFonts w:hint="eastAsia" w:ascii="仿宋" w:hAnsi="仿宋" w:eastAsia="仿宋" w:cs="仿宋"/>
          <w:bCs/>
          <w:color w:val="000000"/>
          <w:sz w:val="24"/>
          <w:szCs w:val="24"/>
          <w:lang w:eastAsia="zh-CN"/>
        </w:rPr>
        <w:t>按招标文件约定执行</w:t>
      </w:r>
      <w:r>
        <w:rPr>
          <w:rFonts w:hint="eastAsia" w:ascii="仿宋" w:hAnsi="仿宋" w:eastAsia="仿宋" w:cs="仿宋"/>
          <w:bCs/>
          <w:color w:val="000000"/>
          <w:sz w:val="24"/>
          <w:lang w:eastAsia="zh-CN"/>
        </w:rPr>
        <w:t>。</w:t>
      </w:r>
    </w:p>
    <w:p>
      <w:pPr>
        <w:autoSpaceDE w:val="0"/>
        <w:autoSpaceDN w:val="0"/>
        <w:snapToGrid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lang w:eastAsia="zh-CN"/>
        </w:rPr>
        <w:t>十</w:t>
      </w:r>
      <w:r>
        <w:rPr>
          <w:rFonts w:hint="eastAsia" w:ascii="仿宋" w:hAnsi="仿宋" w:eastAsia="仿宋" w:cs="仿宋"/>
          <w:b/>
          <w:color w:val="000000"/>
          <w:sz w:val="24"/>
        </w:rPr>
        <w:t>、税费</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本合同执行中相关的一切税费均由乙方负担。</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十一、质量保证及后续服务</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1、乙方应按招标文件规定向甲方提供服务。</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（1）重做：由乙方承担所发生的全部费用。</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（2）解除合同。</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3、在服务质量保证期内，乙方应对出现的质量及安全问题负责处理解决并承担一切费用。</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十二、违约责任</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1、甲方无正当理由拒收接受服务的，甲方向乙方偿付合同款项百分之五作为违约金。</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2、甲方无故逾期验收和办理款项支付手续的，甲方应按逾期付款总额每日万分之五向乙方支付违约金，赔付上线为合同总额的百分之五。</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3、乙方未能如期提供服务的，每逾期一日向甲方支付合同款项的万分之五作为违约金，赔付上线为合同总额的百分之五。</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4、乙方因未能如期提供服务或因其他违约行为导致甲方解除合同的，乙方应向甲方支付合同总值的百分之五违约金。</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十三、不可抗力事件处理</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1、在合同有效期内，任何一方因不可抗力事件导致不能履行合同，则合同履行期可延长，其延长期与不可抗力影响期相同。</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2、不可抗力事件发生后，应立即通知对方，并寄送有关权威机构出具的证明。</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3、不可抗力事件延续120天以上，双方应通过友好协商，确定是否继续履行合同。</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十四、诉讼</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双方在执行合同中所发生的一切争议，应通过协商解决。如协商不成，可向甲方所在地法院起诉。</w:t>
      </w:r>
    </w:p>
    <w:p>
      <w:pPr>
        <w:pStyle w:val="621"/>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十五、合同生效及其它</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1、合同经双方法定代表人或授权代表签字或盖章并加盖单位公章后生效。</w:t>
      </w:r>
    </w:p>
    <w:p>
      <w:pPr>
        <w:pStyle w:val="621"/>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6"/>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szCs w:val="24"/>
        </w:rPr>
        <w:t>4、本合同一式</w:t>
      </w:r>
      <w:r>
        <w:rPr>
          <w:rFonts w:hint="eastAsia" w:ascii="仿宋" w:hAnsi="仿宋" w:eastAsia="仿宋" w:cs="仿宋"/>
          <w:color w:val="000000"/>
          <w:sz w:val="24"/>
          <w:szCs w:val="24"/>
          <w:lang w:eastAsia="zh-CN"/>
        </w:rPr>
        <w:t>陆</w:t>
      </w:r>
      <w:r>
        <w:rPr>
          <w:rFonts w:hint="eastAsia" w:ascii="仿宋" w:hAnsi="仿宋" w:eastAsia="仿宋" w:cs="仿宋"/>
          <w:color w:val="000000"/>
          <w:sz w:val="24"/>
          <w:szCs w:val="24"/>
        </w:rPr>
        <w:t>份，具有同等法律效力，甲乙双方各执</w:t>
      </w:r>
      <w:r>
        <w:rPr>
          <w:rFonts w:hint="eastAsia" w:ascii="仿宋" w:hAnsi="仿宋" w:eastAsia="仿宋" w:cs="仿宋"/>
          <w:color w:val="000000"/>
          <w:sz w:val="24"/>
          <w:szCs w:val="24"/>
          <w:lang w:eastAsia="zh-CN"/>
        </w:rPr>
        <w:t>叁</w:t>
      </w:r>
      <w:r>
        <w:rPr>
          <w:rFonts w:hint="eastAsia" w:ascii="仿宋" w:hAnsi="仿宋" w:eastAsia="仿宋" w:cs="仿宋"/>
          <w:color w:val="000000"/>
          <w:sz w:val="24"/>
          <w:szCs w:val="24"/>
        </w:rPr>
        <w:t>份。</w:t>
      </w:r>
    </w:p>
    <w:p>
      <w:pPr>
        <w:snapToGrid w:val="0"/>
        <w:spacing w:line="360" w:lineRule="auto"/>
        <w:ind w:firstLine="480" w:firstLineChars="200"/>
        <w:rPr>
          <w:rFonts w:hint="eastAsia" w:ascii="仿宋" w:hAnsi="仿宋" w:eastAsia="仿宋" w:cs="仿宋"/>
          <w:color w:val="000000"/>
          <w:sz w:val="24"/>
        </w:rPr>
      </w:pP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甲方（盖章）：                            乙方（盖章）：        </w:t>
      </w:r>
    </w:p>
    <w:p>
      <w:pPr>
        <w:snapToGrid w:val="0"/>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法定代表人：                              法定代表人：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或受委托人（签字</w:t>
      </w:r>
      <w:r>
        <w:rPr>
          <w:rFonts w:hint="eastAsia" w:ascii="仿宋" w:hAnsi="仿宋" w:eastAsia="仿宋" w:cs="仿宋"/>
          <w:color w:val="000000"/>
          <w:sz w:val="24"/>
          <w:lang w:eastAsia="zh-CN"/>
        </w:rPr>
        <w:t>或盖章</w:t>
      </w:r>
      <w:r>
        <w:rPr>
          <w:rFonts w:hint="eastAsia" w:ascii="仿宋" w:hAnsi="仿宋" w:eastAsia="仿宋" w:cs="仿宋"/>
          <w:color w:val="000000"/>
          <w:sz w:val="24"/>
        </w:rPr>
        <w:t>）：                或受委托人（签字</w:t>
      </w:r>
      <w:r>
        <w:rPr>
          <w:rFonts w:hint="eastAsia" w:ascii="仿宋" w:hAnsi="仿宋" w:eastAsia="仿宋" w:cs="仿宋"/>
          <w:color w:val="000000"/>
          <w:sz w:val="24"/>
          <w:lang w:eastAsia="zh-CN"/>
        </w:rPr>
        <w:t>或盖章</w:t>
      </w:r>
      <w:r>
        <w:rPr>
          <w:rFonts w:hint="eastAsia" w:ascii="仿宋" w:hAnsi="仿宋" w:eastAsia="仿宋" w:cs="仿宋"/>
          <w:color w:val="000000"/>
          <w:sz w:val="24"/>
        </w:rPr>
        <w:t xml:space="preserve">）：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联系人：                                  联系人：</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地址：                                    地址：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电话：                                    电话：</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传真：                                    传真：</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开户银行：                                开户银行：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帐号：                                    帐号：</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签订时间：                                签订时间：</w:t>
      </w:r>
    </w:p>
    <w:p>
      <w:pPr>
        <w:pStyle w:val="66"/>
        <w:spacing w:line="360" w:lineRule="auto"/>
        <w:ind w:firstLine="480"/>
        <w:rPr>
          <w:rFonts w:hint="eastAsia" w:ascii="仿宋" w:hAnsi="仿宋" w:eastAsia="仿宋" w:cs="仿宋"/>
          <w:color w:val="000000"/>
          <w:sz w:val="24"/>
        </w:rPr>
      </w:pPr>
    </w:p>
    <w:p>
      <w:pPr>
        <w:pStyle w:val="66"/>
        <w:spacing w:line="360" w:lineRule="auto"/>
        <w:ind w:firstLine="480"/>
        <w:rPr>
          <w:rFonts w:hint="eastAsia" w:ascii="仿宋" w:hAnsi="仿宋" w:eastAsia="仿宋" w:cs="仿宋"/>
          <w:color w:val="000000"/>
          <w:sz w:val="24"/>
        </w:rPr>
      </w:pPr>
    </w:p>
    <w:p>
      <w:pPr>
        <w:pStyle w:val="66"/>
        <w:spacing w:line="360" w:lineRule="auto"/>
        <w:ind w:firstLine="480"/>
        <w:rPr>
          <w:rFonts w:hint="eastAsia" w:ascii="仿宋" w:hAnsi="仿宋" w:eastAsia="仿宋" w:cs="仿宋"/>
          <w:color w:val="000000"/>
          <w:sz w:val="24"/>
        </w:rPr>
      </w:pPr>
    </w:p>
    <w:p>
      <w:pPr>
        <w:pStyle w:val="66"/>
        <w:spacing w:line="360" w:lineRule="auto"/>
        <w:ind w:firstLine="5280" w:firstLineChars="2200"/>
        <w:rPr>
          <w:rFonts w:hint="eastAsia" w:ascii="仿宋" w:hAnsi="仿宋" w:eastAsia="仿宋" w:cs="仿宋"/>
          <w:color w:val="000000"/>
          <w:sz w:val="24"/>
        </w:rPr>
      </w:pPr>
      <w:r>
        <w:rPr>
          <w:rFonts w:hint="eastAsia" w:ascii="仿宋" w:hAnsi="仿宋" w:eastAsia="仿宋" w:cs="仿宋"/>
          <w:color w:val="000000"/>
          <w:sz w:val="24"/>
        </w:rPr>
        <w:t>签订地点：</w:t>
      </w:r>
    </w:p>
    <w:p>
      <w:pPr>
        <w:pStyle w:val="65"/>
        <w:rPr>
          <w:rFonts w:hint="eastAsia" w:ascii="仿宋" w:hAnsi="仿宋" w:eastAsia="仿宋" w:cs="仿宋"/>
          <w:color w:val="000000"/>
          <w:sz w:val="24"/>
        </w:rPr>
      </w:pPr>
    </w:p>
    <w:p>
      <w:pPr>
        <w:rPr>
          <w:rFonts w:hint="eastAsia" w:ascii="仿宋" w:hAnsi="仿宋" w:eastAsia="仿宋" w:cs="仿宋"/>
          <w:color w:val="000000"/>
          <w:sz w:val="24"/>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r>
        <w:rPr>
          <w:rFonts w:ascii="仿宋" w:hAnsi="仿宋" w:eastAsia="仿宋" w:cs="仿宋"/>
          <w:b/>
          <w:bCs/>
          <w:sz w:val="36"/>
          <w:szCs w:val="36"/>
        </w:rPr>
        <w:t xml:space="preserve"> </w:t>
      </w:r>
      <w:r>
        <w:rPr>
          <w:rFonts w:hint="eastAsia" w:ascii="仿宋" w:hAnsi="仿宋" w:eastAsia="仿宋" w:cs="仿宋"/>
          <w:b/>
          <w:bCs/>
          <w:sz w:val="36"/>
          <w:szCs w:val="36"/>
        </w:rPr>
        <w:t>应提交的有关格式范例</w:t>
      </w:r>
    </w:p>
    <w:p>
      <w:pPr>
        <w:spacing w:line="360" w:lineRule="auto"/>
        <w:jc w:val="center"/>
        <w:outlineLvl w:val="0"/>
        <w:rPr>
          <w:rFonts w:ascii="仿宋_GB2312" w:hAnsi="仿宋" w:eastAsia="仿宋_GB2312"/>
          <w:b/>
          <w:bCs/>
          <w:kern w:val="0"/>
          <w:sz w:val="36"/>
          <w:szCs w:val="36"/>
        </w:r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资格文件部分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）符合参加政府采购活动应当具备的一般条件的承诺函……………（页码）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）落实政府采购政策需满足的资格要求………………………………（页码）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）本项目的特定资格要求………………………………………………（页码）</w:t>
      </w:r>
    </w:p>
    <w:p>
      <w:pPr>
        <w:pStyle w:val="2"/>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rPr>
          <w:rFonts w:hint="eastAsia"/>
        </w:rPr>
      </w:pPr>
    </w:p>
    <w:p>
      <w:pPr>
        <w:pStyle w:val="66"/>
        <w:rPr>
          <w:rFonts w:hint="eastAsia"/>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9"/>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2"/>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92"/>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9"/>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9"/>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1"/>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1"/>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381"/>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81"/>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9"/>
        <w:rPr>
          <w:rFonts w:ascii="仿宋_GB2312" w:hAnsi="仿宋" w:eastAsia="仿宋_GB2312" w:cs="仿宋_GB2312"/>
          <w:b/>
          <w:kern w:val="0"/>
          <w:sz w:val="36"/>
          <w:szCs w:val="36"/>
        </w:rPr>
      </w:pPr>
    </w:p>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9"/>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9"/>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8"/>
        <w:pageBreakBefore/>
        <w:widowControl/>
        <w:spacing w:before="100" w:beforeAutospacing="1" w:after="100" w:afterAutospacing="1" w:line="360" w:lineRule="auto"/>
        <w:ind w:left="1290" w:firstLine="3092" w:firstLineChars="700"/>
        <w:rPr>
          <w:rFonts w:ascii="仿宋_GB2312" w:hAnsi="仿宋" w:eastAsia="仿宋_GB2312"/>
        </w:rPr>
      </w:pPr>
      <w:bookmarkStart w:id="395" w:name="_Toc465665161"/>
      <w:r>
        <w:rPr>
          <w:rFonts w:hint="eastAsia" w:ascii="仿宋_GB2312" w:hAnsi="仿宋" w:eastAsia="仿宋_GB2312"/>
        </w:rPr>
        <w:t>附件</w:t>
      </w:r>
      <w:bookmarkEnd w:id="395"/>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6" w:name="OLE_LINK13"/>
      <w:bookmarkStart w:id="397" w:name="OLE_LINK14"/>
      <w:r>
        <w:rPr>
          <w:rFonts w:hint="eastAsia" w:ascii="仿宋_GB2312" w:hAnsi="仿宋" w:eastAsia="仿宋_GB2312"/>
          <w:b/>
          <w:spacing w:val="6"/>
          <w:sz w:val="32"/>
          <w:szCs w:val="32"/>
        </w:rPr>
        <w:t>残疾人福利性单位声明函</w:t>
      </w:r>
    </w:p>
    <w:bookmarkEnd w:id="396"/>
    <w:bookmarkEnd w:id="397"/>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9"/>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PMingLiU_x0004_falt">
    <w:altName w:val="Microsoft JhengHei"/>
    <w:panose1 w:val="02010601000101010101"/>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宋体-18030">
    <w:altName w:val="宋体"/>
    <w:panose1 w:val="00000000000000000000"/>
    <w:charset w:val="86"/>
    <w:family w:val="auto"/>
    <w:pitch w:val="default"/>
    <w:sig w:usb0="00000000" w:usb1="00000000" w:usb2="000A005E"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7"/>
      </w:rPr>
    </w:pPr>
    <w:r>
      <w:fldChar w:fldCharType="begin"/>
    </w:r>
    <w:r>
      <w:rPr>
        <w:rStyle w:val="77"/>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8" w:name="_Toc36110187"/>
    <w:bookmarkStart w:id="399" w:name="_Toc131845147"/>
    <w:bookmarkStart w:id="400" w:name="_Toc91899912"/>
    <w:bookmarkStart w:id="401" w:name="_Toc164085800"/>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7"/>
      </w:rPr>
    </w:pPr>
    <w:r>
      <w:fldChar w:fldCharType="begin"/>
    </w:r>
    <w:r>
      <w:rPr>
        <w:rStyle w:val="77"/>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339A"/>
    <w:multiLevelType w:val="singleLevel"/>
    <w:tmpl w:val="947F339A"/>
    <w:lvl w:ilvl="0" w:tentative="0">
      <w:start w:val="1"/>
      <w:numFmt w:val="upperLetter"/>
      <w:suff w:val="nothing"/>
      <w:lvlText w:val="%1、"/>
      <w:lvlJc w:val="left"/>
    </w:lvl>
  </w:abstractNum>
  <w:abstractNum w:abstractNumId="1">
    <w:nsid w:val="380956A8"/>
    <w:multiLevelType w:val="singleLevel"/>
    <w:tmpl w:val="380956A8"/>
    <w:lvl w:ilvl="0" w:tentative="0">
      <w:start w:val="3"/>
      <w:numFmt w:val="chineseCounting"/>
      <w:suff w:val="space"/>
      <w:lvlText w:val="第%1部分"/>
      <w:lvlJc w:val="left"/>
      <w:rPr>
        <w:rFonts w:hint="eastAsia"/>
      </w:rPr>
    </w:lvl>
  </w:abstractNum>
  <w:abstractNum w:abstractNumId="2">
    <w:nsid w:val="4767C575"/>
    <w:multiLevelType w:val="singleLevel"/>
    <w:tmpl w:val="4767C575"/>
    <w:lvl w:ilvl="0" w:tentative="0">
      <w:start w:val="1"/>
      <w:numFmt w:val="ideographTraditional"/>
      <w:suff w:val="nothing"/>
      <w:lvlText w:val="%1、"/>
      <w:lvlJc w:val="left"/>
      <w:rPr>
        <w:rFonts w:hint="eastAsia"/>
      </w:rPr>
    </w:lvl>
  </w:abstractNum>
  <w:abstractNum w:abstractNumId="3">
    <w:nsid w:val="58D8BCD3"/>
    <w:multiLevelType w:val="singleLevel"/>
    <w:tmpl w:val="58D8BCD3"/>
    <w:lvl w:ilvl="0" w:tentative="0">
      <w:start w:val="2"/>
      <w:numFmt w:val="decimal"/>
      <w:suff w:val="nothing"/>
      <w:lvlText w:val="%1、"/>
      <w:lvlJc w:val="left"/>
    </w:lvl>
  </w:abstractNum>
  <w:abstractNum w:abstractNumId="4">
    <w:nsid w:val="619B62BB"/>
    <w:multiLevelType w:val="singleLevel"/>
    <w:tmpl w:val="619B62BB"/>
    <w:lvl w:ilvl="0" w:tentative="0">
      <w:start w:val="1"/>
      <w:numFmt w:val="chineseCounting"/>
      <w:suff w:val="nothing"/>
      <w:lvlText w:val="%1、"/>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Tc1MTljMDA0ZWI0ZjljNTEwZjI5MzUwYjAxO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0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4A4"/>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4C34"/>
    <w:rsid w:val="01C246FF"/>
    <w:rsid w:val="01D55165"/>
    <w:rsid w:val="01DF6BF8"/>
    <w:rsid w:val="01EC2C57"/>
    <w:rsid w:val="026B2E25"/>
    <w:rsid w:val="02824D4D"/>
    <w:rsid w:val="02DC4B10"/>
    <w:rsid w:val="02DD76CE"/>
    <w:rsid w:val="02F36323"/>
    <w:rsid w:val="02F5619C"/>
    <w:rsid w:val="0326446A"/>
    <w:rsid w:val="032D5555"/>
    <w:rsid w:val="034E4FF2"/>
    <w:rsid w:val="03597303"/>
    <w:rsid w:val="036634D2"/>
    <w:rsid w:val="03DD35E4"/>
    <w:rsid w:val="04076900"/>
    <w:rsid w:val="041A5A3B"/>
    <w:rsid w:val="042311BA"/>
    <w:rsid w:val="042B157A"/>
    <w:rsid w:val="048F763B"/>
    <w:rsid w:val="049F330E"/>
    <w:rsid w:val="04AA775C"/>
    <w:rsid w:val="04AF1889"/>
    <w:rsid w:val="04F66F48"/>
    <w:rsid w:val="05251E14"/>
    <w:rsid w:val="05A16594"/>
    <w:rsid w:val="05A7762D"/>
    <w:rsid w:val="05D948D0"/>
    <w:rsid w:val="060E5941"/>
    <w:rsid w:val="06110FAF"/>
    <w:rsid w:val="06493CA7"/>
    <w:rsid w:val="065A6178"/>
    <w:rsid w:val="066F1CF3"/>
    <w:rsid w:val="06930BB8"/>
    <w:rsid w:val="07245D42"/>
    <w:rsid w:val="07264C62"/>
    <w:rsid w:val="0779354C"/>
    <w:rsid w:val="08061376"/>
    <w:rsid w:val="08171FB2"/>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62E55"/>
    <w:rsid w:val="0A1C0718"/>
    <w:rsid w:val="0A3E7710"/>
    <w:rsid w:val="0A5B7E63"/>
    <w:rsid w:val="0AA374A5"/>
    <w:rsid w:val="0AAB7649"/>
    <w:rsid w:val="0ABC5606"/>
    <w:rsid w:val="0B30404E"/>
    <w:rsid w:val="0B4C6C14"/>
    <w:rsid w:val="0B5D2095"/>
    <w:rsid w:val="0B631A88"/>
    <w:rsid w:val="0B683D45"/>
    <w:rsid w:val="0B7F3F11"/>
    <w:rsid w:val="0B884417"/>
    <w:rsid w:val="0BF6188C"/>
    <w:rsid w:val="0BF73C91"/>
    <w:rsid w:val="0C170175"/>
    <w:rsid w:val="0C2E506D"/>
    <w:rsid w:val="0C571A41"/>
    <w:rsid w:val="0C5C1171"/>
    <w:rsid w:val="0C5E1CBC"/>
    <w:rsid w:val="0C615B50"/>
    <w:rsid w:val="0C8445DA"/>
    <w:rsid w:val="0C87121B"/>
    <w:rsid w:val="0CC007F7"/>
    <w:rsid w:val="0CFE707A"/>
    <w:rsid w:val="0D063BDA"/>
    <w:rsid w:val="0D08375F"/>
    <w:rsid w:val="0D184CFB"/>
    <w:rsid w:val="0D2117F8"/>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F6D22"/>
    <w:rsid w:val="0F4958DC"/>
    <w:rsid w:val="0F515DF7"/>
    <w:rsid w:val="0F596BA8"/>
    <w:rsid w:val="0F6248D2"/>
    <w:rsid w:val="0F693536"/>
    <w:rsid w:val="0F6C03BE"/>
    <w:rsid w:val="0F744B91"/>
    <w:rsid w:val="0F7B0511"/>
    <w:rsid w:val="0F7B76D9"/>
    <w:rsid w:val="0F816ACD"/>
    <w:rsid w:val="0F9832DB"/>
    <w:rsid w:val="0FBF3FD2"/>
    <w:rsid w:val="0FBF7FF3"/>
    <w:rsid w:val="10197335"/>
    <w:rsid w:val="10646583"/>
    <w:rsid w:val="10653E02"/>
    <w:rsid w:val="107D4B15"/>
    <w:rsid w:val="108A3C80"/>
    <w:rsid w:val="10C26171"/>
    <w:rsid w:val="10F33360"/>
    <w:rsid w:val="10FC16EA"/>
    <w:rsid w:val="110F1D40"/>
    <w:rsid w:val="11266F33"/>
    <w:rsid w:val="118963A1"/>
    <w:rsid w:val="11BB73DB"/>
    <w:rsid w:val="11C134A9"/>
    <w:rsid w:val="11C6522A"/>
    <w:rsid w:val="11DD55A3"/>
    <w:rsid w:val="11E104CC"/>
    <w:rsid w:val="11E20309"/>
    <w:rsid w:val="12255233"/>
    <w:rsid w:val="12530213"/>
    <w:rsid w:val="127723A9"/>
    <w:rsid w:val="12862074"/>
    <w:rsid w:val="12883966"/>
    <w:rsid w:val="129E45B4"/>
    <w:rsid w:val="12D81596"/>
    <w:rsid w:val="13072A44"/>
    <w:rsid w:val="135F4BE2"/>
    <w:rsid w:val="138E7B32"/>
    <w:rsid w:val="139B1A0A"/>
    <w:rsid w:val="139D25C7"/>
    <w:rsid w:val="13BF3CE4"/>
    <w:rsid w:val="141008D8"/>
    <w:rsid w:val="14125FE6"/>
    <w:rsid w:val="146D271E"/>
    <w:rsid w:val="1485422E"/>
    <w:rsid w:val="14982588"/>
    <w:rsid w:val="149A5AD9"/>
    <w:rsid w:val="149B3A39"/>
    <w:rsid w:val="14A7619D"/>
    <w:rsid w:val="150536C3"/>
    <w:rsid w:val="150C1963"/>
    <w:rsid w:val="151447A0"/>
    <w:rsid w:val="154A6454"/>
    <w:rsid w:val="15762120"/>
    <w:rsid w:val="15DE629F"/>
    <w:rsid w:val="164147AE"/>
    <w:rsid w:val="16535118"/>
    <w:rsid w:val="16A8729C"/>
    <w:rsid w:val="16B33777"/>
    <w:rsid w:val="16B44D83"/>
    <w:rsid w:val="16BC70A7"/>
    <w:rsid w:val="16C6339E"/>
    <w:rsid w:val="16F5513D"/>
    <w:rsid w:val="172F2D79"/>
    <w:rsid w:val="17557BEF"/>
    <w:rsid w:val="17D349C1"/>
    <w:rsid w:val="17E630CE"/>
    <w:rsid w:val="18180953"/>
    <w:rsid w:val="1830729E"/>
    <w:rsid w:val="1870062C"/>
    <w:rsid w:val="18817102"/>
    <w:rsid w:val="18830A15"/>
    <w:rsid w:val="18852B28"/>
    <w:rsid w:val="188B5321"/>
    <w:rsid w:val="19013E26"/>
    <w:rsid w:val="19932372"/>
    <w:rsid w:val="19A20DD5"/>
    <w:rsid w:val="19AA220F"/>
    <w:rsid w:val="19AB33CC"/>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D0A2F"/>
    <w:rsid w:val="1D266CE1"/>
    <w:rsid w:val="1D3963AF"/>
    <w:rsid w:val="1D6A673C"/>
    <w:rsid w:val="1D9247AE"/>
    <w:rsid w:val="1DB567EC"/>
    <w:rsid w:val="1DF51A98"/>
    <w:rsid w:val="1E3D060F"/>
    <w:rsid w:val="1E3F7D2E"/>
    <w:rsid w:val="1E4134E4"/>
    <w:rsid w:val="1E5062B3"/>
    <w:rsid w:val="1E523514"/>
    <w:rsid w:val="1E714A66"/>
    <w:rsid w:val="1E802593"/>
    <w:rsid w:val="1E836009"/>
    <w:rsid w:val="1EA703CC"/>
    <w:rsid w:val="1EB7330C"/>
    <w:rsid w:val="1F0A0FF3"/>
    <w:rsid w:val="1F5771FF"/>
    <w:rsid w:val="1FE868A9"/>
    <w:rsid w:val="20034907"/>
    <w:rsid w:val="20173E4B"/>
    <w:rsid w:val="204E48BC"/>
    <w:rsid w:val="20572DAF"/>
    <w:rsid w:val="208921B3"/>
    <w:rsid w:val="20973DEB"/>
    <w:rsid w:val="20B26522"/>
    <w:rsid w:val="20B44310"/>
    <w:rsid w:val="20C9308E"/>
    <w:rsid w:val="211116EB"/>
    <w:rsid w:val="216133FC"/>
    <w:rsid w:val="218D030D"/>
    <w:rsid w:val="21AC6C60"/>
    <w:rsid w:val="21D56769"/>
    <w:rsid w:val="21E52EF3"/>
    <w:rsid w:val="21FB5D7B"/>
    <w:rsid w:val="220B1C3D"/>
    <w:rsid w:val="221D1D20"/>
    <w:rsid w:val="22334A87"/>
    <w:rsid w:val="22BE6801"/>
    <w:rsid w:val="232272BA"/>
    <w:rsid w:val="233500BF"/>
    <w:rsid w:val="23377FF7"/>
    <w:rsid w:val="236B425F"/>
    <w:rsid w:val="23836192"/>
    <w:rsid w:val="23901F29"/>
    <w:rsid w:val="239C0061"/>
    <w:rsid w:val="23B908A4"/>
    <w:rsid w:val="23E95BEF"/>
    <w:rsid w:val="23FD0064"/>
    <w:rsid w:val="240864B0"/>
    <w:rsid w:val="245375B0"/>
    <w:rsid w:val="24642C0A"/>
    <w:rsid w:val="24B22173"/>
    <w:rsid w:val="24B95AD9"/>
    <w:rsid w:val="24BE24DA"/>
    <w:rsid w:val="24CF5825"/>
    <w:rsid w:val="24CF6FCD"/>
    <w:rsid w:val="24D663E6"/>
    <w:rsid w:val="24D77F2B"/>
    <w:rsid w:val="258B00E2"/>
    <w:rsid w:val="258C691F"/>
    <w:rsid w:val="25A917A6"/>
    <w:rsid w:val="25BE27CC"/>
    <w:rsid w:val="25F74A5C"/>
    <w:rsid w:val="2628662C"/>
    <w:rsid w:val="262D45DE"/>
    <w:rsid w:val="26A53EF9"/>
    <w:rsid w:val="26A94201"/>
    <w:rsid w:val="26AC274F"/>
    <w:rsid w:val="27044A29"/>
    <w:rsid w:val="271D34C8"/>
    <w:rsid w:val="276142BF"/>
    <w:rsid w:val="27783712"/>
    <w:rsid w:val="27907362"/>
    <w:rsid w:val="27950FAC"/>
    <w:rsid w:val="27CB69CF"/>
    <w:rsid w:val="282C3819"/>
    <w:rsid w:val="28333E1D"/>
    <w:rsid w:val="28454BD6"/>
    <w:rsid w:val="28455253"/>
    <w:rsid w:val="28551971"/>
    <w:rsid w:val="285B1C53"/>
    <w:rsid w:val="289F7086"/>
    <w:rsid w:val="28C32028"/>
    <w:rsid w:val="28CC490F"/>
    <w:rsid w:val="28DE40AA"/>
    <w:rsid w:val="29345E77"/>
    <w:rsid w:val="29470DBE"/>
    <w:rsid w:val="294C65AD"/>
    <w:rsid w:val="29806583"/>
    <w:rsid w:val="298B3C4C"/>
    <w:rsid w:val="29F26D24"/>
    <w:rsid w:val="2A15033F"/>
    <w:rsid w:val="2A1662C1"/>
    <w:rsid w:val="2A1C7367"/>
    <w:rsid w:val="2A2815FA"/>
    <w:rsid w:val="2A3A313B"/>
    <w:rsid w:val="2A6D6092"/>
    <w:rsid w:val="2A7D76B4"/>
    <w:rsid w:val="2B437463"/>
    <w:rsid w:val="2B4B00FB"/>
    <w:rsid w:val="2B7807EE"/>
    <w:rsid w:val="2BBF00EC"/>
    <w:rsid w:val="2BC37CFD"/>
    <w:rsid w:val="2BD5237F"/>
    <w:rsid w:val="2BE536CE"/>
    <w:rsid w:val="2BE758D9"/>
    <w:rsid w:val="2C09049E"/>
    <w:rsid w:val="2C0A653C"/>
    <w:rsid w:val="2C191F85"/>
    <w:rsid w:val="2C2C0229"/>
    <w:rsid w:val="2CE82D6F"/>
    <w:rsid w:val="2CEF7C3B"/>
    <w:rsid w:val="2D343236"/>
    <w:rsid w:val="2DD15014"/>
    <w:rsid w:val="2DF72DE4"/>
    <w:rsid w:val="2E0220AF"/>
    <w:rsid w:val="2E4B082A"/>
    <w:rsid w:val="2E5D4E86"/>
    <w:rsid w:val="2E5D790B"/>
    <w:rsid w:val="2E9A3C18"/>
    <w:rsid w:val="2EBB0FEE"/>
    <w:rsid w:val="2EC63002"/>
    <w:rsid w:val="2F0A6B38"/>
    <w:rsid w:val="2F946CCB"/>
    <w:rsid w:val="2FC84F6E"/>
    <w:rsid w:val="2FD25781"/>
    <w:rsid w:val="2FFD7934"/>
    <w:rsid w:val="303D095E"/>
    <w:rsid w:val="30733ACD"/>
    <w:rsid w:val="30812BD2"/>
    <w:rsid w:val="308C3862"/>
    <w:rsid w:val="309379D8"/>
    <w:rsid w:val="30A270F7"/>
    <w:rsid w:val="30DF1478"/>
    <w:rsid w:val="30EC586F"/>
    <w:rsid w:val="311709C3"/>
    <w:rsid w:val="312A187E"/>
    <w:rsid w:val="319C6071"/>
    <w:rsid w:val="31AC537E"/>
    <w:rsid w:val="31E3679B"/>
    <w:rsid w:val="31E732FD"/>
    <w:rsid w:val="32517576"/>
    <w:rsid w:val="32BE5C2C"/>
    <w:rsid w:val="32FB6478"/>
    <w:rsid w:val="331B4B74"/>
    <w:rsid w:val="33263B3F"/>
    <w:rsid w:val="336963EB"/>
    <w:rsid w:val="33816EEB"/>
    <w:rsid w:val="33E2248A"/>
    <w:rsid w:val="33EB55CD"/>
    <w:rsid w:val="33EC4C02"/>
    <w:rsid w:val="340D2360"/>
    <w:rsid w:val="3410665D"/>
    <w:rsid w:val="34211214"/>
    <w:rsid w:val="342E63AB"/>
    <w:rsid w:val="34950E68"/>
    <w:rsid w:val="34986E94"/>
    <w:rsid w:val="34AF62C9"/>
    <w:rsid w:val="34CB4388"/>
    <w:rsid w:val="34FA6E12"/>
    <w:rsid w:val="358D5588"/>
    <w:rsid w:val="36162579"/>
    <w:rsid w:val="363A3B40"/>
    <w:rsid w:val="365302AE"/>
    <w:rsid w:val="36607A0A"/>
    <w:rsid w:val="366E227C"/>
    <w:rsid w:val="366F2E0D"/>
    <w:rsid w:val="367B6A5C"/>
    <w:rsid w:val="36A74ADA"/>
    <w:rsid w:val="36AD60D5"/>
    <w:rsid w:val="36B224F9"/>
    <w:rsid w:val="36EC0CC9"/>
    <w:rsid w:val="373F410B"/>
    <w:rsid w:val="37EE7094"/>
    <w:rsid w:val="37F60FE9"/>
    <w:rsid w:val="38296C89"/>
    <w:rsid w:val="383002EB"/>
    <w:rsid w:val="38586797"/>
    <w:rsid w:val="388C7258"/>
    <w:rsid w:val="38BC0149"/>
    <w:rsid w:val="38D87D1C"/>
    <w:rsid w:val="39177242"/>
    <w:rsid w:val="39636459"/>
    <w:rsid w:val="396B7F6C"/>
    <w:rsid w:val="396C0E37"/>
    <w:rsid w:val="39A91D9F"/>
    <w:rsid w:val="39B417A9"/>
    <w:rsid w:val="39BF5F70"/>
    <w:rsid w:val="39C26CA9"/>
    <w:rsid w:val="39DC420F"/>
    <w:rsid w:val="39FC5695"/>
    <w:rsid w:val="3A006D8E"/>
    <w:rsid w:val="3A267238"/>
    <w:rsid w:val="3A3651E5"/>
    <w:rsid w:val="3A744481"/>
    <w:rsid w:val="3A8C7BEF"/>
    <w:rsid w:val="3A906246"/>
    <w:rsid w:val="3B2349B7"/>
    <w:rsid w:val="3B616CFF"/>
    <w:rsid w:val="3B6259F6"/>
    <w:rsid w:val="3B976654"/>
    <w:rsid w:val="3BBC3FA5"/>
    <w:rsid w:val="3BC01EFC"/>
    <w:rsid w:val="3BCA786A"/>
    <w:rsid w:val="3BD31E2F"/>
    <w:rsid w:val="3BF15831"/>
    <w:rsid w:val="3C105946"/>
    <w:rsid w:val="3C471448"/>
    <w:rsid w:val="3C5F759A"/>
    <w:rsid w:val="3C6C525A"/>
    <w:rsid w:val="3CC26B75"/>
    <w:rsid w:val="3CCE23CB"/>
    <w:rsid w:val="3CD17D17"/>
    <w:rsid w:val="3D3C7F39"/>
    <w:rsid w:val="3D440F09"/>
    <w:rsid w:val="3D440FB0"/>
    <w:rsid w:val="3D4504A0"/>
    <w:rsid w:val="3D8734BB"/>
    <w:rsid w:val="3D9A11D4"/>
    <w:rsid w:val="3DA16D89"/>
    <w:rsid w:val="3DA364BE"/>
    <w:rsid w:val="3DE041CB"/>
    <w:rsid w:val="3DE56765"/>
    <w:rsid w:val="3E0D48F6"/>
    <w:rsid w:val="3E1868B4"/>
    <w:rsid w:val="3E1A6989"/>
    <w:rsid w:val="3E377251"/>
    <w:rsid w:val="3E42664B"/>
    <w:rsid w:val="3E5A7334"/>
    <w:rsid w:val="3E7B5D6B"/>
    <w:rsid w:val="3E843E66"/>
    <w:rsid w:val="3E8F51FE"/>
    <w:rsid w:val="3E926F87"/>
    <w:rsid w:val="3E95498C"/>
    <w:rsid w:val="3E9A59DE"/>
    <w:rsid w:val="3EAF4836"/>
    <w:rsid w:val="3EC33DFA"/>
    <w:rsid w:val="3F060E16"/>
    <w:rsid w:val="3F1D1096"/>
    <w:rsid w:val="3F2F0234"/>
    <w:rsid w:val="3F6363FE"/>
    <w:rsid w:val="3F756B8F"/>
    <w:rsid w:val="3F95482B"/>
    <w:rsid w:val="4019356B"/>
    <w:rsid w:val="40592157"/>
    <w:rsid w:val="406E1CAE"/>
    <w:rsid w:val="409D015E"/>
    <w:rsid w:val="40A0133A"/>
    <w:rsid w:val="40C31A53"/>
    <w:rsid w:val="40FF545D"/>
    <w:rsid w:val="410067C8"/>
    <w:rsid w:val="418F0D2A"/>
    <w:rsid w:val="41D01505"/>
    <w:rsid w:val="4223576A"/>
    <w:rsid w:val="422506CA"/>
    <w:rsid w:val="42474939"/>
    <w:rsid w:val="424C3C57"/>
    <w:rsid w:val="42613FF3"/>
    <w:rsid w:val="42660D96"/>
    <w:rsid w:val="42736CC8"/>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84375"/>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8B3775"/>
    <w:rsid w:val="46C4686E"/>
    <w:rsid w:val="46FF153C"/>
    <w:rsid w:val="471C5C4A"/>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7D5CDA"/>
    <w:rsid w:val="49B64211"/>
    <w:rsid w:val="49D07E1C"/>
    <w:rsid w:val="49F6167F"/>
    <w:rsid w:val="4A064FA0"/>
    <w:rsid w:val="4A16615C"/>
    <w:rsid w:val="4A294927"/>
    <w:rsid w:val="4A4424D7"/>
    <w:rsid w:val="4AB82D0F"/>
    <w:rsid w:val="4AEB7664"/>
    <w:rsid w:val="4AFD7C19"/>
    <w:rsid w:val="4B0567D1"/>
    <w:rsid w:val="4B236AAE"/>
    <w:rsid w:val="4B707271"/>
    <w:rsid w:val="4B9739F7"/>
    <w:rsid w:val="4BEE2503"/>
    <w:rsid w:val="4C245A30"/>
    <w:rsid w:val="4CB6685F"/>
    <w:rsid w:val="4CC367FE"/>
    <w:rsid w:val="4D077F3C"/>
    <w:rsid w:val="4D0D33D9"/>
    <w:rsid w:val="4D123355"/>
    <w:rsid w:val="4D2A3B31"/>
    <w:rsid w:val="4D312C52"/>
    <w:rsid w:val="4D5B4FF3"/>
    <w:rsid w:val="4D905305"/>
    <w:rsid w:val="4D964A72"/>
    <w:rsid w:val="4D9C1254"/>
    <w:rsid w:val="4E2E646B"/>
    <w:rsid w:val="4E37107C"/>
    <w:rsid w:val="4E793892"/>
    <w:rsid w:val="4E7E6660"/>
    <w:rsid w:val="4E800872"/>
    <w:rsid w:val="4EC569ED"/>
    <w:rsid w:val="4ED50EA1"/>
    <w:rsid w:val="4EEC050C"/>
    <w:rsid w:val="4F104EC3"/>
    <w:rsid w:val="4F47354A"/>
    <w:rsid w:val="4F911C54"/>
    <w:rsid w:val="4F9F566B"/>
    <w:rsid w:val="4FE604DC"/>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CB2747"/>
    <w:rsid w:val="522E4CC3"/>
    <w:rsid w:val="5244713B"/>
    <w:rsid w:val="52615633"/>
    <w:rsid w:val="52977FD4"/>
    <w:rsid w:val="52A25790"/>
    <w:rsid w:val="52A96B6F"/>
    <w:rsid w:val="52B45975"/>
    <w:rsid w:val="52D94AA4"/>
    <w:rsid w:val="52DC5BC4"/>
    <w:rsid w:val="52EA3A62"/>
    <w:rsid w:val="52F50BB8"/>
    <w:rsid w:val="53097272"/>
    <w:rsid w:val="53544462"/>
    <w:rsid w:val="5397158E"/>
    <w:rsid w:val="54013861"/>
    <w:rsid w:val="54475574"/>
    <w:rsid w:val="54487265"/>
    <w:rsid w:val="544D6070"/>
    <w:rsid w:val="54605E1E"/>
    <w:rsid w:val="54B3506A"/>
    <w:rsid w:val="54CA0D16"/>
    <w:rsid w:val="54DD4057"/>
    <w:rsid w:val="54E27D39"/>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828E5"/>
    <w:rsid w:val="564836C9"/>
    <w:rsid w:val="566B6D1E"/>
    <w:rsid w:val="56F049FE"/>
    <w:rsid w:val="57032A2C"/>
    <w:rsid w:val="570F5219"/>
    <w:rsid w:val="575D12B5"/>
    <w:rsid w:val="57610A87"/>
    <w:rsid w:val="576942DB"/>
    <w:rsid w:val="577B1140"/>
    <w:rsid w:val="577B7F21"/>
    <w:rsid w:val="577F181B"/>
    <w:rsid w:val="57921984"/>
    <w:rsid w:val="579737F0"/>
    <w:rsid w:val="57AB7B30"/>
    <w:rsid w:val="57AF5251"/>
    <w:rsid w:val="57B26373"/>
    <w:rsid w:val="57B63F04"/>
    <w:rsid w:val="57CD20C2"/>
    <w:rsid w:val="57D675AB"/>
    <w:rsid w:val="57D95FDD"/>
    <w:rsid w:val="58226E39"/>
    <w:rsid w:val="582F1556"/>
    <w:rsid w:val="583628E4"/>
    <w:rsid w:val="58917D2F"/>
    <w:rsid w:val="5894085C"/>
    <w:rsid w:val="58AE4F0C"/>
    <w:rsid w:val="58B85899"/>
    <w:rsid w:val="58E363A9"/>
    <w:rsid w:val="595E1678"/>
    <w:rsid w:val="596D5BD4"/>
    <w:rsid w:val="597E3DD8"/>
    <w:rsid w:val="59F80043"/>
    <w:rsid w:val="5A09252F"/>
    <w:rsid w:val="5A0B2778"/>
    <w:rsid w:val="5A221372"/>
    <w:rsid w:val="5A2A7C7B"/>
    <w:rsid w:val="5A3E2560"/>
    <w:rsid w:val="5A5D3B6E"/>
    <w:rsid w:val="5A637A76"/>
    <w:rsid w:val="5A6D33BA"/>
    <w:rsid w:val="5A792B1F"/>
    <w:rsid w:val="5A874767"/>
    <w:rsid w:val="5AAD6F28"/>
    <w:rsid w:val="5AD63A24"/>
    <w:rsid w:val="5B144199"/>
    <w:rsid w:val="5B2E1A1D"/>
    <w:rsid w:val="5B843A1C"/>
    <w:rsid w:val="5B873E3F"/>
    <w:rsid w:val="5BC52E68"/>
    <w:rsid w:val="5C02690E"/>
    <w:rsid w:val="5C196DA7"/>
    <w:rsid w:val="5C2A048C"/>
    <w:rsid w:val="5C80234E"/>
    <w:rsid w:val="5C8A680C"/>
    <w:rsid w:val="5CA50038"/>
    <w:rsid w:val="5CB649E7"/>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C74EC"/>
    <w:rsid w:val="5EFC7377"/>
    <w:rsid w:val="5F06174D"/>
    <w:rsid w:val="5F0C5767"/>
    <w:rsid w:val="5F2E1009"/>
    <w:rsid w:val="5F3A3602"/>
    <w:rsid w:val="5F6277C6"/>
    <w:rsid w:val="5F6A2E58"/>
    <w:rsid w:val="5F6D0B1D"/>
    <w:rsid w:val="5F8D0B82"/>
    <w:rsid w:val="5F90501B"/>
    <w:rsid w:val="5FCC5339"/>
    <w:rsid w:val="5FE34A5B"/>
    <w:rsid w:val="5FFE1E36"/>
    <w:rsid w:val="60232584"/>
    <w:rsid w:val="607330CE"/>
    <w:rsid w:val="60825176"/>
    <w:rsid w:val="609F2AC4"/>
    <w:rsid w:val="60FA2EE8"/>
    <w:rsid w:val="61054A27"/>
    <w:rsid w:val="610A52BC"/>
    <w:rsid w:val="611D2366"/>
    <w:rsid w:val="611F03B9"/>
    <w:rsid w:val="61421856"/>
    <w:rsid w:val="615227C4"/>
    <w:rsid w:val="61654E3F"/>
    <w:rsid w:val="61750921"/>
    <w:rsid w:val="6182292A"/>
    <w:rsid w:val="619F7F92"/>
    <w:rsid w:val="61A04511"/>
    <w:rsid w:val="61F94C26"/>
    <w:rsid w:val="62000E56"/>
    <w:rsid w:val="624F3E49"/>
    <w:rsid w:val="62632286"/>
    <w:rsid w:val="62885958"/>
    <w:rsid w:val="62A212A2"/>
    <w:rsid w:val="62F40B65"/>
    <w:rsid w:val="62FC2CFE"/>
    <w:rsid w:val="63024505"/>
    <w:rsid w:val="635B1DB5"/>
    <w:rsid w:val="63711FED"/>
    <w:rsid w:val="63880DDC"/>
    <w:rsid w:val="638D750D"/>
    <w:rsid w:val="63AC6CC0"/>
    <w:rsid w:val="64055776"/>
    <w:rsid w:val="640970FF"/>
    <w:rsid w:val="64137F7D"/>
    <w:rsid w:val="64240056"/>
    <w:rsid w:val="643E143A"/>
    <w:rsid w:val="648B6EEF"/>
    <w:rsid w:val="64A70D5E"/>
    <w:rsid w:val="64C158BF"/>
    <w:rsid w:val="64CE2EAA"/>
    <w:rsid w:val="653C3090"/>
    <w:rsid w:val="65854376"/>
    <w:rsid w:val="658767BE"/>
    <w:rsid w:val="65892531"/>
    <w:rsid w:val="66195831"/>
    <w:rsid w:val="662E75B1"/>
    <w:rsid w:val="66342C2E"/>
    <w:rsid w:val="663E784C"/>
    <w:rsid w:val="668B6A45"/>
    <w:rsid w:val="672F3F24"/>
    <w:rsid w:val="673E055F"/>
    <w:rsid w:val="67551CE3"/>
    <w:rsid w:val="67891902"/>
    <w:rsid w:val="67A22552"/>
    <w:rsid w:val="67B22DCC"/>
    <w:rsid w:val="67BE71AA"/>
    <w:rsid w:val="67D90273"/>
    <w:rsid w:val="67DE5875"/>
    <w:rsid w:val="67E55852"/>
    <w:rsid w:val="67EB1AB4"/>
    <w:rsid w:val="67FA1285"/>
    <w:rsid w:val="68551F4F"/>
    <w:rsid w:val="687A4A6F"/>
    <w:rsid w:val="687C10C9"/>
    <w:rsid w:val="68840C16"/>
    <w:rsid w:val="68876EFB"/>
    <w:rsid w:val="68884654"/>
    <w:rsid w:val="689F444F"/>
    <w:rsid w:val="68B96DBB"/>
    <w:rsid w:val="68CA2805"/>
    <w:rsid w:val="68E937A3"/>
    <w:rsid w:val="693E15D3"/>
    <w:rsid w:val="69627681"/>
    <w:rsid w:val="696C55A8"/>
    <w:rsid w:val="6977531D"/>
    <w:rsid w:val="69CC2BFF"/>
    <w:rsid w:val="69FD55B8"/>
    <w:rsid w:val="6A0B1C62"/>
    <w:rsid w:val="6A2406C8"/>
    <w:rsid w:val="6A9B79FB"/>
    <w:rsid w:val="6AA45DD3"/>
    <w:rsid w:val="6AD761A9"/>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BC7054"/>
    <w:rsid w:val="6DC0172B"/>
    <w:rsid w:val="6DCB690C"/>
    <w:rsid w:val="6DD41A5B"/>
    <w:rsid w:val="6DF43C2E"/>
    <w:rsid w:val="6DF51CA3"/>
    <w:rsid w:val="6E4C13DA"/>
    <w:rsid w:val="6E8335BD"/>
    <w:rsid w:val="6E8E12EF"/>
    <w:rsid w:val="6E972936"/>
    <w:rsid w:val="6ED446C5"/>
    <w:rsid w:val="6F2A7D94"/>
    <w:rsid w:val="6F370FC4"/>
    <w:rsid w:val="6F8331F1"/>
    <w:rsid w:val="6FAE1A09"/>
    <w:rsid w:val="6FD75BF8"/>
    <w:rsid w:val="707723D0"/>
    <w:rsid w:val="70F5661B"/>
    <w:rsid w:val="71022C7F"/>
    <w:rsid w:val="71360107"/>
    <w:rsid w:val="713B688E"/>
    <w:rsid w:val="71D43752"/>
    <w:rsid w:val="71F1796A"/>
    <w:rsid w:val="72154626"/>
    <w:rsid w:val="72262B5D"/>
    <w:rsid w:val="72283FF7"/>
    <w:rsid w:val="722E7212"/>
    <w:rsid w:val="723A0474"/>
    <w:rsid w:val="725923E4"/>
    <w:rsid w:val="727252A4"/>
    <w:rsid w:val="72864BF7"/>
    <w:rsid w:val="729023FC"/>
    <w:rsid w:val="73080A96"/>
    <w:rsid w:val="73217FC1"/>
    <w:rsid w:val="738C1753"/>
    <w:rsid w:val="73C0646E"/>
    <w:rsid w:val="742222F5"/>
    <w:rsid w:val="74476126"/>
    <w:rsid w:val="74706664"/>
    <w:rsid w:val="747F3682"/>
    <w:rsid w:val="749C4185"/>
    <w:rsid w:val="75067759"/>
    <w:rsid w:val="752E6DCD"/>
    <w:rsid w:val="7551380D"/>
    <w:rsid w:val="75600BE5"/>
    <w:rsid w:val="7564475C"/>
    <w:rsid w:val="756D6E66"/>
    <w:rsid w:val="7583797F"/>
    <w:rsid w:val="75D20F1D"/>
    <w:rsid w:val="75DA2C18"/>
    <w:rsid w:val="75F54412"/>
    <w:rsid w:val="761D08E0"/>
    <w:rsid w:val="765D347C"/>
    <w:rsid w:val="76826699"/>
    <w:rsid w:val="76C87133"/>
    <w:rsid w:val="76CD08D5"/>
    <w:rsid w:val="76DB4B92"/>
    <w:rsid w:val="76F90C02"/>
    <w:rsid w:val="77052AA4"/>
    <w:rsid w:val="77136511"/>
    <w:rsid w:val="77340A39"/>
    <w:rsid w:val="77351FD0"/>
    <w:rsid w:val="77472422"/>
    <w:rsid w:val="777F31F2"/>
    <w:rsid w:val="77BA7D85"/>
    <w:rsid w:val="77D1700D"/>
    <w:rsid w:val="77EC04CC"/>
    <w:rsid w:val="78497EE0"/>
    <w:rsid w:val="78775729"/>
    <w:rsid w:val="78A42DB0"/>
    <w:rsid w:val="78A656AB"/>
    <w:rsid w:val="78B2245C"/>
    <w:rsid w:val="78E172CC"/>
    <w:rsid w:val="78EA1D1F"/>
    <w:rsid w:val="7904172F"/>
    <w:rsid w:val="79097CE5"/>
    <w:rsid w:val="790F7E27"/>
    <w:rsid w:val="792A231A"/>
    <w:rsid w:val="79316829"/>
    <w:rsid w:val="796F5F02"/>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35073B"/>
    <w:rsid w:val="7B5A2978"/>
    <w:rsid w:val="7B5A7E4C"/>
    <w:rsid w:val="7B667AF9"/>
    <w:rsid w:val="7B7468F8"/>
    <w:rsid w:val="7BEE0103"/>
    <w:rsid w:val="7C0A0FE4"/>
    <w:rsid w:val="7C254906"/>
    <w:rsid w:val="7C3E103E"/>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750B7F"/>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9">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1"/>
    <w:qFormat/>
    <w:uiPriority w:val="0"/>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unhideWhenUsed/>
    <w:qFormat/>
    <w:uiPriority w:val="1"/>
  </w:style>
  <w:style w:type="table" w:default="1" w:styleId="67">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8"/>
    <w:qFormat/>
    <w:uiPriority w:val="0"/>
    <w:pPr>
      <w:spacing w:line="480" w:lineRule="exact"/>
      <w:ind w:firstLine="480" w:firstLineChars="200"/>
    </w:pPr>
    <w:rPr>
      <w:rFonts w:ascii="宋体" w:hAnsi="宋体"/>
      <w:sz w:val="24"/>
    </w:rPr>
  </w:style>
  <w:style w:type="paragraph" w:customStyle="1" w:styleId="3">
    <w:name w:val="正文文本首行缩进 2"/>
    <w:basedOn w:val="4"/>
    <w:qFormat/>
    <w:uiPriority w:val="99"/>
    <w:pPr>
      <w:tabs>
        <w:tab w:val="right" w:leader="dot" w:pos="8268"/>
      </w:tabs>
      <w:spacing w:line="200" w:lineRule="atLeast"/>
      <w:ind w:firstLine="420"/>
    </w:pPr>
    <w:rPr>
      <w:rFonts w:ascii="宋体" w:hAnsi="Courier New" w:cs="宋体"/>
      <w:spacing w:val="-4"/>
      <w:sz w:val="18"/>
      <w:szCs w:val="18"/>
    </w:rPr>
  </w:style>
  <w:style w:type="paragraph" w:customStyle="1" w:styleId="4">
    <w:name w:val="正文缩进1"/>
    <w:basedOn w:val="5"/>
    <w:next w:val="3"/>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5">
    <w:name w:val="正文1"/>
    <w:basedOn w:val="6"/>
    <w:next w:val="7"/>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7">
    <w:name w:val="标题 21"/>
    <w:basedOn w:val="5"/>
    <w:next w:val="5"/>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styleId="11">
    <w:name w:val="Normal Indent"/>
    <w:basedOn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8">
    <w:name w:val="toc 7"/>
    <w:basedOn w:val="1"/>
    <w:next w:val="1"/>
    <w:qFormat/>
    <w:uiPriority w:val="0"/>
    <w:pPr>
      <w:ind w:left="2520" w:leftChars="1200"/>
    </w:p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57"/>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32"/>
    <w:qFormat/>
    <w:uiPriority w:val="0"/>
    <w:pPr>
      <w:shd w:val="clear" w:color="auto" w:fill="000080"/>
    </w:pPr>
  </w:style>
  <w:style w:type="paragraph" w:styleId="25">
    <w:name w:val="annotation text"/>
    <w:basedOn w:val="1"/>
    <w:link w:val="860"/>
    <w:qFormat/>
    <w:uiPriority w:val="99"/>
    <w:pPr>
      <w:jc w:val="left"/>
    </w:pPr>
  </w:style>
  <w:style w:type="paragraph" w:styleId="26">
    <w:name w:val="Salutation"/>
    <w:basedOn w:val="1"/>
    <w:next w:val="1"/>
    <w:link w:val="820"/>
    <w:qFormat/>
    <w:uiPriority w:val="0"/>
    <w:rPr>
      <w:rFonts w:ascii="仿宋_GB2312" w:eastAsia="仿宋_GB2312"/>
      <w:sz w:val="28"/>
      <w:szCs w:val="20"/>
    </w:rPr>
  </w:style>
  <w:style w:type="paragraph" w:styleId="27">
    <w:name w:val="Body Text 3"/>
    <w:basedOn w:val="1"/>
    <w:link w:val="848"/>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Body Text"/>
    <w:basedOn w:val="1"/>
    <w:next w:val="1"/>
    <w:link w:val="937"/>
    <w:qFormat/>
    <w:uiPriority w:val="0"/>
    <w:pPr>
      <w:autoSpaceDE w:val="0"/>
      <w:autoSpaceDN w:val="0"/>
      <w:spacing w:line="360" w:lineRule="auto"/>
    </w:pPr>
    <w:rPr>
      <w:rFonts w:ascii="宋体" w:hAnsi="Arial" w:cs="Arial"/>
      <w:snapToGrid w:val="0"/>
      <w:sz w:val="24"/>
      <w:szCs w:val="21"/>
      <w:lang w:val="zh-CN"/>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Plain Text"/>
    <w:basedOn w:val="1"/>
    <w:next w:val="1"/>
    <w:link w:val="664"/>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14"/>
    <w:qFormat/>
    <w:uiPriority w:val="0"/>
    <w:pPr>
      <w:ind w:left="100" w:leftChars="2500"/>
    </w:pPr>
    <w:rPr>
      <w:rFonts w:ascii="宋体"/>
      <w:sz w:val="24"/>
      <w:szCs w:val="21"/>
      <w:lang w:val="zh-CN"/>
    </w:rPr>
  </w:style>
  <w:style w:type="paragraph" w:styleId="40">
    <w:name w:val="Body Text Indent 2"/>
    <w:basedOn w:val="1"/>
    <w:link w:val="828"/>
    <w:qFormat/>
    <w:uiPriority w:val="0"/>
    <w:pPr>
      <w:spacing w:line="360" w:lineRule="auto"/>
      <w:ind w:firstLine="601"/>
      <w:textAlignment w:val="baseline"/>
    </w:pPr>
    <w:rPr>
      <w:rFonts w:ascii="宋体"/>
      <w:kern w:val="0"/>
      <w:sz w:val="28"/>
      <w:szCs w:val="20"/>
    </w:rPr>
  </w:style>
  <w:style w:type="paragraph" w:styleId="41">
    <w:name w:val="endnote text"/>
    <w:basedOn w:val="1"/>
    <w:link w:val="945"/>
    <w:qFormat/>
    <w:uiPriority w:val="0"/>
    <w:rPr>
      <w:lang w:val="zh-CN"/>
    </w:rPr>
  </w:style>
  <w:style w:type="paragraph" w:styleId="42">
    <w:name w:val="Balloon Text"/>
    <w:basedOn w:val="1"/>
    <w:link w:val="721"/>
    <w:qFormat/>
    <w:uiPriority w:val="0"/>
    <w:rPr>
      <w:sz w:val="18"/>
      <w:szCs w:val="18"/>
    </w:rPr>
  </w:style>
  <w:style w:type="paragraph" w:styleId="43">
    <w:name w:val="footer"/>
    <w:basedOn w:val="1"/>
    <w:link w:val="896"/>
    <w:qFormat/>
    <w:uiPriority w:val="99"/>
    <w:pPr>
      <w:tabs>
        <w:tab w:val="center" w:pos="4153"/>
        <w:tab w:val="right" w:pos="8306"/>
      </w:tabs>
      <w:snapToGrid w:val="0"/>
      <w:jc w:val="left"/>
    </w:pPr>
    <w:rPr>
      <w:sz w:val="18"/>
      <w:szCs w:val="18"/>
    </w:rPr>
  </w:style>
  <w:style w:type="paragraph" w:styleId="44">
    <w:name w:val="envelope return"/>
    <w:basedOn w:val="1"/>
    <w:unhideWhenUsed/>
    <w:qFormat/>
    <w:uiPriority w:val="99"/>
    <w:pPr>
      <w:snapToGrid w:val="0"/>
    </w:pPr>
    <w:rPr>
      <w:rFonts w:ascii="Arial" w:hAnsi="Arial"/>
    </w:rPr>
  </w:style>
  <w:style w:type="paragraph" w:styleId="45">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1"/>
    <w:link w:val="830"/>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9"/>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24"/>
    <w:qFormat/>
    <w:uiPriority w:val="0"/>
    <w:pPr>
      <w:spacing w:after="120" w:line="480" w:lineRule="auto"/>
    </w:pPr>
  </w:style>
  <w:style w:type="paragraph" w:styleId="61">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8"/>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5"/>
    <w:next w:val="25"/>
    <w:link w:val="637"/>
    <w:qFormat/>
    <w:uiPriority w:val="0"/>
    <w:rPr>
      <w:b/>
      <w:bCs/>
    </w:rPr>
  </w:style>
  <w:style w:type="paragraph" w:styleId="65">
    <w:name w:val="Body Text First Indent"/>
    <w:basedOn w:val="29"/>
    <w:next w:val="1"/>
    <w:link w:val="839"/>
    <w:qFormat/>
    <w:uiPriority w:val="0"/>
    <w:pPr>
      <w:ind w:firstLine="420"/>
    </w:pPr>
    <w:rPr>
      <w:rFonts w:hAnsi="Calibri" w:cs="Times New Roman"/>
      <w:szCs w:val="20"/>
    </w:rPr>
  </w:style>
  <w:style w:type="paragraph" w:styleId="66">
    <w:name w:val="Body Text First Indent 2"/>
    <w:basedOn w:val="2"/>
    <w:next w:val="1"/>
    <w:link w:val="660"/>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character" w:styleId="84">
    <w:name w:val="HTML Sample"/>
    <w:basedOn w:val="74"/>
    <w:qFormat/>
    <w:uiPriority w:val="0"/>
    <w:rPr>
      <w:rFonts w:ascii="Courier New" w:hAnsi="Courier New"/>
    </w:rPr>
  </w:style>
  <w:style w:type="paragraph" w:customStyle="1" w:styleId="85">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9"/>
    <w:qFormat/>
    <w:uiPriority w:val="0"/>
    <w:pPr>
      <w:spacing w:before="156" w:line="360" w:lineRule="auto"/>
      <w:ind w:firstLine="510" w:firstLineChars="200"/>
    </w:pPr>
    <w:rPr>
      <w:sz w:val="24"/>
      <w:szCs w:val="20"/>
    </w:rPr>
  </w:style>
  <w:style w:type="paragraph" w:customStyle="1" w:styleId="91">
    <w:name w:val="无间隔1"/>
    <w:link w:val="677"/>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5"/>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9"/>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30"/>
    <w:qFormat/>
    <w:uiPriority w:val="0"/>
    <w:pPr>
      <w:ind w:left="0" w:right="466" w:firstLine="288"/>
    </w:pPr>
    <w:rPr>
      <w:rFonts w:hAnsi="宋体"/>
    </w:rPr>
  </w:style>
  <w:style w:type="paragraph" w:customStyle="1" w:styleId="98">
    <w:name w:val="样式 标题 3h33rd level3BOD 0H3l3CTHeading 3 - oldLevel 3 He..."/>
    <w:basedOn w:val="10"/>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12"/>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72"/>
    <w:qFormat/>
    <w:uiPriority w:val="0"/>
    <w:pPr>
      <w:adjustRightInd/>
      <w:spacing w:line="360" w:lineRule="auto"/>
      <w:ind w:firstLine="480" w:firstLineChars="200"/>
    </w:pPr>
    <w:rPr>
      <w:kern w:val="0"/>
      <w:sz w:val="24"/>
    </w:rPr>
  </w:style>
  <w:style w:type="paragraph" w:customStyle="1" w:styleId="103">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803"/>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5"/>
    <w:qFormat/>
    <w:uiPriority w:val="0"/>
    <w:pPr>
      <w:tabs>
        <w:tab w:val="left" w:pos="2356"/>
      </w:tabs>
    </w:pPr>
  </w:style>
  <w:style w:type="paragraph" w:customStyle="1" w:styleId="108">
    <w:name w:val="样式 标题 4h4H4Fab-4T5Ref Heading 1rh1Heading sqlsect 1.2.3...."/>
    <w:basedOn w:val="12"/>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8"/>
    <w:qFormat/>
    <w:uiPriority w:val="0"/>
    <w:pPr>
      <w:adjustRightInd/>
    </w:pPr>
    <w:rPr>
      <w:rFonts w:ascii="宋体" w:hAnsi="Courier New"/>
      <w:kern w:val="0"/>
      <w:sz w:val="20"/>
      <w:szCs w:val="20"/>
    </w:rPr>
  </w:style>
  <w:style w:type="paragraph" w:customStyle="1" w:styleId="111">
    <w:name w:val="正文说明"/>
    <w:basedOn w:val="1"/>
    <w:link w:val="850"/>
    <w:qFormat/>
    <w:uiPriority w:val="0"/>
    <w:pPr>
      <w:adjustRightInd/>
      <w:spacing w:line="360" w:lineRule="auto"/>
    </w:pPr>
    <w:rPr>
      <w:kern w:val="0"/>
      <w:sz w:val="24"/>
    </w:rPr>
  </w:style>
  <w:style w:type="paragraph" w:customStyle="1" w:styleId="112">
    <w:name w:val="Table Text"/>
    <w:basedOn w:val="1"/>
    <w:link w:val="856"/>
    <w:qFormat/>
    <w:uiPriority w:val="0"/>
    <w:pPr>
      <w:widowControl/>
      <w:spacing w:before="60" w:after="60"/>
      <w:jc w:val="left"/>
    </w:pPr>
    <w:rPr>
      <w:kern w:val="0"/>
      <w:sz w:val="24"/>
    </w:rPr>
  </w:style>
  <w:style w:type="paragraph" w:customStyle="1" w:styleId="113">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8"/>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11"/>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12"/>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9"/>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9"/>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14"/>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6"/>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9"/>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8"/>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10"/>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13"/>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10"/>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9"/>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表格文字"/>
    <w:basedOn w:val="1"/>
    <w:next w:val="11"/>
    <w:qFormat/>
    <w:uiPriority w:val="0"/>
    <w:pPr>
      <w:adjustRightInd/>
      <w:ind w:firstLine="200" w:firstLineChars="200"/>
    </w:pPr>
    <w:rPr>
      <w:rFonts w:ascii="Arial" w:hAnsi="Arial"/>
      <w:spacing w:val="-5"/>
      <w:kern w:val="0"/>
      <w:sz w:val="24"/>
      <w:szCs w:val="20"/>
    </w:rPr>
  </w:style>
  <w:style w:type="paragraph" w:customStyle="1" w:styleId="20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5">
    <w:name w:val="TOC 标题111"/>
    <w:basedOn w:val="8"/>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9">
    <w:name w:val="_Style 3"/>
    <w:basedOn w:val="1"/>
    <w:qFormat/>
    <w:uiPriority w:val="0"/>
    <w:pPr>
      <w:adjustRightInd/>
      <w:ind w:firstLine="420" w:firstLineChars="200"/>
    </w:pPr>
    <w:rPr>
      <w:rFonts w:eastAsia="仿宋_GB2312"/>
      <w:sz w:val="28"/>
    </w:rPr>
  </w:style>
  <w:style w:type="paragraph" w:customStyle="1" w:styleId="2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1">
    <w:name w:val="Bulleting First Indent 1"/>
    <w:basedOn w:val="6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2">
    <w:name w:val="左对齐表格文字"/>
    <w:basedOn w:val="1"/>
    <w:qFormat/>
    <w:uiPriority w:val="0"/>
    <w:pPr>
      <w:adjustRightInd/>
      <w:ind w:firstLine="200" w:firstLineChars="200"/>
      <w:jc w:val="right"/>
    </w:pPr>
  </w:style>
  <w:style w:type="paragraph" w:customStyle="1" w:styleId="213">
    <w:name w:val="Char Char11 Char Char Char Char Char Char Char Char Char"/>
    <w:basedOn w:val="1"/>
    <w:qFormat/>
    <w:uiPriority w:val="0"/>
    <w:pPr>
      <w:spacing w:line="360" w:lineRule="auto"/>
    </w:pPr>
    <w:rPr>
      <w:szCs w:val="20"/>
    </w:rPr>
  </w:style>
  <w:style w:type="paragraph" w:customStyle="1" w:styleId="214">
    <w:name w:val="正文1.25"/>
    <w:basedOn w:val="1"/>
    <w:qFormat/>
    <w:uiPriority w:val="0"/>
    <w:pPr>
      <w:adjustRightInd/>
      <w:spacing w:line="300" w:lineRule="auto"/>
      <w:ind w:firstLine="480" w:firstLineChars="200"/>
    </w:pPr>
    <w:rPr>
      <w:sz w:val="24"/>
      <w:szCs w:val="20"/>
    </w:rPr>
  </w:style>
  <w:style w:type="paragraph" w:customStyle="1" w:styleId="21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8">
    <w:name w:val="Char Char1 Char Char Char1"/>
    <w:basedOn w:val="1"/>
    <w:qFormat/>
    <w:uiPriority w:val="6"/>
    <w:rPr>
      <w:rFonts w:ascii="仿宋_GB2312" w:eastAsia="仿宋_GB2312"/>
      <w:b/>
      <w:sz w:val="32"/>
      <w:szCs w:val="20"/>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默认段落字体 Para Char Char Char Char Char Char Char"/>
    <w:basedOn w:val="1"/>
    <w:qFormat/>
    <w:uiPriority w:val="0"/>
    <w:rPr>
      <w:rFonts w:eastAsia="仿宋_GB2312"/>
      <w:sz w:val="28"/>
      <w:szCs w:val="20"/>
    </w:rPr>
  </w:style>
  <w:style w:type="paragraph" w:customStyle="1" w:styleId="22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2">
    <w:name w:val="样式 标题 4PIM 4H4h4bulletblbbH41H42H43H44H45H46H47H48...1"/>
    <w:basedOn w:val="12"/>
    <w:qFormat/>
    <w:uiPriority w:val="0"/>
    <w:pPr>
      <w:widowControl/>
      <w:jc w:val="left"/>
    </w:pPr>
    <w:rPr>
      <w:rFonts w:cs="宋体"/>
      <w:sz w:val="24"/>
      <w:szCs w:val="20"/>
    </w:rPr>
  </w:style>
  <w:style w:type="paragraph" w:customStyle="1" w:styleId="223">
    <w:name w:val="彩色列表 - 强调文字颜色 11"/>
    <w:basedOn w:val="1"/>
    <w:qFormat/>
    <w:uiPriority w:val="0"/>
    <w:pPr>
      <w:adjustRightInd/>
      <w:ind w:firstLine="420" w:firstLineChars="200"/>
    </w:pPr>
    <w:rPr>
      <w:rFonts w:ascii="Calibri" w:hAnsi="Calibri"/>
      <w:szCs w:val="22"/>
    </w:rPr>
  </w:style>
  <w:style w:type="paragraph" w:customStyle="1" w:styleId="22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7">
    <w:name w:val="Char Char Char1 Char1"/>
    <w:basedOn w:val="1"/>
    <w:qFormat/>
    <w:uiPriority w:val="6"/>
    <w:rPr>
      <w:szCs w:val="20"/>
    </w:rPr>
  </w:style>
  <w:style w:type="paragraph" w:customStyle="1" w:styleId="22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9">
    <w:name w:val="样式 标题 2 + 宋体 左侧:  1.76 厘米 首行缩进:  0 厘米"/>
    <w:basedOn w:val="9"/>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3">
    <w:name w:val="CM14"/>
    <w:basedOn w:val="101"/>
    <w:next w:val="101"/>
    <w:qFormat/>
    <w:uiPriority w:val="0"/>
    <w:pPr>
      <w:spacing w:after="68"/>
    </w:pPr>
    <w:rPr>
      <w:rFonts w:ascii="FHLHE E+ Futura Bk" w:eastAsia="FHLHE E+ Futura Bk" w:cs="Times New Roman"/>
      <w:color w:val="auto"/>
    </w:rPr>
  </w:style>
  <w:style w:type="paragraph" w:customStyle="1" w:styleId="23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7">
    <w:name w:val="正文文字 2"/>
    <w:basedOn w:val="101"/>
    <w:next w:val="101"/>
    <w:qFormat/>
    <w:uiPriority w:val="0"/>
    <w:rPr>
      <w:rFonts w:ascii="宋体" w:eastAsia="宋体" w:cs="Times New Roman"/>
      <w:color w:val="auto"/>
    </w:rPr>
  </w:style>
  <w:style w:type="paragraph" w:customStyle="1" w:styleId="23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9">
    <w:name w:val="Char Char1 Char"/>
    <w:basedOn w:val="1"/>
    <w:qFormat/>
    <w:uiPriority w:val="0"/>
    <w:rPr>
      <w:rFonts w:ascii="仿宋_GB2312" w:eastAsia="仿宋_GB2312"/>
      <w:b/>
      <w:sz w:val="32"/>
      <w:szCs w:val="32"/>
    </w:rPr>
  </w:style>
  <w:style w:type="paragraph" w:customStyle="1" w:styleId="24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2">
    <w:name w:val="Char Char111"/>
    <w:basedOn w:val="1"/>
    <w:qFormat/>
    <w:uiPriority w:val="0"/>
    <w:pPr>
      <w:spacing w:line="360" w:lineRule="auto"/>
    </w:pPr>
    <w:rPr>
      <w:szCs w:val="20"/>
    </w:rPr>
  </w:style>
  <w:style w:type="paragraph" w:customStyle="1" w:styleId="243">
    <w:name w:val="Char"/>
    <w:basedOn w:val="1"/>
    <w:qFormat/>
    <w:uiPriority w:val="0"/>
    <w:rPr>
      <w:rFonts w:ascii="仿宋_GB2312" w:eastAsia="仿宋_GB2312"/>
      <w:b/>
      <w:sz w:val="32"/>
      <w:szCs w:val="32"/>
    </w:rPr>
  </w:style>
  <w:style w:type="paragraph" w:customStyle="1" w:styleId="24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6">
    <w:name w:val="Char Char Char1 Char"/>
    <w:basedOn w:val="1"/>
    <w:qFormat/>
    <w:uiPriority w:val="0"/>
    <w:rPr>
      <w:szCs w:val="20"/>
    </w:rPr>
  </w:style>
  <w:style w:type="paragraph" w:customStyle="1" w:styleId="247">
    <w:name w:val="正文标准"/>
    <w:basedOn w:val="1"/>
    <w:qFormat/>
    <w:uiPriority w:val="0"/>
    <w:pPr>
      <w:adjustRightInd/>
      <w:spacing w:line="360" w:lineRule="auto"/>
      <w:ind w:firstLine="200" w:firstLineChars="200"/>
    </w:pPr>
    <w:rPr>
      <w:rFonts w:ascii="宋体" w:hAnsi="Calibri"/>
      <w:sz w:val="24"/>
    </w:rPr>
  </w:style>
  <w:style w:type="paragraph" w:customStyle="1" w:styleId="24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标准有序列表（L1）"/>
    <w:basedOn w:val="11"/>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0">
    <w:name w:val="Char Char Char Char Char Char Char Char Char Char"/>
    <w:basedOn w:val="1"/>
    <w:qFormat/>
    <w:uiPriority w:val="0"/>
    <w:rPr>
      <w:rFonts w:ascii="仿宋_GB2312" w:eastAsia="仿宋_GB2312"/>
      <w:b/>
      <w:sz w:val="32"/>
      <w:szCs w:val="32"/>
    </w:rPr>
  </w:style>
  <w:style w:type="paragraph" w:customStyle="1" w:styleId="26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2">
    <w:name w:val="_正文段落"/>
    <w:basedOn w:val="1"/>
    <w:qFormat/>
    <w:uiPriority w:val="0"/>
    <w:pPr>
      <w:adjustRightInd/>
      <w:ind w:firstLine="560"/>
    </w:pPr>
    <w:rPr>
      <w:rFonts w:ascii="仿宋_GB2312" w:hAnsi="仿宋" w:eastAsia="仿宋_GB2312"/>
      <w:kern w:val="0"/>
      <w:sz w:val="28"/>
      <w:szCs w:val="28"/>
    </w:rPr>
  </w:style>
  <w:style w:type="paragraph" w:customStyle="1" w:styleId="26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5">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9">
    <w:name w:val="Char Char Char1 Char2"/>
    <w:basedOn w:val="1"/>
    <w:qFormat/>
    <w:uiPriority w:val="0"/>
    <w:rPr>
      <w:szCs w:val="20"/>
    </w:rPr>
  </w:style>
  <w:style w:type="paragraph" w:customStyle="1" w:styleId="27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1">
    <w:name w:val="默认段落字体 Para Char"/>
    <w:basedOn w:val="1"/>
    <w:qFormat/>
    <w:uiPriority w:val="0"/>
    <w:rPr>
      <w:rFonts w:ascii="Tahoma" w:hAnsi="Tahoma"/>
      <w:sz w:val="24"/>
      <w:szCs w:val="20"/>
    </w:rPr>
  </w:style>
  <w:style w:type="paragraph" w:customStyle="1" w:styleId="272">
    <w:name w:val="标题五"/>
    <w:basedOn w:val="1"/>
    <w:qFormat/>
    <w:uiPriority w:val="0"/>
    <w:pPr>
      <w:adjustRightInd/>
      <w:spacing w:before="156" w:beforeLines="50" w:line="360" w:lineRule="auto"/>
    </w:pPr>
    <w:rPr>
      <w:b/>
      <w:sz w:val="24"/>
    </w:rPr>
  </w:style>
  <w:style w:type="paragraph" w:customStyle="1" w:styleId="273">
    <w:name w:val="Char Char1101"/>
    <w:basedOn w:val="1"/>
    <w:qFormat/>
    <w:uiPriority w:val="0"/>
    <w:pPr>
      <w:spacing w:line="360" w:lineRule="auto"/>
    </w:pPr>
    <w:rPr>
      <w:rFonts w:ascii="Tahoma" w:hAnsi="Tahoma"/>
      <w:sz w:val="24"/>
      <w:szCs w:val="20"/>
    </w:rPr>
  </w:style>
  <w:style w:type="paragraph" w:customStyle="1" w:styleId="274">
    <w:name w:val="Char Char Char Char Char Char Char Char1"/>
    <w:basedOn w:val="1"/>
    <w:qFormat/>
    <w:uiPriority w:val="0"/>
    <w:pPr>
      <w:tabs>
        <w:tab w:val="left" w:pos="360"/>
      </w:tabs>
    </w:pPr>
    <w:rPr>
      <w:sz w:val="24"/>
      <w:szCs w:val="20"/>
    </w:rPr>
  </w:style>
  <w:style w:type="paragraph" w:customStyle="1" w:styleId="275">
    <w:name w:val="Char Char Char 字元 字元"/>
    <w:basedOn w:val="1"/>
    <w:qFormat/>
    <w:uiPriority w:val="0"/>
    <w:pPr>
      <w:adjustRightInd/>
      <w:spacing w:line="360" w:lineRule="auto"/>
      <w:ind w:firstLine="200" w:firstLineChars="200"/>
    </w:pPr>
    <w:rPr>
      <w:szCs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7">
    <w:name w:val="Char Char Char Char Char Char Char"/>
    <w:basedOn w:val="1"/>
    <w:qFormat/>
    <w:uiPriority w:val="0"/>
    <w:rPr>
      <w:rFonts w:ascii="仿宋_GB2312" w:eastAsia="仿宋_GB2312"/>
      <w:b/>
      <w:sz w:val="32"/>
      <w:szCs w:val="32"/>
    </w:rPr>
  </w:style>
  <w:style w:type="paragraph" w:customStyle="1" w:styleId="27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0">
    <w:name w:val="样式 标题 22h2L1 Heading 2H2sect 1.2H21sect 1.21H22sect 1.2..."/>
    <w:basedOn w:val="9"/>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1">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82">
    <w:name w:val="批注框文本 Char Char"/>
    <w:basedOn w:val="1"/>
    <w:qFormat/>
    <w:uiPriority w:val="0"/>
    <w:pPr>
      <w:adjustRightInd/>
    </w:pPr>
    <w:rPr>
      <w:sz w:val="18"/>
      <w:szCs w:val="20"/>
    </w:rPr>
  </w:style>
  <w:style w:type="paragraph" w:customStyle="1" w:styleId="2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7">
    <w:name w:val="索引 11"/>
    <w:basedOn w:val="1"/>
    <w:next w:val="1"/>
    <w:qFormat/>
    <w:uiPriority w:val="99"/>
    <w:pPr>
      <w:adjustRightInd/>
      <w:spacing w:line="360" w:lineRule="auto"/>
    </w:pPr>
    <w:rPr>
      <w:rFonts w:ascii="仿宋_GB2312" w:eastAsia="仿宋_GB2312"/>
      <w:sz w:val="24"/>
      <w:szCs w:val="20"/>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正文文字表格居中"/>
    <w:basedOn w:val="1"/>
    <w:next w:val="60"/>
    <w:qFormat/>
    <w:uiPriority w:val="0"/>
    <w:pPr>
      <w:snapToGrid w:val="0"/>
      <w:spacing w:line="360" w:lineRule="auto"/>
    </w:pPr>
    <w:rPr>
      <w:rFonts w:ascii="宋体"/>
      <w:b/>
      <w:sz w:val="24"/>
      <w:szCs w:val="20"/>
    </w:rPr>
  </w:style>
  <w:style w:type="paragraph" w:customStyle="1" w:styleId="2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4">
    <w:name w:val="小节"/>
    <w:basedOn w:val="10"/>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5">
    <w:name w:val="Plain Text1"/>
    <w:basedOn w:val="1"/>
    <w:qFormat/>
    <w:uiPriority w:val="7"/>
    <w:pPr>
      <w:adjustRightInd/>
    </w:pPr>
    <w:rPr>
      <w:rFonts w:ascii="宋体" w:hAnsi="Courier New"/>
    </w:rPr>
  </w:style>
  <w:style w:type="paragraph" w:customStyle="1" w:styleId="296">
    <w:name w:val="Char3"/>
    <w:basedOn w:val="1"/>
    <w:qFormat/>
    <w:uiPriority w:val="0"/>
    <w:pPr>
      <w:adjustRightInd/>
    </w:pPr>
    <w:rPr>
      <w:rFonts w:ascii="仿宋_GB2312" w:eastAsia="仿宋_GB2312"/>
      <w:b/>
      <w:sz w:val="32"/>
      <w:szCs w:val="32"/>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9">
    <w:name w:val="标题2"/>
    <w:basedOn w:val="9"/>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0">
    <w:name w:val="List Paragraph1"/>
    <w:basedOn w:val="1"/>
    <w:qFormat/>
    <w:uiPriority w:val="0"/>
    <w:pPr>
      <w:spacing w:line="360" w:lineRule="auto"/>
      <w:ind w:firstLine="200" w:firstLineChars="200"/>
    </w:pPr>
    <w:rPr>
      <w:rFonts w:eastAsia="楷体_GB2312" w:cs="Lucida Sans"/>
      <w:sz w:val="24"/>
    </w:rPr>
  </w:style>
  <w:style w:type="paragraph" w:customStyle="1" w:styleId="301">
    <w:name w:val="样式 标题 3标题 3 Char第二层条h33Bold Headbh章标题1小标题level_3PIM 3..."/>
    <w:basedOn w:val="10"/>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4">
    <w:name w:val="Char3 Char Char Char"/>
    <w:basedOn w:val="1"/>
    <w:qFormat/>
    <w:uiPriority w:val="0"/>
    <w:pPr>
      <w:widowControl/>
      <w:adjustRightInd/>
      <w:spacing w:after="160" w:line="240" w:lineRule="exact"/>
      <w:jc w:val="left"/>
    </w:pPr>
    <w:rPr>
      <w:szCs w:val="20"/>
    </w:rPr>
  </w:style>
  <w:style w:type="paragraph" w:customStyle="1" w:styleId="305">
    <w:name w:val="表格标题2"/>
    <w:basedOn w:val="306"/>
    <w:qFormat/>
    <w:uiPriority w:val="0"/>
    <w:rPr>
      <w:b/>
    </w:rPr>
  </w:style>
  <w:style w:type="paragraph" w:customStyle="1" w:styleId="306">
    <w:name w:val="表格内文"/>
    <w:basedOn w:val="1"/>
    <w:qFormat/>
    <w:uiPriority w:val="0"/>
    <w:pPr>
      <w:adjustRightInd/>
      <w:spacing w:line="360" w:lineRule="auto"/>
    </w:pPr>
    <w:rPr>
      <w:rFonts w:ascii="宋体" w:hAnsi="宋体" w:cs="宋体"/>
      <w:color w:val="000000"/>
      <w:szCs w:val="20"/>
    </w:rPr>
  </w:style>
  <w:style w:type="paragraph" w:customStyle="1" w:styleId="307">
    <w:name w:val="Char Char Char Char Char Char Char Char Char Char2"/>
    <w:basedOn w:val="1"/>
    <w:qFormat/>
    <w:uiPriority w:val="0"/>
    <w:rPr>
      <w:rFonts w:ascii="仿宋_GB2312" w:eastAsia="仿宋_GB2312"/>
      <w:b/>
      <w:sz w:val="32"/>
      <w:szCs w:val="32"/>
    </w:rPr>
  </w:style>
  <w:style w:type="paragraph" w:customStyle="1" w:styleId="30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0">
    <w:name w:val="Char Char11 Char Char Char Char Char Char Char Char Char11"/>
    <w:basedOn w:val="1"/>
    <w:qFormat/>
    <w:uiPriority w:val="0"/>
    <w:pPr>
      <w:spacing w:line="360" w:lineRule="auto"/>
    </w:pPr>
    <w:rPr>
      <w:szCs w:val="20"/>
    </w:rPr>
  </w:style>
  <w:style w:type="paragraph" w:customStyle="1" w:styleId="31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3">
    <w:name w:val="MM Topic 1"/>
    <w:basedOn w:val="8"/>
    <w:qFormat/>
    <w:uiPriority w:val="0"/>
    <w:pPr>
      <w:tabs>
        <w:tab w:val="left" w:pos="840"/>
        <w:tab w:val="clear" w:pos="432"/>
      </w:tabs>
      <w:adjustRightInd/>
      <w:ind w:left="840" w:hanging="420"/>
    </w:pPr>
  </w:style>
  <w:style w:type="paragraph" w:customStyle="1" w:styleId="314">
    <w:name w:val="样式 标题 2标题2H2Heading 2 HiddenHeading 2 CCBSheading 22nd lev..."/>
    <w:basedOn w:val="9"/>
    <w:qFormat/>
    <w:uiPriority w:val="0"/>
    <w:pPr>
      <w:widowControl/>
      <w:spacing w:before="260" w:after="260" w:line="416" w:lineRule="auto"/>
      <w:ind w:left="0" w:firstLine="0"/>
    </w:pPr>
    <w:rPr>
      <w:rFonts w:ascii="Arial" w:hAnsi="Arial" w:eastAsia="黑体"/>
      <w:sz w:val="30"/>
      <w:szCs w:val="21"/>
    </w:rPr>
  </w:style>
  <w:style w:type="paragraph" w:customStyle="1" w:styleId="315">
    <w:name w:val="文本正文 Char"/>
    <w:basedOn w:val="1"/>
    <w:qFormat/>
    <w:uiPriority w:val="0"/>
    <w:pPr>
      <w:spacing w:line="360" w:lineRule="auto"/>
      <w:ind w:firstLine="200" w:firstLineChars="200"/>
    </w:pPr>
    <w:rPr>
      <w:kern w:val="0"/>
      <w:sz w:val="24"/>
      <w:szCs w:val="20"/>
    </w:rPr>
  </w:style>
  <w:style w:type="paragraph" w:customStyle="1" w:styleId="316">
    <w:name w:val="表格"/>
    <w:basedOn w:val="1"/>
    <w:qFormat/>
    <w:uiPriority w:val="0"/>
    <w:pPr>
      <w:snapToGrid w:val="0"/>
      <w:ind w:firstLine="42" w:firstLineChars="21"/>
    </w:pPr>
    <w:rPr>
      <w:rFonts w:ascii="宋体" w:hAnsi="宋体"/>
      <w:kern w:val="0"/>
      <w:sz w:val="20"/>
      <w:szCs w:val="20"/>
    </w:rPr>
  </w:style>
  <w:style w:type="paragraph" w:customStyle="1" w:styleId="317">
    <w:name w:val="标书标题4"/>
    <w:basedOn w:val="12"/>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0">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1">
    <w:name w:val="EB_表格"/>
    <w:basedOn w:val="1"/>
    <w:qFormat/>
    <w:uiPriority w:val="0"/>
    <w:pPr>
      <w:adjustRightInd/>
      <w:spacing w:line="300" w:lineRule="auto"/>
      <w:jc w:val="center"/>
    </w:pPr>
  </w:style>
  <w:style w:type="paragraph" w:customStyle="1" w:styleId="322">
    <w:name w:val="_Style 6"/>
    <w:basedOn w:val="1"/>
    <w:qFormat/>
    <w:uiPriority w:val="34"/>
    <w:pPr>
      <w:adjustRightInd/>
      <w:ind w:firstLine="420" w:firstLineChars="200"/>
    </w:pPr>
    <w:rPr>
      <w:rFonts w:eastAsia="仿宋_GB2312"/>
      <w:sz w:val="28"/>
    </w:rPr>
  </w:style>
  <w:style w:type="paragraph" w:customStyle="1" w:styleId="32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5">
    <w:name w:val="!大节"/>
    <w:basedOn w:val="9"/>
    <w:qFormat/>
    <w:uiPriority w:val="0"/>
    <w:pPr>
      <w:spacing w:before="260" w:after="260" w:line="415" w:lineRule="auto"/>
      <w:ind w:left="420" w:hanging="420"/>
    </w:pPr>
    <w:rPr>
      <w:rFonts w:ascii="Arial" w:hAnsi="Arial" w:eastAsia="微软雅黑"/>
      <w:lang w:val="en-US"/>
    </w:rPr>
  </w:style>
  <w:style w:type="paragraph" w:customStyle="1" w:styleId="32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7">
    <w:name w:val="正文表标题"/>
    <w:next w:val="32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0">
    <w:name w:val="trademark"/>
    <w:qFormat/>
    <w:uiPriority w:val="0"/>
    <w:pPr>
      <w:spacing w:after="60"/>
    </w:pPr>
    <w:rPr>
      <w:rFonts w:ascii="Futura Bk" w:hAnsi="Futura Bk" w:eastAsia="宋体" w:cs="Times New Roman"/>
      <w:sz w:val="15"/>
      <w:lang w:val="en-US" w:eastAsia="en-US" w:bidi="ar-SA"/>
    </w:rPr>
  </w:style>
  <w:style w:type="paragraph" w:customStyle="1" w:styleId="33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2">
    <w:name w:val="Char Char1 Char Char Char Char Char Char1"/>
    <w:basedOn w:val="1"/>
    <w:qFormat/>
    <w:uiPriority w:val="0"/>
    <w:rPr>
      <w:rFonts w:ascii="仿宋_GB2312" w:eastAsia="仿宋_GB2312"/>
      <w:b/>
      <w:sz w:val="32"/>
      <w:szCs w:val="20"/>
    </w:rPr>
  </w:style>
  <w:style w:type="paragraph" w:customStyle="1" w:styleId="33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4">
    <w:name w:val="Char1 Char Char Char1"/>
    <w:basedOn w:val="1"/>
    <w:qFormat/>
    <w:uiPriority w:val="0"/>
    <w:pPr>
      <w:adjustRightInd/>
      <w:ind w:firstLine="200" w:firstLineChars="200"/>
    </w:pPr>
    <w:rPr>
      <w:rFonts w:ascii="Tahoma" w:hAnsi="Tahoma"/>
      <w:sz w:val="24"/>
      <w:szCs w:val="20"/>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样式7"/>
    <w:basedOn w:val="337"/>
    <w:next w:val="1"/>
    <w:qFormat/>
    <w:uiPriority w:val="0"/>
    <w:pPr>
      <w:spacing w:after="156" w:afterLines="50"/>
      <w:jc w:val="left"/>
      <w:outlineLvl w:val="3"/>
    </w:pPr>
    <w:rPr>
      <w:sz w:val="24"/>
      <w:szCs w:val="24"/>
    </w:rPr>
  </w:style>
  <w:style w:type="paragraph" w:customStyle="1" w:styleId="3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0">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1">
    <w:name w:val="Char2 Char Char2"/>
    <w:basedOn w:val="1"/>
    <w:qFormat/>
    <w:uiPriority w:val="0"/>
    <w:pPr>
      <w:adjustRightInd/>
    </w:pPr>
    <w:rPr>
      <w:rFonts w:ascii="Tahoma" w:hAnsi="Tahoma"/>
      <w:sz w:val="24"/>
      <w:szCs w:val="20"/>
    </w:rPr>
  </w:style>
  <w:style w:type="paragraph" w:customStyle="1" w:styleId="34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3">
    <w:name w:val="三级条标题"/>
    <w:basedOn w:val="344"/>
    <w:next w:val="328"/>
    <w:qFormat/>
    <w:uiPriority w:val="0"/>
    <w:pPr>
      <w:tabs>
        <w:tab w:val="left" w:pos="1260"/>
        <w:tab w:val="left" w:pos="1680"/>
        <w:tab w:val="left" w:pos="2100"/>
        <w:tab w:val="left" w:pos="2520"/>
      </w:tabs>
      <w:ind w:left="2520"/>
      <w:outlineLvl w:val="4"/>
    </w:pPr>
  </w:style>
  <w:style w:type="paragraph" w:customStyle="1" w:styleId="344">
    <w:name w:val="二级条标题"/>
    <w:basedOn w:val="345"/>
    <w:next w:val="328"/>
    <w:qFormat/>
    <w:uiPriority w:val="0"/>
    <w:pPr>
      <w:tabs>
        <w:tab w:val="left" w:pos="1260"/>
        <w:tab w:val="left" w:pos="1680"/>
        <w:tab w:val="left" w:pos="2100"/>
      </w:tabs>
      <w:ind w:left="0"/>
      <w:outlineLvl w:val="3"/>
    </w:pPr>
  </w:style>
  <w:style w:type="paragraph" w:customStyle="1" w:styleId="345">
    <w:name w:val="一级条标题"/>
    <w:basedOn w:val="346"/>
    <w:next w:val="328"/>
    <w:qFormat/>
    <w:uiPriority w:val="0"/>
    <w:pPr>
      <w:tabs>
        <w:tab w:val="left" w:pos="1260"/>
        <w:tab w:val="left" w:pos="1680"/>
      </w:tabs>
      <w:spacing w:before="0" w:beforeLines="0" w:after="0" w:afterLines="0"/>
      <w:ind w:left="1680"/>
      <w:outlineLvl w:val="2"/>
    </w:pPr>
  </w:style>
  <w:style w:type="paragraph" w:customStyle="1" w:styleId="346">
    <w:name w:val="章标题"/>
    <w:next w:val="32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7">
    <w:name w:val="数字标题2"/>
    <w:basedOn w:val="9"/>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9">
    <w:name w:val="样式 标题 1Level 1 HeadPIM 1Section Headh1l11Heading 0Datash..."/>
    <w:basedOn w:val="8"/>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1">
    <w:name w:val="样式 标题 1章节第一层h1H"/>
    <w:basedOn w:val="8"/>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3">
    <w:name w:val="正文 项目2"/>
    <w:basedOn w:val="354"/>
    <w:qFormat/>
    <w:uiPriority w:val="0"/>
    <w:pPr>
      <w:tabs>
        <w:tab w:val="left" w:pos="840"/>
      </w:tabs>
      <w:spacing w:after="0"/>
      <w:ind w:left="900"/>
    </w:pPr>
  </w:style>
  <w:style w:type="paragraph" w:customStyle="1" w:styleId="35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5">
    <w:name w:val="Body Text 2*"/>
    <w:basedOn w:val="1"/>
    <w:qFormat/>
    <w:uiPriority w:val="6"/>
    <w:pPr>
      <w:widowControl/>
      <w:adjustRightInd/>
      <w:ind w:left="720" w:hanging="720"/>
    </w:pPr>
    <w:rPr>
      <w:color w:val="000000"/>
      <w:kern w:val="0"/>
      <w:sz w:val="24"/>
      <w:szCs w:val="20"/>
    </w:rPr>
  </w:style>
  <w:style w:type="paragraph" w:customStyle="1" w:styleId="356">
    <w:name w:val="表1"/>
    <w:basedOn w:val="1"/>
    <w:qFormat/>
    <w:uiPriority w:val="0"/>
    <w:pPr>
      <w:tabs>
        <w:tab w:val="left" w:pos="703"/>
      </w:tabs>
      <w:adjustRightInd/>
      <w:spacing w:line="360" w:lineRule="auto"/>
      <w:ind w:left="703"/>
      <w:jc w:val="center"/>
    </w:pPr>
  </w:style>
  <w:style w:type="paragraph" w:customStyle="1" w:styleId="35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0">
    <w:name w:val="2级标题"/>
    <w:basedOn w:val="361"/>
    <w:qFormat/>
    <w:uiPriority w:val="0"/>
    <w:pPr>
      <w:jc w:val="left"/>
      <w:outlineLvl w:val="1"/>
    </w:pPr>
    <w:rPr>
      <w:rFonts w:ascii="Times New Roman" w:hAnsi="Times New Roman" w:eastAsia="仿宋"/>
      <w:sz w:val="30"/>
    </w:rPr>
  </w:style>
  <w:style w:type="paragraph" w:customStyle="1" w:styleId="36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6">
    <w:name w:val="bullet"/>
    <w:basedOn w:val="1"/>
    <w:qFormat/>
    <w:uiPriority w:val="0"/>
    <w:pPr>
      <w:tabs>
        <w:tab w:val="left" w:pos="840"/>
      </w:tabs>
      <w:adjustRightInd/>
      <w:ind w:left="840" w:hanging="420"/>
    </w:pPr>
  </w:style>
  <w:style w:type="paragraph" w:customStyle="1" w:styleId="36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4">
    <w:name w:val="MM Topic 4"/>
    <w:basedOn w:val="12"/>
    <w:qFormat/>
    <w:uiPriority w:val="0"/>
    <w:pPr>
      <w:tabs>
        <w:tab w:val="left" w:pos="2100"/>
        <w:tab w:val="clear" w:pos="864"/>
      </w:tabs>
      <w:adjustRightInd/>
      <w:ind w:left="2100" w:hanging="420"/>
    </w:pPr>
    <w:rPr>
      <w:lang w:val="en-US"/>
    </w:rPr>
  </w:style>
  <w:style w:type="paragraph" w:customStyle="1" w:styleId="37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7">
    <w:name w:val="Char Char11 Char Char Char Char Char Char Char Char Char1"/>
    <w:basedOn w:val="1"/>
    <w:qFormat/>
    <w:uiPriority w:val="6"/>
    <w:pPr>
      <w:spacing w:line="360" w:lineRule="auto"/>
    </w:pPr>
    <w:rPr>
      <w:szCs w:val="20"/>
    </w:rPr>
  </w:style>
  <w:style w:type="paragraph" w:customStyle="1" w:styleId="37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0">
    <w:name w:val="body text bold"/>
    <w:basedOn w:val="29"/>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7">
    <w:name w:val="单元格居中"/>
    <w:basedOn w:val="1"/>
    <w:qFormat/>
    <w:uiPriority w:val="0"/>
    <w:pPr>
      <w:adjustRightInd/>
      <w:spacing w:line="360" w:lineRule="auto"/>
      <w:jc w:val="center"/>
    </w:pPr>
    <w:rPr>
      <w:sz w:val="24"/>
    </w:rPr>
  </w:style>
  <w:style w:type="paragraph" w:customStyle="1" w:styleId="38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9">
    <w:name w:val="Char Char Char Char Char Char Char1"/>
    <w:basedOn w:val="1"/>
    <w:qFormat/>
    <w:uiPriority w:val="6"/>
    <w:rPr>
      <w:rFonts w:ascii="仿宋_GB2312" w:eastAsia="仿宋_GB2312"/>
      <w:b/>
      <w:sz w:val="32"/>
      <w:szCs w:val="32"/>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5"/>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9"/>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40"/>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10"/>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9"/>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3"/>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11"/>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10"/>
    <w:next w:val="57"/>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8"/>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8"/>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3"/>
    <w:next w:val="328"/>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2"/>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9"/>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1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10"/>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4"/>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60"/>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6"/>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10"/>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8"/>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9"/>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13"/>
    <w:next w:val="1"/>
    <w:qFormat/>
    <w:uiPriority w:val="0"/>
    <w:pPr>
      <w:tabs>
        <w:tab w:val="left" w:pos="1080"/>
        <w:tab w:val="clear" w:pos="1008"/>
      </w:tabs>
      <w:ind w:left="1080" w:hanging="1080"/>
    </w:pPr>
  </w:style>
  <w:style w:type="paragraph" w:customStyle="1" w:styleId="583">
    <w:name w:val="数字标题1"/>
    <w:basedOn w:val="8"/>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1"/>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50"/>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09">
    <w:name w:val="_Style 947"/>
    <w:basedOn w:val="1"/>
    <w:next w:val="105"/>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9"/>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No Spacing1"/>
    <w:qFormat/>
    <w:uiPriority w:val="0"/>
    <w:rPr>
      <w:rFonts w:ascii="Times New Roman" w:hAnsi="Times New Roman" w:eastAsia="??" w:cs="宋体"/>
      <w:sz w:val="22"/>
      <w:szCs w:val="22"/>
      <w:lang w:val="en-US" w:eastAsia="en-US" w:bidi="ar-SA"/>
    </w:rPr>
  </w:style>
  <w:style w:type="paragraph" w:customStyle="1" w:styleId="622">
    <w:name w:val="UserStyle_20"/>
    <w:basedOn w:val="1"/>
    <w:qFormat/>
    <w:uiPriority w:val="0"/>
    <w:pPr>
      <w:shd w:val="clear" w:color="auto" w:fill="FFFFFF"/>
      <w:spacing w:after="240" w:line="200" w:lineRule="exact"/>
      <w:jc w:val="distribute"/>
      <w:textAlignment w:val="baseline"/>
    </w:pPr>
    <w:rPr>
      <w:rFonts w:ascii="PMingLiU" w:hAnsi="PMingLiU" w:eastAsia="PMingLiU"/>
      <w:kern w:val="2"/>
      <w:sz w:val="20"/>
      <w:szCs w:val="20"/>
      <w:lang w:val="en-US" w:eastAsia="zh-CN" w:bidi="ar-SA"/>
    </w:rPr>
  </w:style>
  <w:style w:type="paragraph" w:customStyle="1" w:styleId="623">
    <w:name w:val="Body text|21"/>
    <w:basedOn w:val="1"/>
    <w:link w:val="967"/>
    <w:qFormat/>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paragraph" w:customStyle="1" w:styleId="624">
    <w:name w:val="[Normal]"/>
    <w:qFormat/>
    <w:uiPriority w:val="0"/>
    <w:rPr>
      <w:rFonts w:ascii="宋体" w:hAnsi="宋体" w:eastAsia="宋体" w:cs="Times New Roman"/>
      <w:sz w:val="24"/>
      <w:szCs w:val="22"/>
      <w:lang w:val="zh-CN" w:eastAsia="zh-CN" w:bidi="ar-SA"/>
    </w:rPr>
  </w:style>
  <w:style w:type="paragraph" w:customStyle="1" w:styleId="625">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6">
    <w:name w:val="表格非标题文字 Char"/>
    <w:link w:val="85"/>
    <w:qFormat/>
    <w:uiPriority w:val="0"/>
    <w:rPr>
      <w:rFonts w:ascii="Futura Bk" w:hAnsi="Futura Bk"/>
      <w:kern w:val="2"/>
      <w:sz w:val="18"/>
      <w:szCs w:val="21"/>
      <w:lang w:val="en-US" w:eastAsia="zh-CN" w:bidi="ar-SA"/>
    </w:rPr>
  </w:style>
  <w:style w:type="character" w:customStyle="1" w:styleId="627">
    <w:name w:val="*正文 Char"/>
    <w:link w:val="86"/>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7"/>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Char1"/>
    <w:link w:val="64"/>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8"/>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89"/>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首行缩进 2 Char"/>
    <w:link w:val="66"/>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74"/>
    <w:qFormat/>
    <w:uiPriority w:val="0"/>
    <w:rPr>
      <w:rFonts w:ascii="Arial" w:hAnsi="Arial" w:eastAsia="黑体" w:cs="Arial"/>
      <w:snapToGrid w:val="0"/>
      <w:kern w:val="0"/>
      <w:szCs w:val="21"/>
    </w:rPr>
  </w:style>
  <w:style w:type="character" w:customStyle="1" w:styleId="664">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90"/>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Char"/>
    <w:link w:val="51"/>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1"/>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Char"/>
    <w:link w:val="14"/>
    <w:qFormat/>
    <w:uiPriority w:val="0"/>
    <w:rPr>
      <w:rFonts w:ascii="Arial" w:hAnsi="Arial" w:eastAsia="黑体"/>
      <w:b/>
      <w:bCs/>
      <w:kern w:val="2"/>
      <w:sz w:val="24"/>
      <w:szCs w:val="24"/>
    </w:rPr>
  </w:style>
  <w:style w:type="character" w:customStyle="1" w:styleId="685">
    <w:name w:val="纯文本 Char_0"/>
    <w:link w:val="92"/>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4"/>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5"/>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Char"/>
    <w:link w:val="39"/>
    <w:qFormat/>
    <w:uiPriority w:val="0"/>
    <w:rPr>
      <w:rFonts w:ascii="宋体"/>
      <w:kern w:val="2"/>
      <w:sz w:val="24"/>
      <w:szCs w:val="21"/>
      <w:lang w:val="zh-CN"/>
    </w:rPr>
  </w:style>
  <w:style w:type="character" w:customStyle="1" w:styleId="715">
    <w:name w:val="标题 9 Char"/>
    <w:link w:val="17"/>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99"/>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Char"/>
    <w:link w:val="42"/>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6"/>
    <w:qFormat/>
    <w:locked/>
    <w:uiPriority w:val="0"/>
    <w:rPr>
      <w:rFonts w:ascii="Tahoma" w:hAnsi="Tahoma"/>
      <w:sz w:val="24"/>
      <w:szCs w:val="24"/>
    </w:rPr>
  </w:style>
  <w:style w:type="character" w:customStyle="1" w:styleId="725">
    <w:name w:val="正文缩进 Char2"/>
    <w:link w:val="11"/>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7"/>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Char1"/>
    <w:link w:val="24"/>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74"/>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Char"/>
    <w:link w:val="34"/>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99"/>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100"/>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Char"/>
    <w:link w:val="22"/>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101"/>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102"/>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103"/>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4"/>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Char3"/>
    <w:link w:val="2"/>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6"/>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Char"/>
    <w:link w:val="8"/>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Char2"/>
    <w:link w:val="63"/>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Char"/>
    <w:link w:val="13"/>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Char"/>
    <w:link w:val="26"/>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Char"/>
    <w:link w:val="61"/>
    <w:qFormat/>
    <w:uiPriority w:val="0"/>
    <w:rPr>
      <w:rFonts w:ascii="黑体" w:hAnsi="Courier New" w:eastAsia="黑体"/>
    </w:rPr>
  </w:style>
  <w:style w:type="character" w:customStyle="1" w:styleId="824">
    <w:name w:val="正文文本 2 Char1"/>
    <w:link w:val="60"/>
    <w:qFormat/>
    <w:uiPriority w:val="0"/>
    <w:rPr>
      <w:kern w:val="2"/>
      <w:sz w:val="21"/>
      <w:szCs w:val="24"/>
    </w:rPr>
  </w:style>
  <w:style w:type="character" w:customStyle="1" w:styleId="825">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Char"/>
    <w:link w:val="15"/>
    <w:qFormat/>
    <w:uiPriority w:val="0"/>
    <w:rPr>
      <w:b/>
      <w:bCs/>
      <w:kern w:val="2"/>
      <w:sz w:val="24"/>
      <w:szCs w:val="24"/>
    </w:rPr>
  </w:style>
  <w:style w:type="character" w:customStyle="1" w:styleId="828">
    <w:name w:val="正文文本缩进 2 Char"/>
    <w:link w:val="40"/>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Char"/>
    <w:link w:val="54"/>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09"/>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10"/>
    <w:qFormat/>
    <w:uiPriority w:val="0"/>
    <w:rPr>
      <w:rFonts w:ascii="宋体" w:hAnsi="Courier New"/>
    </w:rPr>
  </w:style>
  <w:style w:type="character" w:customStyle="1" w:styleId="839">
    <w:name w:val="正文首行缩进 Char"/>
    <w:link w:val="65"/>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Char2"/>
    <w:link w:val="12"/>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Char"/>
    <w:link w:val="27"/>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11"/>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12"/>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Char1"/>
    <w:link w:val="25"/>
    <w:qFormat/>
    <w:uiPriority w:val="0"/>
    <w:rPr>
      <w:kern w:val="2"/>
      <w:sz w:val="21"/>
      <w:szCs w:val="24"/>
    </w:rPr>
  </w:style>
  <w:style w:type="character" w:customStyle="1" w:styleId="861">
    <w:name w:val="签名 Char"/>
    <w:link w:val="46"/>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13"/>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4"/>
    <w:qFormat/>
    <w:uiPriority w:val="0"/>
    <w:rPr>
      <w:rFonts w:ascii="宋体"/>
    </w:rPr>
  </w:style>
  <w:style w:type="character" w:customStyle="1" w:styleId="872">
    <w:name w:val="标题 8 Char"/>
    <w:link w:val="16"/>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Char"/>
    <w:link w:val="57"/>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5"/>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Char2"/>
    <w:link w:val="43"/>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6"/>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Char2"/>
    <w:link w:val="45"/>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7"/>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8"/>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19"/>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20"/>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74"/>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21"/>
    <w:qFormat/>
    <w:uiPriority w:val="0"/>
    <w:rPr>
      <w:rFonts w:cs="宋体"/>
      <w:kern w:val="2"/>
      <w:sz w:val="24"/>
    </w:rPr>
  </w:style>
  <w:style w:type="character" w:customStyle="1" w:styleId="937">
    <w:name w:val="正文文本 Char1"/>
    <w:link w:val="29"/>
    <w:qFormat/>
    <w:uiPriority w:val="0"/>
    <w:rPr>
      <w:rFonts w:ascii="宋体" w:hAnsi="Arial" w:eastAsia="宋体" w:cs="Arial"/>
      <w:snapToGrid w:val="0"/>
      <w:kern w:val="2"/>
      <w:sz w:val="24"/>
      <w:szCs w:val="21"/>
      <w:lang w:val="zh-CN" w:eastAsia="zh-CN" w:bidi="ar-SA"/>
    </w:rPr>
  </w:style>
  <w:style w:type="character" w:customStyle="1" w:styleId="938">
    <w:name w:val="gray6"/>
    <w:basedOn w:val="74"/>
    <w:qFormat/>
    <w:uiPriority w:val="0"/>
    <w:rPr>
      <w:rFonts w:ascii="Arial" w:hAnsi="Arial" w:eastAsia="黑体" w:cs="Arial"/>
      <w:snapToGrid w:val="0"/>
      <w:kern w:val="0"/>
      <w:szCs w:val="21"/>
    </w:rPr>
  </w:style>
  <w:style w:type="character" w:customStyle="1" w:styleId="939">
    <w:name w:val="hui"/>
    <w:basedOn w:val="74"/>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Char"/>
    <w:link w:val="41"/>
    <w:qFormat/>
    <w:uiPriority w:val="0"/>
    <w:rPr>
      <w:kern w:val="2"/>
      <w:sz w:val="21"/>
      <w:szCs w:val="24"/>
      <w:lang w:val="zh-CN"/>
    </w:rPr>
  </w:style>
  <w:style w:type="character" w:customStyle="1" w:styleId="946">
    <w:name w:val="无间隔 Char"/>
    <w:link w:val="171"/>
    <w:qFormat/>
    <w:uiPriority w:val="99"/>
    <w:rPr>
      <w:kern w:val="2"/>
      <w:sz w:val="21"/>
      <w:szCs w:val="22"/>
    </w:rPr>
  </w:style>
  <w:style w:type="character" w:customStyle="1" w:styleId="947">
    <w:name w:val="标准文本 Char Char"/>
    <w:link w:val="608"/>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74"/>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basedOn w:val="74"/>
    <w:qFormat/>
    <w:uiPriority w:val="0"/>
    <w:rPr>
      <w:rFonts w:hint="eastAsia" w:ascii="仿宋" w:hAnsi="仿宋" w:eastAsia="仿宋" w:cs="仿宋"/>
      <w:color w:val="000000"/>
      <w:sz w:val="22"/>
      <w:szCs w:val="22"/>
      <w:u w:val="none"/>
    </w:rPr>
  </w:style>
  <w:style w:type="character" w:customStyle="1" w:styleId="964">
    <w:name w:val="UserStyle_16"/>
    <w:qFormat/>
    <w:uiPriority w:val="0"/>
    <w:rPr>
      <w:rFonts w:ascii="PMingLiU" w:hAnsi="PMingLiU" w:eastAsia="PMingLiU"/>
      <w:color w:val="000000"/>
      <w:kern w:val="2"/>
      <w:position w:val="0"/>
      <w:sz w:val="20"/>
      <w:szCs w:val="20"/>
      <w:lang w:val="zh-CN" w:eastAsia="zh-CN" w:bidi="zh-CN"/>
    </w:rPr>
  </w:style>
  <w:style w:type="character" w:customStyle="1" w:styleId="965">
    <w:name w:val="NormalCharacter"/>
    <w:semiHidden/>
    <w:qFormat/>
    <w:uiPriority w:val="0"/>
    <w:rPr>
      <w:rFonts w:ascii="等线" w:hAnsi="等线"/>
      <w:kern w:val="2"/>
      <w:sz w:val="21"/>
      <w:szCs w:val="24"/>
      <w:lang w:val="en-US" w:eastAsia="zh-CN" w:bidi="ar-SA"/>
    </w:rPr>
  </w:style>
  <w:style w:type="character" w:customStyle="1" w:styleId="966">
    <w:name w:val="Body text|2"/>
    <w:basedOn w:val="967"/>
    <w:qFormat/>
    <w:uiPriority w:val="0"/>
    <w:rPr>
      <w:color w:val="000000"/>
      <w:spacing w:val="0"/>
      <w:w w:val="100"/>
      <w:position w:val="0"/>
      <w:lang w:val="zh-CN" w:eastAsia="zh-CN"/>
    </w:rPr>
  </w:style>
  <w:style w:type="character" w:customStyle="1" w:styleId="967">
    <w:name w:val="Body text|2_"/>
    <w:basedOn w:val="74"/>
    <w:link w:val="623"/>
    <w:qFormat/>
    <w:uiPriority w:val="0"/>
    <w:rPr>
      <w:rFonts w:ascii="PMingLiU_x0004_falt" w:hAnsi="PMingLiU_x0004_falt" w:eastAsia="PMingLiU_x0004_falt"/>
      <w:b/>
      <w:kern w:val="0"/>
      <w:sz w:val="20"/>
      <w:szCs w:val="20"/>
    </w:rPr>
  </w:style>
  <w:style w:type="table" w:customStyle="1" w:styleId="968">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67</Pages>
  <Words>30502</Words>
  <Characters>32127</Characters>
  <Lines>287</Lines>
  <Paragraphs>81</Paragraphs>
  <TotalTime>13</TotalTime>
  <ScaleCrop>false</ScaleCrop>
  <LinksUpToDate>false</LinksUpToDate>
  <CharactersWithSpaces>37967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狗蛋</cp:lastModifiedBy>
  <cp:lastPrinted>2021-12-27T03:06:00Z</cp:lastPrinted>
  <dcterms:modified xsi:type="dcterms:W3CDTF">2022-11-25T08:56:16Z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2E28569BEA6D4352B8CEDA1765A986DB</vt:lpwstr>
  </property>
</Properties>
</file>