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瓶窑镇二工会2024年职工疗休养项目</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编号:ZJDL-2024-00</w:t>
      </w:r>
      <w:r>
        <w:rPr>
          <w:rFonts w:hint="eastAsia" w:ascii="仿宋" w:hAnsi="仿宋" w:eastAsia="仿宋" w:cs="仿宋"/>
          <w:color w:val="auto"/>
          <w:sz w:val="30"/>
          <w:szCs w:val="30"/>
          <w:highlight w:val="none"/>
          <w:lang w:val="en-US" w:eastAsia="zh-CN"/>
        </w:rPr>
        <w:t>8</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pStyle w:val="26"/>
        <w:rPr>
          <w:rFonts w:hint="eastAsia" w:ascii="仿宋" w:hAnsi="仿宋" w:eastAsia="仿宋" w:cs="仿宋"/>
          <w:color w:val="auto"/>
          <w:sz w:val="24"/>
          <w:highlight w:val="none"/>
        </w:rPr>
      </w:pPr>
    </w:p>
    <w:p>
      <w:pPr>
        <w:pStyle w:val="26"/>
        <w:rPr>
          <w:rFonts w:hint="eastAsia" w:ascii="仿宋" w:hAnsi="仿宋" w:eastAsia="仿宋" w:cs="仿宋"/>
          <w:color w:val="auto"/>
          <w:sz w:val="24"/>
          <w:highlight w:val="none"/>
        </w:rPr>
      </w:pPr>
    </w:p>
    <w:p>
      <w:pPr>
        <w:pStyle w:val="26"/>
        <w:rPr>
          <w:rFonts w:hint="eastAsia" w:ascii="仿宋" w:hAnsi="仿宋" w:eastAsia="仿宋" w:cs="仿宋"/>
          <w:color w:val="auto"/>
          <w:sz w:val="24"/>
          <w:highlight w:val="none"/>
        </w:rPr>
      </w:pPr>
    </w:p>
    <w:p>
      <w:pPr>
        <w:pStyle w:val="26"/>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pacing w:line="360" w:lineRule="auto"/>
        <w:jc w:val="center"/>
        <w:rPr>
          <w:rFonts w:hint="eastAsia" w:ascii="仿宋" w:hAnsi="仿宋" w:eastAsia="仿宋" w:cs="仿宋"/>
          <w:b/>
          <w:bCs/>
          <w:color w:val="auto"/>
          <w:sz w:val="32"/>
          <w:szCs w:val="32"/>
          <w:highlight w:val="none"/>
          <w:shd w:val="clear" w:color="auto" w:fill="auto"/>
          <w:lang w:eastAsia="zh-CN"/>
        </w:rPr>
      </w:pPr>
      <w:r>
        <w:rPr>
          <w:rFonts w:hint="eastAsia" w:ascii="仿宋" w:hAnsi="仿宋" w:eastAsia="仿宋" w:cs="仿宋"/>
          <w:b/>
          <w:bCs/>
          <w:color w:val="auto"/>
          <w:sz w:val="32"/>
          <w:szCs w:val="32"/>
          <w:highlight w:val="none"/>
          <w:shd w:val="clear" w:color="auto" w:fill="auto"/>
          <w:lang w:eastAsia="zh-CN"/>
        </w:rPr>
        <w:t>采购人</w:t>
      </w:r>
      <w:r>
        <w:rPr>
          <w:rFonts w:hint="eastAsia" w:ascii="仿宋" w:hAnsi="仿宋" w:eastAsia="仿宋" w:cs="仿宋"/>
          <w:b/>
          <w:bCs/>
          <w:color w:val="auto"/>
          <w:sz w:val="32"/>
          <w:szCs w:val="32"/>
          <w:highlight w:val="none"/>
          <w:shd w:val="clear" w:color="auto" w:fill="auto"/>
          <w:lang w:val="en-US" w:eastAsia="zh-CN"/>
        </w:rPr>
        <w:t>:</w:t>
      </w:r>
      <w:r>
        <w:rPr>
          <w:rFonts w:hint="eastAsia" w:ascii="仿宋" w:hAnsi="仿宋" w:eastAsia="仿宋" w:cs="仿宋"/>
          <w:b/>
          <w:bCs/>
          <w:color w:val="auto"/>
          <w:sz w:val="32"/>
          <w:szCs w:val="32"/>
          <w:highlight w:val="none"/>
          <w:shd w:val="clear" w:color="auto" w:fill="auto"/>
          <w:lang w:eastAsia="zh-CN"/>
        </w:rPr>
        <w:t>杭州市余杭区瓶窑镇人民政府</w:t>
      </w: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
          <w:bCs/>
          <w:color w:val="auto"/>
          <w:sz w:val="32"/>
          <w:szCs w:val="32"/>
          <w:highlight w:val="none"/>
          <w:shd w:val="clear" w:color="auto" w:fill="auto"/>
          <w:lang w:eastAsia="zh-CN"/>
        </w:rPr>
        <w:t>采购代理机构</w:t>
      </w:r>
      <w:r>
        <w:rPr>
          <w:rFonts w:hint="eastAsia" w:ascii="仿宋" w:hAnsi="仿宋" w:eastAsia="仿宋" w:cs="仿宋"/>
          <w:b/>
          <w:bCs/>
          <w:color w:val="auto"/>
          <w:sz w:val="32"/>
          <w:szCs w:val="32"/>
          <w:highlight w:val="none"/>
          <w:shd w:val="clear" w:color="auto" w:fill="auto"/>
          <w:lang w:val="en-US" w:eastAsia="zh-CN"/>
        </w:rPr>
        <w:t>:</w:t>
      </w:r>
      <w:r>
        <w:rPr>
          <w:rFonts w:hint="eastAsia" w:ascii="仿宋" w:hAnsi="仿宋" w:eastAsia="仿宋" w:cs="仿宋"/>
          <w:b/>
          <w:bCs/>
          <w:color w:val="auto"/>
          <w:sz w:val="32"/>
          <w:szCs w:val="32"/>
          <w:highlight w:val="none"/>
          <w:shd w:val="clear" w:color="auto" w:fill="auto"/>
          <w:lang w:eastAsia="zh-CN"/>
        </w:rPr>
        <w:t>浙江中际工程项目管理有限公司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五</w:t>
      </w:r>
      <w:bookmarkStart w:id="522" w:name="_GoBack"/>
      <w:bookmarkEnd w:id="522"/>
      <w:r>
        <w:rPr>
          <w:rFonts w:hint="eastAsia" w:ascii="仿宋" w:hAnsi="仿宋" w:eastAsia="仿宋" w:cs="仿宋"/>
          <w:bCs/>
          <w:color w:val="auto"/>
          <w:sz w:val="32"/>
          <w:szCs w:val="32"/>
          <w:highlight w:val="none"/>
        </w:rPr>
        <w:t>月</w:t>
      </w:r>
    </w:p>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瓶窑镇二工会2024年职工疗休养项目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https://www.zcygov.cn/）获取（下载）招标文件，并于20</w:t>
      </w:r>
      <w:r>
        <w:rPr>
          <w:rStyle w:val="78"/>
          <w:rFonts w:hint="eastAsia" w:ascii="仿宋" w:hAnsi="仿宋" w:eastAsia="仿宋" w:cs="仿宋"/>
          <w:snapToGrid/>
          <w:color w:val="auto"/>
          <w:kern w:val="2"/>
          <w:sz w:val="24"/>
          <w:szCs w:val="24"/>
          <w:highlight w:val="none"/>
          <w:lang w:val="en-US" w:eastAsia="zh-CN"/>
        </w:rPr>
        <w:t>24</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lang w:val="en-US" w:eastAsia="zh-CN"/>
        </w:rPr>
        <w:t>5</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30</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9</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30</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项目编号：ZJDL-2024-00</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 xml:space="preserve">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瓶窑镇二工会2024年职工疗休养项目</w:t>
      </w:r>
    </w:p>
    <w:p>
      <w:pPr>
        <w:spacing w:line="360" w:lineRule="auto"/>
        <w:ind w:firstLine="480"/>
        <w:rPr>
          <w:rFonts w:hint="default" w:ascii="宋体" w:hAnsi="宋体" w:cs="宋体"/>
          <w:color w:val="auto"/>
          <w:sz w:val="24"/>
          <w:highlight w:val="none"/>
          <w:shd w:val="clear" w:color="auto" w:fill="auto"/>
          <w:lang w:val="en-US"/>
        </w:rPr>
      </w:pPr>
      <w:r>
        <w:rPr>
          <w:rFonts w:hint="eastAsia" w:ascii="宋体" w:hAnsi="宋体" w:cs="宋体"/>
          <w:b/>
          <w:color w:val="auto"/>
          <w:sz w:val="24"/>
          <w:highlight w:val="none"/>
          <w:shd w:val="clear" w:color="auto" w:fill="auto"/>
        </w:rPr>
        <w:t>预算金额（元）：</w:t>
      </w:r>
      <w:r>
        <w:rPr>
          <w:rFonts w:hint="eastAsia" w:ascii="宋体" w:hAnsi="宋体" w:cs="宋体"/>
          <w:b/>
          <w:color w:val="auto"/>
          <w:sz w:val="24"/>
          <w:shd w:val="clear" w:color="auto" w:fill="auto"/>
          <w:lang w:val="en-US" w:eastAsia="zh-CN"/>
        </w:rPr>
        <w:t>98</w:t>
      </w:r>
      <w:r>
        <w:rPr>
          <w:rFonts w:hint="eastAsia" w:ascii="宋体" w:hAnsi="宋体" w:eastAsia="宋体" w:cs="宋体"/>
          <w:b/>
          <w:color w:val="auto"/>
          <w:sz w:val="24"/>
          <w:shd w:val="clear" w:color="auto" w:fill="auto"/>
          <w:lang w:val="en-US" w:eastAsia="zh-CN"/>
        </w:rPr>
        <w:t>0000</w:t>
      </w:r>
    </w:p>
    <w:p>
      <w:pPr>
        <w:spacing w:line="360" w:lineRule="auto"/>
        <w:ind w:firstLine="482" w:firstLineChars="200"/>
        <w:rPr>
          <w:rFonts w:hint="default" w:ascii="宋体" w:hAnsi="宋体" w:cs="宋体"/>
          <w:b/>
          <w:color w:val="auto"/>
          <w:sz w:val="24"/>
          <w:shd w:val="clear" w:color="auto" w:fill="auto"/>
          <w:lang w:val="en-US"/>
        </w:rPr>
      </w:pPr>
      <w:r>
        <w:rPr>
          <w:rFonts w:hint="eastAsia" w:ascii="宋体" w:hAnsi="宋体" w:cs="宋体"/>
          <w:b/>
          <w:color w:val="auto"/>
          <w:sz w:val="24"/>
          <w:shd w:val="clear" w:color="auto" w:fill="auto"/>
        </w:rPr>
        <w:t>最高限价（元）：</w:t>
      </w:r>
      <w:r>
        <w:rPr>
          <w:rFonts w:hint="eastAsia" w:ascii="宋体" w:hAnsi="宋体" w:cs="宋体"/>
          <w:b/>
          <w:color w:val="auto"/>
          <w:sz w:val="24"/>
          <w:shd w:val="clear" w:color="auto" w:fill="auto"/>
          <w:lang w:val="en-US" w:eastAsia="zh-CN"/>
        </w:rPr>
        <w:t>500000</w:t>
      </w:r>
      <w:r>
        <w:rPr>
          <w:rFonts w:hint="eastAsia" w:ascii="宋体" w:hAnsi="宋体" w:cs="宋体"/>
          <w:b/>
          <w:color w:val="auto"/>
          <w:sz w:val="24"/>
          <w:shd w:val="clear" w:color="auto" w:fill="auto"/>
        </w:rPr>
        <w:t>,</w:t>
      </w:r>
      <w:r>
        <w:rPr>
          <w:rFonts w:hint="eastAsia" w:ascii="宋体" w:hAnsi="宋体" w:cs="宋体"/>
          <w:b/>
          <w:color w:val="auto"/>
          <w:sz w:val="24"/>
          <w:shd w:val="clear" w:color="auto" w:fill="auto"/>
          <w:lang w:val="en-US" w:eastAsia="zh-CN"/>
        </w:rPr>
        <w:t>460000</w:t>
      </w:r>
    </w:p>
    <w:p>
      <w:pPr>
        <w:spacing w:line="360" w:lineRule="auto"/>
        <w:ind w:firstLine="720" w:firstLineChars="300"/>
        <w:rPr>
          <w:rFonts w:hint="eastAsia" w:ascii="宋体" w:hAnsi="宋体" w:cs="宋体"/>
          <w:b w:val="0"/>
          <w:bCs/>
          <w:color w:val="auto"/>
          <w:sz w:val="24"/>
          <w:shd w:val="clear" w:color="auto" w:fill="auto"/>
        </w:rPr>
      </w:pPr>
      <w:r>
        <w:rPr>
          <w:rFonts w:hint="eastAsia" w:ascii="宋体" w:hAnsi="宋体" w:cs="宋体"/>
          <w:b w:val="0"/>
          <w:bCs/>
          <w:color w:val="auto"/>
          <w:sz w:val="24"/>
          <w:shd w:val="clear" w:color="auto" w:fill="auto"/>
        </w:rPr>
        <w:t>采购需求：</w:t>
      </w:r>
    </w:p>
    <w:p>
      <w:pPr>
        <w:spacing w:line="360" w:lineRule="auto"/>
        <w:ind w:firstLine="480" w:firstLineChars="200"/>
        <w:rPr>
          <w:rFonts w:hint="eastAsia" w:ascii="宋体" w:hAnsi="宋体" w:eastAsia="宋体" w:cs="宋体"/>
          <w:b/>
          <w:sz w:val="24"/>
          <w:highlight w:val="none"/>
        </w:rPr>
      </w:pPr>
      <w:r>
        <w:rPr>
          <w:rFonts w:hint="eastAsia" w:ascii="宋体" w:hAnsi="宋体" w:cs="宋体"/>
          <w:b w:val="0"/>
          <w:bCs/>
          <w:color w:val="auto"/>
          <w:sz w:val="24"/>
          <w:shd w:val="clear" w:color="auto" w:fill="auto"/>
        </w:rPr>
        <w:t>标项一</w:t>
      </w:r>
      <w:r>
        <w:rPr>
          <w:rFonts w:hint="eastAsia" w:ascii="宋体" w:hAnsi="宋体" w:cs="宋体"/>
          <w:b w:val="0"/>
          <w:bCs/>
          <w:color w:val="auto"/>
          <w:sz w:val="24"/>
          <w:shd w:val="clear" w:color="auto" w:fill="auto"/>
        </w:rPr>
        <w:br w:type="textWrapping"/>
      </w:r>
      <w:r>
        <w:rPr>
          <w:rFonts w:hint="eastAsia" w:ascii="宋体" w:hAnsi="宋体" w:cs="宋体"/>
          <w:b w:val="0"/>
          <w:bCs/>
          <w:color w:val="auto"/>
          <w:sz w:val="24"/>
          <w:shd w:val="clear" w:color="auto" w:fill="auto"/>
        </w:rPr>
        <w:t>    标项名称: </w:t>
      </w:r>
      <w:r>
        <w:rPr>
          <w:rFonts w:hint="eastAsia" w:ascii="宋体" w:hAnsi="宋体" w:cs="宋体"/>
          <w:b w:val="0"/>
          <w:bCs/>
          <w:color w:val="auto"/>
          <w:sz w:val="24"/>
          <w:shd w:val="clear" w:color="auto" w:fill="auto"/>
          <w:lang w:eastAsia="zh-CN"/>
        </w:rPr>
        <w:t>瓶窑镇二工会2024年职工疗休养项目</w:t>
      </w:r>
      <w:r>
        <w:rPr>
          <w:rFonts w:hint="eastAsia" w:ascii="宋体" w:hAnsi="宋体" w:cs="宋体"/>
          <w:b w:val="0"/>
          <w:bCs/>
          <w:color w:val="auto"/>
          <w:sz w:val="24"/>
          <w:shd w:val="clear" w:color="auto" w:fill="auto"/>
        </w:rPr>
        <w:t>标项一</w:t>
      </w:r>
      <w:r>
        <w:rPr>
          <w:rFonts w:hint="eastAsia" w:ascii="宋体" w:hAnsi="宋体" w:eastAsia="宋体" w:cs="宋体"/>
          <w:b w:val="0"/>
          <w:bCs/>
          <w:color w:val="auto"/>
          <w:sz w:val="24"/>
          <w:shd w:val="clear" w:color="auto" w:fill="auto"/>
          <w:lang w:eastAsia="zh-CN"/>
        </w:rPr>
        <w:t> </w:t>
      </w:r>
      <w:r>
        <w:rPr>
          <w:rFonts w:hint="eastAsia" w:ascii="宋体" w:hAnsi="宋体" w:cs="宋体"/>
          <w:b w:val="0"/>
          <w:bCs/>
          <w:color w:val="auto"/>
          <w:sz w:val="24"/>
          <w:shd w:val="clear" w:color="auto" w:fill="auto"/>
        </w:rPr>
        <w:br w:type="textWrapping"/>
      </w:r>
      <w:r>
        <w:rPr>
          <w:rFonts w:hint="eastAsia" w:ascii="宋体" w:hAnsi="宋体" w:cs="宋体"/>
          <w:b w:val="0"/>
          <w:bCs/>
          <w:color w:val="auto"/>
          <w:sz w:val="24"/>
          <w:shd w:val="clear" w:color="auto" w:fill="auto"/>
        </w:rPr>
        <w:t>    数量: 1  </w:t>
      </w:r>
      <w:r>
        <w:rPr>
          <w:rFonts w:hint="eastAsia" w:ascii="宋体" w:hAnsi="宋体" w:cs="宋体"/>
          <w:b w:val="0"/>
          <w:bCs/>
          <w:color w:val="auto"/>
          <w:sz w:val="24"/>
          <w:shd w:val="clear" w:color="auto" w:fill="auto"/>
        </w:rPr>
        <w:br w:type="textWrapping"/>
      </w:r>
      <w:r>
        <w:rPr>
          <w:rFonts w:hint="eastAsia" w:ascii="宋体" w:hAnsi="宋体" w:cs="宋体"/>
          <w:b w:val="0"/>
          <w:bCs/>
          <w:color w:val="auto"/>
          <w:sz w:val="24"/>
          <w:shd w:val="clear" w:color="auto" w:fill="auto"/>
        </w:rPr>
        <w:t>    预算金额（元）: </w:t>
      </w:r>
      <w:r>
        <w:rPr>
          <w:rFonts w:hint="eastAsia" w:ascii="宋体" w:hAnsi="宋体" w:cs="宋体"/>
          <w:b w:val="0"/>
          <w:bCs/>
          <w:color w:val="auto"/>
          <w:sz w:val="24"/>
          <w:shd w:val="clear" w:color="auto" w:fill="auto"/>
          <w:lang w:val="en-US" w:eastAsia="zh-CN"/>
        </w:rPr>
        <w:t>500</w:t>
      </w:r>
      <w:r>
        <w:rPr>
          <w:rFonts w:hint="eastAsia" w:ascii="宋体" w:hAnsi="宋体" w:cs="宋体"/>
          <w:b w:val="0"/>
          <w:bCs/>
          <w:color w:val="auto"/>
          <w:sz w:val="24"/>
          <w:shd w:val="clear" w:color="auto" w:fill="auto"/>
        </w:rPr>
        <w:t>000 </w:t>
      </w:r>
      <w:r>
        <w:rPr>
          <w:rFonts w:hint="eastAsia" w:ascii="宋体" w:hAnsi="宋体" w:cs="宋体"/>
          <w:b w:val="0"/>
          <w:bCs/>
          <w:color w:val="auto"/>
          <w:sz w:val="24"/>
          <w:shd w:val="clear" w:color="auto" w:fill="auto"/>
        </w:rPr>
        <w:br w:type="textWrapping"/>
      </w:r>
      <w:r>
        <w:rPr>
          <w:rFonts w:hint="eastAsia" w:ascii="宋体" w:hAnsi="宋体" w:cs="宋体"/>
          <w:b w:val="0"/>
          <w:bCs/>
          <w:color w:val="auto"/>
          <w:sz w:val="24"/>
          <w:shd w:val="clear" w:color="auto" w:fill="auto"/>
        </w:rPr>
        <w:t>    简要规格描述或项目基本概况介绍、用途：详见采购文件 </w:t>
      </w:r>
      <w:r>
        <w:rPr>
          <w:rFonts w:hint="eastAsia" w:ascii="宋体" w:hAnsi="宋体" w:cs="宋体"/>
          <w:b w:val="0"/>
          <w:bCs/>
          <w:color w:val="auto"/>
          <w:sz w:val="24"/>
          <w:shd w:val="clear" w:color="auto" w:fill="auto"/>
        </w:rPr>
        <w:br w:type="textWrapping"/>
      </w:r>
      <w:r>
        <w:rPr>
          <w:rFonts w:hint="eastAsia" w:ascii="宋体" w:hAnsi="宋体" w:cs="宋体"/>
          <w:b w:val="0"/>
          <w:bCs/>
          <w:color w:val="auto"/>
          <w:sz w:val="24"/>
          <w:shd w:val="clear" w:color="auto" w:fill="auto"/>
        </w:rPr>
        <w:t>    标项二</w:t>
      </w:r>
      <w:r>
        <w:rPr>
          <w:rFonts w:hint="eastAsia" w:ascii="宋体" w:hAnsi="宋体" w:cs="宋体"/>
          <w:b w:val="0"/>
          <w:bCs/>
          <w:color w:val="auto"/>
          <w:sz w:val="24"/>
          <w:shd w:val="clear" w:color="auto" w:fill="auto"/>
        </w:rPr>
        <w:br w:type="textWrapping"/>
      </w:r>
      <w:r>
        <w:rPr>
          <w:rFonts w:hint="eastAsia" w:ascii="宋体" w:hAnsi="宋体" w:cs="宋体"/>
          <w:b w:val="0"/>
          <w:bCs/>
          <w:color w:val="auto"/>
          <w:sz w:val="24"/>
          <w:shd w:val="clear" w:color="auto" w:fill="auto"/>
        </w:rPr>
        <w:t>    标项名称: </w:t>
      </w:r>
      <w:r>
        <w:rPr>
          <w:rFonts w:hint="eastAsia" w:ascii="宋体" w:hAnsi="宋体" w:cs="宋体"/>
          <w:b w:val="0"/>
          <w:bCs/>
          <w:color w:val="auto"/>
          <w:sz w:val="24"/>
          <w:shd w:val="clear" w:color="auto" w:fill="auto"/>
          <w:lang w:eastAsia="zh-CN"/>
        </w:rPr>
        <w:t>瓶窑镇二工会2024年职工疗休养项目</w:t>
      </w:r>
      <w:r>
        <w:rPr>
          <w:rFonts w:hint="eastAsia" w:ascii="宋体" w:hAnsi="宋体" w:cs="宋体"/>
          <w:b w:val="0"/>
          <w:bCs/>
          <w:color w:val="auto"/>
          <w:sz w:val="24"/>
          <w:shd w:val="clear" w:color="auto" w:fill="auto"/>
        </w:rPr>
        <w:t>标项</w:t>
      </w:r>
      <w:r>
        <w:rPr>
          <w:rFonts w:hint="eastAsia" w:ascii="仿宋" w:hAnsi="仿宋" w:eastAsia="仿宋" w:cs="仿宋"/>
          <w:b/>
          <w:color w:val="auto"/>
          <w:sz w:val="24"/>
          <w:highlight w:val="none"/>
          <w:lang w:val="en-US" w:eastAsia="zh-CN"/>
        </w:rPr>
        <w:t>二</w:t>
      </w:r>
      <w:r>
        <w:rPr>
          <w:rFonts w:hint="eastAsia" w:ascii="宋体" w:hAnsi="宋体" w:eastAsia="宋体" w:cs="宋体"/>
          <w:b w:val="0"/>
          <w:bCs/>
          <w:color w:val="auto"/>
          <w:sz w:val="24"/>
          <w:shd w:val="clear" w:color="auto" w:fill="auto"/>
          <w:lang w:eastAsia="zh-CN"/>
        </w:rPr>
        <w:t> </w:t>
      </w:r>
      <w:r>
        <w:rPr>
          <w:rFonts w:hint="eastAsia" w:ascii="宋体" w:hAnsi="宋体" w:cs="宋体"/>
          <w:b w:val="0"/>
          <w:bCs/>
          <w:color w:val="auto"/>
          <w:sz w:val="24"/>
          <w:shd w:val="clear" w:color="auto" w:fill="auto"/>
        </w:rPr>
        <w:t> </w:t>
      </w:r>
      <w:r>
        <w:rPr>
          <w:rFonts w:hint="eastAsia" w:ascii="宋体" w:hAnsi="宋体" w:cs="宋体"/>
          <w:b w:val="0"/>
          <w:bCs/>
          <w:color w:val="auto"/>
          <w:sz w:val="24"/>
          <w:shd w:val="clear" w:color="auto" w:fill="auto"/>
        </w:rPr>
        <w:br w:type="textWrapping"/>
      </w:r>
      <w:r>
        <w:rPr>
          <w:rFonts w:hint="eastAsia" w:ascii="宋体" w:hAnsi="宋体" w:cs="宋体"/>
          <w:b w:val="0"/>
          <w:bCs/>
          <w:color w:val="auto"/>
          <w:sz w:val="24"/>
          <w:shd w:val="clear" w:color="auto" w:fill="auto"/>
        </w:rPr>
        <w:t>    数量: 1  </w:t>
      </w:r>
      <w:r>
        <w:rPr>
          <w:rFonts w:hint="eastAsia" w:ascii="宋体" w:hAnsi="宋体" w:cs="宋体"/>
          <w:b w:val="0"/>
          <w:bCs/>
          <w:color w:val="auto"/>
          <w:sz w:val="24"/>
          <w:shd w:val="clear" w:color="auto" w:fill="auto"/>
        </w:rPr>
        <w:br w:type="textWrapping"/>
      </w:r>
      <w:r>
        <w:rPr>
          <w:rFonts w:hint="eastAsia" w:ascii="宋体" w:hAnsi="宋体" w:cs="宋体"/>
          <w:b w:val="0"/>
          <w:bCs/>
          <w:color w:val="auto"/>
          <w:sz w:val="24"/>
          <w:shd w:val="clear" w:color="auto" w:fill="auto"/>
        </w:rPr>
        <w:t>    预算金额（元）:</w:t>
      </w:r>
      <w:r>
        <w:rPr>
          <w:rFonts w:hint="eastAsia" w:ascii="宋体" w:hAnsi="宋体" w:cs="宋体"/>
          <w:b w:val="0"/>
          <w:bCs/>
          <w:color w:val="auto"/>
          <w:sz w:val="24"/>
          <w:shd w:val="clear" w:color="auto" w:fill="auto"/>
          <w:lang w:val="en-US" w:eastAsia="zh-CN"/>
        </w:rPr>
        <w:t>46000</w:t>
      </w:r>
      <w:r>
        <w:rPr>
          <w:rFonts w:hint="eastAsia" w:ascii="宋体" w:hAnsi="宋体" w:cs="宋体"/>
          <w:b w:val="0"/>
          <w:bCs/>
          <w:color w:val="auto"/>
          <w:sz w:val="24"/>
          <w:shd w:val="clear" w:color="auto" w:fill="auto"/>
        </w:rPr>
        <w:t>0 </w:t>
      </w:r>
      <w:r>
        <w:rPr>
          <w:rFonts w:hint="eastAsia" w:ascii="宋体" w:hAnsi="宋体" w:cs="宋体"/>
          <w:b w:val="0"/>
          <w:bCs/>
          <w:color w:val="auto"/>
          <w:sz w:val="24"/>
          <w:shd w:val="clear" w:color="auto" w:fill="auto"/>
        </w:rPr>
        <w:br w:type="textWrapping"/>
      </w:r>
      <w:r>
        <w:rPr>
          <w:rFonts w:hint="eastAsia" w:ascii="宋体" w:hAnsi="宋体" w:cs="宋体"/>
          <w:b w:val="0"/>
          <w:bCs/>
          <w:color w:val="auto"/>
          <w:sz w:val="24"/>
          <w:shd w:val="clear" w:color="auto" w:fill="auto"/>
        </w:rPr>
        <w:t>    简要规格描述或项目基本概况介绍、用途：详见采购文件</w:t>
      </w:r>
    </w:p>
    <w:p>
      <w:pPr>
        <w:pStyle w:val="133"/>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自合同签订之日起</w:t>
      </w:r>
      <w:r>
        <w:rPr>
          <w:rFonts w:hint="eastAsia" w:ascii="仿宋" w:hAnsi="仿宋" w:eastAsia="仿宋" w:cs="仿宋"/>
          <w:color w:val="auto"/>
          <w:highlight w:val="none"/>
        </w:rPr>
        <w:t xml:space="preserve"> </w:t>
      </w:r>
    </w:p>
    <w:p>
      <w:pPr>
        <w:pStyle w:val="4"/>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78"/>
          <w:rFonts w:hint="eastAsia" w:ascii="仿宋" w:hAnsi="仿宋" w:eastAsia="仿宋" w:cs="仿宋"/>
          <w:snapToGrid/>
          <w:color w:val="auto"/>
          <w:kern w:val="2"/>
          <w:sz w:val="24"/>
          <w:szCs w:val="24"/>
          <w:highlight w:val="none"/>
        </w:rPr>
        <w:t>20</w:t>
      </w:r>
      <w:r>
        <w:rPr>
          <w:rStyle w:val="78"/>
          <w:rFonts w:hint="eastAsia" w:ascii="仿宋" w:hAnsi="仿宋" w:eastAsia="仿宋" w:cs="仿宋"/>
          <w:snapToGrid/>
          <w:color w:val="auto"/>
          <w:kern w:val="2"/>
          <w:sz w:val="24"/>
          <w:szCs w:val="24"/>
          <w:highlight w:val="none"/>
          <w:lang w:val="en-US" w:eastAsia="zh-CN"/>
        </w:rPr>
        <w:t>24</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lang w:val="en-US" w:eastAsia="zh-CN"/>
        </w:rPr>
        <w:t>5</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30</w:t>
      </w:r>
      <w:r>
        <w:rPr>
          <w:rStyle w:val="78"/>
          <w:rFonts w:hint="eastAsia" w:ascii="仿宋" w:hAnsi="仿宋" w:eastAsia="仿宋" w:cs="仿宋"/>
          <w:snapToGrid/>
          <w:color w:val="auto"/>
          <w:kern w:val="2"/>
          <w:sz w:val="24"/>
          <w:szCs w:val="24"/>
          <w:highlight w:val="non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8"/>
          <w:rFonts w:hint="eastAsia" w:ascii="仿宋" w:hAnsi="仿宋" w:eastAsia="仿宋" w:cs="仿宋"/>
          <w:snapToGrid/>
          <w:color w:val="auto"/>
          <w:kern w:val="2"/>
          <w:sz w:val="24"/>
          <w:szCs w:val="24"/>
          <w:highlight w:val="none"/>
        </w:rPr>
        <w:t>20</w:t>
      </w:r>
      <w:r>
        <w:rPr>
          <w:rStyle w:val="78"/>
          <w:rFonts w:hint="eastAsia" w:ascii="仿宋" w:hAnsi="仿宋" w:eastAsia="仿宋" w:cs="仿宋"/>
          <w:snapToGrid/>
          <w:color w:val="auto"/>
          <w:kern w:val="2"/>
          <w:sz w:val="24"/>
          <w:szCs w:val="24"/>
          <w:highlight w:val="none"/>
          <w:lang w:val="en-US" w:eastAsia="zh-CN"/>
        </w:rPr>
        <w:t>24</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lang w:val="en-US" w:eastAsia="zh-CN"/>
        </w:rPr>
        <w:t>5</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30</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9</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30</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rPr>
        <w:t>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b/>
          <w:color w:val="auto"/>
          <w:sz w:val="24"/>
          <w:highlight w:val="none"/>
          <w:lang w:eastAsia="zh-CN"/>
        </w:rPr>
        <w:t>：</w:t>
      </w:r>
      <w:r>
        <w:rPr>
          <w:rStyle w:val="78"/>
          <w:rFonts w:hint="eastAsia" w:ascii="仿宋" w:hAnsi="仿宋" w:eastAsia="仿宋" w:cs="仿宋"/>
          <w:snapToGrid/>
          <w:color w:val="auto"/>
          <w:kern w:val="2"/>
          <w:sz w:val="24"/>
          <w:szCs w:val="24"/>
          <w:highlight w:val="none"/>
        </w:rPr>
        <w:t>20</w:t>
      </w:r>
      <w:r>
        <w:rPr>
          <w:rStyle w:val="78"/>
          <w:rFonts w:hint="eastAsia" w:ascii="仿宋" w:hAnsi="仿宋" w:eastAsia="仿宋" w:cs="仿宋"/>
          <w:snapToGrid/>
          <w:color w:val="auto"/>
          <w:kern w:val="2"/>
          <w:sz w:val="24"/>
          <w:szCs w:val="24"/>
          <w:highlight w:val="none"/>
          <w:lang w:val="en-US" w:eastAsia="zh-CN"/>
        </w:rPr>
        <w:t>24</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lang w:val="en-US" w:eastAsia="zh-CN"/>
        </w:rPr>
        <w:t>5</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30</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9</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30</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rPr>
        <w:t>00秒</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   </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杭州市余杭区瓶窑镇人民政府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地址：杭州市余杭区瓶窑镇前程路28号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val="en-US" w:eastAsia="zh-CN"/>
        </w:rPr>
        <w:t xml:space="preserve">陈工  </w:t>
      </w:r>
      <w:r>
        <w:rPr>
          <w:rFonts w:hint="eastAsia" w:ascii="仿宋" w:hAnsi="仿宋" w:eastAsia="仿宋" w:cs="仿宋"/>
          <w:color w:val="auto"/>
          <w:sz w:val="24"/>
          <w:highlight w:val="none"/>
        </w:rPr>
        <w:t>联系电话：0571-88533756　</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质疑联系人：陈</w:t>
      </w:r>
      <w:r>
        <w:rPr>
          <w:rFonts w:hint="eastAsia" w:ascii="仿宋" w:hAnsi="仿宋" w:eastAsia="仿宋" w:cs="仿宋"/>
          <w:color w:val="auto"/>
          <w:sz w:val="24"/>
          <w:highlight w:val="none"/>
          <w:lang w:val="en-US" w:eastAsia="zh-CN"/>
        </w:rPr>
        <w:t xml:space="preserve">工  </w:t>
      </w:r>
      <w:r>
        <w:rPr>
          <w:rFonts w:hint="eastAsia" w:ascii="仿宋" w:hAnsi="仿宋" w:eastAsia="仿宋" w:cs="仿宋"/>
          <w:color w:val="auto"/>
          <w:sz w:val="24"/>
          <w:highlight w:val="none"/>
        </w:rPr>
        <w:t>联系电话：13868071963</w:t>
      </w:r>
      <w:r>
        <w:rPr>
          <w:rFonts w:hint="eastAsia" w:ascii="仿宋" w:hAnsi="仿宋" w:eastAsia="仿宋" w:cs="仿宋"/>
          <w:color w:val="auto"/>
          <w:sz w:val="24"/>
          <w:highlight w:val="none"/>
          <w:lang w:val="en-US" w:eastAsia="zh-CN"/>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2.招标代理机构信息</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浙江中际工程项目管理有限公司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地址：杭州市余杭区仓前街道西溪堂7幢410室</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val="en-US" w:eastAsia="zh-CN"/>
        </w:rPr>
        <w:t>郑泽瑶</w:t>
      </w:r>
      <w:r>
        <w:rPr>
          <w:rFonts w:hint="eastAsia" w:ascii="仿宋" w:hAnsi="仿宋" w:eastAsia="仿宋" w:cs="仿宋"/>
          <w:color w:val="auto"/>
          <w:sz w:val="24"/>
          <w:highlight w:val="none"/>
        </w:rPr>
        <w:t xml:space="preserve">  项目联系方式：</w:t>
      </w:r>
      <w:r>
        <w:rPr>
          <w:rFonts w:hint="eastAsia" w:ascii="仿宋" w:hAnsi="仿宋" w:eastAsia="仿宋" w:cs="仿宋"/>
          <w:color w:val="auto"/>
          <w:sz w:val="24"/>
          <w:highlight w:val="none"/>
          <w:lang w:val="en-US" w:eastAsia="zh-CN"/>
        </w:rPr>
        <w:t>1373410713</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周杨威</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13362030720</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名称：杭州市余杭区财政局、浙江省政府采购行政裁决服务中心（杭州）</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地址：杭州市上城区四季青街道新业路市民之家G03办公室（快递仅限ems或顺丰）</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pPr>
        <w:spacing w:line="360" w:lineRule="auto"/>
        <w:ind w:firstLine="480" w:firstLineChars="200"/>
        <w:rPr>
          <w:rFonts w:hint="eastAsia" w:ascii="宋体" w:hAnsi="宋体" w:cs="宋体"/>
          <w:sz w:val="24"/>
          <w:highlight w:val="none"/>
        </w:rPr>
      </w:pPr>
      <w:r>
        <w:rPr>
          <w:rFonts w:hint="eastAsia" w:ascii="仿宋" w:hAnsi="仿宋" w:eastAsia="仿宋" w:cs="仿宋"/>
          <w:color w:val="auto"/>
          <w:sz w:val="24"/>
          <w:highlight w:val="none"/>
        </w:rPr>
        <w:t>监督投诉电话：0571-85252453</w:t>
      </w:r>
    </w:p>
    <w:p>
      <w:pPr>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rPr>
          <w:rFonts w:hint="eastAsia" w:ascii="仿宋" w:hAnsi="仿宋" w:eastAsia="仿宋" w:cs="仿宋"/>
          <w:color w:val="auto"/>
          <w:sz w:val="24"/>
          <w:highlight w:val="none"/>
          <w:lang w:val="en-US" w:eastAsia="zh-CN"/>
        </w:rPr>
      </w:pPr>
      <w:r>
        <w:rPr>
          <w:rFonts w:hint="eastAsia" w:ascii="宋体" w:hAnsi="宋体" w:cs="宋体"/>
          <w:sz w:val="24"/>
          <w:highlight w:val="none"/>
        </w:rPr>
        <w:t>CA问题联系电话（人工）：汇信CA 400-888-4636；天谷CA 400-087-8198。</w:t>
      </w:r>
      <w:r>
        <w:rPr>
          <w:rFonts w:hint="eastAsia" w:ascii="仿宋" w:hAnsi="仿宋" w:eastAsia="仿宋" w:cs="仿宋"/>
          <w:color w:val="auto"/>
          <w:sz w:val="24"/>
          <w:highlight w:val="none"/>
        </w:rPr>
        <w:t xml:space="preserve">   </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瓶窑镇二工会2024年职工疗休养项目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所属行业：租赁和商务服务业；具体详见《中小企业划型标准规定》</w:t>
            </w:r>
            <w:r>
              <w:rPr>
                <w:rFonts w:hint="eastAsia" w:ascii="仿宋" w:hAnsi="仿宋" w:eastAsia="仿宋" w:cs="仿宋"/>
                <w:color w:val="auto"/>
                <w:kern w:val="0"/>
                <w:sz w:val="24"/>
                <w:highlight w:val="none"/>
              </w:rPr>
              <w:t>；</w:t>
            </w:r>
          </w:p>
          <w:p>
            <w:pPr>
              <w:pStyle w:val="6"/>
              <w:ind w:left="0" w:leftChars="0" w:firstLine="0" w:firstLineChars="0"/>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eastAsia="zh-CN"/>
              </w:rPr>
              <w:t>；等</w:t>
            </w:r>
            <w:r>
              <w:rPr>
                <w:rFonts w:hint="eastAsia" w:ascii="仿宋" w:hAnsi="仿宋" w:eastAsia="仿宋" w:cs="仿宋"/>
                <w:color w:val="auto"/>
                <w:sz w:val="24"/>
                <w:highlight w:val="none"/>
              </w:rPr>
              <w:t>工作分包。</w:t>
            </w:r>
          </w:p>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p>
            <w:pPr>
              <w:snapToGrid w:val="0"/>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（1）在评标时安排每个投标人进行方案演示。每个投标人时间不超过</w:t>
            </w:r>
            <w:r>
              <w:rPr>
                <w:rFonts w:hint="eastAsia" w:ascii="仿宋" w:hAnsi="仿宋" w:eastAsia="仿宋" w:cs="仿宋"/>
                <w:color w:val="auto"/>
                <w:kern w:val="0"/>
                <w:sz w:val="24"/>
                <w:highlight w:val="none"/>
                <w:u w:val="single"/>
                <w:lang w:val="en-US" w:eastAsia="zh-CN"/>
              </w:rPr>
              <w:t>15</w:t>
            </w:r>
            <w:r>
              <w:rPr>
                <w:rFonts w:hint="eastAsia" w:ascii="仿宋" w:hAnsi="仿宋" w:eastAsia="仿宋" w:cs="仿宋"/>
                <w:color w:val="auto"/>
                <w:kern w:val="0"/>
                <w:sz w:val="24"/>
                <w:highlight w:val="none"/>
              </w:rPr>
              <w:t>分钟，</w:t>
            </w:r>
            <w:r>
              <w:rPr>
                <w:rFonts w:hint="eastAsia" w:ascii="仿宋" w:hAnsi="仿宋" w:eastAsia="仿宋" w:cs="仿宋"/>
                <w:color w:val="auto"/>
                <w:kern w:val="0"/>
                <w:sz w:val="24"/>
                <w:highlight w:val="none"/>
                <w:lang w:eastAsia="zh-CN"/>
              </w:rPr>
              <w:t>演示</w:t>
            </w:r>
            <w:r>
              <w:rPr>
                <w:rFonts w:hint="eastAsia" w:ascii="仿宋" w:hAnsi="仿宋" w:eastAsia="仿宋" w:cs="仿宋"/>
                <w:color w:val="auto"/>
                <w:kern w:val="0"/>
                <w:sz w:val="24"/>
                <w:highlight w:val="none"/>
              </w:rPr>
              <w:t>次序以投标文件解密时间先后次序为准</w:t>
            </w:r>
            <w:r>
              <w:rPr>
                <w:rFonts w:hint="eastAsia" w:ascii="仿宋" w:hAnsi="仿宋" w:eastAsia="仿宋" w:cs="仿宋"/>
                <w:color w:val="auto"/>
                <w:kern w:val="0"/>
                <w:sz w:val="24"/>
                <w:highlight w:val="none"/>
                <w:lang w:eastAsia="zh-CN"/>
              </w:rPr>
              <w:t>。</w:t>
            </w:r>
          </w:p>
          <w:p>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5"/>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杭州市临平区南苑街道</w:t>
            </w:r>
            <w:r>
              <w:rPr>
                <w:rFonts w:hint="eastAsia" w:ascii="仿宋" w:hAnsi="仿宋" w:eastAsia="仿宋" w:cs="仿宋"/>
                <w:color w:val="auto"/>
                <w:sz w:val="24"/>
                <w:highlight w:val="none"/>
                <w:u w:val="single"/>
                <w:lang w:val="en-US" w:eastAsia="zh-CN"/>
              </w:rPr>
              <w:t>临平商会大厦D座6楼</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13735410713</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本次代理服务费由中标人支付，代理服务费按照</w:t>
            </w:r>
            <w:r>
              <w:rPr>
                <w:rFonts w:hint="eastAsia" w:ascii="仿宋" w:hAnsi="仿宋" w:eastAsia="仿宋" w:cs="仿宋"/>
                <w:color w:val="auto"/>
                <w:sz w:val="24"/>
                <w:highlight w:val="none"/>
                <w:lang w:eastAsia="zh-CN"/>
              </w:rPr>
              <w:t>相关文件计取</w:t>
            </w:r>
            <w:r>
              <w:rPr>
                <w:rFonts w:hint="eastAsia" w:ascii="仿宋" w:hAnsi="仿宋" w:eastAsia="仿宋" w:cs="仿宋"/>
                <w:color w:val="auto"/>
                <w:sz w:val="24"/>
                <w:highlight w:val="none"/>
              </w:rPr>
              <w:t>。各投标人应在投标报价中予以考虑。</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中标服务费的交纳方式：以转帐或支票的形式支付；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备注</w:t>
            </w:r>
          </w:p>
        </w:tc>
        <w:tc>
          <w:tcPr>
            <w:tcW w:w="609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本项目无需缴纳履约保证金。</w:t>
            </w:r>
          </w:p>
          <w:p>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本项目分标项一和标项二，先开标段的中标候选人不作为标项二的中标候选人推荐;</w:t>
            </w:r>
          </w:p>
        </w:tc>
      </w:tr>
    </w:tbl>
    <w:p>
      <w:pPr>
        <w:snapToGrid w:val="0"/>
        <w:spacing w:line="360" w:lineRule="auto"/>
        <w:jc w:val="center"/>
        <w:rPr>
          <w:rFonts w:hint="eastAsia" w:ascii="仿宋" w:hAnsi="仿宋" w:eastAsia="仿宋" w:cs="仿宋"/>
          <w:b/>
          <w:color w:val="auto"/>
          <w:sz w:val="32"/>
          <w:szCs w:val="20"/>
          <w:highlight w:val="none"/>
        </w:rPr>
      </w:pPr>
    </w:p>
    <w:bookmarkEnd w:id="10"/>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4"/>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5"/>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3"/>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3"/>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3"/>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3"/>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3"/>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pPr>
        <w:pStyle w:val="133"/>
        <w:spacing w:before="0"/>
        <w:ind w:firstLine="643"/>
        <w:rPr>
          <w:rFonts w:hint="eastAsia" w:ascii="仿宋" w:hAnsi="仿宋" w:eastAsia="仿宋" w:cs="仿宋"/>
          <w:b/>
          <w:color w:val="auto"/>
          <w:sz w:val="32"/>
          <w:highlight w:val="none"/>
        </w:rPr>
      </w:pPr>
    </w:p>
    <w:p>
      <w:pPr>
        <w:pStyle w:val="133"/>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8"/>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8"/>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3"/>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3"/>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6"/>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rPr>
      </w:pP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4729768"/>
      <w:bookmarkEnd w:id="16"/>
      <w:bookmarkStart w:id="17" w:name="_Hlt68057669"/>
      <w:bookmarkEnd w:id="17"/>
      <w:bookmarkStart w:id="18" w:name="_Hlt75236290"/>
      <w:bookmarkEnd w:id="18"/>
      <w:bookmarkStart w:id="19" w:name="_Hlt68403820"/>
      <w:bookmarkEnd w:id="19"/>
      <w:bookmarkStart w:id="20" w:name="_Hlt75236101"/>
      <w:bookmarkEnd w:id="20"/>
      <w:bookmarkStart w:id="21" w:name="_Hlt75236011"/>
      <w:bookmarkEnd w:id="21"/>
      <w:bookmarkStart w:id="22" w:name="_Hlt68072998"/>
      <w:bookmarkEnd w:id="22"/>
      <w:bookmarkStart w:id="23" w:name="_Hlt74714665"/>
      <w:bookmarkEnd w:id="23"/>
      <w:bookmarkStart w:id="24" w:name="_Hlt74707468"/>
      <w:bookmarkEnd w:id="24"/>
      <w:bookmarkStart w:id="25" w:name="_Hlt74730295"/>
      <w:bookmarkEnd w:id="25"/>
      <w:bookmarkStart w:id="26" w:name="_Hlt68073093"/>
      <w:bookmarkEnd w:id="26"/>
    </w:p>
    <w:bookmarkEnd w:id="11"/>
    <w:bookmarkEnd w:id="12"/>
    <w:p>
      <w:pPr>
        <w:pStyle w:val="5"/>
        <w:jc w:val="center"/>
        <w:rPr>
          <w:highlight w:val="none"/>
        </w:rPr>
      </w:pPr>
      <w:bookmarkStart w:id="27" w:name="第四部分"/>
      <w:r>
        <w:rPr>
          <w:rFonts w:hint="eastAsia" w:ascii="仿宋" w:hAnsi="仿宋" w:eastAsia="仿宋" w:cs="仿宋"/>
          <w:b/>
          <w:color w:val="auto"/>
          <w:sz w:val="36"/>
          <w:szCs w:val="36"/>
          <w:highlight w:val="none"/>
        </w:rPr>
        <w:t xml:space="preserve">第三部分   </w:t>
      </w:r>
      <w:r>
        <w:rPr>
          <w:rFonts w:hint="eastAsia"/>
          <w:highlight w:val="none"/>
        </w:rPr>
        <w:t>采购需求</w:t>
      </w:r>
    </w:p>
    <w:p>
      <w:pPr>
        <w:tabs>
          <w:tab w:val="left" w:pos="0"/>
        </w:tabs>
        <w:spacing w:line="360" w:lineRule="auto"/>
        <w:jc w:val="left"/>
        <w:rPr>
          <w:rFonts w:hint="eastAsia" w:ascii="宋体" w:hAnsi="宋体" w:eastAsia="宋体" w:cs="宋体"/>
          <w:b/>
          <w:bCs/>
          <w:kern w:val="0"/>
          <w:sz w:val="24"/>
        </w:rPr>
      </w:pPr>
      <w:r>
        <w:rPr>
          <w:rFonts w:hint="eastAsia" w:ascii="宋体" w:hAnsi="宋体" w:eastAsia="宋体" w:cs="宋体"/>
          <w:b/>
          <w:bCs/>
          <w:kern w:val="0"/>
          <w:sz w:val="24"/>
        </w:rPr>
        <w:t>一、招标项目概况（内容、用途、数量、简要技术要求等）：</w:t>
      </w:r>
    </w:p>
    <w:p>
      <w:pPr>
        <w:tabs>
          <w:tab w:val="left" w:pos="0"/>
        </w:tabs>
        <w:spacing w:line="360" w:lineRule="auto"/>
        <w:ind w:firstLine="480"/>
        <w:rPr>
          <w:rFonts w:hint="eastAsia" w:ascii="宋体" w:hAnsi="宋体" w:eastAsia="宋体" w:cs="宋体"/>
          <w:kern w:val="0"/>
          <w:sz w:val="24"/>
        </w:rPr>
      </w:pPr>
      <w:r>
        <w:rPr>
          <w:rFonts w:hint="eastAsia" w:ascii="宋体" w:hAnsi="宋体" w:cs="宋体"/>
          <w:kern w:val="0"/>
          <w:sz w:val="24"/>
          <w:lang w:eastAsia="zh-CN"/>
        </w:rPr>
        <w:t>瓶窑镇二工会2024年职工疗休养项目</w:t>
      </w:r>
      <w:r>
        <w:rPr>
          <w:rFonts w:hint="eastAsia" w:ascii="宋体" w:hAnsi="宋体" w:eastAsia="宋体" w:cs="宋体"/>
          <w:kern w:val="0"/>
          <w:sz w:val="24"/>
        </w:rPr>
        <w:t>，总预算为</w:t>
      </w:r>
      <w:r>
        <w:rPr>
          <w:rFonts w:hint="eastAsia" w:ascii="宋体" w:hAnsi="宋体" w:cs="宋体"/>
          <w:kern w:val="0"/>
          <w:sz w:val="24"/>
          <w:highlight w:val="none"/>
          <w:lang w:val="en-US" w:eastAsia="zh-CN"/>
        </w:rPr>
        <w:t>98</w:t>
      </w:r>
      <w:r>
        <w:rPr>
          <w:rFonts w:hint="eastAsia" w:ascii="宋体" w:hAnsi="宋体" w:eastAsia="宋体" w:cs="宋体"/>
          <w:kern w:val="0"/>
          <w:sz w:val="24"/>
        </w:rPr>
        <w:t>万元(各标段具体行程线路安排需配合甲方实际工作情况进行调整，结算人数以疗休养出行的个数进行结算，投标人需考虑由此产生的风险）。</w:t>
      </w:r>
    </w:p>
    <w:tbl>
      <w:tblPr>
        <w:tblStyle w:val="62"/>
        <w:tblpPr w:leftFromText="180" w:rightFromText="180" w:vertAnchor="text" w:tblpXSpec="center" w:tblpY="64"/>
        <w:tblOverlap w:val="never"/>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013"/>
        <w:gridCol w:w="1464"/>
        <w:gridCol w:w="1359"/>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90" w:type="dxa"/>
            <w:vAlign w:val="center"/>
          </w:tcPr>
          <w:p>
            <w:pPr>
              <w:widowControl/>
              <w:snapToGrid w:val="0"/>
              <w:spacing w:line="348"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标项</w:t>
            </w:r>
          </w:p>
        </w:tc>
        <w:tc>
          <w:tcPr>
            <w:tcW w:w="3013" w:type="dxa"/>
            <w:vAlign w:val="center"/>
          </w:tcPr>
          <w:p>
            <w:pPr>
              <w:widowControl/>
              <w:snapToGrid w:val="0"/>
              <w:spacing w:line="348"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标项内容</w:t>
            </w:r>
          </w:p>
        </w:tc>
        <w:tc>
          <w:tcPr>
            <w:tcW w:w="1464" w:type="dxa"/>
            <w:vAlign w:val="center"/>
          </w:tcPr>
          <w:p>
            <w:pPr>
              <w:widowControl/>
              <w:snapToGrid w:val="0"/>
              <w:spacing w:line="348" w:lineRule="auto"/>
              <w:jc w:val="center"/>
              <w:rPr>
                <w:rFonts w:hint="eastAsia" w:ascii="宋体" w:hAnsi="宋体" w:eastAsia="宋体" w:cs="宋体"/>
                <w:color w:val="auto"/>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预计出行人数</w:t>
            </w:r>
          </w:p>
        </w:tc>
        <w:tc>
          <w:tcPr>
            <w:tcW w:w="1359" w:type="dxa"/>
            <w:vAlign w:val="center"/>
          </w:tcPr>
          <w:p>
            <w:pPr>
              <w:widowControl/>
              <w:snapToGrid w:val="0"/>
              <w:spacing w:line="348"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最高限价</w:t>
            </w:r>
            <w:r>
              <w:rPr>
                <w:rFonts w:hint="eastAsia" w:ascii="宋体" w:hAnsi="宋体" w:eastAsia="宋体" w:cs="宋体"/>
                <w:color w:val="auto"/>
                <w:kern w:val="0"/>
                <w:sz w:val="24"/>
                <w:szCs w:val="24"/>
                <w:highlight w:val="none"/>
              </w:rPr>
              <w:t xml:space="preserve"> </w:t>
            </w:r>
          </w:p>
          <w:p>
            <w:pPr>
              <w:widowControl/>
              <w:snapToGrid w:val="0"/>
              <w:spacing w:line="348"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（万元）</w:t>
            </w:r>
          </w:p>
        </w:tc>
        <w:tc>
          <w:tcPr>
            <w:tcW w:w="1991" w:type="dxa"/>
            <w:vAlign w:val="center"/>
          </w:tcPr>
          <w:p>
            <w:pPr>
              <w:widowControl/>
              <w:snapToGrid w:val="0"/>
              <w:spacing w:line="348"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90" w:type="dxa"/>
            <w:vMerge w:val="restart"/>
            <w:vAlign w:val="center"/>
          </w:tcPr>
          <w:p>
            <w:pPr>
              <w:widowControl/>
              <w:snapToGrid w:val="0"/>
              <w:spacing w:line="348"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标项一</w:t>
            </w:r>
          </w:p>
        </w:tc>
        <w:tc>
          <w:tcPr>
            <w:tcW w:w="3013" w:type="dxa"/>
            <w:vAlign w:val="center"/>
          </w:tcPr>
          <w:p>
            <w:pPr>
              <w:widowControl/>
              <w:snapToGrid w:val="0"/>
              <w:spacing w:line="348"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rPr>
              <w:t>线路一：</w:t>
            </w:r>
            <w:r>
              <w:rPr>
                <w:rFonts w:hint="eastAsia" w:ascii="宋体" w:hAnsi="宋体" w:cs="宋体"/>
                <w:kern w:val="0"/>
                <w:sz w:val="24"/>
                <w:lang w:val="en-US" w:eastAsia="zh-CN"/>
              </w:rPr>
              <w:t>重庆</w:t>
            </w:r>
            <w:r>
              <w:rPr>
                <w:rFonts w:hint="eastAsia" w:ascii="宋体" w:hAnsi="宋体" w:eastAsia="宋体" w:cs="宋体"/>
                <w:kern w:val="0"/>
                <w:sz w:val="24"/>
              </w:rPr>
              <w:t>（省外5天）</w:t>
            </w:r>
          </w:p>
        </w:tc>
        <w:tc>
          <w:tcPr>
            <w:tcW w:w="1464" w:type="dxa"/>
            <w:vMerge w:val="restart"/>
            <w:vAlign w:val="center"/>
          </w:tcPr>
          <w:p>
            <w:pPr>
              <w:widowControl/>
              <w:snapToGrid w:val="0"/>
              <w:spacing w:line="348"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100</w:t>
            </w:r>
          </w:p>
        </w:tc>
        <w:tc>
          <w:tcPr>
            <w:tcW w:w="1359" w:type="dxa"/>
            <w:vMerge w:val="restart"/>
            <w:vAlign w:val="center"/>
          </w:tcPr>
          <w:p>
            <w:pPr>
              <w:widowControl/>
              <w:snapToGrid w:val="0"/>
              <w:spacing w:line="348"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50</w:t>
            </w:r>
          </w:p>
        </w:tc>
        <w:tc>
          <w:tcPr>
            <w:tcW w:w="1991" w:type="dxa"/>
            <w:vMerge w:val="restart"/>
            <w:vAlign w:val="center"/>
          </w:tcPr>
          <w:p>
            <w:pPr>
              <w:tabs>
                <w:tab w:val="left" w:pos="0"/>
              </w:tabs>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kern w:val="0"/>
                <w:sz w:val="24"/>
                <w:lang w:val="en-US" w:eastAsia="zh-CN"/>
              </w:rPr>
              <w:t>线路一、二、三、四</w:t>
            </w:r>
            <w:r>
              <w:rPr>
                <w:rFonts w:hint="eastAsia" w:ascii="宋体" w:hAnsi="宋体" w:eastAsia="宋体" w:cs="宋体"/>
                <w:kern w:val="0"/>
                <w:sz w:val="24"/>
                <w:lang w:val="en-US" w:eastAsia="zh-CN"/>
              </w:rPr>
              <w:t>最</w:t>
            </w:r>
            <w:r>
              <w:rPr>
                <w:rFonts w:hint="eastAsia" w:ascii="宋体" w:hAnsi="宋体" w:eastAsia="宋体" w:cs="宋体"/>
                <w:kern w:val="0"/>
                <w:sz w:val="24"/>
              </w:rPr>
              <w:t>高限额3000元/人</w:t>
            </w:r>
            <w:r>
              <w:rPr>
                <w:rFonts w:hint="eastAsia" w:ascii="宋体" w:hAnsi="宋体" w:cs="宋体"/>
                <w:kern w:val="0"/>
                <w:sz w:val="24"/>
                <w:lang w:eastAsia="zh-CN"/>
              </w:rPr>
              <w:t>，</w:t>
            </w:r>
            <w:r>
              <w:rPr>
                <w:rFonts w:hint="eastAsia" w:ascii="宋体" w:hAnsi="宋体" w:cs="宋体"/>
                <w:kern w:val="0"/>
                <w:sz w:val="24"/>
                <w:lang w:val="en-US" w:eastAsia="zh-CN"/>
              </w:rPr>
              <w:t>线路五、六、七、八</w:t>
            </w:r>
            <w:r>
              <w:rPr>
                <w:rFonts w:hint="eastAsia" w:ascii="宋体" w:hAnsi="宋体" w:eastAsia="宋体" w:cs="宋体"/>
                <w:kern w:val="0"/>
                <w:sz w:val="24"/>
                <w:lang w:val="en-US" w:eastAsia="zh-CN"/>
              </w:rPr>
              <w:t>最</w:t>
            </w:r>
            <w:r>
              <w:rPr>
                <w:rFonts w:hint="eastAsia" w:ascii="宋体" w:hAnsi="宋体" w:eastAsia="宋体" w:cs="宋体"/>
                <w:kern w:val="0"/>
                <w:sz w:val="24"/>
              </w:rPr>
              <w:t>高限额</w:t>
            </w:r>
            <w:r>
              <w:rPr>
                <w:rFonts w:hint="eastAsia" w:ascii="宋体" w:hAnsi="宋体" w:cs="宋体"/>
                <w:kern w:val="0"/>
                <w:sz w:val="24"/>
                <w:lang w:val="en-US" w:eastAsia="zh-CN"/>
              </w:rPr>
              <w:t>2</w:t>
            </w:r>
            <w:r>
              <w:rPr>
                <w:rFonts w:hint="eastAsia" w:ascii="宋体" w:hAnsi="宋体" w:eastAsia="宋体" w:cs="宋体"/>
                <w:kern w:val="0"/>
                <w:sz w:val="24"/>
              </w:rPr>
              <w:t>000元/人（其中线路</w:t>
            </w:r>
            <w:r>
              <w:rPr>
                <w:rFonts w:hint="eastAsia" w:ascii="宋体" w:hAnsi="宋体" w:cs="宋体"/>
                <w:kern w:val="0"/>
                <w:sz w:val="24"/>
                <w:lang w:val="en-US" w:eastAsia="zh-CN"/>
              </w:rPr>
              <w:t>一、四</w:t>
            </w:r>
            <w:r>
              <w:rPr>
                <w:rFonts w:hint="eastAsia" w:ascii="宋体" w:hAnsi="宋体" w:eastAsia="宋体" w:cs="宋体"/>
                <w:kern w:val="0"/>
                <w:sz w:val="24"/>
              </w:rPr>
              <w:t>不含省外大交通费</w:t>
            </w:r>
            <w:r>
              <w:rPr>
                <w:rFonts w:hint="eastAsia" w:ascii="宋体" w:hAnsi="宋体" w:cs="宋体"/>
                <w:kern w:val="0"/>
                <w:sz w:val="24"/>
                <w:lang w:val="en-US" w:eastAsia="zh-CN"/>
              </w:rPr>
              <w:t>2000</w:t>
            </w:r>
            <w:r>
              <w:rPr>
                <w:rFonts w:hint="eastAsia" w:ascii="宋体" w:hAnsi="宋体" w:eastAsia="宋体" w:cs="宋体"/>
                <w:kern w:val="0"/>
                <w:sz w:val="24"/>
                <w:lang w:val="en-US" w:eastAsia="zh-CN"/>
              </w:rPr>
              <w:t>元以内，超出部分职工自行承担</w:t>
            </w:r>
            <w:r>
              <w:rPr>
                <w:rFonts w:hint="eastAsia" w:ascii="宋体" w:hAnsi="宋体" w:cs="宋体"/>
                <w:kern w:val="0"/>
                <w:sz w:val="24"/>
                <w:lang w:val="en-US" w:eastAsia="zh-CN"/>
              </w:rPr>
              <w:t>，线路二、三若有产生大交通费用需自理</w:t>
            </w: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0"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rPr>
            </w:pPr>
          </w:p>
        </w:tc>
        <w:tc>
          <w:tcPr>
            <w:tcW w:w="3013" w:type="dxa"/>
            <w:vAlign w:val="center"/>
          </w:tcPr>
          <w:p>
            <w:pPr>
              <w:widowControl/>
              <w:snapToGrid w:val="0"/>
              <w:spacing w:line="348" w:lineRule="auto"/>
              <w:jc w:val="left"/>
              <w:rPr>
                <w:rFonts w:hint="eastAsia" w:ascii="宋体" w:hAnsi="宋体" w:eastAsia="宋体" w:cs="宋体"/>
                <w:kern w:val="0"/>
                <w:sz w:val="24"/>
              </w:rPr>
            </w:pPr>
            <w:r>
              <w:rPr>
                <w:rFonts w:hint="eastAsia" w:ascii="宋体" w:hAnsi="宋体" w:eastAsia="宋体" w:cs="宋体"/>
                <w:kern w:val="0"/>
                <w:sz w:val="24"/>
              </w:rPr>
              <w:t>线路二：</w:t>
            </w:r>
            <w:r>
              <w:rPr>
                <w:rFonts w:hint="eastAsia" w:ascii="宋体" w:hAnsi="宋体" w:cs="宋体"/>
                <w:kern w:val="0"/>
                <w:sz w:val="24"/>
                <w:lang w:val="en-US" w:eastAsia="zh-CN"/>
              </w:rPr>
              <w:t>平潭</w:t>
            </w:r>
            <w:r>
              <w:rPr>
                <w:rFonts w:hint="eastAsia" w:ascii="宋体" w:hAnsi="宋体" w:eastAsia="宋体" w:cs="宋体"/>
                <w:kern w:val="0"/>
                <w:sz w:val="24"/>
              </w:rPr>
              <w:t>（省外5天）</w:t>
            </w:r>
          </w:p>
        </w:tc>
        <w:tc>
          <w:tcPr>
            <w:tcW w:w="1464"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lang w:val="en-US" w:eastAsia="zh-CN"/>
              </w:rPr>
            </w:pPr>
          </w:p>
        </w:tc>
        <w:tc>
          <w:tcPr>
            <w:tcW w:w="1359"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lang w:val="en-US" w:eastAsia="zh-CN"/>
              </w:rPr>
            </w:pPr>
          </w:p>
        </w:tc>
        <w:tc>
          <w:tcPr>
            <w:tcW w:w="1991" w:type="dxa"/>
            <w:vMerge w:val="continue"/>
            <w:vAlign w:val="center"/>
          </w:tcPr>
          <w:p>
            <w:pPr>
              <w:tabs>
                <w:tab w:val="left" w:pos="0"/>
              </w:tabs>
              <w:spacing w:line="360" w:lineRule="auto"/>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90"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rPr>
            </w:pPr>
          </w:p>
        </w:tc>
        <w:tc>
          <w:tcPr>
            <w:tcW w:w="3013" w:type="dxa"/>
            <w:vAlign w:val="center"/>
          </w:tcPr>
          <w:p>
            <w:pPr>
              <w:widowControl/>
              <w:snapToGrid w:val="0"/>
              <w:spacing w:line="348"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rPr>
              <w:t>线路</w:t>
            </w:r>
            <w:r>
              <w:rPr>
                <w:rFonts w:hint="eastAsia" w:ascii="宋体" w:hAnsi="宋体" w:eastAsia="宋体" w:cs="宋体"/>
                <w:kern w:val="0"/>
                <w:sz w:val="24"/>
                <w:lang w:val="en-US" w:eastAsia="zh-CN"/>
              </w:rPr>
              <w:t>三</w:t>
            </w:r>
            <w:r>
              <w:rPr>
                <w:rFonts w:hint="eastAsia" w:ascii="宋体" w:hAnsi="宋体" w:eastAsia="宋体" w:cs="宋体"/>
                <w:kern w:val="0"/>
                <w:sz w:val="24"/>
              </w:rPr>
              <w:t>：</w:t>
            </w:r>
            <w:r>
              <w:rPr>
                <w:rFonts w:hint="eastAsia" w:ascii="宋体" w:hAnsi="宋体" w:cs="宋体"/>
                <w:color w:val="auto"/>
                <w:kern w:val="0"/>
                <w:sz w:val="24"/>
                <w:szCs w:val="24"/>
                <w:highlight w:val="none"/>
                <w:lang w:val="en-US" w:eastAsia="zh-CN"/>
              </w:rPr>
              <w:t>江西</w:t>
            </w:r>
            <w:r>
              <w:rPr>
                <w:rFonts w:hint="eastAsia" w:ascii="宋体" w:hAnsi="宋体" w:eastAsia="宋体" w:cs="宋体"/>
                <w:color w:val="auto"/>
                <w:kern w:val="0"/>
                <w:sz w:val="24"/>
                <w:szCs w:val="24"/>
                <w:highlight w:val="none"/>
                <w:lang w:val="en-US" w:eastAsia="zh-CN"/>
              </w:rPr>
              <w:t>（省外5天）</w:t>
            </w:r>
          </w:p>
        </w:tc>
        <w:tc>
          <w:tcPr>
            <w:tcW w:w="1464"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lang w:val="en-US" w:eastAsia="zh-CN"/>
              </w:rPr>
            </w:pPr>
          </w:p>
        </w:tc>
        <w:tc>
          <w:tcPr>
            <w:tcW w:w="1359"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lang w:val="en-US" w:eastAsia="zh-CN"/>
              </w:rPr>
            </w:pPr>
          </w:p>
        </w:tc>
        <w:tc>
          <w:tcPr>
            <w:tcW w:w="1991" w:type="dxa"/>
            <w:vMerge w:val="continue"/>
            <w:vAlign w:val="center"/>
          </w:tcPr>
          <w:p>
            <w:pPr>
              <w:snapToGrid w:val="0"/>
              <w:spacing w:line="348"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90"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rPr>
            </w:pPr>
          </w:p>
        </w:tc>
        <w:tc>
          <w:tcPr>
            <w:tcW w:w="3013" w:type="dxa"/>
            <w:vAlign w:val="center"/>
          </w:tcPr>
          <w:p>
            <w:pPr>
              <w:widowControl/>
              <w:snapToGrid w:val="0"/>
              <w:spacing w:line="348" w:lineRule="auto"/>
              <w:jc w:val="left"/>
              <w:rPr>
                <w:rFonts w:hint="eastAsia" w:ascii="宋体" w:hAnsi="宋体" w:eastAsia="宋体" w:cs="宋体"/>
                <w:kern w:val="0"/>
                <w:sz w:val="24"/>
                <w:lang w:eastAsia="zh-CN"/>
              </w:rPr>
            </w:pPr>
            <w:r>
              <w:rPr>
                <w:rFonts w:hint="eastAsia" w:ascii="宋体" w:hAnsi="宋体" w:eastAsia="宋体" w:cs="宋体"/>
                <w:kern w:val="0"/>
                <w:sz w:val="24"/>
              </w:rPr>
              <w:t>线路</w:t>
            </w:r>
            <w:r>
              <w:rPr>
                <w:rFonts w:hint="eastAsia" w:ascii="宋体" w:hAnsi="宋体" w:eastAsia="宋体" w:cs="宋体"/>
                <w:kern w:val="0"/>
                <w:sz w:val="24"/>
                <w:lang w:val="en-US" w:eastAsia="zh-CN"/>
              </w:rPr>
              <w:t>四</w:t>
            </w:r>
            <w:r>
              <w:rPr>
                <w:rFonts w:hint="eastAsia" w:ascii="宋体" w:hAnsi="宋体" w:eastAsia="宋体" w:cs="宋体"/>
                <w:kern w:val="0"/>
                <w:sz w:val="24"/>
              </w:rPr>
              <w:t>：</w:t>
            </w:r>
            <w:r>
              <w:rPr>
                <w:rFonts w:hint="eastAsia" w:ascii="宋体" w:hAnsi="宋体" w:cs="宋体"/>
                <w:kern w:val="0"/>
                <w:sz w:val="24"/>
                <w:lang w:val="en-US" w:eastAsia="zh-CN"/>
              </w:rPr>
              <w:t>湖北恩施</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省外5天</w:t>
            </w:r>
            <w:r>
              <w:rPr>
                <w:rFonts w:hint="eastAsia" w:ascii="宋体" w:hAnsi="宋体" w:eastAsia="宋体" w:cs="宋体"/>
                <w:kern w:val="0"/>
                <w:sz w:val="24"/>
                <w:lang w:eastAsia="zh-CN"/>
              </w:rPr>
              <w:t>）</w:t>
            </w:r>
          </w:p>
        </w:tc>
        <w:tc>
          <w:tcPr>
            <w:tcW w:w="1464"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lang w:val="en-US" w:eastAsia="zh-CN"/>
              </w:rPr>
            </w:pPr>
          </w:p>
        </w:tc>
        <w:tc>
          <w:tcPr>
            <w:tcW w:w="1359"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lang w:val="en-US" w:eastAsia="zh-CN"/>
              </w:rPr>
            </w:pPr>
          </w:p>
        </w:tc>
        <w:tc>
          <w:tcPr>
            <w:tcW w:w="1991" w:type="dxa"/>
            <w:vMerge w:val="continue"/>
            <w:vAlign w:val="center"/>
          </w:tcPr>
          <w:p>
            <w:pPr>
              <w:snapToGrid w:val="0"/>
              <w:spacing w:line="348"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90" w:type="dxa"/>
            <w:vMerge w:val="restart"/>
            <w:vAlign w:val="center"/>
          </w:tcPr>
          <w:p>
            <w:pPr>
              <w:widowControl/>
              <w:snapToGrid w:val="0"/>
              <w:spacing w:line="348"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标项二</w:t>
            </w:r>
          </w:p>
        </w:tc>
        <w:tc>
          <w:tcPr>
            <w:tcW w:w="3013" w:type="dxa"/>
            <w:vAlign w:val="center"/>
          </w:tcPr>
          <w:p>
            <w:pPr>
              <w:widowControl/>
              <w:snapToGrid w:val="0"/>
              <w:spacing w:line="348"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kern w:val="0"/>
                <w:sz w:val="24"/>
              </w:rPr>
              <w:t>线路</w:t>
            </w:r>
            <w:r>
              <w:rPr>
                <w:rFonts w:hint="eastAsia" w:ascii="宋体" w:hAnsi="宋体" w:eastAsia="宋体" w:cs="宋体"/>
                <w:kern w:val="0"/>
                <w:sz w:val="24"/>
                <w:lang w:val="en-US" w:eastAsia="zh-CN"/>
              </w:rPr>
              <w:t>五</w:t>
            </w:r>
            <w:r>
              <w:rPr>
                <w:rFonts w:hint="eastAsia" w:ascii="宋体" w:hAnsi="宋体" w:eastAsia="宋体" w:cs="宋体"/>
                <w:kern w:val="0"/>
                <w:sz w:val="24"/>
              </w:rPr>
              <w:t>：</w:t>
            </w:r>
            <w:r>
              <w:rPr>
                <w:rFonts w:hint="eastAsia" w:ascii="宋体" w:hAnsi="宋体" w:cs="宋体"/>
                <w:kern w:val="0"/>
                <w:sz w:val="24"/>
                <w:lang w:val="en-US" w:eastAsia="zh-CN"/>
              </w:rPr>
              <w:t>宁波</w:t>
            </w:r>
            <w:r>
              <w:rPr>
                <w:rFonts w:hint="eastAsia" w:ascii="宋体" w:hAnsi="宋体" w:eastAsia="宋体" w:cs="宋体"/>
                <w:kern w:val="0"/>
                <w:sz w:val="24"/>
              </w:rPr>
              <w:t>（省内5天）</w:t>
            </w:r>
          </w:p>
        </w:tc>
        <w:tc>
          <w:tcPr>
            <w:tcW w:w="1464" w:type="dxa"/>
            <w:vMerge w:val="restart"/>
            <w:vAlign w:val="center"/>
          </w:tcPr>
          <w:p>
            <w:pPr>
              <w:widowControl/>
              <w:snapToGrid w:val="0"/>
              <w:spacing w:line="348"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230</w:t>
            </w:r>
          </w:p>
        </w:tc>
        <w:tc>
          <w:tcPr>
            <w:tcW w:w="1359" w:type="dxa"/>
            <w:vMerge w:val="restart"/>
            <w:vAlign w:val="center"/>
          </w:tcPr>
          <w:p>
            <w:pPr>
              <w:widowControl/>
              <w:snapToGrid w:val="0"/>
              <w:spacing w:line="348"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46</w:t>
            </w:r>
          </w:p>
        </w:tc>
        <w:tc>
          <w:tcPr>
            <w:tcW w:w="1991" w:type="dxa"/>
            <w:vMerge w:val="continue"/>
            <w:vAlign w:val="center"/>
          </w:tcPr>
          <w:p>
            <w:pPr>
              <w:snapToGrid w:val="0"/>
              <w:spacing w:line="348"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90"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rPr>
            </w:pPr>
          </w:p>
        </w:tc>
        <w:tc>
          <w:tcPr>
            <w:tcW w:w="3013" w:type="dxa"/>
            <w:vAlign w:val="center"/>
          </w:tcPr>
          <w:p>
            <w:pPr>
              <w:widowControl/>
              <w:snapToGrid w:val="0"/>
              <w:spacing w:line="348" w:lineRule="auto"/>
              <w:jc w:val="left"/>
              <w:rPr>
                <w:rFonts w:hint="eastAsia" w:ascii="宋体" w:hAnsi="宋体" w:eastAsia="宋体" w:cs="宋体"/>
                <w:kern w:val="0"/>
                <w:sz w:val="24"/>
              </w:rPr>
            </w:pPr>
            <w:r>
              <w:rPr>
                <w:rFonts w:hint="eastAsia" w:ascii="宋体" w:hAnsi="宋体" w:eastAsia="宋体" w:cs="宋体"/>
                <w:kern w:val="0"/>
                <w:sz w:val="24"/>
              </w:rPr>
              <w:t>线路</w:t>
            </w:r>
            <w:r>
              <w:rPr>
                <w:rFonts w:hint="eastAsia" w:ascii="宋体" w:hAnsi="宋体" w:eastAsia="宋体" w:cs="宋体"/>
                <w:kern w:val="0"/>
                <w:sz w:val="24"/>
                <w:lang w:val="en-US" w:eastAsia="zh-CN"/>
              </w:rPr>
              <w:t>六</w:t>
            </w:r>
            <w:r>
              <w:rPr>
                <w:rFonts w:hint="eastAsia" w:ascii="宋体" w:hAnsi="宋体" w:eastAsia="宋体" w:cs="宋体"/>
                <w:kern w:val="0"/>
                <w:sz w:val="24"/>
              </w:rPr>
              <w:t>：</w:t>
            </w:r>
            <w:r>
              <w:rPr>
                <w:rFonts w:hint="eastAsia" w:ascii="宋体" w:hAnsi="宋体" w:cs="宋体"/>
                <w:kern w:val="0"/>
                <w:sz w:val="24"/>
                <w:lang w:val="en-US" w:eastAsia="zh-CN"/>
              </w:rPr>
              <w:t>湖州</w:t>
            </w:r>
            <w:r>
              <w:rPr>
                <w:rFonts w:hint="eastAsia" w:ascii="宋体" w:hAnsi="宋体" w:eastAsia="宋体" w:cs="宋体"/>
                <w:kern w:val="0"/>
                <w:sz w:val="24"/>
              </w:rPr>
              <w:t>（省内5天）</w:t>
            </w:r>
          </w:p>
        </w:tc>
        <w:tc>
          <w:tcPr>
            <w:tcW w:w="1464"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lang w:val="en-US" w:eastAsia="zh-CN"/>
              </w:rPr>
            </w:pPr>
          </w:p>
        </w:tc>
        <w:tc>
          <w:tcPr>
            <w:tcW w:w="1359"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lang w:val="en-US" w:eastAsia="zh-CN"/>
              </w:rPr>
            </w:pPr>
          </w:p>
        </w:tc>
        <w:tc>
          <w:tcPr>
            <w:tcW w:w="1991" w:type="dxa"/>
            <w:vMerge w:val="continue"/>
            <w:vAlign w:val="center"/>
          </w:tcPr>
          <w:p>
            <w:pPr>
              <w:snapToGrid w:val="0"/>
              <w:spacing w:line="348"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90"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rPr>
            </w:pPr>
          </w:p>
        </w:tc>
        <w:tc>
          <w:tcPr>
            <w:tcW w:w="3013" w:type="dxa"/>
            <w:vAlign w:val="center"/>
          </w:tcPr>
          <w:p>
            <w:pPr>
              <w:widowControl/>
              <w:snapToGrid w:val="0"/>
              <w:spacing w:line="348" w:lineRule="auto"/>
              <w:jc w:val="left"/>
              <w:rPr>
                <w:rFonts w:hint="eastAsia" w:ascii="宋体" w:hAnsi="宋体" w:eastAsia="宋体" w:cs="宋体"/>
                <w:kern w:val="0"/>
                <w:sz w:val="24"/>
              </w:rPr>
            </w:pPr>
            <w:r>
              <w:rPr>
                <w:rFonts w:hint="eastAsia" w:ascii="宋体" w:hAnsi="宋体" w:eastAsia="宋体" w:cs="宋体"/>
                <w:kern w:val="0"/>
                <w:sz w:val="24"/>
              </w:rPr>
              <w:t>线路</w:t>
            </w:r>
            <w:r>
              <w:rPr>
                <w:rFonts w:hint="eastAsia" w:ascii="宋体" w:hAnsi="宋体" w:eastAsia="宋体" w:cs="宋体"/>
                <w:kern w:val="0"/>
                <w:sz w:val="24"/>
                <w:lang w:val="en-US" w:eastAsia="zh-CN"/>
              </w:rPr>
              <w:t>七</w:t>
            </w:r>
            <w:r>
              <w:rPr>
                <w:rFonts w:hint="eastAsia" w:ascii="宋体" w:hAnsi="宋体" w:eastAsia="宋体" w:cs="宋体"/>
                <w:kern w:val="0"/>
                <w:sz w:val="24"/>
              </w:rPr>
              <w:t>：</w:t>
            </w:r>
            <w:r>
              <w:rPr>
                <w:rFonts w:hint="eastAsia" w:ascii="宋体" w:hAnsi="宋体" w:eastAsia="宋体" w:cs="宋体"/>
                <w:kern w:val="0"/>
                <w:sz w:val="24"/>
                <w:lang w:val="en-US" w:eastAsia="zh-CN"/>
              </w:rPr>
              <w:t>丽水</w:t>
            </w:r>
            <w:r>
              <w:rPr>
                <w:rFonts w:hint="eastAsia" w:ascii="宋体" w:hAnsi="宋体" w:eastAsia="宋体" w:cs="宋体"/>
                <w:kern w:val="0"/>
                <w:sz w:val="24"/>
              </w:rPr>
              <w:t>（省内5天）</w:t>
            </w:r>
          </w:p>
        </w:tc>
        <w:tc>
          <w:tcPr>
            <w:tcW w:w="1464"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lang w:val="en-US" w:eastAsia="zh-CN"/>
              </w:rPr>
            </w:pPr>
          </w:p>
        </w:tc>
        <w:tc>
          <w:tcPr>
            <w:tcW w:w="1359"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lang w:val="en-US" w:eastAsia="zh-CN"/>
              </w:rPr>
            </w:pPr>
          </w:p>
        </w:tc>
        <w:tc>
          <w:tcPr>
            <w:tcW w:w="1991" w:type="dxa"/>
            <w:vMerge w:val="continue"/>
            <w:vAlign w:val="center"/>
          </w:tcPr>
          <w:p>
            <w:pPr>
              <w:snapToGrid w:val="0"/>
              <w:spacing w:line="348"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90"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rPr>
            </w:pPr>
          </w:p>
        </w:tc>
        <w:tc>
          <w:tcPr>
            <w:tcW w:w="3013" w:type="dxa"/>
            <w:vAlign w:val="center"/>
          </w:tcPr>
          <w:p>
            <w:pPr>
              <w:widowControl/>
              <w:snapToGrid w:val="0"/>
              <w:spacing w:line="348" w:lineRule="auto"/>
              <w:jc w:val="left"/>
              <w:rPr>
                <w:rFonts w:hint="eastAsia" w:ascii="宋体" w:hAnsi="宋体" w:eastAsia="宋体" w:cs="宋体"/>
                <w:kern w:val="0"/>
                <w:sz w:val="24"/>
              </w:rPr>
            </w:pPr>
            <w:r>
              <w:rPr>
                <w:rFonts w:hint="eastAsia" w:ascii="宋体" w:hAnsi="宋体" w:eastAsia="宋体" w:cs="宋体"/>
                <w:kern w:val="0"/>
                <w:sz w:val="24"/>
              </w:rPr>
              <w:t>线路</w:t>
            </w:r>
            <w:r>
              <w:rPr>
                <w:rFonts w:hint="eastAsia" w:ascii="宋体" w:hAnsi="宋体" w:eastAsia="宋体" w:cs="宋体"/>
                <w:kern w:val="0"/>
                <w:sz w:val="24"/>
                <w:lang w:val="en-US" w:eastAsia="zh-CN"/>
              </w:rPr>
              <w:t>八</w:t>
            </w:r>
            <w:r>
              <w:rPr>
                <w:rFonts w:hint="eastAsia" w:ascii="宋体" w:hAnsi="宋体" w:eastAsia="宋体" w:cs="宋体"/>
                <w:kern w:val="0"/>
                <w:sz w:val="24"/>
              </w:rPr>
              <w:t>：</w:t>
            </w:r>
            <w:r>
              <w:rPr>
                <w:rFonts w:hint="eastAsia" w:ascii="宋体" w:hAnsi="宋体" w:cs="宋体"/>
                <w:kern w:val="0"/>
                <w:sz w:val="24"/>
                <w:lang w:val="en-US" w:eastAsia="zh-CN"/>
              </w:rPr>
              <w:t>千岛湖</w:t>
            </w:r>
            <w:r>
              <w:rPr>
                <w:rFonts w:hint="eastAsia" w:ascii="宋体" w:hAnsi="宋体" w:eastAsia="宋体" w:cs="宋体"/>
                <w:kern w:val="0"/>
                <w:sz w:val="24"/>
              </w:rPr>
              <w:t>（省内5天）</w:t>
            </w:r>
          </w:p>
        </w:tc>
        <w:tc>
          <w:tcPr>
            <w:tcW w:w="1464"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lang w:val="en-US" w:eastAsia="zh-CN"/>
              </w:rPr>
            </w:pPr>
          </w:p>
        </w:tc>
        <w:tc>
          <w:tcPr>
            <w:tcW w:w="1359" w:type="dxa"/>
            <w:vMerge w:val="continue"/>
            <w:vAlign w:val="center"/>
          </w:tcPr>
          <w:p>
            <w:pPr>
              <w:widowControl/>
              <w:snapToGrid w:val="0"/>
              <w:spacing w:line="348" w:lineRule="auto"/>
              <w:jc w:val="center"/>
              <w:rPr>
                <w:rFonts w:hint="eastAsia" w:ascii="宋体" w:hAnsi="宋体" w:eastAsia="宋体" w:cs="宋体"/>
                <w:color w:val="auto"/>
                <w:kern w:val="0"/>
                <w:sz w:val="24"/>
                <w:szCs w:val="24"/>
                <w:highlight w:val="none"/>
                <w:lang w:val="en-US" w:eastAsia="zh-CN"/>
              </w:rPr>
            </w:pPr>
          </w:p>
        </w:tc>
        <w:tc>
          <w:tcPr>
            <w:tcW w:w="1991" w:type="dxa"/>
            <w:vMerge w:val="continue"/>
            <w:vAlign w:val="center"/>
          </w:tcPr>
          <w:p>
            <w:pPr>
              <w:snapToGrid w:val="0"/>
              <w:spacing w:line="348" w:lineRule="auto"/>
              <w:jc w:val="center"/>
              <w:rPr>
                <w:rFonts w:hint="eastAsia" w:ascii="宋体" w:hAnsi="宋体" w:eastAsia="宋体" w:cs="宋体"/>
                <w:color w:val="auto"/>
                <w:sz w:val="24"/>
                <w:szCs w:val="24"/>
                <w:highlight w:val="none"/>
              </w:rPr>
            </w:pPr>
          </w:p>
        </w:tc>
      </w:tr>
    </w:tbl>
    <w:p>
      <w:pPr>
        <w:spacing w:beforeLines="100" w:line="360" w:lineRule="auto"/>
        <w:rPr>
          <w:rFonts w:hint="eastAsia" w:ascii="宋体" w:hAnsi="宋体" w:eastAsia="宋体" w:cs="宋体"/>
          <w:b/>
          <w:bCs/>
          <w:kern w:val="0"/>
          <w:sz w:val="24"/>
          <w:lang w:eastAsia="zh-CN"/>
        </w:rPr>
      </w:pPr>
      <w:r>
        <w:rPr>
          <w:rFonts w:hint="eastAsia" w:ascii="宋体" w:hAnsi="宋体" w:eastAsia="宋体" w:cs="宋体"/>
          <w:b/>
          <w:bCs/>
          <w:kern w:val="0"/>
          <w:sz w:val="24"/>
          <w:lang w:val="en-US" w:eastAsia="zh-CN"/>
        </w:rPr>
        <w:t>注：</w:t>
      </w:r>
      <w:r>
        <w:rPr>
          <w:rFonts w:hint="eastAsia" w:ascii="宋体" w:hAnsi="宋体" w:eastAsia="宋体" w:cs="宋体"/>
          <w:b/>
          <w:bCs/>
          <w:kern w:val="0"/>
          <w:sz w:val="24"/>
        </w:rPr>
        <w:t>各标项线路安排及出行人数需结合甲方实际报名情况及标项金额，由甲方以各标项金额比例为基础统一安排线路人员，最终以疗休养实际出行人数结算，投标人需考虑由此产生的风险</w:t>
      </w:r>
      <w:r>
        <w:rPr>
          <w:rFonts w:hint="eastAsia" w:ascii="宋体" w:hAnsi="宋体" w:eastAsia="宋体" w:cs="宋体"/>
          <w:b/>
          <w:bCs/>
          <w:kern w:val="0"/>
          <w:sz w:val="24"/>
          <w:lang w:eastAsia="zh-CN"/>
        </w:rPr>
        <w:t>。</w:t>
      </w:r>
    </w:p>
    <w:p>
      <w:pPr>
        <w:spacing w:beforeLines="100" w:line="360" w:lineRule="auto"/>
        <w:rPr>
          <w:rFonts w:hint="eastAsia" w:ascii="宋体" w:hAnsi="宋体" w:eastAsia="宋体" w:cs="宋体"/>
          <w:color w:val="000000"/>
        </w:rPr>
      </w:pPr>
      <w:r>
        <w:rPr>
          <w:rFonts w:hint="eastAsia" w:ascii="宋体" w:hAnsi="宋体" w:eastAsia="宋体" w:cs="宋体"/>
          <w:b/>
          <w:color w:val="000000"/>
          <w:sz w:val="24"/>
        </w:rPr>
        <w:t>二、</w:t>
      </w:r>
      <w:r>
        <w:rPr>
          <w:rFonts w:hint="eastAsia" w:ascii="宋体" w:hAnsi="宋体" w:eastAsia="宋体" w:cs="宋体"/>
          <w:b/>
          <w:bCs/>
          <w:color w:val="000000"/>
          <w:sz w:val="24"/>
        </w:rPr>
        <w:t>行程安排</w:t>
      </w:r>
    </w:p>
    <w:p>
      <w:pPr>
        <w:spacing w:line="360" w:lineRule="auto"/>
        <w:rPr>
          <w:rFonts w:hint="eastAsia" w:ascii="宋体" w:hAnsi="宋体" w:eastAsia="宋体" w:cs="宋体"/>
          <w:b/>
          <w:color w:val="000000"/>
          <w:kern w:val="0"/>
          <w:sz w:val="24"/>
        </w:rPr>
      </w:pPr>
      <w:r>
        <w:rPr>
          <w:rFonts w:hint="eastAsia" w:ascii="宋体" w:hAnsi="宋体" w:eastAsia="宋体" w:cs="宋体"/>
          <w:b/>
          <w:color w:val="000000"/>
          <w:kern w:val="0"/>
          <w:sz w:val="24"/>
        </w:rPr>
        <w:t>（一）时间、地点、人数</w:t>
      </w:r>
      <w:r>
        <w:rPr>
          <w:rFonts w:hint="eastAsia" w:ascii="宋体" w:hAnsi="宋体" w:eastAsia="宋体" w:cs="宋体"/>
          <w:b/>
          <w:color w:val="000000"/>
          <w:kern w:val="0"/>
          <w:sz w:val="24"/>
        </w:rPr>
        <w:tab/>
      </w:r>
    </w:p>
    <w:p>
      <w:pPr>
        <w:spacing w:line="360" w:lineRule="auto"/>
        <w:ind w:firstLine="480" w:firstLineChars="200"/>
        <w:rPr>
          <w:rFonts w:hint="eastAsia" w:ascii="宋体" w:hAnsi="宋体" w:eastAsia="宋体" w:cs="宋体"/>
          <w:color w:val="000000"/>
          <w:sz w:val="24"/>
          <w:highlight w:val="yellow"/>
        </w:rPr>
      </w:pPr>
      <w:r>
        <w:rPr>
          <w:rFonts w:hint="eastAsia" w:ascii="宋体" w:hAnsi="宋体" w:eastAsia="宋体" w:cs="宋体"/>
          <w:color w:val="000000"/>
          <w:sz w:val="24"/>
        </w:rPr>
        <w:t>拟安排于202</w:t>
      </w:r>
      <w:r>
        <w:rPr>
          <w:rFonts w:hint="eastAsia" w:ascii="宋体" w:hAnsi="宋体" w:eastAsia="宋体" w:cs="宋体"/>
          <w:color w:val="000000"/>
          <w:sz w:val="24"/>
          <w:lang w:val="en-US" w:eastAsia="zh-CN"/>
        </w:rPr>
        <w:t>4</w:t>
      </w:r>
      <w:r>
        <w:rPr>
          <w:rFonts w:hint="eastAsia" w:ascii="宋体" w:hAnsi="宋体" w:eastAsia="宋体" w:cs="宋体"/>
          <w:color w:val="000000"/>
          <w:sz w:val="24"/>
        </w:rPr>
        <w:t>年</w:t>
      </w:r>
      <w:r>
        <w:rPr>
          <w:rFonts w:hint="eastAsia" w:ascii="宋体" w:hAnsi="宋体" w:cs="宋体"/>
          <w:color w:val="000000"/>
          <w:sz w:val="24"/>
          <w:lang w:val="en-US" w:eastAsia="zh-CN"/>
        </w:rPr>
        <w:t>5</w:t>
      </w:r>
      <w:r>
        <w:rPr>
          <w:rFonts w:hint="eastAsia" w:ascii="宋体" w:hAnsi="宋体" w:eastAsia="宋体" w:cs="宋体"/>
          <w:color w:val="000000"/>
          <w:sz w:val="24"/>
        </w:rPr>
        <w:t>月至12月出行，出行地点为余杭（杭州市余杭区瓶窑镇人民政府指定集合点）；具体人员清单由采购人分配，具体批次和出发时间由采购人视情况而定。因疫情、天气等不可抗拒的原因造成不能按既定线路出行的，采购人可与中标单位协商更换线路。</w:t>
      </w:r>
    </w:p>
    <w:p>
      <w:pPr>
        <w:numPr>
          <w:ilvl w:val="0"/>
          <w:numId w:val="1"/>
        </w:numPr>
        <w:spacing w:line="360" w:lineRule="auto"/>
        <w:rPr>
          <w:rFonts w:hint="eastAsia" w:ascii="宋体" w:hAnsi="宋体" w:eastAsia="宋体" w:cs="宋体"/>
          <w:b/>
          <w:color w:val="000000"/>
          <w:kern w:val="0"/>
          <w:sz w:val="24"/>
        </w:rPr>
      </w:pPr>
      <w:r>
        <w:rPr>
          <w:rFonts w:hint="eastAsia" w:ascii="宋体" w:hAnsi="宋体" w:eastAsia="宋体" w:cs="宋体"/>
          <w:b/>
          <w:color w:val="000000"/>
          <w:kern w:val="0"/>
          <w:sz w:val="24"/>
        </w:rPr>
        <w:t>行程基本要求</w:t>
      </w:r>
    </w:p>
    <w:p>
      <w:pPr>
        <w:autoSpaceDN w:val="0"/>
        <w:spacing w:line="460" w:lineRule="exact"/>
        <w:rPr>
          <w:rFonts w:hint="eastAsia" w:ascii="宋体" w:hAnsi="宋体" w:eastAsia="宋体" w:cs="宋体"/>
          <w:sz w:val="24"/>
          <w:szCs w:val="24"/>
        </w:rPr>
      </w:pPr>
      <w:r>
        <w:rPr>
          <w:rFonts w:hint="eastAsia" w:ascii="宋体" w:hAnsi="宋体" w:eastAsia="宋体" w:cs="宋体"/>
          <w:b/>
          <w:color w:val="000000"/>
          <w:sz w:val="24"/>
          <w:szCs w:val="24"/>
        </w:rPr>
        <w:t>组团：采购人内部公布线路和供应商方案后，由职工自由报名组团。因采购人工作的特殊性，组团后可出现临时退团的情形，供应商应允许出团前5个工作日前除预定的机票等退票费用（按国家政策及民航规定执行）外可无条件退团，并保证不得降低未退团职工约定的疗休养标准。由以上原因产生的风险由投标供应商综合考虑进行报价。</w:t>
      </w:r>
    </w:p>
    <w:p>
      <w:pPr>
        <w:autoSpaceDN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除上述外，投标供应商可提出相应的应急方案，如出团前5个工作日内提出退团的或因退团导致出团人数过少的解决方案或应急措施，以供应商编制并获得采购人认可的方案为准。</w:t>
      </w:r>
    </w:p>
    <w:p>
      <w:pPr>
        <w:tabs>
          <w:tab w:val="left" w:pos="0"/>
        </w:tabs>
        <w:spacing w:line="360" w:lineRule="auto"/>
        <w:ind w:left="600" w:hanging="600" w:hangingChars="2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交通工具：全程37座以上（每批人数大于20人时）空调旅游车。要求空调旅游车为三年内新车，司机五年内无不良记录，服务态度好、技术好，确保行程安全。省外建议优先采用飞机出行方案。每批次人数仅供参考，人数不足不补差价，相应费用由投标人在报价中列入，中标后不得调整。</w:t>
      </w:r>
    </w:p>
    <w:p>
      <w:pPr>
        <w:tabs>
          <w:tab w:val="left" w:pos="0"/>
        </w:tabs>
        <w:spacing w:line="360" w:lineRule="auto"/>
        <w:ind w:left="600" w:hanging="600" w:hangingChars="250"/>
        <w:rPr>
          <w:rFonts w:hint="eastAsia" w:ascii="宋体" w:hAnsi="宋体" w:eastAsia="宋体" w:cs="宋体"/>
          <w:sz w:val="24"/>
          <w:szCs w:val="24"/>
        </w:rPr>
      </w:pPr>
      <w:r>
        <w:rPr>
          <w:rFonts w:hint="eastAsia" w:ascii="宋体" w:hAnsi="宋体" w:eastAsia="宋体" w:cs="宋体"/>
          <w:color w:val="000000"/>
          <w:kern w:val="0"/>
          <w:sz w:val="24"/>
          <w:szCs w:val="24"/>
        </w:rPr>
        <w:t>2.住宿：要求四星及以上标准酒店(省外线路若因当地条件不允许可适当降低标准），入住酒店必须包含早餐。（酒店未评挂星的，应提供相关酒店网站截图、评分资料或其他相关证明资料供评委评审认定，供应商方案应列出每一线路的酒店名称、具体地点）。另外若团队中出现单男单女，个人不补住房差价，由中标供应商安排并承担；因个人要求单住房，需补交个人房差价；</w:t>
      </w:r>
    </w:p>
    <w:p>
      <w:pPr>
        <w:tabs>
          <w:tab w:val="left" w:pos="0"/>
        </w:tabs>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3.景点：包括但不限于以下内容，</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线路一：</w:t>
      </w:r>
      <w:r>
        <w:rPr>
          <w:rFonts w:hint="eastAsia" w:ascii="宋体" w:hAnsi="宋体" w:cs="宋体"/>
          <w:kern w:val="0"/>
          <w:sz w:val="24"/>
          <w:lang w:val="en-US" w:eastAsia="zh-CN"/>
        </w:rPr>
        <w:t>重庆</w:t>
      </w:r>
      <w:r>
        <w:rPr>
          <w:rFonts w:hint="eastAsia" w:ascii="宋体" w:hAnsi="宋体" w:eastAsia="宋体" w:cs="宋体"/>
          <w:color w:val="000000"/>
          <w:kern w:val="0"/>
          <w:sz w:val="24"/>
          <w:szCs w:val="24"/>
        </w:rPr>
        <w:t>（省外5天）</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线路二：</w:t>
      </w:r>
      <w:r>
        <w:rPr>
          <w:rFonts w:hint="eastAsia" w:ascii="宋体" w:hAnsi="宋体" w:cs="宋体"/>
          <w:color w:val="000000"/>
          <w:kern w:val="0"/>
          <w:sz w:val="24"/>
          <w:szCs w:val="24"/>
          <w:lang w:val="en-US" w:eastAsia="zh-CN"/>
        </w:rPr>
        <w:t>平潭</w:t>
      </w:r>
      <w:r>
        <w:rPr>
          <w:rFonts w:hint="eastAsia" w:ascii="宋体" w:hAnsi="宋体" w:eastAsia="宋体" w:cs="宋体"/>
          <w:color w:val="000000"/>
          <w:kern w:val="0"/>
          <w:sz w:val="24"/>
          <w:szCs w:val="24"/>
        </w:rPr>
        <w:t>（省外5天）</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线路</w:t>
      </w: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江西</w:t>
      </w:r>
      <w:r>
        <w:rPr>
          <w:rFonts w:hint="eastAsia" w:ascii="宋体" w:hAnsi="宋体" w:eastAsia="宋体" w:cs="宋体"/>
          <w:color w:val="000000"/>
          <w:kern w:val="0"/>
          <w:sz w:val="24"/>
          <w:szCs w:val="24"/>
          <w:lang w:val="en-US" w:eastAsia="zh-CN"/>
        </w:rPr>
        <w:t>（省外5天）</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线路</w:t>
      </w:r>
      <w:r>
        <w:rPr>
          <w:rFonts w:hint="eastAsia" w:ascii="宋体" w:hAnsi="宋体" w:eastAsia="宋体" w:cs="宋体"/>
          <w:color w:val="000000"/>
          <w:kern w:val="0"/>
          <w:sz w:val="24"/>
          <w:szCs w:val="24"/>
          <w:lang w:val="en-US" w:eastAsia="zh-CN"/>
        </w:rPr>
        <w:t>四</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湖北恩施</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省外5天</w:t>
      </w:r>
      <w:r>
        <w:rPr>
          <w:rFonts w:hint="eastAsia" w:ascii="宋体" w:hAnsi="宋体" w:eastAsia="宋体" w:cs="宋体"/>
          <w:color w:val="000000"/>
          <w:kern w:val="0"/>
          <w:sz w:val="24"/>
          <w:szCs w:val="24"/>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线路</w:t>
      </w:r>
      <w:r>
        <w:rPr>
          <w:rFonts w:hint="eastAsia" w:ascii="宋体" w:hAnsi="宋体" w:eastAsia="宋体" w:cs="宋体"/>
          <w:color w:val="000000"/>
          <w:kern w:val="0"/>
          <w:sz w:val="24"/>
          <w:szCs w:val="24"/>
          <w:lang w:val="en-US" w:eastAsia="zh-CN"/>
        </w:rPr>
        <w:t>五</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宁波</w:t>
      </w:r>
      <w:r>
        <w:rPr>
          <w:rFonts w:hint="eastAsia" w:ascii="宋体" w:hAnsi="宋体" w:eastAsia="宋体" w:cs="宋体"/>
          <w:color w:val="000000"/>
          <w:kern w:val="0"/>
          <w:sz w:val="24"/>
          <w:szCs w:val="24"/>
        </w:rPr>
        <w:t>（省内5天）</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线路</w:t>
      </w:r>
      <w:r>
        <w:rPr>
          <w:rFonts w:hint="eastAsia" w:ascii="宋体" w:hAnsi="宋体" w:eastAsia="宋体" w:cs="宋体"/>
          <w:color w:val="000000"/>
          <w:kern w:val="0"/>
          <w:sz w:val="24"/>
          <w:szCs w:val="24"/>
          <w:lang w:val="en-US" w:eastAsia="zh-CN"/>
        </w:rPr>
        <w:t>六</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湖州</w:t>
      </w:r>
      <w:r>
        <w:rPr>
          <w:rFonts w:hint="eastAsia" w:ascii="宋体" w:hAnsi="宋体" w:eastAsia="宋体" w:cs="宋体"/>
          <w:color w:val="000000"/>
          <w:kern w:val="0"/>
          <w:sz w:val="24"/>
          <w:szCs w:val="24"/>
        </w:rPr>
        <w:t>（省内5天）</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线路</w:t>
      </w:r>
      <w:r>
        <w:rPr>
          <w:rFonts w:hint="eastAsia" w:ascii="宋体" w:hAnsi="宋体" w:eastAsia="宋体" w:cs="宋体"/>
          <w:color w:val="000000"/>
          <w:kern w:val="0"/>
          <w:sz w:val="24"/>
          <w:szCs w:val="24"/>
          <w:lang w:val="en-US" w:eastAsia="zh-CN"/>
        </w:rPr>
        <w:t>七</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丽水</w:t>
      </w:r>
      <w:r>
        <w:rPr>
          <w:rFonts w:hint="eastAsia" w:ascii="宋体" w:hAnsi="宋体" w:eastAsia="宋体" w:cs="宋体"/>
          <w:color w:val="000000"/>
          <w:kern w:val="0"/>
          <w:sz w:val="24"/>
          <w:szCs w:val="24"/>
        </w:rPr>
        <w:t>（省内5天）</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线路</w:t>
      </w:r>
      <w:r>
        <w:rPr>
          <w:rFonts w:hint="eastAsia" w:ascii="宋体" w:hAnsi="宋体" w:eastAsia="宋体" w:cs="宋体"/>
          <w:color w:val="000000"/>
          <w:kern w:val="0"/>
          <w:sz w:val="24"/>
          <w:szCs w:val="24"/>
          <w:lang w:val="en-US" w:eastAsia="zh-CN"/>
        </w:rPr>
        <w:t>八</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千岛湖</w:t>
      </w:r>
      <w:r>
        <w:rPr>
          <w:rFonts w:hint="eastAsia" w:ascii="宋体" w:hAnsi="宋体" w:eastAsia="宋体" w:cs="宋体"/>
          <w:color w:val="000000"/>
          <w:kern w:val="0"/>
          <w:sz w:val="24"/>
          <w:szCs w:val="24"/>
        </w:rPr>
        <w:t>（省内5天）</w:t>
      </w:r>
    </w:p>
    <w:p>
      <w:pPr>
        <w:tabs>
          <w:tab w:val="left" w:pos="0"/>
        </w:tabs>
        <w:spacing w:line="360" w:lineRule="auto"/>
        <w:ind w:left="480" w:hanging="480" w:hanging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4.用餐：住宿含早。正餐省外线路餐标不低于50 元/餐/人，省内线路餐标不低于 </w:t>
      </w:r>
      <w:r>
        <w:rPr>
          <w:rFonts w:hint="eastAsia" w:ascii="宋体" w:hAnsi="宋体" w:eastAsia="宋体" w:cs="宋体"/>
          <w:color w:val="FF0000"/>
          <w:kern w:val="0"/>
          <w:sz w:val="24"/>
          <w:szCs w:val="24"/>
        </w:rPr>
        <w:t>60</w:t>
      </w:r>
      <w:r>
        <w:rPr>
          <w:rFonts w:hint="eastAsia" w:ascii="宋体" w:hAnsi="宋体" w:eastAsia="宋体" w:cs="宋体"/>
          <w:color w:val="000000"/>
          <w:kern w:val="0"/>
          <w:sz w:val="24"/>
          <w:szCs w:val="24"/>
        </w:rPr>
        <w:t xml:space="preserve"> 元/餐/人标准；食物要求新鲜、安全，适合口味。要求每餐菜品多样，不雷同。餐厅交通便利，环境较好。 </w:t>
      </w:r>
    </w:p>
    <w:p>
      <w:pPr>
        <w:tabs>
          <w:tab w:val="left" w:pos="0"/>
        </w:tabs>
        <w:spacing w:line="360" w:lineRule="auto"/>
        <w:ind w:left="480" w:hanging="480" w:hanging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5.用车：全程空调旅游车。要求具正规营运资质的车辆，车况好，空调效果好</w:t>
      </w:r>
    </w:p>
    <w:p>
      <w:pPr>
        <w:tabs>
          <w:tab w:val="left" w:pos="0"/>
        </w:tabs>
        <w:spacing w:line="360" w:lineRule="auto"/>
        <w:ind w:left="420" w:left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司机确保行程安全；要求三年内新车，</w:t>
      </w:r>
      <w:r>
        <w:rPr>
          <w:rFonts w:hint="eastAsia" w:ascii="宋体" w:hAnsi="宋体" w:eastAsia="宋体" w:cs="宋体"/>
          <w:kern w:val="0"/>
          <w:sz w:val="24"/>
          <w:szCs w:val="24"/>
        </w:rPr>
        <w:t>座位37座以上，</w:t>
      </w:r>
      <w:r>
        <w:rPr>
          <w:rFonts w:hint="eastAsia" w:ascii="宋体" w:hAnsi="宋体" w:eastAsia="宋体" w:cs="宋体"/>
          <w:color w:val="000000"/>
          <w:kern w:val="0"/>
          <w:sz w:val="24"/>
          <w:szCs w:val="24"/>
        </w:rPr>
        <w:t>座位按照人数1：1.2比例配备。（根据疫情防控要求每日行程结束后对车辆进行消杀）。</w:t>
      </w:r>
    </w:p>
    <w:p>
      <w:pPr>
        <w:tabs>
          <w:tab w:val="left" w:pos="0"/>
        </w:tabs>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6.导游：</w:t>
      </w:r>
      <w:r>
        <w:rPr>
          <w:rFonts w:hint="eastAsia" w:ascii="宋体" w:hAnsi="宋体" w:eastAsia="宋体" w:cs="宋体"/>
          <w:kern w:val="0"/>
          <w:sz w:val="24"/>
          <w:szCs w:val="24"/>
        </w:rPr>
        <w:t>当地优秀资质公司，有导游资格的专业导游讲解服务，每车至少配备1名导游全程陪同。</w:t>
      </w:r>
    </w:p>
    <w:p>
      <w:pPr>
        <w:tabs>
          <w:tab w:val="left" w:pos="0"/>
        </w:tabs>
        <w:spacing w:line="360" w:lineRule="auto"/>
        <w:ind w:left="480" w:hanging="480" w:hanging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7.保险：投标人报价应包含必须为疗休养职工购买具有一定抵抗风险的保险，包括旅行社责任险和个人旅游人身意外险，旅行社责任险不得低于</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00万元，旅游意外伤害险不得低于100万元/人，旅游意外伤害医疗险不得低于5万元/人。</w:t>
      </w:r>
    </w:p>
    <w:p>
      <w:pPr>
        <w:tabs>
          <w:tab w:val="left" w:pos="0"/>
        </w:tabs>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8.购物：全程不进购物点。</w:t>
      </w:r>
    </w:p>
    <w:p>
      <w:pPr>
        <w:tabs>
          <w:tab w:val="left" w:pos="0"/>
        </w:tabs>
        <w:spacing w:line="360" w:lineRule="auto"/>
        <w:ind w:left="480" w:hanging="480" w:hanging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9.无自费的景点或活动，无商业广告及各类产品推销。若客人自行要求需取得全团旅游者同意才可组织！征得旅游者同意的情况下，可根据实际情况更改游览顺序。  </w:t>
      </w:r>
    </w:p>
    <w:p>
      <w:pPr>
        <w:tabs>
          <w:tab w:val="left" w:pos="0"/>
        </w:tabs>
        <w:spacing w:line="360" w:lineRule="auto"/>
        <w:ind w:left="480" w:hanging="480" w:hanging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10.每批次疗休养职工配发：每批每人配发帽子一顶</w:t>
      </w:r>
      <w:r>
        <w:rPr>
          <w:rFonts w:hint="eastAsia" w:ascii="宋体" w:hAnsi="宋体" w:eastAsia="宋体" w:cs="宋体"/>
          <w:kern w:val="0"/>
          <w:sz w:val="24"/>
          <w:szCs w:val="24"/>
        </w:rPr>
        <w:t>、</w:t>
      </w:r>
      <w:r>
        <w:rPr>
          <w:rFonts w:hint="eastAsia" w:ascii="宋体" w:hAnsi="宋体" w:eastAsia="宋体" w:cs="宋体"/>
          <w:color w:val="000000"/>
          <w:kern w:val="0"/>
          <w:sz w:val="24"/>
          <w:szCs w:val="24"/>
        </w:rPr>
        <w:t>矿泉水不少于二瓶/天/人，每批次准备旅行常备药品一份，如遇职工在疗休养期间过生日的，赠送生日蛋糕一份/人。</w:t>
      </w:r>
    </w:p>
    <w:p>
      <w:pPr>
        <w:tabs>
          <w:tab w:val="left" w:pos="0"/>
        </w:tabs>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.实施过程中出现有效投诉3次或以上的，采购人有权终止合同。</w:t>
      </w:r>
    </w:p>
    <w:p>
      <w:pPr>
        <w:tabs>
          <w:tab w:val="left" w:pos="0"/>
        </w:tabs>
        <w:spacing w:line="360" w:lineRule="auto"/>
        <w:ind w:left="360" w:hanging="360" w:hanging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xml:space="preserve">.每批次疗休养结束后，将对参加疗休养的职工进行疗休养情况测评调查。每批结束前进行满意度测评，满意度低于80%（一般）的，扣当批疗养费用的 </w:t>
      </w:r>
    </w:p>
    <w:p>
      <w:pPr>
        <w:tabs>
          <w:tab w:val="left" w:pos="0"/>
        </w:tabs>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10%，低于70%（差）的，扣20%，低于60%（很差）的，扣30%，低于50%（极差）的，扣40%，低于40%（非常差）的，扣60%并扣除履约保证金全款。</w:t>
      </w:r>
    </w:p>
    <w:p>
      <w:pPr>
        <w:spacing w:line="360" w:lineRule="auto"/>
        <w:rPr>
          <w:rFonts w:hint="eastAsia" w:ascii="宋体" w:hAnsi="宋体" w:eastAsia="宋体" w:cs="宋体"/>
          <w:b/>
          <w:bCs/>
          <w:sz w:val="24"/>
          <w:szCs w:val="24"/>
        </w:rPr>
      </w:pPr>
      <w:r>
        <w:rPr>
          <w:rFonts w:hint="eastAsia" w:ascii="宋体" w:hAnsi="宋体" w:eastAsia="宋体" w:cs="宋体"/>
          <w:b/>
          <w:bCs/>
          <w:kern w:val="0"/>
          <w:sz w:val="24"/>
          <w:szCs w:val="24"/>
        </w:rPr>
        <w:t>三</w:t>
      </w:r>
      <w:r>
        <w:rPr>
          <w:rFonts w:hint="eastAsia" w:ascii="宋体" w:hAnsi="宋体" w:eastAsia="宋体" w:cs="宋体"/>
          <w:b/>
          <w:bCs/>
          <w:kern w:val="0"/>
          <w:sz w:val="24"/>
          <w:szCs w:val="24"/>
          <w:lang w:val="zh-CN"/>
        </w:rPr>
        <w:t>、</w:t>
      </w:r>
      <w:bookmarkStart w:id="28" w:name="_Toc482110467"/>
      <w:r>
        <w:rPr>
          <w:rFonts w:hint="eastAsia" w:ascii="宋体" w:hAnsi="宋体" w:eastAsia="宋体" w:cs="宋体"/>
          <w:b/>
          <w:bCs/>
          <w:sz w:val="24"/>
          <w:szCs w:val="24"/>
        </w:rPr>
        <w:t>服务期限：</w:t>
      </w:r>
      <w:r>
        <w:rPr>
          <w:rFonts w:hint="eastAsia" w:ascii="宋体" w:hAnsi="宋体" w:eastAsia="宋体" w:cs="宋体"/>
          <w:b/>
          <w:bCs/>
          <w:color w:val="000000"/>
          <w:sz w:val="24"/>
          <w:szCs w:val="24"/>
        </w:rPr>
        <w:t>（标项一、标项二）</w:t>
      </w:r>
    </w:p>
    <w:p>
      <w:pPr>
        <w:pStyle w:val="142"/>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月至12月</w:t>
      </w:r>
      <w:r>
        <w:rPr>
          <w:rFonts w:hint="eastAsia" w:ascii="宋体" w:hAnsi="宋体" w:eastAsia="宋体" w:cs="宋体"/>
          <w:sz w:val="24"/>
          <w:szCs w:val="24"/>
        </w:rPr>
        <w:t>。如采购人有所需要，中标单位应根据采购人的要求延续提供1-2个月的服务，费用标准按原合同规定执行</w:t>
      </w:r>
      <w:r>
        <w:rPr>
          <w:rFonts w:hint="eastAsia" w:ascii="宋体" w:hAnsi="宋体" w:eastAsia="宋体" w:cs="宋体"/>
          <w:bCs/>
          <w:color w:val="000000"/>
          <w:sz w:val="24"/>
          <w:szCs w:val="24"/>
        </w:rPr>
        <w:t>。</w:t>
      </w:r>
    </w:p>
    <w:p>
      <w:pPr>
        <w:spacing w:line="360" w:lineRule="auto"/>
        <w:rPr>
          <w:rFonts w:hint="eastAsia" w:ascii="宋体" w:hAnsi="宋体" w:eastAsia="宋体" w:cs="宋体"/>
          <w:b/>
          <w:sz w:val="24"/>
          <w:szCs w:val="24"/>
        </w:rPr>
      </w:pPr>
      <w:r>
        <w:rPr>
          <w:rFonts w:hint="eastAsia" w:ascii="宋体" w:hAnsi="宋体" w:eastAsia="宋体" w:cs="宋体"/>
          <w:b/>
          <w:bCs/>
          <w:kern w:val="0"/>
          <w:sz w:val="24"/>
          <w:szCs w:val="24"/>
          <w:lang w:val="zh-CN"/>
        </w:rPr>
        <w:t>四</w:t>
      </w:r>
      <w:r>
        <w:rPr>
          <w:rFonts w:hint="eastAsia" w:ascii="宋体" w:hAnsi="宋体" w:eastAsia="宋体" w:cs="宋体"/>
          <w:b/>
          <w:bCs/>
          <w:sz w:val="24"/>
          <w:szCs w:val="24"/>
        </w:rPr>
        <w:t>、</w:t>
      </w:r>
      <w:bookmarkEnd w:id="28"/>
      <w:r>
        <w:rPr>
          <w:rFonts w:hint="eastAsia" w:ascii="宋体" w:hAnsi="宋体" w:eastAsia="宋体" w:cs="宋体"/>
          <w:b/>
          <w:sz w:val="24"/>
          <w:szCs w:val="24"/>
        </w:rPr>
        <w:t>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标方应严格履行行程路线、景点、服务内容及标准，并保证招标方拟定的每批次人数及出发时间。不得随意更改，若有违约，招标方有权拒付相关费用，并追究违约责任，招标方应按协议要求按时付款。如中标方严重违约，招标方可终止合同。</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五、费用结算方式</w:t>
      </w:r>
    </w:p>
    <w:p>
      <w:pPr>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采用单价招标，出行人数按实结算。</w:t>
      </w:r>
    </w:p>
    <w:p>
      <w:pPr>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采购单位应在合同正式生效后，按批次支付。各批次疗休养行程结束后，中标人按实际产生费用提供结算函（附本结算批次的线路、人数、总价等统计情况），经采购人经确认并在中标人开具增值税普通发票后 30 日内一次性支付该批次合同价款，其中服务外包人员由街道统一招标，疗休养费用结算与服务外包公司单独结算。</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七、履约保证金：</w:t>
      </w:r>
    </w:p>
    <w:p>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在合同签订后七日内，各标项供应商向采购人缴纳对应标项预算价1%的履约保证金（以支票、汇票、本票或者金融机构、担保机构出具的保函等非现金形式提交），</w:t>
      </w:r>
      <w:r>
        <w:rPr>
          <w:rFonts w:hint="eastAsia" w:ascii="宋体" w:hAnsi="宋体" w:eastAsia="宋体" w:cs="宋体"/>
          <w:sz w:val="24"/>
          <w:szCs w:val="24"/>
        </w:rPr>
        <w:t>待服务期满后，无质量、服务问题，由招标人向中标人无息退还</w:t>
      </w:r>
      <w:r>
        <w:rPr>
          <w:rFonts w:hint="eastAsia" w:ascii="宋体" w:hAnsi="宋体" w:eastAsia="宋体" w:cs="宋体"/>
          <w:bCs/>
          <w:sz w:val="24"/>
          <w:szCs w:val="24"/>
        </w:rPr>
        <w:t>。</w:t>
      </w:r>
    </w:p>
    <w:p>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val="zh-CN"/>
        </w:rPr>
        <w:t>八、考核及其他要求</w:t>
      </w:r>
      <w:r>
        <w:rPr>
          <w:rFonts w:hint="eastAsia" w:ascii="宋体" w:hAnsi="宋体" w:eastAsia="宋体" w:cs="宋体"/>
          <w:b/>
          <w:bCs/>
          <w:kern w:val="0"/>
          <w:sz w:val="24"/>
          <w:szCs w:val="24"/>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考核方式：每次完成疗养服务回程时，导游发放《满意度调查表》，出行职工对本次出行计划、酒店、就餐等情况进行满意度评分并填写《满意度调查表》（调查表选项填写不全或赋分不在设定范围的无效），满意度调查结果由导游（或中标供应商代表）和职工代表签字留存并当场宣布，招标人根据满意度平均分确认当次疗休养费用。</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2.考核标准：</w:t>
      </w:r>
      <w:r>
        <w:rPr>
          <w:rFonts w:hint="eastAsia" w:ascii="宋体" w:hAnsi="宋体" w:eastAsia="宋体" w:cs="宋体"/>
          <w:color w:val="000000"/>
          <w:kern w:val="0"/>
          <w:sz w:val="24"/>
          <w:szCs w:val="24"/>
        </w:rPr>
        <w:t>每批结束前进行满意度测评，满意度低于 80%（一般）的，扣当批疗养费用的10%，低于 70%（差）的，扣 20%，低于 60%（很差）的，扣 30%，低于 50%（极差）的，扣 40%，低于 40%（非常差）的，扣 60%并扣除履约保证金全款。</w:t>
      </w:r>
    </w:p>
    <w:p>
      <w:pPr>
        <w:pStyle w:val="3"/>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中标供应商的方案应获得招标人的认可，招标人保留对中标供应商的某一线路指定其他方案的权利，路线景点和出团人数以实际产生为准，费用不得超出规定标准，组团时间按招标人计划实施，具体出团及返回时间根据供应商编制并获得招标人认可的方案为准，出团时间应避开双休及节假日。</w:t>
      </w:r>
    </w:p>
    <w:p>
      <w:pPr>
        <w:pStyle w:val="25"/>
        <w:ind w:firstLine="480"/>
        <w:rPr>
          <w:rFonts w:hint="eastAsia" w:ascii="宋体" w:hAnsi="宋体" w:eastAsia="宋体" w:cs="宋体"/>
          <w:szCs w:val="24"/>
          <w:lang w:val="en-US" w:eastAsia="zh-CN"/>
        </w:rPr>
      </w:pPr>
      <w:r>
        <w:rPr>
          <w:rFonts w:hint="eastAsia" w:ascii="宋体" w:hAnsi="宋体" w:eastAsia="宋体" w:cs="宋体"/>
          <w:color w:val="000000"/>
          <w:sz w:val="24"/>
          <w:szCs w:val="24"/>
        </w:rPr>
        <w:t>4.出行人数存在不确定性，最终费用按实际出发人数，按实结算，投标时每个标项的人数为暂定量，具体以实际出行人数为准，投标单价保持不变，相关费用按出行人员情况向杭州市余杭区瓶窑镇人民政府结算。</w:t>
      </w:r>
    </w:p>
    <w:p>
      <w:pPr>
        <w:tabs>
          <w:tab w:val="left" w:pos="5580"/>
        </w:tabs>
        <w:spacing w:line="240" w:lineRule="exact"/>
        <w:jc w:val="center"/>
        <w:rPr>
          <w:rFonts w:hint="eastAsia"/>
        </w:rPr>
      </w:pPr>
    </w:p>
    <w:tbl>
      <w:tblPr>
        <w:tblStyle w:val="62"/>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6"/>
        <w:gridCol w:w="2207"/>
        <w:gridCol w:w="1999"/>
        <w:gridCol w:w="1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22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44"/>
                <w:szCs w:val="44"/>
                <w:u w:val="none"/>
                <w:lang w:val="en-US" w:eastAsia="zh-CN" w:bidi="ar"/>
              </w:rPr>
            </w:pPr>
            <w:r>
              <w:rPr>
                <w:rFonts w:hint="eastAsia" w:ascii="黑体" w:hAnsi="宋体" w:eastAsia="黑体" w:cs="黑体"/>
                <w:i w:val="0"/>
                <w:iCs w:val="0"/>
                <w:color w:val="000000"/>
                <w:kern w:val="0"/>
                <w:sz w:val="44"/>
                <w:szCs w:val="44"/>
                <w:u w:val="none"/>
                <w:lang w:val="en-US" w:eastAsia="zh-CN" w:bidi="ar"/>
              </w:rPr>
              <w:t>满 意 度 调 查 表</w:t>
            </w:r>
          </w:p>
          <w:p>
            <w:pPr>
              <w:keepNext w:val="0"/>
              <w:keepLines w:val="0"/>
              <w:widowControl/>
              <w:suppressLineNumbers w:val="0"/>
              <w:jc w:val="center"/>
              <w:textAlignment w:val="center"/>
              <w:rPr>
                <w:rFonts w:hint="eastAsia" w:ascii="黑体" w:hAnsi="宋体" w:eastAsia="黑体" w:cs="黑体"/>
                <w:i w:val="0"/>
                <w:iCs w:val="0"/>
                <w:color w:val="000000"/>
                <w:kern w:val="0"/>
                <w:sz w:val="44"/>
                <w:szCs w:val="4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ascii="方正小标宋_GBK" w:hAnsi="方正小标宋_GBK" w:eastAsia="方正小标宋_GBK" w:cs="方正小标宋_GBK"/>
                <w:i w:val="0"/>
                <w:iCs w:val="0"/>
                <w:color w:val="000000"/>
                <w:sz w:val="22"/>
                <w:szCs w:val="22"/>
                <w:u w:val="none"/>
              </w:rPr>
            </w:pPr>
            <w:r>
              <w:rPr>
                <w:rFonts w:hint="eastAsia" w:ascii="方正小标宋_GBK" w:hAnsi="方正小标宋_GBK" w:eastAsia="方正小标宋_GBK" w:cs="方正小标宋_GBK"/>
                <w:i w:val="0"/>
                <w:iCs w:val="0"/>
                <w:color w:val="000000"/>
                <w:kern w:val="0"/>
                <w:sz w:val="22"/>
                <w:szCs w:val="22"/>
                <w:u w:val="none"/>
                <w:lang w:val="en-US" w:eastAsia="zh-CN" w:bidi="ar"/>
              </w:rPr>
              <w:t>疗休养时间</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方正小标宋_GBK" w:hAnsi="方正小标宋_GBK" w:eastAsia="方正小标宋_GBK" w:cs="方正小标宋_GBK"/>
                <w:i w:val="0"/>
                <w:iCs w:val="0"/>
                <w:color w:val="000000"/>
                <w:sz w:val="22"/>
                <w:szCs w:val="22"/>
                <w:u w:val="none"/>
              </w:rPr>
            </w:pPr>
            <w:r>
              <w:rPr>
                <w:rFonts w:hint="eastAsia" w:ascii="方正小标宋_GBK" w:hAnsi="方正小标宋_GBK" w:eastAsia="方正小标宋_GBK" w:cs="方正小标宋_GBK"/>
                <w:i w:val="0"/>
                <w:iCs w:val="0"/>
                <w:color w:val="000000"/>
                <w:kern w:val="0"/>
                <w:sz w:val="22"/>
                <w:szCs w:val="22"/>
                <w:u w:val="none"/>
                <w:lang w:val="en-US" w:eastAsia="zh-CN" w:bidi="ar"/>
              </w:rPr>
              <w:t xml:space="preserve">    年   月   日--         年   月   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方正小标宋_GBK" w:hAnsi="方正小标宋_GBK" w:eastAsia="方正小标宋_GBK" w:cs="方正小标宋_GBK"/>
                <w:i w:val="0"/>
                <w:iCs w:val="0"/>
                <w:color w:val="000000"/>
                <w:sz w:val="22"/>
                <w:szCs w:val="22"/>
                <w:u w:val="none"/>
              </w:rPr>
            </w:pPr>
            <w:r>
              <w:rPr>
                <w:rFonts w:hint="eastAsia" w:ascii="方正小标宋_GBK" w:hAnsi="方正小标宋_GBK" w:eastAsia="方正小标宋_GBK" w:cs="方正小标宋_GBK"/>
                <w:i w:val="0"/>
                <w:iCs w:val="0"/>
                <w:color w:val="000000"/>
                <w:kern w:val="0"/>
                <w:sz w:val="22"/>
                <w:szCs w:val="22"/>
                <w:u w:val="none"/>
                <w:lang w:val="en-US" w:eastAsia="zh-CN" w:bidi="ar"/>
              </w:rPr>
              <w:t>地   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方正小标宋_GBK" w:hAnsi="方正小标宋_GBK" w:eastAsia="方正小标宋_GBK" w:cs="方正小标宋_GBK"/>
                <w:i w:val="0"/>
                <w:iCs w:val="0"/>
                <w:color w:val="000000"/>
                <w:sz w:val="22"/>
                <w:szCs w:val="22"/>
                <w:u w:val="none"/>
              </w:rPr>
            </w:pPr>
            <w:r>
              <w:rPr>
                <w:rFonts w:hint="eastAsia" w:ascii="方正小标宋_GBK" w:hAnsi="方正小标宋_GBK" w:eastAsia="方正小标宋_GBK" w:cs="方正小标宋_GBK"/>
                <w:i w:val="0"/>
                <w:iCs w:val="0"/>
                <w:color w:val="000000"/>
                <w:kern w:val="0"/>
                <w:sz w:val="22"/>
                <w:szCs w:val="22"/>
                <w:u w:val="none"/>
                <w:lang w:val="en-US" w:eastAsia="zh-CN" w:bidi="ar"/>
              </w:rPr>
              <w:t>评分项目及分值（100分）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方正小标宋_GBK" w:hAnsi="方正小标宋_GBK" w:eastAsia="方正小标宋_GBK" w:cs="方正小标宋_GBK"/>
                <w:i w:val="0"/>
                <w:iCs w:val="0"/>
                <w:color w:val="000000"/>
                <w:sz w:val="22"/>
                <w:szCs w:val="22"/>
                <w:u w:val="none"/>
              </w:rPr>
            </w:pPr>
            <w:r>
              <w:rPr>
                <w:rFonts w:hint="eastAsia" w:ascii="方正小标宋_GBK" w:hAnsi="方正小标宋_GBK" w:eastAsia="方正小标宋_GBK" w:cs="方正小标宋_GBK"/>
                <w:i w:val="0"/>
                <w:iCs w:val="0"/>
                <w:color w:val="000000"/>
                <w:kern w:val="0"/>
                <w:sz w:val="22"/>
                <w:szCs w:val="22"/>
                <w:u w:val="none"/>
                <w:lang w:val="en-US" w:eastAsia="zh-CN" w:bidi="ar"/>
              </w:rPr>
              <w:t>满意度评价（请您在认为的选项后空格内评分）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方正小标宋_GBK" w:hAnsi="方正小标宋_GBK" w:eastAsia="方正小标宋_GBK" w:cs="方正小标宋_GBK"/>
                <w:i w:val="0"/>
                <w:iCs w:val="0"/>
                <w:color w:val="000000"/>
                <w:sz w:val="22"/>
                <w:szCs w:val="22"/>
                <w:u w:val="none"/>
              </w:rPr>
            </w:pPr>
            <w:r>
              <w:rPr>
                <w:rFonts w:hint="eastAsia" w:ascii="方正小标宋_GBK" w:hAnsi="方正小标宋_GBK" w:eastAsia="方正小标宋_GBK" w:cs="方正小标宋_GBK"/>
                <w:i w:val="0"/>
                <w:iCs w:val="0"/>
                <w:color w:val="000000"/>
                <w:kern w:val="0"/>
                <w:sz w:val="22"/>
                <w:szCs w:val="22"/>
                <w:u w:val="none"/>
                <w:lang w:val="en-US" w:eastAsia="zh-CN" w:bidi="ar"/>
              </w:rPr>
              <w:t>较好（16-20分）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方正小标宋_GBK" w:hAnsi="方正小标宋_GBK" w:eastAsia="方正小标宋_GBK" w:cs="方正小标宋_GBK"/>
                <w:i w:val="0"/>
                <w:iCs w:val="0"/>
                <w:color w:val="000000"/>
                <w:sz w:val="22"/>
                <w:szCs w:val="22"/>
                <w:u w:val="none"/>
              </w:rPr>
            </w:pPr>
            <w:r>
              <w:rPr>
                <w:rFonts w:hint="eastAsia" w:ascii="方正小标宋_GBK" w:hAnsi="方正小标宋_GBK" w:eastAsia="方正小标宋_GBK" w:cs="方正小标宋_GBK"/>
                <w:i w:val="0"/>
                <w:iCs w:val="0"/>
                <w:color w:val="000000"/>
                <w:kern w:val="0"/>
                <w:sz w:val="22"/>
                <w:szCs w:val="22"/>
                <w:u w:val="none"/>
                <w:lang w:val="en-US" w:eastAsia="zh-CN" w:bidi="ar"/>
              </w:rPr>
              <w:t>一般（12-15分）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方正小标宋_GBK" w:hAnsi="方正小标宋_GBK" w:eastAsia="方正小标宋_GBK" w:cs="方正小标宋_GBK"/>
                <w:i w:val="0"/>
                <w:iCs w:val="0"/>
                <w:color w:val="000000"/>
                <w:sz w:val="22"/>
                <w:szCs w:val="22"/>
                <w:u w:val="none"/>
              </w:rPr>
            </w:pPr>
            <w:r>
              <w:rPr>
                <w:rFonts w:hint="eastAsia" w:ascii="方正小标宋_GBK" w:hAnsi="方正小标宋_GBK" w:eastAsia="方正小标宋_GBK" w:cs="方正小标宋_GBK"/>
                <w:i w:val="0"/>
                <w:iCs w:val="0"/>
                <w:color w:val="000000"/>
                <w:kern w:val="0"/>
                <w:sz w:val="22"/>
                <w:szCs w:val="22"/>
                <w:u w:val="none"/>
                <w:lang w:val="en-US" w:eastAsia="zh-CN" w:bidi="ar"/>
              </w:rPr>
              <w:t>较差（0-11分）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方正小标宋_GBK" w:hAnsi="方正小标宋_GBK" w:eastAsia="方正小标宋_GBK" w:cs="方正小标宋_GBK"/>
                <w:i w:val="0"/>
                <w:iCs w:val="0"/>
                <w:color w:val="000000"/>
                <w:sz w:val="22"/>
                <w:szCs w:val="22"/>
                <w:u w:val="none"/>
              </w:rPr>
            </w:pPr>
            <w:r>
              <w:rPr>
                <w:rFonts w:hint="eastAsia" w:ascii="方正小标宋_GBK" w:hAnsi="方正小标宋_GBK" w:eastAsia="方正小标宋_GBK" w:cs="方正小标宋_GBK"/>
                <w:i w:val="0"/>
                <w:iCs w:val="0"/>
                <w:color w:val="000000"/>
                <w:kern w:val="0"/>
                <w:sz w:val="22"/>
                <w:szCs w:val="22"/>
                <w:u w:val="none"/>
                <w:lang w:val="en-US" w:eastAsia="zh-CN" w:bidi="ar"/>
              </w:rPr>
              <w:t>餐饮状况（20分）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方正小标宋_GBK" w:hAnsi="方正小标宋_GBK" w:eastAsia="方正小标宋_GBK" w:cs="方正小标宋_GBK"/>
                <w:i w:val="0"/>
                <w:iCs w:val="0"/>
                <w:color w:val="000000"/>
                <w:sz w:val="22"/>
                <w:szCs w:val="22"/>
                <w:u w:val="none"/>
              </w:rPr>
            </w:pPr>
            <w:r>
              <w:rPr>
                <w:rFonts w:hint="eastAsia" w:ascii="方正小标宋_GBK" w:hAnsi="方正小标宋_GBK" w:eastAsia="方正小标宋_GBK" w:cs="方正小标宋_GBK"/>
                <w:i w:val="0"/>
                <w:iCs w:val="0"/>
                <w:color w:val="000000"/>
                <w:kern w:val="0"/>
                <w:sz w:val="22"/>
                <w:szCs w:val="22"/>
                <w:u w:val="none"/>
                <w:lang w:val="en-US" w:eastAsia="zh-CN" w:bidi="ar"/>
              </w:rPr>
              <w:t>住宿条件（20分）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方正小标宋_GBK" w:hAnsi="方正小标宋_GBK" w:eastAsia="方正小标宋_GBK" w:cs="方正小标宋_GBK"/>
                <w:i w:val="0"/>
                <w:iCs w:val="0"/>
                <w:color w:val="000000"/>
                <w:sz w:val="22"/>
                <w:szCs w:val="22"/>
                <w:u w:val="none"/>
              </w:rPr>
            </w:pPr>
            <w:r>
              <w:rPr>
                <w:rFonts w:hint="eastAsia" w:ascii="方正小标宋_GBK" w:hAnsi="方正小标宋_GBK" w:eastAsia="方正小标宋_GBK" w:cs="方正小标宋_GBK"/>
                <w:i w:val="0"/>
                <w:iCs w:val="0"/>
                <w:color w:val="000000"/>
                <w:kern w:val="0"/>
                <w:sz w:val="22"/>
                <w:szCs w:val="22"/>
                <w:u w:val="none"/>
                <w:lang w:val="en-US" w:eastAsia="zh-CN" w:bidi="ar"/>
              </w:rPr>
              <w:t>参观行程（20分）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方正小标宋_GBK" w:hAnsi="方正小标宋_GBK" w:eastAsia="方正小标宋_GBK" w:cs="方正小标宋_GBK"/>
                <w:i w:val="0"/>
                <w:iCs w:val="0"/>
                <w:color w:val="000000"/>
                <w:sz w:val="22"/>
                <w:szCs w:val="22"/>
                <w:u w:val="none"/>
              </w:rPr>
            </w:pPr>
            <w:r>
              <w:rPr>
                <w:rFonts w:hint="eastAsia" w:ascii="方正小标宋_GBK" w:hAnsi="方正小标宋_GBK" w:eastAsia="方正小标宋_GBK" w:cs="方正小标宋_GBK"/>
                <w:i w:val="0"/>
                <w:iCs w:val="0"/>
                <w:color w:val="000000"/>
                <w:kern w:val="0"/>
                <w:sz w:val="22"/>
                <w:szCs w:val="22"/>
                <w:u w:val="none"/>
                <w:lang w:val="en-US" w:eastAsia="zh-CN" w:bidi="ar"/>
              </w:rPr>
              <w:t>车辆状况和司机服务（20分）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方正小标宋_GBK" w:hAnsi="方正小标宋_GBK" w:eastAsia="方正小标宋_GBK" w:cs="方正小标宋_GBK"/>
                <w:i w:val="0"/>
                <w:iCs w:val="0"/>
                <w:color w:val="000000"/>
                <w:sz w:val="22"/>
                <w:szCs w:val="22"/>
                <w:u w:val="none"/>
              </w:rPr>
            </w:pPr>
            <w:r>
              <w:rPr>
                <w:rFonts w:hint="eastAsia" w:ascii="方正小标宋_GBK" w:hAnsi="方正小标宋_GBK" w:eastAsia="方正小标宋_GBK" w:cs="方正小标宋_GBK"/>
                <w:i w:val="0"/>
                <w:iCs w:val="0"/>
                <w:color w:val="000000"/>
                <w:kern w:val="0"/>
                <w:sz w:val="22"/>
                <w:szCs w:val="22"/>
                <w:u w:val="none"/>
                <w:lang w:val="en-US" w:eastAsia="zh-CN" w:bidi="ar"/>
              </w:rPr>
              <w:t>全陪、地接导游服务（20分）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方正小标宋_GBK" w:hAnsi="方正小标宋_GBK" w:eastAsia="方正小标宋_GBK" w:cs="方正小标宋_GBK"/>
                <w:i w:val="0"/>
                <w:iCs w:val="0"/>
                <w:color w:val="000000"/>
                <w:sz w:val="22"/>
                <w:szCs w:val="22"/>
                <w:u w:val="none"/>
              </w:rPr>
            </w:pPr>
            <w:r>
              <w:rPr>
                <w:rFonts w:hint="eastAsia" w:ascii="方正小标宋_GBK" w:hAnsi="方正小标宋_GBK" w:eastAsia="方正小标宋_GBK" w:cs="方正小标宋_GBK"/>
                <w:i w:val="0"/>
                <w:iCs w:val="0"/>
                <w:color w:val="000000"/>
                <w:kern w:val="0"/>
                <w:sz w:val="22"/>
                <w:szCs w:val="22"/>
                <w:u w:val="none"/>
                <w:lang w:val="en-US" w:eastAsia="zh-CN" w:bidi="ar"/>
              </w:rPr>
              <w:t>合计得分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400" w:lineRule="exact"/>
              <w:jc w:val="center"/>
              <w:rPr>
                <w:rFonts w:hint="eastAsia" w:ascii="方正小标宋_GBK" w:hAnsi="方正小标宋_GBK" w:eastAsia="方正小标宋_GBK" w:cs="方正小标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8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方正小标宋_GBK" w:hAnsi="方正小标宋_GBK" w:eastAsia="方正小标宋_GBK" w:cs="方正小标宋_GBK"/>
                <w:i w:val="0"/>
                <w:iCs w:val="0"/>
                <w:color w:val="000000"/>
                <w:kern w:val="0"/>
                <w:sz w:val="21"/>
                <w:szCs w:val="21"/>
                <w:u w:val="none"/>
                <w:lang w:val="en-US" w:eastAsia="zh-CN" w:bidi="ar"/>
              </w:rPr>
            </w:pPr>
            <w:r>
              <w:rPr>
                <w:rFonts w:hint="eastAsia" w:ascii="方正小标宋_GBK" w:hAnsi="方正小标宋_GBK" w:eastAsia="方正小标宋_GBK" w:cs="方正小标宋_GBK"/>
                <w:i w:val="0"/>
                <w:iCs w:val="0"/>
                <w:color w:val="000000"/>
                <w:kern w:val="0"/>
                <w:sz w:val="21"/>
                <w:szCs w:val="21"/>
                <w:u w:val="none"/>
                <w:lang w:val="en-US" w:eastAsia="zh-CN" w:bidi="ar"/>
              </w:rPr>
              <w:t>对这次疗休养的总体评价及建议：</w:t>
            </w:r>
            <w:r>
              <w:rPr>
                <w:rFonts w:hint="eastAsia" w:ascii="方正小标宋_GBK" w:hAnsi="方正小标宋_GBK" w:eastAsia="方正小标宋_GBK" w:cs="方正小标宋_GBK"/>
                <w:i w:val="0"/>
                <w:iCs w:val="0"/>
                <w:color w:val="000000"/>
                <w:kern w:val="0"/>
                <w:sz w:val="21"/>
                <w:szCs w:val="21"/>
                <w:u w:val="none"/>
                <w:lang w:val="en-US" w:eastAsia="zh-CN" w:bidi="ar"/>
              </w:rPr>
              <w:br w:type="textWrapping"/>
            </w:r>
            <w:r>
              <w:rPr>
                <w:rFonts w:hint="eastAsia" w:ascii="方正小标宋_GBK" w:hAnsi="方正小标宋_GBK" w:eastAsia="方正小标宋_GBK" w:cs="方正小标宋_GBK"/>
                <w:i w:val="0"/>
                <w:iCs w:val="0"/>
                <w:color w:val="000000"/>
                <w:kern w:val="0"/>
                <w:sz w:val="21"/>
                <w:szCs w:val="21"/>
                <w:u w:val="none"/>
                <w:lang w:val="en-US" w:eastAsia="zh-CN" w:bidi="ar"/>
              </w:rPr>
              <w:br w:type="textWrapping"/>
            </w:r>
            <w:r>
              <w:rPr>
                <w:rFonts w:hint="eastAsia" w:ascii="方正小标宋_GBK" w:hAnsi="方正小标宋_GBK" w:eastAsia="方正小标宋_GBK" w:cs="方正小标宋_GBK"/>
                <w:i w:val="0"/>
                <w:iCs w:val="0"/>
                <w:color w:val="000000"/>
                <w:kern w:val="0"/>
                <w:sz w:val="21"/>
                <w:szCs w:val="21"/>
                <w:u w:val="none"/>
                <w:lang w:val="en-US" w:eastAsia="zh-CN" w:bidi="ar"/>
              </w:rPr>
              <w:br w:type="textWrapping"/>
            </w:r>
            <w:r>
              <w:rPr>
                <w:rFonts w:hint="eastAsia" w:ascii="方正小标宋_GBK" w:hAnsi="方正小标宋_GBK" w:eastAsia="方正小标宋_GBK" w:cs="方正小标宋_GBK"/>
                <w:i w:val="0"/>
                <w:iCs w:val="0"/>
                <w:color w:val="000000"/>
                <w:kern w:val="0"/>
                <w:sz w:val="21"/>
                <w:szCs w:val="21"/>
                <w:u w:val="none"/>
                <w:lang w:val="en-US" w:eastAsia="zh-CN" w:bidi="ar"/>
              </w:rPr>
              <w:br w:type="textWrapping"/>
            </w:r>
            <w:r>
              <w:rPr>
                <w:rFonts w:hint="eastAsia" w:ascii="方正小标宋_GBK" w:hAnsi="方正小标宋_GBK" w:eastAsia="方正小标宋_GBK" w:cs="方正小标宋_GBK"/>
                <w:i w:val="0"/>
                <w:iCs w:val="0"/>
                <w:color w:val="000000"/>
                <w:kern w:val="0"/>
                <w:sz w:val="21"/>
                <w:szCs w:val="21"/>
                <w:u w:val="none"/>
                <w:lang w:val="en-US" w:eastAsia="zh-CN" w:bidi="ar"/>
              </w:rPr>
              <w:br w:type="textWrapping"/>
            </w:r>
            <w:r>
              <w:rPr>
                <w:rFonts w:hint="eastAsia" w:ascii="方正小标宋_GBK" w:hAnsi="方正小标宋_GBK" w:eastAsia="方正小标宋_GBK" w:cs="方正小标宋_GBK"/>
                <w:i w:val="0"/>
                <w:iCs w:val="0"/>
                <w:color w:val="000000"/>
                <w:kern w:val="0"/>
                <w:sz w:val="21"/>
                <w:szCs w:val="21"/>
                <w:u w:val="none"/>
                <w:lang w:val="en-US" w:eastAsia="zh-CN" w:bidi="ar"/>
              </w:rPr>
              <w:t xml:space="preserve">                                                                                 职工代表签字：</w:t>
            </w:r>
            <w:r>
              <w:rPr>
                <w:rFonts w:hint="eastAsia" w:ascii="方正小标宋_GBK" w:hAnsi="方正小标宋_GBK" w:eastAsia="方正小标宋_GBK" w:cs="方正小标宋_GBK"/>
                <w:i w:val="0"/>
                <w:iCs w:val="0"/>
                <w:color w:val="000000"/>
                <w:kern w:val="0"/>
                <w:sz w:val="21"/>
                <w:szCs w:val="21"/>
                <w:u w:val="none"/>
                <w:lang w:val="en-US" w:eastAsia="zh-CN" w:bidi="ar"/>
              </w:rPr>
              <w:br w:type="textWrapping"/>
            </w:r>
            <w:r>
              <w:rPr>
                <w:rFonts w:hint="eastAsia" w:ascii="方正小标宋_GBK" w:hAnsi="方正小标宋_GBK" w:eastAsia="方正小标宋_GBK" w:cs="方正小标宋_GBK"/>
                <w:i w:val="0"/>
                <w:iCs w:val="0"/>
                <w:color w:val="000000"/>
                <w:kern w:val="0"/>
                <w:sz w:val="21"/>
                <w:szCs w:val="21"/>
                <w:u w:val="none"/>
                <w:lang w:val="en-US" w:eastAsia="zh-CN" w:bidi="ar"/>
              </w:rPr>
              <w:t xml:space="preserve">                                                                                  年  月   日</w:t>
            </w:r>
          </w:p>
          <w:p>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方正小标宋_GBK" w:hAnsi="方正小标宋_GBK" w:eastAsia="方正小标宋_GBK" w:cs="方正小标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400" w:lineRule="exact"/>
              <w:jc w:val="both"/>
              <w:textAlignment w:val="center"/>
              <w:rPr>
                <w:rFonts w:hint="eastAsia" w:ascii="方正小标宋_GBK" w:hAnsi="方正小标宋_GBK" w:eastAsia="方正小标宋_GBK" w:cs="方正小标宋_GBK"/>
                <w:i w:val="0"/>
                <w:iCs w:val="0"/>
                <w:color w:val="000000"/>
                <w:sz w:val="21"/>
                <w:szCs w:val="21"/>
                <w:u w:val="none"/>
              </w:rPr>
            </w:pPr>
            <w:r>
              <w:rPr>
                <w:rFonts w:hint="eastAsia" w:ascii="方正小标宋_GBK" w:hAnsi="方正小标宋_GBK" w:eastAsia="方正小标宋_GBK" w:cs="方正小标宋_GBK"/>
                <w:i w:val="0"/>
                <w:iCs w:val="0"/>
                <w:color w:val="000000"/>
                <w:kern w:val="0"/>
                <w:sz w:val="21"/>
                <w:szCs w:val="21"/>
                <w:u w:val="none"/>
                <w:lang w:val="en-US" w:eastAsia="zh-CN" w:bidi="ar"/>
              </w:rPr>
              <w:t>旅行社代表签字：</w:t>
            </w:r>
          </w:p>
        </w:tc>
      </w:tr>
    </w:tbl>
    <w:p>
      <w:pPr>
        <w:widowControl/>
        <w:jc w:val="left"/>
        <w:rPr>
          <w:rFonts w:hint="eastAsia" w:ascii="仿宋" w:hAnsi="仿宋" w:eastAsia="仿宋" w:cs="仿宋"/>
          <w:bCs/>
          <w:color w:val="auto"/>
          <w:sz w:val="24"/>
          <w:highlight w:val="none"/>
        </w:rPr>
      </w:pPr>
    </w:p>
    <w:p>
      <w:pPr>
        <w:rPr>
          <w:rFonts w:hint="eastAsia" w:ascii="仿宋" w:hAnsi="仿宋" w:eastAsia="仿宋" w:cs="仿宋"/>
          <w:snapToGrid w:val="0"/>
          <w:color w:val="auto"/>
          <w:kern w:val="0"/>
          <w:sz w:val="24"/>
          <w:highlight w:val="none"/>
        </w:rPr>
      </w:pPr>
    </w:p>
    <w:p>
      <w:pPr>
        <w:spacing w:line="360" w:lineRule="auto"/>
        <w:jc w:val="center"/>
        <w:outlineLvl w:val="0"/>
        <w:rPr>
          <w:rFonts w:hint="eastAsia" w:ascii="仿宋" w:hAnsi="仿宋" w:eastAsia="仿宋" w:cs="仿宋"/>
          <w:b/>
          <w:color w:val="auto"/>
          <w:sz w:val="36"/>
          <w:szCs w:val="36"/>
          <w:highlight w:val="none"/>
        </w:rPr>
      </w:pPr>
    </w:p>
    <w:p>
      <w:pPr>
        <w:spacing w:line="360" w:lineRule="auto"/>
        <w:jc w:val="center"/>
        <w:outlineLvl w:val="0"/>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 xml:space="preserve">第四部分   </w:t>
      </w:r>
      <w:bookmarkStart w:id="29" w:name="_Toc184314421"/>
      <w:bookmarkEnd w:id="29"/>
      <w:bookmarkStart w:id="30" w:name="_Toc184314462"/>
      <w:bookmarkEnd w:id="30"/>
      <w:bookmarkStart w:id="31" w:name="_Toc184314418"/>
      <w:bookmarkEnd w:id="31"/>
      <w:bookmarkStart w:id="32" w:name="_Toc184308039"/>
      <w:bookmarkEnd w:id="32"/>
      <w:bookmarkStart w:id="33" w:name="_Toc184308095"/>
      <w:bookmarkEnd w:id="33"/>
      <w:bookmarkStart w:id="34" w:name="_Toc184312104"/>
      <w:bookmarkEnd w:id="34"/>
      <w:bookmarkStart w:id="35" w:name="_Toc184308083"/>
      <w:bookmarkEnd w:id="35"/>
      <w:bookmarkStart w:id="36" w:name="_Toc184313261"/>
      <w:bookmarkEnd w:id="36"/>
      <w:bookmarkStart w:id="37" w:name="_Toc184308096"/>
      <w:bookmarkEnd w:id="37"/>
      <w:bookmarkStart w:id="38" w:name="_Toc184308069"/>
      <w:bookmarkEnd w:id="38"/>
      <w:bookmarkStart w:id="39" w:name="_Toc184312084"/>
      <w:bookmarkEnd w:id="39"/>
      <w:bookmarkStart w:id="40" w:name="_Toc184314443"/>
      <w:bookmarkEnd w:id="40"/>
      <w:bookmarkStart w:id="41" w:name="_Toc184313264"/>
      <w:bookmarkEnd w:id="41"/>
      <w:bookmarkStart w:id="42" w:name="_Toc184310277"/>
      <w:bookmarkEnd w:id="42"/>
      <w:bookmarkStart w:id="43" w:name="_Toc184308056"/>
      <w:bookmarkEnd w:id="43"/>
      <w:bookmarkStart w:id="44" w:name="_Toc184313290"/>
      <w:bookmarkEnd w:id="44"/>
      <w:bookmarkStart w:id="45" w:name="_Toc184313239"/>
      <w:bookmarkEnd w:id="45"/>
      <w:bookmarkStart w:id="46" w:name="_Toc184314466"/>
      <w:bookmarkEnd w:id="46"/>
      <w:bookmarkStart w:id="47" w:name="_Toc184310319"/>
      <w:bookmarkEnd w:id="47"/>
      <w:bookmarkStart w:id="48" w:name="_Toc184310328"/>
      <w:bookmarkEnd w:id="48"/>
      <w:bookmarkStart w:id="49" w:name="_Toc184310320"/>
      <w:bookmarkEnd w:id="49"/>
      <w:bookmarkStart w:id="50" w:name="_Toc184314481"/>
      <w:bookmarkEnd w:id="50"/>
      <w:bookmarkStart w:id="51" w:name="_Toc184313307"/>
      <w:bookmarkEnd w:id="51"/>
      <w:bookmarkStart w:id="52" w:name="_Toc184312112"/>
      <w:bookmarkEnd w:id="52"/>
      <w:bookmarkStart w:id="53" w:name="_Toc184314464"/>
      <w:bookmarkEnd w:id="53"/>
      <w:bookmarkStart w:id="54" w:name="_Toc184310326"/>
      <w:bookmarkEnd w:id="54"/>
      <w:bookmarkStart w:id="55" w:name="_Toc184312094"/>
      <w:bookmarkEnd w:id="55"/>
      <w:bookmarkStart w:id="56" w:name="_Toc184313306"/>
      <w:bookmarkEnd w:id="56"/>
      <w:bookmarkStart w:id="57" w:name="_Toc184313251"/>
      <w:bookmarkEnd w:id="57"/>
      <w:bookmarkStart w:id="58" w:name="_Toc184308038"/>
      <w:bookmarkEnd w:id="58"/>
      <w:bookmarkStart w:id="59" w:name="_Toc184313308"/>
      <w:bookmarkEnd w:id="59"/>
      <w:bookmarkStart w:id="60" w:name="_Toc184308051"/>
      <w:bookmarkEnd w:id="60"/>
      <w:bookmarkStart w:id="61" w:name="_Toc184314458"/>
      <w:bookmarkEnd w:id="61"/>
      <w:bookmarkStart w:id="62" w:name="_Toc184313272"/>
      <w:bookmarkEnd w:id="62"/>
      <w:bookmarkStart w:id="63" w:name="_Toc184308091"/>
      <w:bookmarkEnd w:id="63"/>
      <w:bookmarkStart w:id="64" w:name="_Toc184308048"/>
      <w:bookmarkEnd w:id="64"/>
      <w:bookmarkStart w:id="65" w:name="_Toc184314482"/>
      <w:bookmarkEnd w:id="65"/>
      <w:bookmarkStart w:id="66" w:name="_Toc184308062"/>
      <w:bookmarkEnd w:id="66"/>
      <w:bookmarkStart w:id="67" w:name="_Toc184314436"/>
      <w:bookmarkEnd w:id="67"/>
      <w:bookmarkStart w:id="68" w:name="_Toc184313259"/>
      <w:bookmarkEnd w:id="68"/>
      <w:bookmarkStart w:id="69" w:name="_Toc184313270"/>
      <w:bookmarkEnd w:id="69"/>
      <w:bookmarkStart w:id="70" w:name="_Toc184310316"/>
      <w:bookmarkEnd w:id="70"/>
      <w:bookmarkStart w:id="71" w:name="_Toc184312123"/>
      <w:bookmarkEnd w:id="71"/>
      <w:bookmarkStart w:id="72" w:name="_Toc184314441"/>
      <w:bookmarkEnd w:id="72"/>
      <w:bookmarkStart w:id="73" w:name="_Toc184310284"/>
      <w:bookmarkEnd w:id="73"/>
      <w:bookmarkStart w:id="74" w:name="_Toc184310311"/>
      <w:bookmarkEnd w:id="74"/>
      <w:bookmarkStart w:id="75" w:name="_Toc184310338"/>
      <w:bookmarkEnd w:id="75"/>
      <w:bookmarkStart w:id="76" w:name="_Toc184314480"/>
      <w:bookmarkEnd w:id="76"/>
      <w:bookmarkStart w:id="77" w:name="_Toc184310297"/>
      <w:bookmarkEnd w:id="77"/>
      <w:bookmarkStart w:id="78" w:name="_Toc184310288"/>
      <w:bookmarkEnd w:id="78"/>
      <w:bookmarkStart w:id="79" w:name="_Toc184310335"/>
      <w:bookmarkEnd w:id="79"/>
      <w:bookmarkStart w:id="80" w:name="_Toc184314461"/>
      <w:bookmarkEnd w:id="80"/>
      <w:bookmarkStart w:id="81" w:name="_Toc184312120"/>
      <w:bookmarkEnd w:id="81"/>
      <w:bookmarkStart w:id="82" w:name="_Toc184310276"/>
      <w:bookmarkEnd w:id="82"/>
      <w:bookmarkStart w:id="83" w:name="_Toc184308080"/>
      <w:bookmarkEnd w:id="83"/>
      <w:bookmarkStart w:id="84" w:name="_Toc184313262"/>
      <w:bookmarkEnd w:id="84"/>
      <w:bookmarkStart w:id="85" w:name="_Toc184312089"/>
      <w:bookmarkEnd w:id="85"/>
      <w:bookmarkStart w:id="86" w:name="_Toc184314445"/>
      <w:bookmarkEnd w:id="86"/>
      <w:bookmarkStart w:id="87" w:name="_Toc184310290"/>
      <w:bookmarkEnd w:id="87"/>
      <w:bookmarkStart w:id="88" w:name="_Toc184308067"/>
      <w:bookmarkEnd w:id="88"/>
      <w:bookmarkStart w:id="89" w:name="_Toc184314449"/>
      <w:bookmarkEnd w:id="89"/>
      <w:bookmarkStart w:id="90" w:name="_Toc184313247"/>
      <w:bookmarkEnd w:id="90"/>
      <w:bookmarkStart w:id="91" w:name="_Toc184310317"/>
      <w:bookmarkEnd w:id="91"/>
      <w:bookmarkStart w:id="92" w:name="_Toc184314438"/>
      <w:bookmarkEnd w:id="92"/>
      <w:bookmarkStart w:id="93" w:name="_Toc184310339"/>
      <w:bookmarkEnd w:id="93"/>
      <w:bookmarkStart w:id="94" w:name="_Toc184310301"/>
      <w:bookmarkEnd w:id="94"/>
      <w:bookmarkStart w:id="95" w:name="_Toc184308106"/>
      <w:bookmarkEnd w:id="95"/>
      <w:bookmarkStart w:id="96" w:name="_Toc184312077"/>
      <w:bookmarkEnd w:id="96"/>
      <w:bookmarkStart w:id="97" w:name="_Toc184313241"/>
      <w:bookmarkEnd w:id="97"/>
      <w:bookmarkStart w:id="98" w:name="_Toc184308063"/>
      <w:bookmarkEnd w:id="98"/>
      <w:bookmarkStart w:id="99" w:name="_Toc184310314"/>
      <w:bookmarkEnd w:id="99"/>
      <w:bookmarkStart w:id="100" w:name="_Toc184308058"/>
      <w:bookmarkEnd w:id="100"/>
      <w:bookmarkStart w:id="101" w:name="_Toc184308043"/>
      <w:bookmarkEnd w:id="101"/>
      <w:bookmarkStart w:id="102" w:name="_Toc184308077"/>
      <w:bookmarkEnd w:id="102"/>
      <w:bookmarkStart w:id="103" w:name="_Toc184313287"/>
      <w:bookmarkEnd w:id="103"/>
      <w:bookmarkStart w:id="104" w:name="_Toc184312075"/>
      <w:bookmarkEnd w:id="104"/>
      <w:bookmarkStart w:id="105" w:name="_Toc184312139"/>
      <w:bookmarkEnd w:id="105"/>
      <w:bookmarkStart w:id="106" w:name="_Toc184312125"/>
      <w:bookmarkEnd w:id="106"/>
      <w:bookmarkStart w:id="107" w:name="_Toc184310332"/>
      <w:bookmarkEnd w:id="107"/>
      <w:bookmarkStart w:id="108" w:name="_Toc184310285"/>
      <w:bookmarkEnd w:id="108"/>
      <w:bookmarkStart w:id="109" w:name="_Toc184308066"/>
      <w:bookmarkEnd w:id="109"/>
      <w:bookmarkStart w:id="110" w:name="_Toc184312118"/>
      <w:bookmarkEnd w:id="110"/>
      <w:bookmarkStart w:id="111" w:name="_Toc184313265"/>
      <w:bookmarkEnd w:id="111"/>
      <w:bookmarkStart w:id="112" w:name="_Toc184313294"/>
      <w:bookmarkEnd w:id="112"/>
      <w:bookmarkStart w:id="113" w:name="_Toc184308079"/>
      <w:bookmarkEnd w:id="113"/>
      <w:bookmarkStart w:id="114" w:name="_Toc184310344"/>
      <w:bookmarkEnd w:id="114"/>
      <w:bookmarkStart w:id="115" w:name="_Toc184312073"/>
      <w:bookmarkEnd w:id="115"/>
      <w:bookmarkStart w:id="116" w:name="_Toc184312076"/>
      <w:bookmarkEnd w:id="116"/>
      <w:bookmarkStart w:id="117" w:name="_Toc184310331"/>
      <w:bookmarkEnd w:id="117"/>
      <w:bookmarkStart w:id="118" w:name="_Toc184313296"/>
      <w:bookmarkEnd w:id="118"/>
      <w:bookmarkStart w:id="119" w:name="_Toc184308074"/>
      <w:bookmarkEnd w:id="119"/>
      <w:bookmarkStart w:id="120" w:name="_Toc184312121"/>
      <w:bookmarkEnd w:id="120"/>
      <w:bookmarkStart w:id="121" w:name="_Toc184314435"/>
      <w:bookmarkEnd w:id="121"/>
      <w:bookmarkStart w:id="122" w:name="_Toc184308104"/>
      <w:bookmarkEnd w:id="122"/>
      <w:bookmarkStart w:id="123" w:name="_Toc184312071"/>
      <w:bookmarkEnd w:id="123"/>
      <w:bookmarkStart w:id="124" w:name="_Toc184312136"/>
      <w:bookmarkEnd w:id="124"/>
      <w:bookmarkStart w:id="125" w:name="_Toc184308037"/>
      <w:bookmarkEnd w:id="125"/>
      <w:bookmarkStart w:id="126" w:name="_Toc184314454"/>
      <w:bookmarkEnd w:id="126"/>
      <w:bookmarkStart w:id="127" w:name="_Toc184312133"/>
      <w:bookmarkEnd w:id="127"/>
      <w:bookmarkStart w:id="128" w:name="_Toc184313256"/>
      <w:bookmarkEnd w:id="128"/>
      <w:bookmarkStart w:id="129" w:name="_Toc184314465"/>
      <w:bookmarkEnd w:id="129"/>
      <w:bookmarkStart w:id="130" w:name="_Toc184313273"/>
      <w:bookmarkEnd w:id="130"/>
      <w:bookmarkStart w:id="131" w:name="_Toc184310307"/>
      <w:bookmarkEnd w:id="131"/>
      <w:bookmarkStart w:id="132" w:name="_Toc184314415"/>
      <w:bookmarkEnd w:id="132"/>
      <w:bookmarkStart w:id="133" w:name="_Toc184312086"/>
      <w:bookmarkEnd w:id="133"/>
      <w:bookmarkStart w:id="134" w:name="_Toc184312067"/>
      <w:bookmarkEnd w:id="134"/>
      <w:bookmarkStart w:id="135" w:name="_Toc184314437"/>
      <w:bookmarkEnd w:id="135"/>
      <w:bookmarkStart w:id="136" w:name="_Toc184313274"/>
      <w:bookmarkEnd w:id="136"/>
      <w:bookmarkStart w:id="137" w:name="_Toc184313300"/>
      <w:bookmarkEnd w:id="137"/>
      <w:bookmarkStart w:id="138" w:name="_Toc184312128"/>
      <w:bookmarkEnd w:id="138"/>
      <w:bookmarkStart w:id="139" w:name="_Toc184310325"/>
      <w:bookmarkEnd w:id="139"/>
      <w:bookmarkStart w:id="140" w:name="_Toc184310299"/>
      <w:bookmarkEnd w:id="140"/>
      <w:bookmarkStart w:id="141" w:name="_Toc184314425"/>
      <w:bookmarkEnd w:id="141"/>
      <w:bookmarkStart w:id="142" w:name="_Toc184314468"/>
      <w:bookmarkEnd w:id="142"/>
      <w:bookmarkStart w:id="143" w:name="_Toc184314411"/>
      <w:bookmarkEnd w:id="143"/>
      <w:bookmarkStart w:id="144" w:name="_Toc184312130"/>
      <w:bookmarkEnd w:id="144"/>
      <w:bookmarkStart w:id="145" w:name="_Toc184313277"/>
      <w:bookmarkEnd w:id="145"/>
      <w:bookmarkStart w:id="146" w:name="_Toc184312096"/>
      <w:bookmarkEnd w:id="146"/>
      <w:bookmarkStart w:id="147" w:name="_Toc184314417"/>
      <w:bookmarkEnd w:id="147"/>
      <w:bookmarkStart w:id="148" w:name="_Toc184314423"/>
      <w:bookmarkEnd w:id="148"/>
      <w:bookmarkStart w:id="149" w:name="_Toc184313243"/>
      <w:bookmarkEnd w:id="149"/>
      <w:bookmarkStart w:id="150" w:name="_Toc184310340"/>
      <w:bookmarkEnd w:id="150"/>
      <w:bookmarkStart w:id="151" w:name="_Toc184312117"/>
      <w:bookmarkEnd w:id="151"/>
      <w:bookmarkStart w:id="152" w:name="_Toc184310279"/>
      <w:bookmarkEnd w:id="152"/>
      <w:bookmarkStart w:id="153" w:name="_Toc184312108"/>
      <w:bookmarkEnd w:id="153"/>
      <w:bookmarkStart w:id="154" w:name="_Toc184310287"/>
      <w:bookmarkEnd w:id="154"/>
      <w:bookmarkStart w:id="155" w:name="_Toc184314412"/>
      <w:bookmarkEnd w:id="155"/>
      <w:bookmarkStart w:id="156" w:name="_Toc184314439"/>
      <w:bookmarkEnd w:id="156"/>
      <w:bookmarkStart w:id="157" w:name="_Toc184313280"/>
      <w:bookmarkEnd w:id="157"/>
      <w:bookmarkStart w:id="158" w:name="_Toc184308092"/>
      <w:bookmarkEnd w:id="158"/>
      <w:bookmarkStart w:id="159" w:name="_Toc184312095"/>
      <w:bookmarkEnd w:id="159"/>
      <w:bookmarkStart w:id="160" w:name="_Toc184312088"/>
      <w:bookmarkEnd w:id="160"/>
      <w:bookmarkStart w:id="161" w:name="_Toc184314459"/>
      <w:bookmarkEnd w:id="161"/>
      <w:bookmarkStart w:id="162" w:name="_Toc184308108"/>
      <w:bookmarkEnd w:id="162"/>
      <w:bookmarkStart w:id="163" w:name="_Toc184314476"/>
      <w:bookmarkEnd w:id="163"/>
      <w:bookmarkStart w:id="164" w:name="_Toc184310305"/>
      <w:bookmarkEnd w:id="164"/>
      <w:bookmarkStart w:id="165" w:name="_Toc184312106"/>
      <w:bookmarkEnd w:id="165"/>
      <w:bookmarkStart w:id="166" w:name="_Toc184310327"/>
      <w:bookmarkEnd w:id="166"/>
      <w:bookmarkStart w:id="167" w:name="_Toc184313245"/>
      <w:bookmarkEnd w:id="167"/>
      <w:bookmarkStart w:id="168" w:name="_Toc184308075"/>
      <w:bookmarkEnd w:id="168"/>
      <w:bookmarkStart w:id="169" w:name="_Toc184310291"/>
      <w:bookmarkEnd w:id="169"/>
      <w:bookmarkStart w:id="170" w:name="_Toc184308072"/>
      <w:bookmarkEnd w:id="170"/>
      <w:bookmarkStart w:id="171" w:name="_Toc184310321"/>
      <w:bookmarkEnd w:id="171"/>
      <w:bookmarkStart w:id="172" w:name="_Toc184308101"/>
      <w:bookmarkEnd w:id="172"/>
      <w:bookmarkStart w:id="173" w:name="_Toc184310330"/>
      <w:bookmarkEnd w:id="173"/>
      <w:bookmarkStart w:id="174" w:name="_Toc184308103"/>
      <w:bookmarkEnd w:id="174"/>
      <w:bookmarkStart w:id="175" w:name="_Toc184308068"/>
      <w:bookmarkEnd w:id="175"/>
      <w:bookmarkStart w:id="176" w:name="_Toc184312074"/>
      <w:bookmarkEnd w:id="176"/>
      <w:bookmarkStart w:id="177" w:name="_Toc184314427"/>
      <w:bookmarkEnd w:id="177"/>
      <w:bookmarkStart w:id="178" w:name="_Toc184312091"/>
      <w:bookmarkEnd w:id="178"/>
      <w:bookmarkStart w:id="179" w:name="_Toc184310336"/>
      <w:bookmarkEnd w:id="179"/>
      <w:bookmarkStart w:id="180" w:name="_Toc184308060"/>
      <w:bookmarkEnd w:id="180"/>
      <w:bookmarkStart w:id="181" w:name="_Toc184310272"/>
      <w:bookmarkEnd w:id="181"/>
      <w:bookmarkStart w:id="182" w:name="_Toc184310334"/>
      <w:bookmarkEnd w:id="182"/>
      <w:bookmarkStart w:id="183" w:name="_Toc184312082"/>
      <w:bookmarkEnd w:id="183"/>
      <w:bookmarkStart w:id="184" w:name="_Toc184308040"/>
      <w:bookmarkEnd w:id="184"/>
      <w:bookmarkStart w:id="185" w:name="_Toc184310283"/>
      <w:bookmarkEnd w:id="185"/>
      <w:bookmarkStart w:id="186" w:name="_Toc184313304"/>
      <w:bookmarkEnd w:id="186"/>
      <w:bookmarkStart w:id="187" w:name="_Toc184314420"/>
      <w:bookmarkEnd w:id="187"/>
      <w:bookmarkStart w:id="188" w:name="_Toc184312072"/>
      <w:bookmarkEnd w:id="188"/>
      <w:bookmarkStart w:id="189" w:name="_Toc184310296"/>
      <w:bookmarkEnd w:id="189"/>
      <w:bookmarkStart w:id="190" w:name="_Toc184313249"/>
      <w:bookmarkEnd w:id="190"/>
      <w:bookmarkStart w:id="191" w:name="_Toc184308045"/>
      <w:bookmarkEnd w:id="191"/>
      <w:bookmarkStart w:id="192" w:name="_Toc184314430"/>
      <w:bookmarkEnd w:id="192"/>
      <w:bookmarkStart w:id="193" w:name="_Toc184310329"/>
      <w:bookmarkEnd w:id="193"/>
      <w:bookmarkStart w:id="194" w:name="_Toc184308086"/>
      <w:bookmarkEnd w:id="194"/>
      <w:bookmarkStart w:id="195" w:name="_Toc184310278"/>
      <w:bookmarkEnd w:id="195"/>
      <w:bookmarkStart w:id="196" w:name="_Toc184310309"/>
      <w:bookmarkEnd w:id="196"/>
      <w:bookmarkStart w:id="197" w:name="_Toc184310294"/>
      <w:bookmarkEnd w:id="197"/>
      <w:bookmarkStart w:id="198" w:name="_Toc184314472"/>
      <w:bookmarkEnd w:id="198"/>
      <w:bookmarkStart w:id="199" w:name="_Toc184308046"/>
      <w:bookmarkEnd w:id="199"/>
      <w:bookmarkStart w:id="200" w:name="_Toc184314419"/>
      <w:bookmarkEnd w:id="200"/>
      <w:bookmarkStart w:id="201" w:name="_Toc184314460"/>
      <w:bookmarkEnd w:id="201"/>
      <w:bookmarkStart w:id="202" w:name="_Toc184308087"/>
      <w:bookmarkEnd w:id="202"/>
      <w:bookmarkStart w:id="203" w:name="_Toc184312079"/>
      <w:bookmarkEnd w:id="203"/>
      <w:bookmarkStart w:id="204" w:name="_Toc184312081"/>
      <w:bookmarkEnd w:id="204"/>
      <w:bookmarkStart w:id="205" w:name="_Toc184310275"/>
      <w:bookmarkEnd w:id="205"/>
      <w:bookmarkStart w:id="206" w:name="_Toc184313286"/>
      <w:bookmarkEnd w:id="206"/>
      <w:bookmarkStart w:id="207" w:name="_Toc184312093"/>
      <w:bookmarkEnd w:id="207"/>
      <w:bookmarkStart w:id="208" w:name="_Toc184310280"/>
      <w:bookmarkEnd w:id="208"/>
      <w:bookmarkStart w:id="209" w:name="_Toc184313301"/>
      <w:bookmarkEnd w:id="209"/>
      <w:bookmarkStart w:id="210" w:name="_Toc184312131"/>
      <w:bookmarkEnd w:id="210"/>
      <w:bookmarkStart w:id="211" w:name="_Toc184312103"/>
      <w:bookmarkEnd w:id="211"/>
      <w:bookmarkStart w:id="212" w:name="_Toc184312069"/>
      <w:bookmarkEnd w:id="212"/>
      <w:bookmarkStart w:id="213" w:name="_Toc184308100"/>
      <w:bookmarkEnd w:id="213"/>
      <w:bookmarkStart w:id="214" w:name="_Toc184313266"/>
      <w:bookmarkEnd w:id="214"/>
      <w:bookmarkStart w:id="215" w:name="_Toc184314448"/>
      <w:bookmarkEnd w:id="215"/>
      <w:bookmarkStart w:id="216" w:name="_Toc184310304"/>
      <w:bookmarkEnd w:id="216"/>
      <w:bookmarkStart w:id="217" w:name="_Toc184312102"/>
      <w:bookmarkEnd w:id="217"/>
      <w:bookmarkStart w:id="218" w:name="_Toc184308071"/>
      <w:bookmarkEnd w:id="218"/>
      <w:bookmarkStart w:id="219" w:name="_Toc184313250"/>
      <w:bookmarkEnd w:id="219"/>
      <w:bookmarkStart w:id="220" w:name="_Toc184308081"/>
      <w:bookmarkEnd w:id="220"/>
      <w:bookmarkStart w:id="221" w:name="_Toc184310322"/>
      <w:bookmarkEnd w:id="221"/>
      <w:bookmarkStart w:id="222" w:name="_Toc184313293"/>
      <w:bookmarkEnd w:id="222"/>
      <w:bookmarkStart w:id="223" w:name="_Toc184308105"/>
      <w:bookmarkEnd w:id="223"/>
      <w:bookmarkStart w:id="224" w:name="_Toc184314433"/>
      <w:bookmarkEnd w:id="224"/>
      <w:bookmarkStart w:id="225" w:name="_Toc184308054"/>
      <w:bookmarkEnd w:id="225"/>
      <w:bookmarkStart w:id="226" w:name="_Toc184313303"/>
      <w:bookmarkEnd w:id="226"/>
      <w:bookmarkStart w:id="227" w:name="_Toc184312132"/>
      <w:bookmarkEnd w:id="227"/>
      <w:bookmarkStart w:id="228" w:name="_Toc184312122"/>
      <w:bookmarkEnd w:id="228"/>
      <w:bookmarkStart w:id="229" w:name="_Toc184310273"/>
      <w:bookmarkEnd w:id="229"/>
      <w:bookmarkStart w:id="230" w:name="_Toc184313305"/>
      <w:bookmarkEnd w:id="230"/>
      <w:bookmarkStart w:id="231" w:name="_Toc184313267"/>
      <w:bookmarkEnd w:id="231"/>
      <w:bookmarkStart w:id="232" w:name="_Toc184308065"/>
      <w:bookmarkEnd w:id="232"/>
      <w:bookmarkStart w:id="233" w:name="_Toc184310289"/>
      <w:bookmarkEnd w:id="233"/>
      <w:bookmarkStart w:id="234" w:name="_Toc184313275"/>
      <w:bookmarkEnd w:id="234"/>
      <w:bookmarkStart w:id="235" w:name="_Toc184314478"/>
      <w:bookmarkEnd w:id="235"/>
      <w:bookmarkStart w:id="236" w:name="_Toc184313246"/>
      <w:bookmarkEnd w:id="236"/>
      <w:bookmarkStart w:id="237" w:name="_Toc184313278"/>
      <w:bookmarkEnd w:id="237"/>
      <w:bookmarkStart w:id="238" w:name="_Toc184314452"/>
      <w:bookmarkEnd w:id="238"/>
      <w:bookmarkStart w:id="239" w:name="_Toc184314424"/>
      <w:bookmarkEnd w:id="239"/>
      <w:bookmarkStart w:id="240" w:name="_Toc184312078"/>
      <w:bookmarkEnd w:id="240"/>
      <w:bookmarkStart w:id="241" w:name="_Toc184314467"/>
      <w:bookmarkEnd w:id="241"/>
      <w:bookmarkStart w:id="242" w:name="_Toc184310274"/>
      <w:bookmarkEnd w:id="242"/>
      <w:bookmarkStart w:id="243" w:name="_Toc184314474"/>
      <w:bookmarkEnd w:id="243"/>
      <w:bookmarkStart w:id="244" w:name="_Toc184308047"/>
      <w:bookmarkEnd w:id="244"/>
      <w:bookmarkStart w:id="245" w:name="_Toc184314414"/>
      <w:bookmarkEnd w:id="245"/>
      <w:bookmarkStart w:id="246" w:name="_Toc184313238"/>
      <w:bookmarkEnd w:id="246"/>
      <w:bookmarkStart w:id="247" w:name="_Toc184313298"/>
      <w:bookmarkEnd w:id="247"/>
      <w:bookmarkStart w:id="248" w:name="_Toc184313253"/>
      <w:bookmarkEnd w:id="248"/>
      <w:bookmarkStart w:id="249" w:name="_Toc184314453"/>
      <w:bookmarkEnd w:id="249"/>
      <w:bookmarkStart w:id="250" w:name="_Toc184312138"/>
      <w:bookmarkEnd w:id="250"/>
      <w:bookmarkStart w:id="251" w:name="_Toc184313292"/>
      <w:bookmarkEnd w:id="251"/>
      <w:bookmarkStart w:id="252" w:name="_Toc184312085"/>
      <w:bookmarkEnd w:id="252"/>
      <w:bookmarkStart w:id="253" w:name="_Toc184308090"/>
      <w:bookmarkEnd w:id="253"/>
      <w:bookmarkStart w:id="254" w:name="_Toc184308064"/>
      <w:bookmarkEnd w:id="254"/>
      <w:bookmarkStart w:id="255" w:name="_Toc184310308"/>
      <w:bookmarkEnd w:id="255"/>
      <w:bookmarkStart w:id="256" w:name="_Toc184312137"/>
      <w:bookmarkEnd w:id="256"/>
      <w:bookmarkStart w:id="257" w:name="_Toc184308107"/>
      <w:bookmarkEnd w:id="257"/>
      <w:bookmarkStart w:id="258" w:name="_Toc184310312"/>
      <w:bookmarkEnd w:id="258"/>
      <w:bookmarkStart w:id="259" w:name="_Toc184314422"/>
      <w:bookmarkEnd w:id="259"/>
      <w:bookmarkStart w:id="260" w:name="_Toc184308078"/>
      <w:bookmarkEnd w:id="260"/>
      <w:bookmarkStart w:id="261" w:name="_Toc184313291"/>
      <w:bookmarkEnd w:id="261"/>
      <w:bookmarkStart w:id="262" w:name="_Toc184310303"/>
      <w:bookmarkEnd w:id="262"/>
      <w:bookmarkStart w:id="263" w:name="_Toc184313263"/>
      <w:bookmarkEnd w:id="263"/>
      <w:bookmarkStart w:id="264" w:name="_Toc184312070"/>
      <w:bookmarkEnd w:id="264"/>
      <w:bookmarkStart w:id="265" w:name="_Toc184308070"/>
      <w:bookmarkEnd w:id="265"/>
      <w:bookmarkStart w:id="266" w:name="_Toc184310282"/>
      <w:bookmarkEnd w:id="266"/>
      <w:bookmarkStart w:id="267" w:name="_Toc184312101"/>
      <w:bookmarkEnd w:id="267"/>
      <w:bookmarkStart w:id="268" w:name="_Toc184308044"/>
      <w:bookmarkEnd w:id="268"/>
      <w:bookmarkStart w:id="269" w:name="_Toc184312099"/>
      <w:bookmarkEnd w:id="269"/>
      <w:bookmarkStart w:id="270" w:name="_Toc184310318"/>
      <w:bookmarkEnd w:id="270"/>
      <w:bookmarkStart w:id="271" w:name="_Toc184313257"/>
      <w:bookmarkEnd w:id="271"/>
      <w:bookmarkStart w:id="272" w:name="_Toc184314469"/>
      <w:bookmarkEnd w:id="272"/>
      <w:bookmarkStart w:id="273" w:name="_Toc184314432"/>
      <w:bookmarkEnd w:id="273"/>
      <w:bookmarkStart w:id="274" w:name="_Toc184308093"/>
      <w:bookmarkEnd w:id="274"/>
      <w:bookmarkStart w:id="275" w:name="_Toc184313244"/>
      <w:bookmarkEnd w:id="275"/>
      <w:bookmarkStart w:id="276" w:name="_Toc184310343"/>
      <w:bookmarkEnd w:id="276"/>
      <w:bookmarkStart w:id="277" w:name="_Toc184310310"/>
      <w:bookmarkEnd w:id="277"/>
      <w:bookmarkStart w:id="278" w:name="_Toc184313299"/>
      <w:bookmarkEnd w:id="278"/>
      <w:bookmarkStart w:id="279" w:name="_Toc184313271"/>
      <w:bookmarkEnd w:id="279"/>
      <w:bookmarkStart w:id="280" w:name="_Toc184312107"/>
      <w:bookmarkEnd w:id="280"/>
      <w:bookmarkStart w:id="281" w:name="_Toc184313254"/>
      <w:bookmarkEnd w:id="281"/>
      <w:bookmarkStart w:id="282" w:name="_Toc184310342"/>
      <w:bookmarkEnd w:id="282"/>
      <w:bookmarkStart w:id="283" w:name="_Toc184312114"/>
      <w:bookmarkEnd w:id="283"/>
      <w:bookmarkStart w:id="284" w:name="_Toc184314456"/>
      <w:bookmarkEnd w:id="284"/>
      <w:bookmarkStart w:id="285" w:name="_Toc184310302"/>
      <w:bookmarkEnd w:id="285"/>
      <w:bookmarkStart w:id="286" w:name="_Toc184314479"/>
      <w:bookmarkEnd w:id="286"/>
      <w:bookmarkStart w:id="287" w:name="_Toc184312127"/>
      <w:bookmarkEnd w:id="287"/>
      <w:bookmarkStart w:id="288" w:name="_Toc184310295"/>
      <w:bookmarkEnd w:id="288"/>
      <w:bookmarkStart w:id="289" w:name="_Toc184308099"/>
      <w:bookmarkEnd w:id="289"/>
      <w:bookmarkStart w:id="290" w:name="_Toc184313255"/>
      <w:bookmarkEnd w:id="290"/>
      <w:bookmarkStart w:id="291" w:name="_Toc184308049"/>
      <w:bookmarkEnd w:id="291"/>
      <w:bookmarkStart w:id="292" w:name="_Toc184312109"/>
      <w:bookmarkEnd w:id="292"/>
      <w:bookmarkStart w:id="293" w:name="_Toc184312126"/>
      <w:bookmarkEnd w:id="293"/>
      <w:bookmarkStart w:id="294" w:name="_Toc184308053"/>
      <w:bookmarkEnd w:id="294"/>
      <w:bookmarkStart w:id="295" w:name="_Toc184314444"/>
      <w:bookmarkEnd w:id="295"/>
      <w:bookmarkStart w:id="296" w:name="_Toc184308055"/>
      <w:bookmarkEnd w:id="296"/>
      <w:bookmarkStart w:id="297" w:name="_Toc184312083"/>
      <w:bookmarkEnd w:id="297"/>
      <w:bookmarkStart w:id="298" w:name="_Toc184312116"/>
      <w:bookmarkEnd w:id="298"/>
      <w:bookmarkStart w:id="299" w:name="_Toc184308082"/>
      <w:bookmarkEnd w:id="299"/>
      <w:bookmarkStart w:id="300" w:name="_Toc184312092"/>
      <w:bookmarkEnd w:id="300"/>
      <w:bookmarkStart w:id="301" w:name="_Toc184313279"/>
      <w:bookmarkEnd w:id="301"/>
      <w:bookmarkStart w:id="302" w:name="_Toc184313282"/>
      <w:bookmarkEnd w:id="302"/>
      <w:bookmarkStart w:id="303" w:name="_Toc184313268"/>
      <w:bookmarkEnd w:id="303"/>
      <w:bookmarkStart w:id="304" w:name="_Toc184308050"/>
      <w:bookmarkEnd w:id="304"/>
      <w:bookmarkStart w:id="305" w:name="_Toc184313248"/>
      <w:bookmarkEnd w:id="305"/>
      <w:bookmarkStart w:id="306" w:name="_Toc184310298"/>
      <w:bookmarkEnd w:id="306"/>
      <w:bookmarkStart w:id="307" w:name="_Toc184308057"/>
      <w:bookmarkEnd w:id="307"/>
      <w:bookmarkStart w:id="308" w:name="_Toc184313310"/>
      <w:bookmarkEnd w:id="308"/>
      <w:bookmarkStart w:id="309" w:name="_Toc184310324"/>
      <w:bookmarkEnd w:id="309"/>
      <w:bookmarkStart w:id="310" w:name="_Toc184314455"/>
      <w:bookmarkEnd w:id="310"/>
      <w:bookmarkStart w:id="311" w:name="_Toc184310341"/>
      <w:bookmarkEnd w:id="311"/>
      <w:bookmarkStart w:id="312" w:name="_Toc184312129"/>
      <w:bookmarkEnd w:id="312"/>
      <w:bookmarkStart w:id="313" w:name="_Toc184310286"/>
      <w:bookmarkEnd w:id="313"/>
      <w:bookmarkStart w:id="314" w:name="_Toc184308085"/>
      <w:bookmarkEnd w:id="314"/>
      <w:bookmarkStart w:id="315" w:name="_Toc184312087"/>
      <w:bookmarkEnd w:id="315"/>
      <w:bookmarkStart w:id="316" w:name="_Toc184312080"/>
      <w:bookmarkEnd w:id="316"/>
      <w:bookmarkStart w:id="317" w:name="_Toc184308102"/>
      <w:bookmarkEnd w:id="317"/>
      <w:bookmarkStart w:id="318" w:name="_Toc184312113"/>
      <w:bookmarkEnd w:id="318"/>
      <w:bookmarkStart w:id="319" w:name="_Toc184310300"/>
      <w:bookmarkEnd w:id="319"/>
      <w:bookmarkStart w:id="320" w:name="_Toc184310306"/>
      <w:bookmarkEnd w:id="320"/>
      <w:bookmarkStart w:id="321" w:name="_Toc184312115"/>
      <w:bookmarkEnd w:id="321"/>
      <w:bookmarkStart w:id="322" w:name="_Toc184310323"/>
      <w:bookmarkEnd w:id="322"/>
      <w:bookmarkStart w:id="323" w:name="_Toc184313284"/>
      <w:bookmarkEnd w:id="323"/>
      <w:bookmarkStart w:id="324" w:name="_Toc184312124"/>
      <w:bookmarkEnd w:id="324"/>
      <w:bookmarkStart w:id="325" w:name="_Toc184314475"/>
      <w:bookmarkEnd w:id="325"/>
      <w:bookmarkStart w:id="326" w:name="_Toc184314451"/>
      <w:bookmarkEnd w:id="326"/>
      <w:bookmarkStart w:id="327" w:name="_Toc184313242"/>
      <w:bookmarkEnd w:id="327"/>
      <w:bookmarkStart w:id="328" w:name="_Toc184310293"/>
      <w:bookmarkEnd w:id="328"/>
      <w:bookmarkStart w:id="329" w:name="_Toc184312110"/>
      <w:bookmarkEnd w:id="329"/>
      <w:bookmarkStart w:id="330" w:name="_Toc184308084"/>
      <w:bookmarkEnd w:id="330"/>
      <w:bookmarkStart w:id="331" w:name="_Toc184313260"/>
      <w:bookmarkEnd w:id="331"/>
      <w:bookmarkStart w:id="332" w:name="_Toc184314450"/>
      <w:bookmarkEnd w:id="332"/>
      <w:bookmarkStart w:id="333" w:name="_Toc184312100"/>
      <w:bookmarkEnd w:id="333"/>
      <w:bookmarkStart w:id="334" w:name="_Toc184314463"/>
      <w:bookmarkEnd w:id="334"/>
      <w:bookmarkStart w:id="335" w:name="_Toc184314426"/>
      <w:bookmarkEnd w:id="335"/>
      <w:bookmarkStart w:id="336" w:name="_Toc184313283"/>
      <w:bookmarkEnd w:id="336"/>
      <w:bookmarkStart w:id="337" w:name="_Toc184310315"/>
      <w:bookmarkEnd w:id="337"/>
      <w:bookmarkStart w:id="338" w:name="_Toc184313240"/>
      <w:bookmarkEnd w:id="338"/>
      <w:bookmarkStart w:id="339" w:name="_Toc184313302"/>
      <w:bookmarkEnd w:id="339"/>
      <w:bookmarkStart w:id="340" w:name="_Toc184308098"/>
      <w:bookmarkEnd w:id="340"/>
      <w:bookmarkStart w:id="341" w:name="_Toc184314473"/>
      <w:bookmarkEnd w:id="341"/>
      <w:bookmarkStart w:id="342" w:name="_Toc184314413"/>
      <w:bookmarkEnd w:id="342"/>
      <w:bookmarkStart w:id="343" w:name="_Toc184312135"/>
      <w:bookmarkEnd w:id="343"/>
      <w:bookmarkStart w:id="344" w:name="_Toc184312105"/>
      <w:bookmarkEnd w:id="344"/>
      <w:bookmarkStart w:id="345" w:name="_Toc184312090"/>
      <w:bookmarkEnd w:id="345"/>
      <w:bookmarkStart w:id="346" w:name="_Toc184310292"/>
      <w:bookmarkEnd w:id="346"/>
      <w:bookmarkStart w:id="347" w:name="_Toc184310281"/>
      <w:bookmarkEnd w:id="347"/>
      <w:bookmarkStart w:id="348" w:name="_Toc184313285"/>
      <w:bookmarkEnd w:id="348"/>
      <w:bookmarkStart w:id="349" w:name="_Toc184312134"/>
      <w:bookmarkEnd w:id="349"/>
      <w:bookmarkStart w:id="350" w:name="_Toc184313281"/>
      <w:bookmarkEnd w:id="350"/>
      <w:bookmarkStart w:id="351" w:name="_Toc184313252"/>
      <w:bookmarkEnd w:id="351"/>
      <w:bookmarkStart w:id="352" w:name="_Toc184313309"/>
      <w:bookmarkEnd w:id="352"/>
      <w:bookmarkStart w:id="353" w:name="_Toc184314440"/>
      <w:bookmarkEnd w:id="353"/>
      <w:bookmarkStart w:id="354" w:name="_Toc184314428"/>
      <w:bookmarkEnd w:id="354"/>
      <w:bookmarkStart w:id="355" w:name="_Toc184308097"/>
      <w:bookmarkEnd w:id="355"/>
      <w:bookmarkStart w:id="356" w:name="_Toc184314471"/>
      <w:bookmarkEnd w:id="356"/>
      <w:bookmarkStart w:id="357" w:name="_Toc184314410"/>
      <w:bookmarkEnd w:id="357"/>
      <w:bookmarkStart w:id="358" w:name="_Toc184308061"/>
      <w:bookmarkEnd w:id="358"/>
      <w:bookmarkStart w:id="359" w:name="_Toc184314434"/>
      <w:bookmarkEnd w:id="359"/>
      <w:bookmarkStart w:id="360" w:name="_Toc184312098"/>
      <w:bookmarkEnd w:id="360"/>
      <w:bookmarkStart w:id="361" w:name="_Toc184308036"/>
      <w:bookmarkEnd w:id="361"/>
      <w:bookmarkStart w:id="362" w:name="_Toc184313288"/>
      <w:bookmarkEnd w:id="362"/>
      <w:bookmarkStart w:id="363" w:name="_Toc184314470"/>
      <w:bookmarkEnd w:id="363"/>
      <w:bookmarkStart w:id="364" w:name="_Toc184314431"/>
      <w:bookmarkEnd w:id="364"/>
      <w:bookmarkStart w:id="365" w:name="_Toc184308089"/>
      <w:bookmarkEnd w:id="365"/>
      <w:bookmarkStart w:id="366" w:name="_Toc184313295"/>
      <w:bookmarkEnd w:id="366"/>
      <w:bookmarkStart w:id="367" w:name="_Toc184314447"/>
      <w:bookmarkEnd w:id="367"/>
      <w:bookmarkStart w:id="368" w:name="_Toc184308042"/>
      <w:bookmarkEnd w:id="368"/>
      <w:bookmarkStart w:id="369" w:name="_Toc184308041"/>
      <w:bookmarkEnd w:id="369"/>
      <w:bookmarkStart w:id="370" w:name="_Toc184313297"/>
      <w:bookmarkEnd w:id="370"/>
      <w:bookmarkStart w:id="371" w:name="_Toc184308094"/>
      <w:bookmarkEnd w:id="371"/>
      <w:bookmarkStart w:id="372" w:name="_Toc184313289"/>
      <w:bookmarkEnd w:id="372"/>
      <w:bookmarkStart w:id="373" w:name="_Toc184313269"/>
      <w:bookmarkEnd w:id="373"/>
      <w:bookmarkStart w:id="374" w:name="_Toc184308059"/>
      <w:bookmarkEnd w:id="374"/>
      <w:bookmarkStart w:id="375" w:name="_Toc184314477"/>
      <w:bookmarkEnd w:id="375"/>
      <w:bookmarkStart w:id="376" w:name="_Toc184312068"/>
      <w:bookmarkEnd w:id="376"/>
      <w:bookmarkStart w:id="377" w:name="_Toc184314429"/>
      <w:bookmarkEnd w:id="377"/>
      <w:bookmarkStart w:id="378" w:name="_Toc184312119"/>
      <w:bookmarkEnd w:id="378"/>
      <w:bookmarkStart w:id="379" w:name="_Toc184310337"/>
      <w:bookmarkEnd w:id="379"/>
      <w:bookmarkStart w:id="380" w:name="_Toc184314442"/>
      <w:bookmarkEnd w:id="380"/>
      <w:bookmarkStart w:id="381" w:name="_Toc184313276"/>
      <w:bookmarkEnd w:id="381"/>
      <w:bookmarkStart w:id="382" w:name="_Toc184313258"/>
      <w:bookmarkEnd w:id="382"/>
      <w:bookmarkStart w:id="383" w:name="_Toc184310313"/>
      <w:bookmarkEnd w:id="383"/>
      <w:bookmarkStart w:id="384" w:name="_Toc184310333"/>
      <w:bookmarkEnd w:id="384"/>
      <w:bookmarkStart w:id="385" w:name="_Toc184314446"/>
      <w:bookmarkEnd w:id="385"/>
      <w:bookmarkStart w:id="386" w:name="_Toc184312111"/>
      <w:bookmarkEnd w:id="386"/>
      <w:bookmarkStart w:id="387" w:name="_Toc184314457"/>
      <w:bookmarkEnd w:id="387"/>
      <w:bookmarkStart w:id="388" w:name="_Toc184308073"/>
      <w:bookmarkEnd w:id="388"/>
      <w:bookmarkStart w:id="389" w:name="_Toc184308076"/>
      <w:bookmarkEnd w:id="389"/>
      <w:bookmarkStart w:id="390" w:name="_Toc184312097"/>
      <w:bookmarkEnd w:id="390"/>
      <w:bookmarkStart w:id="391" w:name="_Toc184308088"/>
      <w:bookmarkEnd w:id="391"/>
      <w:bookmarkStart w:id="392" w:name="_Toc184314416"/>
      <w:bookmarkEnd w:id="392"/>
      <w:bookmarkStart w:id="393" w:name="_Toc184308052"/>
      <w:bookmarkEnd w:id="393"/>
      <w:r>
        <w:rPr>
          <w:rFonts w:hint="eastAsia" w:ascii="仿宋" w:hAnsi="仿宋" w:eastAsia="仿宋" w:cs="仿宋"/>
          <w:b/>
          <w:color w:val="auto"/>
          <w:sz w:val="36"/>
          <w:szCs w:val="36"/>
          <w:highlight w:val="none"/>
        </w:rPr>
        <w:t>评标办法</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标项一</w:t>
      </w:r>
      <w:r>
        <w:rPr>
          <w:rFonts w:hint="eastAsia" w:ascii="仿宋" w:hAnsi="仿宋" w:eastAsia="仿宋" w:cs="仿宋"/>
          <w:b/>
          <w:color w:val="auto"/>
          <w:sz w:val="36"/>
          <w:szCs w:val="36"/>
          <w:highlight w:val="none"/>
          <w:lang w:eastAsia="zh-CN"/>
        </w:rPr>
        <w:t>）</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pPr w:leftFromText="180" w:rightFromText="180" w:vertAnchor="text" w:horzAnchor="page" w:tblpX="1582" w:tblpY="735"/>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400"/>
        <w:gridCol w:w="72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jc w:val="both"/>
              <w:textAlignment w:val="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序号</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ind w:firstLine="1560" w:firstLineChars="650"/>
              <w:jc w:val="center"/>
              <w:textAlignment w:val="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评标标准</w:t>
            </w:r>
          </w:p>
        </w:tc>
        <w:tc>
          <w:tcPr>
            <w:tcW w:w="407"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权重</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Calibri" w:hAnsi="Calibri" w:eastAsia="仿宋" w:cs="Calibri"/>
                <w:color w:val="auto"/>
                <w:sz w:val="24"/>
                <w:highlight w:val="none"/>
                <w:shd w:val="clear" w:color="auto" w:fill="FFFFFF"/>
              </w:rPr>
              <w:t> </w:t>
            </w:r>
            <w:r>
              <w:rPr>
                <w:rFonts w:ascii="仿宋" w:hAnsi="仿宋" w:eastAsia="仿宋" w:cs="Arial"/>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3028" w:type="pct"/>
            <w:vAlign w:val="top"/>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近三年（20</w:t>
            </w:r>
            <w:r>
              <w:rPr>
                <w:rFonts w:hint="eastAsia" w:ascii="仿宋" w:hAnsi="仿宋" w:eastAsia="仿宋" w:cs="仿宋_GB2312"/>
                <w:color w:val="auto"/>
                <w:sz w:val="24"/>
                <w:highlight w:val="none"/>
                <w:lang w:val="en-US" w:eastAsia="zh-CN"/>
              </w:rPr>
              <w:t>21</w:t>
            </w:r>
            <w:r>
              <w:rPr>
                <w:rFonts w:hint="eastAsia" w:ascii="仿宋" w:hAnsi="仿宋" w:eastAsia="仿宋" w:cs="仿宋_GB2312"/>
                <w:color w:val="auto"/>
                <w:sz w:val="24"/>
                <w:highlight w:val="none"/>
              </w:rPr>
              <w:t>年1月1日至今）以来投标人承担疗休养项目情况：每提供一个合同复印件及满意度调查（需业主单位出具）得</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分，最高1分。</w:t>
            </w:r>
          </w:p>
        </w:tc>
        <w:tc>
          <w:tcPr>
            <w:tcW w:w="407" w:type="pct"/>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1</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（1）本项目服务导游不少于</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人（含项目总负责人一名）得</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分，不满足人数要求不得分；（0-</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w:t>
            </w:r>
          </w:p>
          <w:p>
            <w:pPr>
              <w:pStyle w:val="25"/>
              <w:keepNext w:val="0"/>
              <w:keepLines w:val="0"/>
              <w:pageBreakBefore w:val="0"/>
              <w:widowControl w:val="0"/>
              <w:kinsoku/>
              <w:wordWrap/>
              <w:overflowPunct/>
              <w:topLinePunct w:val="0"/>
              <w:bidi w:val="0"/>
              <w:adjustRightInd w:val="0"/>
              <w:snapToGrid/>
              <w:spacing w:line="360" w:lineRule="exact"/>
              <w:jc w:val="left"/>
              <w:textAlignment w:val="auto"/>
              <w:rPr>
                <w:rFonts w:ascii="仿宋" w:hAnsi="仿宋" w:eastAsia="仿宋" w:cs="仿宋_GB2312"/>
                <w:snapToGrid/>
                <w:color w:val="auto"/>
                <w:szCs w:val="24"/>
                <w:highlight w:val="none"/>
                <w:lang w:val="en-US"/>
              </w:rPr>
            </w:pPr>
            <w:r>
              <w:rPr>
                <w:rFonts w:hint="eastAsia" w:ascii="仿宋" w:hAnsi="仿宋" w:eastAsia="仿宋" w:cs="仿宋_GB2312"/>
                <w:snapToGrid/>
                <w:color w:val="auto"/>
                <w:szCs w:val="24"/>
                <w:highlight w:val="none"/>
                <w:lang w:val="en-US"/>
              </w:rPr>
              <w:t>（2）服务团队中导游具有</w:t>
            </w:r>
            <w:r>
              <w:rPr>
                <w:rFonts w:hint="eastAsia" w:ascii="仿宋" w:hAnsi="仿宋" w:eastAsia="仿宋" w:cs="仿宋_GB2312"/>
                <w:snapToGrid/>
                <w:color w:val="auto"/>
                <w:szCs w:val="24"/>
                <w:highlight w:val="none"/>
                <w:lang w:val="en-US" w:eastAsia="zh-CN"/>
              </w:rPr>
              <w:t>3</w:t>
            </w:r>
            <w:r>
              <w:rPr>
                <w:rFonts w:hint="eastAsia" w:ascii="仿宋" w:hAnsi="仿宋" w:eastAsia="仿宋" w:cs="仿宋_GB2312"/>
                <w:snapToGrid/>
                <w:color w:val="auto"/>
                <w:szCs w:val="24"/>
                <w:highlight w:val="none"/>
                <w:lang w:val="en-US"/>
              </w:rPr>
              <w:t>年及以上工作经验得</w:t>
            </w:r>
            <w:r>
              <w:rPr>
                <w:rFonts w:hint="eastAsia" w:ascii="仿宋" w:hAnsi="仿宋" w:eastAsia="仿宋" w:cs="仿宋_GB2312"/>
                <w:snapToGrid/>
                <w:color w:val="auto"/>
                <w:szCs w:val="24"/>
                <w:highlight w:val="none"/>
                <w:lang w:val="en-US" w:eastAsia="zh-CN"/>
              </w:rPr>
              <w:t>3</w:t>
            </w:r>
            <w:r>
              <w:rPr>
                <w:rFonts w:hint="eastAsia" w:ascii="仿宋" w:hAnsi="仿宋" w:eastAsia="仿宋" w:cs="仿宋_GB2312"/>
                <w:snapToGrid/>
                <w:color w:val="auto"/>
                <w:szCs w:val="24"/>
                <w:highlight w:val="none"/>
                <w:lang w:val="en-US"/>
              </w:rPr>
              <w:t>分；（0-</w:t>
            </w:r>
            <w:r>
              <w:rPr>
                <w:rFonts w:hint="eastAsia" w:ascii="仿宋" w:hAnsi="仿宋" w:eastAsia="仿宋" w:cs="仿宋_GB2312"/>
                <w:snapToGrid/>
                <w:color w:val="auto"/>
                <w:szCs w:val="24"/>
                <w:highlight w:val="none"/>
                <w:lang w:val="en-US" w:eastAsia="zh-CN"/>
              </w:rPr>
              <w:t>3</w:t>
            </w:r>
            <w:r>
              <w:rPr>
                <w:rFonts w:hint="eastAsia" w:ascii="仿宋" w:hAnsi="仿宋" w:eastAsia="仿宋" w:cs="仿宋_GB2312"/>
                <w:snapToGrid/>
                <w:color w:val="auto"/>
                <w:szCs w:val="24"/>
                <w:highlight w:val="none"/>
                <w:lang w:val="en-US"/>
              </w:rPr>
              <w:t>分）</w:t>
            </w:r>
          </w:p>
          <w:p>
            <w:pPr>
              <w:pStyle w:val="25"/>
              <w:keepNext w:val="0"/>
              <w:keepLines w:val="0"/>
              <w:pageBreakBefore w:val="0"/>
              <w:widowControl w:val="0"/>
              <w:kinsoku/>
              <w:wordWrap/>
              <w:overflowPunct/>
              <w:topLinePunct w:val="0"/>
              <w:bidi w:val="0"/>
              <w:adjustRightInd w:val="0"/>
              <w:snapToGrid/>
              <w:spacing w:line="360" w:lineRule="exact"/>
              <w:jc w:val="left"/>
              <w:textAlignment w:val="auto"/>
              <w:rPr>
                <w:rFonts w:hint="eastAsia" w:ascii="仿宋" w:hAnsi="仿宋" w:eastAsia="仿宋" w:cs="仿宋_GB2312"/>
                <w:b/>
                <w:bCs/>
                <w:snapToGrid/>
                <w:color w:val="auto"/>
                <w:kern w:val="2"/>
                <w:sz w:val="24"/>
                <w:szCs w:val="24"/>
                <w:highlight w:val="none"/>
                <w:lang w:val="en-US" w:eastAsia="zh-CN" w:bidi="ar-SA"/>
              </w:rPr>
            </w:pPr>
            <w:r>
              <w:rPr>
                <w:rFonts w:hint="eastAsia" w:ascii="仿宋" w:hAnsi="仿宋" w:eastAsia="仿宋" w:cs="仿宋_GB2312"/>
                <w:b/>
                <w:bCs/>
                <w:snapToGrid/>
                <w:color w:val="auto"/>
                <w:szCs w:val="24"/>
                <w:highlight w:val="none"/>
                <w:lang w:val="en-US"/>
              </w:rPr>
              <w:t>注：整体服务团队人员（含项目负责人）需提供导游资格证书</w:t>
            </w:r>
            <w:r>
              <w:rPr>
                <w:rFonts w:hint="eastAsia" w:ascii="仿宋" w:hAnsi="仿宋" w:eastAsia="仿宋" w:cs="仿宋_GB2312"/>
                <w:b/>
                <w:bCs/>
                <w:snapToGrid/>
                <w:color w:val="auto"/>
                <w:szCs w:val="24"/>
                <w:highlight w:val="none"/>
                <w:lang w:val="en-US" w:eastAsia="zh-CN"/>
              </w:rPr>
              <w:t>复印件并加盖公章及近一个月的社保证明复印件并加盖公章</w:t>
            </w:r>
            <w:r>
              <w:rPr>
                <w:rFonts w:hint="eastAsia" w:ascii="仿宋" w:hAnsi="仿宋" w:eastAsia="仿宋" w:cs="仿宋_GB2312"/>
                <w:b/>
                <w:bCs/>
                <w:snapToGrid/>
                <w:color w:val="auto"/>
                <w:szCs w:val="24"/>
                <w:highlight w:val="none"/>
                <w:lang w:val="en-US"/>
              </w:rPr>
              <w:t>，</w:t>
            </w:r>
            <w:r>
              <w:rPr>
                <w:rFonts w:hint="eastAsia" w:ascii="仿宋" w:hAnsi="仿宋" w:eastAsia="仿宋" w:cs="仿宋_GB2312"/>
                <w:b/>
                <w:bCs/>
                <w:snapToGrid/>
                <w:color w:val="auto"/>
                <w:szCs w:val="24"/>
                <w:highlight w:val="none"/>
                <w:lang w:val="en-US" w:eastAsia="zh-CN"/>
              </w:rPr>
              <w:t>否则不得分。</w:t>
            </w:r>
          </w:p>
        </w:tc>
        <w:tc>
          <w:tcPr>
            <w:tcW w:w="407" w:type="pct"/>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人员配备组织方案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bCs/>
                <w:color w:val="auto"/>
                <w:sz w:val="24"/>
                <w:highlight w:val="none"/>
              </w:rPr>
              <w:t>策划方案内容全面</w:t>
            </w:r>
            <w:r>
              <w:rPr>
                <w:rFonts w:hint="eastAsia" w:ascii="仿宋" w:hAnsi="仿宋" w:eastAsia="仿宋"/>
                <w:bCs/>
                <w:color w:val="auto"/>
                <w:sz w:val="24"/>
                <w:highlight w:val="none"/>
                <w:lang w:eastAsia="zh-CN"/>
              </w:rPr>
              <w:t>、</w:t>
            </w:r>
            <w:r>
              <w:rPr>
                <w:rFonts w:hint="eastAsia" w:ascii="仿宋" w:hAnsi="仿宋" w:eastAsia="仿宋"/>
                <w:bCs/>
                <w:color w:val="auto"/>
                <w:sz w:val="24"/>
                <w:highlight w:val="none"/>
              </w:rPr>
              <w:t>完整,线路符合招标文件要求及疗休养相关政策，策划突出疗休养主题，对“疗休养”方案分析针对性强、全面深入得</w:t>
            </w:r>
            <w:r>
              <w:rPr>
                <w:rFonts w:ascii="仿宋" w:hAnsi="仿宋" w:eastAsia="仿宋"/>
                <w:bCs/>
                <w:color w:val="auto"/>
                <w:sz w:val="24"/>
                <w:highlight w:val="none"/>
              </w:rPr>
              <w:t>5</w:t>
            </w:r>
            <w:r>
              <w:rPr>
                <w:rFonts w:hint="eastAsia" w:ascii="仿宋" w:hAnsi="仿宋" w:eastAsia="仿宋"/>
                <w:bCs/>
                <w:color w:val="auto"/>
                <w:sz w:val="24"/>
                <w:highlight w:val="none"/>
              </w:rPr>
              <w:t>分，对“疗休养”方案分析针对性较强、较全面深入得</w:t>
            </w:r>
            <w:r>
              <w:rPr>
                <w:rFonts w:ascii="仿宋" w:hAnsi="仿宋" w:eastAsia="仿宋"/>
                <w:bCs/>
                <w:color w:val="auto"/>
                <w:sz w:val="24"/>
                <w:highlight w:val="none"/>
              </w:rPr>
              <w:t>3</w:t>
            </w:r>
            <w:r>
              <w:rPr>
                <w:rFonts w:hint="eastAsia" w:ascii="仿宋" w:hAnsi="仿宋" w:eastAsia="仿宋"/>
                <w:bCs/>
                <w:color w:val="auto"/>
                <w:sz w:val="24"/>
                <w:highlight w:val="none"/>
              </w:rPr>
              <w:t>分，对“疗休养”方案分析一般，针对性不足得1分，未提供方案不得分。</w:t>
            </w:r>
          </w:p>
        </w:tc>
        <w:tc>
          <w:tcPr>
            <w:tcW w:w="407" w:type="pct"/>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疗休养活动策划方案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olor w:val="auto"/>
                <w:sz w:val="24"/>
                <w:highlight w:val="none"/>
              </w:rPr>
              <w:t>餐饮安排内容合理具体，具有当地特色、菜肴搭配丰富均衡、</w:t>
            </w:r>
            <w:r>
              <w:rPr>
                <w:rFonts w:hint="eastAsia" w:ascii="仿宋" w:hAnsi="仿宋" w:eastAsia="仿宋"/>
                <w:color w:val="auto"/>
                <w:sz w:val="24"/>
                <w:highlight w:val="none"/>
                <w:lang w:val="en-US" w:eastAsia="zh-CN"/>
              </w:rPr>
              <w:t>拟安排的</w:t>
            </w:r>
            <w:r>
              <w:rPr>
                <w:rFonts w:hint="eastAsia" w:ascii="仿宋" w:hAnsi="仿宋" w:eastAsia="仿宋"/>
                <w:color w:val="auto"/>
                <w:sz w:val="24"/>
                <w:highlight w:val="none"/>
              </w:rPr>
              <w:t>社会餐厅综合评价好的得5分，具有当地特色、菜肴搭配较为丰富均衡、</w:t>
            </w:r>
            <w:r>
              <w:rPr>
                <w:rFonts w:hint="eastAsia" w:ascii="仿宋" w:hAnsi="仿宋" w:eastAsia="仿宋"/>
                <w:color w:val="auto"/>
                <w:sz w:val="24"/>
                <w:highlight w:val="none"/>
                <w:lang w:val="en-US" w:eastAsia="zh-CN"/>
              </w:rPr>
              <w:t>拟安排的</w:t>
            </w:r>
            <w:r>
              <w:rPr>
                <w:rFonts w:hint="eastAsia" w:ascii="仿宋" w:hAnsi="仿宋" w:eastAsia="仿宋"/>
                <w:color w:val="auto"/>
                <w:sz w:val="24"/>
                <w:highlight w:val="none"/>
              </w:rPr>
              <w:t>社会餐厅综合评价</w:t>
            </w:r>
            <w:r>
              <w:rPr>
                <w:rFonts w:hint="eastAsia" w:ascii="仿宋" w:hAnsi="仿宋" w:eastAsia="仿宋"/>
                <w:color w:val="auto"/>
                <w:sz w:val="24"/>
                <w:highlight w:val="none"/>
                <w:lang w:val="en-US" w:eastAsia="zh-CN"/>
              </w:rPr>
              <w:t>较</w:t>
            </w:r>
            <w:r>
              <w:rPr>
                <w:rFonts w:hint="eastAsia" w:ascii="仿宋" w:hAnsi="仿宋" w:eastAsia="仿宋"/>
                <w:color w:val="auto"/>
                <w:sz w:val="24"/>
                <w:highlight w:val="none"/>
              </w:rPr>
              <w:t>好的得3分，菜肴搭配一般、缺少当地特色、</w:t>
            </w:r>
            <w:r>
              <w:rPr>
                <w:rFonts w:hint="eastAsia" w:ascii="仿宋" w:hAnsi="仿宋" w:eastAsia="仿宋"/>
                <w:color w:val="auto"/>
                <w:sz w:val="24"/>
                <w:highlight w:val="none"/>
                <w:lang w:val="en-US" w:eastAsia="zh-CN"/>
              </w:rPr>
              <w:t>拟安排的</w:t>
            </w:r>
            <w:r>
              <w:rPr>
                <w:rFonts w:hint="eastAsia" w:ascii="仿宋" w:hAnsi="仿宋" w:eastAsia="仿宋"/>
                <w:color w:val="auto"/>
                <w:sz w:val="24"/>
                <w:highlight w:val="none"/>
              </w:rPr>
              <w:t>社会餐厅评价一般的得1分，未提供方案的不得分。</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疗休养活动策划方案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olor w:val="auto"/>
                <w:sz w:val="24"/>
                <w:highlight w:val="none"/>
              </w:rPr>
              <w:t>游览行程安排合理具体，景点设置完善</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详细、游览线路安排合理、符合疗休养定位得5分，景点设置内容较为完善详细、游览线路安排较为合理、符合疗休养定位得3分，景点设置内容完整度一般、游览线路安排合理性一般，疗休养定位尚有不足得1分，未提供方案的不得分。</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疗休养活动策划方案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6</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olor w:val="auto"/>
                <w:sz w:val="24"/>
                <w:highlight w:val="none"/>
              </w:rPr>
              <w:t>住宿酒店安排合理具体，酒店星级评价达到招标文件要求、地理位置处该地区中心（除必须入住景区周边的酒店外）、周边交通环境出行方便得5分，酒店星级评价达到招标文件要求、地理位置与该地区中心有一定偏差</w:t>
            </w:r>
            <w:bookmarkStart w:id="394" w:name="_Hlk104192143"/>
            <w:r>
              <w:rPr>
                <w:rFonts w:hint="eastAsia" w:ascii="仿宋" w:hAnsi="仿宋" w:eastAsia="仿宋"/>
                <w:color w:val="auto"/>
                <w:sz w:val="24"/>
                <w:highlight w:val="none"/>
              </w:rPr>
              <w:t>（除必须入住景区周边的酒店外）</w:t>
            </w:r>
            <w:bookmarkEnd w:id="394"/>
            <w:r>
              <w:rPr>
                <w:rFonts w:hint="eastAsia" w:ascii="仿宋" w:hAnsi="仿宋" w:eastAsia="仿宋"/>
                <w:color w:val="auto"/>
                <w:sz w:val="24"/>
                <w:highlight w:val="none"/>
              </w:rPr>
              <w:t>、周边交通环境出行较为方便得3分，酒店星级评价与招标文件要求有一定偏离、地理位置与该地区中心位置偏差较大（除必须入住景区周边的酒店外）、周边交通环境出行一般得1分，未提供方案的不得分。</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疗休养活动策划方案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7</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olor w:val="auto"/>
                <w:sz w:val="24"/>
                <w:highlight w:val="none"/>
              </w:rPr>
              <w:t>对交通的安排合理具体，满足项目人员出行及安全保障条件，旅游大巴车型多样化，符合不同批次出行人数需求，且车况良好为二年之内设施好的空调旅游车得5分，旅游大巴车型较为多样化，符合不同批次出行人数需求，但使用年限为两年至四年的旅游大巴得3分，旅游大巴车型不够多样化，车况一般为五年以上空调旅游车得1分，未提供方案的不得分。（需提供旅游大巴车辆行驶证</w:t>
            </w:r>
            <w:r>
              <w:rPr>
                <w:rFonts w:hint="eastAsia" w:ascii="仿宋" w:hAnsi="仿宋" w:eastAsia="仿宋"/>
                <w:color w:val="auto"/>
                <w:sz w:val="24"/>
                <w:highlight w:val="none"/>
                <w:lang w:val="en-US" w:eastAsia="zh-CN"/>
              </w:rPr>
              <w:t>复印件并加盖公章</w:t>
            </w:r>
            <w:r>
              <w:rPr>
                <w:rFonts w:hint="eastAsia" w:ascii="仿宋" w:hAnsi="仿宋" w:eastAsia="仿宋"/>
                <w:color w:val="auto"/>
                <w:sz w:val="24"/>
                <w:highlight w:val="none"/>
              </w:rPr>
              <w:t>）</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疗休养活动策划方案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8</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工作程序和步骤、管理和协调方法、关键步骤合理可行，包括整体行程策划，与采购人的沟通协调，行程前、行程中、行程后的组织条理清晰，详细完整得5分；提供的工作程序和步骤、管理和协调方法、关键步骤较清晰、较合理可行得3分；提供的工作程序和步骤、管理和协调方法一般，还需进一步完善得1分，未提供不得分。</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服务实施计划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9</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bookmarkStart w:id="395" w:name="_Hlk103549019"/>
            <w:r>
              <w:rPr>
                <w:rFonts w:hint="eastAsia" w:ascii="仿宋" w:hAnsi="仿宋" w:eastAsia="仿宋" w:cs="仿宋_GB2312"/>
                <w:color w:val="auto"/>
                <w:sz w:val="24"/>
                <w:highlight w:val="none"/>
              </w:rPr>
              <w:t>对人员出行批次（每批次的人数）的进度安排合理、科学，包括每个团的人数控制到位，不因出团人员过多</w:t>
            </w:r>
            <w:r>
              <w:rPr>
                <w:rFonts w:hint="eastAsia" w:ascii="仿宋" w:hAnsi="仿宋" w:eastAsia="仿宋" w:cs="仿宋_GB2312"/>
                <w:color w:val="auto"/>
                <w:sz w:val="24"/>
                <w:highlight w:val="none"/>
                <w:lang w:val="en-US" w:eastAsia="zh-CN"/>
              </w:rPr>
              <w:t>或过少</w:t>
            </w:r>
            <w:r>
              <w:rPr>
                <w:rFonts w:hint="eastAsia" w:ascii="仿宋" w:hAnsi="仿宋" w:eastAsia="仿宋" w:cs="仿宋_GB2312"/>
                <w:color w:val="auto"/>
                <w:sz w:val="24"/>
                <w:highlight w:val="none"/>
              </w:rPr>
              <w:t>导致服务质量的下降</w:t>
            </w:r>
            <w:bookmarkEnd w:id="395"/>
            <w:r>
              <w:rPr>
                <w:rFonts w:hint="eastAsia" w:ascii="仿宋" w:hAnsi="仿宋" w:eastAsia="仿宋" w:cs="仿宋_GB2312"/>
                <w:color w:val="auto"/>
                <w:sz w:val="24"/>
                <w:highlight w:val="none"/>
              </w:rPr>
              <w:t>得5分；对人员出行批次进度安排较为合理、科学得3分；对人员出行批次进度安排一般得1分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未提供方案不得分。</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服务实施计划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安全管理（应急预案应考虑医院与酒店的距离）措施到位，充分考虑安全管理的各方面因素，如人员受伤、食物中毒、身体不适等因素得5分；安全管理方案较为周全、措施较到位得3分；安全管理方案不够周全、措施一般，需进一步完善得1分，未提供不得分。</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提供</w:t>
            </w:r>
            <w:r>
              <w:rPr>
                <w:rFonts w:hint="eastAsia" w:ascii="仿宋" w:hAnsi="仿宋" w:eastAsia="仿宋" w:cs="仿宋_GB2312"/>
                <w:color w:val="auto"/>
                <w:sz w:val="24"/>
                <w:highlight w:val="none"/>
                <w:lang w:val="en-US" w:eastAsia="zh-CN"/>
              </w:rPr>
              <w:t>的</w:t>
            </w:r>
            <w:r>
              <w:rPr>
                <w:rFonts w:hint="eastAsia" w:ascii="仿宋" w:hAnsi="仿宋" w:eastAsia="仿宋" w:cs="仿宋_GB2312"/>
                <w:color w:val="auto"/>
                <w:sz w:val="24"/>
                <w:highlight w:val="none"/>
              </w:rPr>
              <w:t>加强服务舒适度保障的相关措施，整体措施方案实用性强、考虑周全的得5分；有舒适度保障相关措施，整体措施方案实用性较强、考虑较周全得3分；有舒适度保障相关措施，但整体措施方案实用性一般、考虑不够周全，需进一步完善得1分，未提供方案的不得分。</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加强服务舒适度保障措施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的管理制度健全，能有效保障本次服务，对服务人员有效管控得5分；投标人管理制度较为健全，对服务人员管控较为有效得3分；投标人管理制度及对服务人员管控一般，但不够健全，需进一步完善得1分，未提供不得分。</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管理制度组织方案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3</w:t>
            </w:r>
          </w:p>
        </w:tc>
        <w:tc>
          <w:tcPr>
            <w:tcW w:w="3028" w:type="pct"/>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供应商的企业责任保险保额达到</w:t>
            </w:r>
            <w:r>
              <w:rPr>
                <w:rFonts w:hint="eastAsia" w:ascii="仿宋" w:hAnsi="仿宋" w:eastAsia="仿宋" w:cs="仿宋_GB2312"/>
                <w:color w:val="auto"/>
                <w:sz w:val="24"/>
                <w:highlight w:val="none"/>
                <w:lang w:val="en-US" w:eastAsia="zh-CN"/>
              </w:rPr>
              <w:t>500</w:t>
            </w:r>
            <w:r>
              <w:rPr>
                <w:rFonts w:hint="eastAsia" w:ascii="仿宋" w:hAnsi="仿宋" w:eastAsia="仿宋" w:cs="仿宋_GB2312"/>
                <w:color w:val="auto"/>
                <w:sz w:val="24"/>
                <w:highlight w:val="none"/>
              </w:rPr>
              <w:t>万以上的得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500</w:t>
            </w:r>
            <w:r>
              <w:rPr>
                <w:rFonts w:hint="eastAsia" w:ascii="仿宋" w:hAnsi="仿宋" w:eastAsia="仿宋" w:cs="仿宋_GB2312"/>
                <w:color w:val="auto"/>
                <w:sz w:val="24"/>
                <w:highlight w:val="none"/>
              </w:rPr>
              <w:t>万的得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500</w:t>
            </w:r>
            <w:r>
              <w:rPr>
                <w:rFonts w:hint="eastAsia" w:ascii="仿宋" w:hAnsi="仿宋" w:eastAsia="仿宋" w:cs="仿宋_GB2312"/>
                <w:color w:val="auto"/>
                <w:sz w:val="24"/>
                <w:highlight w:val="none"/>
              </w:rPr>
              <w:t xml:space="preserve">万（不含）以下的不得分（提供承诺函，格式自拟）； </w:t>
            </w:r>
          </w:p>
        </w:tc>
        <w:tc>
          <w:tcPr>
            <w:tcW w:w="40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保险承诺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4</w:t>
            </w:r>
          </w:p>
        </w:tc>
        <w:tc>
          <w:tcPr>
            <w:tcW w:w="3028" w:type="pct"/>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个人旅游人身意外险（人身意外险包括意外伤害、突发性疾病、伤害医疗、突发性医疗等）保额达到</w:t>
            </w:r>
            <w:r>
              <w:rPr>
                <w:rFonts w:hint="eastAsia" w:ascii="仿宋" w:hAnsi="仿宋" w:eastAsia="仿宋" w:cs="仿宋_GB2312"/>
                <w:color w:val="auto"/>
                <w:sz w:val="24"/>
                <w:highlight w:val="none"/>
                <w:lang w:val="en-US" w:eastAsia="zh-CN"/>
              </w:rPr>
              <w:t>150</w:t>
            </w:r>
            <w:r>
              <w:rPr>
                <w:rFonts w:hint="eastAsia" w:ascii="仿宋" w:hAnsi="仿宋" w:eastAsia="仿宋" w:cs="仿宋_GB2312"/>
                <w:color w:val="auto"/>
                <w:sz w:val="24"/>
                <w:highlight w:val="none"/>
              </w:rPr>
              <w:t>万以上的得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150</w:t>
            </w:r>
            <w:r>
              <w:rPr>
                <w:rFonts w:hint="eastAsia" w:ascii="仿宋" w:hAnsi="仿宋" w:eastAsia="仿宋" w:cs="仿宋_GB2312"/>
                <w:color w:val="auto"/>
                <w:sz w:val="24"/>
                <w:highlight w:val="none"/>
              </w:rPr>
              <w:t>万的得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150</w:t>
            </w:r>
            <w:r>
              <w:rPr>
                <w:rFonts w:hint="eastAsia" w:ascii="仿宋" w:hAnsi="仿宋" w:eastAsia="仿宋" w:cs="仿宋_GB2312"/>
                <w:color w:val="auto"/>
                <w:sz w:val="24"/>
                <w:highlight w:val="none"/>
              </w:rPr>
              <w:t xml:space="preserve">万（不含）以下的不得分(提供承诺函，格式自拟)； </w:t>
            </w:r>
          </w:p>
        </w:tc>
        <w:tc>
          <w:tcPr>
            <w:tcW w:w="40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保险承诺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5</w:t>
            </w:r>
          </w:p>
        </w:tc>
        <w:tc>
          <w:tcPr>
            <w:tcW w:w="3028" w:type="pct"/>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投标人承诺提供小额赔款（500元及以下）先行赔付的得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分，不提供则不得分(提供承诺函，格式自拟)；</w:t>
            </w:r>
          </w:p>
        </w:tc>
        <w:tc>
          <w:tcPr>
            <w:tcW w:w="40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保险承诺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6</w:t>
            </w:r>
          </w:p>
        </w:tc>
        <w:tc>
          <w:tcPr>
            <w:tcW w:w="3028" w:type="pct"/>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投标人承诺全程不进购物点、无商业广告及各类产品推销和介绍、无自费景点或活动得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分，不提供则不得分 (提供承诺函，格式自拟)；</w:t>
            </w:r>
          </w:p>
        </w:tc>
        <w:tc>
          <w:tcPr>
            <w:tcW w:w="40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4</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无购物点承诺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7</w:t>
            </w:r>
          </w:p>
        </w:tc>
        <w:tc>
          <w:tcPr>
            <w:tcW w:w="3028" w:type="pct"/>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投标人提供的增值优惠服务</w:t>
            </w:r>
            <w:r>
              <w:rPr>
                <w:rFonts w:hint="eastAsia" w:ascii="仿宋" w:hAnsi="仿宋" w:eastAsia="仿宋" w:cs="仿宋_GB2312"/>
                <w:color w:val="auto"/>
                <w:sz w:val="24"/>
                <w:highlight w:val="none"/>
              </w:rPr>
              <w:t>方案，</w:t>
            </w:r>
            <w:r>
              <w:rPr>
                <w:rFonts w:hint="eastAsia" w:ascii="仿宋" w:hAnsi="仿宋" w:eastAsia="仿宋" w:cs="仿宋_GB2312"/>
                <w:color w:val="auto"/>
                <w:sz w:val="24"/>
                <w:highlight w:val="none"/>
                <w:lang w:val="en-US" w:eastAsia="zh-CN"/>
              </w:rPr>
              <w:t>内容可行</w:t>
            </w:r>
            <w:r>
              <w:rPr>
                <w:rFonts w:hint="eastAsia" w:ascii="仿宋" w:hAnsi="仿宋" w:eastAsia="仿宋" w:cs="仿宋_GB2312"/>
                <w:color w:val="auto"/>
                <w:sz w:val="24"/>
                <w:highlight w:val="none"/>
              </w:rPr>
              <w:t>、实用性强得</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内容较可行</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内容</w:t>
            </w:r>
            <w:r>
              <w:rPr>
                <w:rFonts w:hint="eastAsia" w:ascii="仿宋" w:hAnsi="仿宋" w:eastAsia="仿宋" w:cs="仿宋_GB2312"/>
                <w:color w:val="auto"/>
                <w:sz w:val="24"/>
                <w:highlight w:val="none"/>
              </w:rPr>
              <w:t>需进一步完善</w:t>
            </w:r>
            <w:r>
              <w:rPr>
                <w:rFonts w:hint="eastAsia" w:ascii="仿宋" w:hAnsi="仿宋" w:eastAsia="仿宋" w:cs="仿宋_GB2312"/>
                <w:color w:val="auto"/>
                <w:sz w:val="24"/>
                <w:highlight w:val="none"/>
                <w:lang w:val="en-US" w:eastAsia="zh-CN"/>
              </w:rPr>
              <w:t>得1分，</w:t>
            </w:r>
            <w:r>
              <w:rPr>
                <w:rFonts w:hint="eastAsia" w:ascii="仿宋" w:hAnsi="仿宋" w:eastAsia="仿宋" w:cs="仿宋_GB2312"/>
                <w:color w:val="auto"/>
                <w:sz w:val="24"/>
                <w:highlight w:val="none"/>
              </w:rPr>
              <w:t>未提供方案的不得分。</w:t>
            </w:r>
          </w:p>
        </w:tc>
        <w:tc>
          <w:tcPr>
            <w:tcW w:w="40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增值优惠服务</w:t>
            </w:r>
            <w:r>
              <w:rPr>
                <w:rFonts w:hint="eastAsia" w:ascii="仿宋" w:hAnsi="仿宋" w:eastAsia="仿宋" w:cs="仿宋_GB2312"/>
                <w:color w:val="auto"/>
                <w:sz w:val="24"/>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18</w:t>
            </w:r>
          </w:p>
        </w:tc>
        <w:tc>
          <w:tcPr>
            <w:tcW w:w="3028" w:type="pct"/>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服务质量标准严谨、详细、操作性强得</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分；服务质量标准较严谨、较详细、操作性较强得</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分；服务质量标准内容完整度、操作性一般，需进一步完善得1分，未提供考核标准的不得分。</w:t>
            </w:r>
          </w:p>
        </w:tc>
        <w:tc>
          <w:tcPr>
            <w:tcW w:w="40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19</w:t>
            </w:r>
          </w:p>
        </w:tc>
        <w:tc>
          <w:tcPr>
            <w:tcW w:w="3028" w:type="pct"/>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针对本项目的合理化建议，在符合招标文件规定的线路标准的基础上，根据招标人疗休养目的地及服务对象等方面，提出合理化建议，增加疗休养体验感提高满意度。内容合理、详细、针对性强得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分，内容较合理、较详细、针对性较强得</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分，内容不够合理、不够详细、缺乏针对性</w:t>
            </w:r>
            <w:r>
              <w:rPr>
                <w:rFonts w:hint="eastAsia" w:ascii="仿宋" w:hAnsi="仿宋" w:eastAsia="仿宋" w:cs="仿宋_GB2312"/>
                <w:color w:val="auto"/>
                <w:sz w:val="24"/>
                <w:highlight w:val="none"/>
                <w:lang w:val="en-US" w:eastAsia="zh-CN"/>
              </w:rPr>
              <w:t>得1分，</w:t>
            </w:r>
            <w:r>
              <w:rPr>
                <w:rFonts w:hint="eastAsia" w:ascii="仿宋" w:hAnsi="仿宋" w:eastAsia="仿宋" w:cs="仿宋_GB2312"/>
                <w:color w:val="auto"/>
                <w:sz w:val="24"/>
                <w:highlight w:val="none"/>
              </w:rPr>
              <w:t>未提供不得分。</w:t>
            </w:r>
          </w:p>
        </w:tc>
        <w:tc>
          <w:tcPr>
            <w:tcW w:w="40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000" w:type="pct"/>
            <w:gridSpan w:val="4"/>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报价总分10分：</w:t>
            </w:r>
          </w:p>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有效投标报价的最低价作为评标基准价，其最低报价为满分；按［投标报价得分</w:t>
            </w:r>
            <w:r>
              <w:rPr>
                <w:rFonts w:ascii="仿宋" w:hAnsi="仿宋" w:eastAsia="仿宋" w:cs="仿宋_GB2312"/>
                <w:color w:val="auto"/>
                <w:sz w:val="24"/>
                <w:highlight w:val="none"/>
              </w:rPr>
              <w:t>=（评标基准价/投标报价）*10］的计算公式计算。</w:t>
            </w:r>
          </w:p>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ascii="仿宋" w:hAnsi="仿宋" w:eastAsia="仿宋" w:cs="仿宋_GB2312"/>
                <w:color w:val="auto"/>
                <w:sz w:val="24"/>
                <w:highlight w:val="none"/>
              </w:rPr>
              <w:t>评标过程中，不得去掉报价中的最高报价和最低报价。</w:t>
            </w:r>
          </w:p>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ascii="仿宋" w:hAnsi="仿宋" w:eastAsia="仿宋" w:cs="仿宋_GB2312"/>
                <w:color w:val="auto"/>
                <w:sz w:val="24"/>
                <w:highlight w:val="none"/>
              </w:rPr>
              <w:t>因落实政府采购政策</w:t>
            </w:r>
            <w:r>
              <w:rPr>
                <w:rFonts w:hint="eastAsia" w:ascii="仿宋" w:hAnsi="仿宋" w:eastAsia="仿宋" w:cs="仿宋_GB2312"/>
                <w:color w:val="auto"/>
                <w:sz w:val="24"/>
                <w:highlight w:val="none"/>
              </w:rPr>
              <w:t>需要</w:t>
            </w:r>
            <w:r>
              <w:rPr>
                <w:rFonts w:ascii="仿宋" w:hAnsi="仿宋" w:eastAsia="仿宋" w:cs="仿宋_GB2312"/>
                <w:color w:val="auto"/>
                <w:sz w:val="24"/>
                <w:highlight w:val="none"/>
              </w:rPr>
              <w:t>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w:t>
            </w:r>
          </w:p>
        </w:tc>
        <w:tc>
          <w:tcPr>
            <w:tcW w:w="3028" w:type="pct"/>
            <w:vAlign w:val="center"/>
          </w:tcPr>
          <w:p>
            <w:pPr>
              <w:widowControl/>
              <w:snapToGrid w:val="0"/>
              <w:spacing w:line="348"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kern w:val="0"/>
                <w:sz w:val="24"/>
              </w:rPr>
              <w:t>线路一：</w:t>
            </w:r>
            <w:r>
              <w:rPr>
                <w:rFonts w:hint="eastAsia" w:ascii="宋体" w:hAnsi="宋体" w:cs="宋体"/>
                <w:kern w:val="0"/>
                <w:sz w:val="24"/>
                <w:lang w:val="en-US" w:eastAsia="zh-CN"/>
              </w:rPr>
              <w:t>重庆</w:t>
            </w:r>
            <w:r>
              <w:rPr>
                <w:rFonts w:hint="eastAsia" w:ascii="宋体" w:hAnsi="宋体" w:eastAsia="宋体" w:cs="宋体"/>
                <w:kern w:val="0"/>
                <w:sz w:val="24"/>
              </w:rPr>
              <w:t>（省外5天）</w:t>
            </w:r>
          </w:p>
        </w:tc>
        <w:tc>
          <w:tcPr>
            <w:tcW w:w="727" w:type="dxa"/>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2.5</w:t>
            </w:r>
          </w:p>
        </w:tc>
        <w:tc>
          <w:tcPr>
            <w:tcW w:w="1954" w:type="dxa"/>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w:t>
            </w:r>
          </w:p>
        </w:tc>
        <w:tc>
          <w:tcPr>
            <w:tcW w:w="3028" w:type="pct"/>
            <w:vAlign w:val="center"/>
          </w:tcPr>
          <w:p>
            <w:pPr>
              <w:widowControl/>
              <w:snapToGrid w:val="0"/>
              <w:spacing w:line="348"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线路二：</w:t>
            </w:r>
            <w:r>
              <w:rPr>
                <w:rFonts w:hint="eastAsia" w:ascii="宋体" w:hAnsi="宋体" w:cs="宋体"/>
                <w:kern w:val="0"/>
                <w:sz w:val="24"/>
                <w:lang w:val="en-US" w:eastAsia="zh-CN"/>
              </w:rPr>
              <w:t>平潭</w:t>
            </w:r>
            <w:r>
              <w:rPr>
                <w:rFonts w:hint="eastAsia" w:ascii="宋体" w:hAnsi="宋体" w:eastAsia="宋体" w:cs="宋体"/>
                <w:kern w:val="0"/>
                <w:sz w:val="24"/>
              </w:rPr>
              <w:t>（省外5天）</w:t>
            </w:r>
          </w:p>
        </w:tc>
        <w:tc>
          <w:tcPr>
            <w:tcW w:w="727" w:type="dxa"/>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2.5</w:t>
            </w:r>
          </w:p>
        </w:tc>
        <w:tc>
          <w:tcPr>
            <w:tcW w:w="1954" w:type="dxa"/>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3028" w:type="pct"/>
            <w:vAlign w:val="center"/>
          </w:tcPr>
          <w:p>
            <w:pPr>
              <w:widowControl/>
              <w:snapToGrid w:val="0"/>
              <w:spacing w:line="348"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kern w:val="0"/>
                <w:sz w:val="24"/>
              </w:rPr>
              <w:t>线路</w:t>
            </w:r>
            <w:r>
              <w:rPr>
                <w:rFonts w:hint="eastAsia" w:ascii="宋体" w:hAnsi="宋体" w:eastAsia="宋体" w:cs="宋体"/>
                <w:kern w:val="0"/>
                <w:sz w:val="24"/>
                <w:lang w:val="en-US" w:eastAsia="zh-CN"/>
              </w:rPr>
              <w:t>三</w:t>
            </w:r>
            <w:r>
              <w:rPr>
                <w:rFonts w:hint="eastAsia" w:ascii="宋体" w:hAnsi="宋体" w:eastAsia="宋体" w:cs="宋体"/>
                <w:kern w:val="0"/>
                <w:sz w:val="24"/>
              </w:rPr>
              <w:t>：</w:t>
            </w:r>
            <w:r>
              <w:rPr>
                <w:rFonts w:hint="eastAsia" w:ascii="宋体" w:hAnsi="宋体" w:cs="宋体"/>
                <w:color w:val="auto"/>
                <w:kern w:val="0"/>
                <w:sz w:val="24"/>
                <w:szCs w:val="24"/>
                <w:highlight w:val="none"/>
                <w:lang w:val="en-US" w:eastAsia="zh-CN"/>
              </w:rPr>
              <w:t>江西</w:t>
            </w:r>
            <w:r>
              <w:rPr>
                <w:rFonts w:hint="eastAsia" w:ascii="宋体" w:hAnsi="宋体" w:eastAsia="宋体" w:cs="宋体"/>
                <w:color w:val="auto"/>
                <w:kern w:val="0"/>
                <w:sz w:val="24"/>
                <w:szCs w:val="24"/>
                <w:highlight w:val="none"/>
                <w:lang w:val="en-US" w:eastAsia="zh-CN"/>
              </w:rPr>
              <w:t>（省外5天）</w:t>
            </w:r>
          </w:p>
        </w:tc>
        <w:tc>
          <w:tcPr>
            <w:tcW w:w="727" w:type="dxa"/>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2.5</w:t>
            </w:r>
          </w:p>
        </w:tc>
        <w:tc>
          <w:tcPr>
            <w:tcW w:w="1954" w:type="dxa"/>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c>
          <w:tcPr>
            <w:tcW w:w="3028" w:type="pct"/>
            <w:vAlign w:val="center"/>
          </w:tcPr>
          <w:p>
            <w:pPr>
              <w:widowControl/>
              <w:snapToGrid w:val="0"/>
              <w:spacing w:line="348"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线路</w:t>
            </w:r>
            <w:r>
              <w:rPr>
                <w:rFonts w:hint="eastAsia" w:ascii="宋体" w:hAnsi="宋体" w:eastAsia="宋体" w:cs="宋体"/>
                <w:kern w:val="0"/>
                <w:sz w:val="24"/>
                <w:lang w:val="en-US" w:eastAsia="zh-CN"/>
              </w:rPr>
              <w:t>四</w:t>
            </w:r>
            <w:r>
              <w:rPr>
                <w:rFonts w:hint="eastAsia" w:ascii="宋体" w:hAnsi="宋体" w:eastAsia="宋体" w:cs="宋体"/>
                <w:kern w:val="0"/>
                <w:sz w:val="24"/>
              </w:rPr>
              <w:t>：</w:t>
            </w:r>
            <w:r>
              <w:rPr>
                <w:rFonts w:hint="eastAsia" w:ascii="宋体" w:hAnsi="宋体" w:cs="宋体"/>
                <w:kern w:val="0"/>
                <w:sz w:val="24"/>
                <w:lang w:val="en-US" w:eastAsia="zh-CN"/>
              </w:rPr>
              <w:t>湖北恩施</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省外5天</w:t>
            </w:r>
            <w:r>
              <w:rPr>
                <w:rFonts w:hint="eastAsia" w:ascii="宋体" w:hAnsi="宋体" w:eastAsia="宋体" w:cs="宋体"/>
                <w:kern w:val="0"/>
                <w:sz w:val="24"/>
                <w:lang w:eastAsia="zh-CN"/>
              </w:rPr>
              <w:t>）</w:t>
            </w:r>
          </w:p>
        </w:tc>
        <w:tc>
          <w:tcPr>
            <w:tcW w:w="727" w:type="dxa"/>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2.5</w:t>
            </w:r>
          </w:p>
        </w:tc>
        <w:tc>
          <w:tcPr>
            <w:tcW w:w="1954" w:type="dxa"/>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w:t>
            </w:r>
          </w:p>
        </w:tc>
      </w:tr>
    </w:tbl>
    <w:p>
      <w:pPr>
        <w:rPr>
          <w:rFonts w:hint="eastAsia" w:ascii="仿宋" w:hAnsi="仿宋" w:eastAsia="仿宋" w:cs="仿宋"/>
          <w:color w:val="auto"/>
          <w:highlight w:val="none"/>
        </w:rPr>
      </w:pP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32"/>
          <w:highlight w:val="none"/>
        </w:rPr>
      </w:pPr>
    </w:p>
    <w:p>
      <w:pPr>
        <w:pStyle w:val="2"/>
        <w:rPr>
          <w:rFonts w:hint="eastAsia"/>
        </w:rPr>
      </w:pPr>
      <w:r>
        <w:rPr>
          <w:rFonts w:hint="eastAsia" w:ascii="仿宋" w:hAnsi="仿宋" w:eastAsia="仿宋" w:cs="仿宋"/>
          <w:b/>
          <w:color w:val="auto"/>
          <w:sz w:val="36"/>
          <w:szCs w:val="36"/>
          <w:highlight w:val="none"/>
        </w:rPr>
        <w:t>评标办法</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标项二</w:t>
      </w:r>
      <w:r>
        <w:rPr>
          <w:rFonts w:hint="eastAsia" w:ascii="仿宋" w:hAnsi="仿宋" w:eastAsia="仿宋" w:cs="仿宋"/>
          <w:b/>
          <w:color w:val="auto"/>
          <w:sz w:val="36"/>
          <w:szCs w:val="36"/>
          <w:highlight w:val="none"/>
          <w:lang w:eastAsia="zh-CN"/>
        </w:rPr>
        <w:t>）</w:t>
      </w:r>
    </w:p>
    <w:tbl>
      <w:tblPr>
        <w:tblStyle w:val="62"/>
        <w:tblpPr w:leftFromText="180" w:rightFromText="180" w:vertAnchor="text" w:horzAnchor="page" w:tblpX="1582" w:tblpY="735"/>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400"/>
        <w:gridCol w:w="72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jc w:val="both"/>
              <w:textAlignment w:val="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序号</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ind w:firstLine="1560" w:firstLineChars="650"/>
              <w:jc w:val="center"/>
              <w:textAlignment w:val="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评标标准</w:t>
            </w:r>
          </w:p>
        </w:tc>
        <w:tc>
          <w:tcPr>
            <w:tcW w:w="407"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权重</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Calibri" w:hAnsi="Calibri" w:eastAsia="仿宋" w:cs="Calibri"/>
                <w:color w:val="auto"/>
                <w:sz w:val="24"/>
                <w:highlight w:val="none"/>
                <w:shd w:val="clear" w:color="auto" w:fill="FFFFFF"/>
              </w:rPr>
              <w:t> </w:t>
            </w:r>
            <w:r>
              <w:rPr>
                <w:rFonts w:ascii="仿宋" w:hAnsi="仿宋" w:eastAsia="仿宋" w:cs="Arial"/>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3028" w:type="pct"/>
            <w:vAlign w:val="top"/>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近三年（20</w:t>
            </w:r>
            <w:r>
              <w:rPr>
                <w:rFonts w:hint="eastAsia" w:ascii="仿宋" w:hAnsi="仿宋" w:eastAsia="仿宋" w:cs="仿宋_GB2312"/>
                <w:color w:val="auto"/>
                <w:sz w:val="24"/>
                <w:highlight w:val="none"/>
                <w:lang w:val="en-US" w:eastAsia="zh-CN"/>
              </w:rPr>
              <w:t>21</w:t>
            </w:r>
            <w:r>
              <w:rPr>
                <w:rFonts w:hint="eastAsia" w:ascii="仿宋" w:hAnsi="仿宋" w:eastAsia="仿宋" w:cs="仿宋_GB2312"/>
                <w:color w:val="auto"/>
                <w:sz w:val="24"/>
                <w:highlight w:val="none"/>
              </w:rPr>
              <w:t>年1月1日至今）以来投标人承担疗休养项目情况：每提供一个合同复印件及满意度调查（需业主单位出具）得</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分，最高1分。</w:t>
            </w:r>
          </w:p>
        </w:tc>
        <w:tc>
          <w:tcPr>
            <w:tcW w:w="407" w:type="pct"/>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1</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（1）本项目服务导游不少于</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人（含项目总负责人一名）得</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分，不满足人数要求不得分；（0-</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w:t>
            </w:r>
          </w:p>
          <w:p>
            <w:pPr>
              <w:pStyle w:val="25"/>
              <w:keepNext w:val="0"/>
              <w:keepLines w:val="0"/>
              <w:pageBreakBefore w:val="0"/>
              <w:widowControl w:val="0"/>
              <w:kinsoku/>
              <w:wordWrap/>
              <w:overflowPunct/>
              <w:topLinePunct w:val="0"/>
              <w:bidi w:val="0"/>
              <w:adjustRightInd w:val="0"/>
              <w:snapToGrid/>
              <w:spacing w:line="360" w:lineRule="exact"/>
              <w:jc w:val="left"/>
              <w:textAlignment w:val="auto"/>
              <w:rPr>
                <w:rFonts w:ascii="仿宋" w:hAnsi="仿宋" w:eastAsia="仿宋" w:cs="仿宋_GB2312"/>
                <w:snapToGrid/>
                <w:color w:val="auto"/>
                <w:szCs w:val="24"/>
                <w:highlight w:val="none"/>
                <w:lang w:val="en-US"/>
              </w:rPr>
            </w:pPr>
            <w:r>
              <w:rPr>
                <w:rFonts w:hint="eastAsia" w:ascii="仿宋" w:hAnsi="仿宋" w:eastAsia="仿宋" w:cs="仿宋_GB2312"/>
                <w:snapToGrid/>
                <w:color w:val="auto"/>
                <w:szCs w:val="24"/>
                <w:highlight w:val="none"/>
                <w:lang w:val="en-US"/>
              </w:rPr>
              <w:t>（2）服务团队中导游具有</w:t>
            </w:r>
            <w:r>
              <w:rPr>
                <w:rFonts w:hint="eastAsia" w:ascii="仿宋" w:hAnsi="仿宋" w:eastAsia="仿宋" w:cs="仿宋_GB2312"/>
                <w:snapToGrid/>
                <w:color w:val="auto"/>
                <w:szCs w:val="24"/>
                <w:highlight w:val="none"/>
                <w:lang w:val="en-US" w:eastAsia="zh-CN"/>
              </w:rPr>
              <w:t>3</w:t>
            </w:r>
            <w:r>
              <w:rPr>
                <w:rFonts w:hint="eastAsia" w:ascii="仿宋" w:hAnsi="仿宋" w:eastAsia="仿宋" w:cs="仿宋_GB2312"/>
                <w:snapToGrid/>
                <w:color w:val="auto"/>
                <w:szCs w:val="24"/>
                <w:highlight w:val="none"/>
                <w:lang w:val="en-US"/>
              </w:rPr>
              <w:t>年及以上工作经验得</w:t>
            </w:r>
            <w:r>
              <w:rPr>
                <w:rFonts w:hint="eastAsia" w:ascii="仿宋" w:hAnsi="仿宋" w:eastAsia="仿宋" w:cs="仿宋_GB2312"/>
                <w:snapToGrid/>
                <w:color w:val="auto"/>
                <w:szCs w:val="24"/>
                <w:highlight w:val="none"/>
                <w:lang w:val="en-US" w:eastAsia="zh-CN"/>
              </w:rPr>
              <w:t>3</w:t>
            </w:r>
            <w:r>
              <w:rPr>
                <w:rFonts w:hint="eastAsia" w:ascii="仿宋" w:hAnsi="仿宋" w:eastAsia="仿宋" w:cs="仿宋_GB2312"/>
                <w:snapToGrid/>
                <w:color w:val="auto"/>
                <w:szCs w:val="24"/>
                <w:highlight w:val="none"/>
                <w:lang w:val="en-US"/>
              </w:rPr>
              <w:t>分；（0-</w:t>
            </w:r>
            <w:r>
              <w:rPr>
                <w:rFonts w:hint="eastAsia" w:ascii="仿宋" w:hAnsi="仿宋" w:eastAsia="仿宋" w:cs="仿宋_GB2312"/>
                <w:snapToGrid/>
                <w:color w:val="auto"/>
                <w:szCs w:val="24"/>
                <w:highlight w:val="none"/>
                <w:lang w:val="en-US" w:eastAsia="zh-CN"/>
              </w:rPr>
              <w:t>3</w:t>
            </w:r>
            <w:r>
              <w:rPr>
                <w:rFonts w:hint="eastAsia" w:ascii="仿宋" w:hAnsi="仿宋" w:eastAsia="仿宋" w:cs="仿宋_GB2312"/>
                <w:snapToGrid/>
                <w:color w:val="auto"/>
                <w:szCs w:val="24"/>
                <w:highlight w:val="none"/>
                <w:lang w:val="en-US"/>
              </w:rPr>
              <w:t>分）</w:t>
            </w:r>
          </w:p>
          <w:p>
            <w:pPr>
              <w:pStyle w:val="25"/>
              <w:keepNext w:val="0"/>
              <w:keepLines w:val="0"/>
              <w:pageBreakBefore w:val="0"/>
              <w:widowControl w:val="0"/>
              <w:kinsoku/>
              <w:wordWrap/>
              <w:overflowPunct/>
              <w:topLinePunct w:val="0"/>
              <w:bidi w:val="0"/>
              <w:adjustRightInd w:val="0"/>
              <w:snapToGrid/>
              <w:spacing w:line="360" w:lineRule="exact"/>
              <w:jc w:val="left"/>
              <w:textAlignment w:val="auto"/>
              <w:rPr>
                <w:rFonts w:hint="eastAsia" w:ascii="仿宋" w:hAnsi="仿宋" w:eastAsia="仿宋" w:cs="仿宋_GB2312"/>
                <w:b/>
                <w:bCs/>
                <w:snapToGrid/>
                <w:color w:val="auto"/>
                <w:kern w:val="2"/>
                <w:sz w:val="24"/>
                <w:szCs w:val="24"/>
                <w:highlight w:val="none"/>
                <w:lang w:val="en-US" w:eastAsia="zh-CN" w:bidi="ar-SA"/>
              </w:rPr>
            </w:pPr>
            <w:r>
              <w:rPr>
                <w:rFonts w:hint="eastAsia" w:ascii="仿宋" w:hAnsi="仿宋" w:eastAsia="仿宋" w:cs="仿宋_GB2312"/>
                <w:b/>
                <w:bCs/>
                <w:snapToGrid/>
                <w:color w:val="auto"/>
                <w:szCs w:val="24"/>
                <w:highlight w:val="none"/>
                <w:lang w:val="en-US"/>
              </w:rPr>
              <w:t>注：整体服务团队人员（含项目负责人）需提供导游资格证书</w:t>
            </w:r>
            <w:r>
              <w:rPr>
                <w:rFonts w:hint="eastAsia" w:ascii="仿宋" w:hAnsi="仿宋" w:eastAsia="仿宋" w:cs="仿宋_GB2312"/>
                <w:b/>
                <w:bCs/>
                <w:snapToGrid/>
                <w:color w:val="auto"/>
                <w:szCs w:val="24"/>
                <w:highlight w:val="none"/>
                <w:lang w:val="en-US" w:eastAsia="zh-CN"/>
              </w:rPr>
              <w:t>复印件并加盖公章及近一个月的社保证明复印件并加盖公章</w:t>
            </w:r>
            <w:r>
              <w:rPr>
                <w:rFonts w:hint="eastAsia" w:ascii="仿宋" w:hAnsi="仿宋" w:eastAsia="仿宋" w:cs="仿宋_GB2312"/>
                <w:b/>
                <w:bCs/>
                <w:snapToGrid/>
                <w:color w:val="auto"/>
                <w:szCs w:val="24"/>
                <w:highlight w:val="none"/>
                <w:lang w:val="en-US"/>
              </w:rPr>
              <w:t>，</w:t>
            </w:r>
            <w:r>
              <w:rPr>
                <w:rFonts w:hint="eastAsia" w:ascii="仿宋" w:hAnsi="仿宋" w:eastAsia="仿宋" w:cs="仿宋_GB2312"/>
                <w:b/>
                <w:bCs/>
                <w:snapToGrid/>
                <w:color w:val="auto"/>
                <w:szCs w:val="24"/>
                <w:highlight w:val="none"/>
                <w:lang w:val="en-US" w:eastAsia="zh-CN"/>
              </w:rPr>
              <w:t>否则不得分。</w:t>
            </w:r>
          </w:p>
        </w:tc>
        <w:tc>
          <w:tcPr>
            <w:tcW w:w="407" w:type="pct"/>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人员配备组织方案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bCs/>
                <w:color w:val="auto"/>
                <w:sz w:val="24"/>
                <w:highlight w:val="none"/>
              </w:rPr>
              <w:t>策划方案内容全面</w:t>
            </w:r>
            <w:r>
              <w:rPr>
                <w:rFonts w:hint="eastAsia" w:ascii="仿宋" w:hAnsi="仿宋" w:eastAsia="仿宋"/>
                <w:bCs/>
                <w:color w:val="auto"/>
                <w:sz w:val="24"/>
                <w:highlight w:val="none"/>
                <w:lang w:eastAsia="zh-CN"/>
              </w:rPr>
              <w:t>、</w:t>
            </w:r>
            <w:r>
              <w:rPr>
                <w:rFonts w:hint="eastAsia" w:ascii="仿宋" w:hAnsi="仿宋" w:eastAsia="仿宋"/>
                <w:bCs/>
                <w:color w:val="auto"/>
                <w:sz w:val="24"/>
                <w:highlight w:val="none"/>
              </w:rPr>
              <w:t>完整,线路符合招标文件要求及疗休养相关政策，策划突出疗休养主题，对“疗休养”方案分析针对性强、全面深入得</w:t>
            </w:r>
            <w:r>
              <w:rPr>
                <w:rFonts w:ascii="仿宋" w:hAnsi="仿宋" w:eastAsia="仿宋"/>
                <w:bCs/>
                <w:color w:val="auto"/>
                <w:sz w:val="24"/>
                <w:highlight w:val="none"/>
              </w:rPr>
              <w:t>5</w:t>
            </w:r>
            <w:r>
              <w:rPr>
                <w:rFonts w:hint="eastAsia" w:ascii="仿宋" w:hAnsi="仿宋" w:eastAsia="仿宋"/>
                <w:bCs/>
                <w:color w:val="auto"/>
                <w:sz w:val="24"/>
                <w:highlight w:val="none"/>
              </w:rPr>
              <w:t>分，对“疗休养”方案分析针对性较强、较全面深入得</w:t>
            </w:r>
            <w:r>
              <w:rPr>
                <w:rFonts w:ascii="仿宋" w:hAnsi="仿宋" w:eastAsia="仿宋"/>
                <w:bCs/>
                <w:color w:val="auto"/>
                <w:sz w:val="24"/>
                <w:highlight w:val="none"/>
              </w:rPr>
              <w:t>3</w:t>
            </w:r>
            <w:r>
              <w:rPr>
                <w:rFonts w:hint="eastAsia" w:ascii="仿宋" w:hAnsi="仿宋" w:eastAsia="仿宋"/>
                <w:bCs/>
                <w:color w:val="auto"/>
                <w:sz w:val="24"/>
                <w:highlight w:val="none"/>
              </w:rPr>
              <w:t>分，对“疗休养”方案分析一般，针对性不足得1分，未提供方案不得分。</w:t>
            </w:r>
          </w:p>
        </w:tc>
        <w:tc>
          <w:tcPr>
            <w:tcW w:w="407" w:type="pct"/>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疗休养活动策划方案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olor w:val="auto"/>
                <w:sz w:val="24"/>
                <w:highlight w:val="none"/>
              </w:rPr>
              <w:t>餐饮安排内容合理具体，具有当地特色、菜肴搭配丰富均衡、</w:t>
            </w:r>
            <w:r>
              <w:rPr>
                <w:rFonts w:hint="eastAsia" w:ascii="仿宋" w:hAnsi="仿宋" w:eastAsia="仿宋"/>
                <w:color w:val="auto"/>
                <w:sz w:val="24"/>
                <w:highlight w:val="none"/>
                <w:lang w:val="en-US" w:eastAsia="zh-CN"/>
              </w:rPr>
              <w:t>拟安排的</w:t>
            </w:r>
            <w:r>
              <w:rPr>
                <w:rFonts w:hint="eastAsia" w:ascii="仿宋" w:hAnsi="仿宋" w:eastAsia="仿宋"/>
                <w:color w:val="auto"/>
                <w:sz w:val="24"/>
                <w:highlight w:val="none"/>
              </w:rPr>
              <w:t>社会餐厅综合评价好的得5分，具有当地特色、菜肴搭配较为丰富均衡、</w:t>
            </w:r>
            <w:r>
              <w:rPr>
                <w:rFonts w:hint="eastAsia" w:ascii="仿宋" w:hAnsi="仿宋" w:eastAsia="仿宋"/>
                <w:color w:val="auto"/>
                <w:sz w:val="24"/>
                <w:highlight w:val="none"/>
                <w:lang w:val="en-US" w:eastAsia="zh-CN"/>
              </w:rPr>
              <w:t>拟安排的</w:t>
            </w:r>
            <w:r>
              <w:rPr>
                <w:rFonts w:hint="eastAsia" w:ascii="仿宋" w:hAnsi="仿宋" w:eastAsia="仿宋"/>
                <w:color w:val="auto"/>
                <w:sz w:val="24"/>
                <w:highlight w:val="none"/>
              </w:rPr>
              <w:t>社会餐厅综合评价</w:t>
            </w:r>
            <w:r>
              <w:rPr>
                <w:rFonts w:hint="eastAsia" w:ascii="仿宋" w:hAnsi="仿宋" w:eastAsia="仿宋"/>
                <w:color w:val="auto"/>
                <w:sz w:val="24"/>
                <w:highlight w:val="none"/>
                <w:lang w:val="en-US" w:eastAsia="zh-CN"/>
              </w:rPr>
              <w:t>较</w:t>
            </w:r>
            <w:r>
              <w:rPr>
                <w:rFonts w:hint="eastAsia" w:ascii="仿宋" w:hAnsi="仿宋" w:eastAsia="仿宋"/>
                <w:color w:val="auto"/>
                <w:sz w:val="24"/>
                <w:highlight w:val="none"/>
              </w:rPr>
              <w:t>好的得3分，菜肴搭配一般、缺少当地特色、</w:t>
            </w:r>
            <w:r>
              <w:rPr>
                <w:rFonts w:hint="eastAsia" w:ascii="仿宋" w:hAnsi="仿宋" w:eastAsia="仿宋"/>
                <w:color w:val="auto"/>
                <w:sz w:val="24"/>
                <w:highlight w:val="none"/>
                <w:lang w:val="en-US" w:eastAsia="zh-CN"/>
              </w:rPr>
              <w:t>拟安排的</w:t>
            </w:r>
            <w:r>
              <w:rPr>
                <w:rFonts w:hint="eastAsia" w:ascii="仿宋" w:hAnsi="仿宋" w:eastAsia="仿宋"/>
                <w:color w:val="auto"/>
                <w:sz w:val="24"/>
                <w:highlight w:val="none"/>
              </w:rPr>
              <w:t>社会餐厅评价一般的得1分，未提供方案的不得分。</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疗休养活动策划方案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olor w:val="auto"/>
                <w:sz w:val="24"/>
                <w:highlight w:val="none"/>
              </w:rPr>
              <w:t>游览行程安排合理具体，景点设置完善</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详细、游览线路安排合理、符合疗休养定位得5分，景点设置内容较为完善详细、游览线路安排较为合理、符合疗休养定位得3分，景点设置内容完整度一般、游览线路安排合理性一般，疗休养定位尚有不足得1分，未提供方案的不得分。</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疗休养活动策划方案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6</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olor w:val="auto"/>
                <w:sz w:val="24"/>
                <w:highlight w:val="none"/>
              </w:rPr>
              <w:t>住宿酒店安排合理具体，酒店星级评价达到招标文件要求、地理位置处该地区中心（除必须入住景区周边的酒店外）、周边交通环境出行方便得5分，酒店星级评价达到招标文件要求、地理位置与该地区中心有一定偏差（除必须入住景区周边的酒店外）、周边交通环境出行较为方便得3分，酒店星级评价与招标文件要求有一定偏离、地理位置与该地区中心位置偏差较大（除必须入住景区周边的酒店外）、周边交通环境出行一般得1分，未提供方案的不得分。</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疗休养活动策划方案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7</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olor w:val="auto"/>
                <w:sz w:val="24"/>
                <w:highlight w:val="none"/>
              </w:rPr>
              <w:t>对交通的安排合理具体，满足项目人员出行及安全保障条件，旅游大巴车型多样化，符合不同批次出行人数需求，且车况良好为二年之内设施好的空调旅游车得5分，旅游大巴车型较为多样化，符合不同批次出行人数需求，但使用年限为两年至四年的旅游大巴得3分，旅游大巴车型不够多样化，车况一般为五年以上空调旅游车得1分，未提供方案的不得分。（需提供旅游大巴车辆行驶证</w:t>
            </w:r>
            <w:r>
              <w:rPr>
                <w:rFonts w:hint="eastAsia" w:ascii="仿宋" w:hAnsi="仿宋" w:eastAsia="仿宋"/>
                <w:color w:val="auto"/>
                <w:sz w:val="24"/>
                <w:highlight w:val="none"/>
                <w:lang w:val="en-US" w:eastAsia="zh-CN"/>
              </w:rPr>
              <w:t>复印件并加盖公章</w:t>
            </w:r>
            <w:r>
              <w:rPr>
                <w:rFonts w:hint="eastAsia" w:ascii="仿宋" w:hAnsi="仿宋" w:eastAsia="仿宋"/>
                <w:color w:val="auto"/>
                <w:sz w:val="24"/>
                <w:highlight w:val="none"/>
              </w:rPr>
              <w:t>）</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疗休养活动策划方案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8</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工作程序和步骤、管理和协调方法、关键步骤合理可行，包括整体行程策划，与采购人的沟通协调，行程前、行程中、行程后的组织条理清晰，详细完整得5分；提供的工作程序和步骤、管理和协调方法、关键步骤较清晰、较合理可行得3分；提供的工作程序和步骤、管理和协调方法一般，还需进一步完善得1分，未提供不得分。</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服务实施计划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9</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对人员出行批次（每批次的人数）的进度安排合理、科学，包括每个团的人数控制到位，不因出团人员过多</w:t>
            </w:r>
            <w:r>
              <w:rPr>
                <w:rFonts w:hint="eastAsia" w:ascii="仿宋" w:hAnsi="仿宋" w:eastAsia="仿宋" w:cs="仿宋_GB2312"/>
                <w:color w:val="auto"/>
                <w:sz w:val="24"/>
                <w:highlight w:val="none"/>
                <w:lang w:val="en-US" w:eastAsia="zh-CN"/>
              </w:rPr>
              <w:t>或过少</w:t>
            </w:r>
            <w:r>
              <w:rPr>
                <w:rFonts w:hint="eastAsia" w:ascii="仿宋" w:hAnsi="仿宋" w:eastAsia="仿宋" w:cs="仿宋_GB2312"/>
                <w:color w:val="auto"/>
                <w:sz w:val="24"/>
                <w:highlight w:val="none"/>
              </w:rPr>
              <w:t>导致服务质量的下降得5分；对人员出行批次进度安排较为合理、科学得3分；对人员出行批次进度安排一般得1分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未提供方案不得分。</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服务实施计划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安全管理（应急预案应考虑医院与酒店的距离）措施到位，充分考虑安全管理的各方面因素，如人员受伤、食物中毒、身体不适等因素得5分；安全管理方案较为周全、措施较到位得3分；安全管理方案不够周全、措施一般，需进一步完善得1分，未提供不得分。</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提供</w:t>
            </w:r>
            <w:r>
              <w:rPr>
                <w:rFonts w:hint="eastAsia" w:ascii="仿宋" w:hAnsi="仿宋" w:eastAsia="仿宋" w:cs="仿宋_GB2312"/>
                <w:color w:val="auto"/>
                <w:sz w:val="24"/>
                <w:highlight w:val="none"/>
                <w:lang w:val="en-US" w:eastAsia="zh-CN"/>
              </w:rPr>
              <w:t>的</w:t>
            </w:r>
            <w:r>
              <w:rPr>
                <w:rFonts w:hint="eastAsia" w:ascii="仿宋" w:hAnsi="仿宋" w:eastAsia="仿宋" w:cs="仿宋_GB2312"/>
                <w:color w:val="auto"/>
                <w:sz w:val="24"/>
                <w:highlight w:val="none"/>
              </w:rPr>
              <w:t>加强服务舒适度保障的相关措施，整体措施方案实用性强、考虑周全的得5分；有舒适度保障相关措施，整体措施方案实用性较强、考虑较周全得3分；有舒适度保障相关措施，但整体措施方案实用性一般、考虑不够周全，需进一步完善得1分，未提供方案的不得分。</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加强服务舒适度保障措施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3028" w:type="pct"/>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的管理制度健全，能有效保障本次服务，对服务人员有效管控得5分；投标人管理制度较为健全，对服务人员管控较为有效得3分；投标人管理制度及对服务人员管控一般，但不够健全，需进一步完善得1分，未提供不得分。</w:t>
            </w:r>
          </w:p>
        </w:tc>
        <w:tc>
          <w:tcPr>
            <w:tcW w:w="40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管理制度组织方案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3</w:t>
            </w:r>
          </w:p>
        </w:tc>
        <w:tc>
          <w:tcPr>
            <w:tcW w:w="3028" w:type="pct"/>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供应商的企业责任保险保额达到</w:t>
            </w:r>
            <w:r>
              <w:rPr>
                <w:rFonts w:hint="eastAsia" w:ascii="仿宋" w:hAnsi="仿宋" w:eastAsia="仿宋" w:cs="仿宋_GB2312"/>
                <w:color w:val="auto"/>
                <w:sz w:val="24"/>
                <w:highlight w:val="none"/>
                <w:lang w:val="en-US" w:eastAsia="zh-CN"/>
              </w:rPr>
              <w:t>500</w:t>
            </w:r>
            <w:r>
              <w:rPr>
                <w:rFonts w:hint="eastAsia" w:ascii="仿宋" w:hAnsi="仿宋" w:eastAsia="仿宋" w:cs="仿宋_GB2312"/>
                <w:color w:val="auto"/>
                <w:sz w:val="24"/>
                <w:highlight w:val="none"/>
              </w:rPr>
              <w:t>万以上的得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500</w:t>
            </w:r>
            <w:r>
              <w:rPr>
                <w:rFonts w:hint="eastAsia" w:ascii="仿宋" w:hAnsi="仿宋" w:eastAsia="仿宋" w:cs="仿宋_GB2312"/>
                <w:color w:val="auto"/>
                <w:sz w:val="24"/>
                <w:highlight w:val="none"/>
              </w:rPr>
              <w:t>万的得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500</w:t>
            </w:r>
            <w:r>
              <w:rPr>
                <w:rFonts w:hint="eastAsia" w:ascii="仿宋" w:hAnsi="仿宋" w:eastAsia="仿宋" w:cs="仿宋_GB2312"/>
                <w:color w:val="auto"/>
                <w:sz w:val="24"/>
                <w:highlight w:val="none"/>
              </w:rPr>
              <w:t xml:space="preserve">万（不含）以下的不得分（提供承诺函，格式自拟）； </w:t>
            </w:r>
          </w:p>
        </w:tc>
        <w:tc>
          <w:tcPr>
            <w:tcW w:w="40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保险承诺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4</w:t>
            </w:r>
          </w:p>
        </w:tc>
        <w:tc>
          <w:tcPr>
            <w:tcW w:w="3028" w:type="pct"/>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个人旅游人身意外险（人身意外险包括意外伤害、突发性疾病、伤害医疗、突发性医疗等）保额达到</w:t>
            </w:r>
            <w:r>
              <w:rPr>
                <w:rFonts w:hint="eastAsia" w:ascii="仿宋" w:hAnsi="仿宋" w:eastAsia="仿宋" w:cs="仿宋_GB2312"/>
                <w:color w:val="auto"/>
                <w:sz w:val="24"/>
                <w:highlight w:val="none"/>
                <w:lang w:val="en-US" w:eastAsia="zh-CN"/>
              </w:rPr>
              <w:t>150</w:t>
            </w:r>
            <w:r>
              <w:rPr>
                <w:rFonts w:hint="eastAsia" w:ascii="仿宋" w:hAnsi="仿宋" w:eastAsia="仿宋" w:cs="仿宋_GB2312"/>
                <w:color w:val="auto"/>
                <w:sz w:val="24"/>
                <w:highlight w:val="none"/>
              </w:rPr>
              <w:t>万以上的得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150</w:t>
            </w:r>
            <w:r>
              <w:rPr>
                <w:rFonts w:hint="eastAsia" w:ascii="仿宋" w:hAnsi="仿宋" w:eastAsia="仿宋" w:cs="仿宋_GB2312"/>
                <w:color w:val="auto"/>
                <w:sz w:val="24"/>
                <w:highlight w:val="none"/>
              </w:rPr>
              <w:t>万的得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150</w:t>
            </w:r>
            <w:r>
              <w:rPr>
                <w:rFonts w:hint="eastAsia" w:ascii="仿宋" w:hAnsi="仿宋" w:eastAsia="仿宋" w:cs="仿宋_GB2312"/>
                <w:color w:val="auto"/>
                <w:sz w:val="24"/>
                <w:highlight w:val="none"/>
              </w:rPr>
              <w:t xml:space="preserve">万（不含）以下的不得分(提供承诺函，格式自拟)； </w:t>
            </w:r>
          </w:p>
        </w:tc>
        <w:tc>
          <w:tcPr>
            <w:tcW w:w="40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保险承诺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5</w:t>
            </w:r>
          </w:p>
        </w:tc>
        <w:tc>
          <w:tcPr>
            <w:tcW w:w="3028" w:type="pct"/>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投标人承诺提供小额赔款（500元及以下）先行赔付的得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分，不提供则不得分(提供承诺函，格式自拟)；</w:t>
            </w:r>
          </w:p>
        </w:tc>
        <w:tc>
          <w:tcPr>
            <w:tcW w:w="40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保险承诺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6</w:t>
            </w:r>
          </w:p>
        </w:tc>
        <w:tc>
          <w:tcPr>
            <w:tcW w:w="3028" w:type="pct"/>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投标人承诺全程不进购物点、无商业广告及各类产品推销和介绍、无自费景点或活动得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分，不提供则不得分 (提供承诺函，格式自拟)；</w:t>
            </w:r>
          </w:p>
        </w:tc>
        <w:tc>
          <w:tcPr>
            <w:tcW w:w="40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4</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无购物点承诺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7</w:t>
            </w:r>
          </w:p>
        </w:tc>
        <w:tc>
          <w:tcPr>
            <w:tcW w:w="3028" w:type="pct"/>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投标人提供的增值优惠服务</w:t>
            </w:r>
            <w:r>
              <w:rPr>
                <w:rFonts w:hint="eastAsia" w:ascii="仿宋" w:hAnsi="仿宋" w:eastAsia="仿宋" w:cs="仿宋_GB2312"/>
                <w:color w:val="auto"/>
                <w:sz w:val="24"/>
                <w:highlight w:val="none"/>
              </w:rPr>
              <w:t>方案，</w:t>
            </w:r>
            <w:r>
              <w:rPr>
                <w:rFonts w:hint="eastAsia" w:ascii="仿宋" w:hAnsi="仿宋" w:eastAsia="仿宋" w:cs="仿宋_GB2312"/>
                <w:color w:val="auto"/>
                <w:sz w:val="24"/>
                <w:highlight w:val="none"/>
                <w:lang w:val="en-US" w:eastAsia="zh-CN"/>
              </w:rPr>
              <w:t>内容可行</w:t>
            </w:r>
            <w:r>
              <w:rPr>
                <w:rFonts w:hint="eastAsia" w:ascii="仿宋" w:hAnsi="仿宋" w:eastAsia="仿宋" w:cs="仿宋_GB2312"/>
                <w:color w:val="auto"/>
                <w:sz w:val="24"/>
                <w:highlight w:val="none"/>
              </w:rPr>
              <w:t>、实用性强得</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内容较可行</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内容</w:t>
            </w:r>
            <w:r>
              <w:rPr>
                <w:rFonts w:hint="eastAsia" w:ascii="仿宋" w:hAnsi="仿宋" w:eastAsia="仿宋" w:cs="仿宋_GB2312"/>
                <w:color w:val="auto"/>
                <w:sz w:val="24"/>
                <w:highlight w:val="none"/>
              </w:rPr>
              <w:t>需进一步完善</w:t>
            </w:r>
            <w:r>
              <w:rPr>
                <w:rFonts w:hint="eastAsia" w:ascii="仿宋" w:hAnsi="仿宋" w:eastAsia="仿宋" w:cs="仿宋_GB2312"/>
                <w:color w:val="auto"/>
                <w:sz w:val="24"/>
                <w:highlight w:val="none"/>
                <w:lang w:val="en-US" w:eastAsia="zh-CN"/>
              </w:rPr>
              <w:t>得1分，</w:t>
            </w:r>
            <w:r>
              <w:rPr>
                <w:rFonts w:hint="eastAsia" w:ascii="仿宋" w:hAnsi="仿宋" w:eastAsia="仿宋" w:cs="仿宋_GB2312"/>
                <w:color w:val="auto"/>
                <w:sz w:val="24"/>
                <w:highlight w:val="none"/>
              </w:rPr>
              <w:t>未提供方案的不得分。</w:t>
            </w:r>
          </w:p>
        </w:tc>
        <w:tc>
          <w:tcPr>
            <w:tcW w:w="40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增值优惠服务</w:t>
            </w:r>
            <w:r>
              <w:rPr>
                <w:rFonts w:hint="eastAsia" w:ascii="仿宋" w:hAnsi="仿宋" w:eastAsia="仿宋" w:cs="仿宋_GB2312"/>
                <w:color w:val="auto"/>
                <w:sz w:val="24"/>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18</w:t>
            </w:r>
          </w:p>
        </w:tc>
        <w:tc>
          <w:tcPr>
            <w:tcW w:w="3028" w:type="pct"/>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服务质量标准严谨、详细、操作性强得</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分；服务质量标准较严谨、较详细、操作性较强得</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分；服务质量标准内容完整度、操作性一般，需进一步完善得1分，未提供考核标准的不得分。</w:t>
            </w:r>
          </w:p>
        </w:tc>
        <w:tc>
          <w:tcPr>
            <w:tcW w:w="40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360" w:firstLineChars="15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19</w:t>
            </w:r>
          </w:p>
        </w:tc>
        <w:tc>
          <w:tcPr>
            <w:tcW w:w="3028" w:type="pct"/>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针对本项目的合理化建议，在符合招标文件规定的线路标准的基础上，根据招标人疗休养目的地及服务对象等方面，提出合理化建议，增加疗休养体验感提高满意度。内容合理、详细、针对性强得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分，内容较合理、较详细、针对性较强得</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分，内容不够合理、不够详细、缺乏针对性</w:t>
            </w:r>
            <w:r>
              <w:rPr>
                <w:rFonts w:hint="eastAsia" w:ascii="仿宋" w:hAnsi="仿宋" w:eastAsia="仿宋" w:cs="仿宋_GB2312"/>
                <w:color w:val="auto"/>
                <w:sz w:val="24"/>
                <w:highlight w:val="none"/>
                <w:lang w:val="en-US" w:eastAsia="zh-CN"/>
              </w:rPr>
              <w:t>得1分，</w:t>
            </w:r>
            <w:r>
              <w:rPr>
                <w:rFonts w:hint="eastAsia" w:ascii="仿宋" w:hAnsi="仿宋" w:eastAsia="仿宋" w:cs="仿宋_GB2312"/>
                <w:color w:val="auto"/>
                <w:sz w:val="24"/>
                <w:highlight w:val="none"/>
              </w:rPr>
              <w:t>未提供不得分。</w:t>
            </w:r>
          </w:p>
        </w:tc>
        <w:tc>
          <w:tcPr>
            <w:tcW w:w="40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1095" w:type="pct"/>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000" w:type="pct"/>
            <w:gridSpan w:val="4"/>
            <w:vAlign w:val="center"/>
          </w:tcPr>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报价总分10分：</w:t>
            </w:r>
          </w:p>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有效投标报价的最低价作为评标基准价，其最低报价为满分；按［投标报价得分</w:t>
            </w:r>
            <w:r>
              <w:rPr>
                <w:rFonts w:ascii="仿宋" w:hAnsi="仿宋" w:eastAsia="仿宋" w:cs="仿宋_GB2312"/>
                <w:color w:val="auto"/>
                <w:sz w:val="24"/>
                <w:highlight w:val="none"/>
              </w:rPr>
              <w:t>=（评标基准价/投标报价）*10］的计算公式计算。</w:t>
            </w:r>
          </w:p>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ascii="仿宋" w:hAnsi="仿宋" w:eastAsia="仿宋" w:cs="仿宋_GB2312"/>
                <w:color w:val="auto"/>
                <w:sz w:val="24"/>
                <w:highlight w:val="none"/>
              </w:rPr>
              <w:t>评标过程中，不得去掉报价中的最高报价和最低报价。</w:t>
            </w:r>
          </w:p>
          <w:p>
            <w:pPr>
              <w:keepNext w:val="0"/>
              <w:keepLines w:val="0"/>
              <w:pageBreakBefore w:val="0"/>
              <w:widowControl w:val="0"/>
              <w:kinsoku/>
              <w:wordWrap/>
              <w:overflowPunct/>
              <w:topLinePunct w:val="0"/>
              <w:bidi w:val="0"/>
              <w:adjustRightInd w:val="0"/>
              <w:snapToGrid/>
              <w:spacing w:line="360" w:lineRule="exact"/>
              <w:jc w:val="left"/>
              <w:textAlignment w:val="auto"/>
              <w:outlineLvl w:val="0"/>
              <w:rPr>
                <w:rFonts w:ascii="仿宋" w:hAnsi="仿宋" w:eastAsia="仿宋" w:cs="仿宋_GB2312"/>
                <w:color w:val="auto"/>
                <w:sz w:val="24"/>
                <w:highlight w:val="none"/>
              </w:rPr>
            </w:pPr>
            <w:r>
              <w:rPr>
                <w:rFonts w:ascii="仿宋" w:hAnsi="仿宋" w:eastAsia="仿宋" w:cs="仿宋_GB2312"/>
                <w:color w:val="auto"/>
                <w:sz w:val="24"/>
                <w:highlight w:val="none"/>
              </w:rPr>
              <w:t>因落实政府采购政策</w:t>
            </w:r>
            <w:r>
              <w:rPr>
                <w:rFonts w:hint="eastAsia" w:ascii="仿宋" w:hAnsi="仿宋" w:eastAsia="仿宋" w:cs="仿宋_GB2312"/>
                <w:color w:val="auto"/>
                <w:sz w:val="24"/>
                <w:highlight w:val="none"/>
              </w:rPr>
              <w:t>需要</w:t>
            </w:r>
            <w:r>
              <w:rPr>
                <w:rFonts w:ascii="仿宋" w:hAnsi="仿宋" w:eastAsia="仿宋" w:cs="仿宋_GB2312"/>
                <w:color w:val="auto"/>
                <w:sz w:val="24"/>
                <w:highlight w:val="none"/>
              </w:rPr>
              <w:t>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w:t>
            </w:r>
          </w:p>
        </w:tc>
        <w:tc>
          <w:tcPr>
            <w:tcW w:w="5400" w:type="dxa"/>
            <w:vAlign w:val="center"/>
          </w:tcPr>
          <w:p>
            <w:pPr>
              <w:widowControl/>
              <w:snapToGrid w:val="0"/>
              <w:spacing w:line="348"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kern w:val="0"/>
                <w:sz w:val="24"/>
              </w:rPr>
              <w:t>线路</w:t>
            </w:r>
            <w:r>
              <w:rPr>
                <w:rFonts w:hint="eastAsia" w:ascii="宋体" w:hAnsi="宋体" w:eastAsia="宋体" w:cs="宋体"/>
                <w:kern w:val="0"/>
                <w:sz w:val="24"/>
                <w:lang w:val="en-US" w:eastAsia="zh-CN"/>
              </w:rPr>
              <w:t>五</w:t>
            </w:r>
            <w:r>
              <w:rPr>
                <w:rFonts w:hint="eastAsia" w:ascii="宋体" w:hAnsi="宋体" w:eastAsia="宋体" w:cs="宋体"/>
                <w:kern w:val="0"/>
                <w:sz w:val="24"/>
              </w:rPr>
              <w:t>：</w:t>
            </w:r>
            <w:r>
              <w:rPr>
                <w:rFonts w:hint="eastAsia" w:ascii="宋体" w:hAnsi="宋体" w:cs="宋体"/>
                <w:kern w:val="0"/>
                <w:sz w:val="24"/>
                <w:lang w:val="en-US" w:eastAsia="zh-CN"/>
              </w:rPr>
              <w:t>宁波</w:t>
            </w:r>
            <w:r>
              <w:rPr>
                <w:rFonts w:hint="eastAsia" w:ascii="宋体" w:hAnsi="宋体" w:eastAsia="宋体" w:cs="宋体"/>
                <w:kern w:val="0"/>
                <w:sz w:val="24"/>
              </w:rPr>
              <w:t>（省内5天）</w:t>
            </w:r>
          </w:p>
        </w:tc>
        <w:tc>
          <w:tcPr>
            <w:tcW w:w="727" w:type="dxa"/>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2.5</w:t>
            </w:r>
          </w:p>
        </w:tc>
        <w:tc>
          <w:tcPr>
            <w:tcW w:w="1954" w:type="dxa"/>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w:t>
            </w:r>
          </w:p>
        </w:tc>
        <w:tc>
          <w:tcPr>
            <w:tcW w:w="5400" w:type="dxa"/>
            <w:vAlign w:val="center"/>
          </w:tcPr>
          <w:p>
            <w:pPr>
              <w:widowControl/>
              <w:snapToGrid w:val="0"/>
              <w:spacing w:line="348"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线路</w:t>
            </w:r>
            <w:r>
              <w:rPr>
                <w:rFonts w:hint="eastAsia" w:ascii="宋体" w:hAnsi="宋体" w:eastAsia="宋体" w:cs="宋体"/>
                <w:kern w:val="0"/>
                <w:sz w:val="24"/>
                <w:lang w:val="en-US" w:eastAsia="zh-CN"/>
              </w:rPr>
              <w:t>六</w:t>
            </w:r>
            <w:r>
              <w:rPr>
                <w:rFonts w:hint="eastAsia" w:ascii="宋体" w:hAnsi="宋体" w:eastAsia="宋体" w:cs="宋体"/>
                <w:kern w:val="0"/>
                <w:sz w:val="24"/>
              </w:rPr>
              <w:t>：</w:t>
            </w:r>
            <w:r>
              <w:rPr>
                <w:rFonts w:hint="eastAsia" w:ascii="宋体" w:hAnsi="宋体" w:cs="宋体"/>
                <w:kern w:val="0"/>
                <w:sz w:val="24"/>
                <w:lang w:val="en-US" w:eastAsia="zh-CN"/>
              </w:rPr>
              <w:t>湖州</w:t>
            </w:r>
            <w:r>
              <w:rPr>
                <w:rFonts w:hint="eastAsia" w:ascii="宋体" w:hAnsi="宋体" w:eastAsia="宋体" w:cs="宋体"/>
                <w:kern w:val="0"/>
                <w:sz w:val="24"/>
              </w:rPr>
              <w:t>（省内5天）</w:t>
            </w:r>
          </w:p>
        </w:tc>
        <w:tc>
          <w:tcPr>
            <w:tcW w:w="727" w:type="dxa"/>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2.5</w:t>
            </w:r>
          </w:p>
        </w:tc>
        <w:tc>
          <w:tcPr>
            <w:tcW w:w="1954" w:type="dxa"/>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5400" w:type="dxa"/>
            <w:vAlign w:val="center"/>
          </w:tcPr>
          <w:p>
            <w:pPr>
              <w:widowControl/>
              <w:snapToGrid w:val="0"/>
              <w:spacing w:line="348"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kern w:val="0"/>
                <w:sz w:val="24"/>
              </w:rPr>
              <w:t>线路</w:t>
            </w:r>
            <w:r>
              <w:rPr>
                <w:rFonts w:hint="eastAsia" w:ascii="宋体" w:hAnsi="宋体" w:eastAsia="宋体" w:cs="宋体"/>
                <w:kern w:val="0"/>
                <w:sz w:val="24"/>
                <w:lang w:val="en-US" w:eastAsia="zh-CN"/>
              </w:rPr>
              <w:t>七</w:t>
            </w:r>
            <w:r>
              <w:rPr>
                <w:rFonts w:hint="eastAsia" w:ascii="宋体" w:hAnsi="宋体" w:eastAsia="宋体" w:cs="宋体"/>
                <w:kern w:val="0"/>
                <w:sz w:val="24"/>
              </w:rPr>
              <w:t>：</w:t>
            </w:r>
            <w:r>
              <w:rPr>
                <w:rFonts w:hint="eastAsia" w:ascii="宋体" w:hAnsi="宋体" w:eastAsia="宋体" w:cs="宋体"/>
                <w:kern w:val="0"/>
                <w:sz w:val="24"/>
                <w:lang w:val="en-US" w:eastAsia="zh-CN"/>
              </w:rPr>
              <w:t>丽水</w:t>
            </w:r>
            <w:r>
              <w:rPr>
                <w:rFonts w:hint="eastAsia" w:ascii="宋体" w:hAnsi="宋体" w:eastAsia="宋体" w:cs="宋体"/>
                <w:kern w:val="0"/>
                <w:sz w:val="24"/>
              </w:rPr>
              <w:t>（省内5天）</w:t>
            </w:r>
          </w:p>
        </w:tc>
        <w:tc>
          <w:tcPr>
            <w:tcW w:w="727" w:type="dxa"/>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2.5</w:t>
            </w:r>
          </w:p>
        </w:tc>
        <w:tc>
          <w:tcPr>
            <w:tcW w:w="1954" w:type="dxa"/>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67" w:type="pct"/>
            <w:vAlign w:val="center"/>
          </w:tcPr>
          <w:p>
            <w:pPr>
              <w:keepNext w:val="0"/>
              <w:keepLines w:val="0"/>
              <w:pageBreakBefore w:val="0"/>
              <w:widowControl w:val="0"/>
              <w:kinsoku/>
              <w:wordWrap/>
              <w:overflowPunct/>
              <w:topLinePunct w:val="0"/>
              <w:bidi w:val="0"/>
              <w:adjustRightInd w:val="0"/>
              <w:snapToGrid/>
              <w:spacing w:line="360" w:lineRule="exact"/>
              <w:ind w:firstLine="240" w:firstLineChars="100"/>
              <w:jc w:val="both"/>
              <w:textAlignment w:val="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c>
          <w:tcPr>
            <w:tcW w:w="5400" w:type="dxa"/>
            <w:vAlign w:val="center"/>
          </w:tcPr>
          <w:p>
            <w:pPr>
              <w:widowControl/>
              <w:snapToGrid w:val="0"/>
              <w:spacing w:line="348"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线路</w:t>
            </w:r>
            <w:r>
              <w:rPr>
                <w:rFonts w:hint="eastAsia" w:ascii="宋体" w:hAnsi="宋体" w:eastAsia="宋体" w:cs="宋体"/>
                <w:kern w:val="0"/>
                <w:sz w:val="24"/>
                <w:lang w:val="en-US" w:eastAsia="zh-CN"/>
              </w:rPr>
              <w:t>八</w:t>
            </w:r>
            <w:r>
              <w:rPr>
                <w:rFonts w:hint="eastAsia" w:ascii="宋体" w:hAnsi="宋体" w:eastAsia="宋体" w:cs="宋体"/>
                <w:kern w:val="0"/>
                <w:sz w:val="24"/>
              </w:rPr>
              <w:t>：</w:t>
            </w:r>
            <w:r>
              <w:rPr>
                <w:rFonts w:hint="eastAsia" w:ascii="宋体" w:hAnsi="宋体" w:cs="宋体"/>
                <w:kern w:val="0"/>
                <w:sz w:val="24"/>
                <w:lang w:val="en-US" w:eastAsia="zh-CN"/>
              </w:rPr>
              <w:t>千岛湖</w:t>
            </w:r>
            <w:r>
              <w:rPr>
                <w:rFonts w:hint="eastAsia" w:ascii="宋体" w:hAnsi="宋体" w:eastAsia="宋体" w:cs="宋体"/>
                <w:kern w:val="0"/>
                <w:sz w:val="24"/>
              </w:rPr>
              <w:t>（省内5天）</w:t>
            </w:r>
          </w:p>
        </w:tc>
        <w:tc>
          <w:tcPr>
            <w:tcW w:w="727" w:type="dxa"/>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2.5</w:t>
            </w:r>
          </w:p>
        </w:tc>
        <w:tc>
          <w:tcPr>
            <w:tcW w:w="1954" w:type="dxa"/>
            <w:vAlign w:val="center"/>
          </w:tcPr>
          <w:p>
            <w:pPr>
              <w:keepNext w:val="0"/>
              <w:keepLines w:val="0"/>
              <w:pageBreakBefore w:val="0"/>
              <w:widowControl w:val="0"/>
              <w:kinsoku/>
              <w:wordWrap/>
              <w:overflowPunct/>
              <w:topLinePunct w:val="0"/>
              <w:bidi w:val="0"/>
              <w:adjustRightInd w:val="0"/>
              <w:snapToGrid/>
              <w:spacing w:line="360" w:lineRule="exact"/>
              <w:jc w:val="center"/>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w:t>
            </w:r>
          </w:p>
        </w:tc>
      </w:tr>
    </w:tbl>
    <w:p>
      <w:pPr>
        <w:snapToGrid w:val="0"/>
        <w:spacing w:line="360" w:lineRule="auto"/>
        <w:rPr>
          <w:rFonts w:hint="eastAsia" w:ascii="仿宋" w:hAnsi="仿宋" w:eastAsia="仿宋" w:cs="仿宋"/>
          <w:b/>
          <w:color w:val="auto"/>
          <w:sz w:val="32"/>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pPr>
        <w:snapToGrid w:val="0"/>
        <w:spacing w:line="360" w:lineRule="auto"/>
        <w:rPr>
          <w:rFonts w:hint="eastAsia" w:ascii="仿宋" w:hAnsi="仿宋" w:eastAsia="仿宋" w:cs="仿宋"/>
          <w:b/>
          <w:color w:val="auto"/>
          <w:sz w:val="32"/>
          <w:highlight w:val="none"/>
        </w:rPr>
      </w:pP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3"/>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3"/>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pStyle w:val="6"/>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3"/>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3"/>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hint="eastAsia" w:ascii="仿宋" w:hAnsi="仿宋" w:eastAsia="仿宋" w:cs="仿宋"/>
          <w:color w:val="auto"/>
          <w:highlight w:val="none"/>
        </w:rPr>
      </w:pPr>
    </w:p>
    <w:bookmarkEnd w:id="27"/>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6" w:name="第五部分"/>
      <w:bookmarkStart w:id="397"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outlineLvl w:val="0"/>
        <w:rPr>
          <w:rFonts w:hint="eastAsia" w:ascii="仿宋" w:hAnsi="仿宋" w:eastAsia="仿宋" w:cs="仿宋"/>
          <w:b/>
          <w:color w:val="auto"/>
          <w:sz w:val="36"/>
          <w:szCs w:val="36"/>
          <w:highlight w:val="none"/>
        </w:rPr>
      </w:pPr>
    </w:p>
    <w:p>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3"/>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hint="eastAsia" w:ascii="仿宋" w:hAnsi="仿宋" w:eastAsia="仿宋" w:cs="仿宋"/>
          <w:color w:val="auto"/>
          <w:sz w:val="24"/>
          <w:highlight w:val="none"/>
        </w:rPr>
      </w:pPr>
    </w:p>
    <w:p>
      <w:pPr>
        <w:pStyle w:val="6"/>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600"/>
        <w:spacing w:before="120" w:line="22" w:lineRule="atLeast"/>
        <w:rPr>
          <w:rFonts w:hint="eastAsia" w:ascii="仿宋" w:hAnsi="仿宋" w:eastAsia="仿宋" w:cs="仿宋"/>
          <w:color w:val="auto"/>
          <w:szCs w:val="24"/>
          <w:highlight w:val="none"/>
        </w:rPr>
      </w:pPr>
    </w:p>
    <w:p>
      <w:pPr>
        <w:pStyle w:val="600"/>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pPr>
        <w:rPr>
          <w:rFonts w:hint="eastAsia" w:ascii="仿宋" w:hAnsi="仿宋" w:eastAsia="仿宋" w:cs="仿宋"/>
          <w:b/>
          <w:color w:val="auto"/>
          <w:sz w:val="24"/>
          <w:highlight w:val="none"/>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color w:val="auto"/>
          <w:sz w:val="24"/>
          <w:highlight w:val="none"/>
        </w:rPr>
      </w:pPr>
      <w:bookmarkStart w:id="398" w:name="_Toc15367"/>
      <w:bookmarkStart w:id="399" w:name="_Toc20421"/>
      <w:bookmarkStart w:id="400" w:name="_Toc28855"/>
      <w:bookmarkStart w:id="401" w:name="_Toc22967"/>
      <w:bookmarkStart w:id="402" w:name="_Toc19273"/>
      <w:r>
        <w:rPr>
          <w:rFonts w:hint="eastAsia" w:ascii="仿宋" w:hAnsi="仿宋" w:eastAsia="仿宋" w:cs="仿宋"/>
          <w:b/>
          <w:color w:val="auto"/>
          <w:sz w:val="24"/>
          <w:highlight w:val="none"/>
        </w:rPr>
        <w:t>1.1 合同组成部分</w:t>
      </w:r>
      <w:bookmarkEnd w:id="398"/>
      <w:bookmarkEnd w:id="399"/>
      <w:bookmarkEnd w:id="400"/>
      <w:bookmarkEnd w:id="401"/>
      <w:bookmarkEnd w:id="40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403" w:name="_Toc6311"/>
      <w:bookmarkStart w:id="404" w:name="_Toc6773"/>
      <w:bookmarkStart w:id="405" w:name="_Toc2918"/>
      <w:bookmarkStart w:id="406" w:name="_Toc22185"/>
      <w:bookmarkStart w:id="407" w:name="_Toc18585"/>
      <w:r>
        <w:rPr>
          <w:rFonts w:hint="eastAsia" w:ascii="仿宋" w:hAnsi="仿宋" w:eastAsia="仿宋" w:cs="仿宋"/>
          <w:b/>
          <w:color w:val="auto"/>
          <w:sz w:val="24"/>
          <w:highlight w:val="none"/>
        </w:rPr>
        <w:t>1.2 标的</w:t>
      </w:r>
      <w:bookmarkEnd w:id="403"/>
      <w:bookmarkEnd w:id="404"/>
      <w:bookmarkEnd w:id="405"/>
      <w:bookmarkEnd w:id="406"/>
      <w:bookmarkEnd w:id="407"/>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pPr>
        <w:spacing w:line="560" w:lineRule="exact"/>
        <w:ind w:firstLine="480" w:firstLineChars="200"/>
        <w:rPr>
          <w:rFonts w:hint="eastAsia" w:ascii="仿宋" w:hAnsi="仿宋" w:eastAsia="仿宋" w:cs="仿宋"/>
          <w:color w:val="auto"/>
          <w:sz w:val="24"/>
          <w:highlight w:val="none"/>
          <w:u w:val="single"/>
        </w:rPr>
      </w:pPr>
      <w:bookmarkStart w:id="408" w:name="_Toc4929"/>
      <w:bookmarkStart w:id="409" w:name="_Toc5635"/>
      <w:bookmarkStart w:id="410" w:name="_Toc21124"/>
      <w:bookmarkStart w:id="411" w:name="_Toc1386"/>
      <w:bookmarkStart w:id="412"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8"/>
      <w:bookmarkEnd w:id="409"/>
      <w:bookmarkEnd w:id="410"/>
      <w:bookmarkEnd w:id="411"/>
      <w:bookmarkEnd w:id="41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0" w:firstLineChars="200"/>
        <w:rPr>
          <w:rFonts w:hint="eastAsia" w:ascii="仿宋" w:hAnsi="仿宋" w:eastAsia="仿宋" w:cs="仿宋"/>
          <w:color w:val="auto"/>
          <w:sz w:val="24"/>
          <w:highlight w:val="none"/>
        </w:rPr>
      </w:pPr>
      <w:bookmarkStart w:id="413" w:name="_Toc26916"/>
      <w:bookmarkStart w:id="414" w:name="_Toc14993"/>
      <w:bookmarkStart w:id="415" w:name="_Toc30158"/>
      <w:bookmarkStart w:id="416" w:name="_Toc3654"/>
      <w:bookmarkStart w:id="417"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6"/>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3"/>
    <w:bookmarkEnd w:id="414"/>
    <w:bookmarkEnd w:id="415"/>
    <w:bookmarkEnd w:id="416"/>
    <w:bookmarkEnd w:id="417"/>
    <w:p>
      <w:pPr>
        <w:pStyle w:val="961"/>
        <w:spacing w:before="0" w:beforeAutospacing="0" w:after="0" w:afterAutospacing="0" w:line="360" w:lineRule="auto"/>
        <w:ind w:firstLine="480"/>
        <w:rPr>
          <w:rFonts w:hint="eastAsia" w:ascii="仿宋" w:hAnsi="仿宋" w:eastAsia="仿宋" w:cs="仿宋"/>
          <w:b/>
          <w:color w:val="auto"/>
          <w:highlight w:val="none"/>
        </w:rPr>
      </w:pPr>
      <w:bookmarkStart w:id="418" w:name="_Toc22618"/>
      <w:bookmarkStart w:id="419" w:name="_Toc10340"/>
      <w:bookmarkStart w:id="420" w:name="_Toc1814"/>
      <w:bookmarkStart w:id="421" w:name="_Toc31421"/>
      <w:bookmarkStart w:id="422" w:name="_Toc8772"/>
      <w:bookmarkStart w:id="423" w:name="_Toc4760"/>
      <w:bookmarkStart w:id="424" w:name="_Toc11108"/>
      <w:bookmarkStart w:id="425" w:name="_Toc3625"/>
      <w:r>
        <w:rPr>
          <w:rFonts w:hint="eastAsia" w:ascii="仿宋" w:hAnsi="仿宋" w:eastAsia="仿宋" w:cs="仿宋"/>
          <w:b/>
          <w:color w:val="auto"/>
          <w:highlight w:val="none"/>
        </w:rPr>
        <w:t>1.4履约保证金</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6"/>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8"/>
      <w:bookmarkEnd w:id="419"/>
      <w:bookmarkEnd w:id="420"/>
      <w:r>
        <w:rPr>
          <w:rFonts w:hint="eastAsia" w:ascii="仿宋" w:hAnsi="仿宋" w:eastAsia="仿宋" w:cs="仿宋"/>
          <w:b/>
          <w:color w:val="auto"/>
          <w:sz w:val="24"/>
          <w:highlight w:val="none"/>
        </w:rPr>
        <w:t>预付款</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1"/>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1"/>
      <w:bookmarkEnd w:id="422"/>
      <w:bookmarkEnd w:id="423"/>
      <w:bookmarkEnd w:id="424"/>
      <w:bookmarkEnd w:id="425"/>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bCs/>
          <w:color w:val="auto"/>
          <w:sz w:val="24"/>
          <w:highlight w:val="none"/>
        </w:rPr>
      </w:pPr>
      <w:bookmarkStart w:id="426" w:name="_Toc3079"/>
      <w:bookmarkStart w:id="427" w:name="_Toc2375"/>
      <w:bookmarkStart w:id="428" w:name="_Toc8586"/>
      <w:bookmarkStart w:id="429" w:name="_Toc5698"/>
      <w:bookmarkStart w:id="430" w:name="_Toc24662"/>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6"/>
      <w:bookmarkEnd w:id="427"/>
      <w:bookmarkEnd w:id="428"/>
      <w:bookmarkEnd w:id="429"/>
      <w:bookmarkEnd w:id="43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6"/>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bookmarkStart w:id="431" w:name="_Toc32454"/>
      <w:bookmarkStart w:id="432" w:name="_Toc30329"/>
      <w:bookmarkStart w:id="433" w:name="_Toc9497"/>
      <w:bookmarkStart w:id="434" w:name="_Toc26807"/>
      <w:bookmarkStart w:id="435"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31"/>
    <w:bookmarkEnd w:id="432"/>
    <w:bookmarkEnd w:id="433"/>
    <w:bookmarkEnd w:id="434"/>
    <w:bookmarkEnd w:id="435"/>
    <w:p>
      <w:pPr>
        <w:spacing w:line="560" w:lineRule="exact"/>
        <w:ind w:firstLine="482" w:firstLineChars="200"/>
        <w:outlineLvl w:val="0"/>
        <w:rPr>
          <w:rFonts w:hint="eastAsia" w:ascii="仿宋" w:hAnsi="仿宋" w:eastAsia="仿宋" w:cs="仿宋"/>
          <w:b/>
          <w:color w:val="auto"/>
          <w:sz w:val="24"/>
          <w:highlight w:val="none"/>
        </w:rPr>
      </w:pPr>
      <w:bookmarkStart w:id="436" w:name="_Toc15583"/>
      <w:bookmarkStart w:id="437" w:name="_Toc28375"/>
      <w:bookmarkStart w:id="438" w:name="_Toc16021"/>
      <w:r>
        <w:rPr>
          <w:rFonts w:hint="eastAsia" w:ascii="仿宋" w:hAnsi="仿宋" w:eastAsia="仿宋" w:cs="仿宋"/>
          <w:b/>
          <w:color w:val="auto"/>
          <w:sz w:val="24"/>
          <w:highlight w:val="none"/>
        </w:rPr>
        <w:t>1.9合同争议的解决</w:t>
      </w:r>
      <w:bookmarkEnd w:id="436"/>
      <w:bookmarkEnd w:id="437"/>
      <w:bookmarkEnd w:id="438"/>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39" w:name="_Toc15322"/>
      <w:bookmarkStart w:id="440" w:name="_Toc11173"/>
      <w:bookmarkStart w:id="441" w:name="_Toc7245"/>
      <w:r>
        <w:rPr>
          <w:rFonts w:hint="eastAsia" w:ascii="仿宋" w:hAnsi="仿宋" w:eastAsia="仿宋" w:cs="仿宋"/>
          <w:b/>
          <w:color w:val="auto"/>
          <w:sz w:val="24"/>
          <w:highlight w:val="none"/>
        </w:rPr>
        <w:t>2.0 合同生效</w:t>
      </w:r>
      <w:bookmarkEnd w:id="439"/>
      <w:bookmarkEnd w:id="440"/>
      <w:bookmarkEnd w:id="441"/>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3"/>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442" w:name="_Toc25079"/>
      <w:bookmarkStart w:id="443" w:name="_Toc14021"/>
      <w:bookmarkStart w:id="444" w:name="_Toc31297"/>
      <w:bookmarkStart w:id="445" w:name="_Toc19680"/>
      <w:bookmarkStart w:id="446" w:name="_Toc5228"/>
      <w:r>
        <w:rPr>
          <w:rFonts w:hint="eastAsia" w:ascii="仿宋" w:hAnsi="仿宋" w:eastAsia="仿宋" w:cs="仿宋"/>
          <w:b/>
          <w:color w:val="auto"/>
          <w:sz w:val="24"/>
          <w:highlight w:val="none"/>
        </w:rPr>
        <w:t>2.1 定义</w:t>
      </w:r>
      <w:bookmarkEnd w:id="442"/>
      <w:bookmarkEnd w:id="443"/>
      <w:bookmarkEnd w:id="444"/>
      <w:bookmarkEnd w:id="445"/>
      <w:bookmarkEnd w:id="44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hint="eastAsia" w:ascii="仿宋" w:hAnsi="仿宋" w:eastAsia="仿宋" w:cs="仿宋"/>
          <w:b/>
          <w:color w:val="auto"/>
          <w:sz w:val="24"/>
          <w:highlight w:val="none"/>
        </w:rPr>
      </w:pPr>
      <w:bookmarkStart w:id="447" w:name="_Toc3769"/>
      <w:bookmarkStart w:id="448" w:name="_Toc19539"/>
      <w:bookmarkStart w:id="449" w:name="_Toc23289"/>
      <w:bookmarkStart w:id="450" w:name="_Toc16752"/>
      <w:bookmarkStart w:id="451" w:name="_Toc31402"/>
      <w:r>
        <w:rPr>
          <w:rFonts w:hint="eastAsia" w:ascii="仿宋" w:hAnsi="仿宋" w:eastAsia="仿宋" w:cs="仿宋"/>
          <w:b/>
          <w:color w:val="auto"/>
          <w:sz w:val="24"/>
          <w:highlight w:val="none"/>
        </w:rPr>
        <w:t>2.2 技术规范</w:t>
      </w:r>
      <w:bookmarkEnd w:id="447"/>
      <w:bookmarkEnd w:id="448"/>
      <w:bookmarkEnd w:id="449"/>
      <w:bookmarkEnd w:id="450"/>
      <w:bookmarkEnd w:id="45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52" w:name="_Toc4133"/>
      <w:bookmarkStart w:id="453" w:name="_Toc13673"/>
      <w:bookmarkStart w:id="454" w:name="_Toc12412"/>
      <w:bookmarkStart w:id="455" w:name="_Toc27945"/>
      <w:bookmarkStart w:id="456" w:name="_Toc9161"/>
      <w:r>
        <w:rPr>
          <w:rFonts w:hint="eastAsia" w:ascii="仿宋" w:hAnsi="仿宋" w:eastAsia="仿宋" w:cs="仿宋"/>
          <w:b/>
          <w:color w:val="auto"/>
          <w:sz w:val="24"/>
          <w:highlight w:val="none"/>
        </w:rPr>
        <w:t>2.3 知识产权</w:t>
      </w:r>
      <w:bookmarkEnd w:id="452"/>
      <w:bookmarkEnd w:id="453"/>
      <w:bookmarkEnd w:id="454"/>
      <w:bookmarkEnd w:id="455"/>
      <w:bookmarkEnd w:id="45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highlight w:val="none"/>
        </w:rPr>
      </w:pPr>
      <w:bookmarkStart w:id="457" w:name="_Toc31233"/>
      <w:bookmarkStart w:id="458" w:name="_Toc22011"/>
      <w:bookmarkStart w:id="459" w:name="_Toc32670"/>
      <w:bookmarkStart w:id="460" w:name="_Toc26555"/>
      <w:bookmarkStart w:id="461" w:name="_Toc15447"/>
      <w:r>
        <w:rPr>
          <w:rFonts w:hint="eastAsia" w:ascii="仿宋" w:hAnsi="仿宋" w:eastAsia="仿宋" w:cs="仿宋"/>
          <w:b/>
          <w:color w:val="auto"/>
          <w:sz w:val="24"/>
          <w:highlight w:val="none"/>
        </w:rPr>
        <w:t>2.5 结算方式和付款条件</w:t>
      </w:r>
      <w:bookmarkEnd w:id="457"/>
      <w:bookmarkEnd w:id="458"/>
      <w:bookmarkEnd w:id="459"/>
      <w:bookmarkEnd w:id="460"/>
      <w:bookmarkEnd w:id="46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62" w:name="_Toc13154"/>
      <w:bookmarkStart w:id="463" w:name="_Toc30507"/>
      <w:bookmarkStart w:id="464" w:name="_Toc16163"/>
      <w:bookmarkStart w:id="465" w:name="_Toc18990"/>
      <w:bookmarkStart w:id="466" w:name="_Toc13467"/>
      <w:r>
        <w:rPr>
          <w:rFonts w:hint="eastAsia" w:ascii="仿宋" w:hAnsi="仿宋" w:eastAsia="仿宋" w:cs="仿宋"/>
          <w:b/>
          <w:color w:val="auto"/>
          <w:sz w:val="24"/>
          <w:highlight w:val="none"/>
        </w:rPr>
        <w:t>2.6 技术资料和保密义务</w:t>
      </w:r>
      <w:bookmarkEnd w:id="462"/>
      <w:bookmarkEnd w:id="463"/>
      <w:bookmarkEnd w:id="464"/>
      <w:bookmarkEnd w:id="465"/>
      <w:bookmarkEnd w:id="46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67" w:name="_Toc19069"/>
      <w:r>
        <w:rPr>
          <w:rFonts w:hint="eastAsia" w:ascii="仿宋" w:hAnsi="仿宋" w:eastAsia="仿宋" w:cs="仿宋"/>
          <w:b/>
          <w:color w:val="auto"/>
          <w:sz w:val="24"/>
          <w:highlight w:val="none"/>
        </w:rPr>
        <w:t>2.7 质量保证</w:t>
      </w:r>
      <w:bookmarkEnd w:id="46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68" w:name="_Toc22267"/>
      <w:r>
        <w:rPr>
          <w:rFonts w:hint="eastAsia" w:ascii="仿宋" w:hAnsi="仿宋" w:eastAsia="仿宋" w:cs="仿宋"/>
          <w:b/>
          <w:color w:val="auto"/>
          <w:sz w:val="24"/>
          <w:highlight w:val="none"/>
        </w:rPr>
        <w:t>2.8 延迟履行</w:t>
      </w:r>
      <w:bookmarkEnd w:id="46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highlight w:val="none"/>
        </w:rPr>
      </w:pPr>
      <w:bookmarkStart w:id="469" w:name="_Toc10611"/>
      <w:r>
        <w:rPr>
          <w:rFonts w:hint="eastAsia" w:ascii="仿宋" w:hAnsi="仿宋" w:eastAsia="仿宋" w:cs="仿宋"/>
          <w:b/>
          <w:color w:val="auto"/>
          <w:sz w:val="24"/>
          <w:highlight w:val="none"/>
        </w:rPr>
        <w:t>2.9 合同变更</w:t>
      </w:r>
      <w:bookmarkEnd w:id="46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70" w:name="_Toc10663"/>
      <w:bookmarkStart w:id="471" w:name="_Toc23368"/>
      <w:bookmarkStart w:id="472" w:name="_Toc42"/>
      <w:bookmarkStart w:id="473" w:name="_Toc26689"/>
      <w:bookmarkStart w:id="474" w:name="_Toc21830"/>
      <w:r>
        <w:rPr>
          <w:rFonts w:hint="eastAsia" w:ascii="仿宋" w:hAnsi="仿宋" w:eastAsia="仿宋" w:cs="仿宋"/>
          <w:b/>
          <w:color w:val="auto"/>
          <w:sz w:val="24"/>
          <w:highlight w:val="none"/>
        </w:rPr>
        <w:t>2.10 合同转让和分包</w:t>
      </w:r>
      <w:bookmarkEnd w:id="470"/>
      <w:bookmarkEnd w:id="471"/>
      <w:bookmarkEnd w:id="472"/>
      <w:bookmarkEnd w:id="473"/>
      <w:bookmarkEnd w:id="47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rPr>
      </w:pPr>
      <w:bookmarkStart w:id="475" w:name="_Toc14371"/>
      <w:bookmarkStart w:id="476" w:name="_Toc25571"/>
      <w:bookmarkStart w:id="477" w:name="_Toc4720"/>
      <w:bookmarkStart w:id="478" w:name="_Toc32494"/>
      <w:bookmarkStart w:id="479" w:name="_Toc26633"/>
      <w:r>
        <w:rPr>
          <w:rFonts w:hint="eastAsia" w:ascii="仿宋" w:hAnsi="仿宋" w:eastAsia="仿宋" w:cs="仿宋"/>
          <w:b/>
          <w:color w:val="auto"/>
          <w:sz w:val="24"/>
          <w:highlight w:val="none"/>
        </w:rPr>
        <w:t>2.11 不可抗力</w:t>
      </w:r>
      <w:bookmarkEnd w:id="475"/>
      <w:bookmarkEnd w:id="476"/>
      <w:bookmarkEnd w:id="477"/>
      <w:bookmarkEnd w:id="478"/>
      <w:bookmarkEnd w:id="47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480" w:name="_Toc3638"/>
      <w:bookmarkStart w:id="481" w:name="_Toc24465"/>
      <w:bookmarkStart w:id="482" w:name="_Toc23854"/>
      <w:bookmarkStart w:id="483" w:name="_Toc14115"/>
      <w:bookmarkStart w:id="484" w:name="_Toc25783"/>
      <w:r>
        <w:rPr>
          <w:rFonts w:hint="eastAsia" w:ascii="仿宋" w:hAnsi="仿宋" w:eastAsia="仿宋" w:cs="仿宋"/>
          <w:b/>
          <w:color w:val="auto"/>
          <w:sz w:val="24"/>
          <w:highlight w:val="none"/>
        </w:rPr>
        <w:t>2.12 税费</w:t>
      </w:r>
      <w:bookmarkEnd w:id="480"/>
      <w:bookmarkEnd w:id="481"/>
      <w:bookmarkEnd w:id="482"/>
      <w:bookmarkEnd w:id="483"/>
      <w:bookmarkEnd w:id="48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highlight w:val="none"/>
        </w:rPr>
      </w:pPr>
      <w:bookmarkStart w:id="485" w:name="_Toc25525"/>
      <w:bookmarkStart w:id="486" w:name="_Toc14814"/>
      <w:bookmarkStart w:id="487" w:name="_Toc26883"/>
      <w:bookmarkStart w:id="488" w:name="_Toc30105"/>
      <w:bookmarkStart w:id="489" w:name="_Toc7315"/>
      <w:r>
        <w:rPr>
          <w:rFonts w:hint="eastAsia" w:ascii="仿宋" w:hAnsi="仿宋" w:eastAsia="仿宋" w:cs="仿宋"/>
          <w:b/>
          <w:color w:val="auto"/>
          <w:sz w:val="24"/>
          <w:highlight w:val="none"/>
        </w:rPr>
        <w:t>2.13 乙方破产</w:t>
      </w:r>
      <w:bookmarkEnd w:id="485"/>
      <w:bookmarkEnd w:id="486"/>
      <w:bookmarkEnd w:id="487"/>
      <w:bookmarkEnd w:id="488"/>
      <w:bookmarkEnd w:id="48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490" w:name="_Toc23323"/>
      <w:bookmarkStart w:id="491" w:name="_Toc1123"/>
      <w:bookmarkStart w:id="492" w:name="_Toc2016"/>
      <w:r>
        <w:rPr>
          <w:rFonts w:hint="eastAsia" w:ascii="仿宋" w:hAnsi="仿宋" w:eastAsia="仿宋" w:cs="仿宋"/>
          <w:b/>
          <w:color w:val="auto"/>
          <w:sz w:val="24"/>
          <w:highlight w:val="none"/>
        </w:rPr>
        <w:t>2.14 合同中止、终止</w:t>
      </w:r>
      <w:bookmarkEnd w:id="490"/>
      <w:bookmarkEnd w:id="491"/>
      <w:bookmarkEnd w:id="49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93" w:name="_Toc17363"/>
      <w:bookmarkStart w:id="494" w:name="_Toc1969"/>
      <w:bookmarkStart w:id="495" w:name="_Toc14525"/>
      <w:r>
        <w:rPr>
          <w:rFonts w:hint="eastAsia" w:ascii="仿宋" w:hAnsi="仿宋" w:eastAsia="仿宋" w:cs="仿宋"/>
          <w:b/>
          <w:color w:val="auto"/>
          <w:sz w:val="24"/>
          <w:highlight w:val="none"/>
        </w:rPr>
        <w:t>2.15 检验和验收</w:t>
      </w:r>
      <w:bookmarkEnd w:id="493"/>
      <w:bookmarkEnd w:id="494"/>
      <w:bookmarkEnd w:id="495"/>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96" w:name="_Toc31892"/>
      <w:bookmarkStart w:id="497" w:name="_Toc2308"/>
      <w:bookmarkStart w:id="498" w:name="_Toc25198"/>
      <w:bookmarkStart w:id="499" w:name="_Toc12666"/>
      <w:bookmarkStart w:id="500" w:name="_Toc9808"/>
      <w:r>
        <w:rPr>
          <w:rFonts w:hint="eastAsia" w:ascii="仿宋" w:hAnsi="仿宋" w:eastAsia="仿宋" w:cs="仿宋"/>
          <w:b/>
          <w:color w:val="auto"/>
          <w:sz w:val="24"/>
          <w:highlight w:val="none"/>
        </w:rPr>
        <w:t>2.16 通知和送达</w:t>
      </w:r>
      <w:bookmarkEnd w:id="496"/>
      <w:bookmarkEnd w:id="497"/>
      <w:bookmarkEnd w:id="498"/>
      <w:bookmarkEnd w:id="499"/>
      <w:bookmarkEnd w:id="500"/>
    </w:p>
    <w:p>
      <w:pPr>
        <w:spacing w:line="560" w:lineRule="exact"/>
        <w:ind w:firstLine="480" w:firstLineChars="200"/>
        <w:rPr>
          <w:rFonts w:hint="eastAsia" w:ascii="仿宋" w:hAnsi="仿宋" w:eastAsia="仿宋" w:cs="仿宋"/>
          <w:color w:val="auto"/>
          <w:sz w:val="24"/>
          <w:highlight w:val="none"/>
        </w:rPr>
      </w:pPr>
      <w:bookmarkStart w:id="501" w:name="_Toc27674"/>
      <w:bookmarkStart w:id="502"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1"/>
      <w:bookmarkEnd w:id="502"/>
    </w:p>
    <w:p>
      <w:pPr>
        <w:spacing w:line="560" w:lineRule="exact"/>
        <w:ind w:firstLine="482" w:firstLineChars="200"/>
        <w:outlineLvl w:val="0"/>
        <w:rPr>
          <w:rFonts w:hint="eastAsia" w:ascii="仿宋" w:hAnsi="仿宋" w:eastAsia="仿宋" w:cs="仿宋"/>
          <w:b/>
          <w:color w:val="auto"/>
          <w:sz w:val="24"/>
          <w:highlight w:val="none"/>
        </w:rPr>
      </w:pPr>
      <w:bookmarkStart w:id="503" w:name="_Toc27644"/>
      <w:bookmarkStart w:id="504" w:name="_Toc20808"/>
      <w:bookmarkStart w:id="505" w:name="_Toc12254"/>
      <w:bookmarkStart w:id="506" w:name="_Toc5063"/>
      <w:bookmarkStart w:id="507" w:name="_Toc28906"/>
      <w:r>
        <w:rPr>
          <w:rFonts w:hint="eastAsia" w:ascii="仿宋" w:hAnsi="仿宋" w:eastAsia="仿宋" w:cs="仿宋"/>
          <w:b/>
          <w:color w:val="auto"/>
          <w:sz w:val="24"/>
          <w:highlight w:val="none"/>
        </w:rPr>
        <w:t>2.17 合同使用的文字和适用的法律</w:t>
      </w:r>
      <w:bookmarkEnd w:id="503"/>
      <w:bookmarkEnd w:id="504"/>
      <w:bookmarkEnd w:id="505"/>
      <w:bookmarkEnd w:id="506"/>
      <w:bookmarkEnd w:id="50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508" w:name="_Toc4355"/>
      <w:bookmarkStart w:id="509" w:name="_Toc18540"/>
      <w:bookmarkStart w:id="510" w:name="_Toc30599"/>
      <w:r>
        <w:rPr>
          <w:rFonts w:hint="eastAsia" w:ascii="仿宋" w:hAnsi="仿宋" w:eastAsia="仿宋" w:cs="仿宋"/>
          <w:b/>
          <w:color w:val="auto"/>
          <w:sz w:val="24"/>
          <w:highlight w:val="none"/>
        </w:rPr>
        <w:t>2.18 计量单位</w:t>
      </w:r>
      <w:bookmarkEnd w:id="508"/>
      <w:bookmarkEnd w:id="509"/>
      <w:bookmarkEnd w:id="51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11" w:name="_Toc331685784"/>
      <w:r>
        <w:rPr>
          <w:rFonts w:hint="eastAsia" w:ascii="仿宋" w:hAnsi="仿宋" w:eastAsia="仿宋" w:cs="仿宋"/>
          <w:b/>
          <w:color w:val="auto"/>
          <w:sz w:val="24"/>
          <w:highlight w:val="none"/>
        </w:rPr>
        <w:t xml:space="preserve"> </w:t>
      </w:r>
      <w:bookmarkEnd w:id="511"/>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6"/>
      <w:r>
        <w:rPr>
          <w:rFonts w:hint="eastAsia" w:ascii="仿宋" w:hAnsi="仿宋" w:eastAsia="仿宋" w:cs="仿宋"/>
          <w:b/>
          <w:color w:val="auto"/>
          <w:sz w:val="36"/>
          <w:szCs w:val="20"/>
          <w:highlight w:val="none"/>
        </w:rPr>
        <w:t xml:space="preserve"> </w:t>
      </w:r>
      <w:bookmarkEnd w:id="397"/>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2" w:name="_Hlk101257010"/>
      <w:r>
        <w:rPr>
          <w:rFonts w:hint="eastAsia" w:ascii="仿宋" w:hAnsi="仿宋" w:eastAsia="仿宋" w:cs="仿宋"/>
          <w:color w:val="auto"/>
          <w:sz w:val="24"/>
          <w:highlight w:val="none"/>
        </w:rPr>
        <w:t>（如果有)</w:t>
      </w:r>
      <w:bookmarkEnd w:id="512"/>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6"/>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51"/>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w:t>
      </w:r>
      <w:r>
        <w:rPr>
          <w:rFonts w:hint="eastAsia" w:ascii="仿宋" w:hAnsi="仿宋" w:eastAsia="仿宋" w:cs="仿宋"/>
          <w:color w:val="auto"/>
          <w:kern w:val="2"/>
          <w:sz w:val="32"/>
          <w:szCs w:val="32"/>
          <w:highlight w:val="none"/>
          <w:lang w:val="en-US" w:eastAsia="zh-CN"/>
        </w:rPr>
        <w:t>标项一</w:t>
      </w:r>
      <w:r>
        <w:rPr>
          <w:rFonts w:hint="eastAsia" w:ascii="仿宋" w:hAnsi="仿宋" w:eastAsia="仿宋" w:cs="仿宋"/>
          <w:color w:val="auto"/>
          <w:kern w:val="2"/>
          <w:sz w:val="32"/>
          <w:szCs w:val="32"/>
          <w:highlight w:val="none"/>
        </w:rPr>
        <w:t>）</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050"/>
        <w:gridCol w:w="4104"/>
        <w:gridCol w:w="41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3" w:hRule="atLeast"/>
          <w:tblHeader/>
          <w:jc w:val="center"/>
        </w:trPr>
        <w:tc>
          <w:tcPr>
            <w:tcW w:w="4050"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sz w:val="24"/>
                <w:szCs w:val="24"/>
                <w:highlight w:val="none"/>
                <w:u w:val="none" w:color="000000"/>
                <w:lang w:val="en-US" w:eastAsia="zh-CN" w:bidi="ar-SA"/>
              </w:rPr>
            </w:pPr>
            <w:r>
              <w:rPr>
                <w:rFonts w:hint="eastAsia" w:ascii="宋体" w:hAnsi="宋体" w:eastAsia="宋体" w:cs="宋体"/>
                <w:b/>
                <w:bCs/>
                <w:color w:val="000000"/>
                <w:sz w:val="24"/>
                <w:szCs w:val="24"/>
                <w:highlight w:val="none"/>
                <w:lang w:val="en-US" w:eastAsia="zh-CN"/>
              </w:rPr>
              <w:t>项目名称</w:t>
            </w:r>
          </w:p>
        </w:tc>
        <w:tc>
          <w:tcPr>
            <w:tcW w:w="4104"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sz w:val="24"/>
                <w:szCs w:val="24"/>
                <w:highlight w:val="none"/>
                <w:u w:val="none" w:color="000000"/>
                <w:lang w:val="en-GB" w:eastAsia="zh-CN" w:bidi="ar-SA"/>
              </w:rPr>
            </w:pPr>
            <w:r>
              <w:rPr>
                <w:rFonts w:hint="eastAsia" w:ascii="宋体" w:hAnsi="宋体" w:eastAsia="宋体" w:cs="宋体"/>
                <w:b/>
                <w:bCs/>
                <w:color w:val="000000"/>
                <w:kern w:val="2"/>
                <w:sz w:val="24"/>
                <w:szCs w:val="24"/>
                <w:highlight w:val="none"/>
                <w:lang w:eastAsia="zh-CN"/>
              </w:rPr>
              <w:t>线路内容</w:t>
            </w:r>
          </w:p>
        </w:tc>
        <w:tc>
          <w:tcPr>
            <w:tcW w:w="4105"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GB"/>
              </w:rPr>
              <w:t>综合单价报价（元</w:t>
            </w:r>
            <w:r>
              <w:rPr>
                <w:rFonts w:hint="eastAsia" w:ascii="宋体" w:hAnsi="宋体" w:eastAsia="宋体" w:cs="宋体"/>
                <w:b/>
                <w:bCs/>
                <w:color w:val="000000"/>
                <w:sz w:val="24"/>
                <w:szCs w:val="24"/>
                <w:highlight w:val="none"/>
              </w:rPr>
              <w:t>/人</w:t>
            </w:r>
            <w:r>
              <w:rPr>
                <w:rFonts w:hint="eastAsia" w:ascii="宋体" w:hAnsi="宋体" w:eastAsia="宋体" w:cs="宋体"/>
                <w:b/>
                <w:bCs/>
                <w:color w:val="000000"/>
                <w:sz w:val="24"/>
                <w:szCs w:val="24"/>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4050" w:type="dxa"/>
            <w:vMerge w:val="restart"/>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u w:val="none" w:color="000000"/>
                <w:lang w:val="zh-CN" w:eastAsia="zh-CN" w:bidi="ar-SA"/>
              </w:rPr>
            </w:pPr>
            <w:r>
              <w:rPr>
                <w:rFonts w:hint="eastAsia" w:ascii="宋体" w:hAnsi="宋体" w:cs="宋体"/>
                <w:color w:val="000000"/>
                <w:sz w:val="24"/>
                <w:highlight w:val="none"/>
                <w:u w:val="none" w:color="000000"/>
                <w:lang w:val="zh-CN"/>
              </w:rPr>
              <w:t>瓶窑镇二工会2024年职工疗休养项目标项一</w:t>
            </w:r>
          </w:p>
        </w:tc>
        <w:tc>
          <w:tcPr>
            <w:tcW w:w="4104" w:type="dxa"/>
            <w:tcBorders>
              <w:left w:val="single" w:color="auto" w:sz="4" w:space="0"/>
              <w:right w:val="single" w:color="auto" w:sz="4" w:space="0"/>
            </w:tcBorders>
            <w:noWrap w:val="0"/>
            <w:vAlign w:val="center"/>
          </w:tcPr>
          <w:p>
            <w:pPr>
              <w:widowControl/>
              <w:snapToGrid w:val="0"/>
              <w:spacing w:line="348" w:lineRule="auto"/>
              <w:jc w:val="left"/>
              <w:rPr>
                <w:rFonts w:hint="eastAsia" w:ascii="宋体" w:hAnsi="宋体" w:eastAsia="宋体" w:cs="宋体"/>
                <w:color w:val="000000"/>
                <w:kern w:val="2"/>
                <w:sz w:val="24"/>
                <w:szCs w:val="24"/>
                <w:highlight w:val="none"/>
                <w:u w:val="none" w:color="000000"/>
                <w:lang w:val="zh-CN" w:eastAsia="zh-CN" w:bidi="ar-SA"/>
              </w:rPr>
            </w:pPr>
            <w:r>
              <w:rPr>
                <w:rFonts w:hint="eastAsia" w:ascii="宋体" w:hAnsi="宋体" w:eastAsia="宋体" w:cs="宋体"/>
                <w:kern w:val="0"/>
                <w:sz w:val="24"/>
              </w:rPr>
              <w:t>线路一：</w:t>
            </w:r>
            <w:r>
              <w:rPr>
                <w:rFonts w:hint="eastAsia" w:ascii="宋体" w:hAnsi="宋体" w:cs="宋体"/>
                <w:kern w:val="0"/>
                <w:sz w:val="24"/>
                <w:lang w:val="en-US" w:eastAsia="zh-CN"/>
              </w:rPr>
              <w:t>重庆</w:t>
            </w:r>
            <w:r>
              <w:rPr>
                <w:rFonts w:hint="eastAsia" w:ascii="宋体" w:hAnsi="宋体" w:eastAsia="宋体" w:cs="宋体"/>
                <w:kern w:val="0"/>
                <w:sz w:val="24"/>
              </w:rPr>
              <w:t>（省外5天）</w:t>
            </w:r>
          </w:p>
        </w:tc>
        <w:tc>
          <w:tcPr>
            <w:tcW w:w="4105" w:type="dxa"/>
            <w:tcBorders>
              <w:left w:val="single" w:color="auto" w:sz="4" w:space="0"/>
              <w:right w:val="single" w:color="auto" w:sz="4" w:space="0"/>
            </w:tcBorders>
            <w:noWrap w:val="0"/>
            <w:vAlign w:val="center"/>
          </w:tcPr>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4050"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cs="宋体"/>
                <w:color w:val="000000"/>
                <w:sz w:val="24"/>
                <w:highlight w:val="none"/>
                <w:u w:val="none" w:color="000000"/>
                <w:lang w:val="zh-CN" w:eastAsia="zh-CN"/>
              </w:rPr>
            </w:pPr>
          </w:p>
        </w:tc>
        <w:tc>
          <w:tcPr>
            <w:tcW w:w="4104" w:type="dxa"/>
            <w:tcBorders>
              <w:left w:val="single" w:color="auto" w:sz="4" w:space="0"/>
              <w:right w:val="single" w:color="auto" w:sz="4" w:space="0"/>
            </w:tcBorders>
            <w:noWrap w:val="0"/>
            <w:vAlign w:val="center"/>
          </w:tcPr>
          <w:p>
            <w:pPr>
              <w:widowControl/>
              <w:snapToGrid w:val="0"/>
              <w:spacing w:line="348" w:lineRule="auto"/>
              <w:jc w:val="left"/>
              <w:rPr>
                <w:rFonts w:hint="eastAsia" w:ascii="宋体" w:hAnsi="宋体" w:eastAsia="宋体" w:cs="宋体"/>
                <w:color w:val="000000"/>
                <w:kern w:val="2"/>
                <w:sz w:val="24"/>
                <w:szCs w:val="24"/>
                <w:highlight w:val="none"/>
                <w:u w:val="none" w:color="000000"/>
                <w:lang w:val="zh-CN" w:eastAsia="zh-CN" w:bidi="ar-SA"/>
              </w:rPr>
            </w:pPr>
            <w:r>
              <w:rPr>
                <w:rFonts w:hint="eastAsia" w:ascii="宋体" w:hAnsi="宋体" w:eastAsia="宋体" w:cs="宋体"/>
                <w:kern w:val="0"/>
                <w:sz w:val="24"/>
              </w:rPr>
              <w:t>线路二：</w:t>
            </w:r>
            <w:r>
              <w:rPr>
                <w:rFonts w:hint="eastAsia" w:ascii="宋体" w:hAnsi="宋体" w:cs="宋体"/>
                <w:kern w:val="0"/>
                <w:sz w:val="24"/>
                <w:lang w:val="en-US" w:eastAsia="zh-CN"/>
              </w:rPr>
              <w:t>平潭</w:t>
            </w:r>
            <w:r>
              <w:rPr>
                <w:rFonts w:hint="eastAsia" w:ascii="宋体" w:hAnsi="宋体" w:eastAsia="宋体" w:cs="宋体"/>
                <w:kern w:val="0"/>
                <w:sz w:val="24"/>
              </w:rPr>
              <w:t>（省外5天）</w:t>
            </w:r>
          </w:p>
        </w:tc>
        <w:tc>
          <w:tcPr>
            <w:tcW w:w="4105" w:type="dxa"/>
            <w:tcBorders>
              <w:left w:val="single" w:color="auto" w:sz="4" w:space="0"/>
              <w:right w:val="single" w:color="auto" w:sz="4" w:space="0"/>
            </w:tcBorders>
            <w:noWrap w:val="0"/>
            <w:vAlign w:val="center"/>
          </w:tcPr>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8" w:hRule="atLeast"/>
          <w:jc w:val="center"/>
        </w:trPr>
        <w:tc>
          <w:tcPr>
            <w:tcW w:w="4050"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cs="宋体"/>
                <w:color w:val="000000"/>
                <w:sz w:val="24"/>
                <w:highlight w:val="none"/>
                <w:u w:val="none" w:color="000000"/>
                <w:lang w:val="zh-CN" w:eastAsia="zh-CN"/>
              </w:rPr>
            </w:pPr>
          </w:p>
        </w:tc>
        <w:tc>
          <w:tcPr>
            <w:tcW w:w="4104" w:type="dxa"/>
            <w:tcBorders>
              <w:left w:val="single" w:color="auto" w:sz="4" w:space="0"/>
              <w:right w:val="single" w:color="auto" w:sz="4" w:space="0"/>
            </w:tcBorders>
            <w:noWrap w:val="0"/>
            <w:vAlign w:val="center"/>
          </w:tcPr>
          <w:p>
            <w:pPr>
              <w:widowControl/>
              <w:snapToGrid w:val="0"/>
              <w:spacing w:line="348" w:lineRule="auto"/>
              <w:jc w:val="left"/>
              <w:rPr>
                <w:rFonts w:hint="eastAsia" w:ascii="宋体" w:hAnsi="宋体" w:eastAsia="宋体" w:cs="宋体"/>
                <w:color w:val="000000"/>
                <w:kern w:val="2"/>
                <w:sz w:val="24"/>
                <w:szCs w:val="24"/>
                <w:highlight w:val="none"/>
                <w:u w:val="none" w:color="000000"/>
                <w:lang w:val="zh-CN" w:eastAsia="zh-CN" w:bidi="ar-SA"/>
              </w:rPr>
            </w:pPr>
            <w:r>
              <w:rPr>
                <w:rFonts w:hint="eastAsia" w:ascii="宋体" w:hAnsi="宋体" w:eastAsia="宋体" w:cs="宋体"/>
                <w:kern w:val="0"/>
                <w:sz w:val="24"/>
              </w:rPr>
              <w:t>线路</w:t>
            </w:r>
            <w:r>
              <w:rPr>
                <w:rFonts w:hint="eastAsia" w:ascii="宋体" w:hAnsi="宋体" w:eastAsia="宋体" w:cs="宋体"/>
                <w:kern w:val="0"/>
                <w:sz w:val="24"/>
                <w:lang w:val="en-US" w:eastAsia="zh-CN"/>
              </w:rPr>
              <w:t>三</w:t>
            </w:r>
            <w:r>
              <w:rPr>
                <w:rFonts w:hint="eastAsia" w:ascii="宋体" w:hAnsi="宋体" w:eastAsia="宋体" w:cs="宋体"/>
                <w:kern w:val="0"/>
                <w:sz w:val="24"/>
              </w:rPr>
              <w:t>：</w:t>
            </w:r>
            <w:r>
              <w:rPr>
                <w:rFonts w:hint="eastAsia" w:ascii="宋体" w:hAnsi="宋体" w:cs="宋体"/>
                <w:color w:val="auto"/>
                <w:kern w:val="0"/>
                <w:sz w:val="24"/>
                <w:szCs w:val="24"/>
                <w:highlight w:val="none"/>
                <w:lang w:val="en-US" w:eastAsia="zh-CN"/>
              </w:rPr>
              <w:t>江西</w:t>
            </w:r>
            <w:r>
              <w:rPr>
                <w:rFonts w:hint="eastAsia" w:ascii="宋体" w:hAnsi="宋体" w:eastAsia="宋体" w:cs="宋体"/>
                <w:color w:val="auto"/>
                <w:kern w:val="0"/>
                <w:sz w:val="24"/>
                <w:szCs w:val="24"/>
                <w:highlight w:val="none"/>
                <w:lang w:val="en-US" w:eastAsia="zh-CN"/>
              </w:rPr>
              <w:t>（省外5天）</w:t>
            </w:r>
          </w:p>
        </w:tc>
        <w:tc>
          <w:tcPr>
            <w:tcW w:w="4105" w:type="dxa"/>
            <w:tcBorders>
              <w:left w:val="single" w:color="auto" w:sz="4" w:space="0"/>
              <w:right w:val="single" w:color="auto" w:sz="4" w:space="0"/>
            </w:tcBorders>
            <w:noWrap w:val="0"/>
            <w:vAlign w:val="center"/>
          </w:tcPr>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8" w:hRule="atLeast"/>
          <w:jc w:val="center"/>
        </w:trPr>
        <w:tc>
          <w:tcPr>
            <w:tcW w:w="4050"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cs="宋体"/>
                <w:color w:val="000000"/>
                <w:sz w:val="24"/>
                <w:highlight w:val="none"/>
                <w:u w:val="none" w:color="000000"/>
                <w:lang w:val="zh-CN" w:eastAsia="zh-CN"/>
              </w:rPr>
            </w:pPr>
          </w:p>
        </w:tc>
        <w:tc>
          <w:tcPr>
            <w:tcW w:w="4104" w:type="dxa"/>
            <w:tcBorders>
              <w:left w:val="single" w:color="auto" w:sz="4" w:space="0"/>
              <w:right w:val="single" w:color="auto" w:sz="4" w:space="0"/>
            </w:tcBorders>
            <w:noWrap w:val="0"/>
            <w:vAlign w:val="center"/>
          </w:tcPr>
          <w:p>
            <w:pPr>
              <w:widowControl/>
              <w:snapToGrid w:val="0"/>
              <w:spacing w:line="348" w:lineRule="auto"/>
              <w:jc w:val="left"/>
              <w:rPr>
                <w:rFonts w:hint="eastAsia" w:ascii="宋体" w:hAnsi="宋体" w:eastAsia="宋体" w:cs="宋体"/>
                <w:color w:val="000000"/>
                <w:kern w:val="2"/>
                <w:sz w:val="24"/>
                <w:szCs w:val="24"/>
                <w:highlight w:val="none"/>
                <w:u w:val="none" w:color="000000"/>
                <w:lang w:val="zh-CN" w:eastAsia="zh-CN" w:bidi="ar-SA"/>
              </w:rPr>
            </w:pPr>
            <w:r>
              <w:rPr>
                <w:rFonts w:hint="eastAsia" w:ascii="宋体" w:hAnsi="宋体" w:eastAsia="宋体" w:cs="宋体"/>
                <w:kern w:val="0"/>
                <w:sz w:val="24"/>
              </w:rPr>
              <w:t>线路</w:t>
            </w:r>
            <w:r>
              <w:rPr>
                <w:rFonts w:hint="eastAsia" w:ascii="宋体" w:hAnsi="宋体" w:eastAsia="宋体" w:cs="宋体"/>
                <w:kern w:val="0"/>
                <w:sz w:val="24"/>
                <w:lang w:val="en-US" w:eastAsia="zh-CN"/>
              </w:rPr>
              <w:t>四</w:t>
            </w:r>
            <w:r>
              <w:rPr>
                <w:rFonts w:hint="eastAsia" w:ascii="宋体" w:hAnsi="宋体" w:eastAsia="宋体" w:cs="宋体"/>
                <w:kern w:val="0"/>
                <w:sz w:val="24"/>
              </w:rPr>
              <w:t>：</w:t>
            </w:r>
            <w:r>
              <w:rPr>
                <w:rFonts w:hint="eastAsia" w:ascii="宋体" w:hAnsi="宋体" w:cs="宋体"/>
                <w:kern w:val="0"/>
                <w:sz w:val="24"/>
                <w:lang w:val="en-US" w:eastAsia="zh-CN"/>
              </w:rPr>
              <w:t>湖北恩施</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省外5天</w:t>
            </w:r>
            <w:r>
              <w:rPr>
                <w:rFonts w:hint="eastAsia" w:ascii="宋体" w:hAnsi="宋体" w:eastAsia="宋体" w:cs="宋体"/>
                <w:kern w:val="0"/>
                <w:sz w:val="24"/>
                <w:lang w:eastAsia="zh-CN"/>
              </w:rPr>
              <w:t>）</w:t>
            </w:r>
          </w:p>
        </w:tc>
        <w:tc>
          <w:tcPr>
            <w:tcW w:w="4105"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开标一览表（</w:t>
      </w:r>
      <w:r>
        <w:rPr>
          <w:rFonts w:hint="eastAsia" w:ascii="仿宋" w:hAnsi="仿宋" w:eastAsia="仿宋" w:cs="仿宋"/>
          <w:color w:val="auto"/>
          <w:kern w:val="2"/>
          <w:sz w:val="32"/>
          <w:szCs w:val="32"/>
          <w:highlight w:val="none"/>
          <w:lang w:val="en-US" w:eastAsia="zh-CN"/>
        </w:rPr>
        <w:t>标项二</w:t>
      </w:r>
      <w:r>
        <w:rPr>
          <w:rFonts w:hint="eastAsia" w:ascii="仿宋" w:hAnsi="仿宋" w:eastAsia="仿宋" w:cs="仿宋"/>
          <w:color w:val="auto"/>
          <w:kern w:val="2"/>
          <w:sz w:val="32"/>
          <w:szCs w:val="32"/>
          <w:highlight w:val="none"/>
        </w:rPr>
        <w:t>）</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050"/>
        <w:gridCol w:w="4104"/>
        <w:gridCol w:w="41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3" w:hRule="atLeast"/>
          <w:tblHeader/>
          <w:jc w:val="center"/>
        </w:trPr>
        <w:tc>
          <w:tcPr>
            <w:tcW w:w="4050"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sz w:val="24"/>
                <w:szCs w:val="24"/>
                <w:highlight w:val="none"/>
                <w:u w:val="none" w:color="000000"/>
                <w:lang w:val="en-US" w:eastAsia="zh-CN" w:bidi="ar-SA"/>
              </w:rPr>
            </w:pPr>
            <w:r>
              <w:rPr>
                <w:rFonts w:hint="eastAsia" w:ascii="宋体" w:hAnsi="宋体" w:eastAsia="宋体" w:cs="宋体"/>
                <w:b/>
                <w:bCs/>
                <w:color w:val="000000"/>
                <w:sz w:val="24"/>
                <w:szCs w:val="24"/>
                <w:highlight w:val="none"/>
                <w:lang w:val="en-US" w:eastAsia="zh-CN"/>
              </w:rPr>
              <w:t>项目名称</w:t>
            </w:r>
          </w:p>
        </w:tc>
        <w:tc>
          <w:tcPr>
            <w:tcW w:w="4104"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sz w:val="24"/>
                <w:szCs w:val="24"/>
                <w:highlight w:val="none"/>
                <w:u w:val="none" w:color="000000"/>
                <w:lang w:val="en-GB" w:eastAsia="zh-CN" w:bidi="ar-SA"/>
              </w:rPr>
            </w:pPr>
            <w:r>
              <w:rPr>
                <w:rFonts w:hint="eastAsia" w:ascii="宋体" w:hAnsi="宋体" w:eastAsia="宋体" w:cs="宋体"/>
                <w:b/>
                <w:bCs/>
                <w:color w:val="000000"/>
                <w:kern w:val="2"/>
                <w:sz w:val="24"/>
                <w:szCs w:val="24"/>
                <w:highlight w:val="none"/>
                <w:lang w:eastAsia="zh-CN"/>
              </w:rPr>
              <w:t>线路内容</w:t>
            </w:r>
          </w:p>
        </w:tc>
        <w:tc>
          <w:tcPr>
            <w:tcW w:w="4105"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GB"/>
              </w:rPr>
              <w:t>综合单价报价（元</w:t>
            </w:r>
            <w:r>
              <w:rPr>
                <w:rFonts w:hint="eastAsia" w:ascii="宋体" w:hAnsi="宋体" w:eastAsia="宋体" w:cs="宋体"/>
                <w:b/>
                <w:bCs/>
                <w:color w:val="000000"/>
                <w:sz w:val="24"/>
                <w:szCs w:val="24"/>
                <w:highlight w:val="none"/>
              </w:rPr>
              <w:t>/人</w:t>
            </w:r>
            <w:r>
              <w:rPr>
                <w:rFonts w:hint="eastAsia" w:ascii="宋体" w:hAnsi="宋体" w:eastAsia="宋体" w:cs="宋体"/>
                <w:b/>
                <w:bCs/>
                <w:color w:val="000000"/>
                <w:sz w:val="24"/>
                <w:szCs w:val="24"/>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4050" w:type="dxa"/>
            <w:vMerge w:val="restart"/>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highlight w:val="none"/>
                <w:u w:val="none" w:color="000000"/>
                <w:lang w:val="zh-CN" w:eastAsia="zh-CN"/>
              </w:rPr>
            </w:pPr>
            <w:r>
              <w:rPr>
                <w:rFonts w:hint="eastAsia" w:ascii="宋体" w:hAnsi="宋体" w:cs="宋体"/>
                <w:color w:val="000000"/>
                <w:sz w:val="24"/>
                <w:highlight w:val="none"/>
                <w:u w:val="none" w:color="000000"/>
                <w:lang w:val="zh-CN"/>
              </w:rPr>
              <w:t>瓶窑镇二工会2024年职工疗休养项目标项</w:t>
            </w:r>
            <w:r>
              <w:rPr>
                <w:rFonts w:hint="eastAsia" w:ascii="宋体" w:hAnsi="宋体" w:cs="宋体"/>
                <w:color w:val="000000"/>
                <w:sz w:val="24"/>
                <w:highlight w:val="none"/>
                <w:u w:val="none" w:color="000000"/>
                <w:lang w:val="en-US" w:eastAsia="zh-CN"/>
              </w:rPr>
              <w:t>二</w:t>
            </w:r>
          </w:p>
        </w:tc>
        <w:tc>
          <w:tcPr>
            <w:tcW w:w="4104" w:type="dxa"/>
            <w:tcBorders>
              <w:left w:val="single" w:color="auto" w:sz="4" w:space="0"/>
              <w:right w:val="single" w:color="auto" w:sz="4" w:space="0"/>
            </w:tcBorders>
            <w:noWrap w:val="0"/>
            <w:vAlign w:val="center"/>
          </w:tcPr>
          <w:p>
            <w:pPr>
              <w:widowControl/>
              <w:snapToGrid w:val="0"/>
              <w:spacing w:line="348" w:lineRule="auto"/>
              <w:jc w:val="left"/>
              <w:rPr>
                <w:rFonts w:hint="eastAsia" w:ascii="宋体" w:hAnsi="宋体" w:eastAsia="宋体" w:cs="宋体"/>
                <w:color w:val="000000"/>
                <w:kern w:val="2"/>
                <w:sz w:val="24"/>
                <w:szCs w:val="24"/>
                <w:highlight w:val="none"/>
                <w:u w:val="none" w:color="000000"/>
                <w:lang w:val="zh-CN" w:eastAsia="zh-CN" w:bidi="ar-SA"/>
              </w:rPr>
            </w:pPr>
            <w:r>
              <w:rPr>
                <w:rFonts w:hint="eastAsia" w:ascii="宋体" w:hAnsi="宋体" w:eastAsia="宋体" w:cs="宋体"/>
                <w:kern w:val="0"/>
                <w:sz w:val="24"/>
              </w:rPr>
              <w:t>线路</w:t>
            </w:r>
            <w:r>
              <w:rPr>
                <w:rFonts w:hint="eastAsia" w:ascii="宋体" w:hAnsi="宋体" w:eastAsia="宋体" w:cs="宋体"/>
                <w:kern w:val="0"/>
                <w:sz w:val="24"/>
                <w:lang w:val="en-US" w:eastAsia="zh-CN"/>
              </w:rPr>
              <w:t>五</w:t>
            </w:r>
            <w:r>
              <w:rPr>
                <w:rFonts w:hint="eastAsia" w:ascii="宋体" w:hAnsi="宋体" w:eastAsia="宋体" w:cs="宋体"/>
                <w:kern w:val="0"/>
                <w:sz w:val="24"/>
              </w:rPr>
              <w:t>：</w:t>
            </w:r>
            <w:r>
              <w:rPr>
                <w:rFonts w:hint="eastAsia" w:ascii="宋体" w:hAnsi="宋体" w:cs="宋体"/>
                <w:kern w:val="0"/>
                <w:sz w:val="24"/>
                <w:lang w:val="en-US" w:eastAsia="zh-CN"/>
              </w:rPr>
              <w:t>宁波</w:t>
            </w:r>
            <w:r>
              <w:rPr>
                <w:rFonts w:hint="eastAsia" w:ascii="宋体" w:hAnsi="宋体" w:eastAsia="宋体" w:cs="宋体"/>
                <w:kern w:val="0"/>
                <w:sz w:val="24"/>
              </w:rPr>
              <w:t>（省内5天）</w:t>
            </w:r>
          </w:p>
        </w:tc>
        <w:tc>
          <w:tcPr>
            <w:tcW w:w="4105"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4050"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p>
        </w:tc>
        <w:tc>
          <w:tcPr>
            <w:tcW w:w="4104" w:type="dxa"/>
            <w:tcBorders>
              <w:left w:val="single" w:color="auto" w:sz="4" w:space="0"/>
              <w:right w:val="single" w:color="auto" w:sz="4" w:space="0"/>
            </w:tcBorders>
            <w:noWrap w:val="0"/>
            <w:vAlign w:val="center"/>
          </w:tcPr>
          <w:p>
            <w:pPr>
              <w:widowControl/>
              <w:snapToGrid w:val="0"/>
              <w:spacing w:line="348" w:lineRule="auto"/>
              <w:jc w:val="left"/>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eastAsia="宋体" w:cs="宋体"/>
                <w:kern w:val="0"/>
                <w:sz w:val="24"/>
              </w:rPr>
              <w:t>线路</w:t>
            </w:r>
            <w:r>
              <w:rPr>
                <w:rFonts w:hint="eastAsia" w:ascii="宋体" w:hAnsi="宋体" w:eastAsia="宋体" w:cs="宋体"/>
                <w:kern w:val="0"/>
                <w:sz w:val="24"/>
                <w:lang w:val="en-US" w:eastAsia="zh-CN"/>
              </w:rPr>
              <w:t>六</w:t>
            </w:r>
            <w:r>
              <w:rPr>
                <w:rFonts w:hint="eastAsia" w:ascii="宋体" w:hAnsi="宋体" w:eastAsia="宋体" w:cs="宋体"/>
                <w:kern w:val="0"/>
                <w:sz w:val="24"/>
              </w:rPr>
              <w:t>：</w:t>
            </w:r>
            <w:r>
              <w:rPr>
                <w:rFonts w:hint="eastAsia" w:ascii="宋体" w:hAnsi="宋体" w:cs="宋体"/>
                <w:kern w:val="0"/>
                <w:sz w:val="24"/>
                <w:lang w:val="en-US" w:eastAsia="zh-CN"/>
              </w:rPr>
              <w:t>湖州</w:t>
            </w:r>
            <w:r>
              <w:rPr>
                <w:rFonts w:hint="eastAsia" w:ascii="宋体" w:hAnsi="宋体" w:eastAsia="宋体" w:cs="宋体"/>
                <w:kern w:val="0"/>
                <w:sz w:val="24"/>
              </w:rPr>
              <w:t>（省内5天）</w:t>
            </w:r>
          </w:p>
        </w:tc>
        <w:tc>
          <w:tcPr>
            <w:tcW w:w="4105"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4050"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p>
        </w:tc>
        <w:tc>
          <w:tcPr>
            <w:tcW w:w="4104" w:type="dxa"/>
            <w:tcBorders>
              <w:left w:val="single" w:color="auto" w:sz="4" w:space="0"/>
              <w:right w:val="single" w:color="auto" w:sz="4" w:space="0"/>
            </w:tcBorders>
            <w:noWrap w:val="0"/>
            <w:vAlign w:val="center"/>
          </w:tcPr>
          <w:p>
            <w:pPr>
              <w:widowControl/>
              <w:snapToGrid w:val="0"/>
              <w:spacing w:line="348" w:lineRule="auto"/>
              <w:jc w:val="left"/>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eastAsia="宋体" w:cs="宋体"/>
                <w:kern w:val="0"/>
                <w:sz w:val="24"/>
              </w:rPr>
              <w:t>线路</w:t>
            </w:r>
            <w:r>
              <w:rPr>
                <w:rFonts w:hint="eastAsia" w:ascii="宋体" w:hAnsi="宋体" w:eastAsia="宋体" w:cs="宋体"/>
                <w:kern w:val="0"/>
                <w:sz w:val="24"/>
                <w:lang w:val="en-US" w:eastAsia="zh-CN"/>
              </w:rPr>
              <w:t>七</w:t>
            </w:r>
            <w:r>
              <w:rPr>
                <w:rFonts w:hint="eastAsia" w:ascii="宋体" w:hAnsi="宋体" w:eastAsia="宋体" w:cs="宋体"/>
                <w:kern w:val="0"/>
                <w:sz w:val="24"/>
              </w:rPr>
              <w:t>：</w:t>
            </w:r>
            <w:r>
              <w:rPr>
                <w:rFonts w:hint="eastAsia" w:ascii="宋体" w:hAnsi="宋体" w:eastAsia="宋体" w:cs="宋体"/>
                <w:kern w:val="0"/>
                <w:sz w:val="24"/>
                <w:lang w:val="en-US" w:eastAsia="zh-CN"/>
              </w:rPr>
              <w:t>丽水</w:t>
            </w:r>
            <w:r>
              <w:rPr>
                <w:rFonts w:hint="eastAsia" w:ascii="宋体" w:hAnsi="宋体" w:eastAsia="宋体" w:cs="宋体"/>
                <w:kern w:val="0"/>
                <w:sz w:val="24"/>
              </w:rPr>
              <w:t>（省内5天）</w:t>
            </w:r>
          </w:p>
        </w:tc>
        <w:tc>
          <w:tcPr>
            <w:tcW w:w="4105"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4050"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4"/>
                <w:szCs w:val="24"/>
                <w:highlight w:val="none"/>
              </w:rPr>
            </w:pPr>
          </w:p>
        </w:tc>
        <w:tc>
          <w:tcPr>
            <w:tcW w:w="4104" w:type="dxa"/>
            <w:tcBorders>
              <w:left w:val="single" w:color="auto" w:sz="4" w:space="0"/>
              <w:right w:val="single" w:color="auto" w:sz="4" w:space="0"/>
            </w:tcBorders>
            <w:noWrap w:val="0"/>
            <w:vAlign w:val="center"/>
          </w:tcPr>
          <w:p>
            <w:pPr>
              <w:widowControl/>
              <w:snapToGrid w:val="0"/>
              <w:spacing w:line="348" w:lineRule="auto"/>
              <w:jc w:val="left"/>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eastAsia="宋体" w:cs="宋体"/>
                <w:kern w:val="0"/>
                <w:sz w:val="24"/>
              </w:rPr>
              <w:t>线路</w:t>
            </w:r>
            <w:r>
              <w:rPr>
                <w:rFonts w:hint="eastAsia" w:ascii="宋体" w:hAnsi="宋体" w:eastAsia="宋体" w:cs="宋体"/>
                <w:kern w:val="0"/>
                <w:sz w:val="24"/>
                <w:lang w:val="en-US" w:eastAsia="zh-CN"/>
              </w:rPr>
              <w:t>八</w:t>
            </w:r>
            <w:r>
              <w:rPr>
                <w:rFonts w:hint="eastAsia" w:ascii="宋体" w:hAnsi="宋体" w:eastAsia="宋体" w:cs="宋体"/>
                <w:kern w:val="0"/>
                <w:sz w:val="24"/>
              </w:rPr>
              <w:t>：</w:t>
            </w:r>
            <w:r>
              <w:rPr>
                <w:rFonts w:hint="eastAsia" w:ascii="宋体" w:hAnsi="宋体" w:cs="宋体"/>
                <w:kern w:val="0"/>
                <w:sz w:val="24"/>
                <w:lang w:val="en-US" w:eastAsia="zh-CN"/>
              </w:rPr>
              <w:t>千岛湖</w:t>
            </w:r>
            <w:r>
              <w:rPr>
                <w:rFonts w:hint="eastAsia" w:ascii="宋体" w:hAnsi="宋体" w:eastAsia="宋体" w:cs="宋体"/>
                <w:kern w:val="0"/>
                <w:sz w:val="24"/>
              </w:rPr>
              <w:t>（省内5天）</w:t>
            </w:r>
          </w:p>
        </w:tc>
        <w:tc>
          <w:tcPr>
            <w:tcW w:w="4105"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13" w:name="OLE_LINK14"/>
      <w:bookmarkStart w:id="514" w:name="OLE_LINK13"/>
      <w:r>
        <w:rPr>
          <w:rFonts w:hint="eastAsia" w:ascii="仿宋" w:hAnsi="仿宋" w:eastAsia="仿宋" w:cs="仿宋"/>
          <w:b/>
          <w:color w:val="auto"/>
          <w:spacing w:val="6"/>
          <w:sz w:val="32"/>
          <w:szCs w:val="32"/>
          <w:highlight w:val="none"/>
        </w:rPr>
        <w:t>残疾人福利性单位声明函</w:t>
      </w:r>
    </w:p>
    <w:bookmarkEnd w:id="513"/>
    <w:bookmarkEnd w:id="514"/>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5" w:name="_Hlk101131882"/>
      <w:r>
        <w:rPr>
          <w:rFonts w:hint="eastAsia" w:ascii="仿宋" w:hAnsi="仿宋" w:eastAsia="仿宋" w:cs="仿宋"/>
          <w:color w:val="auto"/>
          <w:kern w:val="0"/>
          <w:sz w:val="24"/>
          <w:highlight w:val="none"/>
          <w:u w:val="single"/>
        </w:rPr>
        <w:t>联合体成员X,……</w:t>
      </w:r>
      <w:bookmarkEnd w:id="515"/>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6"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6"/>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7"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7"/>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ind w:firstLine="3666" w:firstLineChars="1100"/>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6"/>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131845147"/>
    <w:bookmarkStart w:id="519" w:name="_Toc36110187"/>
    <w:bookmarkStart w:id="520" w:name="_Toc164085800"/>
    <w:bookmarkStart w:id="521" w:name="_Toc91899912"/>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singleLevel"/>
    <w:tmpl w:val="0000001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MTU3NTFmZmQxMmQ1M2RlNDlmYjg3ZjI5NTUxNzIifQ=="/>
    <w:docVar w:name="KSO_WPS_MARK_KEY" w:val="d9e9bfb3-4087-41bd-908a-5965152134a6"/>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404"/>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82840"/>
    <w:rsid w:val="01D55165"/>
    <w:rsid w:val="01DF6BF8"/>
    <w:rsid w:val="01EC2C57"/>
    <w:rsid w:val="025F0711"/>
    <w:rsid w:val="026B2E25"/>
    <w:rsid w:val="02824D4D"/>
    <w:rsid w:val="02DC4B10"/>
    <w:rsid w:val="02DD76CE"/>
    <w:rsid w:val="02EF4EF9"/>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643DA"/>
    <w:rsid w:val="0779354C"/>
    <w:rsid w:val="07866B35"/>
    <w:rsid w:val="08061376"/>
    <w:rsid w:val="080D4B50"/>
    <w:rsid w:val="08452D77"/>
    <w:rsid w:val="086401F8"/>
    <w:rsid w:val="08751CAA"/>
    <w:rsid w:val="087E4C40"/>
    <w:rsid w:val="08A871D0"/>
    <w:rsid w:val="08D00FFA"/>
    <w:rsid w:val="08D66AD6"/>
    <w:rsid w:val="08DA33A3"/>
    <w:rsid w:val="08E80F13"/>
    <w:rsid w:val="09335624"/>
    <w:rsid w:val="0944690F"/>
    <w:rsid w:val="09535675"/>
    <w:rsid w:val="095F057D"/>
    <w:rsid w:val="09642282"/>
    <w:rsid w:val="09733572"/>
    <w:rsid w:val="09772C16"/>
    <w:rsid w:val="098353B5"/>
    <w:rsid w:val="099B68C7"/>
    <w:rsid w:val="09A92330"/>
    <w:rsid w:val="09AD4E6C"/>
    <w:rsid w:val="09B06B87"/>
    <w:rsid w:val="09C13146"/>
    <w:rsid w:val="09E04166"/>
    <w:rsid w:val="0A1C0718"/>
    <w:rsid w:val="0A3E7710"/>
    <w:rsid w:val="0A4A0CC8"/>
    <w:rsid w:val="0A5B7E63"/>
    <w:rsid w:val="0AA374A5"/>
    <w:rsid w:val="0AAB7649"/>
    <w:rsid w:val="0ABC5606"/>
    <w:rsid w:val="0B30404E"/>
    <w:rsid w:val="0B4C6C14"/>
    <w:rsid w:val="0B547599"/>
    <w:rsid w:val="0B631A88"/>
    <w:rsid w:val="0B683D45"/>
    <w:rsid w:val="0B7F3F11"/>
    <w:rsid w:val="0B884417"/>
    <w:rsid w:val="0BF6188C"/>
    <w:rsid w:val="0BF73C91"/>
    <w:rsid w:val="0C170175"/>
    <w:rsid w:val="0C43006F"/>
    <w:rsid w:val="0C571A41"/>
    <w:rsid w:val="0C5C1171"/>
    <w:rsid w:val="0C5E1CBC"/>
    <w:rsid w:val="0C615B50"/>
    <w:rsid w:val="0C7824E5"/>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DF76096"/>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501EBF"/>
    <w:rsid w:val="118963A1"/>
    <w:rsid w:val="118B28C6"/>
    <w:rsid w:val="11C6522A"/>
    <w:rsid w:val="11E104CC"/>
    <w:rsid w:val="11E20309"/>
    <w:rsid w:val="12255233"/>
    <w:rsid w:val="12530213"/>
    <w:rsid w:val="127723A9"/>
    <w:rsid w:val="12862074"/>
    <w:rsid w:val="12883966"/>
    <w:rsid w:val="129E45B4"/>
    <w:rsid w:val="12D81596"/>
    <w:rsid w:val="13072A44"/>
    <w:rsid w:val="135F4BE2"/>
    <w:rsid w:val="13871C6A"/>
    <w:rsid w:val="139B1A0A"/>
    <w:rsid w:val="139D25C7"/>
    <w:rsid w:val="13BF3CE4"/>
    <w:rsid w:val="13D30FED"/>
    <w:rsid w:val="141008D8"/>
    <w:rsid w:val="14125FE6"/>
    <w:rsid w:val="142E6621"/>
    <w:rsid w:val="146D271E"/>
    <w:rsid w:val="148716FF"/>
    <w:rsid w:val="14982588"/>
    <w:rsid w:val="149A5AD9"/>
    <w:rsid w:val="14A7619D"/>
    <w:rsid w:val="150536C3"/>
    <w:rsid w:val="150C1963"/>
    <w:rsid w:val="151447A0"/>
    <w:rsid w:val="154A6454"/>
    <w:rsid w:val="155E1D4C"/>
    <w:rsid w:val="15762120"/>
    <w:rsid w:val="16071C3A"/>
    <w:rsid w:val="16A8729C"/>
    <w:rsid w:val="16B33777"/>
    <w:rsid w:val="16BC70A7"/>
    <w:rsid w:val="16C6339E"/>
    <w:rsid w:val="172F2D79"/>
    <w:rsid w:val="17557BEF"/>
    <w:rsid w:val="17D349C1"/>
    <w:rsid w:val="17DB41AA"/>
    <w:rsid w:val="1830729E"/>
    <w:rsid w:val="1870062C"/>
    <w:rsid w:val="18817102"/>
    <w:rsid w:val="18830A15"/>
    <w:rsid w:val="18852B28"/>
    <w:rsid w:val="188B5321"/>
    <w:rsid w:val="18AF5EEB"/>
    <w:rsid w:val="19932372"/>
    <w:rsid w:val="19A20DD5"/>
    <w:rsid w:val="19AE03F1"/>
    <w:rsid w:val="19ED5AC4"/>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45CDD"/>
    <w:rsid w:val="1D266CE1"/>
    <w:rsid w:val="1D3963AF"/>
    <w:rsid w:val="1D6A673C"/>
    <w:rsid w:val="1D81284A"/>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1FFD73B8"/>
    <w:rsid w:val="20034907"/>
    <w:rsid w:val="20173E4B"/>
    <w:rsid w:val="2040453C"/>
    <w:rsid w:val="204E48BC"/>
    <w:rsid w:val="207A0469"/>
    <w:rsid w:val="208921B3"/>
    <w:rsid w:val="20973DEB"/>
    <w:rsid w:val="20A74EC5"/>
    <w:rsid w:val="20B26522"/>
    <w:rsid w:val="20B44310"/>
    <w:rsid w:val="211116EB"/>
    <w:rsid w:val="216133FC"/>
    <w:rsid w:val="218506A6"/>
    <w:rsid w:val="21D56769"/>
    <w:rsid w:val="21E52EF3"/>
    <w:rsid w:val="21FB5D7B"/>
    <w:rsid w:val="22015E94"/>
    <w:rsid w:val="220B1C3D"/>
    <w:rsid w:val="221D1D20"/>
    <w:rsid w:val="22334A87"/>
    <w:rsid w:val="22BD2FB3"/>
    <w:rsid w:val="22BE6801"/>
    <w:rsid w:val="233500BF"/>
    <w:rsid w:val="23377FF7"/>
    <w:rsid w:val="236B425F"/>
    <w:rsid w:val="23836192"/>
    <w:rsid w:val="23901F29"/>
    <w:rsid w:val="239C0061"/>
    <w:rsid w:val="23A32744"/>
    <w:rsid w:val="23A67EEB"/>
    <w:rsid w:val="23B908A4"/>
    <w:rsid w:val="23E95BEF"/>
    <w:rsid w:val="23FD0064"/>
    <w:rsid w:val="245375B0"/>
    <w:rsid w:val="24642C0A"/>
    <w:rsid w:val="24B22173"/>
    <w:rsid w:val="24B95AD9"/>
    <w:rsid w:val="24BE24DA"/>
    <w:rsid w:val="24CF5825"/>
    <w:rsid w:val="24D663E6"/>
    <w:rsid w:val="24D77F2B"/>
    <w:rsid w:val="24F133E8"/>
    <w:rsid w:val="258B00E2"/>
    <w:rsid w:val="25A917A6"/>
    <w:rsid w:val="25B05051"/>
    <w:rsid w:val="25BE27CC"/>
    <w:rsid w:val="25F74A5C"/>
    <w:rsid w:val="2628662C"/>
    <w:rsid w:val="262D45DE"/>
    <w:rsid w:val="26871DC8"/>
    <w:rsid w:val="26A53EF9"/>
    <w:rsid w:val="26A94201"/>
    <w:rsid w:val="26AC274F"/>
    <w:rsid w:val="27044A29"/>
    <w:rsid w:val="271D34C8"/>
    <w:rsid w:val="272C0838"/>
    <w:rsid w:val="27392E24"/>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E3412"/>
    <w:rsid w:val="29EF53E7"/>
    <w:rsid w:val="29F26D24"/>
    <w:rsid w:val="2A15033F"/>
    <w:rsid w:val="2A1662C1"/>
    <w:rsid w:val="2A1C7367"/>
    <w:rsid w:val="2A2815FA"/>
    <w:rsid w:val="2A6D6092"/>
    <w:rsid w:val="2A7D76B4"/>
    <w:rsid w:val="2B0E354D"/>
    <w:rsid w:val="2B437463"/>
    <w:rsid w:val="2B4E2615"/>
    <w:rsid w:val="2B7807EE"/>
    <w:rsid w:val="2BA50BF7"/>
    <w:rsid w:val="2BA710C5"/>
    <w:rsid w:val="2BBF00EC"/>
    <w:rsid w:val="2BC37CFD"/>
    <w:rsid w:val="2BC470FF"/>
    <w:rsid w:val="2BD5237F"/>
    <w:rsid w:val="2BE536CE"/>
    <w:rsid w:val="2BE700B7"/>
    <w:rsid w:val="2BE758D9"/>
    <w:rsid w:val="2C09049E"/>
    <w:rsid w:val="2C0A653C"/>
    <w:rsid w:val="2C172225"/>
    <w:rsid w:val="2C191F85"/>
    <w:rsid w:val="2CE82D6F"/>
    <w:rsid w:val="2D343236"/>
    <w:rsid w:val="2DD15014"/>
    <w:rsid w:val="2DF72DE4"/>
    <w:rsid w:val="2E0220AF"/>
    <w:rsid w:val="2E4B082A"/>
    <w:rsid w:val="2E5D4E86"/>
    <w:rsid w:val="2E5D790B"/>
    <w:rsid w:val="2E9A3C18"/>
    <w:rsid w:val="2EAB2859"/>
    <w:rsid w:val="2EBB0FEE"/>
    <w:rsid w:val="2EC63002"/>
    <w:rsid w:val="2F0A6B38"/>
    <w:rsid w:val="2F946CCB"/>
    <w:rsid w:val="2FD25781"/>
    <w:rsid w:val="2FDC745C"/>
    <w:rsid w:val="2FFD7934"/>
    <w:rsid w:val="30733ACD"/>
    <w:rsid w:val="308C3862"/>
    <w:rsid w:val="309379D8"/>
    <w:rsid w:val="309D2676"/>
    <w:rsid w:val="30A270F7"/>
    <w:rsid w:val="30C15055"/>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1C3CBE"/>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F2027B"/>
    <w:rsid w:val="373F410B"/>
    <w:rsid w:val="37EE7094"/>
    <w:rsid w:val="38296C89"/>
    <w:rsid w:val="383002EB"/>
    <w:rsid w:val="38586797"/>
    <w:rsid w:val="38BC0149"/>
    <w:rsid w:val="38CA5FD2"/>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64026"/>
    <w:rsid w:val="3D3C7F39"/>
    <w:rsid w:val="3D440F09"/>
    <w:rsid w:val="3D4504A0"/>
    <w:rsid w:val="3D8734BB"/>
    <w:rsid w:val="3D9A11D4"/>
    <w:rsid w:val="3DA16D89"/>
    <w:rsid w:val="3DA364BE"/>
    <w:rsid w:val="3DE041CB"/>
    <w:rsid w:val="3E0D48F6"/>
    <w:rsid w:val="3E1868B4"/>
    <w:rsid w:val="3E34204A"/>
    <w:rsid w:val="3E377251"/>
    <w:rsid w:val="3E42664B"/>
    <w:rsid w:val="3E5A7334"/>
    <w:rsid w:val="3E7772D2"/>
    <w:rsid w:val="3E7B5D6B"/>
    <w:rsid w:val="3E843E66"/>
    <w:rsid w:val="3E8F51FE"/>
    <w:rsid w:val="3E926F87"/>
    <w:rsid w:val="3E9A59DE"/>
    <w:rsid w:val="3EAF4836"/>
    <w:rsid w:val="3EC33DFA"/>
    <w:rsid w:val="3ED636AA"/>
    <w:rsid w:val="3F060E16"/>
    <w:rsid w:val="3F1D1096"/>
    <w:rsid w:val="3F2F0234"/>
    <w:rsid w:val="3F6363FE"/>
    <w:rsid w:val="3F72697E"/>
    <w:rsid w:val="3F756B8F"/>
    <w:rsid w:val="3F95482B"/>
    <w:rsid w:val="3FEE477F"/>
    <w:rsid w:val="400B0090"/>
    <w:rsid w:val="4019356B"/>
    <w:rsid w:val="40592157"/>
    <w:rsid w:val="406E1CAE"/>
    <w:rsid w:val="40A0133A"/>
    <w:rsid w:val="40C31A53"/>
    <w:rsid w:val="40E46277"/>
    <w:rsid w:val="40FF545D"/>
    <w:rsid w:val="410067C8"/>
    <w:rsid w:val="41674558"/>
    <w:rsid w:val="418F0D2A"/>
    <w:rsid w:val="41D01505"/>
    <w:rsid w:val="42130691"/>
    <w:rsid w:val="422B1E2E"/>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C4C52"/>
    <w:rsid w:val="43C77C27"/>
    <w:rsid w:val="43DE09EE"/>
    <w:rsid w:val="44002FAD"/>
    <w:rsid w:val="443311CF"/>
    <w:rsid w:val="449101DD"/>
    <w:rsid w:val="44DE1391"/>
    <w:rsid w:val="451B225C"/>
    <w:rsid w:val="452410C9"/>
    <w:rsid w:val="45317DFB"/>
    <w:rsid w:val="456D3CE4"/>
    <w:rsid w:val="4579042C"/>
    <w:rsid w:val="457F0571"/>
    <w:rsid w:val="45851176"/>
    <w:rsid w:val="45C63B94"/>
    <w:rsid w:val="45D121B1"/>
    <w:rsid w:val="460E7DA5"/>
    <w:rsid w:val="46422483"/>
    <w:rsid w:val="4659254A"/>
    <w:rsid w:val="465B0637"/>
    <w:rsid w:val="465E3F0D"/>
    <w:rsid w:val="466A16E6"/>
    <w:rsid w:val="46893F2B"/>
    <w:rsid w:val="46911CFA"/>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63AF5"/>
    <w:rsid w:val="496F77D7"/>
    <w:rsid w:val="497654FD"/>
    <w:rsid w:val="49B64211"/>
    <w:rsid w:val="49E56AF9"/>
    <w:rsid w:val="49E64992"/>
    <w:rsid w:val="49F6167F"/>
    <w:rsid w:val="4A064FA0"/>
    <w:rsid w:val="4A070E34"/>
    <w:rsid w:val="4A16615C"/>
    <w:rsid w:val="4A4424D7"/>
    <w:rsid w:val="4AB82D0F"/>
    <w:rsid w:val="4AEB7664"/>
    <w:rsid w:val="4AFD7C19"/>
    <w:rsid w:val="4B0567D1"/>
    <w:rsid w:val="4B236AAE"/>
    <w:rsid w:val="4B5644F2"/>
    <w:rsid w:val="4B707271"/>
    <w:rsid w:val="4B9739F7"/>
    <w:rsid w:val="4BEE2503"/>
    <w:rsid w:val="4C245A30"/>
    <w:rsid w:val="4C5E6E7C"/>
    <w:rsid w:val="4CB6685F"/>
    <w:rsid w:val="4CC367FE"/>
    <w:rsid w:val="4D077F3C"/>
    <w:rsid w:val="4D123355"/>
    <w:rsid w:val="4D2A3B31"/>
    <w:rsid w:val="4D312C52"/>
    <w:rsid w:val="4D591653"/>
    <w:rsid w:val="4D905305"/>
    <w:rsid w:val="4D964A72"/>
    <w:rsid w:val="4D9C1254"/>
    <w:rsid w:val="4E793892"/>
    <w:rsid w:val="4E800872"/>
    <w:rsid w:val="4EC569ED"/>
    <w:rsid w:val="4ED50EA1"/>
    <w:rsid w:val="4EEC050C"/>
    <w:rsid w:val="4F104EC3"/>
    <w:rsid w:val="4F47354A"/>
    <w:rsid w:val="4F911C54"/>
    <w:rsid w:val="4FE625E0"/>
    <w:rsid w:val="5016243B"/>
    <w:rsid w:val="5021480F"/>
    <w:rsid w:val="50962ECB"/>
    <w:rsid w:val="50A42E38"/>
    <w:rsid w:val="50A4577F"/>
    <w:rsid w:val="50B73D1F"/>
    <w:rsid w:val="50BD5BC9"/>
    <w:rsid w:val="50C11EEE"/>
    <w:rsid w:val="50E97CFC"/>
    <w:rsid w:val="50FA4028"/>
    <w:rsid w:val="510D65B7"/>
    <w:rsid w:val="511157AB"/>
    <w:rsid w:val="511D2CEB"/>
    <w:rsid w:val="5142540C"/>
    <w:rsid w:val="518832C8"/>
    <w:rsid w:val="519D3C50"/>
    <w:rsid w:val="51A0432A"/>
    <w:rsid w:val="51A86090"/>
    <w:rsid w:val="51B7396D"/>
    <w:rsid w:val="51C07FC0"/>
    <w:rsid w:val="522307D5"/>
    <w:rsid w:val="522E4CC3"/>
    <w:rsid w:val="5244713B"/>
    <w:rsid w:val="52615633"/>
    <w:rsid w:val="526F4DE4"/>
    <w:rsid w:val="52977FD4"/>
    <w:rsid w:val="52A25790"/>
    <w:rsid w:val="52A96B6F"/>
    <w:rsid w:val="52B45975"/>
    <w:rsid w:val="52D94AA4"/>
    <w:rsid w:val="52EA3A62"/>
    <w:rsid w:val="52F50BB8"/>
    <w:rsid w:val="53073C53"/>
    <w:rsid w:val="53097272"/>
    <w:rsid w:val="53544462"/>
    <w:rsid w:val="5397158E"/>
    <w:rsid w:val="53BA0F2E"/>
    <w:rsid w:val="54013861"/>
    <w:rsid w:val="54487265"/>
    <w:rsid w:val="544D6070"/>
    <w:rsid w:val="54605E1E"/>
    <w:rsid w:val="54B3506A"/>
    <w:rsid w:val="54CA0D16"/>
    <w:rsid w:val="54DD4057"/>
    <w:rsid w:val="54E7490F"/>
    <w:rsid w:val="550764A4"/>
    <w:rsid w:val="550B2BF6"/>
    <w:rsid w:val="55214EB5"/>
    <w:rsid w:val="552A59D6"/>
    <w:rsid w:val="55364EFD"/>
    <w:rsid w:val="555B6F26"/>
    <w:rsid w:val="555D4828"/>
    <w:rsid w:val="557A4C8B"/>
    <w:rsid w:val="558931E1"/>
    <w:rsid w:val="55923347"/>
    <w:rsid w:val="55925180"/>
    <w:rsid w:val="55983B1B"/>
    <w:rsid w:val="55A8376B"/>
    <w:rsid w:val="55DC29B6"/>
    <w:rsid w:val="55DD4241"/>
    <w:rsid w:val="566B6D1E"/>
    <w:rsid w:val="57032A2C"/>
    <w:rsid w:val="570F5219"/>
    <w:rsid w:val="571F7893"/>
    <w:rsid w:val="575D12B5"/>
    <w:rsid w:val="57610A87"/>
    <w:rsid w:val="577B1140"/>
    <w:rsid w:val="577B7F21"/>
    <w:rsid w:val="577F181B"/>
    <w:rsid w:val="57833AC4"/>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825E76"/>
    <w:rsid w:val="59F80043"/>
    <w:rsid w:val="5A09252F"/>
    <w:rsid w:val="5A0B2778"/>
    <w:rsid w:val="5A2A7C7B"/>
    <w:rsid w:val="5A3E2560"/>
    <w:rsid w:val="5A5D3B6E"/>
    <w:rsid w:val="5A637A76"/>
    <w:rsid w:val="5A6D33BA"/>
    <w:rsid w:val="5A792B1F"/>
    <w:rsid w:val="5A874767"/>
    <w:rsid w:val="5AA85BE2"/>
    <w:rsid w:val="5AAD6F28"/>
    <w:rsid w:val="5AD63A24"/>
    <w:rsid w:val="5AEC6936"/>
    <w:rsid w:val="5B2A2317"/>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74E28"/>
    <w:rsid w:val="5EFC7377"/>
    <w:rsid w:val="5F06174D"/>
    <w:rsid w:val="5F3A3602"/>
    <w:rsid w:val="5F45733B"/>
    <w:rsid w:val="5F5B2DA0"/>
    <w:rsid w:val="5F6277C6"/>
    <w:rsid w:val="5F6D0B1D"/>
    <w:rsid w:val="5F8D0B82"/>
    <w:rsid w:val="5FCC5339"/>
    <w:rsid w:val="5FE34A5B"/>
    <w:rsid w:val="5FFE1E36"/>
    <w:rsid w:val="6017272D"/>
    <w:rsid w:val="60232584"/>
    <w:rsid w:val="607330CE"/>
    <w:rsid w:val="60825176"/>
    <w:rsid w:val="609F2AC4"/>
    <w:rsid w:val="60FA2EE8"/>
    <w:rsid w:val="61054A27"/>
    <w:rsid w:val="610A52BC"/>
    <w:rsid w:val="611D2366"/>
    <w:rsid w:val="61421856"/>
    <w:rsid w:val="615227C4"/>
    <w:rsid w:val="615F4C5A"/>
    <w:rsid w:val="61654E3F"/>
    <w:rsid w:val="6182292A"/>
    <w:rsid w:val="619F7F92"/>
    <w:rsid w:val="61D373F6"/>
    <w:rsid w:val="61F94C26"/>
    <w:rsid w:val="62000E56"/>
    <w:rsid w:val="624F3E49"/>
    <w:rsid w:val="62632286"/>
    <w:rsid w:val="62885958"/>
    <w:rsid w:val="62F40B65"/>
    <w:rsid w:val="62FC2CFE"/>
    <w:rsid w:val="63024505"/>
    <w:rsid w:val="635600A5"/>
    <w:rsid w:val="635B1DB5"/>
    <w:rsid w:val="63711FED"/>
    <w:rsid w:val="63880DDC"/>
    <w:rsid w:val="638D750D"/>
    <w:rsid w:val="63AC6CC0"/>
    <w:rsid w:val="63CD2ED8"/>
    <w:rsid w:val="64055776"/>
    <w:rsid w:val="64240056"/>
    <w:rsid w:val="643E143A"/>
    <w:rsid w:val="64491666"/>
    <w:rsid w:val="648B6EEF"/>
    <w:rsid w:val="64C158BF"/>
    <w:rsid w:val="64CE2EAA"/>
    <w:rsid w:val="653C3090"/>
    <w:rsid w:val="65854376"/>
    <w:rsid w:val="658767BE"/>
    <w:rsid w:val="65892531"/>
    <w:rsid w:val="65AC7A0C"/>
    <w:rsid w:val="66195831"/>
    <w:rsid w:val="662E75B1"/>
    <w:rsid w:val="66314B43"/>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D6AEB"/>
    <w:rsid w:val="69FD55B8"/>
    <w:rsid w:val="6A0B1C62"/>
    <w:rsid w:val="6A2406C8"/>
    <w:rsid w:val="6ADE0BD1"/>
    <w:rsid w:val="6AE96859"/>
    <w:rsid w:val="6B147746"/>
    <w:rsid w:val="6B24787C"/>
    <w:rsid w:val="6B573233"/>
    <w:rsid w:val="6B5B6274"/>
    <w:rsid w:val="6B935D53"/>
    <w:rsid w:val="6C196F71"/>
    <w:rsid w:val="6C226FCB"/>
    <w:rsid w:val="6C31226F"/>
    <w:rsid w:val="6C552F0B"/>
    <w:rsid w:val="6C7F5018"/>
    <w:rsid w:val="6C8C67B7"/>
    <w:rsid w:val="6C9D744C"/>
    <w:rsid w:val="6D167928"/>
    <w:rsid w:val="6D26299B"/>
    <w:rsid w:val="6D4772EC"/>
    <w:rsid w:val="6D9078AF"/>
    <w:rsid w:val="6DAA3FEF"/>
    <w:rsid w:val="6DC0172B"/>
    <w:rsid w:val="6DCB690C"/>
    <w:rsid w:val="6DD41A5B"/>
    <w:rsid w:val="6DF43C2E"/>
    <w:rsid w:val="6DF51CA3"/>
    <w:rsid w:val="6E460293"/>
    <w:rsid w:val="6E5A0C8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7F1B27"/>
    <w:rsid w:val="72864BF7"/>
    <w:rsid w:val="729023FC"/>
    <w:rsid w:val="73171B43"/>
    <w:rsid w:val="73C0646E"/>
    <w:rsid w:val="73E7745D"/>
    <w:rsid w:val="742222F5"/>
    <w:rsid w:val="74476126"/>
    <w:rsid w:val="74706664"/>
    <w:rsid w:val="747F3682"/>
    <w:rsid w:val="74822CE1"/>
    <w:rsid w:val="749C4185"/>
    <w:rsid w:val="74BB61F3"/>
    <w:rsid w:val="74EA2C79"/>
    <w:rsid w:val="74F6722B"/>
    <w:rsid w:val="75067759"/>
    <w:rsid w:val="752E6DCD"/>
    <w:rsid w:val="75385D85"/>
    <w:rsid w:val="7551380D"/>
    <w:rsid w:val="75600BE5"/>
    <w:rsid w:val="7564475C"/>
    <w:rsid w:val="7583797F"/>
    <w:rsid w:val="75B4336E"/>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C1557"/>
    <w:rsid w:val="7B257FFD"/>
    <w:rsid w:val="7B273D20"/>
    <w:rsid w:val="7B343476"/>
    <w:rsid w:val="7B5A2978"/>
    <w:rsid w:val="7B5A7E4C"/>
    <w:rsid w:val="7B667AF9"/>
    <w:rsid w:val="7B7468F8"/>
    <w:rsid w:val="7B871525"/>
    <w:rsid w:val="7BEE0103"/>
    <w:rsid w:val="7C0A0FE4"/>
    <w:rsid w:val="7C254906"/>
    <w:rsid w:val="7C590818"/>
    <w:rsid w:val="7C7C10F6"/>
    <w:rsid w:val="7C853BEA"/>
    <w:rsid w:val="7C881368"/>
    <w:rsid w:val="7CE27788"/>
    <w:rsid w:val="7D0C32F1"/>
    <w:rsid w:val="7D0F408D"/>
    <w:rsid w:val="7D1A1354"/>
    <w:rsid w:val="7D491C6C"/>
    <w:rsid w:val="7D5429C0"/>
    <w:rsid w:val="7D6E6D43"/>
    <w:rsid w:val="7DB57A34"/>
    <w:rsid w:val="7DE60973"/>
    <w:rsid w:val="7DEF0916"/>
    <w:rsid w:val="7E1E5218"/>
    <w:rsid w:val="7E9A4E1F"/>
    <w:rsid w:val="7EA7723A"/>
    <w:rsid w:val="7EF56FBB"/>
    <w:rsid w:val="7F0768EB"/>
    <w:rsid w:val="7F143BEC"/>
    <w:rsid w:val="7F454021"/>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3"/>
    <w:autoRedefine/>
    <w:qFormat/>
    <w:uiPriority w:val="0"/>
    <w:pPr>
      <w:adjustRightInd/>
      <w:spacing w:after="120" w:line="240" w:lineRule="auto"/>
      <w:ind w:left="420" w:leftChars="200" w:firstLine="210"/>
    </w:pPr>
    <w:rPr>
      <w:sz w:val="21"/>
    </w:rPr>
  </w:style>
  <w:style w:type="paragraph" w:styleId="3">
    <w:name w:val="Body Text Indent"/>
    <w:basedOn w:val="1"/>
    <w:next w:val="4"/>
    <w:link w:val="267"/>
    <w:autoRedefine/>
    <w:qFormat/>
    <w:uiPriority w:val="0"/>
    <w:pPr>
      <w:spacing w:line="480" w:lineRule="exact"/>
      <w:ind w:firstLine="480" w:firstLineChars="200"/>
    </w:pPr>
    <w:rPr>
      <w:rFonts w:ascii="宋体" w:hAnsi="宋体"/>
      <w:sz w:val="24"/>
    </w:rPr>
  </w:style>
  <w:style w:type="paragraph" w:styleId="4">
    <w:name w:val="Normal Indent"/>
    <w:basedOn w:val="1"/>
    <w:next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4"/>
    <w:autoRedefine/>
    <w:qFormat/>
    <w:uiPriority w:val="0"/>
    <w:pPr>
      <w:shd w:val="clear" w:color="auto" w:fill="000080"/>
    </w:p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2"/>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3"/>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3"/>
    <w:autoRedefine/>
    <w:qFormat/>
    <w:uiPriority w:val="0"/>
    <w:rPr>
      <w:lang w:val="zh-CN"/>
    </w:rPr>
  </w:style>
  <w:style w:type="paragraph" w:styleId="41">
    <w:name w:val="Balloon Text"/>
    <w:basedOn w:val="1"/>
    <w:link w:val="190"/>
    <w:autoRedefine/>
    <w:qFormat/>
    <w:uiPriority w:val="0"/>
    <w:rPr>
      <w:sz w:val="18"/>
      <w:szCs w:val="18"/>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4"/>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TML Definition"/>
    <w:basedOn w:val="69"/>
    <w:autoRedefine/>
    <w:qFormat/>
    <w:uiPriority w:val="0"/>
  </w:style>
  <w:style w:type="character" w:styleId="77">
    <w:name w:val="HTML Variable"/>
    <w:basedOn w:val="69"/>
    <w:autoRedefine/>
    <w:qFormat/>
    <w:uiPriority w:val="0"/>
  </w:style>
  <w:style w:type="character" w:styleId="78">
    <w:name w:val="Hyperlink"/>
    <w:basedOn w:val="69"/>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Cite"/>
    <w:basedOn w:val="69"/>
    <w:autoRedefine/>
    <w:qFormat/>
    <w:uiPriority w:val="0"/>
  </w:style>
  <w:style w:type="paragraph" w:customStyle="1" w:styleId="82">
    <w:name w:val="正文文本首行缩进 21"/>
    <w:basedOn w:val="3"/>
    <w:autoRedefine/>
    <w:qFormat/>
    <w:uiPriority w:val="99"/>
    <w:pPr>
      <w:spacing w:line="200" w:lineRule="atLeast"/>
      <w:ind w:firstLine="420"/>
    </w:pPr>
    <w:rPr>
      <w:rFonts w:hAnsi="Courier New"/>
      <w:spacing w:val="-4"/>
      <w:sz w:val="18"/>
      <w:szCs w:val="18"/>
    </w:rPr>
  </w:style>
  <w:style w:type="character" w:customStyle="1" w:styleId="83">
    <w:name w:val="标题 1 Char"/>
    <w:link w:val="5"/>
    <w:autoRedefine/>
    <w:qFormat/>
    <w:uiPriority w:val="9"/>
    <w:rPr>
      <w:b/>
      <w:bCs/>
      <w:kern w:val="44"/>
      <w:sz w:val="44"/>
      <w:szCs w:val="44"/>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2"/>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autoRedefine/>
    <w:qFormat/>
    <w:uiPriority w:val="0"/>
    <w:rPr>
      <w:rFonts w:ascii="Arial" w:hAnsi="Arial" w:eastAsia="黑体" w:cs="Arial"/>
      <w:snapToGrid w:val="0"/>
      <w:kern w:val="0"/>
      <w:szCs w:val="21"/>
    </w:rPr>
  </w:style>
  <w:style w:type="character" w:customStyle="1" w:styleId="127">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9"/>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10"/>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6"/>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8"/>
    <w:autoRedefine/>
    <w:qFormat/>
    <w:uiPriority w:val="0"/>
    <w:rPr>
      <w:rFonts w:ascii="宋体"/>
      <w:kern w:val="2"/>
      <w:sz w:val="24"/>
      <w:szCs w:val="21"/>
      <w:lang w:val="zh-CN"/>
    </w:rPr>
  </w:style>
  <w:style w:type="character" w:customStyle="1" w:styleId="184">
    <w:name w:val="标题 9 Char"/>
    <w:link w:val="13"/>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41"/>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4"/>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0"/>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2"/>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8"/>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8"/>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3"/>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0"/>
    <w:autoRedefine/>
    <w:qFormat/>
    <w:uiPriority w:val="10"/>
    <w:rPr>
      <w:b/>
      <w:sz w:val="24"/>
      <w:lang w:val="en-GB"/>
    </w:rPr>
  </w:style>
  <w:style w:type="character" w:customStyle="1" w:styleId="288">
    <w:name w:val="font81"/>
    <w:basedOn w:val="69"/>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9"/>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8"/>
    <w:autoRedefine/>
    <w:qFormat/>
    <w:uiPriority w:val="0"/>
    <w:rPr>
      <w:rFonts w:ascii="黑体" w:hAnsi="Courier New" w:eastAsia="黑体"/>
    </w:rPr>
  </w:style>
  <w:style w:type="character" w:customStyle="1" w:styleId="303">
    <w:name w:val="正文文本 2 Char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8"/>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1"/>
    <w:autoRedefine/>
    <w:qFormat/>
    <w:uiPriority w:val="0"/>
    <w:rPr>
      <w:b/>
      <w:bCs/>
      <w:kern w:val="2"/>
      <w:sz w:val="24"/>
      <w:szCs w:val="24"/>
    </w:rPr>
  </w:style>
  <w:style w:type="character" w:customStyle="1" w:styleId="309">
    <w:name w:val="正文文本缩进 2 Char"/>
    <w:link w:val="39"/>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2"/>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6"/>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8"/>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3"/>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autoRedefine/>
    <w:qFormat/>
    <w:uiPriority w:val="99"/>
    <w:rPr>
      <w:kern w:val="2"/>
      <w:sz w:val="21"/>
      <w:szCs w:val="24"/>
    </w:rPr>
  </w:style>
  <w:style w:type="character" w:customStyle="1" w:styleId="346">
    <w:name w:val="签名 Char"/>
    <w:link w:val="44"/>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2"/>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4"/>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7"/>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9"/>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4"/>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4"/>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5"/>
    <w:autoRedefine/>
    <w:qFormat/>
    <w:uiPriority w:val="0"/>
    <w:pPr>
      <w:tabs>
        <w:tab w:val="left" w:pos="840"/>
      </w:tabs>
      <w:adjustRightInd/>
      <w:ind w:left="840" w:hanging="420"/>
    </w:pPr>
  </w:style>
  <w:style w:type="paragraph" w:customStyle="1" w:styleId="627">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4"/>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autoRedefine/>
    <w:qFormat/>
    <w:uiPriority w:val="0"/>
    <w:pPr>
      <w:tabs>
        <w:tab w:val="left" w:pos="1080"/>
      </w:tabs>
      <w:ind w:left="1080" w:hanging="1080"/>
    </w:pPr>
  </w:style>
  <w:style w:type="paragraph" w:customStyle="1" w:styleId="898">
    <w:name w:val="数字标题1"/>
    <w:basedOn w:val="5"/>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40"/>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basedOn w:val="69"/>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swzz"/>
    <w:basedOn w:val="69"/>
    <w:autoRedefine/>
    <w:qFormat/>
    <w:uiPriority w:val="0"/>
    <w:rPr>
      <w:color w:val="F39800"/>
    </w:rPr>
  </w:style>
  <w:style w:type="character" w:customStyle="1" w:styleId="967">
    <w:name w:val="dhxform_item_required"/>
    <w:basedOn w:val="69"/>
    <w:autoRedefine/>
    <w:qFormat/>
    <w:uiPriority w:val="0"/>
    <w:rPr>
      <w:color w:val="B2B2B2"/>
    </w:rPr>
  </w:style>
  <w:style w:type="character" w:customStyle="1" w:styleId="968">
    <w:name w:val="dhxform_item_required1"/>
    <w:basedOn w:val="69"/>
    <w:autoRedefine/>
    <w:qFormat/>
    <w:uiPriority w:val="0"/>
    <w:rPr>
      <w:color w:val="FF0000"/>
    </w:rPr>
  </w:style>
  <w:style w:type="character" w:customStyle="1" w:styleId="969">
    <w:name w:val="operation"/>
    <w:basedOn w:val="69"/>
    <w:autoRedefine/>
    <w:qFormat/>
    <w:uiPriority w:val="0"/>
    <w:rPr>
      <w:color w:val="F39800"/>
    </w:rPr>
  </w:style>
  <w:style w:type="character" w:customStyle="1" w:styleId="970">
    <w:name w:val="jedateymchok"/>
    <w:basedOn w:val="69"/>
    <w:autoRedefine/>
    <w:qFormat/>
    <w:uiPriority w:val="0"/>
    <w:rPr>
      <w:color w:val="FFFFFF"/>
      <w:sz w:val="18"/>
      <w:szCs w:val="18"/>
      <w:shd w:val="clear" w:fill="1065C2"/>
    </w:rPr>
  </w:style>
  <w:style w:type="character" w:customStyle="1" w:styleId="971">
    <w:name w:val="first-child"/>
    <w:basedOn w:val="69"/>
    <w:autoRedefine/>
    <w:qFormat/>
    <w:uiPriority w:val="0"/>
  </w:style>
  <w:style w:type="character" w:customStyle="1" w:styleId="972">
    <w:name w:val="first-child1"/>
    <w:basedOn w:val="69"/>
    <w:autoRedefine/>
    <w:qFormat/>
    <w:uiPriority w:val="0"/>
  </w:style>
  <w:style w:type="character" w:customStyle="1" w:styleId="973">
    <w:name w:val="radio"/>
    <w:basedOn w:val="69"/>
    <w:autoRedefine/>
    <w:qFormat/>
    <w:uiPriority w:val="0"/>
    <w:rPr>
      <w:color w:val="666666"/>
    </w:rPr>
  </w:style>
  <w:style w:type="character" w:customStyle="1" w:styleId="974">
    <w:name w:val="user"/>
    <w:basedOn w:val="69"/>
    <w:autoRedefine/>
    <w:qFormat/>
    <w:uiPriority w:val="0"/>
    <w:rPr>
      <w:b/>
      <w:bCs/>
      <w:color w:val="1065C2"/>
    </w:rPr>
  </w:style>
  <w:style w:type="character" w:customStyle="1" w:styleId="975">
    <w:name w:val="standarttreerow"/>
    <w:basedOn w:val="69"/>
    <w:autoRedefine/>
    <w:qFormat/>
    <w:uiPriority w:val="0"/>
    <w:rPr>
      <w:rFonts w:ascii="Tahoma" w:hAnsi="Tahoma" w:eastAsia="Tahoma" w:cs="Tahoma"/>
      <w:sz w:val="18"/>
      <w:szCs w:val="18"/>
    </w:rPr>
  </w:style>
  <w:style w:type="character" w:customStyle="1" w:styleId="976">
    <w:name w:val="rotateleft"/>
    <w:basedOn w:val="69"/>
    <w:autoRedefine/>
    <w:qFormat/>
    <w:uiPriority w:val="0"/>
  </w:style>
  <w:style w:type="character" w:customStyle="1" w:styleId="977">
    <w:name w:val="percentage"/>
    <w:basedOn w:val="69"/>
    <w:autoRedefine/>
    <w:qFormat/>
    <w:uiPriority w:val="0"/>
    <w:rPr>
      <w:shd w:val="clear" w:fill="1483D8"/>
    </w:rPr>
  </w:style>
  <w:style w:type="character" w:customStyle="1" w:styleId="978">
    <w:name w:val="checkbox2"/>
    <w:basedOn w:val="69"/>
    <w:autoRedefine/>
    <w:qFormat/>
    <w:uiPriority w:val="0"/>
    <w:rPr>
      <w:color w:val="666666"/>
    </w:rPr>
  </w:style>
  <w:style w:type="character" w:customStyle="1" w:styleId="979">
    <w:name w:val="checkbox3"/>
    <w:basedOn w:val="69"/>
    <w:autoRedefine/>
    <w:qFormat/>
    <w:uiPriority w:val="0"/>
    <w:rPr>
      <w:color w:val="666666"/>
    </w:rPr>
  </w:style>
  <w:style w:type="character" w:customStyle="1" w:styleId="980">
    <w:name w:val="margin"/>
    <w:basedOn w:val="69"/>
    <w:autoRedefine/>
    <w:qFormat/>
    <w:uiPriority w:val="0"/>
    <w:rPr>
      <w:color w:val="666666"/>
    </w:rPr>
  </w:style>
  <w:style w:type="character" w:customStyle="1" w:styleId="981">
    <w:name w:val="dhxtabbar_tabs_text_test_dhx_skyblue"/>
    <w:basedOn w:val="69"/>
    <w:autoRedefine/>
    <w:qFormat/>
    <w:uiPriority w:val="0"/>
    <w:rPr>
      <w:rFonts w:hint="default" w:ascii="Tahoma" w:hAnsi="Tahoma" w:eastAsia="Tahoma" w:cs="Tahoma"/>
      <w:b/>
      <w:bCs/>
      <w:color w:val="000000"/>
      <w:sz w:val="16"/>
      <w:szCs w:val="16"/>
    </w:rPr>
  </w:style>
  <w:style w:type="character" w:customStyle="1" w:styleId="982">
    <w:name w:val="space"/>
    <w:basedOn w:val="69"/>
    <w:autoRedefine/>
    <w:qFormat/>
    <w:uiPriority w:val="0"/>
  </w:style>
  <w:style w:type="character" w:customStyle="1" w:styleId="983">
    <w:name w:val="jedateymchle"/>
    <w:basedOn w:val="69"/>
    <w:autoRedefine/>
    <w:qFormat/>
    <w:uiPriority w:val="0"/>
    <w:rPr>
      <w:color w:val="1F547E"/>
      <w:sz w:val="24"/>
      <w:szCs w:val="24"/>
      <w:shd w:val="clear" w:fill="ECF4FB"/>
    </w:rPr>
  </w:style>
  <w:style w:type="character" w:customStyle="1" w:styleId="984">
    <w:name w:val="text2"/>
    <w:basedOn w:val="69"/>
    <w:autoRedefine/>
    <w:qFormat/>
    <w:uiPriority w:val="0"/>
  </w:style>
  <w:style w:type="character" w:customStyle="1" w:styleId="985">
    <w:name w:val="recordsinfoblock"/>
    <w:basedOn w:val="69"/>
    <w:autoRedefine/>
    <w:qFormat/>
    <w:uiPriority w:val="0"/>
    <w:rPr>
      <w:rFonts w:hint="default" w:ascii="Tahoma" w:hAnsi="Tahoma" w:eastAsia="Tahoma" w:cs="Tahoma"/>
      <w:color w:val="000000"/>
      <w:sz w:val="18"/>
      <w:szCs w:val="18"/>
    </w:rPr>
  </w:style>
  <w:style w:type="character" w:customStyle="1" w:styleId="986">
    <w:name w:val="jedateymchri"/>
    <w:basedOn w:val="69"/>
    <w:autoRedefine/>
    <w:qFormat/>
    <w:uiPriority w:val="0"/>
    <w:rPr>
      <w:color w:val="1F547E"/>
      <w:sz w:val="24"/>
      <w:szCs w:val="24"/>
      <w:shd w:val="clear" w:fill="ECF4FB"/>
    </w:rPr>
  </w:style>
  <w:style w:type="character" w:customStyle="1" w:styleId="987">
    <w:name w:val="dhtmlxcalendar_selected_date"/>
    <w:basedOn w:val="69"/>
    <w:autoRedefine/>
    <w:qFormat/>
    <w:uiPriority w:val="0"/>
  </w:style>
  <w:style w:type="character" w:customStyle="1" w:styleId="988">
    <w:name w:val="dhtmlxcalendar_selected_date1"/>
    <w:basedOn w:val="69"/>
    <w:autoRedefine/>
    <w:qFormat/>
    <w:uiPriority w:val="0"/>
  </w:style>
  <w:style w:type="character" w:customStyle="1" w:styleId="989">
    <w:name w:val="rotateright"/>
    <w:basedOn w:val="69"/>
    <w:autoRedefine/>
    <w:qFormat/>
    <w:uiPriority w:val="0"/>
  </w:style>
  <w:style w:type="character" w:customStyle="1" w:styleId="990">
    <w:name w:val="layui-layer-tabnow"/>
    <w:basedOn w:val="69"/>
    <w:autoRedefine/>
    <w:qFormat/>
    <w:uiPriority w:val="0"/>
    <w:rPr>
      <w:bdr w:val="single" w:color="CCCCCC" w:sz="6" w:space="0"/>
      <w:shd w:val="clear" w:fill="FFFFFF"/>
    </w:rPr>
  </w:style>
  <w:style w:type="character" w:customStyle="1" w:styleId="991">
    <w:name w:val="cancel"/>
    <w:basedOn w:val="69"/>
    <w:autoRedefine/>
    <w:qFormat/>
    <w:uiPriority w:val="0"/>
  </w:style>
  <w:style w:type="character" w:customStyle="1" w:styleId="992">
    <w:name w:val="selectedtreerow_lor6"/>
    <w:basedOn w:val="69"/>
    <w:autoRedefine/>
    <w:qFormat/>
    <w:uiPriority w:val="0"/>
    <w:rPr>
      <w:color w:val="000000"/>
      <w:shd w:val="clear" w:fill="85D3FF"/>
    </w:rPr>
  </w:style>
  <w:style w:type="character" w:customStyle="1" w:styleId="993">
    <w:name w:val="selectedtreerow_lor7"/>
    <w:basedOn w:val="69"/>
    <w:autoRedefine/>
    <w:qFormat/>
    <w:uiPriority w:val="0"/>
  </w:style>
  <w:style w:type="character" w:customStyle="1" w:styleId="994">
    <w:name w:val="selectedtreerow5"/>
    <w:basedOn w:val="69"/>
    <w:autoRedefine/>
    <w:qFormat/>
    <w:uiPriority w:val="0"/>
    <w:rPr>
      <w:color w:val="000000"/>
      <w:shd w:val="clear" w:fill="85D3FF"/>
    </w:rPr>
  </w:style>
  <w:style w:type="character" w:customStyle="1" w:styleId="995">
    <w:name w:val="selectedtreerow6"/>
    <w:basedOn w:val="69"/>
    <w:autoRedefine/>
    <w:qFormat/>
    <w:uiPriority w:val="0"/>
  </w:style>
  <w:style w:type="character" w:customStyle="1" w:styleId="996">
    <w:name w:val="nav_link"/>
    <w:basedOn w:val="69"/>
    <w:autoRedefine/>
    <w:qFormat/>
    <w:uiPriority w:val="0"/>
  </w:style>
  <w:style w:type="character" w:customStyle="1" w:styleId="997">
    <w:name w:val="edui-clickable"/>
    <w:basedOn w:val="69"/>
    <w:autoRedefine/>
    <w:qFormat/>
    <w:uiPriority w:val="0"/>
    <w:rPr>
      <w:color w:val="0000FF"/>
      <w:u w:val="single"/>
    </w:rPr>
  </w:style>
  <w:style w:type="character" w:customStyle="1" w:styleId="998">
    <w:name w:val="dhxform_info"/>
    <w:basedOn w:val="69"/>
    <w:autoRedefine/>
    <w:qFormat/>
    <w:uiPriority w:val="0"/>
    <w:rPr>
      <w:rFonts w:hint="default" w:ascii="Tahoma" w:hAnsi="Tahoma" w:eastAsia="Tahoma" w:cs="Tahoma"/>
      <w:color w:val="808080"/>
      <w:sz w:val="12"/>
      <w:szCs w:val="12"/>
    </w:rPr>
  </w:style>
  <w:style w:type="character" w:customStyle="1" w:styleId="999">
    <w:name w:val="text"/>
    <w:basedOn w:val="69"/>
    <w:autoRedefine/>
    <w:qFormat/>
    <w:uiPriority w:val="0"/>
  </w:style>
  <w:style w:type="character" w:customStyle="1" w:styleId="1000">
    <w:name w:val="checkbox"/>
    <w:basedOn w:val="69"/>
    <w:autoRedefine/>
    <w:qFormat/>
    <w:uiPriority w:val="0"/>
    <w:rPr>
      <w:color w:val="666666"/>
    </w:rPr>
  </w:style>
  <w:style w:type="character" w:customStyle="1" w:styleId="1001">
    <w:name w:val="checkbox1"/>
    <w:basedOn w:val="69"/>
    <w:autoRedefine/>
    <w:qFormat/>
    <w:uiPriority w:val="0"/>
    <w:rPr>
      <w:color w:val="666666"/>
    </w:rPr>
  </w:style>
  <w:style w:type="character" w:customStyle="1" w:styleId="1002">
    <w:name w:val="standarttreerow6"/>
    <w:basedOn w:val="69"/>
    <w:autoRedefine/>
    <w:qFormat/>
    <w:uiPriority w:val="0"/>
  </w:style>
  <w:style w:type="character" w:customStyle="1" w:styleId="1003">
    <w:name w:val="radio2"/>
    <w:basedOn w:val="69"/>
    <w:autoRedefine/>
    <w:qFormat/>
    <w:uiPriority w:val="0"/>
    <w:rPr>
      <w:color w:val="666666"/>
    </w:rPr>
  </w:style>
  <w:style w:type="character" w:customStyle="1" w:styleId="1004">
    <w:name w:val="selectedtreerow7"/>
    <w:basedOn w:val="69"/>
    <w:autoRedefine/>
    <w:qFormat/>
    <w:uiPriority w:val="0"/>
    <w:rPr>
      <w:color w:val="000000"/>
      <w:shd w:val="clear" w:fill="85D3FF"/>
    </w:rPr>
  </w:style>
  <w:style w:type="character" w:customStyle="1" w:styleId="1005">
    <w:name w:val="selectedtreerow_lor4"/>
    <w:basedOn w:val="69"/>
    <w:autoRedefine/>
    <w:qFormat/>
    <w:uiPriority w:val="0"/>
  </w:style>
  <w:style w:type="character" w:customStyle="1" w:styleId="1006">
    <w:name w:val="selectedtreerow_lor5"/>
    <w:basedOn w:val="69"/>
    <w:autoRedefine/>
    <w:qFormat/>
    <w:uiPriority w:val="0"/>
    <w:rPr>
      <w:color w:val="000000"/>
      <w:shd w:val="clear" w:fill="85D3FF"/>
    </w:rPr>
  </w:style>
  <w:style w:type="paragraph" w:customStyle="1" w:styleId="1007">
    <w:name w:val="No Spacing1"/>
    <w:autoRedefine/>
    <w:qFormat/>
    <w:uiPriority w:val="0"/>
    <w:rPr>
      <w:rFonts w:ascii="Calibri" w:hAnsi="Calibri"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39169</Words>
  <Characters>41265</Characters>
  <Lines>281</Lines>
  <Paragraphs>79</Paragraphs>
  <TotalTime>3</TotalTime>
  <ScaleCrop>false</ScaleCrop>
  <LinksUpToDate>false</LinksUpToDate>
  <CharactersWithSpaces>46803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浙江中际工程项目管理有限公司</cp:lastModifiedBy>
  <cp:lastPrinted>2024-03-05T06:36:00Z</cp:lastPrinted>
  <dcterms:modified xsi:type="dcterms:W3CDTF">2024-05-09T03:27:52Z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2D210EA7F9AA4CDAB69D77872630F3E8_13</vt:lpwstr>
  </property>
</Properties>
</file>