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bookmarkStart w:id="411" w:name="_GoBack"/>
      <w:bookmarkEnd w:id="411"/>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2024年杭州市上城区教育系统学校厨房设备采购项目</w:t>
      </w:r>
    </w:p>
    <w:p>
      <w:pPr>
        <w:adjustRightInd/>
        <w:spacing w:line="360" w:lineRule="auto"/>
        <w:jc w:val="center"/>
        <w:rPr>
          <w:rFonts w:hint="eastAsia" w:ascii="宋体" w:hAnsi="宋体" w:cs="宋体"/>
          <w:color w:val="auto"/>
          <w:sz w:val="48"/>
          <w:szCs w:val="48"/>
          <w:highlight w:val="none"/>
        </w:rPr>
      </w:pPr>
    </w:p>
    <w:p>
      <w:pPr>
        <w:pStyle w:val="79"/>
        <w:rPr>
          <w:rFonts w:hint="eastAsia"/>
          <w:color w:val="auto"/>
          <w:highlight w:val="none"/>
        </w:rPr>
      </w:pPr>
    </w:p>
    <w:p>
      <w:pPr>
        <w:adjustRightInd/>
        <w:spacing w:line="360" w:lineRule="auto"/>
        <w:jc w:val="center"/>
        <w:rPr>
          <w:rFonts w:hint="eastAsia" w:ascii="宋体" w:hAnsi="宋体" w:cs="宋体"/>
          <w:color w:val="auto"/>
          <w:sz w:val="48"/>
          <w:szCs w:val="48"/>
          <w:highlight w:val="none"/>
        </w:rPr>
      </w:pP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OBZB-2024-0517</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杭州市上城区教育发展服务中心</w:t>
      </w:r>
    </w:p>
    <w:p>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欧邦工程管理集团有限公司</w:t>
      </w:r>
    </w:p>
    <w:p>
      <w:pPr>
        <w:spacing w:line="360" w:lineRule="auto"/>
        <w:jc w:val="center"/>
        <w:rPr>
          <w:rFonts w:ascii="宋体" w:hAnsi="宋体" w:cs="宋体"/>
          <w:color w:val="auto"/>
          <w:sz w:val="24"/>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二十二日</w:t>
      </w: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2024年杭州市上城区教育系统学校厨房设备采购项目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rPr>
        <w:t>202</w:t>
      </w:r>
      <w:r>
        <w:rPr>
          <w:rStyle w:val="76"/>
          <w:rFonts w:hint="eastAsia" w:cs="Times New Roman" w:asciiTheme="minorEastAsia" w:hAnsiTheme="minorEastAsia" w:eastAsiaTheme="minorEastAsia"/>
          <w:snapToGrid/>
          <w:color w:val="auto"/>
          <w:kern w:val="2"/>
          <w:sz w:val="24"/>
          <w:szCs w:val="24"/>
          <w:highlight w:val="none"/>
          <w:lang w:val="en-US" w:eastAsia="zh-CN"/>
        </w:rPr>
        <w:t>4</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6</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12</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val="en-US" w:eastAsia="zh-CN"/>
        </w:rPr>
        <w:t>10</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highlight w:val="none"/>
          <w:lang w:val="en-US" w:eastAsia="zh-CN"/>
        </w:rPr>
        <w:t>00</w:t>
      </w:r>
      <w:r>
        <w:rPr>
          <w:rStyle w:val="76"/>
          <w:rFonts w:hint="eastAsia" w:cs="Times New Roman" w:asciiTheme="minorEastAsia" w:hAnsiTheme="minorEastAsia" w:eastAsiaTheme="minorEastAsia"/>
          <w:snapToGrid/>
          <w:color w:val="auto"/>
          <w:kern w:val="2"/>
          <w:sz w:val="24"/>
          <w:szCs w:val="24"/>
          <w:highlight w:val="none"/>
        </w:rPr>
        <w:t>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OBZB-2024-0517</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2024年杭州市上城区教育系统学校厨房设备采购项目</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3377450</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最高限价（元）：</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3377450</w:t>
      </w:r>
    </w:p>
    <w:p>
      <w:pPr>
        <w:pStyle w:val="7"/>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采购需求：2024年杭州市上城区教育系统学校厨房设备采购项目</w:t>
      </w:r>
      <w:r>
        <w:rPr>
          <w:rFonts w:hint="eastAsia" w:hAnsi="宋体" w:cs="宋体"/>
          <w:bCs/>
          <w:snapToGrid/>
          <w:color w:val="auto"/>
          <w:kern w:val="2"/>
          <w:sz w:val="24"/>
          <w:szCs w:val="24"/>
          <w:highlight w:val="none"/>
        </w:rPr>
        <w:t>主要内容：基于上城教育飞速发展的新形势下，上城区新增学校、新增人数班额增加，学校老旧设备更新，以满足中、小、幼儿园学校学生用餐的需要。</w:t>
      </w:r>
      <w:r>
        <w:rPr>
          <w:rFonts w:hint="eastAsia" w:asciiTheme="minorEastAsia" w:hAnsiTheme="minorEastAsia" w:eastAsiaTheme="minorEastAsia"/>
          <w:snapToGrid/>
          <w:color w:val="auto"/>
          <w:kern w:val="2"/>
          <w:sz w:val="24"/>
          <w:szCs w:val="24"/>
          <w:highlight w:val="none"/>
        </w:rPr>
        <w:t>具体以招标文件第三部分采购需求为准。</w:t>
      </w:r>
    </w:p>
    <w:p>
      <w:pPr>
        <w:pStyle w:val="129"/>
        <w:ind w:firstLine="482"/>
        <w:outlineLvl w:val="2"/>
        <w:rPr>
          <w:rFonts w:ascii="宋体" w:hAnsi="宋体" w:cs="宋体"/>
          <w:color w:val="auto"/>
          <w:highlight w:val="none"/>
        </w:rPr>
      </w:pPr>
      <w:r>
        <w:rPr>
          <w:rFonts w:hint="eastAsia" w:ascii="宋体" w:hAnsi="宋体" w:cs="宋体"/>
          <w:b/>
          <w:color w:val="auto"/>
          <w:highlight w:val="none"/>
        </w:rPr>
        <w:t>合同履约期限：合同签订后</w:t>
      </w:r>
      <w:r>
        <w:rPr>
          <w:rFonts w:hint="eastAsia" w:ascii="宋体" w:hAnsi="宋体" w:cs="宋体"/>
          <w:b/>
          <w:color w:val="auto"/>
          <w:highlight w:val="none"/>
          <w:lang w:val="en-US" w:eastAsia="zh-CN"/>
        </w:rPr>
        <w:t>二</w:t>
      </w:r>
      <w:r>
        <w:rPr>
          <w:rFonts w:hint="eastAsia" w:ascii="宋体" w:hAnsi="宋体" w:cs="宋体"/>
          <w:b/>
          <w:color w:val="auto"/>
          <w:highlight w:val="none"/>
        </w:rPr>
        <w:t xml:space="preserve">个月内。 </w:t>
      </w:r>
    </w:p>
    <w:p>
      <w:pPr>
        <w:pStyle w:val="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76552672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p>
    <w:p>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；杭州市上城区教育发展服务中心（杭州市上城区运河东路301</w:t>
      </w:r>
      <w:r>
        <w:rPr>
          <w:rFonts w:hint="eastAsia" w:ascii="宋体" w:hAnsi="宋体" w:cs="宋体"/>
          <w:color w:val="auto"/>
          <w:sz w:val="24"/>
          <w:highlight w:val="none"/>
          <w:lang w:val="en-US" w:eastAsia="zh-CN"/>
        </w:rPr>
        <w:t>正</w:t>
      </w:r>
      <w:r>
        <w:rPr>
          <w:rFonts w:hint="eastAsia" w:ascii="宋体" w:hAnsi="宋体" w:cs="宋体"/>
          <w:color w:val="auto"/>
          <w:sz w:val="24"/>
          <w:highlight w:val="none"/>
          <w:lang w:eastAsia="zh-CN"/>
        </w:rPr>
        <w:t>（钱江外国语实验学校东门））</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称：杭州市上城区教育发展服务中心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eastAsia="zh-CN"/>
        </w:rPr>
        <w:t>杭州市上城区运河东路301</w:t>
      </w:r>
      <w:r>
        <w:rPr>
          <w:rFonts w:hint="eastAsia" w:ascii="宋体" w:hAnsi="宋体" w:cs="宋体"/>
          <w:color w:val="auto"/>
          <w:sz w:val="24"/>
          <w:highlight w:val="none"/>
          <w:lang w:val="en-US" w:eastAsia="zh-CN"/>
        </w:rPr>
        <w:t>正</w:t>
      </w:r>
      <w:r>
        <w:rPr>
          <w:rFonts w:hint="eastAsia" w:ascii="宋体" w:hAnsi="宋体" w:cs="宋体"/>
          <w:color w:val="auto"/>
          <w:sz w:val="24"/>
          <w:highlight w:val="none"/>
          <w:lang w:eastAsia="zh-CN"/>
        </w:rPr>
        <w:t>（钱江外国语实验学校东门）</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项目联系人（询问）：仲老师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项目联系方式（询问）：0571-86690776</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质疑联系人：潘老师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质疑联系方式：0571-86690186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称：欧邦工程管理集团有限公司</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址：杭州市西湖区文一西路558号西溪诚园诚公馆一号楼9楼</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val="en-US" w:eastAsia="zh-CN"/>
        </w:rPr>
        <w:t>王工</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19025704250</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周工</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0571-</w:t>
      </w:r>
      <w:r>
        <w:rPr>
          <w:rFonts w:hint="eastAsia" w:ascii="宋体" w:hAnsi="宋体" w:cs="宋体"/>
          <w:color w:val="auto"/>
          <w:sz w:val="24"/>
          <w:highlight w:val="none"/>
        </w:rPr>
        <w:t>85122486</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称：杭州市上城区财政局 /浙江省政府采购行政裁决服务中心（杭州）</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址：杭州市上城区四季青街道新业路市民之家G03办公室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监督投诉电话：电话：0571-85252453</w:t>
      </w:r>
    </w:p>
    <w:p>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政策咨询：陈先生、厉先生，0571-89580460、89580456</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5"/>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pStyle w:val="6"/>
        <w:rPr>
          <w:rFonts w:ascii="宋体"/>
          <w:snapToGrid w:val="0"/>
          <w:color w:val="auto"/>
          <w:highlight w:val="none"/>
        </w:rPr>
      </w:pPr>
      <w:r>
        <w:rPr>
          <w:color w:val="auto"/>
          <w:highlight w:val="none"/>
        </w:rPr>
        <w:br w:type="page"/>
      </w:r>
    </w:p>
    <w:p>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5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rPr>
              <w:t>炊用燃气大锅灶（双眼）、蒸饭箱、厢式风机、油烟净化器、热风循环双门消毒柜、商用四门冰箱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pPr>
              <w:snapToGrid/>
              <w:spacing w:line="240" w:lineRule="auto"/>
              <w:jc w:val="left"/>
              <w:rPr>
                <w:rFonts w:ascii="宋体" w:hAnsi="宋体" w:cs="宋体"/>
                <w:color w:val="auto"/>
                <w:sz w:val="24"/>
                <w:highlight w:val="none"/>
              </w:rPr>
            </w:pPr>
          </w:p>
          <w:p>
            <w:pPr>
              <w:snapToGrid/>
              <w:spacing w:line="240" w:lineRule="auto"/>
              <w:jc w:val="left"/>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spacing w:line="240" w:lineRule="auto"/>
              <w:jc w:val="left"/>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513" w:type="dxa"/>
            <w:tcBorders>
              <w:top w:val="single" w:color="000000" w:sz="8" w:space="0"/>
              <w:left w:val="single" w:color="000000" w:sz="2" w:space="0"/>
              <w:bottom w:val="single" w:color="000000" w:sz="8" w:space="0"/>
              <w:right w:val="single" w:color="000000" w:sz="8" w:space="0"/>
            </w:tcBorders>
            <w:vAlign w:val="center"/>
          </w:tcPr>
          <w:p>
            <w:pPr>
              <w:snapToGrid/>
              <w:spacing w:line="240" w:lineRule="auto"/>
              <w:rPr>
                <w:rFonts w:hint="eastAsia" w:ascii="宋体" w:hAnsi="宋体" w:cs="宋体"/>
                <w:color w:val="auto"/>
                <w:kern w:val="0"/>
                <w:sz w:val="24"/>
                <w:highlight w:val="none"/>
                <w:u w:val="singl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炊用燃气大锅灶（双眼）、热风循环双门消毒柜、大单星水池、商用四门冰箱、商用风冷四玻璃门冰箱、生铁大锅、木案板操作台、6门不锈钢更衣柜、双层餐车、风幕机、电热开水器连底座、商用自动洗碗机、双门电蒸饭箱、厢式风机、不锈钢排油烟风管(㎡)、软连接、风机槽钢支架、燃气双门蒸饭箱（24盘）、燃气单门蒸饭箱（12盘）、炊用燃气大锅灶（双眼）、单星水池、单星水池连平台、鹅颈式冷热水龙头、双层工作台、不锈钢排油烟罩(㎡)、排油烟专用风机、排蒸汽专用风机、油烟净化器、智能通风排烟迭制系统、槽钢支架、防火阀、定制调料平台、双层货架、三层送餐车、商用破壁机、醒发箱、三层烤箱、商用风扇</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rPr>
              <w:t>防潮板托盘、烤盘、双门保温柜、双门热风循环消毒柜、冰箱、商用电子称、中餐燃气炒菜灶（单眼）、调理台、箱式风机、智能通风排烟控制系统、商用四门双温冰箱、(单门)刀具砧板消毒柜、消毒柜、双温冰箱、净水器、不锈钢风管（M2）、风柜减震器、直饮水机、炊用一大一炒燃气灶、热水器、中餐燃气炒菜灶（双眼）、双门电蒸饭箱（24盘)、炊用单眼大锅灶、减震垫、风机减震支架、消声器、风量调节阀、接油盘、风机支架、双眼燃气蒸台、</w:t>
            </w:r>
          </w:p>
          <w:p>
            <w:pPr>
              <w:snapToGrid/>
              <w:spacing w:line="240" w:lineRule="auto"/>
              <w:rPr>
                <w:rFonts w:hint="eastAsia" w:ascii="宋体" w:hAnsi="宋体" w:cs="宋体"/>
                <w:color w:val="auto"/>
                <w:kern w:val="0"/>
                <w:sz w:val="24"/>
                <w:highlight w:val="none"/>
                <w:u w:val="single"/>
              </w:rPr>
            </w:pPr>
            <w:r>
              <w:rPr>
                <w:rFonts w:hint="eastAsia" w:ascii="宋体" w:hAnsi="宋体" w:cs="宋体"/>
                <w:color w:val="auto"/>
                <w:kern w:val="0"/>
                <w:sz w:val="24"/>
                <w:highlight w:val="none"/>
                <w:u w:val="single"/>
              </w:rPr>
              <w:t>厨房专用灭火系统、不锈钢排油烟罩（烹饪间）(㎡)、不锈集气罩（面点间）(㎡)、不锈集气罩（蒸煮间）(㎡)、不锈集气罩（售餐间）(㎡)、定制调料台、拖把池、四层平板货架、</w:t>
            </w:r>
          </w:p>
          <w:p>
            <w:pPr>
              <w:snapToGrid/>
              <w:spacing w:line="240" w:lineRule="auto"/>
              <w:rPr>
                <w:rFonts w:hint="eastAsia" w:ascii="宋体" w:hAnsi="宋体" w:cs="宋体"/>
                <w:color w:val="auto"/>
                <w:kern w:val="0"/>
                <w:sz w:val="24"/>
                <w:highlight w:val="none"/>
                <w:u w:val="single"/>
              </w:rPr>
            </w:pPr>
            <w:r>
              <w:rPr>
                <w:rFonts w:hint="eastAsia" w:ascii="宋体" w:hAnsi="宋体" w:cs="宋体"/>
                <w:color w:val="auto"/>
                <w:kern w:val="0"/>
                <w:sz w:val="24"/>
                <w:highlight w:val="none"/>
                <w:u w:val="single"/>
              </w:rPr>
              <w:t>大米架、双星水池、商用四门冷藏冰箱、商用四门冷冻冰箱、单向调理台、调料平台、中餐广式燃气炒菜灶（两眼）、双通调理台、不锈钢集气罩(㎡)、单星洗手水池连平台、高身玻璃门冰箱、双门四格平台智能留样柜、五格保温台、残食台、双孔残食台、高身保洁柜、保温送餐车、不锈钢风管、长柄单温龙头、挡鼠板、混水龙头、四层货架、刀具砧板消毒柜、中餐燃气炒菜灶、不锈钢排油烟罩连罩上封板(㎡)、双门36盘发酵箱、双层四盘不锈钢电烘炉、电饼铛、搅杠型25公斤和面机、全自动压面机、干手机、残菜回收台、风机阻尼减震器、三角阀、深斗车、平板车、双层送餐车、脱皮清洗机、</w:t>
            </w:r>
          </w:p>
          <w:p>
            <w:pPr>
              <w:snapToGrid/>
              <w:spacing w:line="240" w:lineRule="auto"/>
              <w:rPr>
                <w:rFonts w:ascii="宋体" w:hAnsi="宋体" w:cs="宋体"/>
                <w:color w:val="auto"/>
                <w:kern w:val="0"/>
                <w:sz w:val="24"/>
                <w:highlight w:val="none"/>
              </w:rPr>
            </w:pPr>
            <w:r>
              <w:rPr>
                <w:rFonts w:hint="eastAsia" w:ascii="宋体" w:hAnsi="宋体" w:cs="宋体"/>
                <w:color w:val="auto"/>
                <w:kern w:val="0"/>
                <w:sz w:val="24"/>
                <w:highlight w:val="none"/>
                <w:u w:val="single"/>
              </w:rPr>
              <w:t>诱捕式灭蝇灯、三门海鲜蒸柜、留样冰箱、饮水机、落地电子秤、洗地龙头、双门四格平台智能留样柜、感应龙头、杀菌灯、高速风幕机、农药检测仪、农残检测冰箱、工作人员晨检机、阳光厨房显示器、众食安物联设备、单温水龙头、双向打荷台、食堂推车、保洁车、学生餐车、一大一炒燃气灶、砧板架、双层板车、学生送餐车</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p>
            <w:pPr>
              <w:rPr>
                <w:rFonts w:ascii="宋体" w:hAnsi="宋体" w:eastAsia="宋体" w:cs="宋体"/>
                <w:color w:val="auto"/>
                <w:highlight w:val="none"/>
                <w:lang w:val="en-US"/>
              </w:rPr>
            </w:pPr>
            <w:r>
              <w:rPr>
                <w:rFonts w:hint="eastAsia" w:ascii="宋体" w:hAnsi="宋体" w:eastAsia="宋体" w:cs="宋体"/>
                <w:color w:val="auto"/>
                <w:highlight w:val="none"/>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9"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运输搬运 </w:t>
            </w:r>
            <w:r>
              <w:rPr>
                <w:rFonts w:hint="eastAsia" w:ascii="宋体" w:hAnsi="宋体" w:cs="宋体"/>
                <w:color w:val="auto"/>
                <w:sz w:val="24"/>
                <w:highlight w:val="none"/>
              </w:rPr>
              <w:t>工作分包。</w:t>
            </w:r>
          </w:p>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3"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自行踏勘</w:t>
            </w:r>
            <w:r>
              <w:rPr>
                <w:rFonts w:hint="eastAsia" w:ascii="宋体" w:hAnsi="宋体" w:cs="宋体"/>
                <w:color w:val="auto"/>
                <w:sz w:val="24"/>
                <w:highlight w:val="none"/>
              </w:rPr>
              <w:t>。</w:t>
            </w:r>
          </w:p>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lang w:val="en-US"/>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lang w:val="en-US"/>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B要求提供，</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513"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513"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5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51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513"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513"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w:t>
            </w:r>
            <w:r>
              <w:rPr>
                <w:rFonts w:hint="eastAsia" w:hAnsi="宋体" w:cs="宋体"/>
                <w:color w:val="auto"/>
                <w:sz w:val="24"/>
                <w:highlight w:val="none"/>
                <w:u w:val="single"/>
                <w:lang w:eastAsia="zh-CN"/>
              </w:rPr>
              <w:t>杭州市上城区教育发展服务中心（杭州市上城区运河东路301</w:t>
            </w:r>
            <w:r>
              <w:rPr>
                <w:rFonts w:hint="eastAsia" w:hAnsi="宋体" w:cs="宋体"/>
                <w:color w:val="auto"/>
                <w:sz w:val="24"/>
                <w:highlight w:val="none"/>
                <w:u w:val="single"/>
                <w:lang w:val="en-US" w:eastAsia="zh-CN"/>
              </w:rPr>
              <w:t>正</w:t>
            </w:r>
            <w:r>
              <w:rPr>
                <w:rFonts w:hint="eastAsia" w:hAnsi="宋体" w:cs="宋体"/>
                <w:color w:val="auto"/>
                <w:sz w:val="24"/>
                <w:highlight w:val="none"/>
                <w:u w:val="single"/>
                <w:lang w:eastAsia="zh-CN"/>
              </w:rPr>
              <w:t>（钱江外国语实验学校东门））</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0571-86690776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4"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vAlign w:val="top"/>
          </w:tcPr>
          <w:p>
            <w:pPr>
              <w:snapToGrid w:val="0"/>
              <w:spacing w:line="360" w:lineRule="auto"/>
              <w:jc w:val="center"/>
              <w:rPr>
                <w:rFonts w:hint="eastAsia" w:ascii="宋体" w:hAnsi="宋体" w:cs="宋体"/>
                <w:color w:val="auto"/>
                <w:sz w:val="24"/>
                <w:highlight w:val="none"/>
                <w:lang w:val="en-US" w:eastAsia="zh-CN"/>
              </w:rPr>
            </w:pPr>
          </w:p>
          <w:p>
            <w:pPr>
              <w:snapToGrid w:val="0"/>
              <w:spacing w:line="360" w:lineRule="auto"/>
              <w:jc w:val="center"/>
              <w:rPr>
                <w:rFonts w:hint="eastAsia" w:ascii="宋体" w:hAnsi="宋体" w:cs="宋体"/>
                <w:color w:val="auto"/>
                <w:sz w:val="24"/>
                <w:highlight w:val="none"/>
                <w:lang w:val="en-US" w:eastAsia="zh-CN"/>
              </w:rPr>
            </w:pPr>
          </w:p>
          <w:p>
            <w:pPr>
              <w:snapToGrid w:val="0"/>
              <w:spacing w:line="360" w:lineRule="auto"/>
              <w:jc w:val="center"/>
              <w:rPr>
                <w:rFonts w:hint="eastAsia" w:ascii="宋体" w:hAnsi="宋体" w:cs="宋体"/>
                <w:color w:val="auto"/>
                <w:sz w:val="24"/>
                <w:highlight w:val="none"/>
                <w:lang w:val="en-US" w:eastAsia="zh-CN"/>
              </w:rPr>
            </w:pPr>
          </w:p>
          <w:p>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14</w:t>
            </w:r>
          </w:p>
        </w:tc>
        <w:tc>
          <w:tcPr>
            <w:tcW w:w="1843" w:type="dxa"/>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cs="宋体" w:asciiTheme="minorEastAsia" w:hAnsiTheme="minorEastAsia" w:eastAsiaTheme="minorEastAsia"/>
                <w:snapToGrid w:val="0"/>
                <w:color w:val="auto"/>
                <w:kern w:val="28"/>
                <w:sz w:val="24"/>
                <w:highlight w:val="none"/>
              </w:rPr>
              <w:t>代理服务费</w:t>
            </w:r>
          </w:p>
        </w:tc>
        <w:tc>
          <w:tcPr>
            <w:tcW w:w="6513"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本项目采购代理服务费：</w:t>
            </w:r>
            <w:r>
              <w:rPr>
                <w:rFonts w:hint="eastAsia" w:cs="宋体" w:asciiTheme="minorEastAsia" w:hAnsiTheme="minorEastAsia" w:eastAsiaTheme="minorEastAsia"/>
                <w:snapToGrid w:val="0"/>
                <w:color w:val="auto"/>
                <w:kern w:val="28"/>
                <w:sz w:val="24"/>
                <w:highlight w:val="none"/>
                <w:lang w:val="en-US" w:eastAsia="zh-CN"/>
              </w:rPr>
              <w:t>5760.00</w:t>
            </w:r>
            <w:r>
              <w:rPr>
                <w:rFonts w:hint="eastAsia" w:cs="宋体" w:asciiTheme="minorEastAsia" w:hAnsiTheme="minorEastAsia" w:eastAsiaTheme="minorEastAsia"/>
                <w:snapToGrid w:val="0"/>
                <w:color w:val="auto"/>
                <w:kern w:val="28"/>
                <w:sz w:val="24"/>
                <w:highlight w:val="none"/>
              </w:rPr>
              <w:t>元。采购代理服务费由成交人支付，在领取成交通知书前一次性向采购代理机构支付。供应商报价时须综合考虑上述费用，计入投标总价中。</w:t>
            </w:r>
          </w:p>
          <w:p>
            <w:pPr>
              <w:spacing w:line="360" w:lineRule="auto"/>
              <w:rPr>
                <w:rFonts w:hint="eastAsia" w:cs="宋体" w:asciiTheme="minorEastAsia" w:hAnsiTheme="minorEastAsia" w:eastAsiaTheme="minorEastAsia"/>
                <w:snapToGrid w:val="0"/>
                <w:color w:val="auto"/>
                <w:kern w:val="28"/>
                <w:sz w:val="24"/>
                <w:highlight w:val="none"/>
                <w:lang w:val="en-US" w:eastAsia="zh-CN"/>
              </w:rPr>
            </w:pPr>
            <w:r>
              <w:rPr>
                <w:rFonts w:hint="eastAsia" w:cs="宋体" w:asciiTheme="minorEastAsia" w:hAnsiTheme="minorEastAsia" w:eastAsiaTheme="minorEastAsia"/>
                <w:snapToGrid w:val="0"/>
                <w:color w:val="auto"/>
                <w:kern w:val="28"/>
                <w:sz w:val="24"/>
                <w:highlight w:val="none"/>
              </w:rPr>
              <w:t>采购代理服务费汇入以下账户：</w:t>
            </w:r>
          </w:p>
          <w:p>
            <w:pPr>
              <w:spacing w:line="360" w:lineRule="auto"/>
              <w:rPr>
                <w:rFonts w:hint="eastAsia"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 xml:space="preserve">账户：欧邦工程管理集团有限公司  </w:t>
            </w:r>
          </w:p>
          <w:p>
            <w:pPr>
              <w:spacing w:line="360" w:lineRule="auto"/>
              <w:rPr>
                <w:rFonts w:hint="eastAsia"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开户行：杭州联合农村商业银行股份有限公司</w:t>
            </w:r>
            <w:r>
              <w:rPr>
                <w:rFonts w:hint="eastAsia" w:cs="宋体" w:asciiTheme="minorEastAsia" w:hAnsiTheme="minorEastAsia" w:eastAsiaTheme="minorEastAsia"/>
                <w:snapToGrid w:val="0"/>
                <w:color w:val="auto"/>
                <w:kern w:val="28"/>
                <w:sz w:val="24"/>
                <w:highlight w:val="none"/>
                <w:lang w:val="en-US" w:eastAsia="zh-CN"/>
              </w:rPr>
              <w:t>城西</w:t>
            </w:r>
            <w:r>
              <w:rPr>
                <w:rFonts w:hint="eastAsia" w:cs="宋体" w:asciiTheme="minorEastAsia" w:hAnsiTheme="minorEastAsia" w:eastAsiaTheme="minorEastAsia"/>
                <w:snapToGrid w:val="0"/>
                <w:color w:val="auto"/>
                <w:kern w:val="28"/>
                <w:sz w:val="24"/>
                <w:highlight w:val="none"/>
              </w:rPr>
              <w:t>支行</w:t>
            </w:r>
          </w:p>
          <w:p>
            <w:pPr>
              <w:spacing w:line="360" w:lineRule="auto"/>
              <w:rPr>
                <w:rFonts w:hint="eastAsia" w:cs="Arial" w:asciiTheme="minorEastAsia" w:hAnsiTheme="minorEastAsia" w:eastAsiaTheme="minorEastAsia"/>
                <w:color w:val="auto"/>
                <w:kern w:val="0"/>
                <w:sz w:val="24"/>
                <w:szCs w:val="24"/>
                <w:highlight w:val="none"/>
                <w:lang w:val="en-US" w:eastAsia="zh-CN" w:bidi="ar-SA"/>
              </w:rPr>
            </w:pPr>
            <w:r>
              <w:rPr>
                <w:rFonts w:hint="eastAsia" w:cs="宋体" w:asciiTheme="minorEastAsia" w:hAnsiTheme="minorEastAsia" w:eastAsiaTheme="minorEastAsia"/>
                <w:snapToGrid w:val="0"/>
                <w:color w:val="auto"/>
                <w:kern w:val="28"/>
                <w:sz w:val="24"/>
                <w:highlight w:val="none"/>
              </w:rPr>
              <w:t>账号：201000345676674</w:t>
            </w:r>
          </w:p>
        </w:tc>
      </w:tr>
    </w:tbl>
    <w:p>
      <w:pPr>
        <w:snapToGrid w:val="0"/>
        <w:spacing w:line="360" w:lineRule="auto"/>
        <w:jc w:val="center"/>
        <w:rPr>
          <w:rFonts w:ascii="宋体" w:hAnsi="宋体" w:cs="宋体"/>
          <w:b/>
          <w:color w:val="auto"/>
          <w:sz w:val="32"/>
          <w:szCs w:val="20"/>
          <w:highlight w:val="none"/>
        </w:rPr>
      </w:pPr>
    </w:p>
    <w:bookmarkEnd w:id="10"/>
    <w:p>
      <w:pPr>
        <w:rPr>
          <w:rFonts w:hint="eastAsia" w:ascii="宋体" w:hAnsi="宋体" w:cs="宋体"/>
          <w:b/>
          <w:color w:val="auto"/>
          <w:sz w:val="32"/>
          <w:szCs w:val="20"/>
          <w:highlight w:val="none"/>
        </w:rPr>
      </w:pPr>
      <w:bookmarkStart w:id="13" w:name="第三部分"/>
      <w:bookmarkStart w:id="14" w:name="_Toc164416483"/>
      <w:r>
        <w:rPr>
          <w:rFonts w:hint="eastAsia" w:ascii="宋体" w:hAnsi="宋体" w:cs="宋体"/>
          <w:b/>
          <w:color w:val="auto"/>
          <w:sz w:val="32"/>
          <w:szCs w:val="20"/>
          <w:highlight w:val="none"/>
        </w:rPr>
        <w:br w:type="page"/>
      </w:r>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w:t>
      </w:r>
    </w:p>
    <w:p>
      <w:pPr>
        <w:pStyle w:val="886"/>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886"/>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5"/>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5"/>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6"/>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129"/>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5"/>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29"/>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29"/>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29"/>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5"/>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pPr>
        <w:pStyle w:val="35"/>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pPr>
        <w:pStyle w:val="35"/>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9"/>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9"/>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color w:val="auto"/>
          <w:sz w:val="32"/>
          <w:highlight w:val="none"/>
        </w:rPr>
      </w:pPr>
    </w:p>
    <w:p>
      <w:pPr>
        <w:pStyle w:val="129"/>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29"/>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将在资格审查时通过“信用中国”网站(www.creditchina.gov.cn)、中国政府采购网(www.ccgp.gov.cn)渠道查询投标人接受资格审查时的信用记录。</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9"/>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29"/>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6"/>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6"/>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9"/>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29"/>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29"/>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6"/>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073093"/>
      <w:bookmarkEnd w:id="19"/>
      <w:bookmarkStart w:id="20" w:name="_Hlt74707468"/>
      <w:bookmarkEnd w:id="20"/>
      <w:bookmarkStart w:id="21" w:name="_Hlt68072998"/>
      <w:bookmarkEnd w:id="21"/>
      <w:bookmarkStart w:id="22" w:name="_Hlt68057669"/>
      <w:bookmarkEnd w:id="22"/>
      <w:bookmarkStart w:id="23" w:name="_Hlt74729768"/>
      <w:bookmarkEnd w:id="23"/>
      <w:bookmarkStart w:id="24" w:name="_Hlt75236101"/>
      <w:bookmarkEnd w:id="24"/>
      <w:bookmarkStart w:id="25" w:name="_Hlt75236011"/>
      <w:bookmarkEnd w:id="25"/>
      <w:bookmarkStart w:id="26" w:name="_Hlt68403820"/>
      <w:bookmarkEnd w:id="26"/>
      <w:bookmarkStart w:id="27" w:name="_Hlt68072990"/>
      <w:bookmarkEnd w:id="27"/>
      <w:bookmarkStart w:id="28" w:name="_Hlt75236290"/>
      <w:bookmarkEnd w:id="28"/>
      <w:bookmarkStart w:id="29" w:name="_Hlt74714665"/>
      <w:bookmarkEnd w:id="29"/>
      <w:bookmarkStart w:id="30" w:name="_Hlt74730295"/>
      <w:bookmarkEnd w:id="30"/>
    </w:p>
    <w:bookmarkEnd w:id="13"/>
    <w:bookmarkEnd w:id="14"/>
    <w:p>
      <w:pPr>
        <w:numPr>
          <w:ilvl w:val="0"/>
          <w:numId w:val="1"/>
        </w:numPr>
        <w:spacing w:line="360" w:lineRule="auto"/>
        <w:jc w:val="center"/>
        <w:outlineLvl w:val="0"/>
        <w:rPr>
          <w:rFonts w:hint="eastAsia"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 xml:space="preserve">  采购需求</w:t>
      </w:r>
    </w:p>
    <w:p>
      <w:pPr>
        <w:spacing w:line="500" w:lineRule="exact"/>
        <w:outlineLvl w:val="1"/>
        <w:rPr>
          <w:rFonts w:ascii="宋体" w:hAnsi="宋体" w:cstheme="minorEastAsia"/>
          <w:b/>
          <w:bCs/>
          <w:color w:val="auto"/>
          <w:szCs w:val="21"/>
          <w:highlight w:val="none"/>
        </w:rPr>
      </w:pPr>
      <w:r>
        <w:rPr>
          <w:rFonts w:hint="eastAsia" w:ascii="宋体" w:hAnsi="宋体" w:cstheme="minorEastAsia"/>
          <w:b/>
          <w:bCs/>
          <w:color w:val="auto"/>
          <w:szCs w:val="21"/>
          <w:highlight w:val="none"/>
        </w:rPr>
        <w:t>一、基本情况：</w:t>
      </w:r>
    </w:p>
    <w:p>
      <w:pPr>
        <w:pStyle w:val="788"/>
        <w:tabs>
          <w:tab w:val="left" w:pos="567"/>
        </w:tabs>
        <w:spacing w:line="460" w:lineRule="exact"/>
        <w:ind w:firstLine="48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杭州市上城区学校厨房设备采购项目是基于上城教育飞速发展的新形势下，上城区新增学校、新增人数班额增加，学校老旧设备更新，以满足中、小、幼儿园学校学生用餐的需要。</w:t>
      </w:r>
    </w:p>
    <w:p>
      <w:pPr>
        <w:pStyle w:val="788"/>
        <w:tabs>
          <w:tab w:val="left" w:pos="567"/>
        </w:tabs>
        <w:spacing w:line="460" w:lineRule="exact"/>
        <w:ind w:firstLine="540" w:firstLineChars="225"/>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 xml:space="preserve">前期准备情况： </w:t>
      </w:r>
    </w:p>
    <w:p>
      <w:pPr>
        <w:pStyle w:val="788"/>
        <w:tabs>
          <w:tab w:val="left" w:pos="567"/>
        </w:tabs>
        <w:spacing w:line="460" w:lineRule="exact"/>
        <w:ind w:firstLine="540" w:firstLineChars="225"/>
        <w:rPr>
          <w:rFonts w:ascii="宋体" w:hAnsi="宋体"/>
          <w:color w:val="auto"/>
          <w:highlight w:val="none"/>
        </w:rPr>
      </w:pPr>
      <w:r>
        <w:rPr>
          <w:rFonts w:hint="eastAsia" w:ascii="宋体" w:hAnsi="宋体"/>
          <w:color w:val="auto"/>
          <w:highlight w:val="none"/>
        </w:rPr>
        <w:t>对全区近三年新开办的学校及设备老化需要更新的学校进行统计，共有</w:t>
      </w:r>
      <w:r>
        <w:rPr>
          <w:rFonts w:ascii="宋体" w:hAnsi="宋体"/>
          <w:color w:val="auto"/>
          <w:highlight w:val="none"/>
        </w:rPr>
        <w:t>47</w:t>
      </w:r>
      <w:r>
        <w:rPr>
          <w:rFonts w:hint="eastAsia" w:ascii="宋体" w:hAnsi="宋体"/>
          <w:color w:val="auto"/>
          <w:highlight w:val="none"/>
        </w:rPr>
        <w:t>所学校需添置或更新厨房设备。</w:t>
      </w:r>
    </w:p>
    <w:p>
      <w:pPr>
        <w:pStyle w:val="788"/>
        <w:tabs>
          <w:tab w:val="left" w:pos="567"/>
        </w:tabs>
        <w:spacing w:line="460" w:lineRule="exact"/>
        <w:ind w:firstLine="540" w:firstLineChars="225"/>
        <w:rPr>
          <w:rFonts w:ascii="宋体" w:hAnsi="宋体"/>
          <w:color w:val="auto"/>
          <w:highlight w:val="none"/>
        </w:rPr>
      </w:pPr>
      <w:r>
        <w:rPr>
          <w:rFonts w:hint="eastAsia" w:ascii="宋体" w:hAnsi="宋体"/>
          <w:color w:val="auto"/>
          <w:highlight w:val="none"/>
        </w:rPr>
        <w:t>1</w:t>
      </w:r>
      <w:r>
        <w:rPr>
          <w:rFonts w:ascii="宋体" w:hAnsi="宋体"/>
          <w:color w:val="auto"/>
          <w:highlight w:val="none"/>
        </w:rPr>
        <w:t>.3</w:t>
      </w:r>
      <w:r>
        <w:rPr>
          <w:rFonts w:hint="eastAsia" w:ascii="宋体" w:hAnsi="宋体"/>
          <w:color w:val="auto"/>
          <w:highlight w:val="none"/>
        </w:rPr>
        <w:t>项目的基本愿景：</w:t>
      </w:r>
    </w:p>
    <w:p>
      <w:pPr>
        <w:pStyle w:val="788"/>
        <w:tabs>
          <w:tab w:val="left" w:pos="567"/>
        </w:tabs>
        <w:spacing w:line="460" w:lineRule="exact"/>
        <w:ind w:firstLine="540" w:firstLineChars="225"/>
        <w:rPr>
          <w:rFonts w:ascii="宋体" w:hAnsi="宋体"/>
          <w:color w:val="auto"/>
          <w:highlight w:val="none"/>
        </w:rPr>
      </w:pPr>
      <w:r>
        <w:rPr>
          <w:rFonts w:hint="eastAsia" w:ascii="宋体" w:hAnsi="宋体"/>
          <w:color w:val="auto"/>
          <w:highlight w:val="none"/>
        </w:rPr>
        <w:t>202</w:t>
      </w:r>
      <w:r>
        <w:rPr>
          <w:rFonts w:ascii="宋体" w:hAnsi="宋体"/>
          <w:color w:val="auto"/>
          <w:highlight w:val="none"/>
        </w:rPr>
        <w:t>4</w:t>
      </w:r>
      <w:r>
        <w:rPr>
          <w:rFonts w:hint="eastAsia" w:ascii="宋体" w:hAnsi="宋体"/>
          <w:color w:val="auto"/>
          <w:highlight w:val="none"/>
        </w:rPr>
        <w:t>年计划对</w:t>
      </w:r>
      <w:r>
        <w:rPr>
          <w:rFonts w:hint="eastAsia" w:ascii="宋体" w:hAnsi="宋体"/>
          <w:color w:val="auto"/>
          <w:highlight w:val="none"/>
          <w:lang w:val="en-US" w:eastAsia="zh-CN"/>
        </w:rPr>
        <w:t>47</w:t>
      </w:r>
      <w:r>
        <w:rPr>
          <w:rFonts w:hint="eastAsia" w:ascii="宋体" w:hAnsi="宋体"/>
          <w:color w:val="auto"/>
          <w:highlight w:val="none"/>
        </w:rPr>
        <w:t>所新建或需更新设备的学校进行厨房添置或更新，以满足人民对教育的满意的物质需求的需要。</w:t>
      </w:r>
    </w:p>
    <w:p>
      <w:pPr>
        <w:spacing w:line="500" w:lineRule="exact"/>
        <w:outlineLvl w:val="1"/>
        <w:rPr>
          <w:rFonts w:ascii="宋体" w:hAnsi="宋体" w:cstheme="minorEastAsia"/>
          <w:b/>
          <w:bCs/>
          <w:color w:val="auto"/>
          <w:szCs w:val="21"/>
          <w:highlight w:val="none"/>
        </w:rPr>
      </w:pPr>
      <w:r>
        <w:rPr>
          <w:rFonts w:hint="eastAsia" w:ascii="宋体" w:hAnsi="宋体" w:cstheme="minorEastAsia"/>
          <w:b/>
          <w:bCs/>
          <w:color w:val="auto"/>
          <w:szCs w:val="21"/>
          <w:highlight w:val="none"/>
        </w:rPr>
        <w:t>二、项目内容：</w:t>
      </w:r>
    </w:p>
    <w:tbl>
      <w:tblPr>
        <w:tblStyle w:val="62"/>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636"/>
        <w:gridCol w:w="1984"/>
        <w:gridCol w:w="1018"/>
        <w:gridCol w:w="1156"/>
        <w:gridCol w:w="1379"/>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36"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学校名称</w:t>
            </w:r>
          </w:p>
        </w:tc>
        <w:tc>
          <w:tcPr>
            <w:tcW w:w="1984"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地址</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联系人</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厨房设备</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预算资金(单位：万元）</w:t>
            </w:r>
          </w:p>
        </w:tc>
        <w:tc>
          <w:tcPr>
            <w:tcW w:w="682"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kern w:val="0"/>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杭州市天杭实验学校</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三里亭顾家畈路20号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8.534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杭州市杭州中学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上城区银鼓路6号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吴老师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9.545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杭州采荷第三小学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经纬路1号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4-1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杭州师范大学东城第二小学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上城区杭乔路 38 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0.97</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4-2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杭州师范大学东城第二小学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上城区杭乔路 38 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2.06</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5-1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杭州市江锦小学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百安路 1 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李老师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1.54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5-2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杭州市江锦小学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百安路 1 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李老师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0.98</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6</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杭州市丁荷小学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上城区丁兰街道同港路128号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7</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杭州市钱江新城实验小学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太平门直街599号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26.698</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8</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杭州市胜利山南小学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海月路 2 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潘老师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2.68</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9</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杭州市采荷第二幼儿园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上城区采菱路68号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路老师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0.69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10</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杭州市濮家幼儿园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濮家新村49-1幢</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钱老师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0.36</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杭州市丁蕙第二幼儿园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华鹤街269号、长睦路58-60号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0.75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杭州市三里亭幼儿园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三里新城橘苑1号旁</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0.765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杭州市丁兰幼儿园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环丁路255号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14</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杭州市笕新幼儿园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花园兜街236号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1.784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15</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杭州市澎博幼儿园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普德路 55 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16</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杭州市丁信第二幼儿园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华丰中路828号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章老师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0.715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17</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杭州市丁信第二幼儿园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华丰中路828号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章老师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0.59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18</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杭州市景辰幼儿园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月塘街78号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辛老师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0.6</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19-1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杭州市胜利东河幼儿园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直大方伯万安西苑 8 幢</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吕老师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1.371</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19-2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杭州市胜利东河幼儿园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直大方伯万安西苑 8 幢</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吕老师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0.95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20</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杭州市阳光幼儿园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近江西路2号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赵老师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杭州市近江幼儿园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近江东路6号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吴老师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0.3</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21</w:t>
            </w:r>
            <w:r>
              <w:rPr>
                <w:rFonts w:hint="eastAsia" w:ascii="宋体" w:hAnsi="宋体" w:cs="宋体"/>
                <w:color w:val="auto"/>
                <w:szCs w:val="21"/>
                <w:highlight w:val="none"/>
              </w:rPr>
              <w:t>-2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杭州市近江幼儿园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近江东路6号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吴老师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1.3</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21-</w:t>
            </w:r>
            <w:r>
              <w:rPr>
                <w:rFonts w:hint="eastAsia" w:ascii="宋体" w:hAnsi="宋体" w:cs="宋体"/>
                <w:color w:val="auto"/>
                <w:szCs w:val="21"/>
                <w:highlight w:val="none"/>
              </w:rPr>
              <w:t>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杭州市近江幼儿园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近江东路6号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吴老师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杭州市采荷幼儿园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杭海路215号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1.289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杭州市采荷幼儿园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杭海路215号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0.743</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杭州市采荷幼儿园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杭海路215号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0.743</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杭州市天杭实验学校</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上城区顾家畈路20号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30.996</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24</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杭州市东润外国语学校</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三胜街409号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庞老师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4.74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25</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杭州市东城外国语实验学校</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olor w:val="auto"/>
                <w:szCs w:val="21"/>
                <w:highlight w:val="none"/>
              </w:rPr>
              <w:t>九堡街道</w:t>
            </w:r>
            <w:r>
              <w:rPr>
                <w:rFonts w:hint="eastAsia" w:ascii="宋体" w:hAnsi="宋体" w:cs="宋体"/>
                <w:color w:val="auto"/>
                <w:szCs w:val="21"/>
                <w:highlight w:val="none"/>
              </w:rPr>
              <w:t>努振巷1号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26</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杭州市钱江外国语实验学校（</w:t>
            </w:r>
            <w:r>
              <w:rPr>
                <w:rFonts w:hint="eastAsia" w:ascii="宋体" w:hAnsi="宋体" w:cs="宋体"/>
                <w:color w:val="auto"/>
                <w:szCs w:val="21"/>
                <w:highlight w:val="none"/>
                <w:lang w:val="en-US" w:eastAsia="zh-CN"/>
              </w:rPr>
              <w:t>小学</w:t>
            </w:r>
            <w:r>
              <w:rPr>
                <w:rFonts w:hint="eastAsia" w:ascii="宋体" w:hAnsi="宋体" w:cs="宋体"/>
                <w:color w:val="auto"/>
                <w:szCs w:val="21"/>
                <w:highlight w:val="none"/>
              </w:rPr>
              <w:t>部）</w:t>
            </w:r>
          </w:p>
        </w:tc>
        <w:tc>
          <w:tcPr>
            <w:tcW w:w="1984" w:type="dxa"/>
            <w:vAlign w:val="center"/>
          </w:tcPr>
          <w:p>
            <w:pPr>
              <w:spacing w:line="340" w:lineRule="exact"/>
              <w:jc w:val="left"/>
              <w:rPr>
                <w:rFonts w:ascii="宋体" w:hAnsi="宋体"/>
                <w:color w:val="auto"/>
                <w:szCs w:val="21"/>
                <w:highlight w:val="none"/>
              </w:rPr>
            </w:pPr>
            <w:r>
              <w:rPr>
                <w:rFonts w:hint="eastAsia" w:ascii="宋体" w:hAnsi="宋体"/>
                <w:color w:val="auto"/>
                <w:szCs w:val="21"/>
                <w:highlight w:val="none"/>
                <w:lang w:val="en-US" w:eastAsia="zh-CN"/>
              </w:rPr>
              <w:t>上城区运新路132号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宋老师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49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27</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笕桥（JG0701-08）90班中学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开创街和浜河路交叉口往西100米</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陆老师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50</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28</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杭州市丁蕙第二小学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天龙路59号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葛老师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29</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杭州市娃哈哈小学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olor w:val="auto"/>
                <w:szCs w:val="21"/>
                <w:highlight w:val="none"/>
              </w:rPr>
              <w:t>清波街道嘉禾里与劳动路交汇处西南</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林老师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30</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杭州市天长观潮小学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上城区昙花庵东路146号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傅老师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15.85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杭州市崇文未来学校</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甘王路3号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李老师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杭州市东城幼儿园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九堡街道三胜街409号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谢老师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2.45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杭州市胜利笕成幼儿园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笕桥街道同德路87号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查老师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34</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杭州市陶子幼儿园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水澄路水澄花园南苑15号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胡老师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3.65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35</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杭州市陶子幼儿园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水澄路水澄花园南苑15号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胡老师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36</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杭州市丁荷第二幼儿园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丁兰街道丁桥路338号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戴老师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0.46</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37-1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杭州市笕和幼儿园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药香路56号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张老师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37-2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杭州市笕和幼儿园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药香路56号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张老师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38</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杭州市明远未来幼儿园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彭埠街道正谊路宜秀弄26号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丁老师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0.55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开办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39</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杭州师范大学东城实验学校</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士安路111号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2.5</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40</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杭州天成教育集团</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浜河社区桥头弄100号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陈老师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1.452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41</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杭州市南肖埠小学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太平门直街185号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42</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杭州市丁蕙第二小学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天龙路59号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葛老师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0.42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43</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杭州市丁兰第二小学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环丁路68号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熊老师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44</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杭州市丁荷小学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上城区丁兰街道同港路128号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杨老师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45</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浙江师范大学附属丁蕙实验小学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丁兰街道华鹤街851号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焦老师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2.9</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46</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杭州市丁信小学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杭玻街100号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葛老师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2.08</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47</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杭州市丁兰第三小学</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丁桥路2号-30</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蔡老师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48</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杭州市东城第三幼儿园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九堡街道海益路56号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项老师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0.74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49</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杭州市笕新第二幼儿园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万科草庄西岸二期4-1、笕晟巷6号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翁老师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0.8</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3" w:type="dxa"/>
            <w:shd w:val="clear" w:color="auto" w:fill="auto"/>
            <w:vAlign w:val="center"/>
          </w:tcPr>
          <w:p>
            <w:pPr>
              <w:widowControl/>
              <w:adjustRightInd/>
              <w:jc w:val="center"/>
              <w:rPr>
                <w:rFonts w:ascii="宋体" w:hAnsi="宋体" w:cs="宋体"/>
                <w:color w:val="auto"/>
                <w:szCs w:val="21"/>
                <w:highlight w:val="none"/>
              </w:rPr>
            </w:pPr>
            <w:r>
              <w:rPr>
                <w:rFonts w:ascii="宋体" w:hAnsi="宋体" w:cs="宋体"/>
                <w:color w:val="auto"/>
                <w:szCs w:val="21"/>
                <w:highlight w:val="none"/>
              </w:rPr>
              <w:t>50</w:t>
            </w:r>
          </w:p>
        </w:tc>
        <w:tc>
          <w:tcPr>
            <w:tcW w:w="1636" w:type="dxa"/>
            <w:shd w:val="clear" w:color="auto" w:fill="auto"/>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杭州市行知幼儿园</w:t>
            </w:r>
          </w:p>
        </w:tc>
        <w:tc>
          <w:tcPr>
            <w:tcW w:w="1984" w:type="dxa"/>
            <w:vAlign w:val="center"/>
          </w:tcPr>
          <w:p>
            <w:pPr>
              <w:widowControl/>
              <w:adjustRightInd/>
              <w:jc w:val="left"/>
              <w:rPr>
                <w:rFonts w:ascii="宋体" w:hAnsi="宋体" w:cs="宋体"/>
                <w:color w:val="auto"/>
                <w:szCs w:val="21"/>
                <w:highlight w:val="none"/>
              </w:rPr>
            </w:pPr>
            <w:r>
              <w:rPr>
                <w:rFonts w:hint="eastAsia" w:ascii="宋体" w:hAnsi="宋体" w:cs="宋体"/>
                <w:color w:val="auto"/>
                <w:szCs w:val="21"/>
                <w:highlight w:val="none"/>
              </w:rPr>
              <w:t>邮电路20号</w:t>
            </w:r>
          </w:p>
        </w:tc>
        <w:tc>
          <w:tcPr>
            <w:tcW w:w="1018"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马老师</w:t>
            </w:r>
          </w:p>
        </w:tc>
        <w:tc>
          <w:tcPr>
            <w:tcW w:w="1156" w:type="dxa"/>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1批</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0.4</w:t>
            </w:r>
          </w:p>
        </w:tc>
        <w:tc>
          <w:tcPr>
            <w:tcW w:w="682" w:type="dxa"/>
            <w:shd w:val="clear" w:color="auto" w:fill="auto"/>
            <w:noWrap/>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7" w:type="dxa"/>
            <w:gridSpan w:val="5"/>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合计</w:t>
            </w:r>
          </w:p>
        </w:tc>
        <w:tc>
          <w:tcPr>
            <w:tcW w:w="1379" w:type="dxa"/>
            <w:shd w:val="clear" w:color="auto" w:fill="auto"/>
            <w:vAlign w:val="center"/>
          </w:tcPr>
          <w:p>
            <w:pPr>
              <w:widowControl/>
              <w:adjustRightInd/>
              <w:jc w:val="center"/>
              <w:rPr>
                <w:rFonts w:ascii="宋体" w:hAnsi="宋体" w:cs="宋体"/>
                <w:color w:val="auto"/>
                <w:szCs w:val="21"/>
                <w:highlight w:val="none"/>
              </w:rPr>
            </w:pPr>
            <w:r>
              <w:rPr>
                <w:rFonts w:hint="eastAsia" w:ascii="宋体" w:hAnsi="宋体" w:cs="宋体"/>
                <w:color w:val="auto"/>
                <w:szCs w:val="21"/>
                <w:highlight w:val="none"/>
              </w:rPr>
              <w:t>337.745</w:t>
            </w:r>
          </w:p>
        </w:tc>
        <w:tc>
          <w:tcPr>
            <w:tcW w:w="682" w:type="dxa"/>
            <w:shd w:val="clear" w:color="auto" w:fill="auto"/>
            <w:noWrap/>
            <w:vAlign w:val="center"/>
          </w:tcPr>
          <w:p>
            <w:pPr>
              <w:widowControl/>
              <w:adjustRightInd/>
              <w:jc w:val="center"/>
              <w:rPr>
                <w:rFonts w:ascii="宋体" w:hAnsi="宋体" w:cs="宋体"/>
                <w:color w:val="auto"/>
                <w:szCs w:val="21"/>
                <w:highlight w:val="none"/>
              </w:rPr>
            </w:pPr>
          </w:p>
        </w:tc>
      </w:tr>
    </w:tbl>
    <w:p>
      <w:pPr>
        <w:spacing w:line="360" w:lineRule="auto"/>
        <w:rPr>
          <w:rFonts w:ascii="宋体" w:hAnsi="宋体" w:cstheme="minorEastAsia"/>
          <w:b/>
          <w:color w:val="auto"/>
          <w:kern w:val="0"/>
          <w:szCs w:val="21"/>
          <w:highlight w:val="none"/>
          <w:lang w:val="zh-CN"/>
        </w:rPr>
      </w:pPr>
      <w:r>
        <w:rPr>
          <w:rFonts w:hint="eastAsia" w:ascii="宋体" w:hAnsi="宋体" w:cstheme="minorEastAsia"/>
          <w:b/>
          <w:color w:val="auto"/>
          <w:szCs w:val="21"/>
          <w:highlight w:val="none"/>
        </w:rPr>
        <w:t>▲</w:t>
      </w:r>
      <w:r>
        <w:rPr>
          <w:rFonts w:hint="eastAsia" w:ascii="宋体" w:hAnsi="宋体" w:cstheme="minorEastAsia"/>
          <w:b/>
          <w:color w:val="auto"/>
          <w:kern w:val="0"/>
          <w:szCs w:val="21"/>
          <w:highlight w:val="none"/>
          <w:lang w:val="zh-CN"/>
        </w:rPr>
        <w:t>本项目各学校投标报价不得超出最高限价，否则作无效标处理。</w:t>
      </w:r>
    </w:p>
    <w:p>
      <w:pPr>
        <w:spacing w:line="360" w:lineRule="auto"/>
        <w:rPr>
          <w:rFonts w:ascii="宋体" w:hAnsi="宋体" w:cstheme="minorEastAsia"/>
          <w:b/>
          <w:color w:val="auto"/>
          <w:kern w:val="0"/>
          <w:szCs w:val="21"/>
          <w:highlight w:val="none"/>
          <w:lang w:val="zh-CN"/>
        </w:rPr>
      </w:pPr>
      <w:r>
        <w:rPr>
          <w:rFonts w:hint="eastAsia" w:ascii="宋体" w:hAnsi="宋体" w:cstheme="minorEastAsia"/>
          <w:b/>
          <w:bCs/>
          <w:color w:val="auto"/>
          <w:szCs w:val="21"/>
          <w:highlight w:val="none"/>
        </w:rPr>
        <w:t>三、项目的验收标准：</w:t>
      </w:r>
    </w:p>
    <w:p>
      <w:pPr>
        <w:spacing w:line="360" w:lineRule="auto"/>
        <w:ind w:firstLine="420" w:firstLineChars="200"/>
        <w:jc w:val="left"/>
        <w:rPr>
          <w:rFonts w:ascii="宋体" w:hAnsi="宋体" w:cstheme="minorEastAsia"/>
          <w:color w:val="auto"/>
          <w:kern w:val="0"/>
          <w:szCs w:val="21"/>
          <w:highlight w:val="none"/>
        </w:rPr>
      </w:pPr>
      <w:r>
        <w:rPr>
          <w:rFonts w:hint="eastAsia" w:ascii="宋体" w:hAnsi="宋体" w:cstheme="minorEastAsia"/>
          <w:color w:val="auto"/>
          <w:kern w:val="0"/>
          <w:szCs w:val="21"/>
          <w:highlight w:val="none"/>
        </w:rPr>
        <w:t>区级验收提供设备的有效检验文件，经采购人认可后，与设备性能指标、合同内容一起作为设备验收标准。采购人对设备验收合格后，双方共同签署验收合格证书并加盖公章。验收中发现设备达不到验收标准或合同规定的性能指标，则必须更换设备，并且赔偿由此给采购人造成的损失。验收产生的费用由投标人承担。</w:t>
      </w:r>
    </w:p>
    <w:p>
      <w:pPr>
        <w:spacing w:after="120" w:afterLines="50" w:line="360" w:lineRule="auto"/>
        <w:outlineLvl w:val="1"/>
        <w:rPr>
          <w:rFonts w:ascii="宋体" w:hAnsi="宋体" w:cstheme="minorEastAsia"/>
          <w:b/>
          <w:bCs/>
          <w:color w:val="auto"/>
          <w:szCs w:val="21"/>
          <w:highlight w:val="none"/>
        </w:rPr>
      </w:pPr>
      <w:r>
        <w:rPr>
          <w:rFonts w:hint="eastAsia" w:ascii="宋体" w:hAnsi="宋体" w:cstheme="minorEastAsia"/>
          <w:b/>
          <w:bCs/>
          <w:color w:val="auto"/>
          <w:szCs w:val="21"/>
          <w:highlight w:val="none"/>
        </w:rPr>
        <w:t>四、项目的支付方式：</w:t>
      </w:r>
    </w:p>
    <w:p>
      <w:pPr>
        <w:spacing w:line="360" w:lineRule="auto"/>
        <w:ind w:firstLine="420" w:firstLineChars="200"/>
        <w:jc w:val="left"/>
        <w:rPr>
          <w:rFonts w:ascii="宋体" w:hAnsi="宋体" w:cstheme="minorEastAsia"/>
          <w:color w:val="auto"/>
          <w:kern w:val="0"/>
          <w:szCs w:val="21"/>
          <w:highlight w:val="none"/>
        </w:rPr>
      </w:pPr>
      <w:r>
        <w:rPr>
          <w:rFonts w:hint="eastAsia" w:ascii="宋体" w:hAnsi="宋体" w:cstheme="minorEastAsia"/>
          <w:color w:val="auto"/>
          <w:kern w:val="0"/>
          <w:szCs w:val="21"/>
          <w:highlight w:val="none"/>
        </w:rPr>
        <w:t>4.1中标单位在与采购人签订合同生效后，支付合同金额1%的履约保证金（保函），验收合格后予以无息退还。</w:t>
      </w:r>
    </w:p>
    <w:p>
      <w:pPr>
        <w:spacing w:line="360" w:lineRule="auto"/>
        <w:ind w:firstLine="480"/>
        <w:jc w:val="left"/>
        <w:rPr>
          <w:rFonts w:hint="eastAsia" w:ascii="宋体" w:hAnsi="宋体" w:cstheme="minorEastAsia"/>
          <w:b/>
          <w:bCs/>
          <w:color w:val="auto"/>
          <w:kern w:val="0"/>
          <w:szCs w:val="21"/>
          <w:highlight w:val="none"/>
        </w:rPr>
      </w:pPr>
      <w:r>
        <w:rPr>
          <w:rFonts w:hint="eastAsia" w:ascii="宋体" w:hAnsi="宋体" w:cstheme="minorEastAsia"/>
          <w:color w:val="auto"/>
          <w:kern w:val="0"/>
          <w:szCs w:val="21"/>
          <w:highlight w:val="none"/>
        </w:rPr>
        <w:t>4.2合同签订生效并收到履约保证金后，采购人向中标单位支付合同金额40％的预付款；项目整体验收合格后，采购人支付剩余货款。在签订合同时，</w:t>
      </w:r>
      <w:r>
        <w:rPr>
          <w:rFonts w:hint="eastAsia" w:ascii="宋体" w:hAnsi="宋体" w:cstheme="minorEastAsia"/>
          <w:b/>
          <w:bCs/>
          <w:color w:val="auto"/>
          <w:kern w:val="0"/>
          <w:szCs w:val="21"/>
          <w:highlight w:val="none"/>
        </w:rPr>
        <w:t>供应商明确表示无需预付款或者主动要求降低预付款比例的，采购单位可不适用前述规定。</w:t>
      </w:r>
    </w:p>
    <w:p>
      <w:pPr>
        <w:pStyle w:val="6"/>
        <w:tabs>
          <w:tab w:val="left" w:pos="312"/>
          <w:tab w:val="left" w:pos="360"/>
        </w:tabs>
        <w:ind w:left="0" w:firstLine="0"/>
        <w:rPr>
          <w:rFonts w:ascii="宋体" w:hAnsi="宋体" w:eastAsia="宋体" w:cstheme="minorEastAsia"/>
          <w:b w:val="0"/>
          <w:bCs w:val="0"/>
          <w:color w:val="auto"/>
          <w:kern w:val="0"/>
          <w:sz w:val="21"/>
          <w:szCs w:val="21"/>
          <w:highlight w:val="none"/>
        </w:rPr>
      </w:pPr>
      <w:r>
        <w:rPr>
          <w:rFonts w:hint="eastAsia" w:ascii="宋体" w:hAnsi="宋体" w:eastAsia="宋体" w:cstheme="minorEastAsia"/>
          <w:color w:val="auto"/>
          <w:kern w:val="0"/>
          <w:sz w:val="21"/>
          <w:szCs w:val="21"/>
          <w:highlight w:val="none"/>
          <w:lang w:val="en-US"/>
        </w:rPr>
        <w:t>五、</w:t>
      </w:r>
      <w:r>
        <w:rPr>
          <w:rFonts w:hint="eastAsia" w:ascii="宋体" w:hAnsi="宋体" w:eastAsia="宋体" w:cstheme="minorEastAsia"/>
          <w:color w:val="auto"/>
          <w:kern w:val="0"/>
          <w:sz w:val="21"/>
          <w:szCs w:val="21"/>
          <w:highlight w:val="none"/>
        </w:rPr>
        <w:t>工期：</w:t>
      </w:r>
    </w:p>
    <w:p>
      <w:pPr>
        <w:pStyle w:val="6"/>
        <w:ind w:left="0" w:firstLine="0"/>
        <w:rPr>
          <w:rFonts w:ascii="宋体" w:hAnsi="宋体" w:eastAsia="宋体" w:cstheme="minorEastAsia"/>
          <w:b w:val="0"/>
          <w:bCs w:val="0"/>
          <w:color w:val="auto"/>
          <w:kern w:val="0"/>
          <w:sz w:val="21"/>
          <w:szCs w:val="21"/>
          <w:highlight w:val="none"/>
          <w:lang w:val="en-US"/>
        </w:rPr>
      </w:pPr>
      <w:r>
        <w:rPr>
          <w:rFonts w:hint="eastAsia" w:ascii="宋体" w:hAnsi="宋体" w:eastAsia="宋体" w:cstheme="minorEastAsia"/>
          <w:b w:val="0"/>
          <w:bCs w:val="0"/>
          <w:color w:val="auto"/>
          <w:kern w:val="0"/>
          <w:sz w:val="21"/>
          <w:szCs w:val="21"/>
          <w:highlight w:val="none"/>
          <w:lang w:val="en-US"/>
        </w:rPr>
        <w:tab/>
      </w:r>
      <w:r>
        <w:rPr>
          <w:rFonts w:hint="eastAsia" w:ascii="宋体" w:hAnsi="宋体" w:eastAsia="宋体" w:cstheme="minorEastAsia"/>
          <w:b w:val="0"/>
          <w:bCs w:val="0"/>
          <w:color w:val="auto"/>
          <w:kern w:val="0"/>
          <w:sz w:val="21"/>
          <w:szCs w:val="21"/>
          <w:highlight w:val="none"/>
          <w:lang w:val="en-US"/>
        </w:rPr>
        <w:t>合同签订后2个月内完成生产，具体搬运及安装调试时间由各使用单位决定，不得以任何理由延迟发货。同时要求供应商于2024年</w:t>
      </w:r>
      <w:r>
        <w:rPr>
          <w:rFonts w:hint="eastAsia" w:ascii="宋体" w:hAnsi="宋体" w:eastAsia="宋体" w:cstheme="minorEastAsia"/>
          <w:b w:val="0"/>
          <w:bCs w:val="0"/>
          <w:color w:val="auto"/>
          <w:kern w:val="0"/>
          <w:sz w:val="21"/>
          <w:szCs w:val="21"/>
          <w:highlight w:val="none"/>
          <w:u w:val="single"/>
          <w:lang w:val="en-US"/>
        </w:rPr>
        <w:t xml:space="preserve">  </w:t>
      </w:r>
      <w:r>
        <w:rPr>
          <w:rFonts w:hint="eastAsia" w:ascii="宋体" w:hAnsi="宋体" w:eastAsia="宋体" w:cstheme="minorEastAsia"/>
          <w:b w:val="0"/>
          <w:bCs w:val="0"/>
          <w:color w:val="auto"/>
          <w:kern w:val="0"/>
          <w:sz w:val="21"/>
          <w:szCs w:val="21"/>
          <w:highlight w:val="none"/>
          <w:u w:val="single"/>
          <w:lang w:val="en-US" w:eastAsia="zh-CN"/>
        </w:rPr>
        <w:t>8</w:t>
      </w:r>
      <w:r>
        <w:rPr>
          <w:rFonts w:hint="eastAsia" w:ascii="宋体" w:hAnsi="宋体" w:eastAsia="宋体" w:cstheme="minorEastAsia"/>
          <w:b w:val="0"/>
          <w:bCs w:val="0"/>
          <w:color w:val="auto"/>
          <w:kern w:val="0"/>
          <w:sz w:val="21"/>
          <w:szCs w:val="21"/>
          <w:highlight w:val="none"/>
          <w:u w:val="single"/>
          <w:lang w:val="en-US"/>
        </w:rPr>
        <w:t xml:space="preserve"> </w:t>
      </w:r>
      <w:r>
        <w:rPr>
          <w:rFonts w:hint="eastAsia" w:ascii="宋体" w:hAnsi="宋体" w:eastAsia="宋体" w:cstheme="minorEastAsia"/>
          <w:b w:val="0"/>
          <w:bCs w:val="0"/>
          <w:color w:val="auto"/>
          <w:kern w:val="0"/>
          <w:sz w:val="21"/>
          <w:szCs w:val="21"/>
          <w:highlight w:val="none"/>
          <w:lang w:val="en-US"/>
        </w:rPr>
        <w:t>月</w:t>
      </w:r>
      <w:r>
        <w:rPr>
          <w:rFonts w:hint="eastAsia" w:ascii="宋体" w:hAnsi="宋体" w:eastAsia="宋体" w:cstheme="minorEastAsia"/>
          <w:b w:val="0"/>
          <w:bCs w:val="0"/>
          <w:color w:val="auto"/>
          <w:kern w:val="0"/>
          <w:sz w:val="21"/>
          <w:szCs w:val="21"/>
          <w:highlight w:val="none"/>
          <w:u w:val="single"/>
          <w:lang w:val="en-US"/>
        </w:rPr>
        <w:t xml:space="preserve">  </w:t>
      </w:r>
      <w:r>
        <w:rPr>
          <w:rFonts w:hint="eastAsia" w:ascii="宋体" w:hAnsi="宋体" w:eastAsia="宋体" w:cstheme="minorEastAsia"/>
          <w:b w:val="0"/>
          <w:bCs w:val="0"/>
          <w:color w:val="auto"/>
          <w:kern w:val="0"/>
          <w:sz w:val="21"/>
          <w:szCs w:val="21"/>
          <w:highlight w:val="none"/>
          <w:u w:val="single"/>
          <w:lang w:val="en-US" w:eastAsia="zh-CN"/>
        </w:rPr>
        <w:t>30</w:t>
      </w:r>
      <w:r>
        <w:rPr>
          <w:rFonts w:hint="eastAsia" w:ascii="宋体" w:hAnsi="宋体" w:eastAsia="宋体" w:cstheme="minorEastAsia"/>
          <w:b w:val="0"/>
          <w:bCs w:val="0"/>
          <w:color w:val="auto"/>
          <w:kern w:val="0"/>
          <w:sz w:val="21"/>
          <w:szCs w:val="21"/>
          <w:highlight w:val="none"/>
          <w:u w:val="single"/>
          <w:lang w:val="en-US"/>
        </w:rPr>
        <w:t xml:space="preserve">  </w:t>
      </w:r>
      <w:r>
        <w:rPr>
          <w:rFonts w:hint="eastAsia" w:ascii="宋体" w:hAnsi="宋体" w:eastAsia="宋体" w:cstheme="minorEastAsia"/>
          <w:b w:val="0"/>
          <w:bCs w:val="0"/>
          <w:color w:val="auto"/>
          <w:kern w:val="0"/>
          <w:sz w:val="21"/>
          <w:szCs w:val="21"/>
          <w:highlight w:val="none"/>
          <w:lang w:val="en-US"/>
        </w:rPr>
        <w:t>日之前配合学校完成全部货物的校级验收工作。</w:t>
      </w:r>
    </w:p>
    <w:p>
      <w:pPr>
        <w:pStyle w:val="6"/>
        <w:tabs>
          <w:tab w:val="left" w:pos="312"/>
          <w:tab w:val="left" w:pos="360"/>
        </w:tabs>
        <w:ind w:left="0" w:firstLine="0"/>
        <w:rPr>
          <w:rFonts w:ascii="宋体" w:hAnsi="宋体" w:eastAsia="宋体" w:cstheme="minorEastAsia"/>
          <w:color w:val="auto"/>
          <w:kern w:val="0"/>
          <w:sz w:val="21"/>
          <w:szCs w:val="21"/>
          <w:highlight w:val="none"/>
        </w:rPr>
      </w:pPr>
      <w:r>
        <w:rPr>
          <w:rFonts w:hint="eastAsia" w:ascii="宋体" w:hAnsi="宋体" w:eastAsia="宋体" w:cstheme="minorEastAsia"/>
          <w:color w:val="auto"/>
          <w:kern w:val="0"/>
          <w:sz w:val="21"/>
          <w:szCs w:val="21"/>
          <w:highlight w:val="none"/>
          <w:lang w:val="en-US"/>
        </w:rPr>
        <w:t>六、</w:t>
      </w:r>
      <w:r>
        <w:rPr>
          <w:rFonts w:hint="eastAsia" w:ascii="宋体" w:hAnsi="宋体" w:eastAsia="宋体" w:cstheme="minorEastAsia"/>
          <w:color w:val="auto"/>
          <w:kern w:val="0"/>
          <w:sz w:val="21"/>
          <w:szCs w:val="21"/>
          <w:highlight w:val="none"/>
        </w:rPr>
        <w:t>设备参数：</w:t>
      </w:r>
    </w:p>
    <w:tbl>
      <w:tblPr>
        <w:tblStyle w:val="62"/>
        <w:tblW w:w="5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117"/>
        <w:gridCol w:w="5626"/>
        <w:gridCol w:w="643"/>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042" w:type="pct"/>
            <w:gridSpan w:val="3"/>
            <w:vAlign w:val="center"/>
          </w:tcPr>
          <w:p>
            <w:pPr>
              <w:spacing w:line="30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1、天杭实验学校厨房设备采购需求 （预算：8.534万元）</w:t>
            </w:r>
          </w:p>
        </w:tc>
        <w:tc>
          <w:tcPr>
            <w:tcW w:w="347" w:type="pct"/>
            <w:vAlign w:val="center"/>
          </w:tcPr>
          <w:p>
            <w:pPr>
              <w:spacing w:line="300" w:lineRule="exact"/>
              <w:rPr>
                <w:rFonts w:ascii="宋体" w:hAnsi="宋体" w:cs="宋体"/>
                <w:color w:val="auto"/>
                <w:szCs w:val="21"/>
                <w:highlight w:val="none"/>
              </w:rPr>
            </w:pPr>
          </w:p>
        </w:tc>
        <w:tc>
          <w:tcPr>
            <w:tcW w:w="610" w:type="pct"/>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01" w:type="pct"/>
            <w:vAlign w:val="center"/>
          </w:tcPr>
          <w:p>
            <w:pPr>
              <w:spacing w:line="3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603" w:type="pct"/>
            <w:vAlign w:val="center"/>
          </w:tcPr>
          <w:p>
            <w:pPr>
              <w:spacing w:line="300" w:lineRule="exact"/>
              <w:jc w:val="center"/>
              <w:rPr>
                <w:rFonts w:ascii="宋体" w:hAnsi="宋体" w:cs="宋体"/>
                <w:b/>
                <w:bCs/>
                <w:color w:val="auto"/>
                <w:szCs w:val="21"/>
                <w:highlight w:val="none"/>
              </w:rPr>
            </w:pPr>
            <w:r>
              <w:rPr>
                <w:rFonts w:hint="eastAsia" w:ascii="宋体" w:hAnsi="宋体" w:cs="宋体"/>
                <w:b/>
                <w:bCs/>
                <w:color w:val="auto"/>
                <w:szCs w:val="21"/>
                <w:highlight w:val="none"/>
              </w:rPr>
              <w:t>产品名称</w:t>
            </w:r>
          </w:p>
        </w:tc>
        <w:tc>
          <w:tcPr>
            <w:tcW w:w="3036" w:type="pct"/>
            <w:vAlign w:val="center"/>
          </w:tcPr>
          <w:p>
            <w:pPr>
              <w:spacing w:line="3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技术参数（含材质与规格）</w:t>
            </w:r>
          </w:p>
        </w:tc>
        <w:tc>
          <w:tcPr>
            <w:tcW w:w="347" w:type="pct"/>
            <w:vAlign w:val="center"/>
          </w:tcPr>
          <w:p>
            <w:pPr>
              <w:spacing w:line="3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w:t>
            </w:r>
          </w:p>
        </w:tc>
        <w:tc>
          <w:tcPr>
            <w:tcW w:w="610" w:type="pct"/>
            <w:vAlign w:val="center"/>
          </w:tcPr>
          <w:p>
            <w:pPr>
              <w:spacing w:line="3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参考图样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69900" cy="324485"/>
                  <wp:effectExtent l="0" t="0" r="0" b="5715"/>
                  <wp:docPr id="7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热风循环双门消毒柜</w:t>
            </w:r>
          </w:p>
        </w:tc>
        <w:tc>
          <w:tcPr>
            <w:tcW w:w="3036" w:type="pct"/>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vAlign w:val="center"/>
          </w:tcPr>
          <w:p>
            <w:pPr>
              <w:jc w:val="center"/>
              <w:rPr>
                <w:rFonts w:ascii="宋体" w:hAnsi="宋体" w:cs="宋体"/>
                <w:color w:val="auto"/>
                <w:szCs w:val="21"/>
                <w:highlight w:val="none"/>
              </w:rPr>
            </w:pPr>
            <w:r>
              <w:rPr>
                <w:rFonts w:hint="eastAsia" w:ascii="宋体" w:hAnsi="宋体" w:cstheme="minorEastAsia"/>
                <w:color w:val="auto"/>
                <w:szCs w:val="21"/>
                <w:highlight w:val="none"/>
              </w:rPr>
              <w:drawing>
                <wp:inline distT="0" distB="0" distL="0" distR="0">
                  <wp:extent cx="333375" cy="430530"/>
                  <wp:effectExtent l="0" t="0" r="952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042" w:type="pct"/>
            <w:gridSpan w:val="3"/>
            <w:vAlign w:val="center"/>
          </w:tcPr>
          <w:p>
            <w:pPr>
              <w:spacing w:line="300" w:lineRule="exact"/>
              <w:jc w:val="center"/>
              <w:rPr>
                <w:rFonts w:ascii="宋体" w:hAnsi="宋体" w:cs="宋体"/>
                <w:b/>
                <w:bCs/>
                <w:color w:val="auto"/>
                <w:szCs w:val="21"/>
                <w:highlight w:val="none"/>
              </w:rPr>
            </w:pPr>
            <w:r>
              <w:rPr>
                <w:rFonts w:hint="eastAsia" w:ascii="宋体" w:hAnsi="宋体" w:cs="宋体"/>
                <w:b/>
                <w:bCs/>
                <w:color w:val="auto"/>
                <w:kern w:val="0"/>
                <w:szCs w:val="21"/>
                <w:highlight w:val="none"/>
              </w:rPr>
              <w:t>2、杭州市杭州中学厨房设备采购需求（预算：9.545万元）</w:t>
            </w:r>
          </w:p>
        </w:tc>
        <w:tc>
          <w:tcPr>
            <w:tcW w:w="347" w:type="pct"/>
            <w:vAlign w:val="center"/>
          </w:tcPr>
          <w:p>
            <w:pPr>
              <w:spacing w:line="300" w:lineRule="exact"/>
              <w:jc w:val="center"/>
              <w:rPr>
                <w:rFonts w:ascii="宋体" w:hAnsi="宋体" w:cs="宋体"/>
                <w:color w:val="auto"/>
                <w:szCs w:val="21"/>
                <w:highlight w:val="none"/>
              </w:rPr>
            </w:pPr>
          </w:p>
        </w:tc>
        <w:tc>
          <w:tcPr>
            <w:tcW w:w="610" w:type="pct"/>
            <w:vAlign w:val="center"/>
          </w:tcPr>
          <w:p>
            <w:pPr>
              <w:jc w:val="center"/>
              <w:rPr>
                <w:rFonts w:ascii="宋体" w:hAnsi="宋体"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规格：1200*750*800 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610" w:type="pct"/>
            <w:vAlign w:val="center"/>
          </w:tcPr>
          <w:p>
            <w:pPr>
              <w:jc w:val="center"/>
              <w:rPr>
                <w:rFonts w:ascii="宋体" w:hAnsi="宋体" w:cstheme="minorEastAsia"/>
                <w:color w:val="auto"/>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热风循环双门消毒柜</w:t>
            </w:r>
          </w:p>
        </w:tc>
        <w:tc>
          <w:tcPr>
            <w:tcW w:w="3036" w:type="pct"/>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规格：1310*635*1880mm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610" w:type="pct"/>
            <w:vAlign w:val="center"/>
          </w:tcPr>
          <w:p>
            <w:pPr>
              <w:jc w:val="center"/>
              <w:rPr>
                <w:rFonts w:ascii="宋体" w:hAnsi="宋体" w:cstheme="minorEastAsia"/>
                <w:color w:val="auto"/>
                <w:szCs w:val="21"/>
                <w:highlight w:val="none"/>
              </w:rPr>
            </w:pPr>
            <w:r>
              <w:rPr>
                <w:rFonts w:hint="eastAsia" w:ascii="宋体" w:hAnsi="宋体" w:cs="宋体"/>
                <w:color w:val="auto"/>
                <w:szCs w:val="21"/>
                <w:highlight w:val="none"/>
              </w:rPr>
              <w:drawing>
                <wp:inline distT="0" distB="0" distL="0" distR="0">
                  <wp:extent cx="333375" cy="428625"/>
                  <wp:effectExtent l="0" t="0" r="9525" b="3175"/>
                  <wp:docPr id="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33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商用四门冰箱</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7.温度范围：冷藏0℃～10℃/冷冻-6℃～-15℃；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规格：1220*750*1960mm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10" w:type="pct"/>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295275" cy="447040"/>
                  <wp:effectExtent l="0" t="0" r="9525" b="1016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5275" cy="447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商用风冷四玻璃门冰箱</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114300" distR="114300">
                  <wp:extent cx="323850" cy="431800"/>
                  <wp:effectExtent l="0" t="0" r="6350" b="0"/>
                  <wp:docPr id="22779" name="图片 22779" descr="17155865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9" name="图片 22779" descr="1715586515301"/>
                          <pic:cNvPicPr>
                            <a:picLocks noChangeAspect="1"/>
                          </pic:cNvPicPr>
                        </pic:nvPicPr>
                        <pic:blipFill>
                          <a:blip r:embed="rId32"/>
                          <a:stretch>
                            <a:fillRect/>
                          </a:stretch>
                        </pic:blipFill>
                        <pic:spPr>
                          <a:xfrm>
                            <a:off x="0" y="0"/>
                            <a:ext cx="323850" cy="43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生铁大锅</w:t>
            </w:r>
          </w:p>
        </w:tc>
        <w:tc>
          <w:tcPr>
            <w:tcW w:w="3036" w:type="pct"/>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采用优质生铁制作，加厚；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属消耗品；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规格：直径约810mm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114300" distR="114300">
                  <wp:extent cx="410845" cy="209550"/>
                  <wp:effectExtent l="0" t="0" r="8255" b="6350"/>
                  <wp:docPr id="22782" name="图片 22782" descr="171558632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2" name="图片 22782" descr="1715586321460"/>
                          <pic:cNvPicPr>
                            <a:picLocks noChangeAspect="1"/>
                          </pic:cNvPicPr>
                        </pic:nvPicPr>
                        <pic:blipFill>
                          <a:blip r:embed="rId33"/>
                          <a:stretch>
                            <a:fillRect/>
                          </a:stretch>
                        </pic:blipFill>
                        <pic:spPr>
                          <a:xfrm>
                            <a:off x="0" y="0"/>
                            <a:ext cx="410845" cy="209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木案板操作台</w:t>
            </w:r>
          </w:p>
        </w:tc>
        <w:tc>
          <w:tcPr>
            <w:tcW w:w="3036" w:type="pct"/>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lang w:bidi="ar"/>
              </w:rPr>
              <w:t>1.台面</w:t>
            </w:r>
            <w:r>
              <w:rPr>
                <w:rFonts w:hint="eastAsia" w:ascii="宋体" w:hAnsi="宋体" w:cs="宋体"/>
                <w:bCs/>
                <w:color w:val="auto"/>
                <w:szCs w:val="21"/>
                <w:highlight w:val="none"/>
              </w:rPr>
              <w:t>采用优质原木木材制作，厚45mm；</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2.采用</w:t>
            </w:r>
            <w:r>
              <w:rPr>
                <w:rFonts w:hint="eastAsia" w:ascii="宋体" w:hAnsi="宋体" w:cs="宋体"/>
                <w:bCs/>
                <w:color w:val="auto"/>
                <w:szCs w:val="21"/>
                <w:highlight w:val="none"/>
                <w:lang w:bidi="ar"/>
              </w:rPr>
              <w:t>304不锈钢板围边，板厚度</w:t>
            </w:r>
            <w:r>
              <w:rPr>
                <w:rFonts w:hint="eastAsia" w:ascii="宋体" w:hAnsi="宋体" w:cs="宋体"/>
                <w:bCs/>
                <w:color w:val="auto"/>
                <w:szCs w:val="21"/>
                <w:highlight w:val="none"/>
              </w:rPr>
              <w:t>1.0mm；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3.脚杆采用50*50mm厚度1.0mm不锈钢圆通腿；</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4.加强码用1.0mm不锈钢板；</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规格：1800*80*800mm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521335" cy="433070"/>
                  <wp:effectExtent l="0" t="0" r="12065" b="1143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34" r:link="rId29">
                            <a:extLst>
                              <a:ext uri="{28A0092B-C50C-407E-A947-70E740481C1C}">
                                <a14:useLocalDpi xmlns:a14="http://schemas.microsoft.com/office/drawing/2010/main" val="0"/>
                              </a:ext>
                            </a:extLst>
                          </a:blip>
                          <a:stretch>
                            <a:fillRect/>
                          </a:stretch>
                        </pic:blipFill>
                        <pic:spPr>
                          <a:xfrm>
                            <a:off x="0" y="0"/>
                            <a:ext cx="521335" cy="433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6门不锈钢更衣柜</w:t>
            </w:r>
          </w:p>
        </w:tc>
        <w:tc>
          <w:tcPr>
            <w:tcW w:w="3036" w:type="pct"/>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采用 304不锈钢板制造，板厚度1.0mm；</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2.侧板、门板厚度0.8mm 不锈钢板；</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3.层板厚度1.0mm，加强筋厚度1.0mm；</w:t>
            </w:r>
          </w:p>
          <w:p>
            <w:pPr>
              <w:widowControl/>
              <w:spacing w:line="300" w:lineRule="exact"/>
              <w:rPr>
                <w:rFonts w:ascii="宋体" w:hAnsi="宋体" w:cs="宋体"/>
                <w:bCs/>
                <w:color w:val="auto"/>
                <w:szCs w:val="21"/>
                <w:highlight w:val="none"/>
              </w:rPr>
            </w:pPr>
            <w:r>
              <w:rPr>
                <w:rFonts w:hint="eastAsia" w:ascii="宋体" w:hAnsi="宋体" w:cs="宋体"/>
                <w:bCs/>
                <w:color w:val="auto"/>
                <w:szCs w:val="21"/>
                <w:highlight w:val="none"/>
              </w:rPr>
              <w:t>4.配六扇门（带锁）、内置活动挂衣杆；</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5.</w:t>
            </w:r>
            <w:r>
              <w:rPr>
                <w:rFonts w:hint="eastAsia" w:ascii="宋体" w:hAnsi="宋体" w:cs="宋体"/>
                <w:color w:val="auto"/>
                <w:szCs w:val="21"/>
                <w:highlight w:val="none"/>
              </w:rPr>
              <w:t>提供同类产品的抗拉强度、耐温度性能、耐腐蚀性能检测报告；</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规格：1240*500*1800 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13</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219075" cy="352425"/>
                  <wp:effectExtent l="0" t="0" r="9525"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5" r:link="rId29">
                            <a:extLst>
                              <a:ext uri="{28A0092B-C50C-407E-A947-70E740481C1C}">
                                <a14:useLocalDpi xmlns:a14="http://schemas.microsoft.com/office/drawing/2010/main" val="0"/>
                              </a:ext>
                            </a:extLst>
                          </a:blip>
                          <a:stretch>
                            <a:fillRect/>
                          </a:stretch>
                        </pic:blipFill>
                        <pic:spPr>
                          <a:xfrm>
                            <a:off x="0" y="0"/>
                            <a:ext cx="219075" cy="3524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双层餐车</w:t>
            </w:r>
          </w:p>
        </w:tc>
        <w:tc>
          <w:tcPr>
            <w:tcW w:w="3036" w:type="pct"/>
            <w:vAlign w:val="center"/>
          </w:tcPr>
          <w:p>
            <w:pPr>
              <w:pStyle w:val="338"/>
              <w:adjustRightInd/>
              <w:spacing w:before="31" w:line="300" w:lineRule="exact"/>
              <w:rPr>
                <w:rFonts w:ascii="宋体" w:hAnsi="宋体" w:cs="宋体"/>
                <w:color w:val="auto"/>
                <w:sz w:val="21"/>
                <w:szCs w:val="21"/>
                <w:highlight w:val="none"/>
              </w:rPr>
            </w:pPr>
            <w:r>
              <w:rPr>
                <w:rFonts w:hint="eastAsia" w:ascii="宋体" w:hAnsi="宋体" w:cs="宋体"/>
                <w:color w:val="auto"/>
                <w:sz w:val="21"/>
                <w:szCs w:val="21"/>
                <w:highlight w:val="none"/>
              </w:rPr>
              <w:t>说明：</w:t>
            </w:r>
          </w:p>
          <w:p>
            <w:pPr>
              <w:pStyle w:val="338"/>
              <w:adjustRightInd/>
              <w:spacing w:before="31" w:line="300" w:lineRule="exact"/>
              <w:rPr>
                <w:rFonts w:ascii="宋体" w:hAnsi="宋体" w:cs="宋体"/>
                <w:bCs/>
                <w:color w:val="auto"/>
                <w:sz w:val="21"/>
                <w:szCs w:val="21"/>
                <w:highlight w:val="none"/>
                <w:lang w:bidi="ar"/>
              </w:rPr>
            </w:pPr>
            <w:r>
              <w:rPr>
                <w:rFonts w:hint="eastAsia" w:ascii="宋体" w:hAnsi="宋体" w:cs="宋体"/>
                <w:bCs/>
                <w:color w:val="auto"/>
                <w:sz w:val="21"/>
                <w:szCs w:val="21"/>
                <w:highlight w:val="none"/>
                <w:lang w:bidi="ar"/>
              </w:rPr>
              <w:t>1.采用304不锈钢制造，面板厚度1.0mm；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2.把手弯管及立柱为整管折弯，采用φ25mm厚度1.0mm制作；</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3.配4个4"优质橡胶脚轮，其中两个带刹车掣；</w:t>
            </w:r>
          </w:p>
          <w:p>
            <w:pPr>
              <w:widowControl/>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w:t>
            </w:r>
            <w:r>
              <w:rPr>
                <w:rFonts w:hint="eastAsia" w:ascii="宋体" w:hAnsi="宋体" w:cs="宋体"/>
                <w:color w:val="auto"/>
                <w:szCs w:val="21"/>
                <w:highlight w:val="none"/>
              </w:rPr>
              <w:t>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lang w:bidi="ar"/>
              </w:rPr>
              <w:t>规格：850*450*900mm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339090" cy="247650"/>
                  <wp:effectExtent l="0" t="0" r="3810" b="6350"/>
                  <wp:docPr id="372" name="图片 97" descr="双层深斗餐车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97" descr="双层深斗餐车 拷贝.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39090" cy="24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风幕机</w:t>
            </w:r>
          </w:p>
        </w:tc>
        <w:tc>
          <w:tcPr>
            <w:tcW w:w="3036" w:type="pct"/>
            <w:vAlign w:val="center"/>
          </w:tcPr>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说明：</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1.款式：壁挂版风速：12—8 m/s。</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2.风量：1160-1380 m³/h。噪音：50-55 db。</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3.适用高度：2-3 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4.开关：按键式。</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注：属易损件。</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规格：L＝1000—1500mm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390525" cy="304800"/>
                  <wp:effectExtent l="0" t="0" r="3175" b="0"/>
                  <wp:docPr id="375" name="图片 114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144" descr="风幕机"/>
                          <pic:cNvPicPr>
                            <a:picLocks noChangeAspect="1" noChangeArrowheads="1"/>
                          </pic:cNvPicPr>
                        </pic:nvPicPr>
                        <pic:blipFill>
                          <a:blip r:embed="rId37">
                            <a:extLst>
                              <a:ext uri="{28A0092B-C50C-407E-A947-70E740481C1C}">
                                <a14:useLocalDpi xmlns:a14="http://schemas.microsoft.com/office/drawing/2010/main" val="0"/>
                              </a:ext>
                            </a:extLst>
                          </a:blip>
                          <a:srcRect l="3922" t="23376" r="4903" b="18182"/>
                          <a:stretch>
                            <a:fillRect/>
                          </a:stretch>
                        </pic:blipFill>
                        <pic:spPr>
                          <a:xfrm>
                            <a:off x="0" y="0"/>
                            <a:ext cx="390525" cy="304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电热开水器连底座</w:t>
            </w:r>
          </w:p>
        </w:tc>
        <w:tc>
          <w:tcPr>
            <w:tcW w:w="3036" w:type="pct"/>
            <w:vAlign w:val="center"/>
          </w:tcPr>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说明：</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1.材质：内胆采用食品安全级不锈钢制造；</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2.提供同类产品的抗拉强度、耐温度性能、耐腐蚀性能及电器安全性能检测报告；</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3.连续出水量：≥80L/H；</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4.功率/电压：12KW/380v；</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规格：约580*610*1450mm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232410" cy="433070"/>
                  <wp:effectExtent l="0" t="0" r="8890" b="11430"/>
                  <wp:docPr id="37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32410" cy="433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042" w:type="pct"/>
            <w:gridSpan w:val="3"/>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3、杭州采荷第三小学洗碗机设备采购需求（预算：2.5万元）</w:t>
            </w:r>
          </w:p>
        </w:tc>
        <w:tc>
          <w:tcPr>
            <w:tcW w:w="347" w:type="pct"/>
            <w:vAlign w:val="center"/>
          </w:tcPr>
          <w:p>
            <w:pPr>
              <w:spacing w:line="300" w:lineRule="exact"/>
              <w:jc w:val="center"/>
              <w:rPr>
                <w:rFonts w:ascii="宋体" w:hAnsi="宋体" w:cs="宋体"/>
                <w:color w:val="auto"/>
                <w:kern w:val="0"/>
                <w:szCs w:val="21"/>
                <w:highlight w:val="none"/>
                <w:lang w:bidi="ar"/>
              </w:rPr>
            </w:pPr>
          </w:p>
        </w:tc>
        <w:tc>
          <w:tcPr>
            <w:tcW w:w="610" w:type="pct"/>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商用自动洗碗机</w:t>
            </w:r>
          </w:p>
        </w:tc>
        <w:tc>
          <w:tcPr>
            <w:tcW w:w="3036" w:type="pct"/>
            <w:vAlign w:val="center"/>
          </w:tcPr>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 xml:space="preserve">说明： </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1.洗碗机由入口区、主洗区、漂洗区、出口区组成；</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2.洗涤筐尺寸：500*500*100mm；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3.最大洗涤高度：420mm；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4.最大洗涤量：200筐/H；  </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5.耗水量：≤260-300L/H；</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6.洗涤温度：55-60℃；</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7.漂洗温度：80-85℃；</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8.进水压力：0.15-0.4Mpa；</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9.加热方式：电加热型；</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10.电源要求：380V；</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11.电加热型功率：38/47KW；</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12.所投洗碗机生产厂家须具有注册地卫生行政部门颁发的《消毒产品生产企业卫生许可证》；</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13.所投产品具有《产品抗菌性能认证证书》；</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14.所投产品具有《食品接触产品卫生认证证书》；</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15.所投产品具有防霉检测报告（包括但不仅限于：黑曲霉、土曲霉、绿色木霉、绳状青霉、球毛壳霉、宛氏拟青霉、短帚霉、树脂于囊菌等多种霉菌，最终检测结果为无霉菌生长，达到0级）；</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lang w:bidi="ar"/>
              </w:rPr>
              <w:t>规格：1200*870*1650mm</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1</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114300" distR="114300">
                  <wp:extent cx="413385" cy="386715"/>
                  <wp:effectExtent l="0" t="0" r="5715" b="6985"/>
                  <wp:docPr id="2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3" name="Picture 1"/>
                          <pic:cNvPicPr>
                            <a:picLocks noChangeAspect="1" noChangeArrowheads="1"/>
                          </pic:cNvPicPr>
                        </pic:nvPicPr>
                        <pic:blipFill>
                          <a:blip r:embed="rId39" cstate="print"/>
                          <a:srcRect/>
                          <a:stretch>
                            <a:fillRect/>
                          </a:stretch>
                        </pic:blipFill>
                        <pic:spPr>
                          <a:xfrm>
                            <a:off x="0" y="0"/>
                            <a:ext cx="413385" cy="386715"/>
                          </a:xfrm>
                          <a:prstGeom prst="rect">
                            <a:avLst/>
                          </a:prstGeom>
                          <a:noFill/>
                          <a:ln w="1">
                            <a:noFill/>
                            <a:miter lim="800000"/>
                            <a:headEnd/>
                            <a:tailEnd type="none" w="med" len="me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42" w:type="pct"/>
            <w:gridSpan w:val="3"/>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4-1、杭州师范大学东城第二小学厨房设备采购需求（预算：0.97万元）</w:t>
            </w:r>
          </w:p>
        </w:tc>
        <w:tc>
          <w:tcPr>
            <w:tcW w:w="347" w:type="pct"/>
            <w:vAlign w:val="center"/>
          </w:tcPr>
          <w:p>
            <w:pPr>
              <w:spacing w:line="300" w:lineRule="exact"/>
              <w:jc w:val="center"/>
              <w:rPr>
                <w:rFonts w:ascii="宋体" w:hAnsi="宋体" w:cs="宋体"/>
                <w:color w:val="auto"/>
                <w:kern w:val="0"/>
                <w:szCs w:val="21"/>
                <w:highlight w:val="none"/>
                <w:lang w:bidi="ar"/>
              </w:rPr>
            </w:pPr>
          </w:p>
        </w:tc>
        <w:tc>
          <w:tcPr>
            <w:tcW w:w="610" w:type="pct"/>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双门电蒸饭箱</w:t>
            </w:r>
          </w:p>
        </w:tc>
        <w:tc>
          <w:tcPr>
            <w:tcW w:w="3036" w:type="pct"/>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1.板材采用304不锈钢制造；上层（箱）外壳厚1.0mm，内桶厚0.8mm，水胆炉膛厚1.0mm，门外板厚1.0mm，门内板厚0.8mm；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2.内置2*12蒸饭格（可放置2*12个蒸饭盘）；</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3.采用304不锈钢电热管加热，电热管连接线采用国标耐高温线；配自动进水装置，缺水保护装置；配微电脑控制面板，数字显示定时定温；</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4.密封条采用食品级硅胶条；</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5.门采用不锈钢双把手；配泄压阀；</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6.随机配304不锈钢饭盘24个、饭铲1把；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7.提供同类产品的食品接触产品安全认证证书。</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8.电压/功率：380V/12KW*2门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规格：24盘</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1</w:t>
            </w:r>
          </w:p>
        </w:tc>
        <w:tc>
          <w:tcPr>
            <w:tcW w:w="610" w:type="pct"/>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386715" cy="418465"/>
                  <wp:effectExtent l="0" t="0" r="6985" b="635"/>
                  <wp:docPr id="21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6715" cy="41846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042" w:type="pct"/>
            <w:gridSpan w:val="3"/>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4-2、杭州师范大学东城第二小学厨房设备采购需求（预算：2.06万元）</w:t>
            </w:r>
          </w:p>
        </w:tc>
        <w:tc>
          <w:tcPr>
            <w:tcW w:w="347" w:type="pct"/>
            <w:vAlign w:val="center"/>
          </w:tcPr>
          <w:p>
            <w:pPr>
              <w:spacing w:line="300" w:lineRule="exact"/>
              <w:jc w:val="center"/>
              <w:rPr>
                <w:rFonts w:ascii="宋体" w:hAnsi="宋体" w:cs="宋体"/>
                <w:color w:val="auto"/>
                <w:kern w:val="0"/>
                <w:szCs w:val="21"/>
                <w:highlight w:val="none"/>
                <w:lang w:bidi="ar"/>
              </w:rPr>
            </w:pPr>
          </w:p>
        </w:tc>
        <w:tc>
          <w:tcPr>
            <w:tcW w:w="610" w:type="pct"/>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厢式风机</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8.所投低噪音离心通风机通过 JB/T 8690-2014 《通风机噪声限值》和 GB/T2888-2008 《风机和罗茨鼓风机噪声测量方法》检测，在风机运行≥48小时后噪声（比 A 声级）db≤20，并评定合格（具有国家权威CMA或CNAS认证机构出具的检测报告）。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9.电压/功率：380V/7.5KW</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风量：25000-28000m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/h</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1</w:t>
            </w:r>
          </w:p>
        </w:tc>
        <w:tc>
          <w:tcPr>
            <w:tcW w:w="610" w:type="pct"/>
            <w:vAlign w:val="center"/>
          </w:tcPr>
          <w:p>
            <w:pPr>
              <w:jc w:val="center"/>
              <w:rPr>
                <w:rFonts w:ascii="宋体" w:hAnsi="宋体"/>
                <w:color w:val="auto"/>
                <w:szCs w:val="21"/>
                <w:highlight w:val="none"/>
              </w:rPr>
            </w:pPr>
            <w:r>
              <w:rPr>
                <w:rFonts w:hint="eastAsia" w:ascii="宋体" w:hAnsi="宋体" w:cs="宋体"/>
                <w:color w:val="auto"/>
                <w:szCs w:val="21"/>
                <w:highlight w:val="none"/>
              </w:rPr>
              <w:drawing>
                <wp:inline distT="0" distB="0" distL="0" distR="0">
                  <wp:extent cx="320040" cy="359410"/>
                  <wp:effectExtent l="0" t="0" r="10160" b="889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20168" cy="35962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不锈钢排油烟风管(㎡)</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20</w:t>
            </w:r>
          </w:p>
        </w:tc>
        <w:tc>
          <w:tcPr>
            <w:tcW w:w="610" w:type="pct"/>
            <w:vAlign w:val="center"/>
          </w:tcPr>
          <w:p>
            <w:pPr>
              <w:jc w:val="center"/>
              <w:rPr>
                <w:rFonts w:ascii="宋体" w:hAnsi="宋体"/>
                <w:color w:val="auto"/>
                <w:szCs w:val="21"/>
                <w:highlight w:val="none"/>
              </w:rPr>
            </w:pPr>
            <w:r>
              <w:rPr>
                <w:rFonts w:hint="eastAsia" w:ascii="宋体" w:hAnsi="宋体" w:cs="宋体"/>
                <w:color w:val="auto"/>
                <w:szCs w:val="21"/>
                <w:highlight w:val="none"/>
              </w:rPr>
              <w:drawing>
                <wp:inline distT="0" distB="0" distL="0" distR="0">
                  <wp:extent cx="291465" cy="248285"/>
                  <wp:effectExtent l="0" t="0" r="635" b="5715"/>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91465" cy="248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软连接</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规格：配套风管及风柜进风口</w:t>
            </w:r>
          </w:p>
        </w:tc>
        <w:tc>
          <w:tcPr>
            <w:tcW w:w="347" w:type="pct"/>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1</w:t>
            </w:r>
          </w:p>
        </w:tc>
        <w:tc>
          <w:tcPr>
            <w:tcW w:w="610" w:type="pct"/>
            <w:vAlign w:val="center"/>
          </w:tcPr>
          <w:p>
            <w:pPr>
              <w:jc w:val="center"/>
              <w:rPr>
                <w:rFonts w:ascii="宋体" w:hAnsi="宋体"/>
                <w:color w:val="auto"/>
                <w:szCs w:val="21"/>
                <w:highlight w:val="none"/>
              </w:rPr>
            </w:pPr>
            <w:r>
              <w:rPr>
                <w:rFonts w:hint="eastAsia" w:ascii="宋体" w:hAnsi="宋体" w:cs="宋体"/>
                <w:color w:val="auto"/>
                <w:szCs w:val="21"/>
                <w:highlight w:val="none"/>
              </w:rPr>
              <w:drawing>
                <wp:inline distT="0" distB="0" distL="0" distR="0">
                  <wp:extent cx="257175" cy="250825"/>
                  <wp:effectExtent l="0" t="0" r="9525" b="3175"/>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586" cy="253793"/>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风机槽钢支架</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采用8-10#槽钢，二遍防腐处理；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规格：配套风机</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6" name="图片 6"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042" w:type="pct"/>
            <w:gridSpan w:val="3"/>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5-1、杭州市江锦小学厨房设备采购需求（预算：1.54万元）</w:t>
            </w:r>
          </w:p>
        </w:tc>
        <w:tc>
          <w:tcPr>
            <w:tcW w:w="347" w:type="pct"/>
            <w:vAlign w:val="center"/>
          </w:tcPr>
          <w:p>
            <w:pPr>
              <w:spacing w:line="300" w:lineRule="exact"/>
              <w:jc w:val="center"/>
              <w:rPr>
                <w:rFonts w:ascii="宋体" w:hAnsi="宋体" w:cs="宋体"/>
                <w:color w:val="auto"/>
                <w:szCs w:val="21"/>
                <w:highlight w:val="none"/>
              </w:rPr>
            </w:pPr>
          </w:p>
        </w:tc>
        <w:tc>
          <w:tcPr>
            <w:tcW w:w="610"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燃气双门蒸饭箱（24盘）</w:t>
            </w:r>
          </w:p>
        </w:tc>
        <w:tc>
          <w:tcPr>
            <w:tcW w:w="3036" w:type="pct"/>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08610" cy="333375"/>
                  <wp:effectExtent l="0" t="0" r="8890" b="9525"/>
                  <wp:docPr id="7"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10046" cy="33456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42" w:type="pct"/>
            <w:gridSpan w:val="3"/>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5-2、杭州市江锦小学厨房设备采购需求（预算：0.98万元）</w:t>
            </w:r>
          </w:p>
        </w:tc>
        <w:tc>
          <w:tcPr>
            <w:tcW w:w="347" w:type="pct"/>
            <w:vAlign w:val="center"/>
          </w:tcPr>
          <w:p>
            <w:pPr>
              <w:spacing w:line="300" w:lineRule="exact"/>
              <w:jc w:val="center"/>
              <w:rPr>
                <w:rFonts w:ascii="宋体" w:hAnsi="宋体" w:cs="宋体"/>
                <w:color w:val="auto"/>
                <w:szCs w:val="21"/>
                <w:highlight w:val="none"/>
              </w:rPr>
            </w:pPr>
          </w:p>
        </w:tc>
        <w:tc>
          <w:tcPr>
            <w:tcW w:w="610"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燃气单门蒸饭箱（12盘）</w:t>
            </w:r>
          </w:p>
        </w:tc>
        <w:tc>
          <w:tcPr>
            <w:tcW w:w="3036" w:type="pct"/>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规格：480*800*1750mm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33375" cy="403860"/>
                  <wp:effectExtent l="0" t="0" r="9525" b="2540"/>
                  <wp:docPr id="13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4052" cy="40485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042" w:type="pct"/>
            <w:gridSpan w:val="3"/>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6、杭州市丁荷小学厨房设备采购需求（预算：3.9万元）</w:t>
            </w:r>
          </w:p>
        </w:tc>
        <w:tc>
          <w:tcPr>
            <w:tcW w:w="347" w:type="pct"/>
            <w:vAlign w:val="center"/>
          </w:tcPr>
          <w:p>
            <w:pPr>
              <w:spacing w:line="300" w:lineRule="exact"/>
              <w:jc w:val="center"/>
              <w:rPr>
                <w:rFonts w:ascii="宋体" w:hAnsi="宋体" w:cs="宋体"/>
                <w:color w:val="auto"/>
                <w:szCs w:val="21"/>
                <w:highlight w:val="none"/>
              </w:rPr>
            </w:pPr>
          </w:p>
        </w:tc>
        <w:tc>
          <w:tcPr>
            <w:tcW w:w="610"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69900" cy="324485"/>
                  <wp:effectExtent l="0" t="0" r="0" b="5715"/>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042" w:type="pct"/>
            <w:gridSpan w:val="3"/>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7、杭州市钱江新城实验小学厨房设备采购需求（预算：26.698万元）</w:t>
            </w:r>
          </w:p>
        </w:tc>
        <w:tc>
          <w:tcPr>
            <w:tcW w:w="347" w:type="pct"/>
            <w:vAlign w:val="center"/>
          </w:tcPr>
          <w:p>
            <w:pPr>
              <w:spacing w:line="300" w:lineRule="exact"/>
              <w:jc w:val="center"/>
              <w:rPr>
                <w:rFonts w:ascii="宋体" w:hAnsi="宋体" w:cs="宋体"/>
                <w:color w:val="auto"/>
                <w:szCs w:val="21"/>
                <w:highlight w:val="none"/>
              </w:rPr>
            </w:pPr>
          </w:p>
        </w:tc>
        <w:tc>
          <w:tcPr>
            <w:tcW w:w="610"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单星水池</w:t>
            </w:r>
          </w:p>
        </w:tc>
        <w:tc>
          <w:tcPr>
            <w:tcW w:w="3036" w:type="pct"/>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规格：1000*800*800 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单星水池连平台</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 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73380" cy="381000"/>
                  <wp:effectExtent l="0" t="0" r="7620" b="0"/>
                  <wp:docPr id="12" name="图片 18" descr="平台水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平台水池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3380" cy="381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鹅颈式冷热水龙头</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1.座台式安装，单孔双温，鹅颈式水嘴；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3.陶瓷阀芯一字开形手柄。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规格：常规</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28600" cy="325120"/>
                  <wp:effectExtent l="0" t="0" r="0" b="508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8600" cy="3251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规格：1500*800*800 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18465" cy="278765"/>
                  <wp:effectExtent l="0" t="0" r="635" b="635"/>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01" w:type="pct"/>
            <w:vAlign w:val="center"/>
          </w:tcPr>
          <w:p>
            <w:pPr>
              <w:spacing w:line="300" w:lineRule="exact"/>
              <w:jc w:val="center"/>
              <w:rPr>
                <w:rFonts w:ascii="宋体" w:hAnsi="宋体" w:cs="宋体"/>
                <w:color w:val="auto"/>
                <w:szCs w:val="21"/>
                <w:highlight w:val="none"/>
              </w:rPr>
            </w:pPr>
          </w:p>
        </w:tc>
        <w:tc>
          <w:tcPr>
            <w:tcW w:w="603" w:type="pct"/>
            <w:vAlign w:val="center"/>
          </w:tcPr>
          <w:p>
            <w:pPr>
              <w:spacing w:line="300" w:lineRule="exact"/>
              <w:jc w:val="center"/>
              <w:rPr>
                <w:rFonts w:ascii="宋体" w:hAnsi="宋体" w:cs="宋体"/>
                <w:color w:val="auto"/>
                <w:szCs w:val="21"/>
                <w:highlight w:val="none"/>
              </w:rPr>
            </w:pPr>
          </w:p>
        </w:tc>
        <w:tc>
          <w:tcPr>
            <w:tcW w:w="3036" w:type="pct"/>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烹饪区（部分添置）</w:t>
            </w:r>
          </w:p>
        </w:tc>
        <w:tc>
          <w:tcPr>
            <w:tcW w:w="347" w:type="pct"/>
            <w:vAlign w:val="center"/>
          </w:tcPr>
          <w:p>
            <w:pPr>
              <w:spacing w:line="300" w:lineRule="exact"/>
              <w:jc w:val="center"/>
              <w:rPr>
                <w:rFonts w:ascii="宋体" w:hAnsi="宋体" w:cs="宋体"/>
                <w:color w:val="auto"/>
                <w:szCs w:val="21"/>
                <w:highlight w:val="none"/>
              </w:rPr>
            </w:pPr>
          </w:p>
        </w:tc>
        <w:tc>
          <w:tcPr>
            <w:tcW w:w="610"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69900" cy="324485"/>
                  <wp:effectExtent l="0" t="0" r="0" b="5715"/>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蒸煮间（更新燃气蒸箱）</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63855" cy="393065"/>
                  <wp:effectExtent l="0" t="0" r="4445" b="635"/>
                  <wp:docPr id="1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63855" cy="39306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排油烟罩(</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规格：6150*1200*500mm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05130" cy="239395"/>
                  <wp:effectExtent l="0" t="0" r="1270" b="1905"/>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05130" cy="2393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通风排烟系统（需要更新）</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不锈钢排油烟风管</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345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35280" cy="285750"/>
                  <wp:effectExtent l="0" t="0" r="7620" b="635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35280" cy="285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排油烟专用风机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8.所投低噪音离心通风机通过 JB/T 8690-2014 《通风机噪声限值》和 GB/T2888-2008 《风机和罗茨鼓风机噪声测量方法》检测，在风机运行≥48小时后噪声（比 A 声级）db≤20，并评定合格（具有CMA或CNAS认证机构出具的检测报告）。                                                                 风量：30000m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功率：380V/15KW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55600" cy="3994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55600" cy="3994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排蒸汽专用风机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8.所投低噪音离心通风机通过 JB/T 8690-2014 《通风机噪声限值》和 GB/T2888-2008 《风机和罗茨鼓风机噪声测量方法》检测，在风机运行≥48小时后噪声（比 A 声级）db≤20，并评定合格（具有CMA或CNAS认证机构出具的检测报告）。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电压/功率：380V/7.5KW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风量：20000m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73380" cy="419100"/>
                  <wp:effectExtent l="0" t="0" r="762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73823" cy="419597"/>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6.电压/功率：220V/2.2KW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处理风量：30000m³/h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04165" cy="356870"/>
                  <wp:effectExtent l="0" t="0" r="635" b="1143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4165" cy="356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智能通风排烟迭制系统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规格：配套电机功率15KW/380V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295275"/>
                  <wp:effectExtent l="0" t="0" r="0" b="9525"/>
                  <wp:docPr id="25" name="图片_95_SpCnt_3"/>
                  <wp:cNvGraphicFramePr/>
                  <a:graphic xmlns:a="http://schemas.openxmlformats.org/drawingml/2006/main">
                    <a:graphicData uri="http://schemas.openxmlformats.org/drawingml/2006/picture">
                      <pic:pic xmlns:pic="http://schemas.openxmlformats.org/drawingml/2006/picture">
                        <pic:nvPicPr>
                          <pic:cNvPr id="25"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667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智能通风排烟迭制系统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规格：配套电机功率7.5KW/380V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295275"/>
                  <wp:effectExtent l="0" t="0" r="0" b="9525"/>
                  <wp:docPr id="21" name="图片_95_SpCnt_3"/>
                  <wp:cNvGraphicFramePr/>
                  <a:graphic xmlns:a="http://schemas.openxmlformats.org/drawingml/2006/main">
                    <a:graphicData uri="http://schemas.openxmlformats.org/drawingml/2006/picture">
                      <pic:pic xmlns:pic="http://schemas.openxmlformats.org/drawingml/2006/picture">
                        <pic:nvPicPr>
                          <pic:cNvPr id="21"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667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槽钢支架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说明：</w:t>
            </w:r>
            <w:r>
              <w:rPr>
                <w:rFonts w:hint="eastAsia" w:ascii="宋体" w:hAnsi="宋体" w:cs="宋体"/>
                <w:color w:val="auto"/>
                <w:szCs w:val="21"/>
                <w:highlight w:val="none"/>
              </w:rPr>
              <w:t>采用8-10#槽钢，二遍防腐处理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规格：配套</w:t>
            </w:r>
            <w:r>
              <w:rPr>
                <w:rFonts w:hint="eastAsia" w:ascii="宋体" w:hAnsi="宋体" w:cs="宋体"/>
                <w:color w:val="auto"/>
                <w:kern w:val="0"/>
                <w:szCs w:val="21"/>
                <w:highlight w:val="none"/>
                <w:lang w:bidi="ar"/>
              </w:rPr>
              <w:t>风机、净化器</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22775" name="图片 22775"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 name="图片 22775"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软连接</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说明：含角铁及耐火帆布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规格：配套风管及风柜进风口。</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57175" cy="250825"/>
                  <wp:effectExtent l="0" t="0" r="9525" b="3175"/>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586" cy="253793"/>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1.采用不锈钢制制作，设有手动开启复位功能，手动调节风量，温感器，动作后无源信号输出。</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2.熔断器动作温度：150℃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73685" cy="295275"/>
                  <wp:effectExtent l="0" t="0" r="5715" b="9525"/>
                  <wp:docPr id="42"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5013" cy="296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地下一层消毒区</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33375" cy="428625"/>
                  <wp:effectExtent l="0" t="0" r="9525" b="31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33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8、杭州市胜利山南小学厨房设备采购需求（预算：2.68万元）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定制调料平台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规格：500*1200*800mm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05130" cy="238125"/>
                  <wp:effectExtent l="0" t="0" r="1270" b="3175"/>
                  <wp:docPr id="1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0513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1.采用304不锈钢板制造，骨架1.0mm；平板1.0mm；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注：最终尺寸按实。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规格：1200*500*800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02590" cy="274320"/>
                  <wp:effectExtent l="0" t="0" r="3810" b="5080"/>
                  <wp:docPr id="26" name="图片 26" descr="171560521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5605217264"/>
                          <pic:cNvPicPr>
                            <a:picLocks noChangeAspect="1"/>
                          </pic:cNvPicPr>
                        </pic:nvPicPr>
                        <pic:blipFill>
                          <a:blip r:embed="rId57"/>
                          <a:stretch>
                            <a:fillRect/>
                          </a:stretch>
                        </pic:blipFill>
                        <pic:spPr>
                          <a:xfrm>
                            <a:off x="0" y="0"/>
                            <a:ext cx="402590" cy="274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三层送餐车</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pStyle w:val="338"/>
              <w:adjustRightInd/>
              <w:spacing w:before="31" w:line="300" w:lineRule="exact"/>
              <w:rPr>
                <w:rFonts w:ascii="宋体" w:hAnsi="宋体" w:cs="宋体"/>
                <w:bCs/>
                <w:color w:val="auto"/>
                <w:sz w:val="21"/>
                <w:szCs w:val="21"/>
                <w:highlight w:val="none"/>
                <w:lang w:bidi="ar"/>
              </w:rPr>
            </w:pPr>
            <w:r>
              <w:rPr>
                <w:rFonts w:hint="eastAsia" w:ascii="宋体" w:hAnsi="宋体" w:cs="宋体"/>
                <w:bCs/>
                <w:color w:val="auto"/>
                <w:sz w:val="21"/>
                <w:szCs w:val="21"/>
                <w:highlight w:val="none"/>
                <w:lang w:bidi="ar"/>
              </w:rPr>
              <w:t>1.采用304不锈钢制造，面板厚度1.0mm；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2.把手弯管及立柱为整管折弯，采用φ25mm厚度1.0mm制作；</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3.配4个4"优质橡胶脚轮，其中两个带刹车掣；</w:t>
            </w:r>
          </w:p>
          <w:p>
            <w:pPr>
              <w:widowControl/>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注：最终尺寸按实。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规格：850*450*900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61950" cy="323850"/>
                  <wp:effectExtent l="0" t="0" r="6350" b="6350"/>
                  <wp:docPr id="46" name="图片 187" descr="1643209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7" descr="164320982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61950"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商用破壁机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电压/功率：220V/1.5KW</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注：最终款式需先经使用方确认。</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容量：2000ML</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11455" cy="350520"/>
                  <wp:effectExtent l="0" t="0" r="4445" b="5080"/>
                  <wp:docPr id="61" name="图片 370" descr="1695337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0" descr="16953373638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1455" cy="350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醒发箱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1.箱内立体循环加热，使发酵更均匀，全系列配自动进水装置，不担心干烧问题；</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2.配可视玻璃窗，内置LED灯管，方便在光线不利的条件下观察内部发酵过程；</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3.整机发泡，厚度35mm；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4.使用环境温度范围：0--60度/0--99度；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5.防水等级≥IPX4；</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6.电压：220v，功率：2-3.3KW</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规格：约675*770*1950mm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49555" cy="419100"/>
                  <wp:effectExtent l="0" t="0" r="4445"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49555"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三层烤箱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1.箱体采用优质不锈钢板材制作，厚1.2mm；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2.内部配件：最优质电子元件/发热丝；</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3.配用上等密封条，保温棉；</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4.三层六盘，配智能电脑控制面板。</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规格：约1240*860*1515mm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19100" cy="466725"/>
                  <wp:effectExtent l="0" t="0" r="0" b="3175"/>
                  <wp:docPr id="85" name="图片 5" descr="164785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descr="164785358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19100" cy="466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商用风扇</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电压/功率：220V/200W</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57810" cy="407670"/>
                  <wp:effectExtent l="0" t="0" r="8890" b="11430"/>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57810" cy="407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防潮板托盘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材质：塑料，网格加强筋</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规格：约400*300*120mm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40360" cy="257175"/>
                  <wp:effectExtent l="0" t="0" r="2540" b="952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40360" cy="257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烤盘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29235" cy="303530"/>
                  <wp:effectExtent l="0" t="0" r="1270" b="12065"/>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rot="5400000">
                            <a:off x="0" y="0"/>
                            <a:ext cx="229235" cy="303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双门保温柜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1.内外箱均为优质不锈钢板；</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2.使用高精度温度控制器；</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3.门体自动关闭结构；</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4.取餐一侧玻璃门展示；</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5.功率/电压：1.1-2.2KW/220V</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规格：1330*815*1960mm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04165" cy="409575"/>
                  <wp:effectExtent l="0" t="0" r="635" b="952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04165" cy="409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9、杭州市采荷第二幼儿园厨房设备采购需求（预算：0.69万元）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双门热风循环消毒柜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33375" cy="430530"/>
                  <wp:effectExtent l="0" t="0" r="952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10、杭州市濮家幼儿园厨房设备采购需求（预算：0.36万元）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4.配置门框防凝露装置，防止门框结露、滴水；</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5.温度范围：冷藏0℃～10℃；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6.功率/电压：≤0.5KW/220V；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规格：470*540*1300mm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theme="minorEastAsia"/>
                <w:color w:val="auto"/>
                <w:szCs w:val="21"/>
                <w:highlight w:val="none"/>
              </w:rPr>
              <w:drawing>
                <wp:inline distT="0" distB="0" distL="114300" distR="114300">
                  <wp:extent cx="293370" cy="615315"/>
                  <wp:effectExtent l="0" t="0" r="11430" b="6985"/>
                  <wp:docPr id="28" name="图片 28" descr="171561140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5611408789"/>
                          <pic:cNvPicPr>
                            <a:picLocks noChangeAspect="1"/>
                          </pic:cNvPicPr>
                        </pic:nvPicPr>
                        <pic:blipFill>
                          <a:blip r:embed="rId66"/>
                          <a:stretch>
                            <a:fillRect/>
                          </a:stretch>
                        </pic:blipFill>
                        <pic:spPr>
                          <a:xfrm>
                            <a:off x="0" y="0"/>
                            <a:ext cx="293370" cy="615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11、杭州市丁蕙第二幼儿园厨房设备采购需求（预算：0.75万元）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p>
          <w:p>
            <w:pPr>
              <w:widowControl/>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规格：约580*610*1450mm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276225" cy="514350"/>
                  <wp:effectExtent l="0" t="0" r="3175" b="6350"/>
                  <wp:docPr id="2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76225"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12、杭州市三里亭幼儿园厨房设备采购需求（预算：0.765万元）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双门热风循环消毒柜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33375" cy="430530"/>
                  <wp:effectExtent l="0" t="0" r="952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商用电子称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1.内置可充电蓄电池，充电时可以开机使用；</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2.开机自动置零，零点自动跟踪，累计次数1~30次；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3.相对湿度：≤ 85% RH；</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4.功率/电压：0.02KW/220V；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5.注：电源插座、充电器及液晶屏属易损件。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量程范围：0～300Kg</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243205" cy="394970"/>
                  <wp:effectExtent l="0" t="0" r="10795" b="1143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8"/>
                          <a:stretch>
                            <a:fillRect/>
                          </a:stretch>
                        </pic:blipFill>
                        <pic:spPr>
                          <a:xfrm>
                            <a:off x="0" y="0"/>
                            <a:ext cx="243205" cy="3949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13、杭州市丁兰幼儿园厨房设备采购需求（预算：2.2万元）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9.产品节能性：产品单眼热负荷约45kW，能源利用热效率≥75%；运行噪音≤60dB，燃烧工况干烟气中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69900" cy="324485"/>
                  <wp:effectExtent l="0" t="0" r="0" b="571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中餐燃气炒菜灶（单眼）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lang w:eastAsia="zh"/>
              </w:rPr>
            </w:pPr>
            <w:r>
              <w:rPr>
                <w:rFonts w:hint="eastAsia" w:ascii="宋体" w:hAnsi="宋体" w:cs="宋体"/>
                <w:color w:val="auto"/>
                <w:kern w:val="0"/>
                <w:szCs w:val="21"/>
                <w:highlight w:val="none"/>
              </w:rPr>
              <w:t>7.一按式电子点火；实时熄火保护设计；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w:t>
            </w:r>
            <w:r>
              <w:rPr>
                <w:rFonts w:hint="eastAsia" w:ascii="宋体" w:hAnsi="宋体" w:cs="宋体"/>
                <w:color w:val="auto"/>
                <w:szCs w:val="21"/>
                <w:highlight w:val="none"/>
                <w:lang w:bidi="ar"/>
              </w:rPr>
              <w:t>产品单眼</w:t>
            </w:r>
            <w:r>
              <w:rPr>
                <w:rFonts w:hint="eastAsia" w:ascii="宋体" w:hAnsi="宋体" w:cs="宋体"/>
                <w:color w:val="auto"/>
                <w:kern w:val="0"/>
                <w:szCs w:val="21"/>
                <w:highlight w:val="none"/>
              </w:rPr>
              <w:t>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theme="minorEastAsia"/>
                <w:color w:val="auto"/>
                <w:szCs w:val="21"/>
                <w:highlight w:val="none"/>
              </w:rPr>
              <w:drawing>
                <wp:inline distT="0" distB="0" distL="114300" distR="114300">
                  <wp:extent cx="368935" cy="399415"/>
                  <wp:effectExtent l="0" t="0" r="12065" b="6985"/>
                  <wp:docPr id="33" name="图片 33" descr="171565277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15652772886"/>
                          <pic:cNvPicPr>
                            <a:picLocks noChangeAspect="1"/>
                          </pic:cNvPicPr>
                        </pic:nvPicPr>
                        <pic:blipFill>
                          <a:blip r:embed="rId69"/>
                          <a:stretch>
                            <a:fillRect/>
                          </a:stretch>
                        </pic:blipFill>
                        <pic:spPr>
                          <a:xfrm>
                            <a:off x="0" y="0"/>
                            <a:ext cx="368935" cy="399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14、杭州市笕新幼儿园厨房设备采购需求（预算：1.784万元）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21640" cy="291465"/>
                  <wp:effectExtent l="0" t="0" r="10160" b="63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noChangeArrowheads="1"/>
                          </pic:cNvPicPr>
                        </pic:nvPicPr>
                        <pic:blipFill>
                          <a:blip r:embed="rId26"/>
                          <a:srcRect/>
                          <a:stretch>
                            <a:fillRect/>
                          </a:stretch>
                        </pic:blipFill>
                        <pic:spPr>
                          <a:xfrm flipH="1">
                            <a:off x="0" y="0"/>
                            <a:ext cx="421640" cy="2914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1.材质：采用304不锈钢板制作，面板厚1.0mm；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3.提供同类产品的抗拉强度、耐温度性能、耐腐蚀性能检测报告。</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428625" cy="299720"/>
                  <wp:effectExtent l="0" t="0" r="3175"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28625" cy="299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15、杭州市澎博幼儿园厨房设备采购需求（预算：9万元）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8.所投低噪音离心通风机通过 JB/T 8690-2014 《通风机噪声限值》和 GB/T2888-2008 《风机和罗茨鼓风机噪声测量方法》检测，在风机运行≥48小时后噪声（比 A 声级）db≤20，并评定合格（具有国家权威CMA或CNAS认证机构出具的检测报告）。                                                                                                                                                                    9.功率/电压：380V/7.5KW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风量：25000-28000m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81000" cy="427355"/>
                  <wp:effectExtent l="0" t="0" r="0" b="444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81000" cy="42735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6.电压/功率：220V/2.2KW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处理风量：28000m³/h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42900" cy="401955"/>
                  <wp:effectExtent l="0" t="0" r="0" b="4445"/>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42900" cy="4019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w:t>
            </w:r>
            <w:r>
              <w:rPr>
                <w:rFonts w:hint="eastAsia" w:ascii="宋体" w:hAnsi="宋体" w:cs="宋体"/>
                <w:color w:val="auto"/>
                <w:szCs w:val="21"/>
                <w:highlight w:val="none"/>
              </w:rPr>
              <w:t>配电机功率7.5KW/380V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28600" cy="295275"/>
                  <wp:effectExtent l="0" t="0" r="0" b="9525"/>
                  <wp:docPr id="37" name="图片_95_SpCnt_3"/>
                  <wp:cNvGraphicFramePr/>
                  <a:graphic xmlns:a="http://schemas.openxmlformats.org/drawingml/2006/main">
                    <a:graphicData uri="http://schemas.openxmlformats.org/drawingml/2006/picture">
                      <pic:pic xmlns:pic="http://schemas.openxmlformats.org/drawingml/2006/picture">
                        <pic:nvPicPr>
                          <pic:cNvPr id="37"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286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不锈钢排油烟风管</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160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24485" cy="276225"/>
                  <wp:effectExtent l="0" t="0" r="5715" b="3175"/>
                  <wp:docPr id="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2448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16、杭州市丁信第二幼儿园厨房设备采购需求（预算：0.715万元）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商用四门双温冰箱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7.温度范围：冷藏0℃～10℃/冷冻-6℃～-15℃；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295275" cy="4476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5275" cy="447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17、杭州市丁信第二幼儿园厨房设备采购需求（预算：0.59万元）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(单门)刀具砧板消毒柜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1.材质：采用304不锈钢板制作，厚1.0mm；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2.消毒方式：紫外线+臭氧红外线；</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3.消毒刀数量：0-8把；消毒砧板数量：0-4块（厚0-20cm）；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4.提供刀具砧板消毒柜符合（检测项目涵盖GB/T 38160-2019(全项目）、力学性能（抗拉强度）、耐温度性能（≥100℃ 24h)、耐腐蚀性能≥10级）的检测报告；（提供带CMA或CNAS标识的检测报告）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5.提供刀具砧板消毒柜符合GB/4706.1-2005《家用和类似用途电器的安全 第1部分：通用要求》、GB31604.49-2016《食品安全国家标准 食品接触材料及制品 砷、镉、铬、铅的测定和砷、镉、铬、镍、铅、锑、锌迁移量的测定》）的检测报告；（提供带CMA或CNAS标识的检测报告）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6.电压：220V/500W；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规格：600*500*1800mm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257810" cy="435610"/>
                  <wp:effectExtent l="0" t="0" r="889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3"/>
                          <a:stretch>
                            <a:fillRect/>
                          </a:stretch>
                        </pic:blipFill>
                        <pic:spPr>
                          <a:xfrm>
                            <a:off x="0" y="0"/>
                            <a:ext cx="258686" cy="43700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18、杭州市景辰幼儿园厨房设备采购需求（预算：0.6万元）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双门双重消毒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是否上下层独立控制：是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面板材质：钢化玻璃</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控制方式：触摸式</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容积：380L/6层架</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规格：575*443*1600mm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274320" cy="469265"/>
                  <wp:effectExtent l="0" t="0" r="508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4"/>
                          <a:stretch>
                            <a:fillRect/>
                          </a:stretch>
                        </pic:blipFill>
                        <pic:spPr>
                          <a:xfrm>
                            <a:off x="0" y="0"/>
                            <a:ext cx="274320" cy="469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双温冰箱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机型：冷藏冷冻冰箱</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制冷方式：直冷式</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能效等级：三级</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总容积：215L</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规格：524*582*1808mm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theme="minorEastAsia"/>
                <w:color w:val="auto"/>
                <w:szCs w:val="21"/>
                <w:highlight w:val="none"/>
              </w:rPr>
              <w:drawing>
                <wp:inline distT="0" distB="0" distL="114300" distR="114300">
                  <wp:extent cx="225425" cy="556895"/>
                  <wp:effectExtent l="0" t="0" r="3175" b="1905"/>
                  <wp:docPr id="43" name="图片 43" descr="171564752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15647522994"/>
                          <pic:cNvPicPr>
                            <a:picLocks noChangeAspect="1"/>
                          </pic:cNvPicPr>
                        </pic:nvPicPr>
                        <pic:blipFill>
                          <a:blip r:embed="rId75"/>
                          <a:stretch>
                            <a:fillRect/>
                          </a:stretch>
                        </pic:blipFill>
                        <pic:spPr>
                          <a:xfrm>
                            <a:off x="0" y="0"/>
                            <a:ext cx="225425" cy="556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净水器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净水效果：除泥沙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过滤流程：净化</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过滤材质：不锈钢</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规格：三管</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theme="minorEastAsia"/>
                <w:color w:val="auto"/>
                <w:szCs w:val="21"/>
                <w:highlight w:val="none"/>
              </w:rPr>
              <w:drawing>
                <wp:inline distT="0" distB="0" distL="114300" distR="114300">
                  <wp:extent cx="405130" cy="294640"/>
                  <wp:effectExtent l="0" t="0" r="1270" b="10160"/>
                  <wp:docPr id="44" name="图片 44" descr="277aa05560a2016416801590feeb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77aa05560a2016416801590feeba7a"/>
                          <pic:cNvPicPr>
                            <a:picLocks noChangeAspect="1"/>
                          </pic:cNvPicPr>
                        </pic:nvPicPr>
                        <pic:blipFill>
                          <a:blip r:embed="rId76"/>
                          <a:stretch>
                            <a:fillRect/>
                          </a:stretch>
                        </pic:blipFill>
                        <pic:spPr>
                          <a:xfrm>
                            <a:off x="0" y="0"/>
                            <a:ext cx="405130" cy="294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b/>
                <w:color w:val="auto"/>
                <w:szCs w:val="21"/>
                <w:highlight w:val="none"/>
              </w:rPr>
              <w:t>19-1、杭州市胜利东河幼儿园厨房设备采购需求（预算：1.371万元）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不锈钢风管（M</w:t>
            </w:r>
            <w:r>
              <w:rPr>
                <w:rFonts w:hint="eastAsia" w:ascii="宋体" w:hAnsi="宋体" w:cs="宋体"/>
                <w:color w:val="auto"/>
                <w:kern w:val="0"/>
                <w:szCs w:val="21"/>
                <w:highlight w:val="none"/>
                <w:vertAlign w:val="superscript"/>
              </w:rPr>
              <w:t>2</w:t>
            </w:r>
            <w:r>
              <w:rPr>
                <w:rFonts w:hint="eastAsia" w:ascii="宋体" w:hAnsi="宋体" w:cs="宋体"/>
                <w:color w:val="auto"/>
                <w:kern w:val="0"/>
                <w:szCs w:val="21"/>
                <w:highlight w:val="none"/>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49</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17500" cy="270510"/>
                  <wp:effectExtent l="0" t="0" r="0" b="889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17500" cy="270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风柜减震器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采用阻尼减震原理</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规格：与风柜匹配</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57175" cy="247650"/>
                  <wp:effectExtent l="0" t="0" r="9525" b="6350"/>
                  <wp:docPr id="56598"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8" name="图片 5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57175" cy="24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直饮水机</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1.材质：采用黑钛拉丝防指纹不锈钢，内胆采用304食品级不锈钢；</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2.进水方式：电脑控制步进式；</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3.时间控制：三开三关；</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4.额定容量：15L；</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5.出水温度：96-98℃，每小时出开水：30L/35L；一次性出开水：12L；配400加仑；温度可调，保证100%纯开水；</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6.直饮水带紫外杀菌，开水按键自带童锁；</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7.落地式设计,8.LED智能显示，可显示时间、温度、用水状态等，遥控控制，可设置时间功能与自动开关机，节能率≥50%；</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9.步进式原理，从底部进水，逐层进水，逐层加热，消除阴阳水和千沸水；</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10.防干烧，防火，防漏电，防乱设置，防溢水功能；</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11.可配置400G反渗透RO机，3.2G压力桶，消除水垢，保证水质。</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功率/电压：3kw/220V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规格：420*460*1480mm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114300" distR="114300">
                  <wp:extent cx="212725" cy="551815"/>
                  <wp:effectExtent l="0" t="0" r="3175" b="6985"/>
                  <wp:docPr id="47" name="图片 47" descr="169708693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97086931642"/>
                          <pic:cNvPicPr>
                            <a:picLocks noChangeAspect="1"/>
                          </pic:cNvPicPr>
                        </pic:nvPicPr>
                        <pic:blipFill>
                          <a:blip r:embed="rId79"/>
                          <a:stretch>
                            <a:fillRect/>
                          </a:stretch>
                        </pic:blipFill>
                        <pic:spPr>
                          <a:xfrm>
                            <a:off x="0" y="0"/>
                            <a:ext cx="212725" cy="551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19-2、杭州市胜利东河幼儿园厨房设备采购需求（预算：0.95万元）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燃气单门蒸饭箱（12盘）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3.内置12个蒸饭盘，饭盘应通过（食品安全国家标准食品接触用金属材料及制品）检测，提供具有CNAS或CMA标识的第三方检测机构的检测报告，另配饭铲、分饭器各1把；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规格：480*800*1750mm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282575" cy="421005"/>
                  <wp:effectExtent l="0" t="0" r="9525" b="10795"/>
                  <wp:docPr id="4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2575" cy="421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20、杭州市阳光幼儿园厨房设备采购需求（预算：5万元）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炊用一大一炒燃气灶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9.产品大锅单眼热负荷约45kW，能源利用热效率≥75%；运行噪音≤60dB，燃烧工况干烟气中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10.产品炒灶单眼热负荷约35kW，能源利用热效率≥55%；运行噪音≤60dB，燃烧工况干烟气中CO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11.提供同类产品的食品接触产品安全认证证书。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12.注：最终尺寸按实。</w:t>
            </w:r>
            <w:r>
              <w:rPr>
                <w:rFonts w:hint="eastAsia" w:ascii="宋体" w:hAnsi="宋体" w:cs="宋体"/>
                <w:color w:val="auto"/>
                <w:szCs w:val="21"/>
                <w:highlight w:val="none"/>
              </w:rPr>
              <w:t>（大锅圈直径620mm）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规格：1800*1000*800+450mm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69900" cy="324485"/>
                  <wp:effectExtent l="0" t="0" r="0" b="5715"/>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燃气单门蒸饭箱（12盘）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3.内置12个蒸饭盘，饭盘应通过（食品安全国家标准食品接触用金属材料及制品）检测，提供具有CNAS或CMA标识的第三方检测机构的检测报告，另配饭铲、分饭器各1把；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规格：480*800*1750mm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82575" cy="421005"/>
                  <wp:effectExtent l="0" t="0" r="9525" b="10795"/>
                  <wp:docPr id="5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2575" cy="421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双门保温柜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1.内外箱均为优质不锈钢板；</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2.使用高精度温度控制器；</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3.门体自动关闭结构；</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4.取餐一侧玻璃门展示；</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5.功率/电压：1.1-2.2KW/220V</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规格：1330*815*1960mm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04165" cy="409575"/>
                  <wp:effectExtent l="0" t="0" r="635" b="952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04165" cy="409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6.电压/功率：220V/2.2KW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处理风量：15000m³/h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52425" cy="413385"/>
                  <wp:effectExtent l="0" t="0" r="3175" b="5715"/>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52845" cy="41420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热水器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双变频节能零冷水即热式恒温仓</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容积：≥16L</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28600" cy="359410"/>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28600" cy="359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21-1、杭州市近江幼儿园厨房设备采购需求（预算：0.3万元）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双温冰箱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机型：冷藏冷冻冰箱</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制冷方式：直冷式</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能效等级：三级</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总容积：215L</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规格：524*582*1808mm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theme="minorEastAsia"/>
                <w:color w:val="auto"/>
                <w:szCs w:val="21"/>
                <w:highlight w:val="none"/>
              </w:rPr>
              <w:drawing>
                <wp:inline distT="0" distB="0" distL="114300" distR="114300">
                  <wp:extent cx="225425" cy="556895"/>
                  <wp:effectExtent l="0" t="0" r="3175" b="1905"/>
                  <wp:docPr id="55" name="图片 55" descr="171564752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15647522994"/>
                          <pic:cNvPicPr>
                            <a:picLocks noChangeAspect="1"/>
                          </pic:cNvPicPr>
                        </pic:nvPicPr>
                        <pic:blipFill>
                          <a:blip r:embed="rId75"/>
                          <a:stretch>
                            <a:fillRect/>
                          </a:stretch>
                        </pic:blipFill>
                        <pic:spPr>
                          <a:xfrm>
                            <a:off x="0" y="0"/>
                            <a:ext cx="225425" cy="556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21-2、杭州市近江幼儿园厨房设备采购需求（预算：1.3万元）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中餐燃气炒菜灶（双眼）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1.材质：面板采用优质304不锈钢板，厚1.2mm；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2.炉身侧板及炉背板1.0mm不锈钢板；</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3.炉通脚直径50mm无缝不锈钢管；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4.炉通脚内含支承炉身的钢柱以及可调炉身的高度的子弹脚；</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5.炉膛内采用耐火砖、耐火泥砌筑；</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7.一按式电子点火；实时熄火保护设计；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8.产品单眼热负荷约35kW，能源利用热效率≥55%；运行噪音≤60dB，燃烧工况干烟气中CO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规格：1800*1000*800+450mm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56565" cy="355600"/>
                  <wp:effectExtent l="0" t="0" r="635" b="0"/>
                  <wp:docPr id="14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6565" cy="355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21-3、杭州市近江幼儿园厨房设备采购需求（预算：1万元）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双门电蒸饭箱（24盘)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1.板材采用304不锈钢制造；上层（箱）外壳厚1.0mm，内桶厚0.8mm，水胆炉膛厚1.0mm；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2.门外板厚1.0mm，门内板厚0.8mm；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3.内置2*12蒸饭格（可放置2*12个蒸饭盘）；</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4.配304不锈钢电热管加热，配自动进水装置，缺水保护装置；</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5.配微电脑控制面板，数字显示定时定温；密封条采用食品级硅胶条；</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6.门采用不锈钢双把手；电热管连接线采用国标耐高温线；</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7.配泄压阀2套。</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8.随机配304不锈钢饭盘24个、饭铲1把。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kern w:val="0"/>
                <w:szCs w:val="21"/>
                <w:highlight w:val="none"/>
              </w:rPr>
              <w:t>提供同类产品的食品接触产品安全认证证书。</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10.电压/功率：380V/12KW*2门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规格：1200*750*1600mm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90525" cy="421640"/>
                  <wp:effectExtent l="0" t="0" r="3175" b="10160"/>
                  <wp:docPr id="5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4"/>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a:xfrm>
                            <a:off x="0" y="0"/>
                            <a:ext cx="390525" cy="4216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22-1、杭州市采荷幼儿园厨房设备采购需求（预算：1.289万元）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炊用一大一炒燃气灶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9.产品大锅单眼热负荷约45kW，能源利用热效率≥75%；运行噪音≤60dB，燃烧工况干烟气中CO含量≤0.002%，点火安全时间≤7秒，熄火安全时间≤1秒；（提供带CMA或CNAS标识的检测报告）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10.产品炒灶单眼热负荷约35kW，能源利用热效率≥55%；运行噪音≤60dB，燃烧工况干烟气中CO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11.提供同类产品的食品接触产品安全认证证书。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规格：2100*1200*800+450mm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406400" cy="276225"/>
                  <wp:effectExtent l="0" t="0" r="0" b="3175"/>
                  <wp:docPr id="114926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8" name="图片 98"/>
                          <pic:cNvPicPr>
                            <a:picLocks noChangeAspect="1"/>
                          </pic:cNvPicPr>
                        </pic:nvPicPr>
                        <pic:blipFill>
                          <a:blip r:embed="rId85"/>
                          <a:stretch>
                            <a:fillRect/>
                          </a:stretch>
                        </pic:blipFill>
                        <pic:spPr>
                          <a:xfrm>
                            <a:off x="0" y="0"/>
                            <a:ext cx="406400" cy="2762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22-2、杭州市采荷幼儿园厨房设备采购需求（预算：0.743万元）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炊用单眼大锅灶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规格：1100*1200*800mm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93700" cy="383540"/>
                  <wp:effectExtent l="0" t="0" r="0" b="10160"/>
                  <wp:docPr id="5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93700" cy="383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22-3、杭州市采荷幼儿园厨房设备采购需求（预算：0.743万元）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炊用单眼大锅灶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93700" cy="383540"/>
                  <wp:effectExtent l="0" t="0" r="0" b="10160"/>
                  <wp:docPr id="5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93700" cy="383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23、杭州市天杭实验学校厨房设备采购需求（预算：30.996万元）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8.所投低噪音离心通风机通过 JB/T 8690-2014 《通风机噪声限值》和 GB/T2888-2008 《风机和罗茨鼓风机噪声测量方法》检测，在风机运行≥48小时后噪声（比A 声级）db≤20，并评定合格（具有CMA或CNAS认证机构出具的检测报告）。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9.功率：380V/15KW</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风量：35000m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52425" cy="395605"/>
                  <wp:effectExtent l="0" t="0" r="3175" b="10795"/>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52425" cy="3956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6.电压/功率：220V/2.2KW                                                         </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处理风量：35000m³/h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11785" cy="365760"/>
                  <wp:effectExtent l="0" t="0" r="5715" b="2540"/>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11785" cy="365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规格：</w:t>
            </w:r>
            <w:r>
              <w:rPr>
                <w:rFonts w:hint="eastAsia" w:ascii="宋体" w:hAnsi="宋体" w:cs="宋体"/>
                <w:color w:val="auto"/>
                <w:szCs w:val="21"/>
                <w:highlight w:val="none"/>
              </w:rPr>
              <w:t>配电机功率15KW/380V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295275"/>
                  <wp:effectExtent l="0" t="0" r="0" b="9525"/>
                  <wp:docPr id="63" name="图片_95_SpCnt_3"/>
                  <wp:cNvGraphicFramePr/>
                  <a:graphic xmlns:a="http://schemas.openxmlformats.org/drawingml/2006/main">
                    <a:graphicData uri="http://schemas.openxmlformats.org/drawingml/2006/picture">
                      <pic:pic xmlns:pic="http://schemas.openxmlformats.org/drawingml/2006/picture">
                        <pic:nvPicPr>
                          <pic:cNvPr id="63"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667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2.手动调节风量，温感器，动作后无源信号输出；</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3.熔断器动作温度：150℃；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73685" cy="295275"/>
                  <wp:effectExtent l="0" t="0" r="5715" b="9525"/>
                  <wp:docPr id="288"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5013" cy="296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减震垫</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规格：承重300Kg</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anchor distT="0" distB="0" distL="114300" distR="114300" simplePos="0" relativeHeight="251661312" behindDoc="0" locked="0" layoutInCell="1" allowOverlap="1">
                  <wp:simplePos x="0" y="0"/>
                  <wp:positionH relativeFrom="page">
                    <wp:posOffset>227965</wp:posOffset>
                  </wp:positionH>
                  <wp:positionV relativeFrom="page">
                    <wp:posOffset>38100</wp:posOffset>
                  </wp:positionV>
                  <wp:extent cx="334010" cy="228600"/>
                  <wp:effectExtent l="0" t="0" r="8890" b="0"/>
                  <wp:wrapNone/>
                  <wp:docPr id="289"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5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34010" cy="228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风机减震支架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22776" name="图片 22776"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6" name="图片 22776"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消声器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采用镀锌板板制造，厚度为1.0mm；                                                             </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42900" cy="285750"/>
                  <wp:effectExtent l="0" t="0" r="0" b="6350"/>
                  <wp:docPr id="2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5"/>
                          <pic:cNvPicPr>
                            <a:picLocks noChangeAspect="1"/>
                          </pic:cNvPicPr>
                        </pic:nvPicPr>
                        <pic:blipFill>
                          <a:blip r:embed="rId88"/>
                          <a:stretch>
                            <a:fillRect/>
                          </a:stretch>
                        </pic:blipFill>
                        <pic:spPr>
                          <a:xfrm>
                            <a:off x="0" y="0"/>
                            <a:ext cx="342900" cy="285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风量调节阀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采用优质不锈板制造，厚度为1.0mm；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规格：与风管配套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color w:val="auto"/>
                <w:highlight w:val="none"/>
              </w:rPr>
              <w:drawing>
                <wp:inline distT="0" distB="0" distL="0" distR="0">
                  <wp:extent cx="339725" cy="202565"/>
                  <wp:effectExtent l="0" t="0" r="3175" b="635"/>
                  <wp:docPr id="22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2"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39725" cy="202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接油盘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1.采用A3角铁架，优质不锈钢，板厚0.8-1.0mm；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2.配置排油球阀开关；</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规格：与风机、净化器配套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93370" cy="254635"/>
                  <wp:effectExtent l="0" t="0" r="11430" b="12065"/>
                  <wp:docPr id="1149274" name="图片 11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4" name="图片 11492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9337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8.所投低噪音离心通风机通过 JB/T 8690-2014 《通风机噪声限值》和 GB/T2888-2008 《风机和罗茨鼓风机噪声测量方法》检测，在风机运行≥48小时后噪声（比A声级）db≤20，并评定合格（具有CMA或CNAS认证机构出具的检测报告）。                                                                                                                                                                    9.功率：380V/22KW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风量：55000m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56235" cy="400050"/>
                  <wp:effectExtent l="0" t="0" r="12065" b="6350"/>
                  <wp:docPr id="2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56235" cy="4000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规格：配电机功率22KW/380V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295275"/>
                  <wp:effectExtent l="0" t="0" r="0" b="9525"/>
                  <wp:docPr id="292" name="图片_95_SpCnt_3"/>
                  <wp:cNvGraphicFramePr/>
                  <a:graphic xmlns:a="http://schemas.openxmlformats.org/drawingml/2006/main">
                    <a:graphicData uri="http://schemas.openxmlformats.org/drawingml/2006/picture">
                      <pic:pic xmlns:pic="http://schemas.openxmlformats.org/drawingml/2006/picture">
                        <pic:nvPicPr>
                          <pic:cNvPr id="292"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667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2.手动调节风量，温感器，动作后无源信号输出；</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3.熔断器动作温度：150℃。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23850" cy="361950"/>
                  <wp:effectExtent l="0" t="0" r="6350" b="6350"/>
                  <wp:docPr id="2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
                          <pic:cNvPicPr>
                            <a:picLocks noChangeAspect="1"/>
                          </pic:cNvPicPr>
                        </pic:nvPicPr>
                        <pic:blipFill>
                          <a:blip r:embed="rId91"/>
                          <a:stretch>
                            <a:fillRect/>
                          </a:stretch>
                        </pic:blipFill>
                        <pic:spPr>
                          <a:xfrm>
                            <a:off x="0" y="0"/>
                            <a:ext cx="323850" cy="361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减震垫</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规格：承重300Kg</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71475" cy="274320"/>
                  <wp:effectExtent l="0" t="0" r="9525" b="5080"/>
                  <wp:docPr id="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
                          <pic:cNvPicPr>
                            <a:picLocks noChangeAspect="1"/>
                          </pic:cNvPicPr>
                        </pic:nvPicPr>
                        <pic:blipFill>
                          <a:blip r:embed="rId92"/>
                          <a:stretch>
                            <a:fillRect/>
                          </a:stretch>
                        </pic:blipFill>
                        <pic:spPr>
                          <a:xfrm>
                            <a:off x="0" y="0"/>
                            <a:ext cx="371475" cy="274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风机支架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174" name="图片 174"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消声器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采用镀锌板板制造，厚度为1.0mm；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52425" cy="276225"/>
                  <wp:effectExtent l="0" t="0" r="3175" b="3175"/>
                  <wp:docPr id="2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
                          <pic:cNvPicPr>
                            <a:picLocks noChangeAspect="1"/>
                          </pic:cNvPicPr>
                        </pic:nvPicPr>
                        <pic:blipFill>
                          <a:blip r:embed="rId93"/>
                          <a:stretch>
                            <a:fillRect/>
                          </a:stretch>
                        </pic:blipFill>
                        <pic:spPr>
                          <a:xfrm>
                            <a:off x="0" y="0"/>
                            <a:ext cx="35242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风量调节阀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采用优质不锈板制造，厚度为1.0mm；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w:t>
            </w:r>
            <w:r>
              <w:rPr>
                <w:rFonts w:hint="eastAsia" w:ascii="宋体" w:hAnsi="宋体" w:cs="宋体"/>
                <w:color w:val="auto"/>
                <w:szCs w:val="21"/>
                <w:highlight w:val="none"/>
              </w:rPr>
              <w:t>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color w:val="auto"/>
                <w:highlight w:val="none"/>
              </w:rPr>
              <w:drawing>
                <wp:inline distT="0" distB="0" distL="0" distR="0">
                  <wp:extent cx="339725" cy="202565"/>
                  <wp:effectExtent l="0" t="0" r="3175" b="635"/>
                  <wp:docPr id="227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39725" cy="202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接油盘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1.采用A3角铁架，优质不锈钢，板厚0.8~1.0mm；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2.配置排油球阀开关；</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规格：与风机、净化器配套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93370" cy="254635"/>
                  <wp:effectExtent l="0" t="0" r="11430" b="12065"/>
                  <wp:docPr id="1149276" name="图片 114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6" name="图片 11492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9337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燃气设备</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36550" cy="363220"/>
                  <wp:effectExtent l="0" t="0" r="6350" b="5080"/>
                  <wp:docPr id="29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14"/>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36550" cy="36322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双眼燃气蒸台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规格：1800*1000*800mm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56565" cy="359410"/>
                  <wp:effectExtent l="0" t="0" r="635" b="8890"/>
                  <wp:docPr id="2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3"/>
                          <pic:cNvPicPr>
                            <a:picLocks noChangeAspect="1"/>
                          </pic:cNvPicPr>
                        </pic:nvPicPr>
                        <pic:blipFill>
                          <a:blip r:embed="rId95"/>
                          <a:stretch>
                            <a:fillRect/>
                          </a:stretch>
                        </pic:blipFill>
                        <pic:spPr>
                          <a:xfrm>
                            <a:off x="0" y="0"/>
                            <a:ext cx="456565" cy="359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中餐燃气炒菜灶（双眼）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1.材质：面板采用优质304不锈钢板，厚1.2mm；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2.炉身侧板及炉背板1.0mm不锈钢板；</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3.炉通脚直径50mm无缝不锈钢管；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4.炉通脚内含支承炉身的钢柱以及可调炉身的高度的子弹脚；</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5.炉膛内采用耐火砖、耐火泥砌筑；</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7.一按式电子点火；实时熄火保护设计；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8.产品单眼热负荷约35kW，能源利用热效率≥55%；运行噪音≤60dB，燃烧工况干烟气中CO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规格：1800*1000*800+450mm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83540" cy="299085"/>
                  <wp:effectExtent l="0" t="0" r="10160" b="5715"/>
                  <wp:docPr id="29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42"/>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3540" cy="299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15290" cy="287020"/>
                  <wp:effectExtent l="0" t="0" r="3810" b="5080"/>
                  <wp:docPr id="2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7"/>
                          <pic:cNvPicPr>
                            <a:picLocks noChangeAspect="1" noChangeArrowheads="1"/>
                          </pic:cNvPicPr>
                        </pic:nvPicPr>
                        <pic:blipFill>
                          <a:blip r:embed="rId26"/>
                          <a:srcRect/>
                          <a:stretch>
                            <a:fillRect/>
                          </a:stretch>
                        </pic:blipFill>
                        <pic:spPr>
                          <a:xfrm flipH="1">
                            <a:off x="0" y="0"/>
                            <a:ext cx="415290" cy="2870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厨房专用灭火系统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1.灭火系统应对厨房内的明火区域有扑灭及抑制能力，保护炉具；</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2.灭火系统亦应有保护炉具上的通风系统连油烟罩及隔油网能力,该设备启动方式有自动启动、手动启动和应急启动功能；</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3.该系统应能够对第一失火灾区作出紧急反应，以防止火势扩散，造成更大灾害；</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4.厨房灭火设备为整机一体化设备，声光报警系统在主控制箱内；</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5.感温探测机构结构是由2块紫铜锡焊连接，油锅或油垢引发火情后，高温熔化锡焊紫铜触发报警启动灭火装置；</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6.自动喷射药剂扑灭明火，在设备启动同时，声光报警装置开启、关闭燃气切断阀（可与燃气报警系统进行联动或联系厨房灭火系统 厂家提的机械式燃气切断阀）切断厨房灶炉用电，并关闭新风风机、自动开启水阀功能并传输信号至消防中控室。</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规格：双泵</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34010" cy="275590"/>
                  <wp:effectExtent l="0" t="0" r="8890"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34010" cy="275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厨房专用灭火系统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1.灭火系统应对厨房内的明火区域有扑灭及抑制能力，保护炉具；</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2.灭火系统亦应有保护炉具上的通风系统连油烟罩及隔油网能力,该设备启动方式有自动启动、手动启动和应急启动功能；</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3.该系统应能够对第一失火灾区作出紧急反应，以防止火势扩散，造成更大灾害；</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4.厨房灭火设备为整机一体化设备，声光报警系统在主控制箱内；</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5.感温探测机构结构是由2块紫铜锡焊连接，油锅或油垢引发火情后，高温熔化锡焊紫铜触发报警启动灭火装置；</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6.自动喷射药剂扑灭明火，在设备启动同时，声光报警装置开启、关闭燃气切断阀（可与燃气报警系统进行联动或联系厨房灭火系统 厂家提的机械式燃气切断阀）切断厨房灶炉用电，并关闭新风风机、自动开启水阀功能并传输信号至消防中控室。</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规格：单泵</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49885" cy="288925"/>
                  <wp:effectExtent l="0" t="0" r="5715" b="317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49885" cy="288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排油烟罩（烹饪间）(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规格：8450*1400*350mm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49580" cy="227965"/>
                  <wp:effectExtent l="0" t="0" r="7620" b="635"/>
                  <wp:docPr id="30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4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49580" cy="227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排油烟罩（烹饪间）(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规格：5200*1400*350mm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59105" cy="233045"/>
                  <wp:effectExtent l="0" t="0" r="10795" b="8255"/>
                  <wp:docPr id="30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59105" cy="233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不锈集气罩</w:t>
            </w:r>
            <w:r>
              <w:rPr>
                <w:rFonts w:hint="eastAsia" w:ascii="宋体" w:hAnsi="宋体" w:cs="宋体"/>
                <w:color w:val="auto"/>
                <w:szCs w:val="21"/>
                <w:highlight w:val="none"/>
              </w:rPr>
              <w:t>（面点间）(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规格：5900*1400*350mm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71170" cy="239395"/>
                  <wp:effectExtent l="0" t="0" r="11430" b="1905"/>
                  <wp:docPr id="30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471170" cy="2393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不锈集气罩</w:t>
            </w:r>
            <w:r>
              <w:rPr>
                <w:rFonts w:hint="eastAsia" w:ascii="宋体" w:hAnsi="宋体" w:cs="宋体"/>
                <w:color w:val="auto"/>
                <w:szCs w:val="21"/>
                <w:highlight w:val="none"/>
              </w:rPr>
              <w:t>（蒸煮间）(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规格：3600*1400*350mm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78155" cy="242570"/>
                  <wp:effectExtent l="0" t="0" r="4445" b="11430"/>
                  <wp:docPr id="30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478155" cy="242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不锈集气罩</w:t>
            </w:r>
            <w:r>
              <w:rPr>
                <w:rFonts w:hint="eastAsia" w:ascii="宋体" w:hAnsi="宋体" w:cs="宋体"/>
                <w:color w:val="auto"/>
                <w:szCs w:val="21"/>
                <w:highlight w:val="none"/>
              </w:rPr>
              <w:t>（蒸煮间）(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规格：3300*1400*350mm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68630" cy="238125"/>
                  <wp:effectExtent l="0" t="0" r="1270" b="3175"/>
                  <wp:docPr id="30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46863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不锈集气罩</w:t>
            </w:r>
            <w:r>
              <w:rPr>
                <w:rFonts w:hint="eastAsia" w:ascii="宋体" w:hAnsi="宋体" w:cs="宋体"/>
                <w:color w:val="auto"/>
                <w:szCs w:val="21"/>
                <w:highlight w:val="none"/>
              </w:rPr>
              <w:t>（蒸煮间）(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规格：6900*1400*350mm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78155" cy="242570"/>
                  <wp:effectExtent l="0" t="0" r="4445" b="11430"/>
                  <wp:docPr id="30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478155" cy="242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不锈集气罩</w:t>
            </w:r>
            <w:r>
              <w:rPr>
                <w:rFonts w:hint="eastAsia" w:ascii="宋体" w:hAnsi="宋体" w:cs="宋体"/>
                <w:color w:val="auto"/>
                <w:szCs w:val="21"/>
                <w:highlight w:val="none"/>
              </w:rPr>
              <w:t>（售餐间）(</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规格：3600*1000*500mm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59105" cy="233045"/>
                  <wp:effectExtent l="0" t="0" r="10795" b="8255"/>
                  <wp:docPr id="3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59105" cy="233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24、杭州市东润外国语学校厨房设备采购需求（预算：4.74万元）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40995" cy="368300"/>
                  <wp:effectExtent l="0" t="0" r="1905" b="0"/>
                  <wp:docPr id="31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14"/>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40995" cy="3683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25、杭州市东城外国语实验学校厨房设备采购需求（预算：4万元）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商用四门冰箱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7.温度范围：冷藏0℃～10℃/冷冻-6℃～-15℃；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01625" cy="457200"/>
                  <wp:effectExtent l="0" t="0" r="3175"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01625"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33375" cy="428625"/>
                  <wp:effectExtent l="0" t="0" r="9525" b="3175"/>
                  <wp:docPr id="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33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三层烤箱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1.箱体采用优质不锈钢板材制作，厚1.2mm；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2.内部配件：最优质电子元件/发热丝；</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3.配用上等密封条，保温棉；</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4.三层六盘，配智能电脑控制面板。</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规格：约1240*860*1515mm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71475" cy="413385"/>
                  <wp:effectExtent l="0" t="0" r="9525" b="5715"/>
                  <wp:docPr id="313" name="图片 5" descr="164785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 descr="164785358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71475" cy="413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三层送餐车</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1.采用304不锈钢制造，面板厚度1.0mm；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2.把手弯管及立柱为整管折弯，采用φ25mm厚度1.0mm制作；</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3.配4个4"优质橡胶脚轮，其中两个带刹车掣；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注：最终尺寸按实。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规格：850*450*900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61950" cy="323850"/>
                  <wp:effectExtent l="0" t="0" r="6350" b="6350"/>
                  <wp:docPr id="314" name="图片 187" descr="1643209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87" descr="164320982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61950"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1.采用304不锈钢板制作，面板、层板厚1.0mm；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18465" cy="278765"/>
                  <wp:effectExtent l="0" t="0" r="635" b="635"/>
                  <wp:docPr id="3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1.采用304不锈钢板制作，面板、层板、门板、背板厚1.0mm；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2.下配不锈钢可调重力脚，厚1.0mm；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28625" cy="299720"/>
                  <wp:effectExtent l="0" t="0" r="3175" b="508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28625" cy="299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定制调料台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1.采用304不锈钢板制作，面板、背板厚1.0mm；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规格：500*1200*800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292100" cy="300355"/>
                  <wp:effectExtent l="0" t="0" r="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292100" cy="300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 xml:space="preserve"> 26、杭州市钱江外国语实验学校（小学部）厨房设备采购需求（预算：49万元）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单星水池连平台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05765" cy="285115"/>
                  <wp:effectExtent l="0" t="0" r="635" b="6985"/>
                  <wp:docPr id="317" name="图片 158" descr="双星沥水洗涮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58" descr="双星沥水洗涮池.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405765" cy="285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洁具间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拖把池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规格：600*600*600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37820" cy="312420"/>
                  <wp:effectExtent l="0" t="0" r="5080" b="508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37820" cy="312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副食库</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1.采用304不锈钢板制造，骨架1.0mm；平板1.0mm；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主食库</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大米架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1.立柱：38*38*1.0mm采用优质不锈钢管；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2.格栅管：38*25*1.0mm采用优质不锈钢管；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3.横挡管：38*25*1.0mm采用优质不锈钢管；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规格：1200*500*300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89890" cy="293370"/>
                  <wp:effectExtent l="0" t="0" r="381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9" r:link="rId29">
                            <a:extLst>
                              <a:ext uri="{28A0092B-C50C-407E-A947-70E740481C1C}">
                                <a14:useLocalDpi xmlns:a14="http://schemas.microsoft.com/office/drawing/2010/main" val="0"/>
                              </a:ext>
                            </a:extLst>
                          </a:blip>
                          <a:stretch>
                            <a:fillRect/>
                          </a:stretch>
                        </pic:blipFill>
                        <pic:spPr>
                          <a:xfrm>
                            <a:off x="0" y="0"/>
                            <a:ext cx="389890" cy="2933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粗加工</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1.采用304不锈钢板制作，面板、层板厚1.0mm；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18465" cy="278765"/>
                  <wp:effectExtent l="0" t="0" r="635" b="635"/>
                  <wp:docPr id="2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427355" cy="318770"/>
                  <wp:effectExtent l="0" t="0" r="4445" b="1143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59410" cy="323850"/>
                  <wp:effectExtent l="0" t="0" r="889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323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单星水池连平台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98145" cy="280035"/>
                  <wp:effectExtent l="0" t="0" r="8255" b="12065"/>
                  <wp:docPr id="58413" name="图片 158" descr="双星沥水洗涮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3" name="图片 158" descr="双星沥水洗涮池.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398145" cy="280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1.采用304不锈钢板制造，骨架1.0mm；平板1.0mm；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p>
          <w:p>
            <w:pPr>
              <w:widowControl/>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规格：约580*610*1450mm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50190" cy="466725"/>
                  <wp:effectExtent l="0" t="0" r="3810" b="3175"/>
                  <wp:docPr id="6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50190" cy="466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切配间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商用四门冷藏冰箱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73050" cy="414020"/>
                  <wp:effectExtent l="0" t="0" r="635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273050" cy="414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商用四门冷冻冰箱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7.温度范围：冷冻-6℃～-15℃；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9875" cy="40957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69875" cy="409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427355" cy="318770"/>
                  <wp:effectExtent l="0" t="0" r="4445"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单向调理台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2.下配不锈钢可调重力脚，厚1.0mm；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428625" cy="299720"/>
                  <wp:effectExtent l="0" t="0" r="3175"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28625" cy="299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烹饪间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规格：500*1200*800+450mm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29565" cy="339090"/>
                  <wp:effectExtent l="0" t="0" r="63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329565" cy="3390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1.材质：面板采用优质304不锈钢板，厚1.2mm；</w:t>
            </w:r>
            <w:r>
              <w:rPr>
                <w:rFonts w:hint="eastAsia" w:ascii="宋体" w:hAnsi="宋体" w:cs="宋体"/>
                <w:color w:val="auto"/>
                <w:szCs w:val="21"/>
                <w:highlight w:val="none"/>
              </w:rPr>
              <w:br w:type="textWrapping"/>
            </w:r>
            <w:r>
              <w:rPr>
                <w:rFonts w:hint="eastAsia" w:ascii="宋体" w:hAnsi="宋体" w:cs="宋体"/>
                <w:color w:val="auto"/>
                <w:szCs w:val="21"/>
                <w:highlight w:val="none"/>
              </w:rPr>
              <w:t>2.炉身侧板及炉背板1.0mm不锈钢板；</w:t>
            </w:r>
            <w:r>
              <w:rPr>
                <w:rFonts w:hint="eastAsia" w:ascii="宋体" w:hAnsi="宋体" w:cs="宋体"/>
                <w:color w:val="auto"/>
                <w:szCs w:val="21"/>
                <w:highlight w:val="none"/>
              </w:rPr>
              <w:br w:type="textWrapping"/>
            </w:r>
            <w:r>
              <w:rPr>
                <w:rFonts w:hint="eastAsia" w:ascii="宋体" w:hAnsi="宋体" w:cs="宋体"/>
                <w:color w:val="auto"/>
                <w:szCs w:val="21"/>
                <w:highlight w:val="none"/>
              </w:rPr>
              <w:t>3.炉通脚直径50mm无缝不锈钢管；</w:t>
            </w:r>
            <w:r>
              <w:rPr>
                <w:rFonts w:hint="eastAsia" w:ascii="宋体" w:hAnsi="宋体" w:cs="宋体"/>
                <w:color w:val="auto"/>
                <w:szCs w:val="21"/>
                <w:highlight w:val="none"/>
              </w:rPr>
              <w:br w:type="textWrapping"/>
            </w:r>
            <w:r>
              <w:rPr>
                <w:rFonts w:hint="eastAsia" w:ascii="宋体" w:hAnsi="宋体" w:cs="宋体"/>
                <w:color w:val="auto"/>
                <w:szCs w:val="21"/>
                <w:highlight w:val="none"/>
              </w:rPr>
              <w:t>4.炉通脚内含支承炉身的钢柱以及可调炉身的高度的子弹脚；</w:t>
            </w:r>
            <w:r>
              <w:rPr>
                <w:rFonts w:hint="eastAsia" w:ascii="宋体" w:hAnsi="宋体" w:cs="宋体"/>
                <w:color w:val="auto"/>
                <w:szCs w:val="21"/>
                <w:highlight w:val="none"/>
              </w:rPr>
              <w:br w:type="textWrapping"/>
            </w:r>
            <w:r>
              <w:rPr>
                <w:rFonts w:hint="eastAsia" w:ascii="宋体" w:hAnsi="宋体" w:cs="宋体"/>
                <w:color w:val="auto"/>
                <w:szCs w:val="21"/>
                <w:highlight w:val="none"/>
              </w:rPr>
              <w:t>5.炉膛内采用耐火砖、耐火泥砌筑；</w:t>
            </w:r>
            <w:r>
              <w:rPr>
                <w:rFonts w:hint="eastAsia" w:ascii="宋体" w:hAnsi="宋体" w:cs="宋体"/>
                <w:color w:val="auto"/>
                <w:szCs w:val="21"/>
                <w:highlight w:val="none"/>
              </w:rPr>
              <w:br w:type="textWrapping"/>
            </w:r>
            <w:r>
              <w:rPr>
                <w:rFonts w:hint="eastAsia" w:ascii="宋体" w:hAnsi="宋体" w:cs="宋体"/>
                <w:color w:val="auto"/>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7.排烟采用A3板排烟道口和排烟口；</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8.一按式电子点火；实时熄火保护设计；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10.提供同类产品的食品接触产品安全认证证书。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12750" cy="285115"/>
                  <wp:effectExtent l="0" t="0" r="6350" b="6985"/>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noChangeArrowheads="1"/>
                          </pic:cNvPicPr>
                        </pic:nvPicPr>
                        <pic:blipFill>
                          <a:blip r:embed="rId26"/>
                          <a:srcRect/>
                          <a:stretch>
                            <a:fillRect/>
                          </a:stretch>
                        </pic:blipFill>
                        <pic:spPr>
                          <a:xfrm flipH="1">
                            <a:off x="0" y="0"/>
                            <a:ext cx="412750" cy="2851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中餐广式燃气炒菜灶（两眼）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1.材质：面板采用优质304不锈钢板，厚1.2mm；</w:t>
            </w:r>
            <w:r>
              <w:rPr>
                <w:rFonts w:hint="eastAsia" w:ascii="宋体" w:hAnsi="宋体" w:cs="宋体"/>
                <w:color w:val="auto"/>
                <w:szCs w:val="21"/>
                <w:highlight w:val="none"/>
              </w:rPr>
              <w:br w:type="textWrapping"/>
            </w:r>
            <w:r>
              <w:rPr>
                <w:rFonts w:hint="eastAsia" w:ascii="宋体" w:hAnsi="宋体" w:cs="宋体"/>
                <w:color w:val="auto"/>
                <w:szCs w:val="21"/>
                <w:highlight w:val="none"/>
              </w:rPr>
              <w:t>2.炉身侧板及炉背板1.0mm不锈钢板；</w:t>
            </w:r>
            <w:r>
              <w:rPr>
                <w:rFonts w:hint="eastAsia" w:ascii="宋体" w:hAnsi="宋体" w:cs="宋体"/>
                <w:color w:val="auto"/>
                <w:szCs w:val="21"/>
                <w:highlight w:val="none"/>
              </w:rPr>
              <w:br w:type="textWrapping"/>
            </w:r>
            <w:r>
              <w:rPr>
                <w:rFonts w:hint="eastAsia" w:ascii="宋体" w:hAnsi="宋体" w:cs="宋体"/>
                <w:color w:val="auto"/>
                <w:szCs w:val="21"/>
                <w:highlight w:val="none"/>
              </w:rPr>
              <w:t>3.炉通脚直径50mm无缝不锈钢管；</w:t>
            </w:r>
            <w:r>
              <w:rPr>
                <w:rFonts w:hint="eastAsia" w:ascii="宋体" w:hAnsi="宋体" w:cs="宋体"/>
                <w:color w:val="auto"/>
                <w:szCs w:val="21"/>
                <w:highlight w:val="none"/>
              </w:rPr>
              <w:br w:type="textWrapping"/>
            </w:r>
            <w:r>
              <w:rPr>
                <w:rFonts w:hint="eastAsia" w:ascii="宋体" w:hAnsi="宋体" w:cs="宋体"/>
                <w:color w:val="auto"/>
                <w:szCs w:val="21"/>
                <w:highlight w:val="none"/>
              </w:rPr>
              <w:t>4.炉通脚内含支承炉身的钢柱以及可调炉身的高度的子弹脚；</w:t>
            </w:r>
            <w:r>
              <w:rPr>
                <w:rFonts w:hint="eastAsia" w:ascii="宋体" w:hAnsi="宋体" w:cs="宋体"/>
                <w:color w:val="auto"/>
                <w:szCs w:val="21"/>
                <w:highlight w:val="none"/>
              </w:rPr>
              <w:br w:type="textWrapping"/>
            </w:r>
            <w:r>
              <w:rPr>
                <w:rFonts w:hint="eastAsia" w:ascii="宋体" w:hAnsi="宋体" w:cs="宋体"/>
                <w:color w:val="auto"/>
                <w:szCs w:val="21"/>
                <w:highlight w:val="none"/>
              </w:rPr>
              <w:t>5.炉膛内采用耐火砖、耐火泥砌筑；</w:t>
            </w:r>
            <w:r>
              <w:rPr>
                <w:rFonts w:hint="eastAsia" w:ascii="宋体" w:hAnsi="宋体" w:cs="宋体"/>
                <w:color w:val="auto"/>
                <w:szCs w:val="21"/>
                <w:highlight w:val="none"/>
              </w:rPr>
              <w:br w:type="textWrapping"/>
            </w:r>
            <w:r>
              <w:rPr>
                <w:rFonts w:hint="eastAsia" w:ascii="宋体" w:hAnsi="宋体" w:cs="宋体"/>
                <w:color w:val="auto"/>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7.排烟采用A3板排烟道口和排烟口；</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8.一按式电子点火；实时熄火保护设计；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9.每眼热负荷约35KW，能源利用热效率≥55%；运行噪音≤60dB，燃烧工况干烟气中CO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规格：2200*1200*800+450mm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66725" cy="335915"/>
                  <wp:effectExtent l="0" t="0" r="3175" b="698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115"/>
                          <a:stretch>
                            <a:fillRect/>
                          </a:stretch>
                        </pic:blipFill>
                        <pic:spPr>
                          <a:xfrm>
                            <a:off x="0" y="0"/>
                            <a:ext cx="466725" cy="335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双通调理台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1.采用304不锈钢板制作，面板、门板、层板、底板厚1.0mm；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2.下配不锈钢可调重力脚，厚1.0mm；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3.提供同类产品的抗拉强度、耐温度性能、耐腐蚀性能检测报告；</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401320" cy="280670"/>
                  <wp:effectExtent l="0" t="0" r="5080" b="1143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01320" cy="2806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排油烟罩(</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规格：8200*1400*500mm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11480" cy="208915"/>
                  <wp:effectExtent l="0" t="0" r="7620" b="6985"/>
                  <wp:docPr id="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11480" cy="208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蒸煮间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46075" cy="374015"/>
                  <wp:effectExtent l="0" t="0" r="9525" b="6985"/>
                  <wp:docPr id="8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4"/>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46075" cy="3740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1.采用304不锈钢板制作，面板、门板、层板、底板厚1.0mm；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3.提供同类产品的抗拉强度、耐温度性能、耐腐蚀性能检测报告；</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18465" cy="278765"/>
                  <wp:effectExtent l="0" t="0" r="635" b="635"/>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集气罩(</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规格：9150*1400*500mm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21005" cy="213995"/>
                  <wp:effectExtent l="0" t="0" r="10795" b="1905"/>
                  <wp:docPr id="8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421005" cy="213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1.采用304不锈钢板制作，面板、斗厚1.0mm；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2.下配可调子弹脚厚1.0mm，配落水器及栏渣片；</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4.提供同类产品的食品接触产品安全认证证书；</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预进、备餐间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单星洗手水池连平台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1.采用304不锈钢板制作，面板、斗厚1.0mm；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2.下配可调子弹脚厚1.0mm，配落水器及栏渣片；</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4.提供同类产品的食品接触产品安全认证证书；</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规格：900*500*800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05765" cy="285115"/>
                  <wp:effectExtent l="0" t="0" r="635" b="6985"/>
                  <wp:docPr id="84" name="图片 158" descr="双星沥水洗涮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8" descr="双星沥水洗涮池.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405765" cy="285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单向调理台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1.采用304不锈钢板制作，面板、门板、层板、底板厚1.0mm；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2.下配不锈钢可调重力脚，厚1.0mm；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3.提供同类产品的抗拉强度、耐温度性能、耐腐蚀性能检测报告；</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428625" cy="299720"/>
                  <wp:effectExtent l="0" t="0" r="3175"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28625" cy="299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89890" cy="334010"/>
                  <wp:effectExtent l="0" t="0" r="381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389890" cy="3340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高身玻璃门冰箱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规格：600*750*1960mm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424815"/>
                  <wp:effectExtent l="0" t="0" r="0" b="6985"/>
                  <wp:docPr id="22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6" name="图片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66700" cy="424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双门四格平台智能留样柜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1.内外箱均为优质不锈钢板，黑色钢化玻璃台面，台面分为整备区域和称重区域；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3.配备数显电子温控（数显数控），门框内部防凝露装置，防止门框结露、滴水；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4.温度范围：冷藏2℃～12℃；</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5.功率/电压：≤400W/220V；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规格：900*670*900+400mm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47980" cy="383540"/>
                  <wp:effectExtent l="0" t="0" r="7620" b="1016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47980" cy="383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售餐间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单向调理台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2.下配不锈钢可调重力脚，厚1.0mm；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60045" cy="252095"/>
                  <wp:effectExtent l="0" t="0" r="825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360045" cy="252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79730" cy="318770"/>
                  <wp:effectExtent l="0" t="0" r="1270" b="1143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379730"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五格保温台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r>
              <w:rPr>
                <w:rFonts w:hint="eastAsia" w:ascii="宋体" w:hAnsi="宋体" w:cs="宋体"/>
                <w:color w:val="auto"/>
                <w:kern w:val="0"/>
                <w:szCs w:val="21"/>
                <w:highlight w:val="none"/>
                <w:lang w:bidi="ar"/>
              </w:rPr>
              <w:t>储水斗底部采用电加热保温，面板控制</w:t>
            </w:r>
            <w:r>
              <w:rPr>
                <w:rFonts w:hint="eastAsia" w:ascii="宋体" w:hAnsi="宋体" w:cs="宋体"/>
                <w:color w:val="auto"/>
                <w:szCs w:val="21"/>
                <w:highlight w:val="none"/>
              </w:rPr>
              <w:t>；</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3.提供同类产品的抗拉强度、耐温度性能、耐腐蚀性能、电器安全性能检测报告；</w:t>
            </w:r>
          </w:p>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szCs w:val="21"/>
                <w:highlight w:val="none"/>
              </w:rPr>
              <w:t>4.提供同类产品的食品接触产品安全认证证书；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lang w:bidi="ar"/>
              </w:rPr>
              <w:t>5.配1/1份素盆（10CM深）5套（含盖）。</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规格：1800*700*800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495300" cy="361315"/>
                  <wp:effectExtent l="0" t="0" r="0"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495300" cy="361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洗消间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残食台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2.加强筋采用优质不锈钢加强筋厚1.0mm；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3.垃圾桶车脚轮：4-5寸灰色聚氨酯静音万向脚轮带刹车；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4.下配垃圾桶1个。</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44170" cy="364490"/>
                  <wp:effectExtent l="0" t="0" r="11430" b="3810"/>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122"/>
                          <a:stretch>
                            <a:fillRect/>
                          </a:stretch>
                        </pic:blipFill>
                        <pic:spPr>
                          <a:xfrm>
                            <a:off x="0" y="0"/>
                            <a:ext cx="344170" cy="3644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418465" cy="278765"/>
                  <wp:effectExtent l="0" t="0" r="635" b="635"/>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双孔残食台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2.加强筋采用优质不锈钢加强筋厚1.0mm；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3.垃圾桶车脚轮：4-5寸灰色聚氨酯静音万向脚轮带刹车；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4.下配垃圾桶1个；</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44170" cy="364490"/>
                  <wp:effectExtent l="0" t="0" r="11430" b="3810"/>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122"/>
                          <a:stretch>
                            <a:fillRect/>
                          </a:stretch>
                        </pic:blipFill>
                        <pic:spPr>
                          <a:xfrm>
                            <a:off x="0" y="0"/>
                            <a:ext cx="344170" cy="3644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单星洗手水池连平台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规格：1600*500*800+130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405765" cy="285115"/>
                  <wp:effectExtent l="0" t="0" r="635" b="6985"/>
                  <wp:docPr id="96" name="图片 158" descr="双星沥水洗涮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8" descr="双星沥水洗涮池.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405765" cy="285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碗碟库</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95910" cy="382905"/>
                  <wp:effectExtent l="0" t="0" r="8890" b="1079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95910" cy="382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高身保洁柜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1.采用304不锈钢板制造，侧板、门板、背板、底板厚1.0mm；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2.下配不锈钢可调重力脚，厚1.0mm；</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3.提供同类产品的抗拉强度、耐温度性能、耐腐蚀性能检测报告；</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46075" cy="395605"/>
                  <wp:effectExtent l="0" t="0" r="9525" b="10795"/>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124" r:link="rId29">
                            <a:extLst>
                              <a:ext uri="{28A0092B-C50C-407E-A947-70E740481C1C}">
                                <a14:useLocalDpi xmlns:a14="http://schemas.microsoft.com/office/drawing/2010/main" val="0"/>
                              </a:ext>
                            </a:extLst>
                          </a:blip>
                          <a:stretch>
                            <a:fillRect/>
                          </a:stretch>
                        </pic:blipFill>
                        <pic:spPr>
                          <a:xfrm>
                            <a:off x="0" y="0"/>
                            <a:ext cx="346075" cy="3956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餐车消毒存放</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保温送餐车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规格：900*500*950mm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114300" distR="114300">
                  <wp:extent cx="288290" cy="352425"/>
                  <wp:effectExtent l="0" t="0" r="3810" b="3175"/>
                  <wp:docPr id="98" name="图片 98" descr="171568088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715680881084"/>
                          <pic:cNvPicPr>
                            <a:picLocks noChangeAspect="1"/>
                          </pic:cNvPicPr>
                        </pic:nvPicPr>
                        <pic:blipFill>
                          <a:blip r:embed="rId125"/>
                          <a:stretch>
                            <a:fillRect/>
                          </a:stretch>
                        </pic:blipFill>
                        <pic:spPr>
                          <a:xfrm>
                            <a:off x="0" y="0"/>
                            <a:ext cx="288290" cy="352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排烟系统</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8.所投低噪音离心通风机通过 JB/T 8690-2014 《通风机噪声限值》和 GB/T2888-2008 《风机和罗茨鼓风机噪声测量方法》检测，在风机运行≥48小时后噪声（比A 声级）db≤20，并评定合格（具有CMA或CNAS认证机构出具的检测报告）。                                                                                                                                                                   功率：380V/15KW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风量：40000m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60680" cy="405130"/>
                  <wp:effectExtent l="0" t="0" r="7620" b="1270"/>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60680" cy="40513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6.电压/功率：220V/2.2KW                                                         处理风量：40000m³/h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52425" cy="413385"/>
                  <wp:effectExtent l="0" t="0" r="3175" b="571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52845" cy="41420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规格：配电机功率15KW/380V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295275"/>
                  <wp:effectExtent l="0" t="0" r="0" b="9525"/>
                  <wp:docPr id="102" name="图片_95_SpCnt_3"/>
                  <wp:cNvGraphicFramePr/>
                  <a:graphic xmlns:a="http://schemas.openxmlformats.org/drawingml/2006/main">
                    <a:graphicData uri="http://schemas.openxmlformats.org/drawingml/2006/picture">
                      <pic:pic xmlns:pic="http://schemas.openxmlformats.org/drawingml/2006/picture">
                        <pic:nvPicPr>
                          <pic:cNvPr id="102"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667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不锈钢排油烟风管(㎡)</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188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23850" cy="275590"/>
                  <wp:effectExtent l="0" t="0" r="6350" b="3810"/>
                  <wp:docPr id="1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23850" cy="275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2.手动调节风量，温感器，动作后无源信号输出。</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3.熔断器动作温度：150℃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73685" cy="295275"/>
                  <wp:effectExtent l="0" t="0" r="5715" b="9525"/>
                  <wp:docPr id="104"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5013" cy="296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减震垫</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承重300Kg</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332740" cy="276225"/>
                  <wp:effectExtent l="0" t="0" r="10160" b="3175"/>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127"/>
                          <a:stretch>
                            <a:fillRect/>
                          </a:stretch>
                        </pic:blipFill>
                        <pic:spPr>
                          <a:xfrm>
                            <a:off x="0" y="0"/>
                            <a:ext cx="332740"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风机支架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176" name="图片 176"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风量调节阀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采用优质不锈板制造</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规格：配套出风口</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color w:val="auto"/>
                <w:highlight w:val="none"/>
              </w:rPr>
              <w:drawing>
                <wp:inline distT="0" distB="0" distL="0" distR="0">
                  <wp:extent cx="318770" cy="189865"/>
                  <wp:effectExtent l="0" t="0" r="11430" b="635"/>
                  <wp:docPr id="227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318770" cy="189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接油盘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1.采用A3角铁架，优质不锈钢，板厚0.8~1.0mm，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2.配置排油球阀开关                                             </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规格：与风机、净化器配套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93370" cy="254635"/>
                  <wp:effectExtent l="0" t="0" r="11430" b="12065"/>
                  <wp:docPr id="22763" name="图片 2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3" name="图片 227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9337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8.所投低噪音离心通风机通过 JB/T 8690-2014 《通风机噪声限值》和 GB/T2888-2008 《风机和罗茨鼓风机噪声测量方法》检测，在风机运行≥48小时后噪声（比A 声级）db≤20，并评定合格（具有CMA或CNAS认证机构出具的检测报告）。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9.功率/电压：380V/15KW                                                                                     风量：40000m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46710" cy="389255"/>
                  <wp:effectExtent l="0" t="0" r="8890" b="4445"/>
                  <wp:docPr id="2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46710" cy="38925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规格：配电机功率15KW/380V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66700" cy="295275"/>
                  <wp:effectExtent l="0" t="0" r="0" b="9525"/>
                  <wp:docPr id="225" name="图片_95_SpCnt_3"/>
                  <wp:cNvGraphicFramePr/>
                  <a:graphic xmlns:a="http://schemas.openxmlformats.org/drawingml/2006/main">
                    <a:graphicData uri="http://schemas.openxmlformats.org/drawingml/2006/picture">
                      <pic:pic xmlns:pic="http://schemas.openxmlformats.org/drawingml/2006/picture">
                        <pic:nvPicPr>
                          <pic:cNvPr id="225"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2667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不锈钢排油烟风管(㎡)</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266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52425" cy="299720"/>
                  <wp:effectExtent l="0" t="0" r="3175" b="5080"/>
                  <wp:docPr id="2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52425" cy="2997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2.手动调节风量，温感器，动作后无源信号输出。</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3.熔断器动作温度：150℃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73685" cy="295275"/>
                  <wp:effectExtent l="0" t="0" r="5715" b="9525"/>
                  <wp:docPr id="228"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5013" cy="296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减震垫</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承重300Kg</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299720" cy="244475"/>
                  <wp:effectExtent l="0" t="0" r="5080" b="9525"/>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129"/>
                          <a:stretch>
                            <a:fillRect/>
                          </a:stretch>
                        </pic:blipFill>
                        <pic:spPr>
                          <a:xfrm>
                            <a:off x="0" y="0"/>
                            <a:ext cx="299720" cy="244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风机支架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177" name="图片 177"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风量调节阀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采用优质不锈板制造,</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color w:val="auto"/>
                <w:highlight w:val="none"/>
              </w:rPr>
              <w:drawing>
                <wp:inline distT="0" distB="0" distL="0" distR="0">
                  <wp:extent cx="338455" cy="201930"/>
                  <wp:effectExtent l="0" t="0" r="4445" b="1270"/>
                  <wp:docPr id="1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40010" cy="20269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接油盘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1.采用A3角铁架，优质不锈钢，板厚0.8-1.0mm；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2.配置排油球阀开关；</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规格：与风机、净化器配套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93370" cy="254635"/>
                  <wp:effectExtent l="0" t="0" r="11430" b="12065"/>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9337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27、笕桥（JG0701-08）90班中学厨房设备采购需求（预算：50万元）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w:t>
            </w:r>
            <w:r>
              <w:rPr>
                <w:rFonts w:hint="eastAsia" w:ascii="宋体" w:hAnsi="宋体" w:cs="宋体"/>
                <w:color w:val="auto"/>
                <w:szCs w:val="21"/>
                <w:highlight w:val="none"/>
              </w:rPr>
              <w:t>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99415" cy="276225"/>
                  <wp:effectExtent l="0" t="0" r="6985" b="3175"/>
                  <wp:docPr id="1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
                          <pic:cNvPicPr>
                            <a:picLocks noChangeAspect="1" noChangeArrowheads="1"/>
                          </pic:cNvPicPr>
                        </pic:nvPicPr>
                        <pic:blipFill>
                          <a:blip r:embed="rId26"/>
                          <a:srcRect/>
                          <a:stretch>
                            <a:fillRect/>
                          </a:stretch>
                        </pic:blipFill>
                        <pic:spPr>
                          <a:xfrm flipH="1">
                            <a:off x="0" y="0"/>
                            <a:ext cx="400012" cy="2762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双门电蒸饭箱</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1.板材采用304不锈钢制造；上层（箱）外壳厚1.0mm，内桶厚0.8mm，水胆炉膛厚1.0mm；门外板厚1.0mm，门内板厚0.8mm；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2.内置2×12蒸饭格（可放置2×12个蒸饭盘）；</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3.304不锈钢电热管加热，配自动进水装置，缺水保护装置；</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4.配微电脑控制面板，数字显示定时定温；</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5.密封条采用食品级硅胶条；门采用不锈钢双把手；</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6.电热管连接线采用国标耐高温线；配泄压阀；</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7.随机配304不锈钢饭盘24个、饭铲1把；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8.电压/功率：380V/12KW×2门；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9.提供同类产品的食品接触产品安全认证证书。</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规格：24盘</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43535" cy="371475"/>
                  <wp:effectExtent l="0" t="0" r="12065" b="9525"/>
                  <wp:docPr id="108"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14"/>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44042" cy="3714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1.采用不锈钢制制作，设有手动开启复位功能，手动调节风量，温感器，动作后无源信号输出；</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2.熔断器动作温度：150℃。</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273685" cy="295275"/>
                  <wp:effectExtent l="0" t="0" r="5715" b="9525"/>
                  <wp:docPr id="109"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3904"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不锈钢风管</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1100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81000" cy="323850"/>
                  <wp:effectExtent l="0" t="0" r="0" b="6350"/>
                  <wp:docPr id="1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81701" cy="32485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接油盘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1.采用A3角铁架，优质不锈钢，板厚0.8~1.0mm；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2.配置排油球阀开关。</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规格：与风机、净化器配套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293370" cy="254635"/>
                  <wp:effectExtent l="0" t="0" r="11430" b="12065"/>
                  <wp:docPr id="22769" name="图片 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 name="图片 227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9337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28、杭州市丁蕙第二小学厨房设备采购需求（预算：3万元）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保温送餐车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规格：1100*700*1000</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60680" cy="285750"/>
                  <wp:effectExtent l="0" t="0" r="7620" b="6350"/>
                  <wp:docPr id="112" name="Picture 252" descr="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52" descr="IMG_0268"/>
                          <pic:cNvPicPr>
                            <a:picLocks noChangeAspect="1" noChangeArrowheads="1"/>
                          </pic:cNvPicPr>
                        </pic:nvPicPr>
                        <pic:blipFill>
                          <a:blip r:embed="rId131" cstate="print">
                            <a:extLst>
                              <a:ext uri="{28A0092B-C50C-407E-A947-70E740481C1C}">
                                <a14:useLocalDpi xmlns:a14="http://schemas.microsoft.com/office/drawing/2010/main" val="0"/>
                              </a:ext>
                            </a:extLst>
                          </a:blip>
                          <a:srcRect l="5179" t="7080" r="10704" b="4124"/>
                          <a:stretch>
                            <a:fillRect/>
                          </a:stretch>
                        </pic:blipFill>
                        <pic:spPr>
                          <a:xfrm>
                            <a:off x="0" y="0"/>
                            <a:ext cx="360949" cy="285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29、杭州市娃哈哈小学厨房设备采购需求（预算：35万元）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男/女更衣室</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6门不锈钢更衣柜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采用 304不锈钢板制造，板厚度1.0mm；</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2.侧板、门板厚度0.8mm 不锈钢板；</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3.层板厚度1.0mm，加强筋厚度1.0mm；</w:t>
            </w:r>
          </w:p>
          <w:p>
            <w:pPr>
              <w:widowControl/>
              <w:spacing w:line="300" w:lineRule="exact"/>
              <w:rPr>
                <w:rFonts w:ascii="宋体" w:hAnsi="宋体" w:cs="宋体"/>
                <w:bCs/>
                <w:color w:val="auto"/>
                <w:szCs w:val="21"/>
                <w:highlight w:val="none"/>
              </w:rPr>
            </w:pPr>
            <w:r>
              <w:rPr>
                <w:rFonts w:hint="eastAsia" w:ascii="宋体" w:hAnsi="宋体" w:cs="宋体"/>
                <w:bCs/>
                <w:color w:val="auto"/>
                <w:szCs w:val="21"/>
                <w:highlight w:val="none"/>
              </w:rPr>
              <w:t>4.配六扇门（带锁）、内置活动挂衣杆；</w:t>
            </w:r>
          </w:p>
          <w:p>
            <w:pPr>
              <w:widowControl/>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5.</w:t>
            </w:r>
            <w:r>
              <w:rPr>
                <w:rFonts w:hint="eastAsia" w:ascii="宋体" w:hAnsi="宋体" w:cs="宋体"/>
                <w:color w:val="auto"/>
                <w:szCs w:val="21"/>
                <w:highlight w:val="none"/>
              </w:rPr>
              <w:t>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规格：900*400*1800mm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219075" cy="352425"/>
                  <wp:effectExtent l="0" t="0" r="9525" b="31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5" r:link="rId29">
                            <a:extLst>
                              <a:ext uri="{28A0092B-C50C-407E-A947-70E740481C1C}">
                                <a14:useLocalDpi xmlns:a14="http://schemas.microsoft.com/office/drawing/2010/main" val="0"/>
                              </a:ext>
                            </a:extLst>
                          </a:blip>
                          <a:stretch>
                            <a:fillRect/>
                          </a:stretch>
                        </pic:blipFill>
                        <pic:spPr>
                          <a:xfrm>
                            <a:off x="0" y="0"/>
                            <a:ext cx="219075" cy="3524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洁具间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拖把池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规格：1100*500*1800mm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33375" cy="342900"/>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32" r:link="rId29">
                            <a:extLst>
                              <a:ext uri="{28A0092B-C50C-407E-A947-70E740481C1C}">
                                <a14:useLocalDpi xmlns:a14="http://schemas.microsoft.com/office/drawing/2010/main" val="0"/>
                              </a:ext>
                            </a:extLst>
                          </a:blip>
                          <a:stretch>
                            <a:fillRect/>
                          </a:stretch>
                        </pic:blipFill>
                        <pic:spPr>
                          <a:xfrm>
                            <a:off x="0" y="0"/>
                            <a:ext cx="333375" cy="3429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长柄单温龙头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1.座台式安装，单孔单温，长柄平颈水嘴；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3.陶瓷阀芯一字开形手柄；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4.开孔尺寸为25mm，进水接口为1/2"内螺纹；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5.属节水产品，水嘴技术要求须符合 GB 18145-2014《陶瓷片密封水嘴》、GB25501-2019《水嘴水效限定值及水效等级》要求，并提供认证证书；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规格：常规单冷</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228600" cy="303530"/>
                  <wp:effectExtent l="0" t="0" r="0" b="1270"/>
                  <wp:docPr id="126" name="图片 2" descr="155134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descr="1551340491"/>
                          <pic:cNvPicPr>
                            <a:picLocks noChangeAspect="1"/>
                          </pic:cNvPicPr>
                        </pic:nvPicPr>
                        <pic:blipFill>
                          <a:blip r:embed="rId133"/>
                          <a:stretch>
                            <a:fillRect/>
                          </a:stretch>
                        </pic:blipFill>
                        <pic:spPr>
                          <a:xfrm>
                            <a:off x="0" y="0"/>
                            <a:ext cx="228600" cy="303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主/副食库</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大米架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1.立柱：38×38×1.0mm采用优质不锈钢管；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2.格栅管：38×25×1.0mm采用优质不锈钢管；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3.横挡管：38×25×1.0mm采用优质不锈钢管。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规格：1200*500*300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89890" cy="217170"/>
                  <wp:effectExtent l="0" t="0" r="3810" b="1143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9" r:link="rId29">
                            <a:extLst>
                              <a:ext uri="{28A0092B-C50C-407E-A947-70E740481C1C}">
                                <a14:useLocalDpi xmlns:a14="http://schemas.microsoft.com/office/drawing/2010/main" val="0"/>
                              </a:ext>
                            </a:extLst>
                          </a:blip>
                          <a:stretch>
                            <a:fillRect/>
                          </a:stretch>
                        </pic:blipFill>
                        <pic:spPr>
                          <a:xfrm>
                            <a:off x="0" y="0"/>
                            <a:ext cx="389890" cy="2171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挡鼠板</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1.采用304不锈钢板制造，面板1.0mm；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2.含导轨及插板。</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注：最终尺寸按实际门框尺寸订制。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规格：（L）1200*（H）600*18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114300" distR="114300">
                  <wp:extent cx="371475" cy="276225"/>
                  <wp:effectExtent l="0" t="0" r="9525" b="3175"/>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134"/>
                          <a:stretch>
                            <a:fillRect/>
                          </a:stretch>
                        </pic:blipFill>
                        <pic:spPr>
                          <a:xfrm>
                            <a:off x="0" y="0"/>
                            <a:ext cx="37147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粗加工</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5.开孔尺寸为25mm ，接口为标准4分外螺纹；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6.属节水产品，水嘴技术要求须符合 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427355" cy="318770"/>
                  <wp:effectExtent l="0" t="0" r="4445" b="1143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1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p>
          <w:p>
            <w:pPr>
              <w:widowControl/>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247650" cy="460375"/>
                  <wp:effectExtent l="0" t="0" r="6350" b="9525"/>
                  <wp:docPr id="12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249330" cy="4640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切配区</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商用四门双温冰箱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7.温度范围：冷藏0℃～10℃/冷冻-6℃～-15℃；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33375" cy="504825"/>
                  <wp:effectExtent l="0" t="0" r="9525"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3337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5.开孔尺寸为25mm ，接口为标准4分外螺纹；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6.属节水产品，水嘴技术要求须符合 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刀具砧板消毒柜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2.毒方式：紫外线+臭氧红外线+循环风；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3.毒刀数量：0-10把；消毒毛巾数量：0-12块；消毒砧板数量：0-8块（厚0-20cm）；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4.电压：220V；紫外线功率：约18W；红外线功率：约300W；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5.提供同类产品的抗拉强度、耐温度性能、耐腐蚀性能及电器安全性能检测报告；</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6.提供刀具砧板消毒柜符合《家用和类似用途电器的安全 第1部分：通用要求》、《食品安全国家标准食品接触材料及制品 砷、镉、铬、铅的测定和砷、镉、铬、镍、铅、锑、锌迁移量的测定》）的检测报告；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规格：1200*600*1800mm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304800" cy="485775"/>
                  <wp:effectExtent l="0" t="0" r="0" b="952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38" r:link="rId29">
                            <a:extLst>
                              <a:ext uri="{28A0092B-C50C-407E-A947-70E740481C1C}">
                                <a14:useLocalDpi xmlns:a14="http://schemas.microsoft.com/office/drawing/2010/main" val="0"/>
                              </a:ext>
                            </a:extLst>
                          </a:blip>
                          <a:stretch>
                            <a:fillRect/>
                          </a:stretch>
                        </pic:blipFill>
                        <pic:spPr>
                          <a:xfrm>
                            <a:off x="0" y="0"/>
                            <a:ext cx="304800" cy="485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烹饪区</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427355" cy="318770"/>
                  <wp:effectExtent l="0" t="0" r="4445" b="1143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1.采用304不锈钢板制造，台面1.0mm；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2.脚管采用厚1.0mm 不锈钢管，下配可调子弹脚厚1.0mm；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规格：500*1200*800mm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292100" cy="300355"/>
                  <wp:effectExtent l="0" t="0" r="0" b="444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292100" cy="300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中餐燃气炒菜灶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bidi="ar"/>
              </w:rPr>
              <w:t>1.材质：面板采用优质304不锈钢板，厚1.2mm；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2.炉身侧板及炉背板1.0mm不锈钢板；</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3.炉通脚直径50mm无缝不锈钢管；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4.炉通脚内含支承炉身的钢柱以及可调炉身的高度的子弹脚；</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5.炉膛内采用耐火砖、耐火泥砌筑；</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6.采用节能炉头，同时配备气掣、安全掣、风掣、火种掣、风行管及相应的水管、气管等配套部件；</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lang w:bidi="ar"/>
              </w:rPr>
              <w:t>7.一按式电子点火；实时熄火保护设计；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8.产品单眼热负荷约35kW，能源利用热效率≥55%；运行噪音≤60dB，燃烧工况干烟气中CO 含量≤0.002%，点火安全时间≤7 秒，熄火安全时间≤1 秒；（提供带CMA或CNAS标识的检测报告）</w:t>
            </w:r>
            <w:r>
              <w:rPr>
                <w:rFonts w:hint="eastAsia" w:ascii="宋体" w:hAnsi="宋体" w:cs="宋体"/>
                <w:color w:val="auto"/>
                <w:szCs w:val="21"/>
                <w:highlight w:val="none"/>
                <w:lang w:bidi="ar"/>
              </w:rPr>
              <w:t xml:space="preserve"> </w:t>
            </w:r>
          </w:p>
          <w:p>
            <w:pPr>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规格：1800*1200*800+450mm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72110" cy="257175"/>
                  <wp:effectExtent l="0" t="0" r="8890" b="9525"/>
                  <wp:docPr id="1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7"/>
                          <pic:cNvPicPr>
                            <a:picLocks noChangeAspect="1" noChangeArrowheads="1"/>
                          </pic:cNvPicPr>
                        </pic:nvPicPr>
                        <pic:blipFill>
                          <a:blip r:embed="rId26"/>
                          <a:srcRect/>
                          <a:stretch>
                            <a:fillRect/>
                          </a:stretch>
                        </pic:blipFill>
                        <pic:spPr>
                          <a:xfrm flipH="1">
                            <a:off x="0" y="0"/>
                            <a:ext cx="374959" cy="258924"/>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drawing>
                <wp:inline distT="0" distB="0" distL="0" distR="0">
                  <wp:extent cx="371475" cy="255905"/>
                  <wp:effectExtent l="0" t="0" r="9525" b="10795"/>
                  <wp:docPr id="1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7"/>
                          <pic:cNvPicPr>
                            <a:picLocks noChangeAspect="1" noChangeArrowheads="1"/>
                          </pic:cNvPicPr>
                        </pic:nvPicPr>
                        <pic:blipFill>
                          <a:blip r:embed="rId26"/>
                          <a:srcRect/>
                          <a:stretch>
                            <a:fillRect/>
                          </a:stretch>
                        </pic:blipFill>
                        <pic:spPr>
                          <a:xfrm flipH="1">
                            <a:off x="0" y="0"/>
                            <a:ext cx="374002" cy="258264"/>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不锈钢排油烟罩连罩上封板(</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规格：6000*2400*1000mm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14.4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431165" cy="219075"/>
                  <wp:effectExtent l="0" t="0" r="635" b="9525"/>
                  <wp:docPr id="1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434821" cy="22072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蒸煮间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427355" cy="318770"/>
                  <wp:effectExtent l="0" t="0" r="4445" b="1143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1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79095" cy="409575"/>
                  <wp:effectExtent l="0" t="0" r="1905" b="9525"/>
                  <wp:docPr id="15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4"/>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379328" cy="4095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不锈钢排油烟罩连罩上封板(</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规格：4500*1200*1000mm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431165" cy="219075"/>
                  <wp:effectExtent l="0" t="0" r="635" b="9525"/>
                  <wp:docPr id="1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434821" cy="22072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面点间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规格：700*800*800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木案板操作台</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lang w:bidi="ar"/>
              </w:rPr>
              <w:t>1.台面</w:t>
            </w:r>
            <w:r>
              <w:rPr>
                <w:rFonts w:hint="eastAsia" w:ascii="宋体" w:hAnsi="宋体" w:cs="宋体"/>
                <w:bCs/>
                <w:color w:val="auto"/>
                <w:szCs w:val="21"/>
                <w:highlight w:val="none"/>
              </w:rPr>
              <w:t>采用优质原木木材制作，厚45mm；</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2.采用</w:t>
            </w:r>
            <w:r>
              <w:rPr>
                <w:rFonts w:hint="eastAsia" w:ascii="宋体" w:hAnsi="宋体" w:cs="宋体"/>
                <w:bCs/>
                <w:color w:val="auto"/>
                <w:szCs w:val="21"/>
                <w:highlight w:val="none"/>
                <w:lang w:bidi="ar"/>
              </w:rPr>
              <w:t>304不锈钢板围边，板厚度</w:t>
            </w:r>
            <w:r>
              <w:rPr>
                <w:rFonts w:hint="eastAsia" w:ascii="宋体" w:hAnsi="宋体" w:cs="宋体"/>
                <w:bCs/>
                <w:color w:val="auto"/>
                <w:szCs w:val="21"/>
                <w:highlight w:val="none"/>
              </w:rPr>
              <w:t>1.0mm；</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3.脚杆采用50*50mm厚度1.0mm不锈钢圆通腿；</w:t>
            </w:r>
          </w:p>
          <w:p>
            <w:pPr>
              <w:spacing w:line="300" w:lineRule="exact"/>
              <w:jc w:val="left"/>
              <w:rPr>
                <w:rFonts w:ascii="宋体" w:hAnsi="宋体" w:cs="宋体"/>
                <w:bCs/>
                <w:color w:val="auto"/>
                <w:szCs w:val="21"/>
                <w:highlight w:val="none"/>
                <w:lang w:bidi="ar"/>
              </w:rPr>
            </w:pPr>
            <w:r>
              <w:rPr>
                <w:rFonts w:hint="eastAsia" w:ascii="宋体" w:hAnsi="宋体" w:cs="宋体"/>
                <w:bCs/>
                <w:color w:val="auto"/>
                <w:szCs w:val="21"/>
                <w:highlight w:val="none"/>
                <w:lang w:bidi="ar"/>
              </w:rPr>
              <w:t>4.加强码用1.0mm不锈钢板；</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规格：1800*80*800mm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521335" cy="433070"/>
                  <wp:effectExtent l="0" t="0" r="12065" b="1143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4" r:link="rId29">
                            <a:extLst>
                              <a:ext uri="{28A0092B-C50C-407E-A947-70E740481C1C}">
                                <a14:useLocalDpi xmlns:a14="http://schemas.microsoft.com/office/drawing/2010/main" val="0"/>
                              </a:ext>
                            </a:extLst>
                          </a:blip>
                          <a:stretch>
                            <a:fillRect/>
                          </a:stretch>
                        </pic:blipFill>
                        <pic:spPr>
                          <a:xfrm>
                            <a:off x="0" y="0"/>
                            <a:ext cx="521335" cy="433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双门36盘发酵箱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lang w:bidi="ar"/>
              </w:rPr>
              <w:t>.</w:t>
            </w:r>
            <w:r>
              <w:rPr>
                <w:rFonts w:hint="eastAsia" w:ascii="宋体" w:hAnsi="宋体" w:cs="宋体"/>
                <w:color w:val="auto"/>
                <w:szCs w:val="21"/>
                <w:highlight w:val="none"/>
              </w:rPr>
              <w:t>电压：220v，功率：3.3kw；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lang w:bidi="ar"/>
              </w:rPr>
              <w:t>.</w:t>
            </w:r>
            <w:r>
              <w:rPr>
                <w:rFonts w:hint="eastAsia" w:ascii="宋体" w:hAnsi="宋体" w:cs="宋体"/>
                <w:color w:val="auto"/>
                <w:szCs w:val="21"/>
                <w:highlight w:val="none"/>
              </w:rPr>
              <w:t>温度范围：0---60度；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lang w:bidi="ar"/>
              </w:rPr>
              <w:t>.</w:t>
            </w:r>
            <w:r>
              <w:rPr>
                <w:rFonts w:hint="eastAsia" w:ascii="宋体" w:hAnsi="宋体" w:cs="宋体"/>
                <w:color w:val="auto"/>
                <w:szCs w:val="21"/>
                <w:highlight w:val="none"/>
              </w:rPr>
              <w:t>使用环境0--60度/0--99度；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bCs/>
                <w:color w:val="auto"/>
                <w:szCs w:val="21"/>
                <w:highlight w:val="none"/>
                <w:lang w:bidi="ar"/>
              </w:rPr>
              <w:t>.</w:t>
            </w:r>
            <w:r>
              <w:rPr>
                <w:rFonts w:hint="eastAsia" w:ascii="宋体" w:hAnsi="宋体" w:cs="宋体"/>
                <w:color w:val="auto"/>
                <w:szCs w:val="21"/>
                <w:highlight w:val="none"/>
              </w:rPr>
              <w:t>防水等级IPX4；</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Cs/>
                <w:color w:val="auto"/>
                <w:szCs w:val="21"/>
                <w:highlight w:val="none"/>
                <w:lang w:bidi="ar"/>
              </w:rPr>
              <w:t>.</w:t>
            </w:r>
            <w:r>
              <w:rPr>
                <w:rFonts w:hint="eastAsia" w:ascii="宋体" w:hAnsi="宋体" w:cs="宋体"/>
                <w:color w:val="auto"/>
                <w:szCs w:val="21"/>
                <w:highlight w:val="none"/>
              </w:rPr>
              <w:t>箱内立体循环加热，使发酵更均匀，全系列配自动进水装置，不担心干烧问题；</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bCs/>
                <w:color w:val="auto"/>
                <w:szCs w:val="21"/>
                <w:highlight w:val="none"/>
                <w:lang w:bidi="ar"/>
              </w:rPr>
              <w:t>.</w:t>
            </w:r>
            <w:r>
              <w:rPr>
                <w:rFonts w:hint="eastAsia" w:ascii="宋体" w:hAnsi="宋体" w:cs="宋体"/>
                <w:color w:val="auto"/>
                <w:szCs w:val="21"/>
                <w:highlight w:val="none"/>
              </w:rPr>
              <w:t>通体式可视玻璃窗，可视面积广，方便观察箱内实际情况；</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bCs/>
                <w:color w:val="auto"/>
                <w:szCs w:val="21"/>
                <w:highlight w:val="none"/>
                <w:lang w:bidi="ar"/>
              </w:rPr>
              <w:t>.</w:t>
            </w:r>
            <w:r>
              <w:rPr>
                <w:rFonts w:hint="eastAsia" w:ascii="宋体" w:hAnsi="宋体" w:cs="宋体"/>
                <w:color w:val="auto"/>
                <w:szCs w:val="21"/>
                <w:highlight w:val="none"/>
              </w:rPr>
              <w:t>整机发泡，厚度可达35mm，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w:t>
            </w:r>
            <w:r>
              <w:rPr>
                <w:rFonts w:hint="eastAsia" w:ascii="宋体" w:hAnsi="宋体" w:cs="宋体"/>
                <w:bCs/>
                <w:color w:val="auto"/>
                <w:szCs w:val="21"/>
                <w:highlight w:val="none"/>
                <w:lang w:bidi="ar"/>
              </w:rPr>
              <w:t>.</w:t>
            </w:r>
            <w:r>
              <w:rPr>
                <w:rFonts w:hint="eastAsia" w:ascii="宋体" w:hAnsi="宋体" w:cs="宋体"/>
                <w:color w:val="auto"/>
                <w:szCs w:val="21"/>
                <w:highlight w:val="none"/>
              </w:rPr>
              <w:t>内置LED灯管，方便在光线不利的条件下观察内部发酵过程。</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规格：1395*770*1950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114300" distR="114300">
                  <wp:extent cx="299720" cy="353060"/>
                  <wp:effectExtent l="0" t="0" r="5080" b="2540"/>
                  <wp:docPr id="1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
                          <pic:cNvPicPr>
                            <a:picLocks noChangeAspect="1"/>
                          </pic:cNvPicPr>
                        </pic:nvPicPr>
                        <pic:blipFill>
                          <a:blip r:embed="rId141" cstate="print"/>
                          <a:stretch>
                            <a:fillRect/>
                          </a:stretch>
                        </pic:blipFill>
                        <pic:spPr>
                          <a:xfrm>
                            <a:off x="0" y="0"/>
                            <a:ext cx="299720" cy="3530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双层四盘不锈钢电烘炉</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lang w:bidi="ar"/>
              </w:rPr>
              <w:t>.</w:t>
            </w:r>
            <w:r>
              <w:rPr>
                <w:rFonts w:hint="eastAsia" w:ascii="宋体" w:hAnsi="宋体" w:cs="宋体"/>
                <w:color w:val="auto"/>
                <w:szCs w:val="21"/>
                <w:highlight w:val="none"/>
              </w:rPr>
              <w:t>玻璃可视窗，美观大方；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lang w:bidi="ar"/>
              </w:rPr>
              <w:t>.</w:t>
            </w:r>
            <w:r>
              <w:rPr>
                <w:rFonts w:hint="eastAsia" w:ascii="宋体" w:hAnsi="宋体" w:cs="宋体"/>
                <w:color w:val="auto"/>
                <w:szCs w:val="21"/>
                <w:highlight w:val="none"/>
              </w:rPr>
              <w:t>选用国内厂家微电脑控制器，控温更精准；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lang w:bidi="ar"/>
              </w:rPr>
              <w:t>.</w:t>
            </w:r>
            <w:r>
              <w:rPr>
                <w:rFonts w:hint="eastAsia" w:ascii="宋体" w:hAnsi="宋体" w:cs="宋体"/>
                <w:color w:val="auto"/>
                <w:szCs w:val="21"/>
                <w:highlight w:val="none"/>
              </w:rPr>
              <w:t>加热管选自国内大厂家，效率高，升温快；</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bCs/>
                <w:color w:val="auto"/>
                <w:szCs w:val="21"/>
                <w:highlight w:val="none"/>
                <w:lang w:bidi="ar"/>
              </w:rPr>
              <w:t>.</w:t>
            </w:r>
            <w:r>
              <w:rPr>
                <w:rFonts w:hint="eastAsia" w:ascii="宋体" w:hAnsi="宋体" w:cs="宋体"/>
                <w:color w:val="auto"/>
                <w:szCs w:val="21"/>
                <w:highlight w:val="none"/>
              </w:rPr>
              <w:t>后排烟隔板夹层设计，防止箱内温度快速抽走；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Cs/>
                <w:color w:val="auto"/>
                <w:szCs w:val="21"/>
                <w:highlight w:val="none"/>
                <w:lang w:bidi="ar"/>
              </w:rPr>
              <w:t>.</w:t>
            </w:r>
            <w:r>
              <w:rPr>
                <w:rFonts w:hint="eastAsia" w:ascii="宋体" w:hAnsi="宋体" w:cs="宋体"/>
                <w:color w:val="auto"/>
                <w:szCs w:val="21"/>
                <w:highlight w:val="none"/>
              </w:rPr>
              <w:t>温度范围：0---380度；</w:t>
            </w:r>
            <w:r>
              <w:rPr>
                <w:rFonts w:hint="eastAsia" w:ascii="宋体" w:hAnsi="宋体" w:cs="宋体"/>
                <w:color w:val="auto"/>
                <w:szCs w:val="21"/>
                <w:highlight w:val="none"/>
              </w:rPr>
              <w:br w:type="textWrapping"/>
            </w:r>
            <w:r>
              <w:rPr>
                <w:rFonts w:hint="eastAsia" w:ascii="宋体" w:hAnsi="宋体" w:cs="宋体"/>
                <w:color w:val="auto"/>
                <w:szCs w:val="21"/>
                <w:highlight w:val="none"/>
              </w:rPr>
              <w:t>6</w:t>
            </w:r>
            <w:r>
              <w:rPr>
                <w:rFonts w:hint="eastAsia" w:ascii="宋体" w:hAnsi="宋体" w:cs="宋体"/>
                <w:bCs/>
                <w:color w:val="auto"/>
                <w:szCs w:val="21"/>
                <w:highlight w:val="none"/>
                <w:lang w:bidi="ar"/>
              </w:rPr>
              <w:t>.</w:t>
            </w:r>
            <w:r>
              <w:rPr>
                <w:rFonts w:hint="eastAsia" w:ascii="宋体" w:hAnsi="宋体" w:cs="宋体"/>
                <w:color w:val="auto"/>
                <w:szCs w:val="21"/>
                <w:highlight w:val="none"/>
              </w:rPr>
              <w:t>电压：380V，功率：13.2-19.2KW。</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规格：1240*860*1500mm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kern w:val="0"/>
                <w:szCs w:val="21"/>
                <w:highlight w:val="none"/>
              </w:rPr>
              <w:drawing>
                <wp:inline distT="0" distB="0" distL="0" distR="0">
                  <wp:extent cx="285115" cy="320040"/>
                  <wp:effectExtent l="0" t="0" r="6985" b="1016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42" r:link="rId29">
                            <a:extLst>
                              <a:ext uri="{28A0092B-C50C-407E-A947-70E740481C1C}">
                                <a14:useLocalDpi xmlns:a14="http://schemas.microsoft.com/office/drawing/2010/main" val="0"/>
                              </a:ext>
                            </a:extLst>
                          </a:blip>
                          <a:stretch>
                            <a:fillRect/>
                          </a:stretch>
                        </pic:blipFill>
                        <pic:spPr>
                          <a:xfrm>
                            <a:off x="0" y="0"/>
                            <a:ext cx="285115" cy="320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电饼铛</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1.整机采用优质不锈钢材质，一次成型把手，面板1.0mm；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2.大面积采用封闭加热，底火、面火，双面加温；</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3.温度范围：0-250℃；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4.功率/电压：4.8-5KW/380V。</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规格：750*800*840mm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66395" cy="426720"/>
                  <wp:effectExtent l="0" t="0" r="1905" b="5080"/>
                  <wp:docPr id="1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
                          <pic:cNvPicPr>
                            <a:picLocks noChangeAspect="1"/>
                          </pic:cNvPicPr>
                        </pic:nvPicPr>
                        <pic:blipFill>
                          <a:blip r:embed="rId143"/>
                          <a:stretch>
                            <a:fillRect/>
                          </a:stretch>
                        </pic:blipFill>
                        <pic:spPr>
                          <a:xfrm>
                            <a:off x="0" y="0"/>
                            <a:ext cx="367759" cy="42852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搅杠型25公斤和面机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kern w:val="0"/>
                <w:szCs w:val="21"/>
                <w:highlight w:val="none"/>
              </w:rPr>
              <w:t>.</w:t>
            </w:r>
            <w:r>
              <w:rPr>
                <w:rFonts w:hint="eastAsia" w:ascii="宋体" w:hAnsi="宋体" w:cs="宋体"/>
                <w:color w:val="auto"/>
                <w:szCs w:val="21"/>
                <w:highlight w:val="none"/>
              </w:rPr>
              <w:t>配有不锈钢安全网；</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rPr>
              <w:t>.</w:t>
            </w:r>
            <w:r>
              <w:rPr>
                <w:rFonts w:hint="eastAsia" w:ascii="宋体" w:hAnsi="宋体" w:cs="宋体"/>
                <w:color w:val="auto"/>
                <w:szCs w:val="21"/>
                <w:highlight w:val="none"/>
              </w:rPr>
              <w:t>搅拌转速:260/130(r/min)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w:t>
            </w:r>
            <w:r>
              <w:rPr>
                <w:rFonts w:hint="eastAsia" w:ascii="宋体" w:hAnsi="宋体" w:cs="宋体"/>
                <w:color w:val="auto"/>
                <w:szCs w:val="21"/>
                <w:highlight w:val="none"/>
              </w:rPr>
              <w:t>料桶转速:22.5 (rpm)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0"/>
                <w:szCs w:val="21"/>
                <w:highlight w:val="none"/>
              </w:rPr>
              <w:t>.</w:t>
            </w:r>
            <w:r>
              <w:rPr>
                <w:rFonts w:hint="eastAsia" w:ascii="宋体" w:hAnsi="宋体" w:cs="宋体"/>
                <w:color w:val="auto"/>
                <w:szCs w:val="21"/>
                <w:highlight w:val="none"/>
              </w:rPr>
              <w:t>所投产品提供符合: GB/T 27922-2011 及CTS JX1001-2020标准规定的十星要标准的售后认证证书影印件或扫描件加盖制造商公章予以佐证；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kern w:val="0"/>
                <w:szCs w:val="21"/>
                <w:highlight w:val="none"/>
              </w:rPr>
              <w:t>.</w:t>
            </w:r>
            <w:r>
              <w:rPr>
                <w:rFonts w:hint="eastAsia" w:ascii="宋体" w:hAnsi="宋体" w:cs="宋体"/>
                <w:color w:val="auto"/>
                <w:szCs w:val="21"/>
                <w:highlight w:val="none"/>
              </w:rPr>
              <w:t>提供符合:GB4806.9-2016标准的COC食品接触产品安全认证证书影印件或扫描件加盖制造商公章予以佐证；</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6</w:t>
            </w:r>
            <w:r>
              <w:rPr>
                <w:rFonts w:hint="eastAsia" w:ascii="宋体" w:hAnsi="宋体" w:cs="宋体"/>
                <w:color w:val="auto"/>
                <w:kern w:val="0"/>
                <w:szCs w:val="21"/>
                <w:highlight w:val="none"/>
              </w:rPr>
              <w:t>.</w:t>
            </w:r>
            <w:r>
              <w:rPr>
                <w:rFonts w:hint="eastAsia" w:ascii="宋体" w:hAnsi="宋体" w:cs="宋体"/>
                <w:color w:val="auto"/>
                <w:szCs w:val="21"/>
                <w:highlight w:val="none"/>
              </w:rPr>
              <w:t>提供生产厂家和面机具有符合GB4706.1-2005和GB4706.38-2008标准要求的产品检测报告。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规格：750*475*970（半包粉）</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s="宋体"/>
                <w:color w:val="auto"/>
                <w:kern w:val="0"/>
                <w:szCs w:val="21"/>
                <w:highlight w:val="none"/>
              </w:rPr>
              <w:drawing>
                <wp:inline distT="0" distB="0" distL="0" distR="0">
                  <wp:extent cx="285750" cy="351790"/>
                  <wp:effectExtent l="0" t="0" r="6350" b="381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44" r:link="rId29">
                            <a:extLst>
                              <a:ext uri="{28A0092B-C50C-407E-A947-70E740481C1C}">
                                <a14:useLocalDpi xmlns:a14="http://schemas.microsoft.com/office/drawing/2010/main" val="0"/>
                              </a:ext>
                            </a:extLst>
                          </a:blip>
                          <a:stretch>
                            <a:fillRect/>
                          </a:stretch>
                        </pic:blipFill>
                        <pic:spPr>
                          <a:xfrm>
                            <a:off x="0" y="0"/>
                            <a:ext cx="285750" cy="3517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全自动压面机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kern w:val="0"/>
                <w:szCs w:val="21"/>
                <w:highlight w:val="none"/>
              </w:rPr>
              <w:t>.</w:t>
            </w:r>
            <w:r>
              <w:rPr>
                <w:rFonts w:hint="eastAsia" w:ascii="宋体" w:hAnsi="宋体" w:cs="宋体"/>
                <w:color w:val="auto"/>
                <w:szCs w:val="21"/>
                <w:highlight w:val="none"/>
              </w:rPr>
              <w:t>优质不锈钢面板制作；</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kern w:val="0"/>
                <w:szCs w:val="21"/>
                <w:highlight w:val="none"/>
              </w:rPr>
              <w:t>.</w:t>
            </w:r>
            <w:r>
              <w:rPr>
                <w:rFonts w:hint="eastAsia" w:ascii="宋体" w:hAnsi="宋体" w:cs="宋体"/>
                <w:color w:val="auto"/>
                <w:szCs w:val="21"/>
                <w:highlight w:val="none"/>
              </w:rPr>
              <w:t>压辊调整范围:5-25mm；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w:t>
            </w:r>
            <w:r>
              <w:rPr>
                <w:rFonts w:hint="eastAsia" w:ascii="宋体" w:hAnsi="宋体" w:cs="宋体"/>
                <w:color w:val="auto"/>
                <w:szCs w:val="21"/>
                <w:highlight w:val="none"/>
              </w:rPr>
              <w:t>压辊转速74r/min；</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0"/>
                <w:szCs w:val="21"/>
                <w:highlight w:val="none"/>
              </w:rPr>
              <w:t>.</w:t>
            </w:r>
            <w:r>
              <w:rPr>
                <w:rFonts w:hint="eastAsia" w:ascii="宋体" w:hAnsi="宋体" w:cs="宋体"/>
                <w:color w:val="auto"/>
                <w:szCs w:val="21"/>
                <w:highlight w:val="none"/>
              </w:rPr>
              <w:t>床面厚度可自行调节，多功能使用；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kern w:val="0"/>
                <w:szCs w:val="21"/>
                <w:highlight w:val="none"/>
              </w:rPr>
              <w:t>.</w:t>
            </w:r>
            <w:r>
              <w:rPr>
                <w:rFonts w:hint="eastAsia" w:ascii="宋体" w:hAnsi="宋体" w:cs="宋体"/>
                <w:color w:val="auto"/>
                <w:szCs w:val="21"/>
                <w:highlight w:val="none"/>
              </w:rPr>
              <w:t>所投产品提供符合: GB/T 27922-2011 及CTS JX1001-2020标准规定的十星要标准的售后认证证书影印件或扫描件加盖制造商公章予以佐证；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kern w:val="0"/>
                <w:szCs w:val="21"/>
                <w:highlight w:val="none"/>
              </w:rPr>
              <w:t>.</w:t>
            </w:r>
            <w:r>
              <w:rPr>
                <w:rFonts w:hint="eastAsia" w:ascii="宋体" w:hAnsi="宋体" w:cs="宋体"/>
                <w:color w:val="auto"/>
                <w:szCs w:val="21"/>
                <w:highlight w:val="none"/>
              </w:rPr>
              <w:t>提供符合:依据GB 4806.9-2016标准的CQC食品接触产品安全认证证书影印件；7</w:t>
            </w:r>
            <w:r>
              <w:rPr>
                <w:rFonts w:hint="eastAsia" w:ascii="宋体" w:hAnsi="宋体" w:cs="宋体"/>
                <w:color w:val="auto"/>
                <w:kern w:val="0"/>
                <w:szCs w:val="21"/>
                <w:highlight w:val="none"/>
              </w:rPr>
              <w:t>.</w:t>
            </w:r>
            <w:r>
              <w:rPr>
                <w:rFonts w:hint="eastAsia" w:ascii="宋体" w:hAnsi="宋体" w:cs="宋体"/>
                <w:color w:val="auto"/>
                <w:szCs w:val="21"/>
                <w:highlight w:val="none"/>
              </w:rPr>
              <w:t>不锈钢板材201通过铅、镉、汞、六价铬、多溴联苯、多溴二苯醚含量，依据GB/T 26125-2011, GB/T 26572-2011的检测，符合 GB/T 26572-2011的标准，提供检测报告。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规格：1130*650*1070mm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53060" cy="318770"/>
                  <wp:effectExtent l="0" t="0" r="2540" b="11430"/>
                  <wp:docPr id="1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0"/>
                          <pic:cNvPicPr>
                            <a:picLocks noChangeAspect="1"/>
                          </pic:cNvPicPr>
                        </pic:nvPicPr>
                        <pic:blipFill>
                          <a:blip r:embed="rId145" cstate="print"/>
                          <a:stretch>
                            <a:fillRect/>
                          </a:stretch>
                        </pic:blipFill>
                        <pic:spPr>
                          <a:xfrm>
                            <a:off x="0" y="0"/>
                            <a:ext cx="353060" cy="31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不锈钢排油烟罩连罩上封板(</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规格：4500*1200*1000mm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3.12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431165" cy="219075"/>
                  <wp:effectExtent l="0" t="0" r="635" b="9525"/>
                  <wp:docPr id="1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434821" cy="22072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预进间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规格：450*400*250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114300" distR="114300">
                  <wp:extent cx="306705" cy="231775"/>
                  <wp:effectExtent l="0" t="0" r="10795" b="9525"/>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146"/>
                          <a:stretch>
                            <a:fillRect/>
                          </a:stretch>
                        </pic:blipFill>
                        <pic:spPr>
                          <a:xfrm>
                            <a:off x="0" y="0"/>
                            <a:ext cx="306705" cy="231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rPr>
              <w:t>长柄单温龙头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1.座台式安装，单孔单温，长柄平颈水嘴；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3.陶瓷阀芯一字开形手柄；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4.开孔尺寸为25mm，进水接口为1/2"内螺纹；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5.属节水产品，水嘴技术要求须符合 GB 18145-2014《陶瓷片密封水嘴》、GB25501-2019《水嘴水效限定值及水效等级》要求，并提供认证证书；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规格：常规单冷</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114300" distR="114300">
                  <wp:extent cx="228600" cy="303530"/>
                  <wp:effectExtent l="0" t="0" r="0" b="1270"/>
                  <wp:docPr id="163" name="图片 2" descr="155134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descr="1551340491"/>
                          <pic:cNvPicPr>
                            <a:picLocks noChangeAspect="1"/>
                          </pic:cNvPicPr>
                        </pic:nvPicPr>
                        <pic:blipFill>
                          <a:blip r:embed="rId133"/>
                          <a:stretch>
                            <a:fillRect/>
                          </a:stretch>
                        </pic:blipFill>
                        <pic:spPr>
                          <a:xfrm>
                            <a:off x="0" y="0"/>
                            <a:ext cx="228600" cy="303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color w:val="auto"/>
                <w:szCs w:val="21"/>
                <w:highlight w:val="none"/>
              </w:rPr>
            </w:pPr>
            <w:r>
              <w:rPr>
                <w:rFonts w:hint="eastAsia" w:ascii="宋体" w:hAnsi="宋体" w:cs="宋体"/>
                <w:color w:val="auto"/>
                <w:szCs w:val="21"/>
                <w:highlight w:val="none"/>
              </w:rPr>
              <w:t>干手机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1.采用ABS工程塑料，风速：＞90m/s；</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2.干手时间：5-9s；注：属易损件；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3.功率/电压：约1.5-1.8KW/220V。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规格：240*220*240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s="宋体"/>
                <w:b/>
                <w:color w:val="auto"/>
                <w:kern w:val="0"/>
                <w:szCs w:val="21"/>
                <w:highlight w:val="none"/>
              </w:rPr>
              <w:drawing>
                <wp:inline distT="0" distB="0" distL="114300" distR="114300">
                  <wp:extent cx="220345" cy="196850"/>
                  <wp:effectExtent l="0" t="0" r="8255" b="6350"/>
                  <wp:docPr id="136" name="图片 2" descr="16963124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descr="1696312412302"/>
                          <pic:cNvPicPr>
                            <a:picLocks noChangeAspect="1"/>
                          </pic:cNvPicPr>
                        </pic:nvPicPr>
                        <pic:blipFill>
                          <a:blip r:embed="rId147"/>
                          <a:stretch>
                            <a:fillRect/>
                          </a:stretch>
                        </pic:blipFill>
                        <pic:spPr>
                          <a:xfrm>
                            <a:off x="0" y="0"/>
                            <a:ext cx="220345" cy="196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备餐间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kern w:val="0"/>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高身玻璃门冰箱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规格：600*750*1960mm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Cs w:val="21"/>
                <w:highlight w:val="none"/>
              </w:rPr>
            </w:pPr>
            <w:r>
              <w:rPr>
                <w:rFonts w:hint="eastAsia" w:ascii="宋体" w:hAnsi="宋体"/>
                <w:bCs/>
                <w:color w:val="auto"/>
                <w:szCs w:val="21"/>
                <w:highlight w:val="none"/>
              </w:rPr>
              <w:drawing>
                <wp:inline distT="0" distB="0" distL="0" distR="0">
                  <wp:extent cx="304800" cy="447675"/>
                  <wp:effectExtent l="0" t="0" r="0" b="9525"/>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304800" cy="447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回收/洗消间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残菜回收台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Cs w:val="21"/>
                <w:highlight w:val="none"/>
              </w:rPr>
            </w:pPr>
            <w:r>
              <w:rPr>
                <w:rFonts w:hint="eastAsia" w:ascii="宋体" w:hAnsi="宋体"/>
                <w:color w:val="auto"/>
                <w:szCs w:val="21"/>
                <w:highlight w:val="none"/>
              </w:rPr>
              <w:drawing>
                <wp:inline distT="0" distB="0" distL="114300" distR="114300">
                  <wp:extent cx="379095" cy="258445"/>
                  <wp:effectExtent l="0" t="0" r="1905" b="8255"/>
                  <wp:docPr id="584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 name="图片 38"/>
                          <pic:cNvPicPr>
                            <a:picLocks noChangeAspect="1"/>
                          </pic:cNvPicPr>
                        </pic:nvPicPr>
                        <pic:blipFill>
                          <a:blip r:embed="rId149"/>
                          <a:stretch>
                            <a:fillRect/>
                          </a:stretch>
                        </pic:blipFill>
                        <pic:spPr>
                          <a:xfrm>
                            <a:off x="0" y="0"/>
                            <a:ext cx="379095" cy="2584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规格：1800*750*800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Cs w:val="21"/>
                <w:highlight w:val="none"/>
              </w:rPr>
            </w:pPr>
            <w:r>
              <w:rPr>
                <w:rFonts w:hint="eastAsia" w:ascii="宋体" w:hAnsi="宋体" w:cs="宋体"/>
                <w:bCs/>
                <w:color w:val="auto"/>
                <w:kern w:val="0"/>
                <w:szCs w:val="21"/>
                <w:highlight w:val="none"/>
              </w:rPr>
              <w:drawing>
                <wp:inline distT="0" distB="0" distL="0" distR="0">
                  <wp:extent cx="427355" cy="318770"/>
                  <wp:effectExtent l="0" t="0" r="4445" b="1143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2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p>
          <w:p>
            <w:pPr>
              <w:widowControl/>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kern w:val="0"/>
                <w:szCs w:val="21"/>
                <w:highlight w:val="none"/>
              </w:rPr>
            </w:pPr>
            <w:r>
              <w:rPr>
                <w:rFonts w:hint="eastAsia" w:ascii="宋体" w:hAnsi="宋体"/>
                <w:color w:val="auto"/>
                <w:szCs w:val="21"/>
                <w:highlight w:val="none"/>
              </w:rPr>
              <w:drawing>
                <wp:inline distT="0" distB="0" distL="0" distR="0">
                  <wp:extent cx="247650" cy="460375"/>
                  <wp:effectExtent l="0" t="0" r="6350" b="9525"/>
                  <wp:docPr id="23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7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249330" cy="4640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stheme="minorEastAsia"/>
                <w:color w:val="auto"/>
                <w:szCs w:val="21"/>
                <w:highlight w:val="none"/>
              </w:rPr>
              <w:drawing>
                <wp:inline distT="0" distB="0" distL="0" distR="0">
                  <wp:extent cx="333375" cy="430530"/>
                  <wp:effectExtent l="0" t="0" r="9525" b="127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高身保洁柜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1.采用304不锈钢板制造，侧板、门板、背板、底板厚1.0mm；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theme="minorEastAsia"/>
                <w:color w:val="auto"/>
                <w:szCs w:val="21"/>
                <w:highlight w:val="none"/>
              </w:rPr>
            </w:pPr>
            <w:r>
              <w:rPr>
                <w:rFonts w:hint="eastAsia" w:ascii="宋体" w:hAnsi="宋体" w:cs="宋体"/>
                <w:color w:val="auto"/>
                <w:kern w:val="0"/>
                <w:szCs w:val="21"/>
                <w:highlight w:val="none"/>
              </w:rPr>
              <w:drawing>
                <wp:inline distT="0" distB="0" distL="0" distR="0">
                  <wp:extent cx="346075" cy="395605"/>
                  <wp:effectExtent l="0" t="0" r="9525" b="1079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24" r:link="rId29">
                            <a:extLst>
                              <a:ext uri="{28A0092B-C50C-407E-A947-70E740481C1C}">
                                <a14:useLocalDpi xmlns:a14="http://schemas.microsoft.com/office/drawing/2010/main" val="0"/>
                              </a:ext>
                            </a:extLst>
                          </a:blip>
                          <a:stretch>
                            <a:fillRect/>
                          </a:stretch>
                        </pic:blipFill>
                        <pic:spPr>
                          <a:xfrm>
                            <a:off x="0" y="0"/>
                            <a:ext cx="346075" cy="3956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排油烟/蒸汽系统</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不锈钢排油烟风管</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375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393700" cy="334645"/>
                  <wp:effectExtent l="0" t="0" r="0" b="8255"/>
                  <wp:docPr id="2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94193" cy="33548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6.电压/功率：220V/2.2KW                                                       处理风量：38000m³/h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auto"/>
                <w:szCs w:val="21"/>
                <w:highlight w:val="none"/>
              </w:rPr>
            </w:pPr>
            <w:r>
              <w:rPr>
                <w:rFonts w:hint="eastAsia" w:ascii="宋体" w:hAnsi="宋体"/>
                <w:color w:val="auto"/>
                <w:szCs w:val="21"/>
                <w:highlight w:val="none"/>
              </w:rPr>
              <w:drawing>
                <wp:inline distT="0" distB="0" distL="0" distR="0">
                  <wp:extent cx="352425" cy="413385"/>
                  <wp:effectExtent l="0" t="0" r="3175" b="5715"/>
                  <wp:docPr id="1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352845" cy="41420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8.所投低噪音离心通风机通过 JB/T 8690-2014 《通风机噪声限值》和 GB/T2888-2008 《风机和罗茨鼓风机噪声测量方法》检测，在风机运行≥48小时后噪声（比 A 声级）db≤20，并评定合格（具有CMA或CNAS认证机构出具的检测报告）。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电压/功率：380V/18.5KW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风量：38000m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360045" cy="403860"/>
                  <wp:effectExtent l="0" t="0" r="8255" b="2540"/>
                  <wp:docPr id="2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60045" cy="40386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风机</w:t>
            </w:r>
            <w:r>
              <w:rPr>
                <w:rFonts w:hint="eastAsia" w:ascii="宋体" w:hAnsi="宋体" w:cs="宋体"/>
                <w:color w:val="auto"/>
                <w:kern w:val="0"/>
                <w:szCs w:val="21"/>
                <w:highlight w:val="none"/>
              </w:rPr>
              <w:t>阻尼减震器</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阻尼弹簧风机减震器具有钢弹簧减振的低频特征，可使高、中、低干扰频率获得隔振效果，同时又具有橡胶减震器阻尼比大特点，能有效消除钢弹簧的特有共振现象。</w:t>
            </w:r>
            <w:r>
              <w:rPr>
                <w:rFonts w:hint="eastAsia" w:ascii="宋体" w:hAnsi="宋体" w:cs="宋体"/>
                <w:color w:val="auto"/>
                <w:szCs w:val="21"/>
                <w:highlight w:val="none"/>
              </w:rPr>
              <w:br w:type="textWrapping"/>
            </w:r>
            <w:r>
              <w:rPr>
                <w:rFonts w:hint="eastAsia" w:ascii="宋体" w:hAnsi="宋体" w:cs="宋体"/>
                <w:color w:val="auto"/>
                <w:szCs w:val="21"/>
                <w:highlight w:val="none"/>
              </w:rPr>
              <w:t>规格：配合风机安装。</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s="宋体"/>
                <w:color w:val="auto"/>
                <w:szCs w:val="21"/>
                <w:highlight w:val="none"/>
              </w:rPr>
              <w:drawing>
                <wp:inline distT="0" distB="0" distL="114300" distR="114300">
                  <wp:extent cx="238125" cy="190500"/>
                  <wp:effectExtent l="0" t="0" r="3175" b="0"/>
                  <wp:docPr id="1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
                          <pic:cNvPicPr>
                            <a:picLocks noChangeAspect="1"/>
                          </pic:cNvPicPr>
                        </pic:nvPicPr>
                        <pic:blipFill>
                          <a:blip r:embed="rId151"/>
                          <a:stretch>
                            <a:fillRect/>
                          </a:stretch>
                        </pic:blipFill>
                        <pic:spPr>
                          <a:xfrm>
                            <a:off x="0" y="0"/>
                            <a:ext cx="238125" cy="190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配电机功率：22KW/380V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olor w:val="auto"/>
                <w:szCs w:val="21"/>
                <w:highlight w:val="none"/>
              </w:rPr>
              <w:drawing>
                <wp:inline distT="0" distB="0" distL="0" distR="0">
                  <wp:extent cx="304800" cy="295275"/>
                  <wp:effectExtent l="0" t="0" r="0" b="9525"/>
                  <wp:docPr id="240" name="图片_95_SpCnt_3"/>
                  <wp:cNvGraphicFramePr/>
                  <a:graphic xmlns:a="http://schemas.openxmlformats.org/drawingml/2006/main">
                    <a:graphicData uri="http://schemas.openxmlformats.org/drawingml/2006/picture">
                      <pic:pic xmlns:pic="http://schemas.openxmlformats.org/drawingml/2006/picture">
                        <pic:nvPicPr>
                          <pic:cNvPr id="240"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3048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1.采用不锈钢制制作，设有手动开启复位功能，手动调节风量，温感器，动作后无源信号输出。</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2.熔断器动作温度：150℃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olor w:val="auto"/>
                <w:szCs w:val="21"/>
                <w:highlight w:val="none"/>
              </w:rPr>
              <w:drawing>
                <wp:inline distT="0" distB="0" distL="0" distR="0">
                  <wp:extent cx="273685" cy="295275"/>
                  <wp:effectExtent l="0" t="0" r="5715" b="9525"/>
                  <wp:docPr id="169"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5013" cy="296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其他设备</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rPr>
              <w:t>三角阀</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加长柄，注：属易损件,最终数量按实结算。</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szCs w:val="21"/>
                <w:highlight w:val="none"/>
              </w:rPr>
              <w:t>52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highlight w:val="none"/>
              </w:rPr>
            </w:pPr>
            <w:r>
              <w:rPr>
                <w:rFonts w:hint="eastAsia" w:ascii="宋体" w:hAnsi="宋体" w:cs="宋体"/>
                <w:color w:val="auto"/>
                <w:kern w:val="0"/>
                <w:szCs w:val="21"/>
                <w:highlight w:val="none"/>
              </w:rPr>
              <w:drawing>
                <wp:inline distT="0" distB="0" distL="114300" distR="114300">
                  <wp:extent cx="201930" cy="153035"/>
                  <wp:effectExtent l="0" t="0" r="1270" b="12065"/>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pic:cNvPicPr>
                        </pic:nvPicPr>
                        <pic:blipFill>
                          <a:blip r:embed="rId152"/>
                          <a:stretch>
                            <a:fillRect/>
                          </a:stretch>
                        </pic:blipFill>
                        <pic:spPr>
                          <a:xfrm>
                            <a:off x="0" y="0"/>
                            <a:ext cx="201930" cy="153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30、杭州市天长观潮小学厨房设备采购需求（预算：15.85万元）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不锈钢排油烟风管</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315</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58140" cy="304800"/>
                  <wp:effectExtent l="0" t="0" r="10160" b="0"/>
                  <wp:docPr id="1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58140" cy="304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深斗车</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1.采用304不锈钢制造，面板厚度1.0mm；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2.把手弯管及立柱为整管折弯，采用φ25mm厚度1.0mm制作；</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3.配4个4"优质橡胶脚轮，其中两个带刹车掣；</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注：最终尺寸按实。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规格：500*900*900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82905" cy="323850"/>
                  <wp:effectExtent l="0" t="0" r="10795" b="6350"/>
                  <wp:docPr id="183" name="图片 173" descr="收碗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3" descr="收碗车.jpg"/>
                          <pic:cNvPicPr>
                            <a:picLocks noChangeAspect="1"/>
                          </pic:cNvPicPr>
                        </pic:nvPicPr>
                        <pic:blipFill>
                          <a:blip r:embed="rId153">
                            <a:lum/>
                          </a:blip>
                          <a:stretch>
                            <a:fillRect/>
                          </a:stretch>
                        </pic:blipFill>
                        <pic:spPr>
                          <a:xfrm>
                            <a:off x="0" y="0"/>
                            <a:ext cx="383048" cy="323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刀具砧板消毒柜</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2.毒方式：紫外线+臭氧红外线+循环风；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3.毒刀数量：0-10把；消毒毛巾数量：0-12块；消毒砧板数量：0-8块（厚0-20cm）；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4.电压：220V；紫外线功率：约18W；红外线功率：约300W；</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5.提供同类产品的抗拉强度、耐温度性能、耐腐蚀性能及电器安全性能检测报告；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6.提供刀具砧板消毒柜符合《家用和类似用途电器的安全 第1部分：通用要求》、《食品安全国家标准食品接触材料及制品 砷、镉、铬、铅的测定和砷、镉、铬、镍、铅、锑、锌迁移量的测定》）的检测报告；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规格：1200*600*1800mm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04800" cy="485775"/>
                  <wp:effectExtent l="0" t="0" r="0"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38" r:link="rId29">
                            <a:extLst>
                              <a:ext uri="{28A0092B-C50C-407E-A947-70E740481C1C}">
                                <a14:useLocalDpi xmlns:a14="http://schemas.microsoft.com/office/drawing/2010/main" val="0"/>
                              </a:ext>
                            </a:extLst>
                          </a:blip>
                          <a:stretch>
                            <a:fillRect/>
                          </a:stretch>
                        </pic:blipFill>
                        <pic:spPr>
                          <a:xfrm>
                            <a:off x="0" y="0"/>
                            <a:ext cx="304800" cy="485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平板车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1.采用304不锈钢制造，面板厚度1.0mm；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2.把手弯管及立柱为整管折弯，采用φ25mm厚度1.0mm制作；</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3.配4个4"优质橡胶脚轮，其中两个带刹车掣；</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规格：900*500*900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61950" cy="353695"/>
                  <wp:effectExtent l="0" t="0" r="6350" b="1905"/>
                  <wp:docPr id="1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6"/>
                          <pic:cNvPicPr>
                            <a:picLocks noChangeAspect="1"/>
                          </pic:cNvPicPr>
                        </pic:nvPicPr>
                        <pic:blipFill>
                          <a:blip r:embed="rId154"/>
                          <a:stretch>
                            <a:fillRect/>
                          </a:stretch>
                        </pic:blipFill>
                        <pic:spPr>
                          <a:xfrm>
                            <a:off x="0" y="0"/>
                            <a:ext cx="361950" cy="35402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双层送餐车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1.采用304不锈钢制造，面板厚度1.0mm；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2.把手弯管及立柱为整管折弯，采用φ25mm厚度1.0mm制作；</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3.配4个4"优质橡胶脚轮，其中两个带刹车掣；</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规格：820*450*900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82905" cy="323850"/>
                  <wp:effectExtent l="0" t="0" r="10795" b="6350"/>
                  <wp:docPr id="186" name="图片 173" descr="收碗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3" descr="收碗车.jpg"/>
                          <pic:cNvPicPr>
                            <a:picLocks noChangeAspect="1"/>
                          </pic:cNvPicPr>
                        </pic:nvPicPr>
                        <pic:blipFill>
                          <a:blip r:embed="rId153">
                            <a:lum/>
                          </a:blip>
                          <a:stretch>
                            <a:fillRect/>
                          </a:stretch>
                        </pic:blipFill>
                        <pic:spPr>
                          <a:xfrm>
                            <a:off x="0" y="0"/>
                            <a:ext cx="383048" cy="323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脱皮清洗机</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1.电源电压: 380V/50HZ；</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2.电机功率: 3KW；</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3.清洗能力:500-600KG/HR；</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4.毛棍数量: 6根；</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5.毛刷长度: 1500MM；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6.毛刷材质:尼龙丝101材质；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规格：1600*830*1000</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42265" cy="274320"/>
                  <wp:effectExtent l="0" t="0" r="635" b="5080"/>
                  <wp:docPr id="1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
                          <pic:cNvPicPr>
                            <a:picLocks noChangeAspect="1"/>
                          </pic:cNvPicPr>
                        </pic:nvPicPr>
                        <pic:blipFill>
                          <a:blip r:embed="rId155"/>
                          <a:stretch>
                            <a:fillRect/>
                          </a:stretch>
                        </pic:blipFill>
                        <pic:spPr>
                          <a:xfrm>
                            <a:off x="0" y="0"/>
                            <a:ext cx="342265" cy="274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三层烤箱</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1.箱体采用优质不锈钢板材制作，厚δ=1.2mm；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2.内部配件：最优质电子元件/发热丝，烘烤效果好，使用寿命长；3.采用上等密封条，保温棉，保温效果好，节省能源；</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4.三层六盘，配智能电脑控制面板。</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规格：约1240*860*1515mm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72110" cy="414655"/>
                  <wp:effectExtent l="0" t="0" r="8890" b="4445"/>
                  <wp:docPr id="188" name="图片 5" descr="164785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 descr="164785358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72110" cy="414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电饼铛</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1.整机采用优质不锈钢材质，一次成型把手，面板1.0mm；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2.大面积采用封闭加热，底火、面火，双面加温；</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3.温度范围：0-250℃；</w:t>
            </w:r>
            <w:r>
              <w:rPr>
                <w:rFonts w:hint="eastAsia" w:ascii="宋体" w:hAnsi="宋体" w:cs="宋体"/>
                <w:color w:val="auto"/>
                <w:szCs w:val="21"/>
                <w:highlight w:val="none"/>
              </w:rPr>
              <w:br w:type="textWrapping"/>
            </w:r>
            <w:r>
              <w:rPr>
                <w:rFonts w:hint="eastAsia" w:ascii="宋体" w:hAnsi="宋体" w:cs="宋体"/>
                <w:color w:val="auto"/>
                <w:szCs w:val="21"/>
                <w:highlight w:val="none"/>
              </w:rPr>
              <w:t>4.功率/电压：4.8-5KW/380V。</w:t>
            </w:r>
            <w:r>
              <w:rPr>
                <w:rFonts w:hint="eastAsia" w:ascii="宋体" w:hAnsi="宋体" w:cs="宋体"/>
                <w:color w:val="auto"/>
                <w:szCs w:val="21"/>
                <w:highlight w:val="none"/>
              </w:rPr>
              <w:br w:type="textWrapping"/>
            </w:r>
            <w:r>
              <w:rPr>
                <w:rFonts w:hint="eastAsia" w:ascii="宋体" w:hAnsi="宋体" w:cs="宋体"/>
                <w:color w:val="auto"/>
                <w:szCs w:val="21"/>
                <w:highlight w:val="none"/>
              </w:rPr>
              <w:t>规格：750*800*840mm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87985" cy="452120"/>
                  <wp:effectExtent l="0" t="0" r="5715" b="5080"/>
                  <wp:docPr id="1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
                          <pic:cNvPicPr>
                            <a:picLocks noChangeAspect="1"/>
                          </pic:cNvPicPr>
                        </pic:nvPicPr>
                        <pic:blipFill>
                          <a:blip r:embed="rId143"/>
                          <a:stretch>
                            <a:fillRect/>
                          </a:stretch>
                        </pic:blipFill>
                        <pic:spPr>
                          <a:xfrm>
                            <a:off x="0" y="0"/>
                            <a:ext cx="387985" cy="4521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诱捕式灭蝇灯</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1.电压：220V；</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2.功率：≥16W；</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3.灯管：2*8w灭蝇灯灯管，波长在260～280mm有效吸引蚊虫苍蝇；</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4.覆盖面积≥40㎡；</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5.外壳ABS防阻燃材料；</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6.灯具内部设有托盘、可放置粘捕纸粘黏蚊蝇。</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规格：380*120*290mm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114300" distR="114300">
                  <wp:extent cx="265430" cy="194310"/>
                  <wp:effectExtent l="0" t="0" r="1270" b="8890"/>
                  <wp:docPr id="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
                          <pic:cNvPicPr>
                            <a:picLocks noChangeAspect="1"/>
                          </pic:cNvPicPr>
                        </pic:nvPicPr>
                        <pic:blipFill>
                          <a:blip r:embed="rId156"/>
                          <a:stretch>
                            <a:fillRect/>
                          </a:stretch>
                        </pic:blipFill>
                        <pic:spPr>
                          <a:xfrm>
                            <a:off x="0" y="0"/>
                            <a:ext cx="265430" cy="194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31、杭州市崇文未来学校厨房设备采购需求（预算：2万元）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三门海鲜蒸柜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1.电压：380V /30kW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2.面板为一次性折弯无焊接，防水防污垢四面可直接喷淋，符合防水等级要求；</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3.中控技术:支持多台机芯同级并联,相邻线圈靠近无干扰,无低频噪音，解决各种设备线圈绕制干扰问题;</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4.自动扫描负载:可静态或动态自动扫描线圈负3载状态，避免线圈感量不匹配,提高负载适应性,降低现场调试难度;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5.谐振电容监控:独家电容状态监控软件，实时监控谐振电容工作状态,极端情况下不损坏;</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6.显示屏带有中文故障显示、显示用电量、实时功率、实时电压</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7.带有漏电保护，过热保护，防干烧保护多重保护措施</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8.所投海鲜蒸柜依据GB/2423.1-2008、GB/2423.2-2008通过电工电子产品环境进行低温贮存和高温贮存试验，贮存时间均为24h，试验温度恢复2h,产品外观，结构及功能正常使用。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9.所投产品配件蒸柜线盘依据GB/T2423.2-2008标准，检测内容，样品在温度180℃±2℃持续240h,恢复2小时后样品外观无变形和破损，通电后能正常工作的检测报告。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10.所投产品配件机芯、散热风扇依据GB/T 4208-2017标准，防尘能力≥IP6X，壳内无明显的灰尘沉积；在防高温/高压喷水试验中，从四个角度各喷射不低于30S，水温保持在（80±5）℃，试验结束后，防水能力≥IPX8。</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规格：900*900*1850mm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75285" cy="514350"/>
                  <wp:effectExtent l="0" t="0" r="5715" b="6350"/>
                  <wp:docPr id="190" name="图片 190" descr="D:\Documents\WeChat Files\jhw160934260\FileStorage\Temp\1715685964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D:\Documents\WeChat Files\jhw160934260\FileStorage\Temp\1715685964480.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375871" cy="514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32、杭州市东城幼儿园厨房设备采购需求（预算：2.45万元）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29565" cy="364490"/>
                  <wp:effectExtent l="0" t="0" r="635" b="381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保温送餐车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规格：1100*700*1000</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72745" cy="295275"/>
                  <wp:effectExtent l="0" t="0" r="8255" b="9525"/>
                  <wp:docPr id="192" name="Picture 252" descr="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52" descr="IMG_0268"/>
                          <pic:cNvPicPr>
                            <a:picLocks noChangeAspect="1" noChangeArrowheads="1"/>
                          </pic:cNvPicPr>
                        </pic:nvPicPr>
                        <pic:blipFill>
                          <a:blip r:embed="rId158" cstate="print">
                            <a:extLst>
                              <a:ext uri="{28A0092B-C50C-407E-A947-70E740481C1C}">
                                <a14:useLocalDpi xmlns:a14="http://schemas.microsoft.com/office/drawing/2010/main" val="0"/>
                              </a:ext>
                            </a:extLst>
                          </a:blip>
                          <a:srcRect l="5179" t="7080" r="10704" b="4124"/>
                          <a:stretch>
                            <a:fillRect/>
                          </a:stretch>
                        </pic:blipFill>
                        <pic:spPr>
                          <a:xfrm>
                            <a:off x="0" y="0"/>
                            <a:ext cx="372981"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114300" distR="114300">
                  <wp:extent cx="418465" cy="278765"/>
                  <wp:effectExtent l="0" t="0" r="635" b="635"/>
                  <wp:docPr id="1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33、杭州市胜利笕成幼儿园厨房设备采购需求（预算：1万元）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33375" cy="430530"/>
                  <wp:effectExtent l="0" t="0" r="9525" b="12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34、杭州市陶子幼儿园厨房设备采购需求（预算：3.65万元）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热水器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1.一级能效；</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2.内置带抑菌防电墙；</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3.三重安全保护，带活水功能；</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4.1000W/2000W/3000W功率可调；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5.带漏电指示灯。</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规格：120L</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402590" cy="309880"/>
                  <wp:effectExtent l="0" t="0" r="3810" b="7620"/>
                  <wp:docPr id="195" name="图片_206"/>
                  <wp:cNvGraphicFramePr/>
                  <a:graphic xmlns:a="http://schemas.openxmlformats.org/drawingml/2006/main">
                    <a:graphicData uri="http://schemas.openxmlformats.org/drawingml/2006/picture">
                      <pic:pic xmlns:pic="http://schemas.openxmlformats.org/drawingml/2006/picture">
                        <pic:nvPicPr>
                          <pic:cNvPr id="195" name="图片_206"/>
                          <pic:cNvPicPr/>
                        </pic:nvPicPr>
                        <pic:blipFill>
                          <a:blip r:embed="rId159">
                            <a:extLst>
                              <a:ext uri="{28A0092B-C50C-407E-A947-70E740481C1C}">
                                <a14:useLocalDpi xmlns:a14="http://schemas.microsoft.com/office/drawing/2010/main" val="0"/>
                              </a:ext>
                            </a:extLst>
                          </a:blip>
                          <a:stretch>
                            <a:fillRect/>
                          </a:stretch>
                        </pic:blipFill>
                        <pic:spPr>
                          <a:xfrm>
                            <a:off x="0" y="0"/>
                            <a:ext cx="402590" cy="309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留样冰箱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1.总容积：135L；</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2.能效等级：二级；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3.制冷剂：R600a</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4.功率：220V/500W；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5.噪音：40dB；</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6.档位：五档调节</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7.温控：3-15度</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规格：455*460*853mm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238125" cy="384175"/>
                  <wp:effectExtent l="0" t="0" r="317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238125" cy="384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2.每层层架承载额定重量：3KG；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3.远红外线消毒；</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4.功率：220V/500W；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5.总容积：53L；</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6.温度范围：125度。</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规格：425*360*540mm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23850" cy="334010"/>
                  <wp:effectExtent l="0" t="0" r="6350" b="889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323850" cy="334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饮水机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1.加热内胆≥10升，材质为304不锈钢（提供投标产品制造商的加热内胆《涉及饮用水卫生安全产品卫生许可批件》）；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2.电源/功率：220V/50Hz，2-3KW（提供与投标产品型号一致的整机CCC或CQC产品认证证书，证件内须注明电源/功率：220V/50Hz，2-3KW）；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3.出水方式：两个龙头，触摸按键出水，出温开水；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4.外形尺寸（长*宽*高）：580*400*1250（±5%）；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5.接水水槽采用整体模压成型；</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过滤配置：不低于4级反渗透过滤（PP棉+活性炭+活性炭+RO反渗透），净水流量≥1L/min（提供与投标产品型号一致的整机《涉及饮用水卫生安全产品卫生许可批件》，证件内须注明净水流量≥1L/min,不低于4级过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7.配备压力储水罐≥12L（提供与投标产品型号一致的整机《涉及饮用水卫生安全产品卫生许可批件》做为依据，证件内须注明：压力储水罐容量≥12升）；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8.开水安全要求：采用热交换器技术，热交换器内外管采用304不锈钢材质，提供投标产品制造商的热交换器的涉及饮用水卫生安全产品卫生许可批件；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采用开水高温杀菌技术：能对饮水设备的管路及龙头智能高温开水消毒，无需人工处理，智能化操作，安全可靠无副作用（不采用化学方式杀菌的饮水设备）（提供投标产品制造商获得国家质检、科技或知识产权部门颁发的证明文件以作证明，且网上可查，提供网站截图识别真伪）；</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10.加热要求：采用常压式加热，不承压，防止热胆爆裂（提供投标产品制造商获得国家质检、科技或知识产权部门颁发的证明文件以作证明，且网上可查，提供网站截图识别真伪）；</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采用滤芯射频感应功能：滤芯射频感应功能，具有滤芯真伪识别、使用寿命提醒功能，保证水质卫生安全（提供投标产品制造商获得国家质检、科技或知识产权部门颁发的证明文件以作证明，且网上可查，提供网站截图识别真伪）。</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232410" cy="352425"/>
                  <wp:effectExtent l="0" t="0" r="8890" b="317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232410" cy="352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35、杭州市陶子幼儿园厨房设备采购需求（预算：12万元）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粗加工</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诱捕式灭蝇灯</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1.电压：220V；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2.功率：≥16W；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3.灯管：2*8w灭蝇灯灯管，波长在260～280mm有效吸引蚊虫苍蝇；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4.覆盖面积≥40㎡；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5.外壳ABS防阻燃材料；</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6.灯具内部设有托盘、可放置粘捕纸粘黏蚊蝇。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规格：380*120*290mm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114300" distR="114300">
                  <wp:extent cx="265430" cy="194310"/>
                  <wp:effectExtent l="0" t="0" r="1270" b="8890"/>
                  <wp:docPr id="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pic:cNvPicPr>
                            <a:picLocks noChangeAspect="1"/>
                          </pic:cNvPicPr>
                        </pic:nvPicPr>
                        <pic:blipFill>
                          <a:blip r:embed="rId156"/>
                          <a:stretch>
                            <a:fillRect/>
                          </a:stretch>
                        </pic:blipFill>
                        <pic:spPr>
                          <a:xfrm>
                            <a:off x="0" y="0"/>
                            <a:ext cx="265430" cy="194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落地电子秤</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1.内置可充电蓄电池，充电时可以开机使用；开机自动置零；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2.零点自动跟踪；累计次数1~30次；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3.电源：交流220V（±10%）/ 50Hz；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4.相对湿度：≤ 85% RH；</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5.功率/电压：0.02KW/220V；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6.注：电源插座、充电器及液晶屏属易损件。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量程范围：0～150Kg</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114300" distR="114300">
                  <wp:extent cx="243205" cy="394970"/>
                  <wp:effectExtent l="0" t="0" r="10795" b="11430"/>
                  <wp:docPr id="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
                          <pic:cNvPicPr>
                            <a:picLocks noChangeAspect="1"/>
                          </pic:cNvPicPr>
                        </pic:nvPicPr>
                        <pic:blipFill>
                          <a:blip r:embed="rId68"/>
                          <a:stretch>
                            <a:fillRect/>
                          </a:stretch>
                        </pic:blipFill>
                        <pic:spPr>
                          <a:xfrm>
                            <a:off x="0" y="0"/>
                            <a:ext cx="243205" cy="3949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拖把池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规格：600*600*600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37820" cy="312420"/>
                  <wp:effectExtent l="0" t="0" r="5080" b="508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37820" cy="312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5.开孔尺寸为25mm ，接口为标准4分外螺纹；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6.属节水产品，水嘴技术要求须符合 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洗地龙头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1.开放式洗地龙头、碳钢主体，表面环氧喷涂处理；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2.固定侧支架钢板厚度5mm，黄铜进水主体；</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3.10.7米重工无痕三层液压钢丝管（蓝色）、与主体接口为金属连接件、耐温85度；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4.黄铜铸造枪式喷头、配有橡胶保护套水压可调。（配置一把喷头）；进水接口为标准1/2"外螺纹；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5.产品符合管理体系认证要求并提供证书副印件；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6.产品技术要求符合QB/T1334-2013《水嘴通用技术条件》标准要求并提供相应</w:t>
            </w:r>
            <w:r>
              <w:rPr>
                <w:rFonts w:hint="eastAsia" w:ascii="宋体" w:hAnsi="宋体" w:cs="宋体"/>
                <w:color w:val="auto"/>
                <w:szCs w:val="21"/>
                <w:highlight w:val="none"/>
                <w:lang w:eastAsia="zh"/>
              </w:rPr>
              <w:t>检测报告</w:t>
            </w:r>
            <w:r>
              <w:rPr>
                <w:rFonts w:hint="eastAsia" w:ascii="宋体" w:hAnsi="宋体" w:cs="宋体"/>
                <w:color w:val="auto"/>
                <w:szCs w:val="21"/>
                <w:highlight w:val="none"/>
              </w:rPr>
              <w:t>。</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00355" cy="316865"/>
                  <wp:effectExtent l="0" t="0" r="4445" b="63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63" r:link="rId29">
                            <a:extLst>
                              <a:ext uri="{28A0092B-C50C-407E-A947-70E740481C1C}">
                                <a14:useLocalDpi xmlns:a14="http://schemas.microsoft.com/office/drawing/2010/main" val="0"/>
                              </a:ext>
                            </a:extLst>
                          </a:blip>
                          <a:stretch>
                            <a:fillRect/>
                          </a:stretch>
                        </pic:blipFill>
                        <pic:spPr>
                          <a:xfrm>
                            <a:off x="0" y="0"/>
                            <a:ext cx="300355" cy="316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271145" cy="504825"/>
                  <wp:effectExtent l="0" t="0" r="8255" b="3175"/>
                  <wp:docPr id="20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272216" cy="50662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427355" cy="318770"/>
                  <wp:effectExtent l="0" t="0" r="4445" b="1143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2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检测室</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规格：700*700*800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主食库</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大米架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1.立柱：38×38×1.0mm采用优质不锈钢管；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2.格栅管：38×25×1.0mm采用优质不锈钢管；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3.横挡管：38×25×1.0mm采用优质不锈钢管；</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规格：1200*500*300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89890" cy="217170"/>
                  <wp:effectExtent l="0" t="0" r="3810" b="1143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09" r:link="rId29">
                            <a:extLst>
                              <a:ext uri="{28A0092B-C50C-407E-A947-70E740481C1C}">
                                <a14:useLocalDpi xmlns:a14="http://schemas.microsoft.com/office/drawing/2010/main" val="0"/>
                              </a:ext>
                            </a:extLst>
                          </a:blip>
                          <a:stretch>
                            <a:fillRect/>
                          </a:stretch>
                        </pic:blipFill>
                        <pic:spPr>
                          <a:xfrm>
                            <a:off x="0" y="0"/>
                            <a:ext cx="389890" cy="2171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副食库</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烹饪间</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诱捕式灭蝇灯</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1.电压：220V；</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2.功率：≥16W；</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3.灯管：2*8w灭蝇灯灯管，波长在260～280mm有效吸引蚊虫苍蝇；</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4.覆盖面积≥40㎡；</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5.外壳ABS防阻燃材料；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6.灯具内部设有托盘、可放置粘捕纸粘黏蚊蝇。</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规格：380*120*290mm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114300" distR="114300">
                  <wp:extent cx="265430" cy="194310"/>
                  <wp:effectExtent l="0" t="0" r="1270" b="8890"/>
                  <wp:docPr id="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
                          <pic:cNvPicPr>
                            <a:picLocks noChangeAspect="1"/>
                          </pic:cNvPicPr>
                        </pic:nvPicPr>
                        <pic:blipFill>
                          <a:blip r:embed="rId156"/>
                          <a:stretch>
                            <a:fillRect/>
                          </a:stretch>
                        </pic:blipFill>
                        <pic:spPr>
                          <a:xfrm>
                            <a:off x="0" y="0"/>
                            <a:ext cx="265430" cy="194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双门四格平台智能留样柜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1.内外箱均为优质不锈钢板，黑色钢化玻璃台面，台面分为整备区域和称重区域；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3.配备数显电子温控（数显数控），门框内部防凝露装置，防止门框结露、滴水；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4.温度范围：冷藏2℃～12℃；</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5.功率/电压：≤400W/220V；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kern w:val="0"/>
                <w:szCs w:val="21"/>
                <w:highlight w:val="none"/>
              </w:rPr>
              <w:t>提供同类产品消毒产品卫生许可证。</w:t>
            </w:r>
          </w:p>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szCs w:val="21"/>
                <w:highlight w:val="none"/>
              </w:rPr>
              <w:t>规格：900*670*900+400mm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kern w:val="0"/>
                <w:szCs w:val="21"/>
                <w:highlight w:val="none"/>
              </w:rPr>
            </w:pPr>
            <w:r>
              <w:rPr>
                <w:rFonts w:hint="eastAsia" w:ascii="宋体" w:hAnsi="宋体" w:cs="宋体"/>
                <w:color w:val="auto"/>
                <w:szCs w:val="21"/>
                <w:highlight w:val="none"/>
              </w:rPr>
              <w:drawing>
                <wp:inline distT="0" distB="0" distL="0" distR="0">
                  <wp:extent cx="391795" cy="431165"/>
                  <wp:effectExtent l="0" t="0" r="1905" b="63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393775" cy="43364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高身保洁柜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1.采用304不锈钢板制造，侧板、门板、背板、底板厚1.0mm；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46075" cy="395605"/>
                  <wp:effectExtent l="0" t="0" r="9525" b="1079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24" r:link="rId29">
                            <a:extLst>
                              <a:ext uri="{28A0092B-C50C-407E-A947-70E740481C1C}">
                                <a14:useLocalDpi xmlns:a14="http://schemas.microsoft.com/office/drawing/2010/main" val="0"/>
                              </a:ext>
                            </a:extLst>
                          </a:blip>
                          <a:stretch>
                            <a:fillRect/>
                          </a:stretch>
                        </pic:blipFill>
                        <pic:spPr>
                          <a:xfrm>
                            <a:off x="0" y="0"/>
                            <a:ext cx="346075" cy="3956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刀具砧板消毒柜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2.毒方式：紫外线+臭氧红外线+循环风；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3.毒刀数量：0-10把；消毒毛巾数量：0-12块；消毒砧板数量：0-8块（厚0-20cm）；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4.电压：220V；紫外线功率：约18W；红外线功率：约300W；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5.提供同类产品的抗拉强度、耐温度性能、耐腐蚀性能及电器安全性能检测报告；</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6.提供刀具砧板消毒柜符合《家用和类似用途电器的安全 第1部分：通用要求》、《食品安全国家标准食品接触材料及制品 砷、镉、铬、铅的测定和砷、镉、铬、镍、铅、锑、锌迁移量的测定》）的检测报告；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规格：1200*600*1800mm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04800" cy="485775"/>
                  <wp:effectExtent l="0" t="0" r="0"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38" r:link="rId29">
                            <a:extLst>
                              <a:ext uri="{28A0092B-C50C-407E-A947-70E740481C1C}">
                                <a14:useLocalDpi xmlns:a14="http://schemas.microsoft.com/office/drawing/2010/main" val="0"/>
                              </a:ext>
                            </a:extLst>
                          </a:blip>
                          <a:stretch>
                            <a:fillRect/>
                          </a:stretch>
                        </pic:blipFill>
                        <pic:spPr>
                          <a:xfrm>
                            <a:off x="0" y="0"/>
                            <a:ext cx="304800" cy="485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洗地龙头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1.开放式洗地龙头、碳钢主体，表面环氧喷涂处理；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2.固定侧支架钢板厚度5mm，黄铜进水主体；</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3.10.7米重工无痕三层液压钢丝管（蓝色）、与主体接口为金属连接件、耐温85度；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4.黄铜铸造枪式喷头、配有橡胶保护套水压可调。（配置一把喷头）；进水接口为标准1/2"外螺纹；</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00355" cy="316865"/>
                  <wp:effectExtent l="0" t="0" r="4445" b="63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63" r:link="rId29">
                            <a:extLst>
                              <a:ext uri="{28A0092B-C50C-407E-A947-70E740481C1C}">
                                <a14:useLocalDpi xmlns:a14="http://schemas.microsoft.com/office/drawing/2010/main" val="0"/>
                              </a:ext>
                            </a:extLst>
                          </a:blip>
                          <a:stretch>
                            <a:fillRect/>
                          </a:stretch>
                        </pic:blipFill>
                        <pic:spPr>
                          <a:xfrm>
                            <a:off x="0" y="0"/>
                            <a:ext cx="300355" cy="316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2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400050" cy="431800"/>
                  <wp:effectExtent l="0" t="0" r="6350" b="0"/>
                  <wp:docPr id="24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14"/>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400888" cy="43285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0" distR="0">
                  <wp:extent cx="469900" cy="324485"/>
                  <wp:effectExtent l="0" t="0" r="0" b="5715"/>
                  <wp:docPr id="2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1.采用304不锈钢板制造，台面1.0mm；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2.脚管采用厚1.0mm 不锈钢管，下配可调子弹脚厚1.0mm；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规格：500*900*800mm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292100" cy="300355"/>
                  <wp:effectExtent l="0" t="0" r="0" b="444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292100" cy="300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排油烟罩(</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提供同类产品的抗拉强度、耐温度性能、耐腐蚀性能检测报告；5.提供同类产品的</w:t>
            </w:r>
            <w:r>
              <w:rPr>
                <w:rFonts w:hint="eastAsia" w:ascii="宋体" w:hAnsi="宋体" w:cs="宋体"/>
                <w:color w:val="auto"/>
                <w:kern w:val="0"/>
                <w:szCs w:val="21"/>
                <w:highlight w:val="none"/>
              </w:rPr>
              <w:t>耐火完整性≥120min；《金属家具通用技术条件》\《建筑材料不燃性试验方法》\《建筑材料及制品的燃烧性能燃烧热值的测定》\《建筑材料及制品燃烧性能分级》要求。</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规格：7800*1400*500mm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10.9</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438150" cy="222250"/>
                  <wp:effectExtent l="0" t="0" r="6350" b="6350"/>
                  <wp:docPr id="2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439189" cy="22294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预进、备餐</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感应龙头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1.工作电压：1.5V*4（四节五号干电池）或者220V  50/60HZ交流电；</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2.工作水压：0.1-0.6MPa 可接冷热混水，出水温度可调；</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3.台式安装黄铜铸造水嘴，表面镀铬处理；</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4.接水口口径为1/2"外螺纹；</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5.产品技术条件须符合《非接触式给水器具》、《水嘴水效限定值及水效等级》标准要求并提供相应证书。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规格：160*62*169mm±5%</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303530" cy="234950"/>
                  <wp:effectExtent l="0" t="0" r="1270" b="635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303530" cy="2349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杀菌灯</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1.灯管采用30w紫外线杀菌灯管；覆盖面积20m2—30m2；</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2.灯管采用优质石英玻璃，紫外线光波穿透率高强度大，采用铝合金支架，不易变色，质量轻，强度高。绝缘灯架头不漏电。</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3.</w:t>
            </w:r>
            <w:r>
              <w:rPr>
                <w:rFonts w:hint="eastAsia" w:hAnsi="宋体" w:cs="宋体"/>
                <w:color w:val="00B0F0"/>
                <w:kern w:val="0"/>
                <w:sz w:val="21"/>
                <w:szCs w:val="21"/>
                <w:lang w:val="en-US"/>
              </w:rPr>
              <w:t>依据 GB28235-2020</w:t>
            </w:r>
            <w:r>
              <w:rPr>
                <w:rFonts w:hAnsi="宋体" w:cs="宋体"/>
                <w:color w:val="00B0F0"/>
                <w:kern w:val="0"/>
                <w:sz w:val="21"/>
                <w:szCs w:val="21"/>
                <w:lang w:val="en-US"/>
              </w:rPr>
              <w:t xml:space="preserve"> </w:t>
            </w:r>
            <w:r>
              <w:rPr>
                <w:rFonts w:hint="eastAsia" w:hAnsi="宋体" w:cs="宋体"/>
                <w:color w:val="00B0F0"/>
                <w:kern w:val="0"/>
                <w:sz w:val="21"/>
                <w:szCs w:val="21"/>
                <w:lang w:val="en-US"/>
              </w:rPr>
              <w:t>检测标准</w:t>
            </w:r>
            <w:r>
              <w:rPr>
                <w:rFonts w:hint="eastAsia" w:hAnsi="宋体" w:cs="宋体"/>
                <w:color w:val="auto"/>
                <w:kern w:val="0"/>
                <w:sz w:val="21"/>
                <w:szCs w:val="21"/>
                <w:highlight w:val="none"/>
                <w:lang w:val="en-US"/>
              </w:rPr>
              <w:t>，通过杀灭微生物试验，大肠杆菌、金黄色葡萄球菌、白色念珠菌杀灭率≥99.99%，提供具有省级及以上并具有CMA或CMAS认证资质的第三方检测机构出具的检测报告。</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4.功率/电压：约30W/220V</w:t>
            </w:r>
          </w:p>
          <w:p>
            <w:pPr>
              <w:pStyle w:val="2"/>
              <w:widowControl/>
              <w:spacing w:line="300" w:lineRule="exact"/>
              <w:ind w:firstLine="0"/>
              <w:rPr>
                <w:rFonts w:hAnsi="宋体" w:cs="宋体"/>
                <w:color w:val="auto"/>
                <w:sz w:val="21"/>
                <w:szCs w:val="21"/>
                <w:highlight w:val="none"/>
              </w:rPr>
            </w:pPr>
            <w:r>
              <w:rPr>
                <w:rFonts w:hint="eastAsia" w:hAnsi="宋体" w:cs="宋体"/>
                <w:color w:val="auto"/>
                <w:kern w:val="0"/>
                <w:sz w:val="21"/>
                <w:szCs w:val="21"/>
                <w:highlight w:val="none"/>
                <w:lang w:val="en-US"/>
              </w:rPr>
              <w:t>注：属易损件。</w:t>
            </w:r>
            <w:r>
              <w:rPr>
                <w:rFonts w:hint="eastAsia" w:hAnsi="宋体" w:cs="宋体"/>
                <w:color w:val="auto"/>
                <w:kern w:val="0"/>
                <w:sz w:val="21"/>
                <w:szCs w:val="21"/>
                <w:highlight w:val="none"/>
                <w:lang w:val="en-US"/>
              </w:rPr>
              <w:br w:type="textWrapping"/>
            </w:r>
            <w:r>
              <w:rPr>
                <w:rFonts w:hint="eastAsia" w:hAnsi="宋体" w:cs="宋体"/>
                <w:color w:val="auto"/>
                <w:kern w:val="0"/>
                <w:sz w:val="21"/>
                <w:szCs w:val="21"/>
                <w:highlight w:val="none"/>
                <w:lang w:val="en-US"/>
              </w:rPr>
              <w:t>规格：长920mm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386080" cy="96520"/>
                  <wp:effectExtent l="0" t="0" r="7620" b="5080"/>
                  <wp:docPr id="2275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 name="Picture 26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390400" cy="97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诱捕式灭蝇灯</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1.电压：220V；</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2.功率：≥16W；</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3.灯管：2*8w灭蝇灯灯管，波长在260～280mm有效吸引蚊虫苍蝇；</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4.覆盖面积≥40㎡；</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5.外壳ABS防阻燃材料；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6.灯具内部设有托盘、可放置粘捕纸粘黏蚊蝇。</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规格：380*120*290mm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114300" distR="114300">
                  <wp:extent cx="265430" cy="194310"/>
                  <wp:effectExtent l="0" t="0" r="1270" b="8890"/>
                  <wp:docPr id="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
                          <pic:cNvPicPr>
                            <a:picLocks noChangeAspect="1"/>
                          </pic:cNvPicPr>
                        </pic:nvPicPr>
                        <pic:blipFill>
                          <a:blip r:embed="rId156"/>
                          <a:stretch>
                            <a:fillRect/>
                          </a:stretch>
                        </pic:blipFill>
                        <pic:spPr>
                          <a:xfrm>
                            <a:off x="0" y="0"/>
                            <a:ext cx="265430" cy="194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洗消、保洁</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诱捕式灭蝇灯</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1.电压：220V；</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2.功率：≥16W；</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3.灯管：2*8w灭蝇灯灯管，波长在260～280mm有效吸引蚊虫苍蝇；</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4.覆盖面积≥40㎡；</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5.外壳ABS防阻燃材料；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6.灯具内部设有托盘、可放置粘捕纸粘黏蚊蝇。</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规格：380*120*290mm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114300" distR="114300">
                  <wp:extent cx="265430" cy="194310"/>
                  <wp:effectExtent l="0" t="0" r="1270" b="8890"/>
                  <wp:docPr id="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pic:cNvPicPr>
                            <a:picLocks noChangeAspect="1"/>
                          </pic:cNvPicPr>
                        </pic:nvPicPr>
                        <pic:blipFill>
                          <a:blip r:embed="rId156"/>
                          <a:stretch>
                            <a:fillRect/>
                          </a:stretch>
                        </pic:blipFill>
                        <pic:spPr>
                          <a:xfrm>
                            <a:off x="0" y="0"/>
                            <a:ext cx="265430" cy="194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洗地龙头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1.开放式洗地龙头、碳钢主体，表面环氧喷涂处理；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2.固定侧支架钢板厚度5mm，黄铜进水主体；</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3.10.7米重工无痕三层液压钢丝管（蓝色）、与主体接口为金属连接件、耐温85度；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4.黄铜铸造枪式喷头、配有橡胶保护套水压可调。（配置一把喷头）；进水接口为标准1/2"外螺纹；</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00355" cy="316865"/>
                  <wp:effectExtent l="0" t="0" r="4445" b="63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63" r:link="rId29">
                            <a:extLst>
                              <a:ext uri="{28A0092B-C50C-407E-A947-70E740481C1C}">
                                <a14:useLocalDpi xmlns:a14="http://schemas.microsoft.com/office/drawing/2010/main" val="0"/>
                              </a:ext>
                            </a:extLst>
                          </a:blip>
                          <a:stretch>
                            <a:fillRect/>
                          </a:stretch>
                        </pic:blipFill>
                        <pic:spPr>
                          <a:xfrm>
                            <a:off x="0" y="0"/>
                            <a:ext cx="300355" cy="316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29565" cy="364490"/>
                  <wp:effectExtent l="0" t="0" r="635" b="381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bCs/>
                <w:color w:val="auto"/>
                <w:szCs w:val="21"/>
                <w:highlight w:val="none"/>
              </w:rPr>
              <w:drawing>
                <wp:inline distT="0" distB="0" distL="0" distR="0">
                  <wp:extent cx="333375" cy="430530"/>
                  <wp:effectExtent l="0" t="0" r="9525" b="127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114300" distR="114300">
                  <wp:extent cx="418465" cy="278765"/>
                  <wp:effectExtent l="0" t="0" r="635" b="635"/>
                  <wp:docPr id="2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59410" cy="285750"/>
                  <wp:effectExtent l="0" t="0" r="889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szCs w:val="21"/>
                <w:highlight w:val="none"/>
              </w:rPr>
              <w:drawing>
                <wp:inline distT="0" distB="0" distL="114300" distR="114300">
                  <wp:extent cx="199390" cy="203200"/>
                  <wp:effectExtent l="0" t="0" r="3810" b="0"/>
                  <wp:docPr id="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高身保洁柜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1.采用304不锈钢板制造，侧板、门板、背板、底板厚1.0mm；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Cs/>
                <w:color w:val="auto"/>
                <w:kern w:val="0"/>
                <w:szCs w:val="21"/>
                <w:highlight w:val="none"/>
              </w:rPr>
              <w:drawing>
                <wp:inline distT="0" distB="0" distL="0" distR="0">
                  <wp:extent cx="346075" cy="395605"/>
                  <wp:effectExtent l="0" t="0" r="9525" b="1079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24" r:link="rId29">
                            <a:extLst>
                              <a:ext uri="{28A0092B-C50C-407E-A947-70E740481C1C}">
                                <a14:useLocalDpi xmlns:a14="http://schemas.microsoft.com/office/drawing/2010/main" val="0"/>
                              </a:ext>
                            </a:extLst>
                          </a:blip>
                          <a:stretch>
                            <a:fillRect/>
                          </a:stretch>
                        </pic:blipFill>
                        <pic:spPr>
                          <a:xfrm>
                            <a:off x="0" y="0"/>
                            <a:ext cx="346075" cy="3956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排烟系统</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不锈钢排油烟风管</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bCs/>
                <w:color w:val="auto"/>
                <w:szCs w:val="21"/>
                <w:highlight w:val="none"/>
              </w:rPr>
              <w:drawing>
                <wp:inline distT="0" distB="0" distL="0" distR="0">
                  <wp:extent cx="393700" cy="334645"/>
                  <wp:effectExtent l="0" t="0" r="0" b="8255"/>
                  <wp:docPr id="2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94193" cy="33548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36、杭州市丁荷第二幼儿园厨房设备采购需求（预算：0.46万元）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双层送餐车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1.采用304不锈钢制造，面板厚度1.0mm；</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2.把手弯管及立柱为整管折弯，采用φ25mm厚度1.0mm制作；</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3.配4个4"优质橡胶脚轮，其中两个带刹车掣；</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4.提供同类产品的抗拉强度、耐温度性能、耐腐蚀性能检测报告。</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规格：820*450*900mm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382905" cy="323850"/>
                  <wp:effectExtent l="0" t="0" r="10795" b="6350"/>
                  <wp:docPr id="352" name="图片 173" descr="收碗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73" descr="收碗车.jpg"/>
                          <pic:cNvPicPr>
                            <a:picLocks noChangeAspect="1"/>
                          </pic:cNvPicPr>
                        </pic:nvPicPr>
                        <pic:blipFill>
                          <a:blip r:embed="rId153">
                            <a:lum/>
                          </a:blip>
                          <a:stretch>
                            <a:fillRect/>
                          </a:stretch>
                        </pic:blipFill>
                        <pic:spPr>
                          <a:xfrm>
                            <a:off x="0" y="0"/>
                            <a:ext cx="383048" cy="323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1.采用优质不锈钢板制造，骨架厚1.0mm；格栅档厚1.0mm；</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3.提供同类产品的抗拉强度、耐温度性能、耐腐蚀性能检测报告。</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37-1、杭州市笕和幼儿园厨房设备采购需求（预算：4万元）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高速风幕机</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款式：壁挂版风速：12—8 m/s</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2.风量：1160-1380 m³/h。噪音：50-55 db</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3.适用高度：2-3 m</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4.开关：按键式。</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注：属易损件。</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规格：L＝1000—1500mm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90525" cy="304800"/>
                  <wp:effectExtent l="0" t="0" r="3175" b="0"/>
                  <wp:docPr id="354" name="图片 114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144" descr="风幕机"/>
                          <pic:cNvPicPr>
                            <a:picLocks noChangeAspect="1" noChangeArrowheads="1"/>
                          </pic:cNvPicPr>
                        </pic:nvPicPr>
                        <pic:blipFill>
                          <a:blip r:embed="rId37">
                            <a:extLst>
                              <a:ext uri="{28A0092B-C50C-407E-A947-70E740481C1C}">
                                <a14:useLocalDpi xmlns:a14="http://schemas.microsoft.com/office/drawing/2010/main" val="0"/>
                              </a:ext>
                            </a:extLst>
                          </a:blip>
                          <a:srcRect l="3922" t="23376" r="4903" b="18182"/>
                          <a:stretch>
                            <a:fillRect/>
                          </a:stretch>
                        </pic:blipFill>
                        <pic:spPr>
                          <a:xfrm>
                            <a:off x="0" y="0"/>
                            <a:ext cx="390525" cy="304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高速风幕机</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款式：壁挂版风速：12—8 m/s</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2.风量：1160-1380 m³/h。噪音：50-55 db</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3.适用高度：2-3 m</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4.开关：按键式。</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注：属易损件。</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规格：L＝1000—1500mm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90525" cy="304800"/>
                  <wp:effectExtent l="0" t="0" r="3175" b="0"/>
                  <wp:docPr id="355" name="图片 114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1144" descr="风幕机"/>
                          <pic:cNvPicPr>
                            <a:picLocks noChangeAspect="1" noChangeArrowheads="1"/>
                          </pic:cNvPicPr>
                        </pic:nvPicPr>
                        <pic:blipFill>
                          <a:blip r:embed="rId37">
                            <a:extLst>
                              <a:ext uri="{28A0092B-C50C-407E-A947-70E740481C1C}">
                                <a14:useLocalDpi xmlns:a14="http://schemas.microsoft.com/office/drawing/2010/main" val="0"/>
                              </a:ext>
                            </a:extLst>
                          </a:blip>
                          <a:srcRect l="3922" t="23376" r="4903" b="18182"/>
                          <a:stretch>
                            <a:fillRect/>
                          </a:stretch>
                        </pic:blipFill>
                        <pic:spPr>
                          <a:xfrm>
                            <a:off x="0" y="0"/>
                            <a:ext cx="390525" cy="304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高速风幕机</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款式：壁挂版风速：12—8 m/s</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2.风量：1160-1380 m³/h。噪音：50-55 db</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3.适用高度：2-3 m</w:t>
            </w:r>
            <w:r>
              <w:rPr>
                <w:rFonts w:hint="eastAsia" w:ascii="宋体" w:hAnsi="宋体" w:cs="宋体"/>
                <w:color w:val="auto"/>
                <w:kern w:val="0"/>
                <w:szCs w:val="21"/>
                <w:highlight w:val="none"/>
              </w:rPr>
              <w:t>；</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4.开关：按键式。</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注：属易损件。</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规格：L＝1000—1500mm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90525" cy="304800"/>
                  <wp:effectExtent l="0" t="0" r="3175" b="0"/>
                  <wp:docPr id="356" name="图片 1144" descr="风幕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144" descr="风幕机"/>
                          <pic:cNvPicPr>
                            <a:picLocks noChangeAspect="1" noChangeArrowheads="1"/>
                          </pic:cNvPicPr>
                        </pic:nvPicPr>
                        <pic:blipFill>
                          <a:blip r:embed="rId37">
                            <a:extLst>
                              <a:ext uri="{28A0092B-C50C-407E-A947-70E740481C1C}">
                                <a14:useLocalDpi xmlns:a14="http://schemas.microsoft.com/office/drawing/2010/main" val="0"/>
                              </a:ext>
                            </a:extLst>
                          </a:blip>
                          <a:srcRect l="3922" t="23376" r="4903" b="18182"/>
                          <a:stretch>
                            <a:fillRect/>
                          </a:stretch>
                        </pic:blipFill>
                        <pic:spPr>
                          <a:xfrm>
                            <a:off x="0" y="0"/>
                            <a:ext cx="390525" cy="304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农药检测仪</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1.蔬菜及水果中有机磷及氨基甲酸酯类农药残留的快速定性检测</w:t>
            </w:r>
            <w:r>
              <w:rPr>
                <w:rFonts w:hint="eastAsia" w:ascii="宋体" w:hAnsi="宋体" w:cs="宋体"/>
                <w:color w:val="auto"/>
                <w:kern w:val="0"/>
                <w:szCs w:val="21"/>
                <w:highlight w:val="none"/>
              </w:rPr>
              <w:t>；</w:t>
            </w:r>
          </w:p>
          <w:p>
            <w:pPr>
              <w:widowControl/>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2.7寸以上彩色液晶显示</w:t>
            </w:r>
            <w:r>
              <w:rPr>
                <w:rFonts w:hint="eastAsia" w:ascii="宋体" w:hAnsi="宋体" w:cs="宋体"/>
                <w:color w:val="auto"/>
                <w:kern w:val="0"/>
                <w:szCs w:val="21"/>
                <w:highlight w:val="none"/>
              </w:rPr>
              <w:t>；</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3.带自动打印和电脑通讯接口，8通道。 </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规格：470*280*150</w:t>
            </w:r>
            <w:r>
              <w:rPr>
                <w:rFonts w:hint="eastAsia" w:ascii="宋体" w:hAnsi="宋体" w:cs="宋体"/>
                <w:color w:val="auto"/>
                <w:szCs w:val="21"/>
                <w:highlight w:val="none"/>
              </w:rPr>
              <w:t>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60045" cy="304800"/>
                  <wp:effectExtent l="0" t="0" r="8255" b="0"/>
                  <wp:docPr id="357" name="图片 42" descr="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42" descr="1_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361803" cy="30592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农残检测冰箱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1.内外箱均为优质不锈钢板，黑色钢化玻璃台面，台面分为整备区域和称重区域；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3.配备数显电子温控（数显数控），门框内部防凝露装置，防止门框结露、滴水；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4.温度范围：冷藏2℃～12℃；</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5.功率/电压：≤400W/220V；</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规格：900*670*900+400mm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0" distR="0">
                  <wp:extent cx="391795" cy="431165"/>
                  <wp:effectExtent l="0" t="0" r="1905"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393775" cy="43364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诱捕式灭蝇灯</w:t>
            </w:r>
          </w:p>
        </w:tc>
        <w:tc>
          <w:tcPr>
            <w:tcW w:w="3036" w:type="pct"/>
            <w:tcBorders>
              <w:top w:val="single" w:color="auto" w:sz="4" w:space="0"/>
              <w:left w:val="single" w:color="auto" w:sz="4" w:space="0"/>
              <w:bottom w:val="single" w:color="auto" w:sz="4" w:space="0"/>
              <w:right w:val="single" w:color="auto" w:sz="4" w:space="0"/>
            </w:tcBorders>
            <w:vAlign w:val="center"/>
          </w:tcPr>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说明：</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1.电压：220V；</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2.功率：≥16W；</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3.灯管：2*8w灭蝇灯灯管，波长在260～280mm有效吸引蚊虫苍蝇；</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4.覆盖面积≥40㎡；</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5.外壳ABS防阻燃材料；</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6.灯具内部设有托盘、可放置粘捕纸粘黏蚊蝇。</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规格：380*120*290mm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b/>
                <w:color w:val="auto"/>
                <w:kern w:val="0"/>
                <w:szCs w:val="21"/>
                <w:highlight w:val="none"/>
              </w:rPr>
              <w:drawing>
                <wp:inline distT="0" distB="0" distL="114300" distR="114300">
                  <wp:extent cx="265430" cy="194310"/>
                  <wp:effectExtent l="0" t="0" r="1270" b="8890"/>
                  <wp:docPr id="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
                          <pic:cNvPicPr>
                            <a:picLocks noChangeAspect="1"/>
                          </pic:cNvPicPr>
                        </pic:nvPicPr>
                        <pic:blipFill>
                          <a:blip r:embed="rId156"/>
                          <a:stretch>
                            <a:fillRect/>
                          </a:stretch>
                        </pic:blipFill>
                        <pic:spPr>
                          <a:xfrm>
                            <a:off x="0" y="0"/>
                            <a:ext cx="265430" cy="194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工作人员晨检机</w:t>
            </w:r>
          </w:p>
        </w:tc>
        <w:tc>
          <w:tcPr>
            <w:tcW w:w="3036" w:type="pct"/>
            <w:tcBorders>
              <w:top w:val="single" w:color="auto" w:sz="4" w:space="0"/>
              <w:left w:val="single" w:color="auto" w:sz="4" w:space="0"/>
              <w:bottom w:val="single" w:color="auto" w:sz="4" w:space="0"/>
              <w:right w:val="single" w:color="auto" w:sz="4" w:space="0"/>
            </w:tcBorders>
            <w:vAlign w:val="center"/>
          </w:tcPr>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说明：</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设备安装需要应用场景有2.4G无线WIFI信号，且可以连接外网。</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rPr>
              <w:t>规格：21.5寸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color w:val="auto"/>
                <w:kern w:val="0"/>
                <w:szCs w:val="21"/>
                <w:highlight w:val="none"/>
              </w:rPr>
            </w:pPr>
            <w:r>
              <w:rPr>
                <w:rFonts w:ascii="宋体" w:hAnsi="宋体" w:cs="宋体"/>
                <w:color w:val="auto"/>
                <w:kern w:val="0"/>
                <w:szCs w:val="21"/>
                <w:highlight w:val="none"/>
              </w:rPr>
              <w:drawing>
                <wp:inline distT="0" distB="0" distL="114300" distR="114300">
                  <wp:extent cx="314325" cy="361950"/>
                  <wp:effectExtent l="0" t="0" r="3175" b="6350"/>
                  <wp:docPr id="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
                          <pic:cNvPicPr>
                            <a:picLocks noChangeAspect="1"/>
                          </pic:cNvPicPr>
                        </pic:nvPicPr>
                        <pic:blipFill>
                          <a:blip r:embed="rId171"/>
                          <a:stretch>
                            <a:fillRect/>
                          </a:stretch>
                        </pic:blipFill>
                        <pic:spPr>
                          <a:xfrm>
                            <a:off x="0" y="0"/>
                            <a:ext cx="314325" cy="361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阳光厨房显示器</w:t>
            </w:r>
          </w:p>
        </w:tc>
        <w:tc>
          <w:tcPr>
            <w:tcW w:w="3036" w:type="pct"/>
            <w:tcBorders>
              <w:top w:val="single" w:color="auto" w:sz="4" w:space="0"/>
              <w:left w:val="single" w:color="auto" w:sz="4" w:space="0"/>
              <w:bottom w:val="single" w:color="auto" w:sz="4" w:space="0"/>
              <w:right w:val="single" w:color="auto" w:sz="4" w:space="0"/>
            </w:tcBorders>
            <w:vAlign w:val="center"/>
          </w:tcPr>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说明：</w:t>
            </w:r>
          </w:p>
          <w:p>
            <w:pPr>
              <w:pStyle w:val="2"/>
              <w:widowControl/>
              <w:spacing w:line="300" w:lineRule="exact"/>
              <w:ind w:firstLine="0"/>
              <w:rPr>
                <w:rFonts w:hAnsi="宋体" w:cs="宋体"/>
                <w:color w:val="auto"/>
                <w:kern w:val="0"/>
                <w:sz w:val="21"/>
                <w:szCs w:val="21"/>
                <w:highlight w:val="none"/>
                <w:lang w:val="en-US"/>
              </w:rPr>
            </w:pPr>
            <w:r>
              <w:rPr>
                <w:rFonts w:hint="eastAsia" w:hAnsi="宋体" w:cs="宋体"/>
                <w:color w:val="auto"/>
                <w:kern w:val="0"/>
                <w:sz w:val="21"/>
                <w:szCs w:val="21"/>
                <w:highlight w:val="none"/>
                <w:lang w:val="en-US"/>
              </w:rPr>
              <w:t>液晶显示</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规格：</w:t>
            </w:r>
            <w:r>
              <w:rPr>
                <w:rFonts w:hint="eastAsia" w:hAnsi="宋体" w:cs="宋体"/>
                <w:color w:val="auto"/>
                <w:kern w:val="0"/>
                <w:sz w:val="21"/>
                <w:szCs w:val="21"/>
                <w:highlight w:val="none"/>
                <w:lang w:val="en-US"/>
              </w:rPr>
              <w:t>≥</w:t>
            </w:r>
            <w:r>
              <w:rPr>
                <w:rFonts w:hint="eastAsia" w:hAnsi="宋体" w:cs="宋体"/>
                <w:color w:val="auto"/>
                <w:kern w:val="0"/>
                <w:sz w:val="21"/>
                <w:szCs w:val="21"/>
                <w:highlight w:val="none"/>
              </w:rPr>
              <w:t>21寸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89890" cy="254635"/>
                  <wp:effectExtent l="0" t="0" r="3810" b="12065"/>
                  <wp:docPr id="22778" name="图片 2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8" name="图片 2277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38989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众食安物联设备</w:t>
            </w:r>
          </w:p>
        </w:tc>
        <w:tc>
          <w:tcPr>
            <w:tcW w:w="3036" w:type="pct"/>
            <w:tcBorders>
              <w:top w:val="single" w:color="auto" w:sz="4" w:space="0"/>
              <w:left w:val="single" w:color="auto" w:sz="4" w:space="0"/>
              <w:bottom w:val="single" w:color="auto" w:sz="4" w:space="0"/>
              <w:right w:val="single" w:color="auto" w:sz="4" w:space="0"/>
            </w:tcBorders>
            <w:vAlign w:val="center"/>
          </w:tcPr>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说明：</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1.智能看板：设备安装需要应用场景有2.4G无线WIFI信号，且可以连接外网。</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2.DX-紫外线消毒监测传感器-4G三开：远程或定时控制紫外线灯的开关，监测紫外线灯消毒时间、状态，提供未消毒提醒预警，设备安装需要应用场景有2.4G无线WIFI信号，且可以连接外网。</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3.DX-温湿度监测传感器-4G主机：</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接收采集节点的温湿度数据并上传到云端，设备安装需要应用场景有2.4G无线WIFI信号，且可以连接外网。</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4.DX-温湿度监测传感器-4G节点：</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监测冰箱内的实时温度湿度，app预警，设备安装需要应用场景有2.4G无线WIFI信号，且可以连接外网。</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5.DX-消毒监测传感器-4G高温节点：监测大功率消毒设备或洗碗机的实时温度湿度，app预警，设备安装需要应用场景有2.4G无线WIFI信号，且可以连接外网。</w:t>
            </w:r>
          </w:p>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6.AI视频分析智能监测：分析1路监控视频画面智能分析抓拍，含AI分析服务。设备安装需要应用场景有2.4G无线WIFI信号，且可以连接外网。负责接入余杭区市场监督管理局城市大脑。</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89890" cy="254635"/>
                  <wp:effectExtent l="0" t="0" r="3810" b="1206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38989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净水器</w:t>
            </w:r>
          </w:p>
        </w:tc>
        <w:tc>
          <w:tcPr>
            <w:tcW w:w="3036" w:type="pct"/>
            <w:tcBorders>
              <w:top w:val="single" w:color="auto" w:sz="4" w:space="0"/>
              <w:left w:val="single" w:color="auto" w:sz="4" w:space="0"/>
              <w:bottom w:val="single" w:color="auto" w:sz="4" w:space="0"/>
              <w:right w:val="single" w:color="auto" w:sz="4" w:space="0"/>
            </w:tcBorders>
            <w:vAlign w:val="center"/>
          </w:tcPr>
          <w:p>
            <w:pPr>
              <w:pStyle w:val="2"/>
              <w:widowControl/>
              <w:spacing w:line="300" w:lineRule="exact"/>
              <w:ind w:firstLine="0"/>
              <w:rPr>
                <w:rFonts w:hAnsi="宋体" w:cs="宋体"/>
                <w:color w:val="auto"/>
                <w:kern w:val="0"/>
                <w:sz w:val="21"/>
                <w:szCs w:val="21"/>
                <w:highlight w:val="none"/>
              </w:rPr>
            </w:pPr>
            <w:r>
              <w:rPr>
                <w:rFonts w:hint="eastAsia" w:hAnsi="宋体" w:cs="宋体"/>
                <w:color w:val="auto"/>
                <w:kern w:val="0"/>
                <w:sz w:val="21"/>
                <w:szCs w:val="21"/>
                <w:highlight w:val="none"/>
              </w:rPr>
              <w:t>说明：</w:t>
            </w:r>
            <w:r>
              <w:rPr>
                <w:rFonts w:hint="eastAsia" w:hAnsi="宋体" w:cs="宋体"/>
                <w:color w:val="auto"/>
                <w:kern w:val="0"/>
                <w:sz w:val="21"/>
                <w:szCs w:val="21"/>
                <w:highlight w:val="none"/>
              </w:rPr>
              <w:br w:type="textWrapping"/>
            </w:r>
            <w:r>
              <w:rPr>
                <w:rFonts w:hint="eastAsia" w:hAnsi="宋体" w:cs="宋体"/>
                <w:color w:val="auto"/>
                <w:kern w:val="0"/>
                <w:sz w:val="21"/>
                <w:szCs w:val="21"/>
                <w:highlight w:val="none"/>
              </w:rPr>
              <w:t>1.处理水量 6.3升/分钟（标配三个3转3 一个3转2 不锈钢3通3分口球阀）；</w:t>
            </w:r>
            <w:r>
              <w:rPr>
                <w:rFonts w:hint="eastAsia" w:hAnsi="宋体" w:cs="宋体"/>
                <w:color w:val="auto"/>
                <w:kern w:val="0"/>
                <w:sz w:val="21"/>
                <w:szCs w:val="21"/>
                <w:highlight w:val="none"/>
              </w:rPr>
              <w:br w:type="textWrapping"/>
            </w:r>
            <w:r>
              <w:rPr>
                <w:rFonts w:hint="eastAsia" w:hAnsi="宋体" w:cs="宋体"/>
                <w:color w:val="auto"/>
                <w:kern w:val="0"/>
                <w:sz w:val="21"/>
                <w:szCs w:val="21"/>
                <w:highlight w:val="none"/>
              </w:rPr>
              <w:t>2.瞬间流量;6.3升；</w:t>
            </w:r>
            <w:r>
              <w:rPr>
                <w:rFonts w:hint="eastAsia" w:hAnsi="宋体" w:cs="宋体"/>
                <w:color w:val="auto"/>
                <w:kern w:val="0"/>
                <w:sz w:val="21"/>
                <w:szCs w:val="21"/>
                <w:highlight w:val="none"/>
              </w:rPr>
              <w:br w:type="textWrapping"/>
            </w:r>
            <w:r>
              <w:rPr>
                <w:rFonts w:hint="eastAsia" w:hAnsi="宋体" w:cs="宋体"/>
                <w:color w:val="auto"/>
                <w:kern w:val="0"/>
                <w:sz w:val="21"/>
                <w:szCs w:val="21"/>
                <w:highlight w:val="none"/>
              </w:rPr>
              <w:t xml:space="preserve">3.处理水量：9000GAL； </w:t>
            </w:r>
            <w:r>
              <w:rPr>
                <w:rFonts w:hint="eastAsia" w:hAnsi="宋体" w:cs="宋体"/>
                <w:color w:val="auto"/>
                <w:kern w:val="0"/>
                <w:sz w:val="21"/>
                <w:szCs w:val="21"/>
                <w:highlight w:val="none"/>
              </w:rPr>
              <w:br w:type="textWrapping"/>
            </w:r>
            <w:r>
              <w:rPr>
                <w:rFonts w:hint="eastAsia" w:hAnsi="宋体" w:cs="宋体"/>
                <w:color w:val="auto"/>
                <w:kern w:val="0"/>
                <w:sz w:val="21"/>
                <w:szCs w:val="21"/>
                <w:highlight w:val="none"/>
              </w:rPr>
              <w:t xml:space="preserve">4.运输流量：6ibs </w:t>
            </w:r>
            <w:r>
              <w:rPr>
                <w:rFonts w:hint="eastAsia" w:hAnsi="宋体" w:cs="宋体"/>
                <w:color w:val="auto"/>
                <w:kern w:val="0"/>
                <w:sz w:val="21"/>
                <w:szCs w:val="21"/>
                <w:highlight w:val="none"/>
              </w:rPr>
              <w:br w:type="textWrapping"/>
            </w:r>
            <w:r>
              <w:rPr>
                <w:rFonts w:hint="eastAsia" w:hAnsi="宋体" w:cs="宋体"/>
                <w:color w:val="auto"/>
                <w:kern w:val="0"/>
                <w:sz w:val="21"/>
                <w:szCs w:val="21"/>
                <w:highlight w:val="none"/>
              </w:rPr>
              <w:t>规格：350*180*680mm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04800" cy="285750"/>
                  <wp:effectExtent l="0" t="0" r="0" b="635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304800" cy="28594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高身玻璃门冰箱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规格：600*750*1960mm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284480" cy="426720"/>
                  <wp:effectExtent l="0" t="0" r="7620" b="5080"/>
                  <wp:docPr id="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284480" cy="4267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洗地龙头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1.开放式洗地龙头、碳钢主体，表面环氧喷涂处理；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2.固定侧支架钢板厚度5mm，黄铜进水主体；</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3.10.7米重工无痕三层液压钢丝管（蓝色）、与主体接口为金属连接件、耐温85度；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4.黄铜铸造枪式喷头、配有橡胶保护套水压可调。（配置一把喷头）；进水接口为标准1/2"外螺纹；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5.产品符合管理体系认证要求并提供证书副印件；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6.产品技术要求符合QB/T1334-2013《水嘴通用技术条件》标准要求并提供相应</w:t>
            </w:r>
            <w:r>
              <w:rPr>
                <w:rFonts w:hint="eastAsia" w:ascii="宋体" w:hAnsi="宋体" w:cs="宋体"/>
                <w:color w:val="auto"/>
                <w:szCs w:val="21"/>
                <w:highlight w:val="none"/>
                <w:lang w:eastAsia="zh"/>
              </w:rPr>
              <w:t>检测报告</w:t>
            </w:r>
            <w:r>
              <w:rPr>
                <w:rFonts w:hint="eastAsia" w:ascii="宋体" w:hAnsi="宋体" w:cs="宋体"/>
                <w:color w:val="auto"/>
                <w:szCs w:val="21"/>
                <w:highlight w:val="none"/>
              </w:rPr>
              <w:t>。</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00355" cy="316865"/>
                  <wp:effectExtent l="0" t="0" r="4445" b="63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163" r:link="rId29">
                            <a:extLst>
                              <a:ext uri="{28A0092B-C50C-407E-A947-70E740481C1C}">
                                <a14:useLocalDpi xmlns:a14="http://schemas.microsoft.com/office/drawing/2010/main" val="0"/>
                              </a:ext>
                            </a:extLst>
                          </a:blip>
                          <a:stretch>
                            <a:fillRect/>
                          </a:stretch>
                        </pic:blipFill>
                        <pic:spPr>
                          <a:xfrm>
                            <a:off x="0" y="0"/>
                            <a:ext cx="300355" cy="316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37-2、杭州市笕和幼儿园厨房设备采购需求（预算：12万元）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拖把池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规格：600*600*600mm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37820" cy="312420"/>
                  <wp:effectExtent l="0" t="0" r="5080" b="508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37820" cy="312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单温水龙头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1.座台式安装，单孔单温，长柄平颈水嘴；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3.陶瓷阀芯一字开形手柄；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4.开孔尺寸为25mm，进水接口为1/2"内螺纹；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5.属节水产品，水嘴技术要求须符合 GB 18145-2014《陶瓷片密封水嘴》、GB25501-2019《水嘴水效限定值及水效等级》要求，并提供认证证书；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规格：常规单冷</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228600" cy="303530"/>
                  <wp:effectExtent l="0" t="0" r="0" b="1270"/>
                  <wp:docPr id="368" name="图片 2" descr="155134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2" descr="1551340491"/>
                          <pic:cNvPicPr>
                            <a:picLocks noChangeAspect="1"/>
                          </pic:cNvPicPr>
                        </pic:nvPicPr>
                        <pic:blipFill>
                          <a:blip r:embed="rId133"/>
                          <a:stretch>
                            <a:fillRect/>
                          </a:stretch>
                        </pic:blipFill>
                        <pic:spPr>
                          <a:xfrm>
                            <a:off x="0" y="0"/>
                            <a:ext cx="228600" cy="303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adjustRightInd/>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adjustRightInd/>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1790" cy="318770"/>
                  <wp:effectExtent l="0" t="0" r="3810" b="1143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351790"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5.开孔尺寸为25mm ，接口为标准4分外螺纹；</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6.属节水产品，水嘴技术要求须符合 GB25501-2019《水嘴水效限定值及水效等级》要求，并提供认证证书；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注：属易损件。</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114300" distR="114300">
                  <wp:extent cx="199390" cy="203200"/>
                  <wp:effectExtent l="0" t="0" r="3810" b="0"/>
                  <wp:docPr id="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247650" cy="460375"/>
                  <wp:effectExtent l="0" t="0" r="6350" b="9525"/>
                  <wp:docPr id="37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7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249330" cy="4640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规格：1800*800*800mm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418465" cy="278765"/>
                  <wp:effectExtent l="0" t="0" r="635" b="635"/>
                  <wp:docPr id="3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大米架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1.立柱：38×38×1.0mm采用优质不锈钢管；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2.格栅管：38×25×1.0mm采用优质不锈钢管；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3.横挡管：38×25×1.0mm采用优质不锈钢管。</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规格：1200*500*300mm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89890" cy="217170"/>
                  <wp:effectExtent l="0" t="0" r="3810" b="1143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09" r:link="rId29">
                            <a:extLst>
                              <a:ext uri="{28A0092B-C50C-407E-A947-70E740481C1C}">
                                <a14:useLocalDpi xmlns:a14="http://schemas.microsoft.com/office/drawing/2010/main" val="0"/>
                              </a:ext>
                            </a:extLst>
                          </a:blip>
                          <a:stretch>
                            <a:fillRect/>
                          </a:stretch>
                        </pic:blipFill>
                        <pic:spPr>
                          <a:xfrm>
                            <a:off x="0" y="0"/>
                            <a:ext cx="389890" cy="2171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四层平板货架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1.采用优质不锈钢板制造，骨架厚1.0mm；格栅档厚1.0mm；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2.脚管采用201不锈钢管制造，φ38mm厚度1.0mm不锈钢管，下配可调节子弹脚；</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29565" cy="364490"/>
                  <wp:effectExtent l="0" t="0" r="635" b="381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108" r:link="rId29">
                            <a:extLst>
                              <a:ext uri="{28A0092B-C50C-407E-A947-70E740481C1C}">
                                <a14:useLocalDpi xmlns:a14="http://schemas.microsoft.com/office/drawing/2010/main" val="0"/>
                              </a:ext>
                            </a:extLst>
                          </a:blip>
                          <a:stretch>
                            <a:fillRect/>
                          </a:stretch>
                        </pic:blipFill>
                        <pic:spPr>
                          <a:xfrm>
                            <a:off x="0" y="0"/>
                            <a:ext cx="329565" cy="36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427355" cy="318770"/>
                  <wp:effectExtent l="0" t="0" r="4445" b="1143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114300" distR="114300">
                  <wp:extent cx="199390" cy="203200"/>
                  <wp:effectExtent l="0" t="0" r="3810" b="0"/>
                  <wp:docPr id="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双向打荷台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1.采用304不锈钢板制作，面板厚1.0mm，门板、层板、底板厚1.0mm；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428625" cy="299720"/>
                  <wp:effectExtent l="0" t="0" r="3175" b="5080"/>
                  <wp:docPr id="1149248" name="图片 114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48" name="图片 1149248"/>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28625" cy="299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炊用燃气大锅灶（双眼）</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1.材质：面板采用优质304不锈钢板，厚1.2mm；</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2.炉身侧板及炉背板1.0mm不锈钢板；</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3.炉通脚直径50mm无缝不锈钢管；</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4.炉通脚内含支承炉身的钢柱以及可调炉身的高度的子弹脚；</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5.炉膛内采用耐火砖、耐火泥砌筑；</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7.排烟采用A3板排烟道口和排烟口；</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8.一按式电子点火；实时熄火保护设计；</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9.产品单眼热负荷约45kW，能源利用热效率≥75%；运行噪音≤60dB，燃烧工况干烟气中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10.提供同类产品的食品接触产品安全认证证书。</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规格：2000*1200*800+450mm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0" distR="0">
                  <wp:extent cx="469900" cy="324485"/>
                  <wp:effectExtent l="0" t="0" r="0" b="5715"/>
                  <wp:docPr id="11492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49"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1.采用304不锈钢板制造，台面1.0mm；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2.脚管采用厚1.0mm 不锈钢管，下配可调子弹脚厚1.0mm；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规格：500*1200*800mm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292100" cy="300355"/>
                  <wp:effectExtent l="0" t="0" r="0" b="4445"/>
                  <wp:docPr id="1149250" name="图片 114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0" name="图片 1149250"/>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292100" cy="300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刀具砧板消毒柜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2.毒方式：紫外线+臭氧红外线+循环风；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3.毒刀数量：0-10把；消毒毛巾数量：0-12块；消毒砧板数量：0-8块（厚0-20cm）；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4.电压：220V；紫外线功率：约18W；红外线功率：约300W；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5.提供同类产品的抗拉强度、耐温度性能、耐腐蚀性能及电器安全性能检测报告；</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6.提供刀具砧板消毒柜符合《家用和类似用途电器的安全 第1部分：通用要求》、《食品安全国家标准食品接触材料及制品 砷、镉、铬、铅的测定和砷、镉、铬、镍、铅、锑、锌迁移量的测定》）的检测报告；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规格：1200*600*1800mm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04800" cy="485775"/>
                  <wp:effectExtent l="0" t="0" r="0" b="9525"/>
                  <wp:docPr id="1149251" name="图片 114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1" name="图片 1149251"/>
                          <pic:cNvPicPr>
                            <a:picLocks noChangeAspect="1"/>
                          </pic:cNvPicPr>
                        </pic:nvPicPr>
                        <pic:blipFill>
                          <a:blip r:embed="rId138" r:link="rId29">
                            <a:extLst>
                              <a:ext uri="{28A0092B-C50C-407E-A947-70E740481C1C}">
                                <a14:useLocalDpi xmlns:a14="http://schemas.microsoft.com/office/drawing/2010/main" val="0"/>
                              </a:ext>
                            </a:extLst>
                          </a:blip>
                          <a:stretch>
                            <a:fillRect/>
                          </a:stretch>
                        </pic:blipFill>
                        <pic:spPr>
                          <a:xfrm>
                            <a:off x="0" y="0"/>
                            <a:ext cx="304800" cy="485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79095" cy="409575"/>
                  <wp:effectExtent l="0" t="0" r="1905" b="9525"/>
                  <wp:docPr id="1149252"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2" name="图片 214"/>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379328" cy="40957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不锈钢</w:t>
            </w:r>
            <w:r>
              <w:rPr>
                <w:rFonts w:hint="eastAsia" w:ascii="宋体" w:hAnsi="宋体" w:cs="宋体"/>
                <w:color w:val="auto"/>
                <w:szCs w:val="21"/>
                <w:highlight w:val="none"/>
              </w:rPr>
              <w:t>排油烟罩(</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1.采用304优质发纹贴塑不锈钢板制造，厚1.0mm；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2.配双层隔油烟排，积油杯，防爆灯；</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3.所投产品提供符合国家环保要求中国环境标志（II型）认证证书；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提供同类产品的抗拉强度、耐温度性能、耐腐蚀性能检测报告；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szCs w:val="21"/>
                <w:highlight w:val="none"/>
              </w:rPr>
              <w:t>5.提供同类产品的耐火完整性≥120min；满足《金属家具通用技术条件》\《建筑材料不燃性试验方法》\《建筑材料及制品的燃烧性能燃烧热值的测定》\《建筑材料及制品燃烧性能分级》要求的检测报告。</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规格：5400*1400*500mm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7.6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431165" cy="219075"/>
                  <wp:effectExtent l="0" t="0" r="635" b="9525"/>
                  <wp:docPr id="114925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3" name="图片 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434821" cy="22072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单星水池连平台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规格：900*500*800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149254" name="图片 114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4" name="图片 1149254"/>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感应龙头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1.工作电压：1.5V*4（四节五号干电池）或者220V  50/60HZ交流电；</w:t>
            </w:r>
          </w:p>
          <w:p>
            <w:pPr>
              <w:widowControl/>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2.工作水压：0.1-0.6MPa 可接冷热混水，出水温度可调；</w:t>
            </w:r>
          </w:p>
          <w:p>
            <w:pPr>
              <w:widowControl/>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3.台式安装黄铜铸造水嘴，表面镀铬处理；</w:t>
            </w:r>
          </w:p>
          <w:p>
            <w:pPr>
              <w:widowControl/>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4.接水口口径为1/2"外螺纹；</w:t>
            </w:r>
          </w:p>
          <w:p>
            <w:pPr>
              <w:widowControl/>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5.产品技术条件须符合《非接触式给水器具》、《水嘴水效限定值及水效等级》标准要求并提供相应证书。</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规格：160*62*169mm±5%</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285750" cy="221615"/>
                  <wp:effectExtent l="0" t="0" r="6350" b="6985"/>
                  <wp:docPr id="1149255" name="图片 114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5" name="图片 114925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285750" cy="2216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单向调理台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1.采用304不锈钢板制作，面板厚1.0mm，门板、层板、底板厚1.0mm；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428625" cy="299720"/>
                  <wp:effectExtent l="0" t="0" r="3175" b="5080"/>
                  <wp:docPr id="1149256" name="图片 114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6" name="图片 1149256"/>
                          <pic:cNvPicPr>
                            <a:picLocks noChangeAspect="1"/>
                          </pic:cNvPicPr>
                        </pic:nvPicPr>
                        <pic:blipFill>
                          <a:blip r:embed="rId70" r:link="rId29">
                            <a:extLst>
                              <a:ext uri="{28A0092B-C50C-407E-A947-70E740481C1C}">
                                <a14:useLocalDpi xmlns:a14="http://schemas.microsoft.com/office/drawing/2010/main" val="0"/>
                              </a:ext>
                            </a:extLst>
                          </a:blip>
                          <a:stretch>
                            <a:fillRect/>
                          </a:stretch>
                        </pic:blipFill>
                        <pic:spPr>
                          <a:xfrm>
                            <a:off x="0" y="0"/>
                            <a:ext cx="428625" cy="299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427355" cy="318770"/>
                  <wp:effectExtent l="0" t="0" r="4445" b="11430"/>
                  <wp:docPr id="1149257" name="图片 114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7" name="图片 1149257"/>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114300" distR="114300">
                  <wp:extent cx="199390" cy="203200"/>
                  <wp:effectExtent l="0" t="0" r="3810" b="0"/>
                  <wp:docPr id="1149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8"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149259" name="图片 11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9" name="图片 1149259"/>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双星水池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规格：1500*700*800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427355" cy="318770"/>
                  <wp:effectExtent l="0" t="0" r="4445" b="11430"/>
                  <wp:docPr id="1149260" name="图片 114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0" name="图片 1149260"/>
                          <pic:cNvPicPr>
                            <a:picLocks noChangeAspect="1"/>
                          </pic:cNvPicPr>
                        </pic:nvPicPr>
                        <pic:blipFill>
                          <a:blip r:embed="rId110" r:link="rId29">
                            <a:extLst>
                              <a:ext uri="{28A0092B-C50C-407E-A947-70E740481C1C}">
                                <a14:useLocalDpi xmlns:a14="http://schemas.microsoft.com/office/drawing/2010/main" val="0"/>
                              </a:ext>
                            </a:extLst>
                          </a:blip>
                          <a:stretch>
                            <a:fillRect/>
                          </a:stretch>
                        </pic:blipFill>
                        <pic:spPr>
                          <a:xfrm>
                            <a:off x="0" y="0"/>
                            <a:ext cx="427355" cy="318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混水龙头</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1.座台式安装，双孔双温平颈水嘴；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2.低铅铜铸造表面抛光镀铬处理；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3.配1/4转优质陶瓷阀芯一字型手柄；</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4.冷热接口开孔间距为203mm，采用偏芯设计可微调；</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5.开孔尺寸为25mm ，接口为标准4分外螺纹。 </w:t>
            </w:r>
            <w:r>
              <w:rPr>
                <w:rFonts w:hint="eastAsia" w:ascii="宋体" w:hAnsi="宋体" w:cs="宋体"/>
                <w:color w:val="auto"/>
                <w:szCs w:val="21"/>
                <w:highlight w:val="none"/>
              </w:rPr>
              <w:br w:type="textWrapping"/>
            </w:r>
            <w:r>
              <w:rPr>
                <w:rFonts w:hint="eastAsia" w:ascii="宋体" w:hAnsi="宋体" w:cs="宋体"/>
                <w:color w:val="auto"/>
                <w:szCs w:val="21"/>
                <w:highlight w:val="none"/>
              </w:rPr>
              <w:t>规格：常规双温</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114300" distR="114300">
                  <wp:extent cx="199390" cy="203200"/>
                  <wp:effectExtent l="0" t="0" r="3810" b="0"/>
                  <wp:docPr id="1149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1" name="图片 1"/>
                          <pic:cNvPicPr>
                            <a:picLocks noChangeAspect="1"/>
                          </pic:cNvPicPr>
                        </pic:nvPicPr>
                        <pic:blipFill>
                          <a:blip r:embed="rId135"/>
                          <a:stretch>
                            <a:fillRect/>
                          </a:stretch>
                        </pic:blipFill>
                        <pic:spPr>
                          <a:xfrm>
                            <a:off x="0" y="0"/>
                            <a:ext cx="199390" cy="203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规格：1800*700*800mm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418465" cy="278765"/>
                  <wp:effectExtent l="0" t="0" r="635" b="635"/>
                  <wp:docPr id="11492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2"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1.采用优质不锈钢制，填充阻燃隔热材料；</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2.双温度控制器，定时开关、继电器；采用热风循环消毒；</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3.内分四层，共配八个消毒筐；</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5.柜内温度范围：30℃~150℃；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6.有效容积：≥760L；</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33375" cy="430530"/>
                  <wp:effectExtent l="0" t="0" r="9525" b="1270"/>
                  <wp:docPr id="1149263" name="图片 114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3" name="图片 11492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30</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高身保洁柜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1.采用304不锈钢板制造，侧板、门板、背板、底板厚1.0mm；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规格：1200*500*1800mm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46075" cy="395605"/>
                  <wp:effectExtent l="0" t="0" r="9525" b="10795"/>
                  <wp:docPr id="1149264" name="图片 114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4" name="图片 1149264"/>
                          <pic:cNvPicPr>
                            <a:picLocks noChangeAspect="1"/>
                          </pic:cNvPicPr>
                        </pic:nvPicPr>
                        <pic:blipFill>
                          <a:blip r:embed="rId124" r:link="rId29">
                            <a:extLst>
                              <a:ext uri="{28A0092B-C50C-407E-A947-70E740481C1C}">
                                <a14:useLocalDpi xmlns:a14="http://schemas.microsoft.com/office/drawing/2010/main" val="0"/>
                              </a:ext>
                            </a:extLst>
                          </a:blip>
                          <a:stretch>
                            <a:fillRect/>
                          </a:stretch>
                        </pic:blipFill>
                        <pic:spPr>
                          <a:xfrm>
                            <a:off x="0" y="0"/>
                            <a:ext cx="346075" cy="3956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箱式风机</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1.采用双进风前倾、后倾叶轮，大流量，高静压，高效率；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2.箱体上下顶板、底板须采用整体拉升成型，密封性能好，做到不漏油烟气水等；</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3.箱体须采用内外喷塑彩钢面板，内壁采用玻璃纤维及微孔板，进一步降低噪声；</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4.机外须有加注润滑油保养孔，方便定期保养维护；</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5.产品内外喷防锈底漆、中间漆、面漆；</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6.产品提供《外壳防护等级》防水等级≥IP69 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7.所投低噪音离心通风机通过 JB/T 8689-2014 《通风机振动检测及其限值》检测，在风机运行≥48小时后振动速度有效值≤G3.5，并评定合格（具有CMA或CNAS认证机构出具的检测报告）。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8.所投低噪音离心通风机通过 JB/T 8690-2014 《通风机噪声限值》和 GB/T2888-2008 《风机和罗茨鼓风机噪声测量方法》检测，在风机运行≥48小时后噪声（比 A 声级）db≤20，并评定合格（具有CMA或CNAS认证机构出具的检测报告）。                                             </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电压/功率：380V/7.5KW </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风量：20000m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/h  </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68300" cy="413385"/>
                  <wp:effectExtent l="0" t="0" r="0" b="5715"/>
                  <wp:docPr id="11492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5" name="图片 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0" y="0"/>
                            <a:ext cx="371076" cy="416513"/>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智能通风排烟控制系统</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rPr>
              <w:t>智能通风排烟控制系统是专为商厨及楼宇排烟通风设计的一款专用智能控制系统，集成了变频驱动单元与控制单元，带有液晶显示面板及控按键，同时支持空气环境监测传感器信号输入。</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2.该系统的电机驱动部分采用高速DSP作为其主控芯片，带有多种保护模式且拥有高效的能耗转换率，支持多种控制方式以及一键调速功能，能最大可能的满足您对各种排烟通风控制场合的需求。</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3.所投智能通风排烟控制系统依据GB/T 17626.2-2018《电磁兼容试验和测量技术 静电放电抗扰度试验》，进行接触放电、空气放电、间接放电和间接放电四种放电方式试验，设备均工作正常，试验结果合格。提供三方检测机构出具的带CMA和CNAS标识的检测报告，证书信息于“全国认证认可信息公共服务平台”网站可查询，提供查图。</w:t>
            </w:r>
          </w:p>
          <w:p>
            <w:pPr>
              <w:spacing w:line="300" w:lineRule="exact"/>
              <w:rPr>
                <w:rFonts w:ascii="宋体" w:hAnsi="宋体" w:cs="宋体"/>
                <w:color w:val="auto"/>
                <w:szCs w:val="21"/>
                <w:highlight w:val="none"/>
              </w:rPr>
            </w:pPr>
            <w:r>
              <w:rPr>
                <w:rFonts w:hint="eastAsia" w:ascii="宋体" w:hAnsi="宋体" w:cs="宋体"/>
                <w:color w:val="auto"/>
                <w:szCs w:val="21"/>
                <w:highlight w:val="none"/>
              </w:rPr>
              <w:t>4.所投智能通风排烟控制系统依据GB/T17626.3-2016《电磁兼容 试验和测量技术 射频电磁场辐射抗扰度试验》，利用N5181A信号发生器， CBA1G 功率放大器，E4419B 功率计，HI-6105 场强探头 ，VULP9118E 对数周期天线对设备进行射频电磁场辐射抗扰度试验，80~1000MHz和1000~6000MHz频率段测试性能判据均为A，试验合格。提供三方检测机构出具的带CMA和CNAS标识的检测报告，证书信息于“全国认证认可信息公共服务平台”网站可查询，提供查图。</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配电机功率：7.5KW/380V</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04800" cy="295275"/>
                  <wp:effectExtent l="0" t="0" r="0" b="9525"/>
                  <wp:docPr id="1149266" name="图片_95_SpCnt_3"/>
                  <wp:cNvGraphicFramePr/>
                  <a:graphic xmlns:a="http://schemas.openxmlformats.org/drawingml/2006/main">
                    <a:graphicData uri="http://schemas.openxmlformats.org/drawingml/2006/picture">
                      <pic:pic xmlns:pic="http://schemas.openxmlformats.org/drawingml/2006/picture">
                        <pic:nvPicPr>
                          <pic:cNvPr id="1149266" name="图片_95_SpCnt_3"/>
                          <pic:cNvPicPr/>
                        </pic:nvPicPr>
                        <pic:blipFill>
                          <a:blip r:embed="rId54">
                            <a:extLst>
                              <a:ext uri="{28A0092B-C50C-407E-A947-70E740481C1C}">
                                <a14:useLocalDpi xmlns:a14="http://schemas.microsoft.com/office/drawing/2010/main" val="0"/>
                              </a:ext>
                            </a:extLst>
                          </a:blip>
                          <a:stretch>
                            <a:fillRect/>
                          </a:stretch>
                        </pic:blipFill>
                        <pic:spPr>
                          <a:xfrm>
                            <a:off x="0" y="0"/>
                            <a:ext cx="304800" cy="295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油烟净化器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1.设备由外壳，数字电源，高压输出装置，高压电场（低压电场）等组成，其中外壳和电场均采用不锈钢材质。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2.高压电场主要起电离和收集作用，低压电场起收集作用，组合方式减少低压电场负荷，延长清洗周期；</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3.高压电场与高压电源，低压电场与低压电源的组合，可实现高压和低压单独可调，使得高压电场和低压电场同时处于最佳状态，提升净化效率。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4.数字电源可外接数码显示屏，显示设备的运行状态。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5.净化率≥90% </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 xml:space="preserve">6.电压/功率：220V/2.2KW                                                      </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处理风量：20000m³/h</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25755" cy="382270"/>
                  <wp:effectExtent l="0" t="0" r="4445" b="11430"/>
                  <wp:docPr id="11492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7" name="图片 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328337" cy="38543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防火阀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采用不锈钢制制作，设有手动开启复位功能，手动调节风量，温感器，动作后无源信号输出。熔断器动作温度：150℃</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规格：依据现场情况，匹配管道尺寸。</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273685" cy="295275"/>
                  <wp:effectExtent l="0" t="0" r="5715" b="9525"/>
                  <wp:docPr id="1149269" name="图片 16" descr="../../../../Users/ADMINI~1/AppData/Local/Temp/ksohtml/clip_image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9" name="图片 16" descr="../../../../Users/ADMINI~1/AppData/Local/Temp/ksohtml/clip_image5269.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5013" cy="296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风机支架</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含阻尼减震</w:t>
            </w:r>
          </w:p>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规格：配套风机</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114300" distR="114300">
                  <wp:extent cx="317500" cy="200660"/>
                  <wp:effectExtent l="0" t="0" r="0" b="2540"/>
                  <wp:docPr id="22777" name="图片 22777" descr="1715595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7" name="图片 22777" descr="1715595324318"/>
                          <pic:cNvPicPr>
                            <a:picLocks noChangeAspect="1"/>
                          </pic:cNvPicPr>
                        </pic:nvPicPr>
                        <pic:blipFill>
                          <a:blip r:embed="rId44"/>
                          <a:stretch>
                            <a:fillRect/>
                          </a:stretch>
                        </pic:blipFill>
                        <pic:spPr>
                          <a:xfrm>
                            <a:off x="0" y="0"/>
                            <a:ext cx="317500" cy="20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36</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不锈钢排油烟风管</w:t>
            </w:r>
            <w:r>
              <w:rPr>
                <w:rFonts w:hint="eastAsia" w:ascii="宋体" w:hAnsi="宋体" w:cs="宋体"/>
                <w:color w:val="auto"/>
                <w:szCs w:val="21"/>
                <w:highlight w:val="none"/>
              </w:rPr>
              <w:t>(</w:t>
            </w:r>
            <w:r>
              <w:rPr>
                <w:rFonts w:hint="eastAsia" w:ascii="宋体" w:hAnsi="宋体" w:cs="宋体"/>
                <w:color w:val="auto"/>
                <w:kern w:val="0"/>
                <w:szCs w:val="21"/>
                <w:highlight w:val="none"/>
                <w:lang w:bidi="ar"/>
              </w:rPr>
              <w:t>㎡)</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0.8-1.0mm（风管长边≤600mm时候采用板厚0.8mm，风管长边大于600mm且＜1000时候采用板厚1.0mm，风管长边大于1000mm时候采用板厚1.0mm并内衬加强档）。法兰采用镀锌螺丝固定，法兰间采用耐火隔热材料密封；</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3.提供产品材料满足消防要求的阻燃性能检测报告；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4.变径、大小口按展开面积1：2计算。</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注：最终数量按实结算。</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61950" cy="307975"/>
                  <wp:effectExtent l="0" t="0" r="6350" b="9525"/>
                  <wp:docPr id="11492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0" name="Picture 4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62261" cy="30830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37</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消声器</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采用镀锌板板制造，厚度为1.2mm</w:t>
            </w:r>
            <w:r>
              <w:rPr>
                <w:rFonts w:hint="eastAsia" w:ascii="宋体" w:hAnsi="宋体" w:cs="宋体"/>
                <w:color w:val="auto"/>
                <w:szCs w:val="21"/>
                <w:highlight w:val="none"/>
              </w:rPr>
              <w:t>。</w:t>
            </w:r>
            <w:r>
              <w:rPr>
                <w:rFonts w:hint="eastAsia" w:ascii="宋体" w:hAnsi="宋体" w:cs="宋体"/>
                <w:color w:val="auto"/>
                <w:kern w:val="0"/>
                <w:szCs w:val="21"/>
                <w:highlight w:val="none"/>
              </w:rPr>
              <w:t xml:space="preserve">                                                               </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23850" cy="247650"/>
                  <wp:effectExtent l="0" t="0" r="6350" b="6350"/>
                  <wp:docPr id="11492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1" name="图片 2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325482" cy="249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38</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风量调节阀</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采用角铁制作, 手动调节风口风量大小</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color w:val="auto"/>
                <w:highlight w:val="none"/>
              </w:rPr>
              <w:drawing>
                <wp:inline distT="0" distB="0" distL="0" distR="0">
                  <wp:extent cx="361315" cy="215265"/>
                  <wp:effectExtent l="0" t="0" r="6985" b="635"/>
                  <wp:docPr id="227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1" name="Picture 1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361315" cy="215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39</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接油盘</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1.采用A3角铁架，优质不锈钢，板厚0.8~1.0mm；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2.配置排油球阀开关                                             </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规格：与风机、净化器配套</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0" distR="0">
                  <wp:extent cx="293370" cy="254635"/>
                  <wp:effectExtent l="0" t="0" r="11430" b="12065"/>
                  <wp:docPr id="22770" name="图片 2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0" name="图片 227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93370" cy="254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38、杭州市明远未来幼儿园厨房设备采购需求（预算：0.55万元）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1.采用优质不锈钢制，填充阻燃隔热材料；</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2.双温度控制器，定时开关、继电器；采用热风循环消毒；</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3.内分四层，共配八个消毒筐；</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5.柜内温度范围：30℃~150℃；</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6.有效容积：≥760L；</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7.功率/电压：4.4-4.6KW/220V。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333375" cy="430530"/>
                  <wp:effectExtent l="0" t="0" r="9525" b="1270"/>
                  <wp:docPr id="1149272" name="图片 114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2" name="图片 11492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3375" cy="43053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39、杭州师范大学东城实验学校厨房设备采购需求（预算：2.5万元）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52425" cy="381000"/>
                  <wp:effectExtent l="0" t="0" r="3175" b="0"/>
                  <wp:docPr id="114927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3" name="图片 214"/>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352863" cy="3810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40、杭州天成教育集团厨房设备采购需求（预算：1.452万元）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食堂推车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1.采用304不锈钢制造，面板厚度1.0mm；</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2.把手弯管及立柱为整管折弯，采用φ25mm厚度1.0mm制作；</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3.配4个4"优质橡胶脚轮，其中两个带刹车掣；</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4.提供同类产品的抗拉强度、耐温度性能、耐腐蚀性能检测报告；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注：最终尺寸按实。</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规格：1070*730*620mm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color w:val="auto"/>
                <w:highlight w:val="none"/>
              </w:rPr>
              <w:drawing>
                <wp:inline distT="0" distB="0" distL="114300" distR="114300">
                  <wp:extent cx="430530" cy="276225"/>
                  <wp:effectExtent l="0" t="0" r="1270" b="3175"/>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pic:cNvPicPr>
                            <a:picLocks noChangeAspect="1"/>
                          </pic:cNvPicPr>
                        </pic:nvPicPr>
                        <pic:blipFill>
                          <a:blip r:embed="rId179"/>
                          <a:stretch>
                            <a:fillRect/>
                          </a:stretch>
                        </pic:blipFill>
                        <pic:spPr>
                          <a:xfrm>
                            <a:off x="0" y="0"/>
                            <a:ext cx="430530"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保洁车</w:t>
            </w:r>
          </w:p>
        </w:tc>
        <w:tc>
          <w:tcPr>
            <w:tcW w:w="3036" w:type="pct"/>
            <w:tcBorders>
              <w:top w:val="single" w:color="auto" w:sz="4" w:space="0"/>
              <w:left w:val="single" w:color="auto" w:sz="4" w:space="0"/>
              <w:bottom w:val="single" w:color="auto" w:sz="4" w:space="0"/>
              <w:right w:val="single" w:color="auto" w:sz="4" w:space="0"/>
            </w:tcBorders>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1.载重量 (kg)150；</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2.承重量 (kg)200；</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3.产品材质PP。</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规格：最终尺寸按实。</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theme="minorEastAsia"/>
                <w:color w:val="auto"/>
                <w:szCs w:val="21"/>
                <w:highlight w:val="none"/>
              </w:rPr>
              <w:drawing>
                <wp:inline distT="0" distB="0" distL="0" distR="0">
                  <wp:extent cx="295275" cy="462915"/>
                  <wp:effectExtent l="0" t="0" r="9525" b="6985"/>
                  <wp:docPr id="1149275" name="图片 114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5" name="图片 11492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295275" cy="462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保温送餐车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规格：700*500*800mm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color w:val="auto"/>
                <w:highlight w:val="none"/>
              </w:rPr>
              <w:drawing>
                <wp:inline distT="0" distB="0" distL="114300" distR="114300">
                  <wp:extent cx="352425" cy="293370"/>
                  <wp:effectExtent l="0" t="0" r="3175" b="11430"/>
                  <wp:docPr id="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pic:cNvPicPr>
                            <a:picLocks noChangeAspect="1"/>
                          </pic:cNvPicPr>
                        </pic:nvPicPr>
                        <pic:blipFill>
                          <a:blip r:embed="rId181"/>
                          <a:stretch>
                            <a:fillRect/>
                          </a:stretch>
                        </pic:blipFill>
                        <pic:spPr>
                          <a:xfrm>
                            <a:off x="0" y="0"/>
                            <a:ext cx="352425" cy="2933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bCs/>
                <w:color w:val="auto"/>
                <w:szCs w:val="21"/>
                <w:highlight w:val="none"/>
              </w:rPr>
            </w:pPr>
            <w:r>
              <w:rPr>
                <w:rFonts w:hint="eastAsia" w:ascii="宋体" w:hAnsi="宋体" w:cs="宋体"/>
                <w:b/>
                <w:color w:val="auto"/>
                <w:szCs w:val="21"/>
                <w:highlight w:val="none"/>
              </w:rPr>
              <w:t>41、杭州市南肖埠小学厨房设备采购需求（预算：0.4万元）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商用四门冷藏冰箱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33375" cy="504825"/>
                  <wp:effectExtent l="0" t="0" r="9525" b="3175"/>
                  <wp:docPr id="1149277" name="图片 114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7" name="图片 114927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3337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bCs/>
                <w:color w:val="auto"/>
                <w:szCs w:val="21"/>
                <w:highlight w:val="none"/>
              </w:rPr>
            </w:pPr>
            <w:r>
              <w:rPr>
                <w:rFonts w:hint="eastAsia" w:ascii="宋体" w:hAnsi="宋体" w:cs="宋体"/>
                <w:b/>
                <w:color w:val="auto"/>
                <w:szCs w:val="21"/>
                <w:highlight w:val="none"/>
              </w:rPr>
              <w:t>42、杭州市丁蕙第二小学厨房设备采购需求（预算：0.42万元）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双层工作台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1.采用304不锈钢板制作，台面板厚1.0mm；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2.下置一层栅档或平板，面板厚1.0mm，脚管采用厚1.0mm不锈钢管，下配不锈钢可调子弹脚；</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114300" distR="114300">
                  <wp:extent cx="418465" cy="278765"/>
                  <wp:effectExtent l="0" t="0" r="635" b="635"/>
                  <wp:docPr id="11492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8" name="图片 5"/>
                          <pic:cNvPicPr>
                            <a:picLocks noChangeAspect="1"/>
                          </pic:cNvPicPr>
                        </pic:nvPicPr>
                        <pic:blipFill>
                          <a:blip r:embed="rId49"/>
                          <a:stretch>
                            <a:fillRect/>
                          </a:stretch>
                        </pic:blipFill>
                        <pic:spPr>
                          <a:xfrm>
                            <a:off x="0" y="0"/>
                            <a:ext cx="418465" cy="278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大单星水池</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1.采用304不锈钢板制作，面板、斗厚1.0mm；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2.下配可调子弹脚厚1.0mm，配落水器及栏渣片。</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r>
              <w:rPr>
                <w:rFonts w:hint="eastAsia" w:ascii="宋体" w:hAnsi="宋体" w:cs="宋体"/>
                <w:color w:val="auto"/>
                <w:szCs w:val="21"/>
                <w:highlight w:val="none"/>
              </w:rPr>
              <w:br w:type="textWrapping"/>
            </w:r>
            <w:r>
              <w:rPr>
                <w:rFonts w:hint="eastAsia" w:ascii="宋体" w:hAnsi="宋体" w:cs="宋体"/>
                <w:color w:val="auto"/>
                <w:szCs w:val="21"/>
                <w:highlight w:val="none"/>
              </w:rPr>
              <w:t>规格：1000*700*800mm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59410" cy="285750"/>
                  <wp:effectExtent l="0" t="0" r="8890" b="6350"/>
                  <wp:docPr id="1149279" name="图片 114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9" name="图片 1149279"/>
                          <pic:cNvPicPr>
                            <a:picLocks noChangeAspect="1"/>
                          </pic:cNvPicPr>
                        </pic:nvPicPr>
                        <pic:blipFill>
                          <a:blip r:embed="rId28" r:link="rId29">
                            <a:extLst>
                              <a:ext uri="{28A0092B-C50C-407E-A947-70E740481C1C}">
                                <a14:useLocalDpi xmlns:a14="http://schemas.microsoft.com/office/drawing/2010/main" val="0"/>
                              </a:ext>
                            </a:extLst>
                          </a:blip>
                          <a:stretch>
                            <a:fillRect/>
                          </a:stretch>
                        </pic:blipFill>
                        <pic:spPr>
                          <a:xfrm>
                            <a:off x="0" y="0"/>
                            <a:ext cx="359410" cy="2857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43、杭州市丁兰第二小学厨房设备采购需求（预算：2.2万元）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学生餐车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规格：700*450*800mm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71475" cy="278130"/>
                  <wp:effectExtent l="0" t="0" r="9525" b="1270"/>
                  <wp:docPr id="22752" name="图片 22752" descr="62641156250158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2" name="图片 22752" descr="62641156250158862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371475" cy="27860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bCs/>
                <w:color w:val="auto"/>
                <w:szCs w:val="21"/>
                <w:highlight w:val="none"/>
              </w:rPr>
            </w:pPr>
            <w:r>
              <w:rPr>
                <w:rFonts w:hint="eastAsia" w:ascii="宋体" w:hAnsi="宋体" w:cs="宋体"/>
                <w:b/>
                <w:color w:val="auto"/>
                <w:szCs w:val="21"/>
                <w:highlight w:val="none"/>
              </w:rPr>
              <w:t>44、杭州市丁荷小学厨房设备采购需求（预算：2.4万元）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燃气双门蒸饭箱（24盘）</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1.采用优质304不锈钢材质制作，门板保温使用高密度保温材料，整机箱体保温性能优异/不烫手，硅胶密封应通过（食品安全国家标准食品接触用</w:t>
            </w:r>
            <w:r>
              <w:rPr>
                <w:rFonts w:hint="eastAsia" w:ascii="宋体" w:hAnsi="宋体" w:cs="宋体"/>
                <w:color w:val="auto"/>
                <w:kern w:val="0"/>
                <w:szCs w:val="21"/>
                <w:highlight w:val="none"/>
                <w:lang w:eastAsia="zh"/>
              </w:rPr>
              <w:t>橡胶</w:t>
            </w:r>
            <w:r>
              <w:rPr>
                <w:rFonts w:hint="eastAsia" w:ascii="宋体" w:hAnsi="宋体" w:cs="宋体"/>
                <w:color w:val="auto"/>
                <w:kern w:val="0"/>
                <w:szCs w:val="21"/>
                <w:highlight w:val="none"/>
              </w:rPr>
              <w:t>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2.工业级门铰链，配置电子打火及熄火保护；</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3.内置2*12蒸饭盘，饭盘应通过（食品安全国家标准食品接触用金属材料及制品）检测，提供具有CNAS或CMA标识的第三方检测机构的检测报告，另配饭铲、分饭器各1把；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4.内置浮球阀，浮球应通过（食品安全国家标准食品接触用金属材料及制品）检测，提供具有CNAS或CMA标识的第三方检测机构的检测报告；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5.提供产品《商用燃气燃烧器具》的检测报告；</w:t>
            </w:r>
          </w:p>
          <w:p>
            <w:pPr>
              <w:spacing w:line="300" w:lineRule="exact"/>
              <w:rPr>
                <w:rFonts w:ascii="宋体" w:hAnsi="宋体" w:cs="宋体"/>
                <w:color w:val="auto"/>
                <w:kern w:val="0"/>
                <w:szCs w:val="21"/>
                <w:highlight w:val="none"/>
              </w:rPr>
            </w:pPr>
            <w:r>
              <w:rPr>
                <w:rFonts w:hint="eastAsia" w:ascii="宋体" w:hAnsi="宋体" w:cs="宋体"/>
                <w:color w:val="auto"/>
                <w:kern w:val="0"/>
                <w:szCs w:val="21"/>
                <w:highlight w:val="none"/>
              </w:rPr>
              <w:t>6.功率/电压：0.04KW/220V</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规格：1100*800*1750mm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409575" cy="441960"/>
                  <wp:effectExtent l="0" t="0" r="9525" b="2540"/>
                  <wp:docPr id="2275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3" name="图片 214"/>
                          <pic:cNvPicPr>
                            <a:picLocks noChangeAspect="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409575" cy="44223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bCs/>
                <w:color w:val="auto"/>
                <w:szCs w:val="21"/>
                <w:highlight w:val="none"/>
              </w:rPr>
            </w:pPr>
            <w:r>
              <w:rPr>
                <w:rFonts w:hint="eastAsia" w:ascii="宋体" w:hAnsi="宋体" w:cs="宋体"/>
                <w:b/>
                <w:color w:val="auto"/>
                <w:szCs w:val="21"/>
                <w:highlight w:val="none"/>
              </w:rPr>
              <w:t>45、浙江师范大学附属丁蕙实验小学厨房设备采购需求（预算：2.9万元）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热风循环双门消毒柜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1.采用优质不锈钢制，填充阻燃隔热材料；</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2.双温度控制器，定时开关、继电器；采用热风循环消毒；</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3.内分四层，共配八个消毒筐；</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4.提供同类产品消毒产品卫生许可证，产品电器安全检测报告，消毒等级达到二星的检测报告；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5.柜内温度范围：30℃~150℃；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6.有效容积：≥760L；</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7.功率/电压：4.4-4.6KW/220V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规格：1310*635*1880mm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0" distR="0">
                  <wp:extent cx="333375" cy="428625"/>
                  <wp:effectExtent l="0" t="0" r="9525" b="3175"/>
                  <wp:docPr id="22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33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商用四门双温冰箱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7.温度范围：冷藏0℃～10℃/冷冻-6℃～-15℃；</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规格：1220*750*1960mm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33375" cy="504825"/>
                  <wp:effectExtent l="0" t="0" r="9525" b="3175"/>
                  <wp:docPr id="22755" name="图片 2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5" name="图片 227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3337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一大一炒燃气灶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1.材质：面板采用优质304不锈钢板，厚1.2mm；</w:t>
            </w:r>
            <w:r>
              <w:rPr>
                <w:rFonts w:hint="eastAsia" w:ascii="宋体" w:hAnsi="宋体" w:cs="宋体"/>
                <w:color w:val="auto"/>
                <w:szCs w:val="21"/>
                <w:highlight w:val="none"/>
              </w:rPr>
              <w:br w:type="textWrapping"/>
            </w:r>
            <w:r>
              <w:rPr>
                <w:rFonts w:hint="eastAsia" w:ascii="宋体" w:hAnsi="宋体" w:cs="宋体"/>
                <w:color w:val="auto"/>
                <w:szCs w:val="21"/>
                <w:highlight w:val="none"/>
              </w:rPr>
              <w:t>2.炉身侧板及炉背板1.0mm不锈钢板；</w:t>
            </w:r>
            <w:r>
              <w:rPr>
                <w:rFonts w:hint="eastAsia" w:ascii="宋体" w:hAnsi="宋体" w:cs="宋体"/>
                <w:color w:val="auto"/>
                <w:szCs w:val="21"/>
                <w:highlight w:val="none"/>
              </w:rPr>
              <w:br w:type="textWrapping"/>
            </w:r>
            <w:r>
              <w:rPr>
                <w:rFonts w:hint="eastAsia" w:ascii="宋体" w:hAnsi="宋体" w:cs="宋体"/>
                <w:color w:val="auto"/>
                <w:szCs w:val="21"/>
                <w:highlight w:val="none"/>
              </w:rPr>
              <w:t>3.炉通脚直径50mm无缝不锈钢管；</w:t>
            </w:r>
            <w:r>
              <w:rPr>
                <w:rFonts w:hint="eastAsia" w:ascii="宋体" w:hAnsi="宋体" w:cs="宋体"/>
                <w:color w:val="auto"/>
                <w:szCs w:val="21"/>
                <w:highlight w:val="none"/>
              </w:rPr>
              <w:br w:type="textWrapping"/>
            </w:r>
            <w:r>
              <w:rPr>
                <w:rFonts w:hint="eastAsia" w:ascii="宋体" w:hAnsi="宋体" w:cs="宋体"/>
                <w:color w:val="auto"/>
                <w:szCs w:val="21"/>
                <w:highlight w:val="none"/>
              </w:rPr>
              <w:t>4.炉通脚内含支承炉身的钢柱以及可调炉身的高度的子弹脚；</w:t>
            </w:r>
            <w:r>
              <w:rPr>
                <w:rFonts w:hint="eastAsia" w:ascii="宋体" w:hAnsi="宋体" w:cs="宋体"/>
                <w:color w:val="auto"/>
                <w:szCs w:val="21"/>
                <w:highlight w:val="none"/>
              </w:rPr>
              <w:br w:type="textWrapping"/>
            </w:r>
            <w:r>
              <w:rPr>
                <w:rFonts w:hint="eastAsia" w:ascii="宋体" w:hAnsi="宋体" w:cs="宋体"/>
                <w:color w:val="auto"/>
                <w:szCs w:val="21"/>
                <w:highlight w:val="none"/>
              </w:rPr>
              <w:t>5.炉膛内采用耐火砖、耐火泥砌筑；</w:t>
            </w:r>
            <w:r>
              <w:rPr>
                <w:rFonts w:hint="eastAsia" w:ascii="宋体" w:hAnsi="宋体" w:cs="宋体"/>
                <w:color w:val="auto"/>
                <w:szCs w:val="21"/>
                <w:highlight w:val="none"/>
              </w:rPr>
              <w:br w:type="textWrapping"/>
            </w:r>
            <w:r>
              <w:rPr>
                <w:rFonts w:hint="eastAsia" w:ascii="宋体" w:hAnsi="宋体" w:cs="宋体"/>
                <w:color w:val="auto"/>
                <w:szCs w:val="21"/>
                <w:highlight w:val="none"/>
              </w:rPr>
              <w:t>6.采用节能炉头，同时配备气掣、安全掣、风掣、火种掣、风行管及相应的水管、气管等配套部件；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7.排烟采用A3板排烟道口和排烟口；</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8.一按式电子点火；实时熄火保护设计；</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9.产品大锅单眼热负荷约45kW，能源利用热效率≥75%；运行噪音≤60dB，燃烧工况干烟气中 CO 含量≤0.002%，点火安全时间≤7 秒，熄火安全时间≤1 秒（提供带CMA或CNAS标识的检测报告）；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10.产品炒灶单眼热负荷约35kW，能源利用热效率≥55%；运行噪音≤60dB，燃烧工况干烟气中CO 含量≤0.002%，点火安全时间≤7 秒，熄火安全时间≤1 秒；（提供带CMA或CNAS标识的检测报告）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lang w:eastAsia="zh"/>
              </w:rPr>
              <w:t>11</w:t>
            </w:r>
            <w:r>
              <w:rPr>
                <w:rFonts w:hint="eastAsia" w:ascii="宋体" w:hAnsi="宋体" w:cs="宋体"/>
                <w:color w:val="auto"/>
                <w:szCs w:val="21"/>
                <w:highlight w:val="none"/>
              </w:rPr>
              <w:t>.提供同类产品的食品接触产品安全认证证书。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规格：2000*1200*800mm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szCs w:val="21"/>
                <w:highlight w:val="none"/>
              </w:rPr>
              <w:drawing>
                <wp:inline distT="0" distB="0" distL="0" distR="0">
                  <wp:extent cx="469900" cy="324485"/>
                  <wp:effectExtent l="0" t="0" r="0" b="5715"/>
                  <wp:docPr id="227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6" name="图片 27"/>
                          <pic:cNvPicPr>
                            <a:picLocks noChangeAspect="1" noChangeArrowheads="1"/>
                          </pic:cNvPicPr>
                        </pic:nvPicPr>
                        <pic:blipFill>
                          <a:blip r:embed="rId26"/>
                          <a:srcRect/>
                          <a:stretch>
                            <a:fillRect/>
                          </a:stretch>
                        </pic:blipFill>
                        <pic:spPr>
                          <a:xfrm flipH="1">
                            <a:off x="0" y="0"/>
                            <a:ext cx="469900" cy="324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高身玻璃门冰箱</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1.内外箱均为优质不锈钢板，面板 0.8mm；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2.使用优质压缩机、全铜管冷凝器、加厚铜管蒸发器；</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3.一体式发泡工艺，须外观整体平整；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4.配置门自闭装置，防止漏冷；</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5.配置门框防凝露装置，防止门框结露、滴水；</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6.配置电子温控（数显数控）；</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7.温度范围：冷藏0℃～10℃；</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8.功率/电压：≤600W/220V；</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9.提供同类产品3C证书、能效检测报告、食品接触安全认证、门封条抗重金属迁移检测报告。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规格：600*750*1960mm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04800" cy="447675"/>
                  <wp:effectExtent l="0" t="0" r="0" b="9525"/>
                  <wp:docPr id="22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7" name="图片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304800" cy="447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46、杭州市丁信小学厨房设备采购需求（预算：2.08万元）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规格：定制</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292100" cy="300355"/>
                  <wp:effectExtent l="0" t="0" r="0" b="4445"/>
                  <wp:docPr id="22759" name="图片 2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 name="图片 22759"/>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292100" cy="300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砧板架</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规格：450*800*1000mm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color w:val="auto"/>
                <w:highlight w:val="none"/>
              </w:rPr>
              <w:drawing>
                <wp:inline distT="0" distB="0" distL="0" distR="0">
                  <wp:extent cx="244475" cy="238760"/>
                  <wp:effectExtent l="0" t="0" r="9525" b="2540"/>
                  <wp:docPr id="22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244475" cy="238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调料平台</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1.采用304不锈钢板制作，面板1.0mm；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2.下配可调子弹脚厚1.0mm；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4.提供同类产品的食品接触产品安全认证证书。</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r>
              <w:rPr>
                <w:rFonts w:hint="eastAsia" w:ascii="宋体" w:hAnsi="宋体" w:cs="宋体"/>
                <w:color w:val="auto"/>
                <w:szCs w:val="21"/>
                <w:highlight w:val="none"/>
              </w:rPr>
              <w:br w:type="textWrapping"/>
            </w:r>
            <w:r>
              <w:rPr>
                <w:rFonts w:hint="eastAsia" w:ascii="宋体" w:hAnsi="宋体" w:cs="宋体"/>
                <w:color w:val="auto"/>
                <w:szCs w:val="21"/>
                <w:highlight w:val="none"/>
              </w:rPr>
              <w:t>规格：955*1150*800mm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292100" cy="300355"/>
                  <wp:effectExtent l="0" t="0" r="0" b="4445"/>
                  <wp:docPr id="22760" name="图片 2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0" name="图片 22760"/>
                          <pic:cNvPicPr>
                            <a:picLocks noChangeAspect="1"/>
                          </pic:cNvPicPr>
                        </pic:nvPicPr>
                        <pic:blipFill>
                          <a:blip r:embed="rId106" r:link="rId29">
                            <a:extLst>
                              <a:ext uri="{28A0092B-C50C-407E-A947-70E740481C1C}">
                                <a14:useLocalDpi xmlns:a14="http://schemas.microsoft.com/office/drawing/2010/main" val="0"/>
                              </a:ext>
                            </a:extLst>
                          </a:blip>
                          <a:stretch>
                            <a:fillRect/>
                          </a:stretch>
                        </pic:blipFill>
                        <pic:spPr>
                          <a:xfrm>
                            <a:off x="0" y="0"/>
                            <a:ext cx="292100" cy="300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双层板车</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说明：</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1.采用304不锈钢板制造，面板δ=1.0mm；</w:t>
            </w:r>
          </w:p>
          <w:p>
            <w:pPr>
              <w:widowControl/>
              <w:spacing w:line="3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2.配5寸优质橡胶脚轮，后轮带刹；</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注：最终尺寸按实。</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规格：640*40*300mm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color w:val="auto"/>
                <w:highlight w:val="none"/>
              </w:rPr>
              <w:drawing>
                <wp:inline distT="0" distB="0" distL="0" distR="0">
                  <wp:extent cx="328930" cy="214630"/>
                  <wp:effectExtent l="0" t="0" r="1270" b="1270"/>
                  <wp:docPr id="22781" name="图片 97" descr="双层深斗餐车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1" name="图片 97" descr="双层深斗餐车 拷贝.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331034" cy="21623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学生送餐车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规格：</w:t>
            </w:r>
            <w:r>
              <w:rPr>
                <w:rFonts w:hint="eastAsia" w:ascii="宋体" w:hAnsi="宋体" w:cs="宋体"/>
                <w:color w:val="auto"/>
                <w:kern w:val="0"/>
                <w:szCs w:val="21"/>
                <w:highlight w:val="none"/>
                <w:lang w:bidi="ar"/>
              </w:rPr>
              <w:t>（700+100）*700*730</w:t>
            </w:r>
            <w:r>
              <w:rPr>
                <w:rFonts w:hint="eastAsia" w:ascii="宋体" w:hAnsi="宋体" w:cs="宋体"/>
                <w:color w:val="auto"/>
                <w:kern w:val="0"/>
                <w:szCs w:val="21"/>
                <w:highlight w:val="none"/>
              </w:rPr>
              <w:t>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371475" cy="278130"/>
                  <wp:effectExtent l="0" t="0" r="9525" b="1270"/>
                  <wp:docPr id="22761" name="图片 22761" descr="62641156250158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 name="图片 22761" descr="62641156250158862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a:xfrm>
                            <a:off x="0" y="0"/>
                            <a:ext cx="371475" cy="27860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47、杭州市丁兰第三小学厨房设备采购需求（预算：1.2万元）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学生餐车</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1.采用304不锈钢板制作，台面配双碟开门，面板、侧板厚1.0mm；</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2.下配5寸加重刹车脚轮，侧配有可锁定双开门；</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3.提供同类产品的抗拉强度、耐温度性能、耐腐蚀性能检测报告；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注：最终尺寸按实订制。</w:t>
            </w:r>
          </w:p>
          <w:p>
            <w:pPr>
              <w:spacing w:line="300" w:lineRule="exact"/>
              <w:jc w:val="left"/>
              <w:rPr>
                <w:rFonts w:ascii="宋体" w:hAnsi="宋体" w:cs="宋体"/>
                <w:color w:val="auto"/>
                <w:szCs w:val="21"/>
                <w:highlight w:val="none"/>
              </w:rPr>
            </w:pPr>
            <w:r>
              <w:rPr>
                <w:rFonts w:hint="eastAsia" w:ascii="宋体" w:hAnsi="宋体" w:cs="宋体"/>
                <w:color w:val="auto"/>
                <w:kern w:val="0"/>
                <w:szCs w:val="21"/>
                <w:highlight w:val="none"/>
              </w:rPr>
              <w:t>规格：900*500*900mm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402590" cy="424815"/>
                  <wp:effectExtent l="0" t="0" r="3810" b="6985"/>
                  <wp:docPr id="22762" name="图片 2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2" name="图片 2276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402590" cy="42530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48、杭州市东城第三幼儿园厨房设备采购需求（预算：0.74万元）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r>
              <w:rPr>
                <w:rFonts w:hint="eastAsia" w:ascii="宋体" w:hAnsi="宋体" w:cs="宋体"/>
                <w:color w:val="auto"/>
                <w:kern w:val="0"/>
                <w:szCs w:val="21"/>
                <w:highlight w:val="none"/>
              </w:rPr>
              <w:t>。</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281305" cy="523875"/>
                  <wp:effectExtent l="0" t="0" r="10795" b="9525"/>
                  <wp:docPr id="2276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4" name="图片 7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281485" cy="523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49、杭州市笕新第二幼儿园厨房设备采购需求（预算：0.8万元）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szCs w:val="21"/>
                <w:highlight w:val="none"/>
              </w:rPr>
              <w:t>刀具砧板消毒柜</w:t>
            </w:r>
          </w:p>
        </w:tc>
        <w:tc>
          <w:tcPr>
            <w:tcW w:w="3036"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1.采用304不锈钢板制作，板材厚1.0mm；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2.毒方式：紫外线+臭氧红外线+循环风；</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3.毒刀数量：0-10把；消毒毛巾数量：0-12块；消毒砧板数量：0-8块（厚0-20cm）；</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4.电压：220V；紫外线功率：约18W；红外线功率：约300W；</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5.提供同类产品的抗拉强度、耐温度性能、耐腐蚀性能及电器安全性能检测报告；</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6.提供刀具砧板消毒柜符合《家用和类似用途电器的安全 第1部分：通用要求》、《食品安全国家标准食品接触材料及制品 砷、镉、铬、铅的测定和砷、镉、铬、镍、铅、锑、锌迁移量的测定》）的检测报告</w:t>
            </w:r>
            <w:r>
              <w:rPr>
                <w:rFonts w:hint="eastAsia" w:ascii="宋体" w:hAnsi="宋体" w:cs="宋体"/>
                <w:color w:val="auto"/>
                <w:kern w:val="0"/>
                <w:szCs w:val="21"/>
                <w:highlight w:val="none"/>
              </w:rPr>
              <w:t>。</w:t>
            </w:r>
          </w:p>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规格：1200*600*1800mm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304800" cy="485775"/>
                  <wp:effectExtent l="0" t="0" r="0" b="9525"/>
                  <wp:docPr id="22765" name="图片 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 name="图片 22765"/>
                          <pic:cNvPicPr>
                            <a:picLocks noChangeAspect="1"/>
                          </pic:cNvPicPr>
                        </pic:nvPicPr>
                        <pic:blipFill>
                          <a:blip r:embed="rId138" r:link="rId29">
                            <a:extLst>
                              <a:ext uri="{28A0092B-C50C-407E-A947-70E740481C1C}">
                                <a14:useLocalDpi xmlns:a14="http://schemas.microsoft.com/office/drawing/2010/main" val="0"/>
                              </a:ext>
                            </a:extLst>
                          </a:blip>
                          <a:stretch>
                            <a:fillRect/>
                          </a:stretch>
                        </pic:blipFill>
                        <pic:spPr>
                          <a:xfrm>
                            <a:off x="0" y="0"/>
                            <a:ext cx="304800" cy="4857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电热开水器连底座</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1.材质：内胆采用食品安全级不锈钢制造；</w:t>
            </w:r>
          </w:p>
          <w:p>
            <w:pPr>
              <w:spacing w:line="300" w:lineRule="exact"/>
              <w:jc w:val="left"/>
              <w:rPr>
                <w:rFonts w:ascii="宋体" w:hAnsi="宋体" w:cs="宋体"/>
                <w:bCs/>
                <w:color w:val="auto"/>
                <w:szCs w:val="21"/>
                <w:highlight w:val="none"/>
              </w:rPr>
            </w:pPr>
            <w:r>
              <w:rPr>
                <w:rFonts w:hint="eastAsia" w:ascii="宋体" w:hAnsi="宋体" w:cs="宋体"/>
                <w:color w:val="auto"/>
                <w:szCs w:val="21"/>
                <w:highlight w:val="none"/>
              </w:rPr>
              <w:t>2.提供同类产品的抗拉强度、耐温度性能、耐腐蚀性能及电器安全性能检测报告；</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3.连续出水量：≥80L/H；</w:t>
            </w:r>
          </w:p>
          <w:p>
            <w:pPr>
              <w:spacing w:line="300" w:lineRule="exact"/>
              <w:jc w:val="left"/>
              <w:rPr>
                <w:rFonts w:ascii="宋体" w:hAnsi="宋体" w:cs="宋体"/>
                <w:bCs/>
                <w:color w:val="auto"/>
                <w:szCs w:val="21"/>
                <w:highlight w:val="none"/>
              </w:rPr>
            </w:pPr>
            <w:r>
              <w:rPr>
                <w:rFonts w:hint="eastAsia" w:ascii="宋体" w:hAnsi="宋体" w:cs="宋体"/>
                <w:bCs/>
                <w:color w:val="auto"/>
                <w:szCs w:val="21"/>
                <w:highlight w:val="none"/>
              </w:rPr>
              <w:t>4.功率/电压：12KW/380v</w:t>
            </w:r>
            <w:r>
              <w:rPr>
                <w:rFonts w:hint="eastAsia" w:ascii="宋体" w:hAnsi="宋体" w:cs="宋体"/>
                <w:color w:val="auto"/>
                <w:kern w:val="0"/>
                <w:szCs w:val="21"/>
                <w:highlight w:val="none"/>
              </w:rPr>
              <w:t>。</w:t>
            </w:r>
          </w:p>
          <w:p>
            <w:pPr>
              <w:spacing w:line="300" w:lineRule="exact"/>
              <w:jc w:val="left"/>
              <w:rPr>
                <w:rFonts w:ascii="宋体" w:hAnsi="宋体" w:cs="宋体"/>
                <w:color w:val="auto"/>
                <w:szCs w:val="21"/>
                <w:highlight w:val="none"/>
              </w:rPr>
            </w:pPr>
            <w:r>
              <w:rPr>
                <w:rFonts w:hint="eastAsia" w:ascii="宋体" w:hAnsi="宋体" w:cs="宋体"/>
                <w:bCs/>
                <w:color w:val="auto"/>
                <w:szCs w:val="21"/>
                <w:highlight w:val="none"/>
              </w:rPr>
              <w:t>规格：580*610*1450mm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drawing>
                <wp:inline distT="0" distB="0" distL="0" distR="0">
                  <wp:extent cx="244475" cy="454660"/>
                  <wp:effectExtent l="0" t="0" r="9525" b="2540"/>
                  <wp:docPr id="2276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7" name="图片 7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247147" cy="45996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2"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color w:val="auto"/>
                <w:szCs w:val="21"/>
                <w:highlight w:val="none"/>
              </w:rPr>
            </w:pPr>
            <w:r>
              <w:rPr>
                <w:rFonts w:hint="eastAsia" w:ascii="宋体" w:hAnsi="宋体" w:cs="宋体"/>
                <w:b/>
                <w:color w:val="auto"/>
                <w:szCs w:val="21"/>
                <w:highlight w:val="none"/>
              </w:rPr>
              <w:t>50、杭州市行知幼儿园厨房设备采购需求（预算：0.4万元）</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01"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03"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定制三格保温台</w:t>
            </w:r>
          </w:p>
        </w:tc>
        <w:tc>
          <w:tcPr>
            <w:tcW w:w="3036" w:type="pct"/>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说明：</w:t>
            </w:r>
          </w:p>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1.采用304不锈钢板制造，面板厚1.0mm，不设背板，</w:t>
            </w:r>
            <w:r>
              <w:rPr>
                <w:rFonts w:hint="eastAsia" w:ascii="宋体" w:hAnsi="宋体" w:cs="宋体"/>
                <w:color w:val="auto"/>
                <w:szCs w:val="21"/>
                <w:highlight w:val="none"/>
              </w:rPr>
              <w:t>下配不锈钢可调子弹脚；</w:t>
            </w:r>
          </w:p>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2.储水斗底部采用电加热保温，面板控制</w:t>
            </w:r>
            <w:r>
              <w:rPr>
                <w:rFonts w:hint="eastAsia" w:ascii="宋体" w:hAnsi="宋体" w:cs="宋体"/>
                <w:color w:val="auto"/>
                <w:szCs w:val="21"/>
                <w:highlight w:val="none"/>
              </w:rPr>
              <w:t>；</w:t>
            </w:r>
          </w:p>
          <w:p>
            <w:pPr>
              <w:spacing w:line="300" w:lineRule="exact"/>
              <w:jc w:val="left"/>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3.配1/1份素盆（10CM深）3套（含盖）</w:t>
            </w:r>
            <w:r>
              <w:rPr>
                <w:rFonts w:hint="eastAsia" w:ascii="宋体" w:hAnsi="宋体" w:cs="宋体"/>
                <w:color w:val="auto"/>
                <w:szCs w:val="21"/>
                <w:highlight w:val="none"/>
              </w:rPr>
              <w:t>；</w:t>
            </w:r>
          </w:p>
          <w:p>
            <w:pPr>
              <w:widowControl/>
              <w:spacing w:line="300" w:lineRule="exact"/>
              <w:jc w:val="left"/>
              <w:rPr>
                <w:rFonts w:ascii="宋体" w:hAnsi="宋体" w:cs="宋体"/>
                <w:color w:val="auto"/>
                <w:szCs w:val="21"/>
                <w:highlight w:val="none"/>
              </w:rPr>
            </w:pPr>
            <w:r>
              <w:rPr>
                <w:rFonts w:hint="eastAsia" w:ascii="宋体" w:hAnsi="宋体" w:cs="宋体"/>
                <w:color w:val="auto"/>
                <w:szCs w:val="21"/>
                <w:highlight w:val="none"/>
              </w:rPr>
              <w:t>4.提供同类产品的抗拉强度、耐温度性能、耐腐蚀性能及电器安全性能检测报告；</w:t>
            </w:r>
          </w:p>
          <w:p>
            <w:pPr>
              <w:spacing w:line="300" w:lineRule="exact"/>
              <w:jc w:val="left"/>
              <w:rPr>
                <w:rFonts w:ascii="宋体" w:hAnsi="宋体" w:cs="宋体"/>
                <w:color w:val="auto"/>
                <w:kern w:val="0"/>
                <w:szCs w:val="21"/>
                <w:highlight w:val="none"/>
                <w:lang w:bidi="ar"/>
              </w:rPr>
            </w:pPr>
            <w:r>
              <w:rPr>
                <w:rFonts w:hint="eastAsia" w:ascii="宋体" w:hAnsi="宋体" w:cs="宋体"/>
                <w:color w:val="auto"/>
                <w:szCs w:val="21"/>
                <w:highlight w:val="none"/>
              </w:rPr>
              <w:t>5.提供同类产品的食品接触产品安全认证证书。</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规格：1200*700*800 mm</w:t>
            </w:r>
          </w:p>
        </w:tc>
        <w:tc>
          <w:tcPr>
            <w:tcW w:w="347"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drawing>
                <wp:inline distT="0" distB="0" distL="0" distR="0">
                  <wp:extent cx="447675" cy="381635"/>
                  <wp:effectExtent l="0" t="0" r="9525" b="12065"/>
                  <wp:docPr id="22768" name="图片 2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8" name="图片 2276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447675" cy="381635"/>
                          </a:xfrm>
                          <a:prstGeom prst="rect">
                            <a:avLst/>
                          </a:prstGeom>
                          <a:noFill/>
                          <a:ln>
                            <a:noFill/>
                          </a:ln>
                        </pic:spPr>
                      </pic:pic>
                    </a:graphicData>
                  </a:graphic>
                </wp:inline>
              </w:drawing>
            </w:r>
          </w:p>
        </w:tc>
      </w:tr>
    </w:tbl>
    <w:p>
      <w:pPr>
        <w:pStyle w:val="788"/>
        <w:tabs>
          <w:tab w:val="left" w:pos="567"/>
        </w:tabs>
        <w:spacing w:line="460" w:lineRule="exact"/>
        <w:ind w:firstLine="540" w:firstLineChars="225"/>
        <w:rPr>
          <w:rFonts w:hint="eastAsia" w:ascii="宋体" w:hAnsi="宋体"/>
          <w:color w:val="auto"/>
          <w:highlight w:val="none"/>
        </w:rPr>
      </w:pPr>
      <w:r>
        <w:rPr>
          <w:rFonts w:hint="eastAsia" w:ascii="宋体" w:hAnsi="宋体"/>
          <w:color w:val="auto"/>
          <w:highlight w:val="none"/>
        </w:rPr>
        <w:t>本项目为“交钥匙”项目，采购内容包括采购清单中货物、安装调试、货物验收、培训、质保期内的售后服务等，投标报价包括设备价格、材料费、材料保管费、运费、安装（吊装）、调试费、因涉及44所学校有更新设备所产生的原设备的拆除、般移费，附属材料（包括厨房设备室外机所需支架（局部双层支架）、插头、所有铜管。管道开孔、设备配套布线、电源调整等费用）及税收、售后服务费、政策性文件规定计合同包含的所有风险、责任等各项全部费用。采购需求清单中未提到，但实际采购和安装过程中需要配置的各自设备、材料和其他费用均计入本次报价。本项目所投产品必须为202</w:t>
      </w:r>
      <w:r>
        <w:rPr>
          <w:rFonts w:hint="eastAsia" w:ascii="宋体" w:hAnsi="宋体"/>
          <w:color w:val="auto"/>
          <w:highlight w:val="none"/>
          <w:lang w:val="en-US" w:eastAsia="zh-CN"/>
        </w:rPr>
        <w:t>4</w:t>
      </w:r>
      <w:r>
        <w:rPr>
          <w:rFonts w:hint="eastAsia" w:ascii="宋体" w:hAnsi="宋体"/>
          <w:color w:val="auto"/>
          <w:highlight w:val="none"/>
        </w:rPr>
        <w:t>年</w:t>
      </w:r>
      <w:r>
        <w:rPr>
          <w:rFonts w:hint="eastAsia" w:ascii="宋体" w:hAnsi="宋体"/>
          <w:color w:val="auto"/>
          <w:highlight w:val="none"/>
          <w:lang w:val="en-US" w:eastAsia="zh-CN"/>
        </w:rPr>
        <w:t>1</w:t>
      </w:r>
      <w:r>
        <w:rPr>
          <w:rFonts w:hint="eastAsia" w:ascii="宋体" w:hAnsi="宋体"/>
          <w:color w:val="auto"/>
          <w:highlight w:val="none"/>
        </w:rPr>
        <w:t xml:space="preserve">月1日后符合国家环保节能的执行标准的产品。 </w:t>
      </w:r>
    </w:p>
    <w:p>
      <w:pPr>
        <w:pStyle w:val="788"/>
        <w:tabs>
          <w:tab w:val="left" w:pos="567"/>
        </w:tabs>
        <w:spacing w:line="460" w:lineRule="exact"/>
        <w:ind w:firstLine="540" w:firstLineChars="225"/>
        <w:rPr>
          <w:rFonts w:ascii="宋体" w:hAnsi="宋体"/>
          <w:color w:val="auto"/>
          <w:highlight w:val="none"/>
        </w:rPr>
      </w:pPr>
      <w:r>
        <w:rPr>
          <w:rFonts w:hint="eastAsia" w:ascii="宋体" w:hAnsi="宋体"/>
          <w:color w:val="auto"/>
          <w:highlight w:val="none"/>
        </w:rPr>
        <w:t xml:space="preserve">   </w:t>
      </w:r>
    </w:p>
    <w:p>
      <w:pPr>
        <w:pStyle w:val="6"/>
        <w:numPr>
          <w:ilvl w:val="0"/>
          <w:numId w:val="2"/>
        </w:numPr>
        <w:ind w:left="0" w:firstLine="0"/>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勘探安排时间表</w:t>
      </w:r>
    </w:p>
    <w:p>
      <w:pPr>
        <w:pStyle w:val="7"/>
        <w:ind w:firstLine="0"/>
        <w:rPr>
          <w:rFonts w:hint="eastAsia" w:hAnsi="宋体"/>
          <w:snapToGrid/>
          <w:color w:val="auto"/>
          <w:kern w:val="2"/>
          <w:sz w:val="24"/>
          <w:szCs w:val="22"/>
          <w:highlight w:val="none"/>
        </w:rPr>
      </w:pPr>
      <w:r>
        <w:rPr>
          <w:rFonts w:hint="eastAsia" w:ascii="宋体" w:hAnsi="宋体"/>
          <w:snapToGrid/>
          <w:color w:val="auto"/>
          <w:kern w:val="2"/>
          <w:sz w:val="24"/>
          <w:szCs w:val="22"/>
          <w:highlight w:val="none"/>
        </w:rPr>
        <w:t>为保证踏勘有序进行，投标人可根据时间安排表，合理安排踏勘时间：</w:t>
      </w:r>
    </w:p>
    <w:p>
      <w:pPr>
        <w:pStyle w:val="6"/>
        <w:ind w:left="475" w:leftChars="21" w:hanging="431" w:hangingChars="179"/>
        <w:jc w:val="center"/>
        <w:rPr>
          <w:color w:val="auto"/>
          <w:sz w:val="28"/>
          <w:szCs w:val="28"/>
          <w:highlight w:val="none"/>
        </w:rPr>
      </w:pPr>
      <w:r>
        <w:rPr>
          <w:rFonts w:hint="eastAsia" w:ascii="宋体" w:hAnsi="宋体" w:eastAsia="宋体" w:cs="宋体"/>
          <w:color w:val="auto"/>
          <w:sz w:val="24"/>
          <w:szCs w:val="24"/>
          <w:highlight w:val="none"/>
        </w:rPr>
        <w:t>2024年杭州市上城区教育系统学校厨房设备采购项目踏勘</w:t>
      </w:r>
      <w:r>
        <w:rPr>
          <w:rFonts w:hint="eastAsia" w:ascii="宋体" w:hAnsi="宋体" w:eastAsia="宋体" w:cs="___WRD_EMBED_SUB_46"/>
          <w:color w:val="auto"/>
          <w:sz w:val="24"/>
          <w:szCs w:val="24"/>
          <w:highlight w:val="none"/>
        </w:rPr>
        <w:t>时间安排</w:t>
      </w:r>
    </w:p>
    <w:tbl>
      <w:tblPr>
        <w:tblStyle w:val="63"/>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835"/>
        <w:gridCol w:w="1276"/>
        <w:gridCol w:w="1373"/>
        <w:gridCol w:w="1372"/>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835"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学校名称</w:t>
            </w:r>
          </w:p>
        </w:tc>
        <w:tc>
          <w:tcPr>
            <w:tcW w:w="1276"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周一（5.27）</w:t>
            </w:r>
          </w:p>
        </w:tc>
        <w:tc>
          <w:tcPr>
            <w:tcW w:w="1373"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周二（5.28）</w:t>
            </w:r>
          </w:p>
        </w:tc>
        <w:tc>
          <w:tcPr>
            <w:tcW w:w="1372"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周三（5.29）</w:t>
            </w:r>
          </w:p>
        </w:tc>
        <w:tc>
          <w:tcPr>
            <w:tcW w:w="1282"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周四（5.30）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杭州市天杭实验学校</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杭州市杭州中学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杭州采荷第三小学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835" w:type="dxa"/>
            <w:vAlign w:val="center"/>
          </w:tcPr>
          <w:p>
            <w:pPr>
              <w:spacing w:line="320" w:lineRule="exact"/>
              <w:jc w:val="left"/>
              <w:rPr>
                <w:rFonts w:ascii="宋体" w:hAnsi="宋体" w:cs="宋体"/>
                <w:color w:val="auto"/>
                <w:szCs w:val="21"/>
                <w:highlight w:val="none"/>
              </w:rPr>
            </w:pPr>
            <w:r>
              <w:rPr>
                <w:rFonts w:hint="eastAsia" w:ascii="宋体" w:hAnsi="宋体" w:cs="宋体"/>
                <w:color w:val="auto"/>
                <w:szCs w:val="21"/>
                <w:highlight w:val="none"/>
              </w:rPr>
              <w:t>杭州师范大学东城第二小学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bCs/>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杭州市江锦小学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bCs/>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杭州市丁荷小学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bCs/>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杭州市钱江新城实验小学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bCs/>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杭州市胜利山南小学</w:t>
            </w:r>
          </w:p>
        </w:tc>
        <w:tc>
          <w:tcPr>
            <w:tcW w:w="1276"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bCs/>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2835" w:type="dxa"/>
            <w:vAlign w:val="center"/>
          </w:tcPr>
          <w:p>
            <w:pPr>
              <w:spacing w:line="320" w:lineRule="exact"/>
              <w:jc w:val="left"/>
              <w:rPr>
                <w:rFonts w:ascii="宋体" w:hAnsi="宋体" w:cs="宋体"/>
                <w:color w:val="auto"/>
                <w:szCs w:val="21"/>
                <w:highlight w:val="none"/>
              </w:rPr>
            </w:pPr>
            <w:r>
              <w:rPr>
                <w:rFonts w:hint="eastAsia" w:ascii="宋体" w:hAnsi="宋体" w:cs="宋体"/>
                <w:color w:val="auto"/>
                <w:szCs w:val="21"/>
                <w:highlight w:val="none"/>
              </w:rPr>
              <w:t>杭州市采荷第二幼儿园</w:t>
            </w:r>
          </w:p>
        </w:tc>
        <w:tc>
          <w:tcPr>
            <w:tcW w:w="1276"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杭州市濮家幼儿园</w:t>
            </w:r>
          </w:p>
        </w:tc>
        <w:tc>
          <w:tcPr>
            <w:tcW w:w="1276"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杭州市丁蕙第二幼儿园</w:t>
            </w:r>
          </w:p>
        </w:tc>
        <w:tc>
          <w:tcPr>
            <w:tcW w:w="1276" w:type="dxa"/>
            <w:vAlign w:val="center"/>
          </w:tcPr>
          <w:p>
            <w:pPr>
              <w:spacing w:line="320" w:lineRule="exact"/>
              <w:jc w:val="center"/>
              <w:rPr>
                <w:rFonts w:ascii="宋体" w:hAnsi="宋体" w:cs="宋体"/>
                <w:bCs/>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bCs/>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杭州市三里亭幼儿园</w:t>
            </w:r>
          </w:p>
        </w:tc>
        <w:tc>
          <w:tcPr>
            <w:tcW w:w="1276" w:type="dxa"/>
            <w:vAlign w:val="center"/>
          </w:tcPr>
          <w:p>
            <w:pPr>
              <w:spacing w:line="320" w:lineRule="exact"/>
              <w:jc w:val="center"/>
              <w:rPr>
                <w:rFonts w:ascii="宋体" w:hAnsi="宋体" w:cs="宋体"/>
                <w:bCs/>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bCs/>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杭州市丁兰幼儿园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杭州市笕新幼儿园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杭州市澎博幼儿园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杭州市丁信第二幼儿园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杭州市景辰幼儿园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杭州市胜利东河幼儿园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杭州市阳光幼儿园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杭州市近江幼儿园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杭州市采荷幼儿园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杭州市天杭实验学校</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杭州市东润外国语学校</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杭州市东城外国语实验学校</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杭州市钱江外国语实验学校（初中部）</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笕桥（JG0701-08）90班中学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杭州市丁蕙第二小学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28</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杭州市娃哈哈小学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29</w:t>
            </w:r>
          </w:p>
          <w:p>
            <w:pPr>
              <w:spacing w:line="320" w:lineRule="exact"/>
              <w:jc w:val="center"/>
              <w:rPr>
                <w:rFonts w:ascii="宋体" w:hAnsi="宋体" w:cs="宋体"/>
                <w:color w:val="auto"/>
                <w:szCs w:val="21"/>
                <w:highlight w:val="none"/>
              </w:rPr>
            </w:pP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杭州市天长观潮小学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30</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杭州市崇文未来学校</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杭州市东城幼儿园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杭州市胜利笕成幼儿园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33</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杭州市陶子幼儿园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34</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杭州市丁荷第二幼儿园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35</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杭州市笕和幼儿园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36</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杭州市明远未来幼儿园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37</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杭州师范大学东城实验学校</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38</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杭州天成教育集团</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39</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杭州市南肖埠小学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40</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杭州市丁蕙第二小学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color w:val="auto"/>
                <w:szCs w:val="21"/>
                <w:highlight w:val="none"/>
              </w:rPr>
            </w:pP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41</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杭州市丁兰第二小学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42</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浙江师范大学附属丁蕙实验小学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43</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杭州市丁信小学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44</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杭州市丁兰第三小学</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45</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杭州市东城第三幼儿园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46</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杭州市笕新第二幼儿园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50" w:type="dxa"/>
            <w:vAlign w:val="center"/>
          </w:tcPr>
          <w:p>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47</w:t>
            </w:r>
          </w:p>
        </w:tc>
        <w:tc>
          <w:tcPr>
            <w:tcW w:w="2835" w:type="dxa"/>
            <w:vAlign w:val="center"/>
          </w:tcPr>
          <w:p>
            <w:pPr>
              <w:spacing w:line="320" w:lineRule="exact"/>
              <w:rPr>
                <w:rFonts w:ascii="宋体" w:hAnsi="宋体" w:cs="宋体"/>
                <w:color w:val="auto"/>
                <w:szCs w:val="21"/>
                <w:highlight w:val="none"/>
              </w:rPr>
            </w:pPr>
            <w:r>
              <w:rPr>
                <w:rFonts w:hint="eastAsia" w:ascii="宋体" w:hAnsi="宋体" w:cs="宋体"/>
                <w:color w:val="auto"/>
                <w:szCs w:val="21"/>
                <w:highlight w:val="none"/>
              </w:rPr>
              <w:t>杭州市行知幼儿园</w:t>
            </w:r>
          </w:p>
        </w:tc>
        <w:tc>
          <w:tcPr>
            <w:tcW w:w="1276" w:type="dxa"/>
            <w:vAlign w:val="center"/>
          </w:tcPr>
          <w:p>
            <w:pPr>
              <w:spacing w:line="320" w:lineRule="exact"/>
              <w:jc w:val="center"/>
              <w:rPr>
                <w:rFonts w:ascii="宋体" w:hAnsi="宋体" w:cs="宋体"/>
                <w:color w:val="auto"/>
                <w:szCs w:val="21"/>
                <w:highlight w:val="none"/>
              </w:rPr>
            </w:pPr>
          </w:p>
        </w:tc>
        <w:tc>
          <w:tcPr>
            <w:tcW w:w="1373" w:type="dxa"/>
            <w:vAlign w:val="center"/>
          </w:tcPr>
          <w:p>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372" w:type="dxa"/>
            <w:vAlign w:val="center"/>
          </w:tcPr>
          <w:p>
            <w:pPr>
              <w:spacing w:line="320" w:lineRule="exact"/>
              <w:jc w:val="center"/>
              <w:rPr>
                <w:rFonts w:ascii="宋体" w:hAnsi="宋体" w:cs="宋体"/>
                <w:color w:val="auto"/>
                <w:szCs w:val="21"/>
                <w:highlight w:val="none"/>
              </w:rPr>
            </w:pPr>
          </w:p>
        </w:tc>
        <w:tc>
          <w:tcPr>
            <w:tcW w:w="1282" w:type="dxa"/>
            <w:vAlign w:val="center"/>
          </w:tcPr>
          <w:p>
            <w:pPr>
              <w:spacing w:line="320" w:lineRule="exact"/>
              <w:jc w:val="center"/>
              <w:rPr>
                <w:rFonts w:ascii="宋体" w:hAnsi="宋体" w:cs="宋体"/>
                <w:bCs/>
                <w:color w:val="auto"/>
                <w:szCs w:val="21"/>
                <w:highlight w:val="none"/>
              </w:rPr>
            </w:pPr>
          </w:p>
        </w:tc>
      </w:tr>
    </w:tbl>
    <w:p>
      <w:pPr>
        <w:pStyle w:val="2"/>
        <w:rPr>
          <w:rFonts w:hint="eastAsia" w:eastAsia="宋体"/>
          <w:lang w:eastAsia="zh-CN"/>
        </w:rPr>
        <w:sectPr>
          <w:pgSz w:w="11906" w:h="16838"/>
          <w:pgMar w:top="1474" w:right="1985" w:bottom="1588" w:left="2098" w:header="851" w:footer="992" w:gutter="0"/>
          <w:cols w:space="720" w:num="1"/>
          <w:docGrid w:linePitch="312" w:charSpace="0"/>
        </w:sectPr>
      </w:pPr>
      <w:r>
        <w:rPr>
          <w:rFonts w:hint="eastAsia"/>
        </w:rPr>
        <w:t>注：</w:t>
      </w:r>
      <w:r>
        <w:rPr>
          <w:rFonts w:hint="eastAsia"/>
          <w:color w:val="auto"/>
          <w:highlight w:val="none"/>
          <w:lang w:val="en-US" w:eastAsia="zh-CN"/>
        </w:rPr>
        <w:t>投标人项目踏勘时学校联系方式与招标方联系获取</w:t>
      </w:r>
      <w:r>
        <w:rPr>
          <w:rFonts w:hint="eastAsia"/>
          <w:lang w:eastAsia="zh-CN"/>
        </w:rPr>
        <w:t>。</w:t>
      </w:r>
    </w:p>
    <w:p>
      <w:pPr>
        <w:pStyle w:val="6"/>
        <w:ind w:left="434" w:leftChars="202" w:hanging="10" w:hangingChars="4"/>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rPr>
        <w:t>九、技术要求：</w:t>
      </w:r>
    </w:p>
    <w:p>
      <w:pP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9.1、总体要求：</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9.1.1厨具手工效果：精工制作，焊点无陷落、破裂及变色现象；焊缝规则，经打磨、抛光处理后与板材浑然一体；产品出厂时表面呈现出不锈钢制品的光洁、亮泽等特性。</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9.1.2 所有材料应符合相应国家标准。所有管路（含水、风、汽、烟）必须为国标管。</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厨具全部设备除采购文件特别标注外，应采用优质304不锈钢或更好材质制作，技术规格要求中未注明材质、规格、参数等的均以常规工艺制作。项目验收前,采购人可以委托第三方检测机构按投标承诺的材质核对鉴定。</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9.1.3投标人外购的风机等设备须应提供符合本项目质量技术要求的优质产品。上述货物如涉及国家规定强制认证的，均视为投标产品符合了工业品生产许可证，3C认证，环保产品认证等强制认证规定的，但中标人须在采购人对上述货物验收时提供相关证书证明资料，否则做验收不能通过处理。</w:t>
      </w:r>
    </w:p>
    <w:p>
      <w:pP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9.2、工艺要求</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9.2.1 焊接</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9.2.1.1 焊接必须采用电熔焊、电弧焊或钨气弧焊，不允许采用其它焊接方式。焊接应透彻，焊条需与金属本身成份相同。焊缝必须完整、坚固及有韧性，多余的填料必须磨平及磨光以配合焊接物本身表面。焊接处不得出现气孔、砂眼、裂缝等不完整的地方，并应与焊接物颜色一致。装置台、泻水板、外露层板、洗盆等表面的接缝必须焊接。若设备面制造是超过一块金属片时，则二件不锈钢件必须碰口连续地焊接，并磨平磨光处理，而不得采用补底点碰焊，再填锡方式。</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9.2.1.2 本规格规定所有焊接缝必须与金属本身成份相同，若因金属件尺寸而必需接缝，则必须焊接。所有焊接处理应尽量在工厂内进行，减少在工地焊接。除在工地焊接外，所有设备表面的焊接应采用连续焊接方式。所有需工地处理的接缝，必须紧密对接，并在工地焊接及磨平磨光处理。设备表面应尽量预留长度，配合工厂焊接缝，可组合设备达原状，免去在工地焊接的需要。若焊缝底部表面存在未经磨平、磨光处理，则必须在工厂适当地涂以防锈涂料处理，以防焊接缝发生锈蚀。</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9.2.2 锡焊及铜焊</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9.2.2.1 锡焊需采用含75%纯锡及25%铅的焊料。需要进行锡焊的不锈钢应先彻底清洗表面的氧化物，然后再加上适当的不锈钢焊剂。完成锡焊后，多余或残留的焊剂必须经钝化清洗，整个锡焊口亦应以液性碱或中和试剂清洗，避免锡焊剂对不锈钢造成任何损害。</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9.2.2.2 所有多余的锡焊剂都必须中和。锡焊只能视为一种防渗漏的填料，而不应依赖作为固定缝口或接缝。凡有可能接触到食物的盛器或处理设备，内、外均不得使用锡焊。</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9.2.2.3铜焊只适用于黄铜或青铜管及管件与黄铜及青铜的连接配件，尤其是蒸气管。所有需要浸镀锡的蒸气管必先经过铜焊，以除去多余的焊剂，使金属露出表面才进行浸渍。低温溶解银基硬焊料可视为等同于铜焊。</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9.3 磨平、磨光、表面处理</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9.3.1所有表面能看见的焊缝必须适当磨平、磨光及作表面处理，使与焊接物齐整一致。由于焊接处理令物料下沉凹陷，则必须适当锤平及敲平，使与相连表面齐平，若有需要，可再磨平，避免出现高低点。所有磨平表面的工艺必须为高质量。在磨平时，应避免不锈钢过热而变色。在所有情况下的工序处理，都是先磨平，再磨光。最后表面纹理处理必须统一及圆滑，工艺质量良好。所有设备的处理都应属高水平。</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9.3.2任何接缝都应紧密接合，不应以焊料作为填料。在任何情况下，锡焊都不应作为加强及固定接缝或设备本身的方式。若出现压弯情况，应尽量避免弯位过分突出，如对物料表面有造成任何损坏，应作磨平、磨光及表面处理。若有锯齿边，斜接缝或外圆角等情况，都需要小心磨平、磨光圆滑，不得出现重迭现象。</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9.4防锈蚀处理</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不锈钢在焊接处理后，应完全避免可能出现的锈蚀现象。螺栓及螺丝可采用适当的工序焊接以避免产生碳化沉积。在每个焊接位表面必须磨光以防锈蚀，底部应适当地磨平或涂上金属色泽防锈漆料，避免氧化及锈蚀。任何避免或减低产生碳化沉积的螺栓及螺丝焊接工序，可毋须依循上述处理方法。所有焊接工序都必须避免产生锈蚀，而所有焊接位表面都应适当处理，以防止锈蚀。任何焊接框架是指定以镀锌，或镀锡角架或加强梁构造，意思是必先完成焊接后，才可进行热镀锌。如果镀锌结构部分是用作焊接结构架，则焊接位表面需经金属涂层适当处理，以覆盖所有被焊接及磨平工序损坏的表面。所有铁或镀锌管或其它配件都必须清洁，并在工厂涂上最少两层涂料作表面处理。</w:t>
      </w:r>
    </w:p>
    <w:p>
      <w:pPr>
        <w:pStyle w:val="35"/>
        <w:spacing w:line="360" w:lineRule="auto"/>
        <w:ind w:firstLine="480" w:firstLineChars="200"/>
        <w:rPr>
          <w:rFonts w:asciiTheme="minorEastAsia" w:hAnsiTheme="minorEastAsia" w:eastAsiaTheme="minorEastAsia" w:cstheme="minorEastAsia"/>
          <w:color w:val="auto"/>
          <w:sz w:val="24"/>
          <w:szCs w:val="24"/>
          <w:highlight w:val="none"/>
        </w:rPr>
      </w:pPr>
    </w:p>
    <w:p>
      <w:pPr>
        <w:pStyle w:val="6"/>
        <w:ind w:left="434" w:leftChars="202" w:hanging="10" w:hangingChars="4"/>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十、售后服务内容：</w:t>
      </w:r>
    </w:p>
    <w:p>
      <w:pPr>
        <w:pStyle w:val="481"/>
        <w:widowControl/>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10.1 </w:t>
      </w:r>
      <w:r>
        <w:rPr>
          <w:rFonts w:hint="eastAsia" w:ascii="宋体" w:hAnsi="宋体" w:cs="宋体"/>
          <w:bCs/>
          <w:color w:val="auto"/>
          <w:sz w:val="24"/>
          <w:highlight w:val="none"/>
        </w:rPr>
        <w:t>质保期要求：产品验收合格使用之日起，原厂质保期</w:t>
      </w:r>
      <w:r>
        <w:rPr>
          <w:rFonts w:hint="eastAsia" w:ascii="宋体" w:hAnsi="宋体" w:cs="宋体"/>
          <w:bCs/>
          <w:color w:val="auto"/>
          <w:sz w:val="24"/>
          <w:highlight w:val="none"/>
          <w:lang w:val="en-US" w:eastAsia="zh-CN"/>
        </w:rPr>
        <w:t>2</w:t>
      </w:r>
      <w:r>
        <w:rPr>
          <w:rFonts w:hint="eastAsia" w:ascii="宋体" w:hAnsi="宋体" w:cs="宋体"/>
          <w:bCs/>
          <w:color w:val="auto"/>
          <w:sz w:val="24"/>
          <w:highlight w:val="none"/>
        </w:rPr>
        <w:t>年，质保期内的维修费用（包括材料）全部由中标单位负责，因人为因素出现的故障不在免费保修范围内。超过质保期的，修时只收部件成本费及相关基础费用。</w:t>
      </w:r>
    </w:p>
    <w:p>
      <w:pPr>
        <w:widowControl/>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10.2 </w:t>
      </w:r>
      <w:r>
        <w:rPr>
          <w:rFonts w:hint="eastAsia" w:ascii="宋体" w:hAnsi="宋体" w:cs="宋体"/>
          <w:color w:val="auto"/>
          <w:sz w:val="24"/>
          <w:highlight w:val="none"/>
        </w:rPr>
        <w:t>中标单位必须对所供产品实行终身维修，中标单位在接到电话后4小时内响应，8小时内到达现场解决问题，最迟在3个工作日内修复，如不能修复应采取补救措施，以保证使用方的正常工作，中标单位有其它服务承诺的，一并履行。在质保期内中标单位不得以任何理由影响正常使用。</w:t>
      </w:r>
    </w:p>
    <w:p>
      <w:pPr>
        <w:widowControl/>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10.3 </w:t>
      </w:r>
      <w:r>
        <w:rPr>
          <w:rFonts w:hint="eastAsia" w:ascii="宋体" w:hAnsi="宋体" w:cs="宋体"/>
          <w:color w:val="auto"/>
          <w:sz w:val="24"/>
          <w:highlight w:val="none"/>
        </w:rPr>
        <w:t>中标单位按采购单位实际需求，提供成品仓储及二次搬运服务，费用包含在本次报价中。</w:t>
      </w:r>
    </w:p>
    <w:p>
      <w:pPr>
        <w:pStyle w:val="6"/>
        <w:ind w:left="434" w:leftChars="202" w:hanging="10" w:hangingChars="4"/>
        <w:rPr>
          <w:rFonts w:asciiTheme="minorEastAsia" w:hAnsiTheme="minorEastAsia" w:eastAsiaTheme="minorEastAsia" w:cstheme="minorEastAsia"/>
          <w:color w:val="auto"/>
          <w:kern w:val="0"/>
          <w:sz w:val="24"/>
          <w:highlight w:val="none"/>
          <w:lang w:val="en-US"/>
        </w:rPr>
      </w:pPr>
      <w:r>
        <w:rPr>
          <w:rFonts w:hint="eastAsia" w:asciiTheme="minorEastAsia" w:hAnsiTheme="minorEastAsia" w:eastAsiaTheme="minorEastAsia" w:cstheme="minorEastAsia"/>
          <w:color w:val="auto"/>
          <w:kern w:val="0"/>
          <w:sz w:val="24"/>
          <w:highlight w:val="none"/>
          <w:lang w:val="en-US"/>
        </w:rPr>
        <w:t>十一、</w:t>
      </w:r>
      <w:r>
        <w:rPr>
          <w:rFonts w:hint="eastAsia" w:ascii="宋体" w:hAnsi="宋体" w:cs="宋体"/>
          <w:color w:val="auto"/>
          <w:sz w:val="24"/>
          <w:highlight w:val="none"/>
        </w:rPr>
        <w:t>供货、安装、调试要求</w:t>
      </w:r>
      <w:r>
        <w:rPr>
          <w:rFonts w:hint="eastAsia" w:asciiTheme="minorEastAsia" w:hAnsiTheme="minorEastAsia" w:eastAsiaTheme="minorEastAsia" w:cstheme="minorEastAsia"/>
          <w:color w:val="auto"/>
          <w:kern w:val="0"/>
          <w:sz w:val="24"/>
          <w:highlight w:val="none"/>
          <w:lang w:val="en-US"/>
        </w:rPr>
        <w:t>：</w:t>
      </w:r>
    </w:p>
    <w:p>
      <w:pPr>
        <w:spacing w:line="360" w:lineRule="auto"/>
        <w:ind w:left="60" w:right="60" w:firstLine="435"/>
        <w:rPr>
          <w:rFonts w:ascii="宋体" w:hAnsi="宋体" w:cs="宋体"/>
          <w:color w:val="auto"/>
          <w:kern w:val="0"/>
          <w:sz w:val="24"/>
          <w:highlight w:val="none"/>
        </w:rPr>
      </w:pPr>
      <w:r>
        <w:rPr>
          <w:rFonts w:hint="eastAsia" w:ascii="宋体" w:hAnsi="宋体" w:cs="宋体"/>
          <w:color w:val="auto"/>
          <w:sz w:val="24"/>
          <w:highlight w:val="none"/>
        </w:rPr>
        <w:t>11.1、</w:t>
      </w:r>
      <w:r>
        <w:rPr>
          <w:rFonts w:hint="eastAsia" w:ascii="宋体" w:hAnsi="宋体" w:cs="宋体"/>
          <w:color w:val="auto"/>
          <w:kern w:val="0"/>
          <w:sz w:val="24"/>
          <w:highlight w:val="none"/>
        </w:rPr>
        <w:t>交货地点：指定地点</w:t>
      </w:r>
    </w:p>
    <w:p>
      <w:pPr>
        <w:spacing w:line="360" w:lineRule="auto"/>
        <w:ind w:left="60" w:right="60" w:firstLine="435"/>
        <w:rPr>
          <w:rFonts w:ascii="宋体" w:hAnsi="宋体" w:cs="宋体"/>
          <w:color w:val="auto"/>
          <w:sz w:val="24"/>
          <w:highlight w:val="none"/>
        </w:rPr>
      </w:pPr>
      <w:r>
        <w:rPr>
          <w:rFonts w:hint="eastAsia" w:ascii="宋体" w:hAnsi="宋体" w:cs="宋体"/>
          <w:color w:val="auto"/>
          <w:sz w:val="24"/>
          <w:highlight w:val="none"/>
        </w:rPr>
        <w:t>11.2、中标单位先派有经验的技术人员对安装现场进行实地勘察，对各种设备采购、制造、运输（到现场安装）、安装、工期、安全、文明施工进行总承包，一切费用均由中标单位负责。</w:t>
      </w:r>
    </w:p>
    <w:p>
      <w:pPr>
        <w:spacing w:line="360" w:lineRule="auto"/>
        <w:ind w:left="60" w:right="60" w:firstLine="435"/>
        <w:rPr>
          <w:rFonts w:ascii="宋体" w:hAnsi="宋体" w:cs="宋体"/>
          <w:color w:val="auto"/>
          <w:sz w:val="24"/>
          <w:highlight w:val="none"/>
        </w:rPr>
      </w:pPr>
      <w:r>
        <w:rPr>
          <w:rFonts w:hint="eastAsia" w:ascii="宋体" w:hAnsi="宋体" w:cs="宋体"/>
          <w:color w:val="auto"/>
          <w:sz w:val="24"/>
          <w:highlight w:val="none"/>
        </w:rPr>
        <w:t>11.3、中标单位人员应在合同规定的安装期内完成该项工作，所有因安装延期而产生的费用及使用方所受的损失均由投标方承担。</w:t>
      </w:r>
    </w:p>
    <w:p>
      <w:pPr>
        <w:spacing w:line="360" w:lineRule="auto"/>
        <w:ind w:left="60" w:right="60" w:firstLine="435"/>
        <w:rPr>
          <w:rFonts w:ascii="宋体" w:hAnsi="宋体" w:cs="宋体"/>
          <w:color w:val="auto"/>
          <w:sz w:val="24"/>
          <w:highlight w:val="none"/>
        </w:rPr>
      </w:pPr>
      <w:r>
        <w:rPr>
          <w:rFonts w:hint="eastAsia" w:ascii="宋体" w:hAnsi="宋体" w:cs="宋体"/>
          <w:color w:val="auto"/>
          <w:sz w:val="24"/>
          <w:highlight w:val="none"/>
        </w:rPr>
        <w:t>11.4、中标单位人员在采购人进行安装期间，费用由中标单位负责。</w:t>
      </w:r>
    </w:p>
    <w:p>
      <w:pPr>
        <w:spacing w:line="360" w:lineRule="auto"/>
        <w:ind w:left="60" w:right="60" w:firstLine="435"/>
        <w:rPr>
          <w:rFonts w:ascii="宋体" w:hAnsi="宋体" w:cs="宋体"/>
          <w:color w:val="auto"/>
          <w:sz w:val="24"/>
          <w:highlight w:val="none"/>
        </w:rPr>
      </w:pPr>
      <w:r>
        <w:rPr>
          <w:rFonts w:hint="eastAsia" w:ascii="宋体" w:hAnsi="宋体" w:cs="宋体"/>
          <w:color w:val="auto"/>
          <w:sz w:val="24"/>
          <w:highlight w:val="none"/>
        </w:rPr>
        <w:t>11.5、设备在安装时不得损坏墙体、门窗等，如有损坏要予以赔偿。</w:t>
      </w:r>
    </w:p>
    <w:p>
      <w:pPr>
        <w:tabs>
          <w:tab w:val="left" w:pos="0"/>
        </w:tabs>
        <w:snapToGrid w:val="0"/>
        <w:spacing w:line="360" w:lineRule="auto"/>
        <w:ind w:firstLine="480" w:firstLineChars="200"/>
        <w:rPr>
          <w:rFonts w:asciiTheme="minorEastAsia" w:hAnsiTheme="minorEastAsia" w:eastAsiaTheme="minorEastAsia" w:cstheme="minorEastAsia"/>
          <w:color w:val="auto"/>
          <w:highlight w:val="none"/>
        </w:rPr>
      </w:pPr>
      <w:r>
        <w:rPr>
          <w:rFonts w:hint="eastAsia" w:ascii="宋体" w:hAnsi="宋体" w:cs="宋体"/>
          <w:color w:val="auto"/>
          <w:sz w:val="24"/>
          <w:highlight w:val="none"/>
        </w:rPr>
        <w:t>11.6、中标单位必须保证所有货物是未经使用、全新的。</w:t>
      </w:r>
    </w:p>
    <w:p>
      <w:pPr>
        <w:spacing w:line="360" w:lineRule="auto"/>
        <w:ind w:firstLine="538" w:firstLineChars="200"/>
        <w:rPr>
          <w:rFonts w:asciiTheme="minorEastAsia" w:hAnsiTheme="minorEastAsia" w:eastAsiaTheme="minorEastAsia" w:cstheme="minorEastAsia"/>
          <w:b/>
          <w:bCs/>
          <w:color w:val="auto"/>
          <w:spacing w:val="14"/>
          <w:kern w:val="24"/>
          <w:sz w:val="24"/>
          <w:highlight w:val="none"/>
        </w:rPr>
      </w:pPr>
      <w:r>
        <w:rPr>
          <w:rFonts w:hint="eastAsia" w:asciiTheme="minorEastAsia" w:hAnsiTheme="minorEastAsia" w:eastAsiaTheme="minorEastAsia" w:cstheme="minorEastAsia"/>
          <w:b/>
          <w:bCs/>
          <w:color w:val="auto"/>
          <w:spacing w:val="14"/>
          <w:kern w:val="24"/>
          <w:sz w:val="24"/>
          <w:highlight w:val="none"/>
        </w:rPr>
        <w:t>十二、其他要求</w:t>
      </w:r>
    </w:p>
    <w:p>
      <w:pPr>
        <w:spacing w:line="360" w:lineRule="auto"/>
        <w:ind w:firstLine="480" w:firstLineChars="200"/>
        <w:jc w:val="left"/>
        <w:rPr>
          <w:rFonts w:asciiTheme="minorEastAsia" w:hAnsiTheme="minorEastAsia" w:eastAsiaTheme="minorEastAsia" w:cstheme="minorEastAsia"/>
          <w:snapToGrid w:val="0"/>
          <w:color w:val="auto"/>
          <w:sz w:val="24"/>
          <w:highlight w:val="none"/>
        </w:rPr>
      </w:pPr>
      <w:r>
        <w:rPr>
          <w:rFonts w:hint="eastAsia" w:asciiTheme="minorEastAsia" w:hAnsiTheme="minorEastAsia" w:eastAsiaTheme="minorEastAsia" w:cstheme="minorEastAsia"/>
          <w:snapToGrid w:val="0"/>
          <w:color w:val="auto"/>
          <w:sz w:val="24"/>
          <w:highlight w:val="none"/>
        </w:rPr>
        <w:t>12.1本项目为“交钥匙”项目，采购内容包括采购清单中货物、安装调试、货物验收、培训、质保期内的售后服务等，投标报价包括设备价格、材料费、材料保管费、运费、安装（吊装）、调试费、因涉及</w:t>
      </w:r>
      <w:r>
        <w:rPr>
          <w:rFonts w:asciiTheme="minorEastAsia" w:hAnsiTheme="minorEastAsia" w:eastAsiaTheme="minorEastAsia" w:cstheme="minorEastAsia"/>
          <w:snapToGrid w:val="0"/>
          <w:color w:val="auto"/>
          <w:sz w:val="24"/>
          <w:highlight w:val="none"/>
        </w:rPr>
        <w:t>47</w:t>
      </w:r>
      <w:r>
        <w:rPr>
          <w:rFonts w:hint="eastAsia" w:asciiTheme="minorEastAsia" w:hAnsiTheme="minorEastAsia" w:eastAsiaTheme="minorEastAsia" w:cstheme="minorEastAsia"/>
          <w:snapToGrid w:val="0"/>
          <w:color w:val="auto"/>
          <w:sz w:val="24"/>
          <w:highlight w:val="none"/>
        </w:rPr>
        <w:t>所学校有更新设备所产生的原设备的拆除、般移费，附属材料及税收、售后服务费、政策性文件规定计合同包含的所有风险、责任等各项全部费用。采购需求清单中未提到，但实际采购和安装过程中需要配置的各自设备、材料和其他费用均计入本次报价。</w:t>
      </w:r>
    </w:p>
    <w:p>
      <w:pPr>
        <w:spacing w:line="360" w:lineRule="auto"/>
        <w:ind w:firstLine="480" w:firstLineChars="200"/>
        <w:jc w:val="left"/>
        <w:rPr>
          <w:rFonts w:asciiTheme="minorEastAsia" w:hAnsiTheme="minorEastAsia" w:eastAsiaTheme="minorEastAsia" w:cstheme="minorEastAsia"/>
          <w:snapToGrid w:val="0"/>
          <w:color w:val="auto"/>
          <w:sz w:val="24"/>
          <w:highlight w:val="none"/>
        </w:rPr>
      </w:pPr>
      <w:r>
        <w:rPr>
          <w:rFonts w:hint="eastAsia" w:asciiTheme="minorEastAsia" w:hAnsiTheme="minorEastAsia" w:eastAsiaTheme="minorEastAsia" w:cstheme="minorEastAsia"/>
          <w:snapToGrid w:val="0"/>
          <w:color w:val="auto"/>
          <w:sz w:val="24"/>
          <w:highlight w:val="none"/>
        </w:rPr>
        <w:t>12.2关于产品环保要求：本项目所投产品必须为</w:t>
      </w:r>
      <w:r>
        <w:rPr>
          <w:rFonts w:hint="eastAsia" w:asciiTheme="minorEastAsia" w:hAnsiTheme="minorEastAsia" w:eastAsiaTheme="minorEastAsia" w:cstheme="minorEastAsia"/>
          <w:snapToGrid w:val="0"/>
          <w:color w:val="auto"/>
          <w:sz w:val="24"/>
          <w:highlight w:val="none"/>
          <w:lang w:val="en-US" w:eastAsia="zh-CN"/>
        </w:rPr>
        <w:t>最新</w:t>
      </w:r>
      <w:r>
        <w:rPr>
          <w:rFonts w:hint="eastAsia" w:asciiTheme="minorEastAsia" w:hAnsiTheme="minorEastAsia" w:eastAsiaTheme="minorEastAsia" w:cstheme="minorEastAsia"/>
          <w:snapToGrid w:val="0"/>
          <w:color w:val="auto"/>
          <w:sz w:val="24"/>
          <w:highlight w:val="none"/>
        </w:rPr>
        <w:t>符合国家环保的执行标准的产品。</w:t>
      </w:r>
    </w:p>
    <w:p>
      <w:pPr>
        <w:spacing w:line="360" w:lineRule="auto"/>
        <w:ind w:firstLine="480" w:firstLineChars="200"/>
        <w:jc w:val="left"/>
        <w:rPr>
          <w:rFonts w:asciiTheme="minorEastAsia" w:hAnsiTheme="minorEastAsia" w:eastAsiaTheme="minorEastAsia" w:cstheme="minorEastAsia"/>
          <w:snapToGrid w:val="0"/>
          <w:color w:val="auto"/>
          <w:sz w:val="24"/>
          <w:highlight w:val="none"/>
        </w:rPr>
      </w:pPr>
      <w:r>
        <w:rPr>
          <w:rFonts w:hint="eastAsia" w:asciiTheme="minorEastAsia" w:hAnsiTheme="minorEastAsia" w:eastAsiaTheme="minorEastAsia" w:cstheme="minorEastAsia"/>
          <w:snapToGrid w:val="0"/>
          <w:color w:val="auto"/>
          <w:sz w:val="24"/>
          <w:highlight w:val="none"/>
        </w:rPr>
        <w:t>12.3▲采购人拟采购的产品属于政府强制采购的节能环保产品品目清单范围的，投标人相应的投标产品未获得国家确定的认证机构出具的、处于有效期之内的节能环保产品认证证书的，投标无效。</w:t>
      </w:r>
    </w:p>
    <w:p>
      <w:pPr>
        <w:spacing w:line="360" w:lineRule="auto"/>
        <w:ind w:firstLine="538" w:firstLineChars="200"/>
        <w:rPr>
          <w:rFonts w:asciiTheme="minorEastAsia" w:hAnsiTheme="minorEastAsia" w:eastAsiaTheme="minorEastAsia" w:cstheme="minorEastAsia"/>
          <w:b/>
          <w:bCs/>
          <w:color w:val="auto"/>
          <w:spacing w:val="14"/>
          <w:kern w:val="24"/>
          <w:sz w:val="24"/>
          <w:highlight w:val="none"/>
        </w:rPr>
      </w:pPr>
      <w:r>
        <w:rPr>
          <w:rFonts w:hint="eastAsia" w:asciiTheme="minorEastAsia" w:hAnsiTheme="minorEastAsia" w:eastAsiaTheme="minorEastAsia" w:cstheme="minorEastAsia"/>
          <w:b/>
          <w:bCs/>
          <w:color w:val="auto"/>
          <w:spacing w:val="14"/>
          <w:kern w:val="24"/>
          <w:sz w:val="24"/>
          <w:highlight w:val="none"/>
        </w:rPr>
        <w:t>十三、验收</w:t>
      </w:r>
    </w:p>
    <w:p>
      <w:pPr>
        <w:spacing w:line="360" w:lineRule="auto"/>
        <w:ind w:firstLine="480" w:firstLineChars="200"/>
        <w:jc w:val="left"/>
        <w:rPr>
          <w:rFonts w:asciiTheme="minorEastAsia" w:hAnsiTheme="minorEastAsia" w:eastAsiaTheme="minorEastAsia" w:cstheme="minorEastAsia"/>
          <w:snapToGrid w:val="0"/>
          <w:color w:val="auto"/>
          <w:sz w:val="24"/>
          <w:highlight w:val="none"/>
        </w:rPr>
      </w:pPr>
      <w:r>
        <w:rPr>
          <w:rFonts w:hint="eastAsia" w:asciiTheme="minorEastAsia" w:hAnsiTheme="minorEastAsia" w:eastAsiaTheme="minorEastAsia" w:cstheme="minorEastAsia"/>
          <w:snapToGrid w:val="0"/>
          <w:color w:val="auto"/>
          <w:sz w:val="24"/>
          <w:highlight w:val="none"/>
        </w:rPr>
        <w:t>12.1</w:t>
      </w:r>
      <w:r>
        <w:rPr>
          <w:rFonts w:hint="eastAsia" w:ascii="宋体" w:hAnsi="宋体" w:cs="宋体"/>
          <w:color w:val="auto"/>
          <w:sz w:val="24"/>
          <w:highlight w:val="none"/>
        </w:rPr>
        <w:t>根据《杭州市政府采购履约验收暂行办法》（杭财采监〔2019〕10号）有关规定，供应商应按照合同约定履行义务，完成项目，与采购人、采购代理机构做好项目验收，提供项目验收相关的生产、技术、服务、数量、质量、安全等资料，</w:t>
      </w:r>
    </w:p>
    <w:p>
      <w:pPr>
        <w:spacing w:line="360" w:lineRule="auto"/>
        <w:ind w:right="60" w:firstLine="480" w:firstLineChars="200"/>
        <w:rPr>
          <w:rFonts w:asciiTheme="minorEastAsia" w:hAnsiTheme="minorEastAsia" w:eastAsiaTheme="minorEastAsia" w:cstheme="minorEastAsia"/>
          <w:snapToGrid w:val="0"/>
          <w:color w:val="auto"/>
          <w:sz w:val="24"/>
          <w:highlight w:val="none"/>
        </w:rPr>
      </w:pPr>
      <w:r>
        <w:rPr>
          <w:rFonts w:hint="eastAsia" w:asciiTheme="minorEastAsia" w:hAnsiTheme="minorEastAsia" w:eastAsiaTheme="minorEastAsia" w:cstheme="minorEastAsia"/>
          <w:snapToGrid w:val="0"/>
          <w:color w:val="auto"/>
          <w:sz w:val="24"/>
          <w:highlight w:val="none"/>
        </w:rPr>
        <w:t>12.2</w:t>
      </w:r>
      <w:r>
        <w:rPr>
          <w:rFonts w:hint="eastAsia" w:ascii="宋体" w:hAnsi="宋体" w:cs="宋体"/>
          <w:color w:val="auto"/>
          <w:sz w:val="24"/>
          <w:highlight w:val="none"/>
        </w:rPr>
        <w:t>检验验收依据相关国家标准、行业标准及项目采购需求</w:t>
      </w:r>
      <w:r>
        <w:rPr>
          <w:rFonts w:hint="eastAsia" w:asciiTheme="minorEastAsia" w:hAnsiTheme="minorEastAsia" w:eastAsiaTheme="minorEastAsia" w:cstheme="minorEastAsia"/>
          <w:snapToGrid w:val="0"/>
          <w:color w:val="auto"/>
          <w:sz w:val="24"/>
          <w:highlight w:val="none"/>
        </w:rPr>
        <w:t>。</w:t>
      </w:r>
    </w:p>
    <w:p>
      <w:pPr>
        <w:spacing w:line="360" w:lineRule="auto"/>
        <w:ind w:firstLine="480" w:firstLineChars="200"/>
        <w:jc w:val="left"/>
        <w:rPr>
          <w:rFonts w:asciiTheme="minorEastAsia" w:hAnsiTheme="minorEastAsia" w:eastAsiaTheme="minorEastAsia" w:cstheme="minorEastAsia"/>
          <w:snapToGrid w:val="0"/>
          <w:color w:val="auto"/>
          <w:sz w:val="24"/>
          <w:highlight w:val="none"/>
        </w:rPr>
      </w:pPr>
      <w:r>
        <w:rPr>
          <w:rFonts w:hint="eastAsia" w:asciiTheme="minorEastAsia" w:hAnsiTheme="minorEastAsia" w:eastAsiaTheme="minorEastAsia" w:cstheme="minorEastAsia"/>
          <w:snapToGrid w:val="0"/>
          <w:color w:val="auto"/>
          <w:sz w:val="24"/>
          <w:highlight w:val="none"/>
        </w:rPr>
        <w:t>12.3</w:t>
      </w:r>
      <w:r>
        <w:rPr>
          <w:rFonts w:hint="eastAsia" w:ascii="宋体" w:hAnsi="宋体" w:cs="宋体"/>
          <w:color w:val="auto"/>
          <w:sz w:val="24"/>
          <w:highlight w:val="none"/>
        </w:rPr>
        <w:t>供货完成后，学校先行试用。初验完成后，组织终验，最终验收不合格，中标单位整改，由此所产生的所有损失由中标单位承担。若无法整改或整改验收仍不合格，中标单位在不影响学校教学的前提下收回所有货物，并清退所有货款。</w:t>
      </w:r>
    </w:p>
    <w:p>
      <w:pPr>
        <w:pStyle w:val="27"/>
        <w:ind w:firstLine="420"/>
        <w:rPr>
          <w:color w:val="auto"/>
          <w:highlight w:val="none"/>
        </w:rPr>
      </w:pPr>
    </w:p>
    <w:p>
      <w:pPr>
        <w:pStyle w:val="79"/>
        <w:numPr>
          <w:ilvl w:val="0"/>
          <w:numId w:val="0"/>
        </w:numPr>
        <w:rPr>
          <w:color w:val="auto"/>
          <w:highlight w:val="none"/>
        </w:rPr>
      </w:pPr>
    </w:p>
    <w:p>
      <w:pPr>
        <w:rPr>
          <w:color w:val="auto"/>
          <w:highlight w:val="none"/>
        </w:rPr>
        <w:sectPr>
          <w:pgSz w:w="11906" w:h="16838"/>
          <w:pgMar w:top="1474" w:right="1985" w:bottom="1588" w:left="2098" w:header="851" w:footer="992" w:gutter="0"/>
          <w:cols w:space="720" w:num="1"/>
          <w:docGrid w:linePitch="312" w:charSpace="0"/>
        </w:sectPr>
      </w:pPr>
    </w:p>
    <w:p>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2" w:name="_Toc184310282"/>
      <w:bookmarkEnd w:id="32"/>
      <w:bookmarkStart w:id="33" w:name="_Toc184314462"/>
      <w:bookmarkEnd w:id="33"/>
      <w:bookmarkStart w:id="34" w:name="_Toc184313254"/>
      <w:bookmarkEnd w:id="34"/>
      <w:bookmarkStart w:id="35" w:name="_Toc184313252"/>
      <w:bookmarkEnd w:id="35"/>
      <w:bookmarkStart w:id="36" w:name="_Toc184313304"/>
      <w:bookmarkEnd w:id="36"/>
      <w:bookmarkStart w:id="37" w:name="_Toc184308038"/>
      <w:bookmarkEnd w:id="37"/>
      <w:bookmarkStart w:id="38" w:name="_Toc184310315"/>
      <w:bookmarkEnd w:id="38"/>
      <w:bookmarkStart w:id="39" w:name="_Toc184314421"/>
      <w:bookmarkEnd w:id="39"/>
      <w:bookmarkStart w:id="40" w:name="_Toc184312108"/>
      <w:bookmarkEnd w:id="40"/>
      <w:bookmarkStart w:id="41" w:name="_Toc184313285"/>
      <w:bookmarkEnd w:id="41"/>
      <w:bookmarkStart w:id="42" w:name="_Toc184308063"/>
      <w:bookmarkEnd w:id="42"/>
      <w:bookmarkStart w:id="43" w:name="_Toc184312085"/>
      <w:bookmarkEnd w:id="43"/>
      <w:bookmarkStart w:id="44" w:name="_Toc184308097"/>
      <w:bookmarkEnd w:id="44"/>
      <w:bookmarkStart w:id="45" w:name="_Toc184312132"/>
      <w:bookmarkEnd w:id="45"/>
      <w:bookmarkStart w:id="46" w:name="_Toc184312111"/>
      <w:bookmarkEnd w:id="46"/>
      <w:bookmarkStart w:id="47" w:name="_Toc184313307"/>
      <w:bookmarkEnd w:id="47"/>
      <w:bookmarkStart w:id="48" w:name="_Toc184312105"/>
      <w:bookmarkEnd w:id="48"/>
      <w:bookmarkStart w:id="49" w:name="_Toc184310281"/>
      <w:bookmarkEnd w:id="49"/>
      <w:bookmarkStart w:id="50" w:name="_Toc184310337"/>
      <w:bookmarkEnd w:id="50"/>
      <w:bookmarkStart w:id="51" w:name="_Toc184314446"/>
      <w:bookmarkEnd w:id="51"/>
      <w:bookmarkStart w:id="52" w:name="_Toc184314434"/>
      <w:bookmarkEnd w:id="52"/>
      <w:bookmarkStart w:id="53" w:name="_Toc184313273"/>
      <w:bookmarkEnd w:id="53"/>
      <w:bookmarkStart w:id="54" w:name="_Toc184313267"/>
      <w:bookmarkEnd w:id="54"/>
      <w:bookmarkStart w:id="55" w:name="_Toc184314468"/>
      <w:bookmarkEnd w:id="55"/>
      <w:bookmarkStart w:id="56" w:name="_Toc184314467"/>
      <w:bookmarkEnd w:id="56"/>
      <w:bookmarkStart w:id="57" w:name="_Toc184310327"/>
      <w:bookmarkEnd w:id="57"/>
      <w:bookmarkStart w:id="58" w:name="_Toc184308103"/>
      <w:bookmarkEnd w:id="58"/>
      <w:bookmarkStart w:id="59" w:name="_Toc184313269"/>
      <w:bookmarkEnd w:id="59"/>
      <w:bookmarkStart w:id="60" w:name="_Toc184312077"/>
      <w:bookmarkEnd w:id="60"/>
      <w:bookmarkStart w:id="61" w:name="_Toc184310299"/>
      <w:bookmarkEnd w:id="61"/>
      <w:bookmarkStart w:id="62" w:name="_Toc184310277"/>
      <w:bookmarkEnd w:id="62"/>
      <w:bookmarkStart w:id="63" w:name="_Toc184308082"/>
      <w:bookmarkEnd w:id="63"/>
      <w:bookmarkStart w:id="64" w:name="_Toc184312084"/>
      <w:bookmarkEnd w:id="64"/>
      <w:bookmarkStart w:id="65" w:name="_Toc184312103"/>
      <w:bookmarkEnd w:id="65"/>
      <w:bookmarkStart w:id="66" w:name="_Toc184308055"/>
      <w:bookmarkEnd w:id="66"/>
      <w:bookmarkStart w:id="67" w:name="_Toc184312130"/>
      <w:bookmarkEnd w:id="67"/>
      <w:bookmarkStart w:id="68" w:name="_Toc184312114"/>
      <w:bookmarkEnd w:id="68"/>
      <w:bookmarkStart w:id="69" w:name="_Toc184312120"/>
      <w:bookmarkEnd w:id="69"/>
      <w:bookmarkStart w:id="70" w:name="_Toc184308076"/>
      <w:bookmarkEnd w:id="70"/>
      <w:bookmarkStart w:id="71" w:name="_Toc184310297"/>
      <w:bookmarkEnd w:id="71"/>
      <w:bookmarkStart w:id="72" w:name="_Toc184314458"/>
      <w:bookmarkEnd w:id="72"/>
      <w:bookmarkStart w:id="73" w:name="_Toc184308079"/>
      <w:bookmarkEnd w:id="73"/>
      <w:bookmarkStart w:id="74" w:name="_Toc184310342"/>
      <w:bookmarkEnd w:id="74"/>
      <w:bookmarkStart w:id="75" w:name="_Toc184308093"/>
      <w:bookmarkEnd w:id="75"/>
      <w:bookmarkStart w:id="76" w:name="_Toc184310288"/>
      <w:bookmarkEnd w:id="76"/>
      <w:bookmarkStart w:id="77" w:name="_Toc184308090"/>
      <w:bookmarkEnd w:id="77"/>
      <w:bookmarkStart w:id="78" w:name="_Toc184308083"/>
      <w:bookmarkEnd w:id="78"/>
      <w:bookmarkStart w:id="79" w:name="_Toc184314426"/>
      <w:bookmarkEnd w:id="79"/>
      <w:bookmarkStart w:id="80" w:name="_Toc184313294"/>
      <w:bookmarkEnd w:id="80"/>
      <w:bookmarkStart w:id="81" w:name="_Toc184310318"/>
      <w:bookmarkEnd w:id="81"/>
      <w:bookmarkStart w:id="82" w:name="_Toc184312068"/>
      <w:bookmarkEnd w:id="82"/>
      <w:bookmarkStart w:id="83" w:name="_Toc184313280"/>
      <w:bookmarkEnd w:id="83"/>
      <w:bookmarkStart w:id="84" w:name="_Toc184310274"/>
      <w:bookmarkEnd w:id="84"/>
      <w:bookmarkStart w:id="85" w:name="_Toc184314452"/>
      <w:bookmarkEnd w:id="85"/>
      <w:bookmarkStart w:id="86" w:name="_Toc184310292"/>
      <w:bookmarkEnd w:id="86"/>
      <w:bookmarkStart w:id="87" w:name="_Toc184314424"/>
      <w:bookmarkEnd w:id="87"/>
      <w:bookmarkStart w:id="88" w:name="_Toc184310312"/>
      <w:bookmarkEnd w:id="88"/>
      <w:bookmarkStart w:id="89" w:name="_Toc184308040"/>
      <w:bookmarkEnd w:id="89"/>
      <w:bookmarkStart w:id="90" w:name="_Toc184308064"/>
      <w:bookmarkEnd w:id="90"/>
      <w:bookmarkStart w:id="91" w:name="_Toc184314429"/>
      <w:bookmarkEnd w:id="91"/>
      <w:bookmarkStart w:id="92" w:name="_Toc184310322"/>
      <w:bookmarkEnd w:id="92"/>
      <w:bookmarkStart w:id="93" w:name="_Toc184314456"/>
      <w:bookmarkEnd w:id="93"/>
      <w:bookmarkStart w:id="94" w:name="_Toc184313305"/>
      <w:bookmarkEnd w:id="94"/>
      <w:bookmarkStart w:id="95" w:name="_Toc184308101"/>
      <w:bookmarkEnd w:id="95"/>
      <w:bookmarkStart w:id="96" w:name="_Toc184310275"/>
      <w:bookmarkEnd w:id="96"/>
      <w:bookmarkStart w:id="97" w:name="_Toc184314419"/>
      <w:bookmarkEnd w:id="97"/>
      <w:bookmarkStart w:id="98" w:name="_Toc184313292"/>
      <w:bookmarkEnd w:id="98"/>
      <w:bookmarkStart w:id="99" w:name="_Toc184310313"/>
      <w:bookmarkEnd w:id="99"/>
      <w:bookmarkStart w:id="100" w:name="_Toc184308053"/>
      <w:bookmarkEnd w:id="100"/>
      <w:bookmarkStart w:id="101" w:name="_Toc184314423"/>
      <w:bookmarkEnd w:id="101"/>
      <w:bookmarkStart w:id="102" w:name="_Toc184308056"/>
      <w:bookmarkEnd w:id="102"/>
      <w:bookmarkStart w:id="103" w:name="_Toc184314414"/>
      <w:bookmarkEnd w:id="103"/>
      <w:bookmarkStart w:id="104" w:name="_Toc184310331"/>
      <w:bookmarkEnd w:id="104"/>
      <w:bookmarkStart w:id="105" w:name="_Toc184310291"/>
      <w:bookmarkEnd w:id="105"/>
      <w:bookmarkStart w:id="106" w:name="_Toc184312072"/>
      <w:bookmarkEnd w:id="106"/>
      <w:bookmarkStart w:id="107" w:name="_Toc184308046"/>
      <w:bookmarkEnd w:id="107"/>
      <w:bookmarkStart w:id="108" w:name="_Toc184314410"/>
      <w:bookmarkEnd w:id="108"/>
      <w:bookmarkStart w:id="109" w:name="_Toc184310324"/>
      <w:bookmarkEnd w:id="109"/>
      <w:bookmarkStart w:id="110" w:name="_Toc184308091"/>
      <w:bookmarkEnd w:id="110"/>
      <w:bookmarkStart w:id="111" w:name="_Toc184308043"/>
      <w:bookmarkEnd w:id="111"/>
      <w:bookmarkStart w:id="112" w:name="_Toc184312082"/>
      <w:bookmarkEnd w:id="112"/>
      <w:bookmarkStart w:id="113" w:name="_Toc184312099"/>
      <w:bookmarkEnd w:id="113"/>
      <w:bookmarkStart w:id="114" w:name="_Toc184308095"/>
      <w:bookmarkEnd w:id="114"/>
      <w:bookmarkStart w:id="115" w:name="_Toc184314466"/>
      <w:bookmarkEnd w:id="115"/>
      <w:bookmarkStart w:id="116" w:name="_Toc184312091"/>
      <w:bookmarkEnd w:id="116"/>
      <w:bookmarkStart w:id="117" w:name="_Toc184312067"/>
      <w:bookmarkEnd w:id="117"/>
      <w:bookmarkStart w:id="118" w:name="_Toc184310321"/>
      <w:bookmarkEnd w:id="118"/>
      <w:bookmarkStart w:id="119" w:name="_Toc184312097"/>
      <w:bookmarkEnd w:id="119"/>
      <w:bookmarkStart w:id="120" w:name="_Toc184312088"/>
      <w:bookmarkEnd w:id="120"/>
      <w:bookmarkStart w:id="121" w:name="_Toc184308107"/>
      <w:bookmarkEnd w:id="121"/>
      <w:bookmarkStart w:id="122" w:name="_Toc184308066"/>
      <w:bookmarkEnd w:id="122"/>
      <w:bookmarkStart w:id="123" w:name="_Toc184314470"/>
      <w:bookmarkEnd w:id="123"/>
      <w:bookmarkStart w:id="124" w:name="_Toc184312098"/>
      <w:bookmarkEnd w:id="124"/>
      <w:bookmarkStart w:id="125" w:name="_Toc184314479"/>
      <w:bookmarkEnd w:id="125"/>
      <w:bookmarkStart w:id="126" w:name="_Toc184312102"/>
      <w:bookmarkEnd w:id="126"/>
      <w:bookmarkStart w:id="127" w:name="_Toc184314450"/>
      <w:bookmarkEnd w:id="127"/>
      <w:bookmarkStart w:id="128" w:name="_Toc184314471"/>
      <w:bookmarkEnd w:id="128"/>
      <w:bookmarkStart w:id="129" w:name="_Toc184313283"/>
      <w:bookmarkEnd w:id="129"/>
      <w:bookmarkStart w:id="130" w:name="_Toc184313265"/>
      <w:bookmarkEnd w:id="130"/>
      <w:bookmarkStart w:id="131" w:name="_Toc184314454"/>
      <w:bookmarkEnd w:id="131"/>
      <w:bookmarkStart w:id="132" w:name="_Toc184314475"/>
      <w:bookmarkEnd w:id="132"/>
      <w:bookmarkStart w:id="133" w:name="_Toc184310326"/>
      <w:bookmarkEnd w:id="133"/>
      <w:bookmarkStart w:id="134" w:name="_Toc184314480"/>
      <w:bookmarkEnd w:id="134"/>
      <w:bookmarkStart w:id="135" w:name="_Toc184314412"/>
      <w:bookmarkEnd w:id="135"/>
      <w:bookmarkStart w:id="136" w:name="_Toc184314453"/>
      <w:bookmarkEnd w:id="136"/>
      <w:bookmarkStart w:id="137" w:name="_Toc184310273"/>
      <w:bookmarkEnd w:id="137"/>
      <w:bookmarkStart w:id="138" w:name="_Toc184314459"/>
      <w:bookmarkEnd w:id="138"/>
      <w:bookmarkStart w:id="139" w:name="_Toc184313296"/>
      <w:bookmarkEnd w:id="139"/>
      <w:bookmarkStart w:id="140" w:name="_Toc184314436"/>
      <w:bookmarkEnd w:id="140"/>
      <w:bookmarkStart w:id="141" w:name="_Toc184310284"/>
      <w:bookmarkEnd w:id="141"/>
      <w:bookmarkStart w:id="142" w:name="_Toc184313310"/>
      <w:bookmarkEnd w:id="142"/>
      <w:bookmarkStart w:id="143" w:name="_Toc184310293"/>
      <w:bookmarkEnd w:id="143"/>
      <w:bookmarkStart w:id="144" w:name="_Toc184313303"/>
      <w:bookmarkEnd w:id="144"/>
      <w:bookmarkStart w:id="145" w:name="_Toc184312069"/>
      <w:bookmarkEnd w:id="145"/>
      <w:bookmarkStart w:id="146" w:name="_Toc184314417"/>
      <w:bookmarkEnd w:id="146"/>
      <w:bookmarkStart w:id="147" w:name="_Toc184312126"/>
      <w:bookmarkEnd w:id="147"/>
      <w:bookmarkStart w:id="148" w:name="_Toc184313255"/>
      <w:bookmarkEnd w:id="148"/>
      <w:bookmarkStart w:id="149" w:name="_Toc184312124"/>
      <w:bookmarkEnd w:id="149"/>
      <w:bookmarkStart w:id="150" w:name="_Toc184312093"/>
      <w:bookmarkEnd w:id="150"/>
      <w:bookmarkStart w:id="151" w:name="_Toc184312106"/>
      <w:bookmarkEnd w:id="151"/>
      <w:bookmarkStart w:id="152" w:name="_Toc184314441"/>
      <w:bookmarkEnd w:id="152"/>
      <w:bookmarkStart w:id="153" w:name="_Toc184312118"/>
      <w:bookmarkEnd w:id="153"/>
      <w:bookmarkStart w:id="154" w:name="_Toc184308042"/>
      <w:bookmarkEnd w:id="154"/>
      <w:bookmarkStart w:id="155" w:name="_Toc184312095"/>
      <w:bookmarkEnd w:id="155"/>
      <w:bookmarkStart w:id="156" w:name="_Toc184308057"/>
      <w:bookmarkEnd w:id="156"/>
      <w:bookmarkStart w:id="157" w:name="_Toc184313264"/>
      <w:bookmarkEnd w:id="157"/>
      <w:bookmarkStart w:id="158" w:name="_Toc184312100"/>
      <w:bookmarkEnd w:id="158"/>
      <w:bookmarkStart w:id="159" w:name="_Toc184310343"/>
      <w:bookmarkEnd w:id="159"/>
      <w:bookmarkStart w:id="160" w:name="_Toc184314430"/>
      <w:bookmarkEnd w:id="160"/>
      <w:bookmarkStart w:id="161" w:name="_Toc184314420"/>
      <w:bookmarkEnd w:id="161"/>
      <w:bookmarkStart w:id="162" w:name="_Toc184313259"/>
      <w:bookmarkEnd w:id="162"/>
      <w:bookmarkStart w:id="163" w:name="_Toc184312115"/>
      <w:bookmarkEnd w:id="163"/>
      <w:bookmarkStart w:id="164" w:name="_Toc184313246"/>
      <w:bookmarkEnd w:id="164"/>
      <w:bookmarkStart w:id="165" w:name="_Toc184308058"/>
      <w:bookmarkEnd w:id="165"/>
      <w:bookmarkStart w:id="166" w:name="_Toc184312113"/>
      <w:bookmarkEnd w:id="166"/>
      <w:bookmarkStart w:id="167" w:name="_Toc184314478"/>
      <w:bookmarkEnd w:id="167"/>
      <w:bookmarkStart w:id="168" w:name="_Toc184314425"/>
      <w:bookmarkEnd w:id="168"/>
      <w:bookmarkStart w:id="169" w:name="_Toc184310276"/>
      <w:bookmarkEnd w:id="169"/>
      <w:bookmarkStart w:id="170" w:name="_Toc184312137"/>
      <w:bookmarkEnd w:id="170"/>
      <w:bookmarkStart w:id="171" w:name="_Toc184312125"/>
      <w:bookmarkEnd w:id="171"/>
      <w:bookmarkStart w:id="172" w:name="_Toc184314461"/>
      <w:bookmarkEnd w:id="172"/>
      <w:bookmarkStart w:id="173" w:name="_Toc184313258"/>
      <w:bookmarkEnd w:id="173"/>
      <w:bookmarkStart w:id="174" w:name="_Toc184314438"/>
      <w:bookmarkEnd w:id="174"/>
      <w:bookmarkStart w:id="175" w:name="_Toc184308052"/>
      <w:bookmarkEnd w:id="175"/>
      <w:bookmarkStart w:id="176" w:name="_Toc184312080"/>
      <w:bookmarkEnd w:id="176"/>
      <w:bookmarkStart w:id="177" w:name="_Toc184308108"/>
      <w:bookmarkEnd w:id="177"/>
      <w:bookmarkStart w:id="178" w:name="_Toc184313239"/>
      <w:bookmarkEnd w:id="178"/>
      <w:bookmarkStart w:id="179" w:name="_Toc184313291"/>
      <w:bookmarkEnd w:id="179"/>
      <w:bookmarkStart w:id="180" w:name="_Toc184310287"/>
      <w:bookmarkEnd w:id="180"/>
      <w:bookmarkStart w:id="181" w:name="_Toc184308081"/>
      <w:bookmarkEnd w:id="181"/>
      <w:bookmarkStart w:id="182" w:name="_Toc184312075"/>
      <w:bookmarkEnd w:id="182"/>
      <w:bookmarkStart w:id="183" w:name="_Toc184312128"/>
      <w:bookmarkEnd w:id="183"/>
      <w:bookmarkStart w:id="184" w:name="_Toc184313290"/>
      <w:bookmarkEnd w:id="184"/>
      <w:bookmarkStart w:id="185" w:name="_Toc184314416"/>
      <w:bookmarkEnd w:id="185"/>
      <w:bookmarkStart w:id="186" w:name="_Toc184313282"/>
      <w:bookmarkEnd w:id="186"/>
      <w:bookmarkStart w:id="187" w:name="_Toc184310289"/>
      <w:bookmarkEnd w:id="187"/>
      <w:bookmarkStart w:id="188" w:name="_Toc184308039"/>
      <w:bookmarkEnd w:id="188"/>
      <w:bookmarkStart w:id="189" w:name="_Toc184310279"/>
      <w:bookmarkEnd w:id="189"/>
      <w:bookmarkStart w:id="190" w:name="_Toc184312101"/>
      <w:bookmarkEnd w:id="190"/>
      <w:bookmarkStart w:id="191" w:name="_Toc184314447"/>
      <w:bookmarkEnd w:id="191"/>
      <w:bookmarkStart w:id="192" w:name="_Toc184310309"/>
      <w:bookmarkEnd w:id="192"/>
      <w:bookmarkStart w:id="193" w:name="_Toc184310306"/>
      <w:bookmarkEnd w:id="193"/>
      <w:bookmarkStart w:id="194" w:name="_Toc184310328"/>
      <w:bookmarkEnd w:id="194"/>
      <w:bookmarkStart w:id="195" w:name="_Toc184313243"/>
      <w:bookmarkEnd w:id="195"/>
      <w:bookmarkStart w:id="196" w:name="_Toc184308054"/>
      <w:bookmarkEnd w:id="196"/>
      <w:bookmarkStart w:id="197" w:name="_Toc184310290"/>
      <w:bookmarkEnd w:id="197"/>
      <w:bookmarkStart w:id="198" w:name="_Toc184312135"/>
      <w:bookmarkEnd w:id="198"/>
      <w:bookmarkStart w:id="199" w:name="_Toc184312110"/>
      <w:bookmarkEnd w:id="199"/>
      <w:bookmarkStart w:id="200" w:name="_Toc184308105"/>
      <w:bookmarkEnd w:id="200"/>
      <w:bookmarkStart w:id="201" w:name="_Toc184310329"/>
      <w:bookmarkEnd w:id="201"/>
      <w:bookmarkStart w:id="202" w:name="_Toc184312096"/>
      <w:bookmarkEnd w:id="202"/>
      <w:bookmarkStart w:id="203" w:name="_Toc184313245"/>
      <w:bookmarkEnd w:id="203"/>
      <w:bookmarkStart w:id="204" w:name="_Toc184308077"/>
      <w:bookmarkEnd w:id="204"/>
      <w:bookmarkStart w:id="205" w:name="_Toc184310339"/>
      <w:bookmarkEnd w:id="205"/>
      <w:bookmarkStart w:id="206" w:name="_Toc184314469"/>
      <w:bookmarkEnd w:id="206"/>
      <w:bookmarkStart w:id="207" w:name="_Toc184313287"/>
      <w:bookmarkEnd w:id="207"/>
      <w:bookmarkStart w:id="208" w:name="_Toc184312070"/>
      <w:bookmarkEnd w:id="208"/>
      <w:bookmarkStart w:id="209" w:name="_Toc184312122"/>
      <w:bookmarkEnd w:id="209"/>
      <w:bookmarkStart w:id="210" w:name="_Toc184314460"/>
      <w:bookmarkEnd w:id="210"/>
      <w:bookmarkStart w:id="211" w:name="_Toc184313253"/>
      <w:bookmarkEnd w:id="211"/>
      <w:bookmarkStart w:id="212" w:name="_Toc184308100"/>
      <w:bookmarkEnd w:id="212"/>
      <w:bookmarkStart w:id="213" w:name="_Toc184313260"/>
      <w:bookmarkEnd w:id="213"/>
      <w:bookmarkStart w:id="214" w:name="_Toc184308078"/>
      <w:bookmarkEnd w:id="214"/>
      <w:bookmarkStart w:id="215" w:name="_Toc184312127"/>
      <w:bookmarkEnd w:id="215"/>
      <w:bookmarkStart w:id="216" w:name="_Toc184313242"/>
      <w:bookmarkEnd w:id="216"/>
      <w:bookmarkStart w:id="217" w:name="_Toc184312079"/>
      <w:bookmarkEnd w:id="217"/>
      <w:bookmarkStart w:id="218" w:name="_Toc184312087"/>
      <w:bookmarkEnd w:id="218"/>
      <w:bookmarkStart w:id="219" w:name="_Toc184313271"/>
      <w:bookmarkEnd w:id="219"/>
      <w:bookmarkStart w:id="220" w:name="_Toc184313309"/>
      <w:bookmarkEnd w:id="220"/>
      <w:bookmarkStart w:id="221" w:name="_Toc184314428"/>
      <w:bookmarkEnd w:id="221"/>
      <w:bookmarkStart w:id="222" w:name="_Toc184313240"/>
      <w:bookmarkEnd w:id="222"/>
      <w:bookmarkStart w:id="223" w:name="_Toc184308080"/>
      <w:bookmarkEnd w:id="223"/>
      <w:bookmarkStart w:id="224" w:name="_Toc184314437"/>
      <w:bookmarkEnd w:id="224"/>
      <w:bookmarkStart w:id="225" w:name="_Toc184312117"/>
      <w:bookmarkEnd w:id="225"/>
      <w:bookmarkStart w:id="226" w:name="_Toc184312086"/>
      <w:bookmarkEnd w:id="226"/>
      <w:bookmarkStart w:id="227" w:name="_Toc184308047"/>
      <w:bookmarkEnd w:id="227"/>
      <w:bookmarkStart w:id="228" w:name="_Toc184312078"/>
      <w:bookmarkEnd w:id="228"/>
      <w:bookmarkStart w:id="229" w:name="_Toc184313256"/>
      <w:bookmarkEnd w:id="229"/>
      <w:bookmarkStart w:id="230" w:name="_Toc184313263"/>
      <w:bookmarkEnd w:id="230"/>
      <w:bookmarkStart w:id="231" w:name="_Toc184314411"/>
      <w:bookmarkEnd w:id="231"/>
      <w:bookmarkStart w:id="232" w:name="_Toc184313286"/>
      <w:bookmarkEnd w:id="232"/>
      <w:bookmarkStart w:id="233" w:name="_Toc184308049"/>
      <w:bookmarkEnd w:id="233"/>
      <w:bookmarkStart w:id="234" w:name="_Toc184314444"/>
      <w:bookmarkEnd w:id="234"/>
      <w:bookmarkStart w:id="235" w:name="_Toc184310283"/>
      <w:bookmarkEnd w:id="235"/>
      <w:bookmarkStart w:id="236" w:name="_Toc184313289"/>
      <w:bookmarkEnd w:id="236"/>
      <w:bookmarkStart w:id="237" w:name="_Toc184310286"/>
      <w:bookmarkEnd w:id="237"/>
      <w:bookmarkStart w:id="238" w:name="_Toc184308099"/>
      <w:bookmarkEnd w:id="238"/>
      <w:bookmarkStart w:id="239" w:name="_Toc184308084"/>
      <w:bookmarkEnd w:id="239"/>
      <w:bookmarkStart w:id="240" w:name="_Toc184310310"/>
      <w:bookmarkEnd w:id="240"/>
      <w:bookmarkStart w:id="241" w:name="_Toc184312092"/>
      <w:bookmarkEnd w:id="241"/>
      <w:bookmarkStart w:id="242" w:name="_Toc184313278"/>
      <w:bookmarkEnd w:id="242"/>
      <w:bookmarkStart w:id="243" w:name="_Toc184308098"/>
      <w:bookmarkEnd w:id="243"/>
      <w:bookmarkStart w:id="244" w:name="_Toc184310333"/>
      <w:bookmarkEnd w:id="244"/>
      <w:bookmarkStart w:id="245" w:name="_Toc184314431"/>
      <w:bookmarkEnd w:id="245"/>
      <w:bookmarkStart w:id="246" w:name="_Toc184313297"/>
      <w:bookmarkEnd w:id="246"/>
      <w:bookmarkStart w:id="247" w:name="_Toc184310301"/>
      <w:bookmarkEnd w:id="247"/>
      <w:bookmarkStart w:id="248" w:name="_Toc184310302"/>
      <w:bookmarkEnd w:id="248"/>
      <w:bookmarkStart w:id="249" w:name="_Toc184312129"/>
      <w:bookmarkEnd w:id="249"/>
      <w:bookmarkStart w:id="250" w:name="_Toc184310307"/>
      <w:bookmarkEnd w:id="250"/>
      <w:bookmarkStart w:id="251" w:name="_Toc184308036"/>
      <w:bookmarkEnd w:id="251"/>
      <w:bookmarkStart w:id="252" w:name="_Toc184314415"/>
      <w:bookmarkEnd w:id="252"/>
      <w:bookmarkStart w:id="253" w:name="_Toc184314442"/>
      <w:bookmarkEnd w:id="253"/>
      <w:bookmarkStart w:id="254" w:name="_Toc184314465"/>
      <w:bookmarkEnd w:id="254"/>
      <w:bookmarkStart w:id="255" w:name="_Toc184310272"/>
      <w:bookmarkEnd w:id="255"/>
      <w:bookmarkStart w:id="256" w:name="_Toc184313279"/>
      <w:bookmarkEnd w:id="256"/>
      <w:bookmarkStart w:id="257" w:name="_Toc184314448"/>
      <w:bookmarkEnd w:id="257"/>
      <w:bookmarkStart w:id="258" w:name="_Toc184314472"/>
      <w:bookmarkEnd w:id="258"/>
      <w:bookmarkStart w:id="259" w:name="_Toc184308070"/>
      <w:bookmarkEnd w:id="259"/>
      <w:bookmarkStart w:id="260" w:name="_Toc184308060"/>
      <w:bookmarkEnd w:id="260"/>
      <w:bookmarkStart w:id="261" w:name="_Toc184310295"/>
      <w:bookmarkEnd w:id="261"/>
      <w:bookmarkStart w:id="262" w:name="_Toc184312131"/>
      <w:bookmarkEnd w:id="262"/>
      <w:bookmarkStart w:id="263" w:name="_Toc184308069"/>
      <w:bookmarkEnd w:id="263"/>
      <w:bookmarkStart w:id="264" w:name="_Toc184314422"/>
      <w:bookmarkEnd w:id="264"/>
      <w:bookmarkStart w:id="265" w:name="_Toc184314439"/>
      <w:bookmarkEnd w:id="265"/>
      <w:bookmarkStart w:id="266" w:name="_Toc184314435"/>
      <w:bookmarkEnd w:id="266"/>
      <w:bookmarkStart w:id="267" w:name="_Toc184310323"/>
      <w:bookmarkEnd w:id="267"/>
      <w:bookmarkStart w:id="268" w:name="_Toc184308088"/>
      <w:bookmarkEnd w:id="268"/>
      <w:bookmarkStart w:id="269" w:name="_Toc184313262"/>
      <w:bookmarkEnd w:id="269"/>
      <w:bookmarkStart w:id="270" w:name="_Toc184310314"/>
      <w:bookmarkEnd w:id="270"/>
      <w:bookmarkStart w:id="271" w:name="_Toc184310334"/>
      <w:bookmarkEnd w:id="271"/>
      <w:bookmarkStart w:id="272" w:name="_Toc184312139"/>
      <w:bookmarkEnd w:id="272"/>
      <w:bookmarkStart w:id="273" w:name="_Toc184310280"/>
      <w:bookmarkEnd w:id="273"/>
      <w:bookmarkStart w:id="274" w:name="_Toc184313275"/>
      <w:bookmarkEnd w:id="274"/>
      <w:bookmarkStart w:id="275" w:name="_Toc184308102"/>
      <w:bookmarkEnd w:id="275"/>
      <w:bookmarkStart w:id="276" w:name="_Toc184314457"/>
      <w:bookmarkEnd w:id="276"/>
      <w:bookmarkStart w:id="277" w:name="_Toc184310317"/>
      <w:bookmarkEnd w:id="277"/>
      <w:bookmarkStart w:id="278" w:name="_Toc184310316"/>
      <w:bookmarkEnd w:id="278"/>
      <w:bookmarkStart w:id="279" w:name="_Toc184313261"/>
      <w:bookmarkEnd w:id="279"/>
      <w:bookmarkStart w:id="280" w:name="_Toc184310330"/>
      <w:bookmarkEnd w:id="280"/>
      <w:bookmarkStart w:id="281" w:name="_Toc184313247"/>
      <w:bookmarkEnd w:id="281"/>
      <w:bookmarkStart w:id="282" w:name="_Toc184313306"/>
      <w:bookmarkEnd w:id="282"/>
      <w:bookmarkStart w:id="283" w:name="_Toc184314443"/>
      <w:bookmarkEnd w:id="283"/>
      <w:bookmarkStart w:id="284" w:name="_Toc184313274"/>
      <w:bookmarkEnd w:id="284"/>
      <w:bookmarkStart w:id="285" w:name="_Toc184313249"/>
      <w:bookmarkEnd w:id="285"/>
      <w:bookmarkStart w:id="286" w:name="_Toc184312133"/>
      <w:bookmarkEnd w:id="286"/>
      <w:bookmarkStart w:id="287" w:name="_Toc184314451"/>
      <w:bookmarkEnd w:id="287"/>
      <w:bookmarkStart w:id="288" w:name="_Toc184313250"/>
      <w:bookmarkEnd w:id="288"/>
      <w:bookmarkStart w:id="289" w:name="_Toc184314474"/>
      <w:bookmarkEnd w:id="289"/>
      <w:bookmarkStart w:id="290" w:name="_Toc184308094"/>
      <w:bookmarkEnd w:id="290"/>
      <w:bookmarkStart w:id="291" w:name="_Toc184310336"/>
      <w:bookmarkEnd w:id="291"/>
      <w:bookmarkStart w:id="292" w:name="_Toc184313301"/>
      <w:bookmarkEnd w:id="292"/>
      <w:bookmarkStart w:id="293" w:name="_Toc184313276"/>
      <w:bookmarkEnd w:id="293"/>
      <w:bookmarkStart w:id="294" w:name="_Toc184314473"/>
      <w:bookmarkEnd w:id="294"/>
      <w:bookmarkStart w:id="295" w:name="_Toc184310335"/>
      <w:bookmarkEnd w:id="295"/>
      <w:bookmarkStart w:id="296" w:name="_Toc184314455"/>
      <w:bookmarkEnd w:id="296"/>
      <w:bookmarkStart w:id="297" w:name="_Toc184308096"/>
      <w:bookmarkEnd w:id="297"/>
      <w:bookmarkStart w:id="298" w:name="_Toc184312071"/>
      <w:bookmarkEnd w:id="298"/>
      <w:bookmarkStart w:id="299" w:name="_Toc184313272"/>
      <w:bookmarkEnd w:id="299"/>
      <w:bookmarkStart w:id="300" w:name="_Toc184308087"/>
      <w:bookmarkEnd w:id="300"/>
      <w:bookmarkStart w:id="301" w:name="_Toc184308092"/>
      <w:bookmarkEnd w:id="301"/>
      <w:bookmarkStart w:id="302" w:name="_Toc184312121"/>
      <w:bookmarkEnd w:id="302"/>
      <w:bookmarkStart w:id="303" w:name="_Toc184310332"/>
      <w:bookmarkEnd w:id="303"/>
      <w:bookmarkStart w:id="304" w:name="_Toc184312090"/>
      <w:bookmarkEnd w:id="304"/>
      <w:bookmarkStart w:id="305" w:name="_Toc184314427"/>
      <w:bookmarkEnd w:id="305"/>
      <w:bookmarkStart w:id="306" w:name="_Toc184308051"/>
      <w:bookmarkEnd w:id="306"/>
      <w:bookmarkStart w:id="307" w:name="_Toc184312116"/>
      <w:bookmarkEnd w:id="307"/>
      <w:bookmarkStart w:id="308" w:name="_Toc184312112"/>
      <w:bookmarkEnd w:id="308"/>
      <w:bookmarkStart w:id="309" w:name="_Toc184313302"/>
      <w:bookmarkEnd w:id="309"/>
      <w:bookmarkStart w:id="310" w:name="_Toc184314445"/>
      <w:bookmarkEnd w:id="310"/>
      <w:bookmarkStart w:id="311" w:name="_Toc184310278"/>
      <w:bookmarkEnd w:id="311"/>
      <w:bookmarkStart w:id="312" w:name="_Toc184310320"/>
      <w:bookmarkEnd w:id="312"/>
      <w:bookmarkStart w:id="313" w:name="_Toc184313288"/>
      <w:bookmarkEnd w:id="313"/>
      <w:bookmarkStart w:id="314" w:name="_Toc184308075"/>
      <w:bookmarkEnd w:id="314"/>
      <w:bookmarkStart w:id="315" w:name="_Toc184310325"/>
      <w:bookmarkEnd w:id="315"/>
      <w:bookmarkStart w:id="316" w:name="_Toc184314449"/>
      <w:bookmarkEnd w:id="316"/>
      <w:bookmarkStart w:id="317" w:name="_Toc184313238"/>
      <w:bookmarkEnd w:id="317"/>
      <w:bookmarkStart w:id="318" w:name="_Toc184310319"/>
      <w:bookmarkEnd w:id="318"/>
      <w:bookmarkStart w:id="319" w:name="_Toc184308041"/>
      <w:bookmarkEnd w:id="319"/>
      <w:bookmarkStart w:id="320" w:name="_Toc184312134"/>
      <w:bookmarkEnd w:id="320"/>
      <w:bookmarkStart w:id="321" w:name="_Toc184308037"/>
      <w:bookmarkEnd w:id="321"/>
      <w:bookmarkStart w:id="322" w:name="_Toc184314463"/>
      <w:bookmarkEnd w:id="322"/>
      <w:bookmarkStart w:id="323" w:name="_Toc184314482"/>
      <w:bookmarkEnd w:id="323"/>
      <w:bookmarkStart w:id="324" w:name="_Toc184308086"/>
      <w:bookmarkEnd w:id="324"/>
      <w:bookmarkStart w:id="325" w:name="_Toc184310344"/>
      <w:bookmarkEnd w:id="325"/>
      <w:bookmarkStart w:id="326" w:name="_Toc184310285"/>
      <w:bookmarkEnd w:id="326"/>
      <w:bookmarkStart w:id="327" w:name="_Toc184308059"/>
      <w:bookmarkEnd w:id="327"/>
      <w:bookmarkStart w:id="328" w:name="_Toc184312094"/>
      <w:bookmarkEnd w:id="328"/>
      <w:bookmarkStart w:id="329" w:name="_Toc184308085"/>
      <w:bookmarkEnd w:id="329"/>
      <w:bookmarkStart w:id="330" w:name="_Toc184310300"/>
      <w:bookmarkEnd w:id="330"/>
      <w:bookmarkStart w:id="331" w:name="_Toc184310340"/>
      <w:bookmarkEnd w:id="331"/>
      <w:bookmarkStart w:id="332" w:name="_Toc184312083"/>
      <w:bookmarkEnd w:id="332"/>
      <w:bookmarkStart w:id="333" w:name="_Toc184312104"/>
      <w:bookmarkEnd w:id="333"/>
      <w:bookmarkStart w:id="334" w:name="_Toc184308071"/>
      <w:bookmarkEnd w:id="334"/>
      <w:bookmarkStart w:id="335" w:name="_Toc184313251"/>
      <w:bookmarkEnd w:id="335"/>
      <w:bookmarkStart w:id="336" w:name="_Toc184313293"/>
      <w:bookmarkEnd w:id="336"/>
      <w:bookmarkStart w:id="337" w:name="_Toc184314413"/>
      <w:bookmarkEnd w:id="337"/>
      <w:bookmarkStart w:id="338" w:name="_Toc184314464"/>
      <w:bookmarkEnd w:id="338"/>
      <w:bookmarkStart w:id="339" w:name="_Toc184313284"/>
      <w:bookmarkEnd w:id="339"/>
      <w:bookmarkStart w:id="340" w:name="_Toc184310338"/>
      <w:bookmarkEnd w:id="340"/>
      <w:bookmarkStart w:id="341" w:name="_Toc184312138"/>
      <w:bookmarkEnd w:id="341"/>
      <w:bookmarkStart w:id="342" w:name="_Toc184308048"/>
      <w:bookmarkEnd w:id="342"/>
      <w:bookmarkStart w:id="343" w:name="_Toc184310303"/>
      <w:bookmarkEnd w:id="343"/>
      <w:bookmarkStart w:id="344" w:name="_Toc184312123"/>
      <w:bookmarkEnd w:id="344"/>
      <w:bookmarkStart w:id="345" w:name="_Toc184314477"/>
      <w:bookmarkEnd w:id="345"/>
      <w:bookmarkStart w:id="346" w:name="_Toc184313277"/>
      <w:bookmarkEnd w:id="346"/>
      <w:bookmarkStart w:id="347" w:name="_Toc184308067"/>
      <w:bookmarkEnd w:id="347"/>
      <w:bookmarkStart w:id="348" w:name="_Toc184310341"/>
      <w:bookmarkEnd w:id="348"/>
      <w:bookmarkStart w:id="349" w:name="_Toc184314440"/>
      <w:bookmarkEnd w:id="349"/>
      <w:bookmarkStart w:id="350" w:name="_Toc184308106"/>
      <w:bookmarkEnd w:id="350"/>
      <w:bookmarkStart w:id="351" w:name="_Toc184314433"/>
      <w:bookmarkEnd w:id="351"/>
      <w:bookmarkStart w:id="352" w:name="_Toc184308104"/>
      <w:bookmarkEnd w:id="352"/>
      <w:bookmarkStart w:id="353" w:name="_Toc184313244"/>
      <w:bookmarkEnd w:id="353"/>
      <w:bookmarkStart w:id="354" w:name="_Toc184314481"/>
      <w:bookmarkEnd w:id="354"/>
      <w:bookmarkStart w:id="355" w:name="_Toc184312107"/>
      <w:bookmarkEnd w:id="355"/>
      <w:bookmarkStart w:id="356" w:name="_Toc184310296"/>
      <w:bookmarkEnd w:id="356"/>
      <w:bookmarkStart w:id="357" w:name="_Toc184310294"/>
      <w:bookmarkEnd w:id="357"/>
      <w:bookmarkStart w:id="358" w:name="_Toc184314418"/>
      <w:bookmarkEnd w:id="358"/>
      <w:bookmarkStart w:id="359" w:name="_Toc184308065"/>
      <w:bookmarkEnd w:id="359"/>
      <w:bookmarkStart w:id="360" w:name="_Toc184314476"/>
      <w:bookmarkEnd w:id="360"/>
      <w:bookmarkStart w:id="361" w:name="_Toc184313300"/>
      <w:bookmarkEnd w:id="361"/>
      <w:bookmarkStart w:id="362" w:name="_Toc184310311"/>
      <w:bookmarkEnd w:id="362"/>
      <w:bookmarkStart w:id="363" w:name="_Toc184314432"/>
      <w:bookmarkEnd w:id="363"/>
      <w:bookmarkStart w:id="364" w:name="_Toc184308062"/>
      <w:bookmarkEnd w:id="364"/>
      <w:bookmarkStart w:id="365" w:name="_Toc184313281"/>
      <w:bookmarkEnd w:id="365"/>
      <w:bookmarkStart w:id="366" w:name="_Toc184308044"/>
      <w:bookmarkEnd w:id="366"/>
      <w:bookmarkStart w:id="367" w:name="_Toc184313248"/>
      <w:bookmarkEnd w:id="367"/>
      <w:bookmarkStart w:id="368" w:name="_Toc184313295"/>
      <w:bookmarkEnd w:id="368"/>
      <w:bookmarkStart w:id="369" w:name="_Toc184308073"/>
      <w:bookmarkEnd w:id="369"/>
      <w:bookmarkStart w:id="370" w:name="_Toc184310298"/>
      <w:bookmarkEnd w:id="370"/>
      <w:bookmarkStart w:id="371" w:name="_Toc184312081"/>
      <w:bookmarkEnd w:id="371"/>
      <w:bookmarkStart w:id="372" w:name="_Toc184308074"/>
      <w:bookmarkEnd w:id="372"/>
      <w:bookmarkStart w:id="373" w:name="_Toc184313298"/>
      <w:bookmarkEnd w:id="373"/>
      <w:bookmarkStart w:id="374" w:name="_Toc184313268"/>
      <w:bookmarkEnd w:id="374"/>
      <w:bookmarkStart w:id="375" w:name="_Toc184312136"/>
      <w:bookmarkEnd w:id="375"/>
      <w:bookmarkStart w:id="376" w:name="_Toc184313270"/>
      <w:bookmarkEnd w:id="376"/>
      <w:bookmarkStart w:id="377" w:name="_Toc184313308"/>
      <w:bookmarkEnd w:id="377"/>
      <w:bookmarkStart w:id="378" w:name="_Toc184313299"/>
      <w:bookmarkEnd w:id="378"/>
      <w:bookmarkStart w:id="379" w:name="_Toc184313241"/>
      <w:bookmarkEnd w:id="379"/>
      <w:bookmarkStart w:id="380" w:name="_Toc184310304"/>
      <w:bookmarkEnd w:id="380"/>
      <w:bookmarkStart w:id="381" w:name="_Toc184308089"/>
      <w:bookmarkEnd w:id="381"/>
      <w:bookmarkStart w:id="382" w:name="_Toc184312074"/>
      <w:bookmarkEnd w:id="382"/>
      <w:bookmarkStart w:id="383" w:name="_Toc184313266"/>
      <w:bookmarkEnd w:id="383"/>
      <w:bookmarkStart w:id="384" w:name="_Toc184308061"/>
      <w:bookmarkEnd w:id="384"/>
      <w:bookmarkStart w:id="385" w:name="_Toc184308072"/>
      <w:bookmarkEnd w:id="385"/>
      <w:bookmarkStart w:id="386" w:name="_Toc184312089"/>
      <w:bookmarkEnd w:id="386"/>
      <w:bookmarkStart w:id="387" w:name="_Toc184308068"/>
      <w:bookmarkEnd w:id="387"/>
      <w:bookmarkStart w:id="388" w:name="_Toc184313257"/>
      <w:bookmarkEnd w:id="388"/>
      <w:bookmarkStart w:id="389" w:name="_Toc184312073"/>
      <w:bookmarkEnd w:id="389"/>
      <w:bookmarkStart w:id="390" w:name="_Toc184312076"/>
      <w:bookmarkEnd w:id="390"/>
      <w:bookmarkStart w:id="391" w:name="_Toc184308050"/>
      <w:bookmarkEnd w:id="391"/>
      <w:bookmarkStart w:id="392" w:name="_Toc184308045"/>
      <w:bookmarkEnd w:id="392"/>
      <w:bookmarkStart w:id="393" w:name="_Toc184310308"/>
      <w:bookmarkEnd w:id="393"/>
      <w:bookmarkStart w:id="394" w:name="_Toc184312109"/>
      <w:bookmarkEnd w:id="394"/>
      <w:bookmarkStart w:id="395" w:name="_Toc184310305"/>
      <w:bookmarkEnd w:id="395"/>
      <w:bookmarkStart w:id="396" w:name="_Toc184312119"/>
      <w:bookmarkEnd w:id="396"/>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5884"/>
        <w:gridCol w:w="804"/>
        <w:gridCol w:w="941"/>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5884" w:type="dxa"/>
            <w:vAlign w:val="center"/>
          </w:tcPr>
          <w:p>
            <w:pPr>
              <w:snapToGrid w:val="0"/>
              <w:spacing w:line="360" w:lineRule="auto"/>
              <w:ind w:left="1680" w:firstLine="480"/>
              <w:rPr>
                <w:rFonts w:ascii="宋体" w:hAnsi="宋体" w:cs="宋体"/>
                <w:color w:val="auto"/>
                <w:sz w:val="24"/>
                <w:highlight w:val="none"/>
              </w:rPr>
            </w:pPr>
            <w:r>
              <w:rPr>
                <w:rFonts w:hint="eastAsia" w:ascii="宋体" w:hAnsi="宋体" w:cs="宋体"/>
                <w:color w:val="auto"/>
                <w:sz w:val="24"/>
                <w:highlight w:val="none"/>
              </w:rPr>
              <w:t>评标标准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权重</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主观分/客观分属性</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具有有效期内的ISO9001质量管理体系认证证书、ISO14001环境管理体系认证证书、ISO45001职业健康安全管理体系认证证书、GB/T29490知识产权管理体系认证证书，每提供一个得1分，最高得4分。（提供相关证书扫描件，认证证书覆盖的产品和服务应于本项目紧密相关，以及其在“全国认证认可信息公共服务平台”官网查询结果的截图，其证书编号、企业名称、日期（有效期）等信息应全部一致，否则不得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941"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投标人/制造商具有处于有效期内且有效的电热食品加工设备生产许可证、消毒产品生产企业卫生许可证，每提供一项的得1分，最高得2分。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41" w:type="dxa"/>
            <w:vMerge w:val="continue"/>
            <w:vAlign w:val="center"/>
          </w:tcPr>
          <w:p>
            <w:pPr>
              <w:snapToGrid w:val="0"/>
              <w:spacing w:line="360" w:lineRule="auto"/>
              <w:jc w:val="center"/>
              <w:rPr>
                <w:rFonts w:ascii="宋体" w:hAnsi="宋体" w:cs="宋体"/>
                <w:color w:val="auto"/>
                <w:sz w:val="24"/>
                <w:highlight w:val="none"/>
              </w:rPr>
            </w:pPr>
          </w:p>
        </w:tc>
        <w:tc>
          <w:tcPr>
            <w:tcW w:w="1329" w:type="dxa"/>
            <w:vMerge w:val="continue"/>
            <w:vAlign w:val="center"/>
          </w:tcPr>
          <w:p>
            <w:pPr>
              <w:snapToGrid w:val="0"/>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5884" w:type="dxa"/>
            <w:vAlign w:val="center"/>
          </w:tcPr>
          <w:p>
            <w:pPr>
              <w:snapToGrid w:val="0"/>
              <w:spacing w:line="360" w:lineRule="auto"/>
              <w:jc w:val="left"/>
              <w:rPr>
                <w:color w:val="auto"/>
                <w:highlight w:val="none"/>
              </w:rPr>
            </w:pPr>
            <w:r>
              <w:rPr>
                <w:rFonts w:hint="eastAsia" w:ascii="宋体" w:hAnsi="宋体" w:cs="宋体"/>
                <w:color w:val="auto"/>
                <w:sz w:val="24"/>
                <w:highlight w:val="none"/>
              </w:rPr>
              <w:t>投标人/制造商需提供所投产品（如炊用燃气大锅灶、中餐燃气炒菜灶、燃气蒸箱、四门冰箱、消毒柜、排烟系统等）</w:t>
            </w:r>
            <w:r>
              <w:rPr>
                <w:rFonts w:hint="eastAsia" w:ascii="宋体" w:hAnsi="宋体" w:cs="宋体"/>
                <w:color w:val="auto"/>
                <w:sz w:val="24"/>
                <w:highlight w:val="none"/>
                <w:lang w:val="en-US" w:eastAsia="zh-CN"/>
              </w:rPr>
              <w:t>有</w:t>
            </w:r>
            <w:r>
              <w:rPr>
                <w:rFonts w:hint="eastAsia" w:ascii="宋体" w:hAnsi="宋体" w:cs="宋体"/>
                <w:color w:val="auto"/>
                <w:sz w:val="24"/>
                <w:highlight w:val="none"/>
              </w:rPr>
              <w:t>效期内的节能产品类认证证书，每提供一项的得</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分，最高得2分。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41" w:type="dxa"/>
            <w:vMerge w:val="continue"/>
            <w:vAlign w:val="center"/>
          </w:tcPr>
          <w:p>
            <w:pPr>
              <w:snapToGrid w:val="0"/>
              <w:spacing w:line="360" w:lineRule="auto"/>
              <w:jc w:val="center"/>
              <w:rPr>
                <w:rFonts w:ascii="宋体" w:hAnsi="宋体" w:cs="宋体"/>
                <w:color w:val="auto"/>
                <w:sz w:val="24"/>
                <w:highlight w:val="none"/>
              </w:rPr>
            </w:pPr>
          </w:p>
        </w:tc>
        <w:tc>
          <w:tcPr>
            <w:tcW w:w="1329" w:type="dxa"/>
            <w:vMerge w:val="continue"/>
            <w:vAlign w:val="center"/>
          </w:tcPr>
          <w:p>
            <w:pPr>
              <w:snapToGrid w:val="0"/>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投标人/制造商需提供所投产品（如炊用燃气大锅灶、中餐燃气炒菜灶、燃气蒸箱、四门冰箱、消毒柜、排烟系统等）</w:t>
            </w:r>
            <w:r>
              <w:rPr>
                <w:rFonts w:hint="eastAsia" w:ascii="宋体" w:hAnsi="宋体" w:cs="宋体"/>
                <w:color w:val="auto"/>
                <w:sz w:val="24"/>
                <w:highlight w:val="none"/>
                <w:lang w:val="en-US" w:eastAsia="zh-CN"/>
              </w:rPr>
              <w:t>有</w:t>
            </w:r>
            <w:r>
              <w:rPr>
                <w:rFonts w:hint="eastAsia" w:ascii="宋体" w:hAnsi="宋体" w:cs="宋体"/>
                <w:color w:val="auto"/>
                <w:sz w:val="24"/>
                <w:highlight w:val="none"/>
              </w:rPr>
              <w:t>效期内的中国环境标志产品认证证书，每提供一项的得</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分，最高得2分。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41" w:type="dxa"/>
            <w:vMerge w:val="continue"/>
            <w:vAlign w:val="center"/>
          </w:tcPr>
          <w:p>
            <w:pPr>
              <w:snapToGrid w:val="0"/>
              <w:spacing w:line="360" w:lineRule="auto"/>
              <w:jc w:val="center"/>
              <w:rPr>
                <w:rFonts w:ascii="宋体" w:hAnsi="宋体" w:cs="宋体"/>
                <w:color w:val="auto"/>
                <w:sz w:val="24"/>
                <w:highlight w:val="none"/>
              </w:rPr>
            </w:pPr>
          </w:p>
        </w:tc>
        <w:tc>
          <w:tcPr>
            <w:tcW w:w="1329" w:type="dxa"/>
            <w:vMerge w:val="continue"/>
            <w:vAlign w:val="center"/>
          </w:tcPr>
          <w:p>
            <w:pPr>
              <w:snapToGrid w:val="0"/>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投标人自202</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年1月1日</w:t>
            </w:r>
            <w:r>
              <w:rPr>
                <w:rFonts w:hint="eastAsia" w:ascii="宋体" w:hAnsi="宋体" w:cs="宋体"/>
                <w:color w:val="auto"/>
                <w:sz w:val="24"/>
                <w:highlight w:val="none"/>
                <w:lang w:val="en-US" w:eastAsia="zh-CN"/>
              </w:rPr>
              <w:t>起至投标文件递交截止时间止</w:t>
            </w:r>
            <w:r>
              <w:rPr>
                <w:rFonts w:hint="eastAsia" w:ascii="宋体" w:hAnsi="宋体" w:cs="宋体"/>
                <w:color w:val="auto"/>
                <w:sz w:val="24"/>
                <w:highlight w:val="none"/>
              </w:rPr>
              <w:t>以来完成的同类案例，每提供一个得1分，本项最高得3分。（合同、验收报告，其中验收报告必须提供用户单位签字及盖章，否则不得分。注：同类案例是指与采购标的同品类的项目案例）。</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投标人/制造商提供具备CMA或CNAS资质的检测机构出具的304不锈钢板检测报告，报告内容覆盖符合以下（GB 4806.9-2016；GB/T 3280-2015；GB/T 6461-2002；GB/T10125-2021；GB/T11170- 2008；GB31604.49-2016；GB/T 228.1-2021 ）标准的，得1分。</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投标人提供具备CMA或CNAS资质的检测机构出具的304不锈钢板检测报告，报告内容符合 GB/T9978.1-2008耐火完整性≥120min要求及《建筑材料及制品燃烧性能分级》GB 8624-2012中A1级要求的，得1分。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原材料检测报告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5884" w:type="dxa"/>
            <w:vAlign w:val="center"/>
          </w:tcPr>
          <w:p>
            <w:pPr>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1、产品常规理化性能检测报告：</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投标人/制造商提供具备CMA或CNAS资质的检测机构出具的与本项目有关的产品检测报告，报告内容符合 GB/T228.1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20</w:t>
            </w:r>
            <w:r>
              <w:rPr>
                <w:rFonts w:ascii="宋体" w:hAnsi="宋体" w:cs="宋体"/>
                <w:color w:val="auto"/>
                <w:sz w:val="24"/>
                <w:highlight w:val="none"/>
              </w:rPr>
              <w:t>21</w:t>
            </w:r>
            <w:r>
              <w:rPr>
                <w:rFonts w:hint="eastAsia" w:ascii="宋体" w:hAnsi="宋体" w:cs="宋体"/>
                <w:color w:val="auto"/>
                <w:sz w:val="24"/>
                <w:highlight w:val="none"/>
              </w:rPr>
              <w:t>、GB/T10125</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20</w:t>
            </w:r>
            <w:r>
              <w:rPr>
                <w:rFonts w:ascii="宋体" w:hAnsi="宋体" w:cs="宋体"/>
                <w:color w:val="auto"/>
                <w:sz w:val="24"/>
                <w:highlight w:val="none"/>
              </w:rPr>
              <w:t>21</w:t>
            </w:r>
            <w:r>
              <w:rPr>
                <w:rFonts w:hint="eastAsia" w:ascii="宋体" w:hAnsi="宋体" w:cs="宋体"/>
                <w:color w:val="auto"/>
                <w:sz w:val="24"/>
                <w:highlight w:val="none"/>
              </w:rPr>
              <w:t>标准 ，“拉伸性能”、“耐腐蚀性能”标准，每提供一份的，得0.5分，本项最高得2分。</w:t>
            </w:r>
          </w:p>
          <w:p>
            <w:pPr>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2、产品阻燃性检测报告:</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投标人/制造商提供具备CMA或CNAS资质的检测机构出具的不锈钢烟罩符合GB/T 3325-2017要求、GB/T9978.1-2008耐火完整性≥120min要求及GB 8624-2012中A1级要求的，得1分，本项最高得1分。</w:t>
            </w:r>
          </w:p>
          <w:p>
            <w:pPr>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3、产品能源利用效率检测报告：</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投标人/制造商提供具备CMA或CNAS资质的检测机构出具的与本项目有关的炊用燃气设备产品检测报告，报告内容符合GB 35848-2018《商用燃气燃烧器具》及GB 30531-2014《商用燃气灶具能效限定值及能效等级》标准，中餐燃气炒菜灶额定热负荷(单炉眼≥</w:t>
            </w:r>
            <w:r>
              <w:rPr>
                <w:rFonts w:ascii="宋体" w:hAnsi="宋体" w:cs="宋体"/>
                <w:color w:val="auto"/>
                <w:sz w:val="24"/>
                <w:highlight w:val="none"/>
              </w:rPr>
              <w:t>35kW</w:t>
            </w:r>
            <w:r>
              <w:rPr>
                <w:rFonts w:hint="eastAsia" w:ascii="宋体" w:hAnsi="宋体" w:cs="宋体"/>
                <w:color w:val="auto"/>
                <w:sz w:val="24"/>
                <w:highlight w:val="none"/>
              </w:rPr>
              <w:t>、双炉眼≥7</w:t>
            </w:r>
            <w:r>
              <w:rPr>
                <w:rFonts w:ascii="宋体" w:hAnsi="宋体" w:cs="宋体"/>
                <w:color w:val="auto"/>
                <w:sz w:val="24"/>
                <w:highlight w:val="none"/>
              </w:rPr>
              <w:t>0</w:t>
            </w:r>
            <w:r>
              <w:rPr>
                <w:rFonts w:hint="eastAsia" w:ascii="宋体" w:hAnsi="宋体" w:cs="宋体"/>
                <w:color w:val="auto"/>
                <w:sz w:val="24"/>
                <w:highlight w:val="none"/>
              </w:rPr>
              <w:t>K</w:t>
            </w:r>
            <w:r>
              <w:rPr>
                <w:rFonts w:ascii="宋体" w:hAnsi="宋体" w:cs="宋体"/>
                <w:color w:val="auto"/>
                <w:sz w:val="24"/>
                <w:highlight w:val="none"/>
              </w:rPr>
              <w:t>W</w:t>
            </w:r>
            <w:r>
              <w:rPr>
                <w:rFonts w:hint="eastAsia" w:ascii="宋体" w:hAnsi="宋体" w:cs="宋体"/>
                <w:color w:val="auto"/>
                <w:sz w:val="24"/>
                <w:highlight w:val="none"/>
              </w:rPr>
              <w:t>),能效等级达到1级，其中能源合理利用（热效率：45-55%）的，得1分，能源合理利用（热效率：＞55%）的2分；炊用燃气大锅灶额定热负荷(单炉眼≥4</w:t>
            </w:r>
            <w:r>
              <w:rPr>
                <w:rFonts w:ascii="宋体" w:hAnsi="宋体" w:cs="宋体"/>
                <w:color w:val="auto"/>
                <w:sz w:val="24"/>
                <w:highlight w:val="none"/>
              </w:rPr>
              <w:t>5</w:t>
            </w:r>
            <w:r>
              <w:rPr>
                <w:rFonts w:hint="eastAsia" w:ascii="宋体" w:hAnsi="宋体" w:cs="宋体"/>
                <w:color w:val="auto"/>
                <w:sz w:val="24"/>
                <w:highlight w:val="none"/>
              </w:rPr>
              <w:t>K</w:t>
            </w:r>
            <w:r>
              <w:rPr>
                <w:rFonts w:ascii="宋体" w:hAnsi="宋体" w:cs="宋体"/>
                <w:color w:val="auto"/>
                <w:sz w:val="24"/>
                <w:highlight w:val="none"/>
              </w:rPr>
              <w:t>W</w:t>
            </w:r>
            <w:r>
              <w:rPr>
                <w:rFonts w:hint="eastAsia" w:ascii="宋体" w:hAnsi="宋体" w:cs="宋体"/>
                <w:color w:val="auto"/>
                <w:sz w:val="24"/>
                <w:highlight w:val="none"/>
              </w:rPr>
              <w:t>、双炉眼≥9</w:t>
            </w:r>
            <w:r>
              <w:rPr>
                <w:rFonts w:ascii="宋体" w:hAnsi="宋体" w:cs="宋体"/>
                <w:color w:val="auto"/>
                <w:sz w:val="24"/>
                <w:highlight w:val="none"/>
              </w:rPr>
              <w:t>0</w:t>
            </w:r>
            <w:r>
              <w:rPr>
                <w:rFonts w:hint="eastAsia" w:ascii="宋体" w:hAnsi="宋体" w:cs="宋体"/>
                <w:color w:val="auto"/>
                <w:sz w:val="24"/>
                <w:highlight w:val="none"/>
              </w:rPr>
              <w:t>K</w:t>
            </w:r>
            <w:r>
              <w:rPr>
                <w:rFonts w:ascii="宋体" w:hAnsi="宋体" w:cs="宋体"/>
                <w:color w:val="auto"/>
                <w:sz w:val="24"/>
                <w:highlight w:val="none"/>
              </w:rPr>
              <w:t>W</w:t>
            </w:r>
            <w:r>
              <w:rPr>
                <w:rFonts w:hint="eastAsia" w:ascii="宋体" w:hAnsi="宋体" w:cs="宋体"/>
                <w:color w:val="auto"/>
                <w:sz w:val="24"/>
                <w:highlight w:val="none"/>
              </w:rPr>
              <w:t>),能效等级达到1级，其中能源合理利用（热效率：65-75%）的，得1分，能源合理利用（热效率：＞75%）的2分；本项最高得4分。</w:t>
            </w:r>
          </w:p>
          <w:p>
            <w:pPr>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4、产品耐温及电器安全性能检测报告:</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投标人/制造商提供具备CMA或CNAS资质的检测机构出具的与本项目有关的产品检测报告，报告内容符合GB/T 2423.2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2008 、GB4706.1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2005标准，“耐温度性能”、“电器安全性能”标准，每提供一份的，得0.5分，本项最高得2分。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产品检测报告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根据投标文件对招标文件产品技术性能要求、质量标准及参数指标等的响应程度进行评议：全符合技术指标得13分；每发生一个参数指标负偏离的，扣1分，扣完为止。如提供的证明资料不完整，则对应项不得分，本项最高得13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技术参数偏离情况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因项目实施时间有限，为保障项目按时顺利完成，根据采购需求并结合踏勘情况，投标人须对各项目具体内容及使用各使用单位做出详细地分析及规划（能按照项目/各园、各校①分解各个节点，②规划到位/对接清晰、可跟踪实施）。根据规划方案内容进行评分，节点齐全、内容详实，完全符合使用方需求的得</w:t>
            </w:r>
            <w:r>
              <w:rPr>
                <w:rFonts w:hint="eastAsia" w:ascii="宋体" w:hAnsi="宋体" w:cs="宋体"/>
                <w:color w:val="auto"/>
                <w:sz w:val="24"/>
                <w:highlight w:val="none"/>
                <w:lang w:val="en-US" w:eastAsia="zh-CN"/>
              </w:rPr>
              <w:t>4分</w:t>
            </w:r>
            <w:r>
              <w:rPr>
                <w:rFonts w:hint="eastAsia" w:ascii="宋体" w:hAnsi="宋体" w:cs="宋体"/>
                <w:color w:val="auto"/>
                <w:sz w:val="24"/>
                <w:highlight w:val="none"/>
              </w:rPr>
              <w:t>；节点稍有遗漏、内容较为详实，基本符合使用方需求的得</w:t>
            </w:r>
            <w:r>
              <w:rPr>
                <w:rFonts w:hint="eastAsia" w:ascii="宋体" w:hAnsi="宋体" w:cs="宋体"/>
                <w:color w:val="auto"/>
                <w:sz w:val="24"/>
                <w:highlight w:val="none"/>
                <w:lang w:val="en-US" w:eastAsia="zh-CN"/>
              </w:rPr>
              <w:t>2分</w:t>
            </w:r>
            <w:r>
              <w:rPr>
                <w:rFonts w:hint="eastAsia" w:ascii="宋体" w:hAnsi="宋体" w:cs="宋体"/>
                <w:color w:val="auto"/>
                <w:sz w:val="24"/>
                <w:highlight w:val="none"/>
              </w:rPr>
              <w:t>；节点遗漏较多、内容简单，与使用方需求有较大偏差的得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r>
              <w:rPr>
                <w:rFonts w:hint="eastAsia" w:ascii="宋体" w:hAnsi="宋体" w:eastAsia="宋体" w:cs="宋体"/>
                <w:color w:val="auto"/>
                <w:sz w:val="24"/>
                <w:highlight w:val="none"/>
                <w:lang w:val="en-US" w:eastAsia="zh-CN"/>
              </w:rPr>
              <w:t>不提供不得分。</w:t>
            </w:r>
            <w:r>
              <w:rPr>
                <w:rFonts w:hint="eastAsia" w:ascii="宋体" w:hAnsi="宋体" w:cs="宋体"/>
                <w:color w:val="auto"/>
                <w:sz w:val="24"/>
                <w:highlight w:val="none"/>
              </w:rPr>
              <w:t>本项最高得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804"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主观分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5884" w:type="dxa"/>
            <w:vAlign w:val="center"/>
          </w:tcPr>
          <w:p>
            <w:pPr>
              <w:snapToGrid w:val="0"/>
              <w:spacing w:line="360" w:lineRule="auto"/>
              <w:jc w:val="left"/>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投标人承诺货物送到指定地点（保证货物到达采购人所在地完好无损，如有缺漏、损坏，由供应商负责调换、补齐或赔偿）的得 2分，不提供不得分。</w:t>
            </w:r>
          </w:p>
        </w:tc>
        <w:tc>
          <w:tcPr>
            <w:tcW w:w="804" w:type="dxa"/>
            <w:vAlign w:val="center"/>
          </w:tcPr>
          <w:p>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941" w:type="dxa"/>
            <w:vAlign w:val="center"/>
          </w:tcPr>
          <w:p>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客观分</w:t>
            </w:r>
          </w:p>
        </w:tc>
        <w:tc>
          <w:tcPr>
            <w:tcW w:w="1329" w:type="dxa"/>
            <w:vAlign w:val="center"/>
          </w:tcPr>
          <w:p>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货物运输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项目相关产品生产质量控制措施、安装方案、确保按期交付的时间节点计划表、设备及技术人员配置情况。根据投标人提供的方案，满足采购需求情况，完全满足的得3分，部分符合得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分，差距较大的</w:t>
            </w:r>
            <w:r>
              <w:rPr>
                <w:rFonts w:hint="eastAsia" w:ascii="宋体" w:hAnsi="宋体" w:cs="宋体"/>
                <w:color w:val="auto"/>
                <w:sz w:val="24"/>
                <w:highlight w:val="none"/>
                <w:lang w:eastAsia="zh-CN"/>
              </w:rPr>
              <w:t>不</w:t>
            </w:r>
            <w:r>
              <w:rPr>
                <w:rFonts w:hint="eastAsia" w:ascii="宋体" w:hAnsi="宋体" w:cs="宋体"/>
                <w:color w:val="auto"/>
                <w:sz w:val="24"/>
                <w:highlight w:val="none"/>
              </w:rPr>
              <w:t>得</w:t>
            </w:r>
            <w:r>
              <w:rPr>
                <w:rFonts w:hint="eastAsia" w:ascii="宋体" w:hAnsi="宋体" w:cs="宋体"/>
                <w:color w:val="auto"/>
                <w:sz w:val="24"/>
                <w:highlight w:val="none"/>
                <w:lang w:val="en-US" w:eastAsia="zh-CN"/>
              </w:rPr>
              <w:t>分</w:t>
            </w:r>
            <w:r>
              <w:rPr>
                <w:rFonts w:hint="eastAsia" w:ascii="宋体" w:hAnsi="宋体" w:cs="宋体"/>
                <w:color w:val="auto"/>
                <w:sz w:val="24"/>
                <w:highlight w:val="none"/>
              </w:rPr>
              <w:t>，本项最高得3分。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主观分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项目生产及安装实施方案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9</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项目具体调试、培训、验收实施方案,根据投标人提供的方案，满足采购需求情况，完全满足的得3分，部分符合得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分，差距较大的</w:t>
            </w:r>
            <w:r>
              <w:rPr>
                <w:rFonts w:hint="eastAsia" w:ascii="宋体" w:hAnsi="宋体" w:cs="宋体"/>
                <w:color w:val="auto"/>
                <w:sz w:val="24"/>
                <w:highlight w:val="none"/>
                <w:lang w:eastAsia="zh-CN"/>
              </w:rPr>
              <w:t>不</w:t>
            </w:r>
            <w:r>
              <w:rPr>
                <w:rFonts w:hint="eastAsia" w:ascii="宋体" w:hAnsi="宋体" w:cs="宋体"/>
                <w:color w:val="auto"/>
                <w:sz w:val="24"/>
                <w:highlight w:val="none"/>
              </w:rPr>
              <w:t>得分，本项最高得3分。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主观分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项目调试、培训、验收方案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投标人为保证项目顺利实施构建的项目团队的技术力量和人员资质情况：</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1、投标人拟派人员具有职能部门或行政机构颁发的机械类、暖通类、燃气类、机械智能化类等与本项目实施密切相关的中级及以上工程师职称证书的，每提供一本得1分,最高得3分。</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2、投标人拟派人员具有职能部门或行政机构颁发的与本项目实施密切相关的高处安装、维护、拆除作业证的，每提供一本得1分，最高得3分。</w:t>
            </w:r>
          </w:p>
          <w:p>
            <w:pPr>
              <w:snapToGrid w:val="0"/>
              <w:spacing w:line="360" w:lineRule="auto"/>
              <w:ind w:firstLine="0" w:firstLineChars="0"/>
              <w:jc w:val="left"/>
              <w:rPr>
                <w:rFonts w:ascii="宋体" w:hAnsi="宋体" w:cs="宋体"/>
                <w:color w:val="auto"/>
                <w:sz w:val="24"/>
                <w:highlight w:val="none"/>
              </w:rPr>
            </w:pPr>
            <w:r>
              <w:rPr>
                <w:rFonts w:hint="eastAsia" w:ascii="宋体" w:hAnsi="宋体" w:cs="宋体"/>
                <w:color w:val="auto"/>
                <w:sz w:val="24"/>
                <w:highlight w:val="none"/>
              </w:rPr>
              <w:t>3、投标人拟派人员具有职能部门或行政机构颁发的与本项目实施密切相关的电工作业证的，每提供一本得0.5分，最高得1分。</w:t>
            </w:r>
          </w:p>
          <w:p>
            <w:pPr>
              <w:snapToGrid w:val="0"/>
              <w:spacing w:line="360" w:lineRule="auto"/>
              <w:ind w:firstLine="0" w:firstLineChars="0"/>
              <w:jc w:val="left"/>
              <w:rPr>
                <w:rFonts w:ascii="宋体" w:hAnsi="宋体" w:cs="宋体"/>
                <w:color w:val="auto"/>
                <w:sz w:val="24"/>
                <w:highlight w:val="none"/>
              </w:rPr>
            </w:pPr>
            <w:r>
              <w:rPr>
                <w:rFonts w:hint="eastAsia" w:ascii="宋体" w:hAnsi="宋体" w:cs="宋体"/>
                <w:color w:val="auto"/>
                <w:sz w:val="24"/>
                <w:highlight w:val="none"/>
              </w:rPr>
              <w:t>4、投标人拟派人员具有职能部门或行政机构颁发的与本项目实施密切相关的焊接与热切割作业证的，每提供一本得0.5分，最高得1分。</w:t>
            </w:r>
          </w:p>
          <w:p>
            <w:pPr>
              <w:snapToGrid w:val="0"/>
              <w:spacing w:line="360" w:lineRule="auto"/>
              <w:ind w:firstLine="0" w:firstLineChars="0"/>
              <w:jc w:val="left"/>
              <w:rPr>
                <w:rFonts w:ascii="宋体" w:hAnsi="宋体" w:cs="宋体"/>
                <w:color w:val="auto"/>
                <w:sz w:val="24"/>
                <w:highlight w:val="none"/>
              </w:rPr>
            </w:pPr>
            <w:r>
              <w:rPr>
                <w:rFonts w:hint="eastAsia" w:ascii="宋体" w:hAnsi="宋体" w:cs="宋体"/>
                <w:color w:val="auto"/>
                <w:sz w:val="24"/>
                <w:highlight w:val="none"/>
              </w:rPr>
              <w:t>注：提供人员相关证书以及投标人为其缴纳的近二个月及以上的社保证明（社保缴纳证明以社保机构出具的社保证明为准）并加盖投标人公章。</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项目实施技术人员配备情况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投标人质保期期限在满足采购需求的基础上，每增加1年增加1分，本项最高得2分。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客</w:t>
            </w:r>
            <w:r>
              <w:rPr>
                <w:rFonts w:hint="eastAsia" w:ascii="宋体" w:hAnsi="宋体" w:cs="宋体"/>
                <w:color w:val="auto"/>
                <w:sz w:val="24"/>
                <w:highlight w:val="none"/>
              </w:rPr>
              <w:t>观分</w:t>
            </w:r>
          </w:p>
        </w:tc>
        <w:tc>
          <w:tcPr>
            <w:tcW w:w="132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03"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根据投标人提供的售后服务方案（包括维修响应、技术力量配备、技术培训、备品备件、回访等服务措施）是否详细明确、合理可行进行综合评价。方案内容阐述详细全面，措施合理明确，可行性强的得6分；方案内容阐述存在缺陷但基本详尽，措施基本合理明确，具有一定可行性的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分；方案内容阐述粗略、缺陷较多，措施欠缺合理性，可行性较弱的得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分；未提供相关内容阐述或不符合项目的不得分。</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主观分</w:t>
            </w:r>
          </w:p>
        </w:tc>
        <w:tc>
          <w:tcPr>
            <w:tcW w:w="1329" w:type="dxa"/>
            <w:vMerge w:val="continue"/>
            <w:vAlign w:val="center"/>
          </w:tcPr>
          <w:p>
            <w:pPr>
              <w:snapToGrid w:val="0"/>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03" w:type="dxa"/>
            <w:vAlign w:val="center"/>
          </w:tcPr>
          <w:p>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p>
        </w:tc>
        <w:tc>
          <w:tcPr>
            <w:tcW w:w="5884" w:type="dxa"/>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有效投标报价的最低价作为评标基准价，其最低报价为满分；按［投标报价得分=（评标基准价/投标报价）*35计算公式计算。</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评标过程中，不得去掉报价中的最高报价和最低报价。</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tc>
        <w:tc>
          <w:tcPr>
            <w:tcW w:w="804"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35</w:t>
            </w:r>
          </w:p>
        </w:tc>
        <w:tc>
          <w:tcPr>
            <w:tcW w:w="94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329"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r>
    </w:tbl>
    <w:p>
      <w:pPr>
        <w:rPr>
          <w:color w:val="auto"/>
          <w:highlight w:val="none"/>
        </w:rPr>
      </w:pPr>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9"/>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9"/>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6"/>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6"/>
        <w:snapToGrid w:val="0"/>
        <w:spacing w:line="360" w:lineRule="auto"/>
        <w:rPr>
          <w:rFonts w:cs="宋体"/>
          <w:color w:val="auto"/>
          <w:highlight w:val="none"/>
        </w:rPr>
      </w:pPr>
      <w:r>
        <w:rPr>
          <w:rFonts w:hint="eastAsia" w:cs="宋体"/>
          <w:color w:val="auto"/>
          <w:highlight w:val="none"/>
        </w:rPr>
        <w:t>5.4因重大变故，采购任务取消的。</w:t>
      </w:r>
    </w:p>
    <w:p>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6"/>
        <w:snapToGrid w:val="0"/>
        <w:spacing w:line="360" w:lineRule="auto"/>
        <w:ind w:firstLine="0" w:firstLineChars="0"/>
        <w:rPr>
          <w:rFonts w:cs="宋体"/>
          <w:color w:val="auto"/>
          <w:highlight w:val="none"/>
        </w:rPr>
      </w:pPr>
    </w:p>
    <w:bookmarkEnd w:id="31"/>
    <w:p>
      <w:pPr>
        <w:spacing w:line="240" w:lineRule="auto"/>
        <w:ind w:left="0" w:leftChars="0" w:firstLine="0" w:firstLineChars="0"/>
        <w:outlineLvl w:val="9"/>
        <w:rPr>
          <w:rFonts w:ascii="宋体" w:hAnsi="宋体" w:cs="宋体"/>
          <w:b/>
          <w:color w:val="auto"/>
          <w:sz w:val="36"/>
          <w:szCs w:val="36"/>
          <w:highlight w:val="none"/>
        </w:rPr>
      </w:pPr>
      <w:bookmarkStart w:id="397" w:name="第五部分"/>
      <w:bookmarkStart w:id="398" w:name="_Toc86217003"/>
      <w:r>
        <w:rPr>
          <w:rFonts w:ascii="宋体" w:hAnsi="宋体" w:cs="宋体"/>
          <w:b/>
          <w:color w:val="auto"/>
          <w:sz w:val="36"/>
          <w:szCs w:val="36"/>
          <w:highlight w:val="none"/>
        </w:rPr>
        <w:br w:type="page"/>
      </w:r>
    </w:p>
    <w:p>
      <w:pPr>
        <w:pStyle w:val="2"/>
      </w:pPr>
    </w:p>
    <w:p>
      <w:pPr>
        <w:pStyle w:val="2"/>
      </w:pP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jc w:val="center"/>
        <w:rPr>
          <w:rFonts w:ascii="宋体" w:hAnsi="宋体" w:cs="宋体"/>
          <w:bCs/>
          <w:color w:val="auto"/>
          <w:sz w:val="44"/>
          <w:szCs w:val="44"/>
          <w:highlight w:val="none"/>
        </w:rPr>
      </w:pPr>
      <w:r>
        <w:rPr>
          <w:rFonts w:hint="eastAsia" w:ascii="宋体" w:hAnsi="宋体" w:cs="宋体"/>
          <w:bCs/>
          <w:color w:val="auto"/>
          <w:sz w:val="44"/>
          <w:szCs w:val="44"/>
          <w:highlight w:val="none"/>
        </w:rPr>
        <w:t>杭州市上城区教育系统政府采购合同</w:t>
      </w:r>
    </w:p>
    <w:p>
      <w:pPr>
        <w:jc w:val="center"/>
        <w:rPr>
          <w:rFonts w:ascii="宋体" w:hAnsi="宋体"/>
          <w:color w:val="auto"/>
          <w:sz w:val="36"/>
          <w:szCs w:val="36"/>
          <w:highlight w:val="none"/>
        </w:rPr>
      </w:pPr>
      <w:r>
        <w:rPr>
          <w:rFonts w:hint="eastAsia" w:ascii="宋体" w:hAnsi="宋体" w:cs="宋体"/>
          <w:bCs/>
          <w:color w:val="auto"/>
          <w:sz w:val="44"/>
          <w:szCs w:val="44"/>
          <w:highlight w:val="none"/>
        </w:rPr>
        <w:t>（货物类）</w:t>
      </w:r>
    </w:p>
    <w:p>
      <w:pPr>
        <w:jc w:val="center"/>
        <w:rPr>
          <w:rFonts w:ascii="宋体" w:hAnsi="宋体"/>
          <w:b/>
          <w:color w:val="auto"/>
          <w:sz w:val="72"/>
          <w:szCs w:val="72"/>
          <w:highlight w:val="none"/>
        </w:rPr>
      </w:pPr>
      <w:r>
        <w:rPr>
          <w:rFonts w:hint="eastAsia" w:ascii="仿宋_GB2312" w:hAnsi="仿宋" w:eastAsia="仿宋_GB2312" w:cs="仿宋_GB2312"/>
          <w:b/>
          <w:color w:val="auto"/>
          <w:sz w:val="36"/>
          <w:szCs w:val="36"/>
          <w:highlight w:val="none"/>
        </w:rPr>
        <w:t>范本</w:t>
      </w:r>
    </w:p>
    <w:p>
      <w:pPr>
        <w:jc w:val="center"/>
        <w:rPr>
          <w:rFonts w:ascii="宋体" w:hAnsi="宋体"/>
          <w:b/>
          <w:color w:val="auto"/>
          <w:sz w:val="72"/>
          <w:szCs w:val="72"/>
          <w:highlight w:val="none"/>
        </w:rPr>
      </w:pPr>
    </w:p>
    <w:p>
      <w:pPr>
        <w:pStyle w:val="6"/>
        <w:rPr>
          <w:color w:val="auto"/>
          <w:highlight w:val="none"/>
        </w:rPr>
      </w:pPr>
    </w:p>
    <w:p>
      <w:pPr>
        <w:snapToGrid w:val="0"/>
        <w:spacing w:line="480" w:lineRule="auto"/>
        <w:ind w:left="1600" w:right="-370" w:rightChars="-176" w:hanging="1600" w:hangingChars="500"/>
        <w:jc w:val="left"/>
        <w:rPr>
          <w:rFonts w:hint="eastAsia" w:ascii="仿宋_GB2312" w:hAnsi="宋体" w:eastAsia="仿宋_GB2312"/>
          <w:color w:val="auto"/>
          <w:sz w:val="32"/>
          <w:szCs w:val="32"/>
          <w:highlight w:val="none"/>
          <w:u w:val="single"/>
          <w:lang w:eastAsia="zh-CN"/>
        </w:rPr>
      </w:pPr>
      <w:r>
        <w:rPr>
          <w:rFonts w:hint="eastAsia" w:ascii="仿宋_GB2312" w:hAnsi="宋体" w:eastAsia="仿宋_GB2312"/>
          <w:color w:val="auto"/>
          <w:sz w:val="32"/>
          <w:szCs w:val="32"/>
          <w:highlight w:val="none"/>
        </w:rPr>
        <w:t>项目名称：</w:t>
      </w:r>
      <w:r>
        <w:rPr>
          <w:rFonts w:hint="eastAsia" w:ascii="仿宋_GB2312" w:hAnsi="宋体" w:eastAsia="仿宋_GB2312"/>
          <w:color w:val="auto"/>
          <w:sz w:val="32"/>
          <w:szCs w:val="32"/>
          <w:highlight w:val="none"/>
          <w:u w:val="single"/>
          <w:lang w:eastAsia="zh-CN"/>
        </w:rPr>
        <w:t>2024年杭州市上城区教育系统学校厨房设备采购项目</w:t>
      </w:r>
    </w:p>
    <w:p>
      <w:pPr>
        <w:spacing w:line="480" w:lineRule="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招标文件编号：</w:t>
      </w:r>
      <w:r>
        <w:rPr>
          <w:rFonts w:hint="eastAsia" w:ascii="仿宋_GB2312" w:hAnsi="宋体" w:eastAsia="仿宋_GB2312"/>
          <w:color w:val="auto"/>
          <w:sz w:val="32"/>
          <w:szCs w:val="32"/>
          <w:highlight w:val="none"/>
          <w:u w:val="single"/>
        </w:rPr>
        <w:t xml:space="preserve">  </w:t>
      </w:r>
    </w:p>
    <w:p>
      <w:pPr>
        <w:spacing w:line="480" w:lineRule="auto"/>
        <w:rPr>
          <w:rFonts w:ascii="仿宋_GB2312" w:hAnsi="宋体" w:eastAsia="仿宋_GB2312"/>
          <w:color w:val="auto"/>
          <w:sz w:val="32"/>
          <w:szCs w:val="32"/>
          <w:highlight w:val="none"/>
          <w:u w:val="single"/>
        </w:rPr>
      </w:pPr>
      <w:r>
        <w:rPr>
          <w:rFonts w:hint="eastAsia" w:ascii="仿宋_GB2312" w:hAnsi="宋体" w:eastAsia="仿宋_GB2312"/>
          <w:color w:val="auto"/>
          <w:sz w:val="32"/>
          <w:szCs w:val="32"/>
          <w:highlight w:val="none"/>
        </w:rPr>
        <w:t>甲方合同编号：</w:t>
      </w:r>
      <w:r>
        <w:rPr>
          <w:rFonts w:hint="eastAsia" w:ascii="仿宋_GB2312" w:hAnsi="宋体" w:eastAsia="仿宋_GB2312"/>
          <w:color w:val="auto"/>
          <w:sz w:val="32"/>
          <w:szCs w:val="32"/>
          <w:highlight w:val="none"/>
          <w:u w:val="single"/>
        </w:rPr>
        <w:t xml:space="preserve">  </w:t>
      </w:r>
    </w:p>
    <w:p>
      <w:pPr>
        <w:spacing w:line="480" w:lineRule="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采购单位：杭州市上城区教育发展服务中心</w:t>
      </w:r>
    </w:p>
    <w:p>
      <w:pPr>
        <w:spacing w:line="480" w:lineRule="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 xml:space="preserve">供应商： </w:t>
      </w:r>
    </w:p>
    <w:p>
      <w:pPr>
        <w:rPr>
          <w:rFonts w:ascii="仿宋_GB2312" w:hAnsi="宋体" w:eastAsia="仿宋_GB2312"/>
          <w:color w:val="auto"/>
          <w:sz w:val="32"/>
          <w:szCs w:val="32"/>
          <w:highlight w:val="none"/>
        </w:rPr>
      </w:pPr>
    </w:p>
    <w:p>
      <w:pPr>
        <w:jc w:val="center"/>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 xml:space="preserve">签订时间：   </w:t>
      </w:r>
      <w:r>
        <w:rPr>
          <w:rFonts w:ascii="仿宋_GB2312" w:hAnsi="宋体" w:eastAsia="仿宋_GB2312"/>
          <w:color w:val="auto"/>
          <w:sz w:val="32"/>
          <w:szCs w:val="32"/>
          <w:highlight w:val="none"/>
        </w:rPr>
        <w:t>202</w:t>
      </w:r>
      <w:r>
        <w:rPr>
          <w:rFonts w:hint="eastAsia" w:ascii="仿宋_GB2312" w:hAnsi="宋体" w:eastAsia="仿宋_GB2312"/>
          <w:color w:val="auto"/>
          <w:sz w:val="32"/>
          <w:szCs w:val="32"/>
          <w:highlight w:val="none"/>
        </w:rPr>
        <w:t>4年    月    日</w:t>
      </w:r>
    </w:p>
    <w:p>
      <w:pPr>
        <w:pStyle w:val="27"/>
        <w:ind w:firstLine="640"/>
        <w:rPr>
          <w:rFonts w:ascii="仿宋_GB2312" w:eastAsia="仿宋_GB2312"/>
          <w:color w:val="auto"/>
          <w:sz w:val="32"/>
          <w:szCs w:val="32"/>
          <w:highlight w:val="none"/>
        </w:rPr>
      </w:pPr>
    </w:p>
    <w:p>
      <w:pPr>
        <w:rPr>
          <w:rFonts w:ascii="仿宋_GB2312" w:hAnsi="宋体" w:eastAsia="仿宋_GB2312"/>
          <w:color w:val="auto"/>
          <w:sz w:val="32"/>
          <w:szCs w:val="32"/>
          <w:highlight w:val="none"/>
        </w:rPr>
      </w:pPr>
    </w:p>
    <w:p>
      <w:pPr>
        <w:pStyle w:val="2"/>
        <w:rPr>
          <w:rFonts w:ascii="仿宋_GB2312" w:hAnsi="宋体" w:eastAsia="仿宋_GB2312"/>
          <w:color w:val="auto"/>
          <w:sz w:val="32"/>
          <w:szCs w:val="32"/>
          <w:highlight w:val="none"/>
        </w:rPr>
      </w:pPr>
    </w:p>
    <w:p>
      <w:pPr>
        <w:pStyle w:val="2"/>
        <w:rPr>
          <w:rFonts w:ascii="仿宋_GB2312" w:hAnsi="宋体" w:eastAsia="仿宋_GB2312"/>
          <w:color w:val="auto"/>
          <w:sz w:val="32"/>
          <w:szCs w:val="32"/>
          <w:highlight w:val="none"/>
        </w:rPr>
      </w:pPr>
    </w:p>
    <w:p>
      <w:pPr>
        <w:pStyle w:val="27"/>
        <w:ind w:firstLine="640"/>
        <w:rPr>
          <w:rFonts w:ascii="仿宋_GB2312" w:eastAsia="仿宋_GB2312"/>
          <w:color w:val="auto"/>
          <w:sz w:val="32"/>
          <w:szCs w:val="32"/>
          <w:highlight w:val="none"/>
        </w:rPr>
      </w:pPr>
    </w:p>
    <w:p>
      <w:pPr>
        <w:snapToGrid w:val="0"/>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根据《中华人民共和国政府采购法》和实施条例以及《中华人民共和国民法典》等相关法律法规和</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lang w:eastAsia="zh-CN"/>
        </w:rPr>
        <w:t>2024年杭州市上城区教育系统学校厨房设备采购项目</w:t>
      </w:r>
      <w:r>
        <w:rPr>
          <w:rFonts w:hint="eastAsia" w:ascii="仿宋_GB2312" w:hAnsi="宋体" w:eastAsia="仿宋_GB2312"/>
          <w:color w:val="auto"/>
          <w:sz w:val="24"/>
          <w:highlight w:val="none"/>
        </w:rPr>
        <w:t>（采购编号：</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）的中标情况，由采购单位</w:t>
      </w:r>
      <w:r>
        <w:rPr>
          <w:rFonts w:hint="eastAsia" w:ascii="仿宋_GB2312" w:hAnsi="宋体" w:eastAsia="仿宋_GB2312"/>
          <w:color w:val="auto"/>
          <w:sz w:val="24"/>
          <w:highlight w:val="none"/>
          <w:u w:val="single"/>
        </w:rPr>
        <w:t>杭州市上城区教育发展服务中心</w:t>
      </w:r>
      <w:r>
        <w:rPr>
          <w:rFonts w:hint="eastAsia" w:ascii="仿宋_GB2312" w:hAnsi="宋体" w:eastAsia="仿宋_GB2312"/>
          <w:color w:val="auto"/>
          <w:sz w:val="24"/>
          <w:highlight w:val="none"/>
        </w:rPr>
        <w:t>（以下简称甲方）与经评审最终确定的中标供应商（以下简称乙方）结合本项目具体情况，遵循平等、自愿、公平、诚实信用的原则，经协商一致，达成以下合同条款:</w:t>
      </w:r>
    </w:p>
    <w:p>
      <w:pPr>
        <w:numPr>
          <w:ilvl w:val="0"/>
          <w:numId w:val="3"/>
        </w:numPr>
        <w:adjustRightInd/>
        <w:spacing w:line="360"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  合同文件</w:t>
      </w:r>
    </w:p>
    <w:p>
      <w:pPr>
        <w:spacing w:line="360" w:lineRule="auto"/>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下列与本次采购活动</w:t>
      </w:r>
      <w:r>
        <w:rPr>
          <w:rFonts w:hint="eastAsia" w:ascii="仿宋_GB2312" w:hAnsi="宋体" w:eastAsia="仿宋_GB2312"/>
          <w:color w:val="auto"/>
          <w:sz w:val="24"/>
          <w:highlight w:val="none"/>
        </w:rPr>
        <w:t>有关</w:t>
      </w:r>
      <w:r>
        <w:rPr>
          <w:rFonts w:ascii="仿宋_GB2312" w:hAnsi="宋体" w:eastAsia="仿宋_GB2312"/>
          <w:color w:val="auto"/>
          <w:sz w:val="24"/>
          <w:highlight w:val="none"/>
        </w:rPr>
        <w:t>的文件及附件是本合同不可分割的组成部分，与本合同具有同等法律效力，这些文件包括但不限于：</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1.（采购编号： ）招标采购文件</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2.投标文件</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3.乙方在投标时的书面承诺</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4.（采购编号： ）中标通知书</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5.合同补充条款或说明</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6.保密协议或条款</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7.相关附件、图纸</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第二条  合同标的</w:t>
      </w:r>
    </w:p>
    <w:p>
      <w:pPr>
        <w:spacing w:line="360" w:lineRule="auto"/>
        <w:ind w:firstLine="482" w:firstLineChars="200"/>
        <w:rPr>
          <w:rFonts w:ascii="仿宋_GB2312" w:hAnsi="宋体" w:eastAsia="仿宋_GB2312"/>
          <w:color w:val="auto"/>
          <w:sz w:val="24"/>
          <w:highlight w:val="none"/>
        </w:rPr>
      </w:pPr>
      <w:r>
        <w:rPr>
          <w:rFonts w:hint="eastAsia" w:ascii="仿宋_GB2312" w:eastAsia="仿宋_GB2312"/>
          <w:b/>
          <w:color w:val="auto"/>
          <w:sz w:val="24"/>
          <w:highlight w:val="none"/>
        </w:rPr>
        <w:t>2.1</w:t>
      </w:r>
      <w:r>
        <w:rPr>
          <w:rFonts w:ascii="仿宋_GB2312" w:hAnsi="宋体" w:eastAsia="仿宋_GB2312"/>
          <w:color w:val="auto"/>
          <w:sz w:val="24"/>
          <w:highlight w:val="none"/>
        </w:rPr>
        <w:t>乙方根据甲方需求提供下列货物，货物名称、规格及数量</w:t>
      </w:r>
      <w:r>
        <w:rPr>
          <w:rFonts w:hint="eastAsia" w:ascii="仿宋_GB2312" w:hAnsi="宋体" w:eastAsia="仿宋_GB2312"/>
          <w:color w:val="auto"/>
          <w:sz w:val="24"/>
          <w:highlight w:val="none"/>
        </w:rPr>
        <w:t>，备件、易损件和专用工具等（</w:t>
      </w:r>
      <w:r>
        <w:rPr>
          <w:rFonts w:ascii="仿宋_GB2312" w:hAnsi="宋体" w:eastAsia="仿宋_GB2312"/>
          <w:color w:val="auto"/>
          <w:sz w:val="24"/>
          <w:highlight w:val="none"/>
        </w:rPr>
        <w:t>详见</w:t>
      </w:r>
      <w:r>
        <w:rPr>
          <w:rFonts w:hint="eastAsia" w:ascii="仿宋_GB2312" w:hAnsi="宋体" w:eastAsia="仿宋_GB2312"/>
          <w:color w:val="auto"/>
          <w:sz w:val="24"/>
          <w:highlight w:val="none"/>
        </w:rPr>
        <w:t>《</w:t>
      </w:r>
      <w:r>
        <w:rPr>
          <w:rFonts w:ascii="仿宋_GB2312" w:hAnsi="宋体" w:eastAsia="仿宋_GB2312"/>
          <w:color w:val="auto"/>
          <w:sz w:val="24"/>
          <w:highlight w:val="none"/>
        </w:rPr>
        <w:t>供货一览表</w:t>
      </w:r>
      <w:r>
        <w:rPr>
          <w:rFonts w:hint="eastAsia" w:ascii="仿宋_GB2312" w:hAnsi="宋体" w:eastAsia="仿宋_GB2312"/>
          <w:color w:val="auto"/>
          <w:sz w:val="24"/>
          <w:highlight w:val="none"/>
        </w:rPr>
        <w:t>》）。</w:t>
      </w:r>
    </w:p>
    <w:p>
      <w:pPr>
        <w:spacing w:line="46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2.2基本</w:t>
      </w:r>
      <w:r>
        <w:rPr>
          <w:rFonts w:ascii="仿宋_GB2312" w:eastAsia="仿宋_GB2312"/>
          <w:b/>
          <w:color w:val="auto"/>
          <w:sz w:val="24"/>
          <w:highlight w:val="none"/>
        </w:rPr>
        <w:t>情况</w:t>
      </w:r>
    </w:p>
    <w:p>
      <w:pPr>
        <w:tabs>
          <w:tab w:val="left" w:pos="8025"/>
        </w:tabs>
        <w:spacing w:line="460" w:lineRule="exact"/>
        <w:ind w:left="105" w:leftChars="50" w:firstLine="360" w:firstLineChars="150"/>
        <w:rPr>
          <w:rFonts w:hint="eastAsia" w:ascii="仿宋_GB2312" w:hAnsi="宋体" w:eastAsia="仿宋_GB2312" w:cs="宋体-18030"/>
          <w:color w:val="auto"/>
          <w:sz w:val="24"/>
          <w:highlight w:val="none"/>
          <w:u w:val="single"/>
          <w:lang w:eastAsia="zh-CN"/>
        </w:rPr>
      </w:pPr>
      <w:r>
        <w:rPr>
          <w:rFonts w:hint="eastAsia" w:ascii="仿宋_GB2312" w:hAnsi="宋体" w:eastAsia="仿宋_GB2312" w:cs="宋体-18030"/>
          <w:color w:val="auto"/>
          <w:sz w:val="24"/>
          <w:highlight w:val="none"/>
        </w:rPr>
        <w:t>2.2.1名称：</w:t>
      </w:r>
      <w:r>
        <w:rPr>
          <w:rFonts w:hint="eastAsia" w:ascii="仿宋_GB2312" w:hAnsi="宋体" w:eastAsia="仿宋_GB2312" w:cs="宋体-18030"/>
          <w:color w:val="auto"/>
          <w:sz w:val="24"/>
          <w:highlight w:val="none"/>
          <w:u w:val="single"/>
          <w:lang w:eastAsia="zh-CN"/>
        </w:rPr>
        <w:t>2024年杭州市上城区教育系统学校厨房设备采购项目</w:t>
      </w:r>
    </w:p>
    <w:p>
      <w:pPr>
        <w:tabs>
          <w:tab w:val="left" w:pos="8025"/>
        </w:tabs>
        <w:spacing w:line="460" w:lineRule="exact"/>
        <w:ind w:left="105" w:leftChars="50" w:firstLine="360" w:firstLineChars="150"/>
        <w:rPr>
          <w:rFonts w:ascii="仿宋_GB2312" w:hAnsi="宋体" w:eastAsia="仿宋_GB2312" w:cs="宋体-18030"/>
          <w:color w:val="auto"/>
          <w:sz w:val="24"/>
          <w:highlight w:val="none"/>
        </w:rPr>
      </w:pPr>
      <w:r>
        <w:rPr>
          <w:rFonts w:hint="eastAsia" w:ascii="仿宋_GB2312" w:hAnsi="宋体" w:eastAsia="仿宋_GB2312" w:cs="宋体-18030"/>
          <w:color w:val="auto"/>
          <w:sz w:val="24"/>
          <w:highlight w:val="none"/>
        </w:rPr>
        <w:t>2.2合同编号：</w:t>
      </w:r>
      <w:r>
        <w:rPr>
          <w:rFonts w:hint="eastAsia" w:ascii="仿宋_GB2312" w:hAnsi="宋体" w:eastAsia="仿宋_GB2312" w:cs="宋体-18030"/>
          <w:color w:val="auto"/>
          <w:sz w:val="24"/>
          <w:highlight w:val="none"/>
          <w:u w:val="single"/>
        </w:rPr>
        <w:t xml:space="preserve"> </w:t>
      </w:r>
      <w:r>
        <w:rPr>
          <w:rFonts w:hint="eastAsia" w:ascii="仿宋_GB2312" w:hAnsi="宋体" w:eastAsia="仿宋_GB2312" w:cs="宋体"/>
          <w:color w:val="auto"/>
          <w:kern w:val="0"/>
          <w:sz w:val="24"/>
          <w:highlight w:val="none"/>
        </w:rPr>
        <w:t>。</w:t>
      </w:r>
    </w:p>
    <w:p>
      <w:pPr>
        <w:spacing w:line="460" w:lineRule="exact"/>
        <w:ind w:left="105" w:leftChars="50" w:firstLine="360" w:firstLineChars="150"/>
        <w:rPr>
          <w:rFonts w:ascii="仿宋_GB2312" w:hAnsi="宋体" w:eastAsia="仿宋_GB2312" w:cs="宋体-18030"/>
          <w:color w:val="auto"/>
          <w:sz w:val="24"/>
          <w:highlight w:val="none"/>
          <w:u w:val="single"/>
        </w:rPr>
      </w:pPr>
      <w:r>
        <w:rPr>
          <w:rFonts w:hint="eastAsia" w:ascii="仿宋_GB2312" w:hAnsi="宋体" w:eastAsia="仿宋_GB2312" w:cs="宋体-18030"/>
          <w:color w:val="auto"/>
          <w:sz w:val="24"/>
          <w:highlight w:val="none"/>
        </w:rPr>
        <w:t>2.3类型：本</w:t>
      </w:r>
      <w:r>
        <w:rPr>
          <w:rFonts w:ascii="仿宋_GB2312" w:hAnsi="宋体" w:eastAsia="仿宋_GB2312" w:cs="宋体-18030"/>
          <w:color w:val="auto"/>
          <w:sz w:val="24"/>
          <w:highlight w:val="none"/>
        </w:rPr>
        <w:t>合同为</w:t>
      </w:r>
      <w:r>
        <w:rPr>
          <w:rFonts w:hint="eastAsia" w:ascii="仿宋_GB2312" w:hAnsi="宋体" w:eastAsia="仿宋_GB2312" w:cs="宋体-18030"/>
          <w:color w:val="auto"/>
          <w:sz w:val="24"/>
          <w:highlight w:val="none"/>
          <w:u w:val="single"/>
          <w:lang w:val="en-US" w:eastAsia="zh-CN"/>
        </w:rPr>
        <w:t>2</w:t>
      </w:r>
      <w:r>
        <w:rPr>
          <w:rFonts w:hint="eastAsia" w:ascii="仿宋_GB2312" w:hAnsi="宋体" w:eastAsia="仿宋_GB2312" w:cs="宋体-18030"/>
          <w:color w:val="auto"/>
          <w:sz w:val="24"/>
          <w:highlight w:val="none"/>
          <w:u w:val="single"/>
        </w:rPr>
        <w:t>024年杭州市上城区教育系统学校厨房设备采购项目</w:t>
      </w:r>
      <w:r>
        <w:rPr>
          <w:rFonts w:hint="eastAsia" w:ascii="仿宋_GB2312" w:hAnsi="宋体" w:eastAsia="仿宋_GB2312" w:cs="宋体"/>
          <w:color w:val="auto"/>
          <w:kern w:val="0"/>
          <w:sz w:val="24"/>
          <w:highlight w:val="none"/>
        </w:rPr>
        <w:t>主</w:t>
      </w:r>
      <w:r>
        <w:rPr>
          <w:rFonts w:ascii="仿宋_GB2312" w:hAnsi="宋体" w:eastAsia="仿宋_GB2312" w:cs="宋体"/>
          <w:color w:val="auto"/>
          <w:kern w:val="0"/>
          <w:sz w:val="24"/>
          <w:highlight w:val="none"/>
        </w:rPr>
        <w:t>合同。</w:t>
      </w:r>
    </w:p>
    <w:p>
      <w:pPr>
        <w:spacing w:line="460" w:lineRule="exact"/>
        <w:ind w:left="105" w:leftChars="50" w:firstLine="360" w:firstLineChars="150"/>
        <w:rPr>
          <w:rFonts w:ascii="仿宋_GB2312" w:hAnsi="宋体" w:eastAsia="仿宋_GB2312" w:cs="宋体-18030"/>
          <w:color w:val="auto"/>
          <w:sz w:val="24"/>
          <w:highlight w:val="none"/>
        </w:rPr>
      </w:pPr>
      <w:r>
        <w:rPr>
          <w:rFonts w:hint="eastAsia" w:ascii="仿宋_GB2312" w:hAnsi="宋体" w:eastAsia="仿宋_GB2312" w:cs="宋体-18030"/>
          <w:color w:val="auto"/>
          <w:sz w:val="24"/>
          <w:highlight w:val="none"/>
        </w:rPr>
        <w:t>2.4内容:</w:t>
      </w:r>
    </w:p>
    <w:tbl>
      <w:tblPr>
        <w:tblStyle w:val="63"/>
        <w:tblW w:w="9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8"/>
        <w:gridCol w:w="1821"/>
        <w:gridCol w:w="3216"/>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pPr>
              <w:spacing w:before="240" w:after="60"/>
              <w:ind w:right="-512" w:firstLine="81"/>
              <w:jc w:val="left"/>
              <w:outlineLvl w:val="0"/>
              <w:rPr>
                <w:rFonts w:ascii="仿宋_GB2312" w:hAnsi="宋体" w:eastAsia="仿宋_GB2312" w:cs="宋体-18030"/>
                <w:b/>
                <w:color w:val="auto"/>
                <w:sz w:val="24"/>
                <w:highlight w:val="none"/>
              </w:rPr>
            </w:pPr>
            <w:r>
              <w:rPr>
                <w:rFonts w:hint="eastAsia" w:ascii="仿宋_GB2312" w:hAnsi="宋体" w:eastAsia="仿宋_GB2312" w:cs="宋体-18030"/>
                <w:b/>
                <w:color w:val="auto"/>
                <w:sz w:val="24"/>
                <w:highlight w:val="none"/>
              </w:rPr>
              <w:t>序号</w:t>
            </w:r>
          </w:p>
        </w:tc>
        <w:tc>
          <w:tcPr>
            <w:tcW w:w="2778" w:type="dxa"/>
            <w:vAlign w:val="center"/>
          </w:tcPr>
          <w:p>
            <w:pPr>
              <w:spacing w:before="240" w:after="60"/>
              <w:ind w:right="-512" w:hanging="1078"/>
              <w:jc w:val="center"/>
              <w:outlineLvl w:val="0"/>
              <w:rPr>
                <w:rFonts w:ascii="仿宋_GB2312" w:hAnsi="宋体" w:eastAsia="仿宋_GB2312" w:cs="宋体-18030"/>
                <w:b/>
                <w:color w:val="auto"/>
                <w:sz w:val="24"/>
                <w:highlight w:val="none"/>
              </w:rPr>
            </w:pPr>
            <w:r>
              <w:rPr>
                <w:rFonts w:hint="eastAsia" w:ascii="仿宋_GB2312" w:hAnsi="宋体" w:eastAsia="仿宋_GB2312" w:cs="宋体-18030"/>
                <w:b/>
                <w:color w:val="auto"/>
                <w:sz w:val="24"/>
                <w:highlight w:val="none"/>
              </w:rPr>
              <w:t>学校</w:t>
            </w:r>
          </w:p>
        </w:tc>
        <w:tc>
          <w:tcPr>
            <w:tcW w:w="1821" w:type="dxa"/>
            <w:vAlign w:val="center"/>
          </w:tcPr>
          <w:p>
            <w:pPr>
              <w:spacing w:before="240" w:after="60"/>
              <w:ind w:right="-512" w:hanging="311"/>
              <w:jc w:val="center"/>
              <w:outlineLvl w:val="0"/>
              <w:rPr>
                <w:rFonts w:ascii="仿宋_GB2312" w:hAnsi="宋体" w:eastAsia="仿宋_GB2312" w:cs="宋体-18030"/>
                <w:b/>
                <w:color w:val="auto"/>
                <w:sz w:val="24"/>
                <w:highlight w:val="none"/>
              </w:rPr>
            </w:pPr>
            <w:r>
              <w:rPr>
                <w:rFonts w:hint="eastAsia" w:ascii="仿宋_GB2312" w:hAnsi="宋体" w:eastAsia="仿宋_GB2312" w:cs="宋体-18030"/>
                <w:b/>
                <w:color w:val="auto"/>
                <w:sz w:val="24"/>
                <w:highlight w:val="none"/>
              </w:rPr>
              <w:t>合同金额</w:t>
            </w:r>
            <w:r>
              <w:rPr>
                <w:rFonts w:ascii="仿宋_GB2312" w:hAnsi="宋体" w:eastAsia="仿宋_GB2312" w:cs="宋体-18030"/>
                <w:b/>
                <w:color w:val="auto"/>
                <w:sz w:val="24"/>
                <w:highlight w:val="none"/>
              </w:rPr>
              <w:t>（</w:t>
            </w:r>
            <w:r>
              <w:rPr>
                <w:rFonts w:hint="eastAsia" w:ascii="仿宋_GB2312" w:hAnsi="宋体" w:eastAsia="仿宋_GB2312" w:cs="宋体-18030"/>
                <w:b/>
                <w:color w:val="auto"/>
                <w:sz w:val="24"/>
                <w:highlight w:val="none"/>
              </w:rPr>
              <w:t>元</w:t>
            </w:r>
            <w:r>
              <w:rPr>
                <w:rFonts w:ascii="仿宋_GB2312" w:hAnsi="宋体" w:eastAsia="仿宋_GB2312" w:cs="宋体-18030"/>
                <w:b/>
                <w:color w:val="auto"/>
                <w:sz w:val="24"/>
                <w:highlight w:val="none"/>
              </w:rPr>
              <w:t>）</w:t>
            </w:r>
          </w:p>
        </w:tc>
        <w:tc>
          <w:tcPr>
            <w:tcW w:w="3216" w:type="dxa"/>
            <w:vAlign w:val="center"/>
          </w:tcPr>
          <w:p>
            <w:pPr>
              <w:spacing w:before="240" w:after="60"/>
              <w:ind w:right="-512" w:hanging="288"/>
              <w:jc w:val="center"/>
              <w:outlineLvl w:val="0"/>
              <w:rPr>
                <w:rFonts w:ascii="仿宋_GB2312" w:hAnsi="宋体" w:eastAsia="仿宋_GB2312" w:cs="宋体-18030"/>
                <w:b/>
                <w:color w:val="auto"/>
                <w:sz w:val="24"/>
                <w:highlight w:val="none"/>
              </w:rPr>
            </w:pPr>
            <w:r>
              <w:rPr>
                <w:rFonts w:hint="eastAsia" w:ascii="仿宋_GB2312" w:hAnsi="宋体" w:eastAsia="仿宋_GB2312" w:cs="宋体-18030"/>
                <w:b/>
                <w:color w:val="auto"/>
                <w:sz w:val="24"/>
                <w:highlight w:val="none"/>
              </w:rPr>
              <w:t>附属</w:t>
            </w:r>
            <w:r>
              <w:rPr>
                <w:rFonts w:ascii="仿宋_GB2312" w:hAnsi="宋体" w:eastAsia="仿宋_GB2312" w:cs="宋体-18030"/>
                <w:b/>
                <w:color w:val="auto"/>
                <w:sz w:val="24"/>
                <w:highlight w:val="none"/>
              </w:rPr>
              <w:t>合同编号</w:t>
            </w:r>
          </w:p>
        </w:tc>
        <w:tc>
          <w:tcPr>
            <w:tcW w:w="997" w:type="dxa"/>
            <w:vAlign w:val="center"/>
          </w:tcPr>
          <w:p>
            <w:pPr>
              <w:spacing w:before="240" w:after="60"/>
              <w:ind w:right="-512" w:hanging="383"/>
              <w:jc w:val="center"/>
              <w:outlineLvl w:val="0"/>
              <w:rPr>
                <w:rFonts w:ascii="仿宋_GB2312" w:hAnsi="宋体" w:eastAsia="仿宋_GB2312" w:cs="宋体-18030"/>
                <w:b/>
                <w:color w:val="auto"/>
                <w:sz w:val="24"/>
                <w:highlight w:val="none"/>
              </w:rPr>
            </w:pPr>
            <w:r>
              <w:rPr>
                <w:rFonts w:hint="eastAsia" w:ascii="仿宋_GB2312" w:hAnsi="宋体" w:eastAsia="仿宋_GB2312" w:cs="宋体-18030"/>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pPr>
              <w:ind w:right="-512" w:firstLine="574"/>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2778" w:type="dxa"/>
            <w:vAlign w:val="center"/>
          </w:tcPr>
          <w:p>
            <w:pPr>
              <w:ind w:right="-512" w:hanging="653"/>
              <w:jc w:val="center"/>
              <w:rPr>
                <w:rFonts w:ascii="仿宋_GB2312" w:hAnsi="宋体" w:eastAsia="仿宋_GB2312"/>
                <w:color w:val="auto"/>
                <w:sz w:val="24"/>
                <w:highlight w:val="none"/>
              </w:rPr>
            </w:pPr>
          </w:p>
        </w:tc>
        <w:tc>
          <w:tcPr>
            <w:tcW w:w="1821" w:type="dxa"/>
            <w:vAlign w:val="center"/>
          </w:tcPr>
          <w:p>
            <w:pPr>
              <w:widowControl/>
              <w:ind w:right="-512" w:firstLine="574"/>
              <w:jc w:val="center"/>
              <w:rPr>
                <w:rFonts w:ascii="仿宋_GB2312" w:hAnsi="宋体" w:eastAsia="仿宋_GB2312"/>
                <w:color w:val="auto"/>
                <w:sz w:val="24"/>
                <w:highlight w:val="none"/>
              </w:rPr>
            </w:pPr>
          </w:p>
        </w:tc>
        <w:tc>
          <w:tcPr>
            <w:tcW w:w="3216" w:type="dxa"/>
            <w:vAlign w:val="center"/>
          </w:tcPr>
          <w:p>
            <w:pPr>
              <w:widowControl/>
              <w:ind w:right="-512" w:hanging="571"/>
              <w:jc w:val="center"/>
              <w:rPr>
                <w:rFonts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OBZB</w:t>
            </w:r>
            <w:r>
              <w:rPr>
                <w:rFonts w:hint="eastAsia" w:ascii="仿宋_GB2312" w:hAnsi="宋体" w:eastAsia="仿宋_GB2312"/>
                <w:color w:val="auto"/>
                <w:sz w:val="24"/>
                <w:highlight w:val="none"/>
              </w:rPr>
              <w:t>2024-GK-</w:t>
            </w:r>
            <w:r>
              <w:rPr>
                <w:rFonts w:hint="eastAsia" w:ascii="仿宋_GB2312" w:hAnsi="宋体" w:eastAsia="仿宋_GB2312"/>
                <w:color w:val="auto"/>
                <w:sz w:val="24"/>
                <w:highlight w:val="none"/>
                <w:lang w:val="en-US" w:eastAsia="zh-CN"/>
              </w:rPr>
              <w:t>0517</w:t>
            </w:r>
            <w:r>
              <w:rPr>
                <w:rFonts w:hint="eastAsia" w:ascii="仿宋_GB2312" w:hAnsi="宋体" w:eastAsia="仿宋_GB2312"/>
                <w:color w:val="auto"/>
                <w:sz w:val="24"/>
                <w:highlight w:val="none"/>
              </w:rPr>
              <w:t>-01</w:t>
            </w:r>
          </w:p>
        </w:tc>
        <w:tc>
          <w:tcPr>
            <w:tcW w:w="997" w:type="dxa"/>
            <w:vAlign w:val="center"/>
          </w:tcPr>
          <w:p>
            <w:pPr>
              <w:spacing w:before="240" w:after="60"/>
              <w:ind w:right="-512" w:firstLine="574"/>
              <w:jc w:val="center"/>
              <w:outlineLvl w:val="0"/>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pPr>
              <w:ind w:right="-512" w:firstLine="574"/>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27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512" w:firstLine="574"/>
              <w:jc w:val="center"/>
              <w:rPr>
                <w:rFonts w:ascii="仿宋_GB2312" w:hAnsi="宋体" w:eastAsia="仿宋_GB2312"/>
                <w:color w:val="auto"/>
                <w:sz w:val="24"/>
                <w:highlight w:val="none"/>
              </w:rPr>
            </w:pPr>
          </w:p>
        </w:tc>
        <w:tc>
          <w:tcPr>
            <w:tcW w:w="1821" w:type="dxa"/>
            <w:tcBorders>
              <w:top w:val="single" w:color="auto" w:sz="4" w:space="0"/>
              <w:left w:val="nil"/>
              <w:bottom w:val="single" w:color="auto" w:sz="4" w:space="0"/>
              <w:right w:val="single" w:color="auto" w:sz="4" w:space="0"/>
            </w:tcBorders>
            <w:shd w:val="clear" w:color="auto" w:fill="auto"/>
            <w:vAlign w:val="center"/>
          </w:tcPr>
          <w:p>
            <w:pPr>
              <w:ind w:right="-512" w:firstLine="574"/>
              <w:jc w:val="center"/>
              <w:rPr>
                <w:rFonts w:ascii="仿宋_GB2312" w:hAnsi="宋体" w:eastAsia="仿宋_GB2312"/>
                <w:color w:val="auto"/>
                <w:sz w:val="24"/>
                <w:highlight w:val="none"/>
              </w:rPr>
            </w:pPr>
          </w:p>
        </w:tc>
        <w:tc>
          <w:tcPr>
            <w:tcW w:w="3216" w:type="dxa"/>
            <w:tcBorders>
              <w:top w:val="single" w:color="auto" w:sz="4" w:space="0"/>
              <w:left w:val="nil"/>
              <w:bottom w:val="single" w:color="auto" w:sz="4" w:space="0"/>
              <w:right w:val="single" w:color="auto" w:sz="4" w:space="0"/>
            </w:tcBorders>
            <w:shd w:val="clear" w:color="auto" w:fill="auto"/>
            <w:vAlign w:val="center"/>
          </w:tcPr>
          <w:p>
            <w:pPr>
              <w:ind w:left="-354" w:leftChars="-262" w:right="-512" w:hanging="196"/>
              <w:jc w:val="center"/>
              <w:rPr>
                <w:rFonts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OBZB</w:t>
            </w:r>
            <w:r>
              <w:rPr>
                <w:rFonts w:hint="eastAsia" w:ascii="仿宋_GB2312" w:hAnsi="宋体" w:eastAsia="仿宋_GB2312"/>
                <w:color w:val="auto"/>
                <w:sz w:val="24"/>
                <w:highlight w:val="none"/>
              </w:rPr>
              <w:t>2024-GK-</w:t>
            </w:r>
            <w:r>
              <w:rPr>
                <w:rFonts w:hint="eastAsia" w:ascii="仿宋_GB2312" w:hAnsi="宋体" w:eastAsia="仿宋_GB2312"/>
                <w:color w:val="auto"/>
                <w:sz w:val="24"/>
                <w:highlight w:val="none"/>
                <w:lang w:val="en-US" w:eastAsia="zh-CN"/>
              </w:rPr>
              <w:t>0517</w:t>
            </w:r>
            <w:r>
              <w:rPr>
                <w:rFonts w:hint="eastAsia" w:ascii="仿宋_GB2312" w:hAnsi="宋体" w:eastAsia="仿宋_GB2312"/>
                <w:color w:val="auto"/>
                <w:sz w:val="24"/>
                <w:highlight w:val="none"/>
              </w:rPr>
              <w:t>-0</w:t>
            </w:r>
            <w:r>
              <w:rPr>
                <w:rFonts w:ascii="仿宋_GB2312" w:hAnsi="宋体" w:eastAsia="仿宋_GB2312"/>
                <w:color w:val="auto"/>
                <w:sz w:val="24"/>
                <w:highlight w:val="none"/>
              </w:rPr>
              <w:t>2</w:t>
            </w:r>
          </w:p>
        </w:tc>
        <w:tc>
          <w:tcPr>
            <w:tcW w:w="997" w:type="dxa"/>
            <w:vAlign w:val="center"/>
          </w:tcPr>
          <w:p>
            <w:pPr>
              <w:spacing w:before="240" w:after="60"/>
              <w:ind w:right="-512" w:firstLine="574"/>
              <w:jc w:val="center"/>
              <w:outlineLvl w:val="0"/>
              <w:rPr>
                <w:rFonts w:ascii="仿宋_GB2312" w:hAnsi="宋体" w:eastAsia="仿宋_GB2312" w:cstheme="majorBidi"/>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pPr>
              <w:ind w:right="-512" w:firstLine="574"/>
              <w:jc w:val="center"/>
              <w:rPr>
                <w:rFonts w:ascii="仿宋_GB2312" w:hAnsi="宋体" w:eastAsia="仿宋_GB2312"/>
                <w:color w:val="auto"/>
                <w:sz w:val="24"/>
                <w:highlight w:val="none"/>
              </w:rPr>
            </w:pPr>
          </w:p>
        </w:tc>
        <w:tc>
          <w:tcPr>
            <w:tcW w:w="27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right="-512" w:firstLine="574"/>
              <w:jc w:val="center"/>
              <w:rPr>
                <w:rFonts w:ascii="仿宋_GB2312" w:hAnsi="宋体" w:eastAsia="仿宋_GB2312"/>
                <w:color w:val="auto"/>
                <w:sz w:val="24"/>
                <w:highlight w:val="none"/>
              </w:rPr>
            </w:pPr>
          </w:p>
        </w:tc>
        <w:tc>
          <w:tcPr>
            <w:tcW w:w="1821" w:type="dxa"/>
            <w:tcBorders>
              <w:top w:val="single" w:color="auto" w:sz="4" w:space="0"/>
              <w:left w:val="nil"/>
              <w:bottom w:val="single" w:color="auto" w:sz="4" w:space="0"/>
              <w:right w:val="single" w:color="auto" w:sz="4" w:space="0"/>
            </w:tcBorders>
            <w:shd w:val="clear" w:color="auto" w:fill="auto"/>
            <w:vAlign w:val="center"/>
          </w:tcPr>
          <w:p>
            <w:pPr>
              <w:ind w:right="-512" w:firstLine="574"/>
              <w:jc w:val="center"/>
              <w:rPr>
                <w:rFonts w:ascii="仿宋_GB2312" w:hAnsi="宋体" w:eastAsia="仿宋_GB2312"/>
                <w:color w:val="auto"/>
                <w:sz w:val="24"/>
                <w:highlight w:val="none"/>
              </w:rPr>
            </w:pPr>
          </w:p>
        </w:tc>
        <w:tc>
          <w:tcPr>
            <w:tcW w:w="3216" w:type="dxa"/>
            <w:tcBorders>
              <w:top w:val="single" w:color="auto" w:sz="4" w:space="0"/>
              <w:left w:val="nil"/>
              <w:bottom w:val="single" w:color="auto" w:sz="4" w:space="0"/>
              <w:right w:val="single" w:color="auto" w:sz="4" w:space="0"/>
            </w:tcBorders>
            <w:shd w:val="clear" w:color="auto" w:fill="auto"/>
            <w:vAlign w:val="center"/>
          </w:tcPr>
          <w:p>
            <w:pPr>
              <w:ind w:right="-512"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OBZB</w:t>
            </w:r>
            <w:r>
              <w:rPr>
                <w:rFonts w:hint="eastAsia" w:ascii="仿宋_GB2312" w:hAnsi="宋体" w:eastAsia="仿宋_GB2312"/>
                <w:color w:val="auto"/>
                <w:sz w:val="24"/>
                <w:highlight w:val="none"/>
              </w:rPr>
              <w:t>2024-GK-</w:t>
            </w:r>
            <w:r>
              <w:rPr>
                <w:rFonts w:hint="eastAsia" w:ascii="仿宋_GB2312" w:hAnsi="宋体" w:eastAsia="仿宋_GB2312"/>
                <w:color w:val="auto"/>
                <w:sz w:val="24"/>
                <w:highlight w:val="none"/>
                <w:lang w:val="en-US" w:eastAsia="zh-CN"/>
              </w:rPr>
              <w:t>0517</w:t>
            </w:r>
            <w:r>
              <w:rPr>
                <w:rFonts w:hint="eastAsia" w:ascii="仿宋_GB2312" w:hAnsi="宋体" w:eastAsia="仿宋_GB2312"/>
                <w:color w:val="auto"/>
                <w:sz w:val="24"/>
                <w:highlight w:val="none"/>
              </w:rPr>
              <w:t>-03</w:t>
            </w:r>
          </w:p>
        </w:tc>
        <w:tc>
          <w:tcPr>
            <w:tcW w:w="997" w:type="dxa"/>
            <w:vAlign w:val="center"/>
          </w:tcPr>
          <w:p>
            <w:pPr>
              <w:spacing w:before="240" w:after="60"/>
              <w:ind w:right="-512" w:firstLine="574"/>
              <w:jc w:val="center"/>
              <w:outlineLvl w:val="0"/>
              <w:rPr>
                <w:rFonts w:ascii="仿宋_GB2312" w:hAnsi="宋体" w:eastAsia="仿宋_GB2312" w:cstheme="majorBidi"/>
                <w:color w:val="auto"/>
                <w:sz w:val="24"/>
                <w:highlight w:val="none"/>
              </w:rPr>
            </w:pPr>
          </w:p>
        </w:tc>
      </w:tr>
    </w:tbl>
    <w:p>
      <w:pPr>
        <w:spacing w:line="460" w:lineRule="exact"/>
        <w:rPr>
          <w:rFonts w:ascii="仿宋_GB2312" w:hAnsi="宋体" w:eastAsia="仿宋_GB2312" w:cs="宋体-18030"/>
          <w:color w:val="auto"/>
          <w:sz w:val="24"/>
          <w:highlight w:val="none"/>
        </w:rPr>
      </w:pPr>
      <w:r>
        <w:rPr>
          <w:rFonts w:hint="eastAsia" w:ascii="仿宋_GB2312" w:hAnsi="宋体" w:eastAsia="仿宋_GB2312" w:cs="宋体-18030"/>
          <w:color w:val="auto"/>
          <w:sz w:val="24"/>
          <w:highlight w:val="none"/>
        </w:rPr>
        <w:t>注</w:t>
      </w:r>
      <w:r>
        <w:rPr>
          <w:rFonts w:ascii="仿宋_GB2312" w:hAnsi="宋体" w:eastAsia="仿宋_GB2312" w:cs="宋体-18030"/>
          <w:color w:val="auto"/>
          <w:sz w:val="24"/>
          <w:highlight w:val="none"/>
        </w:rPr>
        <w:t>：</w:t>
      </w:r>
      <w:r>
        <w:rPr>
          <w:rFonts w:hint="eastAsia" w:ascii="仿宋_GB2312" w:hAnsi="宋体" w:eastAsia="仿宋_GB2312" w:cs="宋体-18030"/>
          <w:color w:val="auto"/>
          <w:sz w:val="24"/>
          <w:highlight w:val="none"/>
        </w:rPr>
        <w:t>附属</w:t>
      </w:r>
      <w:r>
        <w:rPr>
          <w:rFonts w:ascii="仿宋_GB2312" w:hAnsi="宋体" w:eastAsia="仿宋_GB2312" w:cs="宋体-18030"/>
          <w:color w:val="auto"/>
          <w:sz w:val="24"/>
          <w:highlight w:val="none"/>
        </w:rPr>
        <w:t>合同编号为主合同号加-</w:t>
      </w:r>
      <w:r>
        <w:rPr>
          <w:rFonts w:hint="eastAsia" w:ascii="仿宋_GB2312" w:hAnsi="宋体" w:eastAsia="仿宋_GB2312" w:cs="宋体-18030"/>
          <w:color w:val="auto"/>
          <w:sz w:val="24"/>
          <w:highlight w:val="none"/>
        </w:rPr>
        <w:t>号加</w:t>
      </w:r>
      <w:r>
        <w:rPr>
          <w:rFonts w:ascii="仿宋_GB2312" w:hAnsi="宋体" w:eastAsia="仿宋_GB2312" w:cs="宋体-18030"/>
          <w:color w:val="auto"/>
          <w:sz w:val="24"/>
          <w:highlight w:val="none"/>
        </w:rPr>
        <w:t>序号</w:t>
      </w:r>
      <w:r>
        <w:rPr>
          <w:rFonts w:hint="eastAsia" w:ascii="仿宋_GB2312" w:hAnsi="宋体" w:eastAsia="仿宋_GB2312" w:cs="宋体-18030"/>
          <w:color w:val="auto"/>
          <w:sz w:val="24"/>
          <w:highlight w:val="none"/>
        </w:rPr>
        <w:t>，</w:t>
      </w:r>
      <w:r>
        <w:rPr>
          <w:rFonts w:ascii="仿宋_GB2312" w:hAnsi="宋体" w:eastAsia="仿宋_GB2312" w:cs="宋体-18030"/>
          <w:color w:val="auto"/>
          <w:sz w:val="24"/>
          <w:highlight w:val="none"/>
        </w:rPr>
        <w:t>如</w:t>
      </w:r>
      <w:r>
        <w:rPr>
          <w:rFonts w:hint="eastAsia" w:ascii="仿宋_GB2312" w:hAnsi="宋体" w:eastAsia="仿宋_GB2312" w:cs="宋体-18030"/>
          <w:color w:val="auto"/>
          <w:sz w:val="24"/>
          <w:highlight w:val="none"/>
          <w:lang w:val="en-US" w:eastAsia="zh-CN"/>
        </w:rPr>
        <w:t>OBZB</w:t>
      </w:r>
      <w:r>
        <w:rPr>
          <w:rFonts w:ascii="仿宋_GB2312" w:hAnsi="宋体" w:eastAsia="仿宋_GB2312" w:cs="宋体-18030"/>
          <w:color w:val="auto"/>
          <w:sz w:val="24"/>
          <w:highlight w:val="none"/>
        </w:rPr>
        <w:t>202</w:t>
      </w:r>
      <w:r>
        <w:rPr>
          <w:rFonts w:hint="eastAsia" w:ascii="仿宋_GB2312" w:hAnsi="宋体" w:eastAsia="仿宋_GB2312" w:cs="宋体-18030"/>
          <w:color w:val="auto"/>
          <w:sz w:val="24"/>
          <w:highlight w:val="none"/>
        </w:rPr>
        <w:t>4</w:t>
      </w:r>
      <w:r>
        <w:rPr>
          <w:rFonts w:ascii="仿宋_GB2312" w:hAnsi="宋体" w:eastAsia="仿宋_GB2312" w:cs="宋体-18030"/>
          <w:color w:val="auto"/>
          <w:sz w:val="24"/>
          <w:highlight w:val="none"/>
        </w:rPr>
        <w:t>-GK-</w:t>
      </w:r>
      <w:r>
        <w:rPr>
          <w:rFonts w:hint="eastAsia" w:ascii="仿宋_GB2312" w:hAnsi="宋体" w:eastAsia="仿宋_GB2312" w:cs="宋体-18030"/>
          <w:color w:val="auto"/>
          <w:sz w:val="24"/>
          <w:highlight w:val="none"/>
          <w:lang w:val="en-US" w:eastAsia="zh-CN"/>
        </w:rPr>
        <w:t>0517</w:t>
      </w:r>
      <w:r>
        <w:rPr>
          <w:rFonts w:hint="eastAsia" w:ascii="仿宋_GB2312" w:hAnsi="宋体" w:eastAsia="仿宋_GB2312" w:cs="宋体-18030"/>
          <w:color w:val="auto"/>
          <w:sz w:val="24"/>
          <w:highlight w:val="none"/>
        </w:rPr>
        <w:t>-</w:t>
      </w:r>
      <w:r>
        <w:rPr>
          <w:rFonts w:ascii="仿宋_GB2312" w:hAnsi="宋体" w:eastAsia="仿宋_GB2312" w:cs="宋体-18030"/>
          <w:color w:val="auto"/>
          <w:sz w:val="24"/>
          <w:highlight w:val="none"/>
        </w:rPr>
        <w:t>01</w:t>
      </w:r>
    </w:p>
    <w:p>
      <w:pPr>
        <w:spacing w:line="460" w:lineRule="exact"/>
        <w:ind w:firstLine="480" w:firstLineChars="200"/>
        <w:rPr>
          <w:rFonts w:ascii="仿宋_GB2312" w:hAnsi="宋体" w:eastAsia="仿宋_GB2312" w:cs="宋体-18030"/>
          <w:color w:val="auto"/>
          <w:sz w:val="24"/>
          <w:highlight w:val="none"/>
        </w:rPr>
      </w:pPr>
      <w:r>
        <w:rPr>
          <w:rFonts w:hint="eastAsia" w:ascii="仿宋_GB2312" w:hAnsi="宋体" w:eastAsia="仿宋_GB2312" w:cs="宋体-18030"/>
          <w:color w:val="auto"/>
          <w:sz w:val="24"/>
          <w:highlight w:val="none"/>
        </w:rPr>
        <w:t>2.5清单：将</w:t>
      </w:r>
      <w:r>
        <w:rPr>
          <w:rFonts w:ascii="仿宋_GB2312" w:hAnsi="宋体" w:eastAsia="仿宋_GB2312" w:cs="宋体-18030"/>
          <w:color w:val="auto"/>
          <w:sz w:val="24"/>
          <w:highlight w:val="none"/>
        </w:rPr>
        <w:t>完整的</w:t>
      </w:r>
      <w:r>
        <w:rPr>
          <w:rFonts w:hint="eastAsia" w:ascii="仿宋_GB2312" w:hAnsi="宋体" w:eastAsia="仿宋_GB2312" w:cs="宋体-18030"/>
          <w:color w:val="auto"/>
          <w:sz w:val="24"/>
          <w:highlight w:val="none"/>
        </w:rPr>
        <w:t>项</w:t>
      </w:r>
      <w:r>
        <w:rPr>
          <w:rFonts w:ascii="仿宋_GB2312" w:hAnsi="宋体" w:eastAsia="仿宋_GB2312" w:cs="宋体-18030"/>
          <w:color w:val="auto"/>
          <w:sz w:val="24"/>
          <w:highlight w:val="none"/>
        </w:rPr>
        <w:t>目清单</w:t>
      </w:r>
      <w:r>
        <w:rPr>
          <w:rFonts w:hint="eastAsia" w:ascii="仿宋_GB2312" w:hAnsi="宋体" w:eastAsia="仿宋_GB2312" w:cs="宋体-18030"/>
          <w:color w:val="auto"/>
          <w:sz w:val="24"/>
          <w:highlight w:val="none"/>
        </w:rPr>
        <w:t>附</w:t>
      </w:r>
      <w:r>
        <w:rPr>
          <w:rFonts w:ascii="仿宋_GB2312" w:hAnsi="宋体" w:eastAsia="仿宋_GB2312" w:cs="宋体-18030"/>
          <w:color w:val="auto"/>
          <w:sz w:val="24"/>
          <w:highlight w:val="none"/>
        </w:rPr>
        <w:t>在本合同后</w:t>
      </w:r>
      <w:r>
        <w:rPr>
          <w:rFonts w:hint="eastAsia" w:ascii="仿宋_GB2312" w:hAnsi="宋体" w:eastAsia="仿宋_GB2312" w:cs="宋体-18030"/>
          <w:color w:val="auto"/>
          <w:sz w:val="24"/>
          <w:highlight w:val="none"/>
        </w:rPr>
        <w:t>，</w:t>
      </w:r>
      <w:r>
        <w:rPr>
          <w:rFonts w:ascii="仿宋_GB2312" w:hAnsi="宋体" w:eastAsia="仿宋_GB2312" w:cs="宋体-18030"/>
          <w:color w:val="auto"/>
          <w:sz w:val="24"/>
          <w:highlight w:val="none"/>
        </w:rPr>
        <w:t>作为</w:t>
      </w:r>
      <w:r>
        <w:rPr>
          <w:rFonts w:hint="eastAsia" w:ascii="仿宋_GB2312" w:hAnsi="宋体" w:eastAsia="仿宋_GB2312" w:cs="宋体-18030"/>
          <w:color w:val="auto"/>
          <w:sz w:val="24"/>
          <w:highlight w:val="none"/>
        </w:rPr>
        <w:t>合</w:t>
      </w:r>
      <w:r>
        <w:rPr>
          <w:rFonts w:ascii="仿宋_GB2312" w:hAnsi="宋体" w:eastAsia="仿宋_GB2312" w:cs="宋体-18030"/>
          <w:color w:val="auto"/>
          <w:sz w:val="24"/>
          <w:highlight w:val="none"/>
        </w:rPr>
        <w:t>同的组成部分。</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第三条  合同总金额</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3.1.1合同总价大写：元整。</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3.1.2本合同项下货物总金额：￥元。</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3.2分项价款在《供货一览表》中有明确规定。</w:t>
      </w:r>
    </w:p>
    <w:p>
      <w:pPr>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3.3合同总价为本工程包干价，</w:t>
      </w:r>
      <w:r>
        <w:rPr>
          <w:rFonts w:hint="eastAsia" w:ascii="仿宋_GB2312" w:hAnsi="宋体" w:eastAsia="仿宋_GB2312"/>
          <w:color w:val="auto"/>
          <w:sz w:val="24"/>
          <w:highlight w:val="none"/>
        </w:rPr>
        <w:t>本合同总价款包括货物、软件、标准附件、备品备件、专用工具、图纸资料、技术服务，包装、运输、装卸、保险、税金，货到就位以及安装、调试、培训、保修等验收合格之前和质保期内的售后服务一切税金和费用，</w:t>
      </w:r>
      <w:r>
        <w:rPr>
          <w:rFonts w:hint="eastAsia" w:ascii="仿宋_GB2312" w:eastAsia="仿宋_GB2312"/>
          <w:color w:val="auto"/>
          <w:sz w:val="24"/>
          <w:highlight w:val="none"/>
        </w:rPr>
        <w:t>验收合格前的所有费用、操作维修培训费用及质保期内设备的维修保养费用，成品仓储费及二次搬运费等</w:t>
      </w:r>
      <w:r>
        <w:rPr>
          <w:rFonts w:hint="eastAsia" w:ascii="仿宋_GB2312" w:hAnsi="宋体" w:eastAsia="仿宋_GB2312"/>
          <w:color w:val="auto"/>
          <w:sz w:val="24"/>
          <w:highlight w:val="none"/>
        </w:rPr>
        <w:t>。</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3.4本合同执行期间合同总价款不变。</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第四条  权利和质量保证</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4.1</w:t>
      </w:r>
      <w:r>
        <w:rPr>
          <w:rFonts w:ascii="仿宋_GB2312" w:hAnsi="宋体" w:eastAsia="仿宋_GB2312"/>
          <w:color w:val="auto"/>
          <w:sz w:val="24"/>
          <w:highlight w:val="none"/>
        </w:rPr>
        <w:t>乙方应保证</w:t>
      </w:r>
      <w:r>
        <w:rPr>
          <w:rFonts w:hint="eastAsia" w:ascii="仿宋_GB2312" w:hAnsi="宋体" w:eastAsia="仿宋_GB2312"/>
          <w:color w:val="auto"/>
          <w:sz w:val="24"/>
          <w:highlight w:val="none"/>
        </w:rPr>
        <w:t>甲</w:t>
      </w:r>
      <w:r>
        <w:rPr>
          <w:rFonts w:ascii="仿宋_GB2312" w:hAnsi="宋体" w:eastAsia="仿宋_GB2312"/>
          <w:color w:val="auto"/>
          <w:sz w:val="24"/>
          <w:highlight w:val="none"/>
        </w:rPr>
        <w:t>方在使用该货物或其任何一部分时不受第三方提出侵犯其专利权、版权、商标权或其他权利的起诉。一旦出现侵权，</w:t>
      </w:r>
      <w:r>
        <w:rPr>
          <w:rFonts w:hint="eastAsia" w:ascii="仿宋_GB2312" w:hAnsi="宋体" w:eastAsia="仿宋_GB2312"/>
          <w:color w:val="auto"/>
          <w:sz w:val="24"/>
          <w:highlight w:val="none"/>
        </w:rPr>
        <w:t>索赔或诉讼</w:t>
      </w:r>
      <w:r>
        <w:rPr>
          <w:rFonts w:ascii="仿宋_GB2312" w:hAnsi="宋体" w:eastAsia="仿宋_GB2312"/>
          <w:color w:val="auto"/>
          <w:sz w:val="24"/>
          <w:highlight w:val="none"/>
        </w:rPr>
        <w:t>，乙方应承担全部责任。</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4.2乙方保证提供的货物完全符合国家规范及甲乙双方确认的投标文件、本合同关于货物数量、质量的要求是2024年1月份后生产的符合国家技术规格和质量标准的出厂合格产品，通过国家有关部门检测合格的原产地产品，货物是全新的、未曾开箱使用过的。  </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4.3乙方确认货物符合实行国家“三包”规定的，应执行“三包”规定。在本合同之外，乙方有对第三方高于本合同约定的优惠承诺或法定保护要求的，接收使用设备的学校同时享受不低于第三方待遇。</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w:t>
      </w:r>
      <w:r>
        <w:rPr>
          <w:rFonts w:ascii="仿宋_GB2312" w:hAnsi="宋体" w:eastAsia="仿宋_GB2312"/>
          <w:color w:val="auto"/>
          <w:sz w:val="24"/>
          <w:highlight w:val="none"/>
        </w:rPr>
        <w:t>4</w:t>
      </w:r>
      <w:r>
        <w:rPr>
          <w:rFonts w:hint="eastAsia" w:ascii="仿宋_GB2312" w:hAnsi="宋体" w:eastAsia="仿宋_GB2312"/>
          <w:color w:val="auto"/>
          <w:sz w:val="24"/>
          <w:highlight w:val="none"/>
        </w:rPr>
        <w:t>乙方提交的货物应当符合投标文件中所记载的详细配置、技术参数、参数及性能，并应附有此类货物完整、详细的技术资料和说明文件，提供招标文件中规定签订合同后须提供的有关材料，包括并不限于原厂授权书、原厂售后服务承诺函、说明书、技术资料等。</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w:t>
      </w:r>
      <w:r>
        <w:rPr>
          <w:rFonts w:ascii="仿宋_GB2312" w:hAnsi="宋体" w:eastAsia="仿宋_GB2312"/>
          <w:color w:val="auto"/>
          <w:sz w:val="24"/>
          <w:highlight w:val="none"/>
        </w:rPr>
        <w:t>5</w:t>
      </w:r>
      <w:r>
        <w:rPr>
          <w:rFonts w:hint="eastAsia" w:ascii="仿宋_GB2312" w:hAnsi="宋体" w:eastAsia="仿宋_GB2312"/>
          <w:color w:val="auto"/>
          <w:sz w:val="24"/>
          <w:highlight w:val="none"/>
        </w:rPr>
        <w:t>乙方提交的货物必须按照招标采购文件的要求和中标人投标文件的承诺，以约定标准进行制造、安装；经政府采购管理部门批准采购的进口产品应执行原产地国家有关部门最新颁布的相应正式标准并提供国家商检、海关报关等手续。</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w:t>
      </w:r>
      <w:r>
        <w:rPr>
          <w:rFonts w:ascii="仿宋_GB2312" w:hAnsi="宋体" w:eastAsia="仿宋_GB2312"/>
          <w:color w:val="auto"/>
          <w:sz w:val="24"/>
          <w:highlight w:val="none"/>
        </w:rPr>
        <w:t>6</w:t>
      </w:r>
      <w:r>
        <w:rPr>
          <w:rFonts w:hint="eastAsia" w:ascii="仿宋_GB2312" w:hAnsi="宋体" w:eastAsia="仿宋_GB2312"/>
          <w:color w:val="auto"/>
          <w:sz w:val="24"/>
          <w:highlight w:val="none"/>
        </w:rPr>
        <w:t>乙方应保证提供的货物须符合中华人民共和国国家及行业有效的最新版本的安全质量标准、环保标准，货物按照国家或专业标准包装、确保货物安全无损运抵合同规定的交货地点，并进行安装、试运行。</w:t>
      </w:r>
    </w:p>
    <w:p>
      <w:pPr>
        <w:spacing w:line="48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w:t>
      </w:r>
      <w:r>
        <w:rPr>
          <w:rFonts w:ascii="仿宋_GB2312" w:hAnsi="宋体" w:eastAsia="仿宋_GB2312"/>
          <w:color w:val="auto"/>
          <w:sz w:val="24"/>
          <w:highlight w:val="none"/>
        </w:rPr>
        <w:t>7</w:t>
      </w:r>
      <w:r>
        <w:rPr>
          <w:rFonts w:hint="eastAsia" w:ascii="仿宋_GB2312" w:hAnsi="宋体" w:eastAsia="仿宋_GB2312"/>
          <w:color w:val="auto"/>
          <w:sz w:val="24"/>
          <w:highlight w:val="none"/>
        </w:rPr>
        <w:t>乙方保证货物不存在危及人身及财产安全的产品缺陷，否则应承担全部法律责任。</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第五条  付款方式</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5.1本合同项下所有款项均以人民币支付。</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5.2乙方向甲方提交下列文件材料，经甲方审核无误后，待</w:t>
      </w:r>
      <w:r>
        <w:rPr>
          <w:rFonts w:ascii="仿宋_GB2312" w:hAnsi="宋体" w:eastAsia="仿宋_GB2312"/>
          <w:color w:val="auto"/>
          <w:sz w:val="24"/>
          <w:highlight w:val="none"/>
        </w:rPr>
        <w:t>财政资金到位后，10</w:t>
      </w:r>
      <w:r>
        <w:rPr>
          <w:rFonts w:hint="eastAsia" w:ascii="仿宋_GB2312" w:hAnsi="宋体" w:eastAsia="仿宋_GB2312"/>
          <w:color w:val="auto"/>
          <w:sz w:val="24"/>
          <w:highlight w:val="none"/>
        </w:rPr>
        <w:t>个</w:t>
      </w:r>
      <w:r>
        <w:rPr>
          <w:rFonts w:ascii="仿宋_GB2312" w:hAnsi="宋体" w:eastAsia="仿宋_GB2312"/>
          <w:color w:val="auto"/>
          <w:sz w:val="24"/>
          <w:highlight w:val="none"/>
        </w:rPr>
        <w:t>工作日内</w:t>
      </w:r>
      <w:r>
        <w:rPr>
          <w:rFonts w:hint="eastAsia" w:ascii="仿宋_GB2312" w:hAnsi="宋体" w:eastAsia="仿宋_GB2312"/>
          <w:color w:val="auto"/>
          <w:sz w:val="24"/>
          <w:highlight w:val="none"/>
        </w:rPr>
        <w:t>支付采购资金：</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（1）经甲方确认的发票；</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（2）校级验收报告、区级验收报告；</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w:t>
      </w:r>
      <w:r>
        <w:rPr>
          <w:rFonts w:ascii="仿宋_GB2312" w:hAnsi="宋体" w:eastAsia="仿宋_GB2312"/>
          <w:color w:val="auto"/>
          <w:sz w:val="24"/>
          <w:highlight w:val="none"/>
        </w:rPr>
        <w:t>3</w:t>
      </w:r>
      <w:r>
        <w:rPr>
          <w:rFonts w:hint="eastAsia" w:ascii="仿宋_GB2312" w:hAnsi="宋体" w:eastAsia="仿宋_GB2312"/>
          <w:color w:val="auto"/>
          <w:sz w:val="24"/>
          <w:highlight w:val="none"/>
        </w:rPr>
        <w:t>）其他材料。</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5.3款项的支付进度以招标采购文件的有关规定为准。如招标采购文件未作特别规定，则付款进度应符合如下约定第</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2</w:t>
      </w:r>
      <w:r>
        <w:rPr>
          <w:rFonts w:hint="eastAsia" w:ascii="仿宋_GB2312" w:hAnsi="宋体" w:eastAsia="仿宋_GB2312"/>
          <w:color w:val="auto"/>
          <w:sz w:val="24"/>
          <w:highlight w:val="none"/>
          <w:u w:val="single"/>
        </w:rPr>
        <w:t>）或（</w:t>
      </w:r>
      <w:r>
        <w:rPr>
          <w:rFonts w:ascii="仿宋_GB2312" w:hAnsi="宋体" w:eastAsia="仿宋_GB2312"/>
          <w:color w:val="auto"/>
          <w:sz w:val="24"/>
          <w:highlight w:val="none"/>
          <w:u w:val="single"/>
        </w:rPr>
        <w:t>4</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种方式确定：</w:t>
      </w:r>
    </w:p>
    <w:p>
      <w:pPr>
        <w:spacing w:line="4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w:t>
      </w:r>
      <w:r>
        <w:rPr>
          <w:rFonts w:ascii="仿宋_GB2312" w:hAnsi="仿宋_GB2312" w:eastAsia="仿宋_GB2312" w:cs="仿宋_GB2312"/>
          <w:color w:val="auto"/>
          <w:sz w:val="24"/>
          <w:highlight w:val="none"/>
        </w:rPr>
        <w:t>项目为</w:t>
      </w:r>
      <w:r>
        <w:rPr>
          <w:rFonts w:hint="eastAsia" w:ascii="仿宋_GB2312" w:hAnsi="仿宋_GB2312" w:eastAsia="仿宋_GB2312" w:cs="仿宋_GB2312"/>
          <w:color w:val="auto"/>
          <w:sz w:val="24"/>
          <w:highlight w:val="none"/>
        </w:rPr>
        <w:t>学校</w:t>
      </w:r>
      <w:r>
        <w:rPr>
          <w:rFonts w:ascii="仿宋_GB2312" w:hAnsi="仿宋_GB2312" w:eastAsia="仿宋_GB2312" w:cs="仿宋_GB2312"/>
          <w:color w:val="auto"/>
          <w:sz w:val="24"/>
          <w:highlight w:val="none"/>
        </w:rPr>
        <w:t>自验</w:t>
      </w:r>
      <w:r>
        <w:rPr>
          <w:rFonts w:hint="eastAsia" w:ascii="仿宋_GB2312" w:hAnsi="仿宋_GB2312" w:eastAsia="仿宋_GB2312" w:cs="仿宋_GB2312"/>
          <w:color w:val="auto"/>
          <w:sz w:val="24"/>
          <w:highlight w:val="none"/>
        </w:rPr>
        <w:t>分</w:t>
      </w:r>
      <w:r>
        <w:rPr>
          <w:rFonts w:ascii="仿宋_GB2312" w:hAnsi="仿宋_GB2312" w:eastAsia="仿宋_GB2312" w:cs="仿宋_GB2312"/>
          <w:color w:val="auto"/>
          <w:sz w:val="24"/>
          <w:highlight w:val="none"/>
        </w:rPr>
        <w:t>期付款项目。</w:t>
      </w:r>
      <w:r>
        <w:rPr>
          <w:rFonts w:hint="eastAsia" w:ascii="仿宋_GB2312" w:hAnsi="仿宋_GB2312" w:eastAsia="仿宋_GB2312" w:cs="仿宋_GB2312"/>
          <w:color w:val="auto"/>
          <w:sz w:val="24"/>
          <w:highlight w:val="none"/>
        </w:rPr>
        <w:t>合</w:t>
      </w:r>
      <w:r>
        <w:rPr>
          <w:rFonts w:ascii="仿宋_GB2312" w:hAnsi="仿宋_GB2312" w:eastAsia="仿宋_GB2312" w:cs="仿宋_GB2312"/>
          <w:color w:val="auto"/>
          <w:sz w:val="24"/>
          <w:highlight w:val="none"/>
        </w:rPr>
        <w:t>同生效后由学校向乙方</w:t>
      </w:r>
      <w:r>
        <w:rPr>
          <w:rFonts w:hint="eastAsia" w:ascii="仿宋_GB2312" w:hAnsi="宋体" w:eastAsia="仿宋_GB2312"/>
          <w:color w:val="auto"/>
          <w:sz w:val="24"/>
          <w:highlight w:val="none"/>
        </w:rPr>
        <w:t>支付合同总价的</w:t>
      </w:r>
      <w:r>
        <w:rPr>
          <w:rFonts w:hint="eastAsia" w:ascii="仿宋_GB2312" w:hAnsi="宋体" w:eastAsia="仿宋_GB2312"/>
          <w:color w:val="auto"/>
          <w:sz w:val="24"/>
          <w:highlight w:val="none"/>
          <w:u w:val="single"/>
        </w:rPr>
        <w:t xml:space="preserve">  /   </w:t>
      </w:r>
      <w:r>
        <w:rPr>
          <w:rFonts w:hint="eastAsia" w:ascii="仿宋_GB2312" w:hAnsi="宋体" w:eastAsia="仿宋_GB2312"/>
          <w:color w:val="auto"/>
          <w:sz w:val="24"/>
          <w:highlight w:val="none"/>
        </w:rPr>
        <w:t>％</w:t>
      </w:r>
      <w:r>
        <w:rPr>
          <w:rFonts w:hint="eastAsia" w:ascii="仿宋_GB2312" w:hAnsi="仿宋_GB2312" w:eastAsia="仿宋_GB2312" w:cs="仿宋_GB2312"/>
          <w:color w:val="auto"/>
          <w:sz w:val="24"/>
          <w:highlight w:val="none"/>
        </w:rPr>
        <w:t>预付</w:t>
      </w:r>
      <w:r>
        <w:rPr>
          <w:rFonts w:ascii="仿宋_GB2312" w:hAnsi="仿宋_GB2312" w:eastAsia="仿宋_GB2312" w:cs="仿宋_GB2312"/>
          <w:color w:val="auto"/>
          <w:sz w:val="24"/>
          <w:highlight w:val="none"/>
        </w:rPr>
        <w:t>款</w:t>
      </w:r>
      <w:r>
        <w:rPr>
          <w:rFonts w:hint="eastAsia" w:ascii="仿宋_GB2312" w:hAnsi="仿宋_GB2312" w:eastAsia="仿宋_GB2312" w:cs="仿宋_GB2312"/>
          <w:color w:val="auto"/>
          <w:sz w:val="24"/>
          <w:highlight w:val="none"/>
        </w:rPr>
        <w:t>，</w:t>
      </w:r>
      <w:r>
        <w:rPr>
          <w:rFonts w:hint="eastAsia" w:ascii="仿宋_GB2312" w:hAnsi="宋体" w:eastAsia="仿宋_GB2312" w:cs="宋体"/>
          <w:bCs/>
          <w:color w:val="auto"/>
          <w:sz w:val="24"/>
          <w:highlight w:val="none"/>
        </w:rPr>
        <w:t>学校验收合格</w:t>
      </w:r>
      <w:r>
        <w:rPr>
          <w:rFonts w:hint="eastAsia" w:ascii="仿宋_GB2312" w:hAnsi="宋体" w:eastAsia="仿宋_GB2312"/>
          <w:color w:val="auto"/>
          <w:sz w:val="24"/>
          <w:highlight w:val="none"/>
        </w:rPr>
        <w:t>，</w:t>
      </w:r>
      <w:r>
        <w:rPr>
          <w:rFonts w:hint="eastAsia" w:ascii="仿宋_GB2312" w:hAnsi="宋体" w:eastAsia="仿宋_GB2312" w:cs="宋体"/>
          <w:bCs/>
          <w:color w:val="auto"/>
          <w:sz w:val="24"/>
          <w:highlight w:val="none"/>
        </w:rPr>
        <w:t>学校填写好</w:t>
      </w:r>
      <w:r>
        <w:rPr>
          <w:rFonts w:hint="eastAsia" w:ascii="仿宋_GB2312" w:hAnsi="仿宋_GB2312" w:eastAsia="仿宋_GB2312" w:cs="仿宋_GB2312"/>
          <w:color w:val="auto"/>
          <w:sz w:val="24"/>
          <w:highlight w:val="none"/>
        </w:rPr>
        <w:t>验收合格单据，报甲方确认后</w:t>
      </w:r>
      <w:r>
        <w:rPr>
          <w:rFonts w:hint="eastAsia" w:ascii="仿宋_GB2312" w:hAnsi="宋体" w:eastAsia="仿宋_GB2312"/>
          <w:color w:val="auto"/>
          <w:sz w:val="24"/>
          <w:highlight w:val="none"/>
        </w:rPr>
        <w:t>支付余款。</w:t>
      </w:r>
    </w:p>
    <w:p>
      <w:pPr>
        <w:spacing w:line="460" w:lineRule="exact"/>
        <w:ind w:firstLine="480" w:firstLineChars="200"/>
        <w:rPr>
          <w:rFonts w:ascii="仿宋_GB2312" w:hAnsi="Courier New" w:eastAsia="仿宋_GB2312" w:cs="宋体"/>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Courier New" w:eastAsia="仿宋_GB2312" w:cs="宋体"/>
          <w:color w:val="auto"/>
          <w:sz w:val="24"/>
          <w:highlight w:val="none"/>
        </w:rPr>
        <w:t>本</w:t>
      </w:r>
      <w:r>
        <w:rPr>
          <w:rFonts w:ascii="仿宋_GB2312" w:hAnsi="Courier New" w:eastAsia="仿宋_GB2312" w:cs="宋体"/>
          <w:color w:val="auto"/>
          <w:sz w:val="24"/>
          <w:highlight w:val="none"/>
        </w:rPr>
        <w:t>项目为</w:t>
      </w:r>
      <w:r>
        <w:rPr>
          <w:rFonts w:hint="eastAsia" w:ascii="仿宋_GB2312" w:hAnsi="Courier New" w:eastAsia="仿宋_GB2312" w:cs="宋体"/>
          <w:color w:val="auto"/>
          <w:sz w:val="24"/>
          <w:highlight w:val="none"/>
        </w:rPr>
        <w:t>区</w:t>
      </w:r>
      <w:r>
        <w:rPr>
          <w:rFonts w:ascii="仿宋_GB2312" w:hAnsi="Courier New" w:eastAsia="仿宋_GB2312" w:cs="宋体"/>
          <w:color w:val="auto"/>
          <w:sz w:val="24"/>
          <w:highlight w:val="none"/>
        </w:rPr>
        <w:t>级</w:t>
      </w:r>
      <w:r>
        <w:rPr>
          <w:rFonts w:hint="eastAsia" w:ascii="仿宋_GB2312" w:hAnsi="Courier New" w:eastAsia="仿宋_GB2312" w:cs="宋体"/>
          <w:color w:val="auto"/>
          <w:sz w:val="24"/>
          <w:highlight w:val="none"/>
        </w:rPr>
        <w:t>验收分</w:t>
      </w:r>
      <w:r>
        <w:rPr>
          <w:rFonts w:ascii="仿宋_GB2312" w:hAnsi="Courier New" w:eastAsia="仿宋_GB2312" w:cs="宋体"/>
          <w:color w:val="auto"/>
          <w:sz w:val="24"/>
          <w:highlight w:val="none"/>
        </w:rPr>
        <w:t>期付款项目。</w:t>
      </w:r>
      <w:r>
        <w:rPr>
          <w:rFonts w:hint="eastAsia" w:ascii="仿宋_GB2312" w:hAnsi="仿宋_GB2312" w:eastAsia="仿宋_GB2312" w:cs="仿宋_GB2312"/>
          <w:color w:val="auto"/>
          <w:sz w:val="24"/>
          <w:highlight w:val="none"/>
        </w:rPr>
        <w:t>合</w:t>
      </w:r>
      <w:r>
        <w:rPr>
          <w:rFonts w:ascii="仿宋_GB2312" w:hAnsi="仿宋_GB2312" w:eastAsia="仿宋_GB2312" w:cs="仿宋_GB2312"/>
          <w:color w:val="auto"/>
          <w:sz w:val="24"/>
          <w:highlight w:val="none"/>
        </w:rPr>
        <w:t>同生效后由学校向乙方</w:t>
      </w:r>
      <w:r>
        <w:rPr>
          <w:rFonts w:hint="eastAsia" w:ascii="仿宋_GB2312" w:hAnsi="宋体" w:eastAsia="仿宋_GB2312"/>
          <w:color w:val="auto"/>
          <w:sz w:val="24"/>
          <w:highlight w:val="none"/>
        </w:rPr>
        <w:t>支付至合同总价的</w:t>
      </w:r>
      <w:r>
        <w:rPr>
          <w:rFonts w:ascii="仿宋_GB2312" w:hAnsi="宋体" w:eastAsia="仿宋_GB2312"/>
          <w:color w:val="auto"/>
          <w:sz w:val="24"/>
          <w:highlight w:val="none"/>
          <w:u w:val="single"/>
        </w:rPr>
        <w:t xml:space="preserve"> 40</w:t>
      </w:r>
      <w:r>
        <w:rPr>
          <w:rFonts w:hint="eastAsia" w:ascii="仿宋_GB2312" w:hAnsi="宋体" w:eastAsia="仿宋_GB2312"/>
          <w:color w:val="auto"/>
          <w:sz w:val="24"/>
          <w:highlight w:val="none"/>
        </w:rPr>
        <w:t>％</w:t>
      </w:r>
      <w:r>
        <w:rPr>
          <w:rFonts w:hint="eastAsia" w:ascii="仿宋_GB2312" w:hAnsi="仿宋_GB2312" w:eastAsia="仿宋_GB2312" w:cs="仿宋_GB2312"/>
          <w:color w:val="auto"/>
          <w:sz w:val="24"/>
          <w:highlight w:val="none"/>
        </w:rPr>
        <w:t>预付</w:t>
      </w:r>
      <w:r>
        <w:rPr>
          <w:rFonts w:ascii="仿宋_GB2312" w:hAnsi="仿宋_GB2312" w:eastAsia="仿宋_GB2312" w:cs="仿宋_GB2312"/>
          <w:color w:val="auto"/>
          <w:sz w:val="24"/>
          <w:highlight w:val="none"/>
        </w:rPr>
        <w:t>款</w:t>
      </w:r>
      <w:r>
        <w:rPr>
          <w:rFonts w:hint="eastAsia" w:ascii="仿宋_GB2312" w:hAnsi="仿宋_GB2312" w:eastAsia="仿宋_GB2312" w:cs="仿宋_GB2312"/>
          <w:color w:val="auto"/>
          <w:sz w:val="24"/>
          <w:highlight w:val="none"/>
        </w:rPr>
        <w:t>，</w:t>
      </w:r>
      <w:r>
        <w:rPr>
          <w:rFonts w:hint="eastAsia" w:ascii="仿宋_GB2312" w:hAnsi="宋体" w:eastAsia="仿宋_GB2312"/>
          <w:color w:val="auto"/>
          <w:sz w:val="24"/>
          <w:highlight w:val="none"/>
        </w:rPr>
        <w:t>货到初验合格，安装调试合格后，运行正常后，</w:t>
      </w:r>
      <w:r>
        <w:rPr>
          <w:rFonts w:hint="eastAsia" w:ascii="仿宋_GB2312" w:hAnsi="宋体" w:eastAsia="仿宋_GB2312" w:cs="宋体"/>
          <w:bCs/>
          <w:color w:val="auto"/>
          <w:sz w:val="24"/>
          <w:highlight w:val="none"/>
        </w:rPr>
        <w:t>学校填写好初</w:t>
      </w:r>
      <w:r>
        <w:rPr>
          <w:rFonts w:hint="eastAsia" w:ascii="仿宋_GB2312" w:hAnsi="仿宋_GB2312" w:eastAsia="仿宋_GB2312" w:cs="仿宋_GB2312"/>
          <w:color w:val="auto"/>
          <w:sz w:val="24"/>
          <w:highlight w:val="none"/>
        </w:rPr>
        <w:t>验合格单据报甲方，</w:t>
      </w:r>
      <w:r>
        <w:rPr>
          <w:rFonts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rPr>
        <w:t>确认后</w:t>
      </w:r>
      <w:r>
        <w:rPr>
          <w:rFonts w:ascii="仿宋_GB2312" w:hAnsi="仿宋_GB2312" w:eastAsia="仿宋_GB2312" w:cs="仿宋_GB2312"/>
          <w:color w:val="auto"/>
          <w:sz w:val="24"/>
          <w:highlight w:val="none"/>
        </w:rPr>
        <w:t>组</w:t>
      </w:r>
      <w:r>
        <w:rPr>
          <w:rFonts w:hint="eastAsia" w:ascii="仿宋_GB2312" w:hAnsi="仿宋_GB2312" w:eastAsia="仿宋_GB2312" w:cs="仿宋_GB2312"/>
          <w:color w:val="auto"/>
          <w:sz w:val="24"/>
          <w:highlight w:val="none"/>
        </w:rPr>
        <w:t>织区</w:t>
      </w:r>
      <w:r>
        <w:rPr>
          <w:rFonts w:ascii="仿宋_GB2312" w:hAnsi="仿宋_GB2312" w:eastAsia="仿宋_GB2312" w:cs="仿宋_GB2312"/>
          <w:color w:val="auto"/>
          <w:sz w:val="24"/>
          <w:highlight w:val="none"/>
        </w:rPr>
        <w:t>验收专家组进行</w:t>
      </w:r>
      <w:r>
        <w:rPr>
          <w:rFonts w:hint="eastAsia" w:ascii="仿宋_GB2312" w:hAnsi="仿宋_GB2312" w:eastAsia="仿宋_GB2312" w:cs="仿宋_GB2312"/>
          <w:color w:val="auto"/>
          <w:sz w:val="24"/>
          <w:highlight w:val="none"/>
        </w:rPr>
        <w:t>项</w:t>
      </w:r>
      <w:r>
        <w:rPr>
          <w:rFonts w:ascii="仿宋_GB2312" w:hAnsi="仿宋_GB2312" w:eastAsia="仿宋_GB2312" w:cs="仿宋_GB2312"/>
          <w:color w:val="auto"/>
          <w:sz w:val="24"/>
          <w:highlight w:val="none"/>
        </w:rPr>
        <w:t>目整体验收</w:t>
      </w:r>
      <w:r>
        <w:rPr>
          <w:rFonts w:hint="eastAsia" w:ascii="仿宋_GB2312" w:hAnsi="仿宋_GB2312" w:eastAsia="仿宋_GB2312" w:cs="仿宋_GB2312"/>
          <w:color w:val="auto"/>
          <w:sz w:val="24"/>
          <w:highlight w:val="none"/>
        </w:rPr>
        <w:t>，乙方</w:t>
      </w:r>
      <w:r>
        <w:rPr>
          <w:rFonts w:ascii="仿宋_GB2312" w:hAnsi="仿宋_GB2312" w:eastAsia="仿宋_GB2312" w:cs="仿宋_GB2312"/>
          <w:color w:val="auto"/>
          <w:sz w:val="24"/>
          <w:highlight w:val="none"/>
        </w:rPr>
        <w:t>凭</w:t>
      </w:r>
      <w:r>
        <w:rPr>
          <w:rFonts w:hint="eastAsia" w:ascii="仿宋_GB2312" w:hAnsi="仿宋_GB2312" w:eastAsia="仿宋_GB2312" w:cs="仿宋_GB2312"/>
          <w:color w:val="auto"/>
          <w:sz w:val="24"/>
          <w:highlight w:val="none"/>
        </w:rPr>
        <w:t>甲方</w:t>
      </w:r>
      <w:r>
        <w:rPr>
          <w:rFonts w:ascii="仿宋_GB2312" w:hAnsi="仿宋_GB2312" w:eastAsia="仿宋_GB2312" w:cs="仿宋_GB2312"/>
          <w:color w:val="auto"/>
          <w:sz w:val="24"/>
          <w:highlight w:val="none"/>
        </w:rPr>
        <w:t>盖章确认的专家</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验收</w:t>
      </w:r>
      <w:r>
        <w:rPr>
          <w:rFonts w:hint="eastAsia" w:ascii="仿宋_GB2312" w:hAnsi="仿宋_GB2312" w:eastAsia="仿宋_GB2312" w:cs="仿宋_GB2312"/>
          <w:color w:val="auto"/>
          <w:sz w:val="24"/>
          <w:highlight w:val="none"/>
        </w:rPr>
        <w:t>合</w:t>
      </w:r>
      <w:r>
        <w:rPr>
          <w:rFonts w:ascii="仿宋_GB2312" w:hAnsi="仿宋_GB2312" w:eastAsia="仿宋_GB2312" w:cs="仿宋_GB2312"/>
          <w:color w:val="auto"/>
          <w:sz w:val="24"/>
          <w:highlight w:val="none"/>
        </w:rPr>
        <w:t>格报告</w:t>
      </w:r>
      <w:r>
        <w:rPr>
          <w:rFonts w:hint="eastAsia" w:ascii="仿宋_GB2312" w:hAnsi="仿宋_GB2312" w:eastAsia="仿宋_GB2312" w:cs="仿宋_GB2312"/>
          <w:color w:val="auto"/>
          <w:sz w:val="24"/>
          <w:highlight w:val="none"/>
        </w:rPr>
        <w:t>》向</w:t>
      </w:r>
      <w:r>
        <w:rPr>
          <w:rFonts w:ascii="仿宋_GB2312" w:hAnsi="仿宋_GB2312" w:eastAsia="仿宋_GB2312" w:cs="仿宋_GB2312"/>
          <w:color w:val="auto"/>
          <w:sz w:val="24"/>
          <w:highlight w:val="none"/>
        </w:rPr>
        <w:t>学校申请</w:t>
      </w:r>
      <w:r>
        <w:rPr>
          <w:rFonts w:hint="eastAsia" w:ascii="仿宋_GB2312" w:hAnsi="仿宋_GB2312" w:eastAsia="仿宋_GB2312" w:cs="仿宋_GB2312"/>
          <w:color w:val="auto"/>
          <w:sz w:val="24"/>
          <w:highlight w:val="none"/>
        </w:rPr>
        <w:t>支付余款。</w:t>
      </w:r>
    </w:p>
    <w:p>
      <w:pPr>
        <w:spacing w:line="460" w:lineRule="exact"/>
        <w:ind w:firstLine="480" w:firstLineChars="200"/>
        <w:rPr>
          <w:rFonts w:ascii="仿宋_GB2312" w:hAnsi="仿宋_GB2312" w:eastAsia="仿宋_GB2312" w:cs="仿宋_GB2312"/>
          <w:color w:val="auto"/>
          <w:sz w:val="24"/>
          <w:highlight w:val="none"/>
        </w:rPr>
      </w:pPr>
      <w:r>
        <w:rPr>
          <w:rFonts w:hint="eastAsia" w:ascii="仿宋_GB2312" w:hAnsi="Courier New" w:eastAsia="仿宋_GB2312" w:cs="宋体"/>
          <w:color w:val="auto"/>
          <w:sz w:val="24"/>
          <w:highlight w:val="none"/>
        </w:rPr>
        <w:t>（3）本</w:t>
      </w:r>
      <w:r>
        <w:rPr>
          <w:rFonts w:ascii="仿宋_GB2312" w:hAnsi="Courier New" w:eastAsia="仿宋_GB2312" w:cs="宋体"/>
          <w:color w:val="auto"/>
          <w:sz w:val="24"/>
          <w:highlight w:val="none"/>
        </w:rPr>
        <w:t>项目为</w:t>
      </w:r>
      <w:r>
        <w:rPr>
          <w:rFonts w:hint="eastAsia" w:ascii="仿宋_GB2312" w:hAnsi="Courier New" w:eastAsia="仿宋_GB2312" w:cs="宋体"/>
          <w:color w:val="auto"/>
          <w:sz w:val="24"/>
          <w:highlight w:val="none"/>
        </w:rPr>
        <w:t>学校</w:t>
      </w:r>
      <w:r>
        <w:rPr>
          <w:rFonts w:ascii="仿宋_GB2312" w:hAnsi="Courier New" w:eastAsia="仿宋_GB2312" w:cs="宋体"/>
          <w:color w:val="auto"/>
          <w:sz w:val="24"/>
          <w:highlight w:val="none"/>
        </w:rPr>
        <w:t>自验</w:t>
      </w:r>
      <w:r>
        <w:rPr>
          <w:rFonts w:hint="eastAsia" w:ascii="仿宋_GB2312" w:hAnsi="Courier New" w:eastAsia="仿宋_GB2312" w:cs="宋体"/>
          <w:color w:val="auto"/>
          <w:sz w:val="24"/>
          <w:highlight w:val="none"/>
        </w:rPr>
        <w:t>合格</w:t>
      </w:r>
      <w:r>
        <w:rPr>
          <w:rFonts w:ascii="仿宋_GB2312" w:hAnsi="Courier New" w:eastAsia="仿宋_GB2312" w:cs="宋体"/>
          <w:color w:val="auto"/>
          <w:sz w:val="24"/>
          <w:highlight w:val="none"/>
        </w:rPr>
        <w:t>支付项目。</w:t>
      </w:r>
      <w:r>
        <w:rPr>
          <w:rFonts w:hint="eastAsia" w:ascii="仿宋_GB2312" w:hAnsi="宋体" w:eastAsia="仿宋_GB2312" w:cs="宋体"/>
          <w:bCs/>
          <w:color w:val="auto"/>
          <w:sz w:val="24"/>
          <w:highlight w:val="none"/>
        </w:rPr>
        <w:t>学校验收合格，学校填写好</w:t>
      </w:r>
      <w:r>
        <w:rPr>
          <w:rFonts w:hint="eastAsia" w:ascii="仿宋_GB2312" w:hAnsi="仿宋_GB2312" w:eastAsia="仿宋_GB2312" w:cs="仿宋_GB2312"/>
          <w:color w:val="auto"/>
          <w:sz w:val="24"/>
          <w:highlight w:val="none"/>
        </w:rPr>
        <w:t>验收合格单据，报甲方确认后</w:t>
      </w:r>
      <w:r>
        <w:rPr>
          <w:rFonts w:hint="eastAsia" w:ascii="仿宋_GB2312" w:hAnsi="宋体" w:eastAsia="仿宋_GB2312"/>
          <w:color w:val="auto"/>
          <w:sz w:val="24"/>
          <w:highlight w:val="none"/>
        </w:rPr>
        <w:t>支付货款。</w:t>
      </w:r>
    </w:p>
    <w:p>
      <w:pPr>
        <w:spacing w:line="460" w:lineRule="exact"/>
        <w:ind w:firstLine="480" w:firstLineChars="200"/>
        <w:rPr>
          <w:rFonts w:ascii="仿宋_GB2312" w:hAnsi="宋体" w:eastAsia="仿宋_GB2312"/>
          <w:color w:val="auto"/>
          <w:sz w:val="24"/>
          <w:highlight w:val="none"/>
        </w:rPr>
      </w:pPr>
      <w:r>
        <w:rPr>
          <w:rFonts w:hint="eastAsia" w:ascii="仿宋_GB2312" w:hAnsi="Courier New" w:eastAsia="仿宋_GB2312" w:cs="宋体"/>
          <w:color w:val="auto"/>
          <w:sz w:val="24"/>
          <w:highlight w:val="none"/>
        </w:rPr>
        <w:t>（4）本</w:t>
      </w:r>
      <w:r>
        <w:rPr>
          <w:rFonts w:ascii="仿宋_GB2312" w:hAnsi="Courier New" w:eastAsia="仿宋_GB2312" w:cs="宋体"/>
          <w:color w:val="auto"/>
          <w:sz w:val="24"/>
          <w:highlight w:val="none"/>
        </w:rPr>
        <w:t>项目为</w:t>
      </w:r>
      <w:r>
        <w:rPr>
          <w:rFonts w:hint="eastAsia" w:ascii="仿宋_GB2312" w:hAnsi="Courier New" w:eastAsia="仿宋_GB2312" w:cs="宋体"/>
          <w:color w:val="auto"/>
          <w:sz w:val="24"/>
          <w:highlight w:val="none"/>
        </w:rPr>
        <w:t>区</w:t>
      </w:r>
      <w:r>
        <w:rPr>
          <w:rFonts w:ascii="仿宋_GB2312" w:hAnsi="Courier New" w:eastAsia="仿宋_GB2312" w:cs="宋体"/>
          <w:color w:val="auto"/>
          <w:sz w:val="24"/>
          <w:highlight w:val="none"/>
        </w:rPr>
        <w:t>级</w:t>
      </w:r>
      <w:r>
        <w:rPr>
          <w:rFonts w:hint="eastAsia" w:ascii="仿宋_GB2312" w:hAnsi="Courier New" w:eastAsia="仿宋_GB2312" w:cs="宋体"/>
          <w:color w:val="auto"/>
          <w:sz w:val="24"/>
          <w:highlight w:val="none"/>
        </w:rPr>
        <w:t>验收合</w:t>
      </w:r>
      <w:r>
        <w:rPr>
          <w:rFonts w:ascii="仿宋_GB2312" w:hAnsi="Courier New" w:eastAsia="仿宋_GB2312" w:cs="宋体"/>
          <w:color w:val="auto"/>
          <w:sz w:val="24"/>
          <w:highlight w:val="none"/>
        </w:rPr>
        <w:t>格支付项目。</w:t>
      </w:r>
      <w:r>
        <w:rPr>
          <w:rFonts w:hint="eastAsia" w:ascii="仿宋_GB2312" w:hAnsi="Courier New" w:eastAsia="仿宋_GB2312" w:cs="宋体"/>
          <w:color w:val="auto"/>
          <w:sz w:val="24"/>
          <w:highlight w:val="none"/>
        </w:rPr>
        <w:t>经乙方同意后，全部货款在区级验收合格后一次性支付。具体流程为：</w:t>
      </w:r>
      <w:r>
        <w:rPr>
          <w:rFonts w:hint="eastAsia" w:ascii="仿宋_GB2312" w:hAnsi="宋体" w:eastAsia="仿宋_GB2312"/>
          <w:color w:val="auto"/>
          <w:sz w:val="24"/>
          <w:highlight w:val="none"/>
        </w:rPr>
        <w:t>货到初验合格，安装调试合格，运行正常后，</w:t>
      </w:r>
      <w:r>
        <w:rPr>
          <w:rFonts w:hint="eastAsia" w:ascii="仿宋_GB2312" w:hAnsi="宋体" w:eastAsia="仿宋_GB2312" w:cs="宋体"/>
          <w:bCs/>
          <w:color w:val="auto"/>
          <w:sz w:val="24"/>
          <w:highlight w:val="none"/>
        </w:rPr>
        <w:t>学校填写好初</w:t>
      </w:r>
      <w:r>
        <w:rPr>
          <w:rFonts w:hint="eastAsia" w:ascii="仿宋_GB2312" w:hAnsi="仿宋_GB2312" w:eastAsia="仿宋_GB2312" w:cs="仿宋_GB2312"/>
          <w:color w:val="auto"/>
          <w:sz w:val="24"/>
          <w:highlight w:val="none"/>
        </w:rPr>
        <w:t>验合格单据报甲方，</w:t>
      </w:r>
      <w:r>
        <w:rPr>
          <w:rFonts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rPr>
        <w:t>确认后</w:t>
      </w:r>
      <w:r>
        <w:rPr>
          <w:rFonts w:ascii="仿宋_GB2312" w:hAnsi="仿宋_GB2312" w:eastAsia="仿宋_GB2312" w:cs="仿宋_GB2312"/>
          <w:color w:val="auto"/>
          <w:sz w:val="24"/>
          <w:highlight w:val="none"/>
        </w:rPr>
        <w:t>组</w:t>
      </w:r>
      <w:r>
        <w:rPr>
          <w:rFonts w:hint="eastAsia" w:ascii="仿宋_GB2312" w:hAnsi="仿宋_GB2312" w:eastAsia="仿宋_GB2312" w:cs="仿宋_GB2312"/>
          <w:color w:val="auto"/>
          <w:sz w:val="24"/>
          <w:highlight w:val="none"/>
        </w:rPr>
        <w:t>织区</w:t>
      </w:r>
      <w:r>
        <w:rPr>
          <w:rFonts w:ascii="仿宋_GB2312" w:hAnsi="仿宋_GB2312" w:eastAsia="仿宋_GB2312" w:cs="仿宋_GB2312"/>
          <w:color w:val="auto"/>
          <w:sz w:val="24"/>
          <w:highlight w:val="none"/>
        </w:rPr>
        <w:t>验收专家组进行</w:t>
      </w:r>
      <w:r>
        <w:rPr>
          <w:rFonts w:hint="eastAsia" w:ascii="仿宋_GB2312" w:hAnsi="仿宋_GB2312" w:eastAsia="仿宋_GB2312" w:cs="仿宋_GB2312"/>
          <w:color w:val="auto"/>
          <w:sz w:val="24"/>
          <w:highlight w:val="none"/>
        </w:rPr>
        <w:t>项</w:t>
      </w:r>
      <w:r>
        <w:rPr>
          <w:rFonts w:ascii="仿宋_GB2312" w:hAnsi="仿宋_GB2312" w:eastAsia="仿宋_GB2312" w:cs="仿宋_GB2312"/>
          <w:color w:val="auto"/>
          <w:sz w:val="24"/>
          <w:highlight w:val="none"/>
        </w:rPr>
        <w:t>目整体验收</w:t>
      </w:r>
      <w:r>
        <w:rPr>
          <w:rFonts w:hint="eastAsia" w:ascii="仿宋_GB2312" w:hAnsi="仿宋_GB2312" w:eastAsia="仿宋_GB2312" w:cs="仿宋_GB2312"/>
          <w:color w:val="auto"/>
          <w:sz w:val="24"/>
          <w:highlight w:val="none"/>
        </w:rPr>
        <w:t>，乙方</w:t>
      </w:r>
      <w:r>
        <w:rPr>
          <w:rFonts w:ascii="仿宋_GB2312" w:hAnsi="仿宋_GB2312" w:eastAsia="仿宋_GB2312" w:cs="仿宋_GB2312"/>
          <w:color w:val="auto"/>
          <w:sz w:val="24"/>
          <w:highlight w:val="none"/>
        </w:rPr>
        <w:t>凭</w:t>
      </w:r>
      <w:r>
        <w:rPr>
          <w:rFonts w:hint="eastAsia" w:ascii="仿宋_GB2312" w:hAnsi="仿宋_GB2312" w:eastAsia="仿宋_GB2312" w:cs="仿宋_GB2312"/>
          <w:color w:val="auto"/>
          <w:sz w:val="24"/>
          <w:highlight w:val="none"/>
        </w:rPr>
        <w:t>甲方</w:t>
      </w:r>
      <w:r>
        <w:rPr>
          <w:rFonts w:ascii="仿宋_GB2312" w:hAnsi="仿宋_GB2312" w:eastAsia="仿宋_GB2312" w:cs="仿宋_GB2312"/>
          <w:color w:val="auto"/>
          <w:sz w:val="24"/>
          <w:highlight w:val="none"/>
        </w:rPr>
        <w:t>盖章确认的专家</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验收</w:t>
      </w:r>
      <w:r>
        <w:rPr>
          <w:rFonts w:hint="eastAsia" w:ascii="仿宋_GB2312" w:hAnsi="仿宋_GB2312" w:eastAsia="仿宋_GB2312" w:cs="仿宋_GB2312"/>
          <w:color w:val="auto"/>
          <w:sz w:val="24"/>
          <w:highlight w:val="none"/>
        </w:rPr>
        <w:t>合</w:t>
      </w:r>
      <w:r>
        <w:rPr>
          <w:rFonts w:ascii="仿宋_GB2312" w:hAnsi="仿宋_GB2312" w:eastAsia="仿宋_GB2312" w:cs="仿宋_GB2312"/>
          <w:color w:val="auto"/>
          <w:sz w:val="24"/>
          <w:highlight w:val="none"/>
        </w:rPr>
        <w:t>格报告</w:t>
      </w:r>
      <w:r>
        <w:rPr>
          <w:rFonts w:hint="eastAsia" w:ascii="仿宋_GB2312" w:hAnsi="仿宋_GB2312" w:eastAsia="仿宋_GB2312" w:cs="仿宋_GB2312"/>
          <w:color w:val="auto"/>
          <w:sz w:val="24"/>
          <w:highlight w:val="none"/>
        </w:rPr>
        <w:t>》、发票、资产入库凭证等材料向</w:t>
      </w:r>
      <w:r>
        <w:rPr>
          <w:rFonts w:ascii="仿宋_GB2312" w:hAnsi="仿宋_GB2312" w:eastAsia="仿宋_GB2312" w:cs="仿宋_GB2312"/>
          <w:color w:val="auto"/>
          <w:sz w:val="24"/>
          <w:highlight w:val="none"/>
        </w:rPr>
        <w:t>学校申请</w:t>
      </w:r>
      <w:r>
        <w:rPr>
          <w:rFonts w:hint="eastAsia" w:ascii="仿宋_GB2312" w:hAnsi="仿宋_GB2312" w:eastAsia="仿宋_GB2312" w:cs="仿宋_GB2312"/>
          <w:color w:val="auto"/>
          <w:sz w:val="24"/>
          <w:highlight w:val="none"/>
        </w:rPr>
        <w:t>支付货款。</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第六条 保证金 </w:t>
      </w:r>
    </w:p>
    <w:p>
      <w:pPr>
        <w:spacing w:line="360" w:lineRule="auto"/>
        <w:ind w:firstLine="480" w:firstLineChars="200"/>
        <w:rPr>
          <w:rFonts w:ascii="仿宋_GB2312" w:eastAsia="仿宋_GB2312"/>
          <w:color w:val="auto"/>
          <w:sz w:val="24"/>
          <w:highlight w:val="none"/>
        </w:rPr>
      </w:pPr>
      <w:r>
        <w:rPr>
          <w:rFonts w:hint="eastAsia" w:ascii="仿宋_GB2312" w:hAnsi="宋体" w:eastAsia="仿宋_GB2312"/>
          <w:color w:val="auto"/>
          <w:sz w:val="24"/>
          <w:highlight w:val="none"/>
        </w:rPr>
        <w:t>6.1</w:t>
      </w:r>
      <w:r>
        <w:rPr>
          <w:rFonts w:hint="eastAsia" w:ascii="仿宋_GB2312" w:eastAsia="仿宋_GB2312"/>
          <w:color w:val="auto"/>
          <w:sz w:val="24"/>
          <w:highlight w:val="none"/>
        </w:rPr>
        <w:t xml:space="preserve"> 乙方须在本合同生效前</w:t>
      </w:r>
      <w:r>
        <w:rPr>
          <w:rFonts w:hint="eastAsia" w:ascii="仿宋_GB2312" w:eastAsia="仿宋_GB2312" w:cs="仿宋_GB2312"/>
          <w:color w:val="auto"/>
          <w:sz w:val="24"/>
          <w:highlight w:val="none"/>
        </w:rPr>
        <w:t>向</w:t>
      </w:r>
      <w:r>
        <w:rPr>
          <w:rFonts w:hint="eastAsia" w:ascii="仿宋_GB2312" w:hAnsi="宋体" w:eastAsia="仿宋_GB2312" w:cs="宋体"/>
          <w:color w:val="auto"/>
          <w:kern w:val="0"/>
          <w:sz w:val="24"/>
          <w:highlight w:val="none"/>
        </w:rPr>
        <w:t>甲方</w:t>
      </w:r>
      <w:r>
        <w:rPr>
          <w:rFonts w:hint="eastAsia" w:ascii="仿宋_GB2312" w:eastAsia="仿宋_GB2312"/>
          <w:color w:val="auto"/>
          <w:sz w:val="24"/>
          <w:highlight w:val="none"/>
        </w:rPr>
        <w:t>缴纳合同总价</w:t>
      </w:r>
      <w:r>
        <w:rPr>
          <w:rFonts w:ascii="仿宋_GB2312" w:eastAsia="仿宋_GB2312"/>
          <w:color w:val="auto"/>
          <w:sz w:val="24"/>
          <w:highlight w:val="none"/>
        </w:rPr>
        <w:t>1</w:t>
      </w:r>
      <w:r>
        <w:rPr>
          <w:rFonts w:hint="eastAsia" w:ascii="仿宋_GB2312" w:eastAsia="仿宋_GB2312"/>
          <w:color w:val="auto"/>
          <w:sz w:val="24"/>
          <w:highlight w:val="none"/>
        </w:rPr>
        <w:t>%的履约保证金</w:t>
      </w:r>
      <w:r>
        <w:rPr>
          <w:rFonts w:ascii="仿宋_GB2312" w:hAnsi="宋体" w:eastAsia="仿宋_GB2312"/>
          <w:color w:val="auto"/>
          <w:sz w:val="24"/>
          <w:highlight w:val="none"/>
          <w:u w:val="single"/>
        </w:rPr>
        <w:t>_</w:t>
      </w:r>
      <w:r>
        <w:rPr>
          <w:rFonts w:hint="eastAsia" w:ascii="仿宋_GB2312" w:hAnsi="宋体" w:eastAsia="仿宋_GB2312"/>
          <w:color w:val="auto"/>
          <w:sz w:val="24"/>
          <w:highlight w:val="none"/>
        </w:rPr>
        <w:t>元</w:t>
      </w:r>
      <w:r>
        <w:rPr>
          <w:rFonts w:hint="eastAsia" w:ascii="仿宋_GB2312" w:eastAsia="仿宋_GB2312"/>
          <w:color w:val="auto"/>
          <w:sz w:val="24"/>
          <w:highlight w:val="none"/>
        </w:rPr>
        <w:t>（取整数到百位），作为合同生效的必要条件。</w:t>
      </w:r>
    </w:p>
    <w:p>
      <w:pPr>
        <w:spacing w:line="360" w:lineRule="auto"/>
        <w:ind w:firstLine="480" w:firstLineChars="200"/>
        <w:rPr>
          <w:rFonts w:ascii="仿宋_GB2312" w:eastAsia="仿宋_GB2312"/>
          <w:b/>
          <w:bCs/>
          <w:color w:val="auto"/>
          <w:sz w:val="24"/>
          <w:highlight w:val="none"/>
        </w:rPr>
      </w:pPr>
      <w:r>
        <w:rPr>
          <w:rFonts w:hint="eastAsia" w:ascii="仿宋_GB2312" w:hAnsi="宋体" w:eastAsia="仿宋_GB2312"/>
          <w:color w:val="auto"/>
          <w:sz w:val="24"/>
          <w:highlight w:val="none"/>
        </w:rPr>
        <w:t>6.2</w:t>
      </w:r>
      <w:r>
        <w:rPr>
          <w:rFonts w:hint="eastAsia" w:ascii="仿宋_GB2312" w:eastAsia="仿宋_GB2312"/>
          <w:color w:val="auto"/>
          <w:sz w:val="24"/>
          <w:highlight w:val="none"/>
        </w:rPr>
        <w:t>验收合格后无发现有质量问题和维护问题，凭中标投标人开具的正规收据全额无息退还。鼓励和支持投标人以银行、保险公司出具的保函形式提供履约保证金。</w:t>
      </w:r>
      <w:r>
        <w:rPr>
          <w:rFonts w:hint="eastAsia" w:ascii="仿宋_GB2312" w:eastAsia="仿宋_GB2312"/>
          <w:b/>
          <w:bCs/>
          <w:color w:val="auto"/>
          <w:sz w:val="24"/>
          <w:highlight w:val="none"/>
        </w:rPr>
        <w:t>采购人不得拒收履约保函。</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6.3</w:t>
      </w:r>
      <w:r>
        <w:rPr>
          <w:rFonts w:ascii="仿宋_GB2312" w:hAnsi="宋体" w:eastAsia="仿宋_GB2312"/>
          <w:color w:val="auto"/>
          <w:sz w:val="24"/>
          <w:highlight w:val="none"/>
        </w:rPr>
        <w:t xml:space="preserve"> 保证金</w:t>
      </w:r>
      <w:r>
        <w:rPr>
          <w:rFonts w:hint="eastAsia" w:ascii="仿宋_GB2312" w:hAnsi="宋体" w:eastAsia="仿宋_GB2312"/>
          <w:color w:val="auto"/>
          <w:sz w:val="24"/>
          <w:highlight w:val="none"/>
        </w:rPr>
        <w:t>不计利息。</w:t>
      </w:r>
    </w:p>
    <w:p>
      <w:pPr>
        <w:spacing w:line="360" w:lineRule="auto"/>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highlight w:val="none"/>
        </w:rPr>
        <w:t>第七条  交货和验收：</w:t>
      </w:r>
    </w:p>
    <w:p>
      <w:pPr>
        <w:spacing w:line="360" w:lineRule="auto"/>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7.1交货时间：原则上2024年 8 月 25日前完成生产供货，2024年 8月25日前搬运至指定学校并调试完成，其中新建学校(根据采购方的确定)要求2024年8月20日前完成调试安装。</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7.2交货地点：上城区各相关学校，在附属合同中标明具体地点。</w:t>
      </w:r>
    </w:p>
    <w:p>
      <w:pPr>
        <w:tabs>
          <w:tab w:val="left" w:pos="0"/>
        </w:tabs>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3</w:t>
      </w:r>
      <w:r>
        <w:rPr>
          <w:rFonts w:hint="eastAsia" w:ascii="仿宋_GB2312" w:hAnsi="宋体" w:eastAsia="仿宋_GB2312"/>
          <w:color w:val="auto"/>
          <w:sz w:val="24"/>
          <w:highlight w:val="none"/>
        </w:rPr>
        <w:t>乙方应对提供的货物作出全面自查和整理，并列出清单，作为甲方验收和使用的技术条件依据，清单应随提供的验收资料交给甲方。</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4</w:t>
      </w:r>
      <w:r>
        <w:rPr>
          <w:rFonts w:hint="eastAsia" w:ascii="仿宋_GB2312" w:hAnsi="宋体" w:eastAsia="仿宋_GB2312"/>
          <w:color w:val="auto"/>
          <w:sz w:val="24"/>
          <w:highlight w:val="none"/>
        </w:rPr>
        <w:t>乙方提供的货物应包括本合同“第一条 合同文件”规定的全部货物及其附（辅）件、资料。</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5</w:t>
      </w:r>
      <w:r>
        <w:rPr>
          <w:rFonts w:hint="eastAsia" w:ascii="仿宋_GB2312" w:hAnsi="宋体" w:eastAsia="仿宋_GB2312"/>
          <w:color w:val="auto"/>
          <w:sz w:val="24"/>
          <w:highlight w:val="none"/>
        </w:rPr>
        <w:t>.1验收方应组成不少于3人的验收小组，对合同规定的货物数量、品牌型号、技术指标、质量要求等仔细进行查验，并对运输、安装、调试、试运行、培训等环节的施工与服务质量进行等全面验收，并出具书面验收报告；验收合格后在运行使用后发现质量及其他问题的，学校应及时通知验收小组复验，并将发现的问题及时通知乙方，并书面报告甲方。</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5</w:t>
      </w:r>
      <w:r>
        <w:rPr>
          <w:rFonts w:hint="eastAsia" w:ascii="仿宋_GB2312" w:hAnsi="宋体" w:eastAsia="仿宋_GB2312"/>
          <w:color w:val="auto"/>
          <w:sz w:val="24"/>
          <w:highlight w:val="none"/>
        </w:rPr>
        <w:t>.2学校验收项目：学校应当在到货后的</w:t>
      </w:r>
      <w:r>
        <w:rPr>
          <w:rFonts w:ascii="仿宋_GB2312" w:hAnsi="宋体" w:eastAsia="仿宋_GB2312"/>
          <w:color w:val="auto"/>
          <w:sz w:val="24"/>
          <w:highlight w:val="none"/>
          <w:u w:val="single"/>
        </w:rPr>
        <w:t>5</w:t>
      </w:r>
      <w:r>
        <w:rPr>
          <w:rFonts w:hint="eastAsia" w:ascii="仿宋_GB2312" w:hAnsi="宋体" w:eastAsia="仿宋_GB2312"/>
          <w:color w:val="auto"/>
          <w:sz w:val="24"/>
          <w:highlight w:val="none"/>
        </w:rPr>
        <w:t>个工作日内对货物进行验收。货物验收时，乙方和学校必须同时在场，双方共同确认货物与本合同规定的生产厂家产地、品牌、规格型号、数量、质量、技术参数和性能等是否一致。</w:t>
      </w:r>
      <w:r>
        <w:rPr>
          <w:rFonts w:ascii="仿宋_GB2312" w:hAnsi="宋体" w:eastAsia="仿宋_GB2312"/>
          <w:color w:val="auto"/>
          <w:sz w:val="24"/>
          <w:highlight w:val="none"/>
        </w:rPr>
        <w:t>乙方所交</w:t>
      </w:r>
      <w:r>
        <w:rPr>
          <w:rFonts w:hint="eastAsia" w:ascii="仿宋_GB2312" w:hAnsi="宋体" w:eastAsia="仿宋_GB2312"/>
          <w:color w:val="auto"/>
          <w:sz w:val="24"/>
          <w:highlight w:val="none"/>
        </w:rPr>
        <w:t>付</w:t>
      </w:r>
      <w:r>
        <w:rPr>
          <w:rFonts w:ascii="仿宋_GB2312" w:hAnsi="宋体" w:eastAsia="仿宋_GB2312"/>
          <w:color w:val="auto"/>
          <w:sz w:val="24"/>
          <w:highlight w:val="none"/>
        </w:rPr>
        <w:t>的货物不符合合同规定的，学校有权拒收</w:t>
      </w:r>
      <w:r>
        <w:rPr>
          <w:rFonts w:hint="eastAsia" w:ascii="仿宋_GB2312" w:hAnsi="宋体" w:eastAsia="仿宋_GB2312"/>
          <w:color w:val="auto"/>
          <w:sz w:val="24"/>
          <w:highlight w:val="none"/>
        </w:rPr>
        <w:t>。乙方应及时按本合同规定和学校要求免费对拒收货物采取更换或其他必要的补救措施，直至验收合格，方视为乙方按本合同规定完成交货</w:t>
      </w:r>
      <w:r>
        <w:rPr>
          <w:rFonts w:ascii="仿宋_GB2312" w:hAnsi="宋体" w:eastAsia="仿宋_GB2312"/>
          <w:color w:val="auto"/>
          <w:sz w:val="24"/>
          <w:highlight w:val="none"/>
        </w:rPr>
        <w:t>。</w:t>
      </w:r>
      <w:r>
        <w:rPr>
          <w:rFonts w:hint="eastAsia" w:ascii="仿宋_GB2312" w:hAnsi="宋体" w:eastAsia="仿宋_GB2312"/>
          <w:color w:val="auto"/>
          <w:sz w:val="24"/>
          <w:highlight w:val="none"/>
        </w:rPr>
        <w:t>验收合格的，学校填写好初验合格单据。</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5</w:t>
      </w:r>
      <w:r>
        <w:rPr>
          <w:rFonts w:hint="eastAsia" w:ascii="仿宋_GB2312" w:hAnsi="宋体" w:eastAsia="仿宋_GB2312"/>
          <w:color w:val="auto"/>
          <w:sz w:val="24"/>
          <w:highlight w:val="none"/>
        </w:rPr>
        <w:t>.3区级验收项目：货到初验合格，安装调试合格，运行正常后，学校填写好初验合格单据报甲方，甲方确认后组织区验收专家组进行项目整体验收。</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6</w:t>
      </w:r>
      <w:r>
        <w:rPr>
          <w:rFonts w:hint="eastAsia" w:ascii="仿宋_GB2312" w:hAnsi="宋体" w:eastAsia="仿宋_GB2312"/>
          <w:color w:val="auto"/>
          <w:sz w:val="24"/>
          <w:highlight w:val="none"/>
        </w:rPr>
        <w:t>需要乙方对货物（包括软件）或系统进行安装调试的，甲乙双方应在货物安装调试完毕后的</w:t>
      </w:r>
      <w:r>
        <w:rPr>
          <w:rFonts w:ascii="仿宋_GB2312" w:hAnsi="宋体" w:eastAsia="仿宋_GB2312"/>
          <w:color w:val="auto"/>
          <w:sz w:val="24"/>
          <w:highlight w:val="none"/>
          <w:u w:val="single"/>
        </w:rPr>
        <w:t>5</w:t>
      </w:r>
      <w:r>
        <w:rPr>
          <w:rFonts w:hint="eastAsia" w:ascii="仿宋_GB2312" w:hAnsi="宋体" w:eastAsia="仿宋_GB2312"/>
          <w:color w:val="auto"/>
          <w:sz w:val="24"/>
          <w:highlight w:val="none"/>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a.重新调试直至合格为止；</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b.要求乙方对货物进行免费更换，然后重新调试直至合格为止。</w:t>
      </w:r>
    </w:p>
    <w:p>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甲方因乙方及</w:t>
      </w:r>
      <w:r>
        <w:rPr>
          <w:rFonts w:ascii="仿宋_GB2312" w:hAnsi="宋体" w:eastAsia="仿宋_GB2312"/>
          <w:color w:val="auto"/>
          <w:sz w:val="24"/>
          <w:highlight w:val="none"/>
        </w:rPr>
        <w:t>货物</w:t>
      </w:r>
      <w:r>
        <w:rPr>
          <w:rFonts w:hint="eastAsia" w:ascii="仿宋_GB2312" w:hAnsi="宋体" w:eastAsia="仿宋_GB2312"/>
          <w:color w:val="auto"/>
          <w:sz w:val="24"/>
          <w:highlight w:val="none"/>
        </w:rPr>
        <w:t>原因所产生的所有费用均由乙方负担。</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7</w:t>
      </w:r>
      <w:r>
        <w:rPr>
          <w:rFonts w:hint="eastAsia" w:ascii="仿宋_GB2312" w:hAnsi="宋体" w:eastAsia="仿宋_GB2312"/>
          <w:color w:val="auto"/>
          <w:sz w:val="24"/>
          <w:highlight w:val="none"/>
        </w:rPr>
        <w:t>验收合格的，由验收小组签署《区级验收报告》。</w:t>
      </w:r>
    </w:p>
    <w:p>
      <w:pPr>
        <w:snapToGrid w:val="0"/>
        <w:spacing w:line="360" w:lineRule="auto"/>
        <w:ind w:firstLine="482"/>
        <w:textAlignment w:val="baseline"/>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8</w:t>
      </w:r>
      <w:r>
        <w:rPr>
          <w:rFonts w:hint="eastAsia" w:ascii="仿宋_GB2312" w:hAnsi="宋体" w:eastAsia="仿宋_GB2312"/>
          <w:color w:val="auto"/>
          <w:sz w:val="24"/>
          <w:highlight w:val="none"/>
        </w:rPr>
        <w:t>甲方可以视项目规模或复杂情况聘请专业人员参与验收，</w:t>
      </w:r>
      <w:r>
        <w:rPr>
          <w:rFonts w:ascii="仿宋_GB2312" w:hAnsi="宋体" w:eastAsia="仿宋_GB2312"/>
          <w:color w:val="auto"/>
          <w:sz w:val="24"/>
          <w:highlight w:val="none"/>
        </w:rPr>
        <w:t>大型或复杂项目</w:t>
      </w:r>
      <w:r>
        <w:rPr>
          <w:rFonts w:hint="eastAsia" w:ascii="仿宋_GB2312" w:hAnsi="宋体" w:eastAsia="仿宋_GB2312"/>
          <w:color w:val="auto"/>
          <w:sz w:val="24"/>
          <w:highlight w:val="none"/>
        </w:rPr>
        <w:t>，以及特种货物应当</w:t>
      </w:r>
      <w:r>
        <w:rPr>
          <w:rFonts w:ascii="仿宋_GB2312" w:hAnsi="宋体" w:eastAsia="仿宋_GB2312"/>
          <w:color w:val="auto"/>
          <w:sz w:val="24"/>
          <w:highlight w:val="none"/>
        </w:rPr>
        <w:t>邀请国家认可的第三方质量检测机构参与验收。</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9</w:t>
      </w:r>
      <w:r>
        <w:rPr>
          <w:rFonts w:hint="eastAsia" w:ascii="仿宋_GB2312" w:hAnsi="宋体" w:eastAsia="仿宋_GB2312"/>
          <w:color w:val="auto"/>
          <w:sz w:val="24"/>
          <w:highlight w:val="none"/>
        </w:rPr>
        <w:t>货物</w:t>
      </w:r>
      <w:r>
        <w:rPr>
          <w:rFonts w:ascii="仿宋_GB2312" w:hAnsi="宋体" w:eastAsia="仿宋_GB2312"/>
          <w:color w:val="auto"/>
          <w:sz w:val="24"/>
          <w:highlight w:val="none"/>
        </w:rPr>
        <w:t>验收包括：货物包装</w:t>
      </w:r>
      <w:r>
        <w:rPr>
          <w:rFonts w:hint="eastAsia" w:ascii="仿宋_GB2312" w:hAnsi="宋体" w:eastAsia="仿宋_GB2312"/>
          <w:color w:val="auto"/>
          <w:sz w:val="24"/>
          <w:highlight w:val="none"/>
        </w:rPr>
        <w:t>是否完好，产地生产厂家名称、品牌、</w:t>
      </w:r>
      <w:r>
        <w:rPr>
          <w:rFonts w:ascii="仿宋_GB2312" w:hAnsi="宋体" w:eastAsia="仿宋_GB2312"/>
          <w:color w:val="auto"/>
          <w:sz w:val="24"/>
          <w:highlight w:val="none"/>
        </w:rPr>
        <w:t>型号、规格、数量、外观质量、</w:t>
      </w:r>
      <w:r>
        <w:rPr>
          <w:rFonts w:hint="eastAsia" w:ascii="仿宋_GB2312" w:hAnsi="宋体" w:eastAsia="仿宋_GB2312"/>
          <w:color w:val="auto"/>
          <w:sz w:val="24"/>
          <w:highlight w:val="none"/>
        </w:rPr>
        <w:t>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10</w:t>
      </w:r>
      <w:r>
        <w:rPr>
          <w:rFonts w:hint="eastAsia" w:ascii="仿宋_GB2312" w:hAnsi="宋体" w:eastAsia="仿宋_GB2312"/>
          <w:color w:val="auto"/>
          <w:sz w:val="24"/>
          <w:highlight w:val="none"/>
        </w:rPr>
        <w:t>货物达不到本合同“第一条合同文件”规定的数量、质量要求和运行效果，甲方有权拒收，并可以解除合同；由此引起甲方损失（包括但不限于诉讼(仲裁)费、律师费、公证费、调查费、差旅费、保全费、保全保费、鉴定费等因争议解决所发生的一切费用）及赔偿责任由乙方承担。</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w:t>
      </w:r>
      <w:r>
        <w:rPr>
          <w:rFonts w:ascii="仿宋_GB2312" w:hAnsi="宋体" w:eastAsia="仿宋_GB2312"/>
          <w:color w:val="auto"/>
          <w:sz w:val="24"/>
          <w:highlight w:val="none"/>
        </w:rPr>
        <w:t>11</w:t>
      </w:r>
      <w:r>
        <w:rPr>
          <w:rFonts w:hint="eastAsia" w:ascii="仿宋_GB2312" w:hAnsi="宋体" w:eastAsia="仿宋_GB2312"/>
          <w:color w:val="auto"/>
          <w:sz w:val="24"/>
          <w:highlight w:val="none"/>
        </w:rPr>
        <w:t>如果合同双方对《验收报告》有分歧，双方须于出现分歧后</w:t>
      </w:r>
      <w:r>
        <w:rPr>
          <w:rFonts w:ascii="仿宋_GB2312" w:hAnsi="宋体" w:eastAsia="仿宋_GB2312"/>
          <w:color w:val="auto"/>
          <w:sz w:val="24"/>
          <w:highlight w:val="none"/>
          <w:u w:val="single"/>
        </w:rPr>
        <w:t>7</w:t>
      </w:r>
      <w:r>
        <w:rPr>
          <w:rFonts w:hint="eastAsia" w:ascii="仿宋_GB2312" w:hAnsi="宋体" w:eastAsia="仿宋_GB2312"/>
          <w:color w:val="auto"/>
          <w:sz w:val="24"/>
          <w:highlight w:val="none"/>
        </w:rPr>
        <w:t>天内给对方书面声明，以陈述己方的理由及要求，并附有关证据。分歧应通过协商解决。</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第八条  项目管理服务</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乙方应指定不少于一人全权全程负责本项目的商务服务，以及货物安装、调试、咨询、培训和售后等技术服务工作。</w:t>
      </w:r>
    </w:p>
    <w:p>
      <w:pPr>
        <w:snapToGrid w:val="0"/>
        <w:spacing w:line="360" w:lineRule="auto"/>
        <w:ind w:firstLine="481"/>
        <w:textAlignment w:val="baseline"/>
        <w:rPr>
          <w:color w:val="auto"/>
          <w:highlight w:val="none"/>
        </w:rPr>
      </w:pPr>
      <w:r>
        <w:rPr>
          <w:rFonts w:ascii="仿宋_GB2312" w:eastAsia="仿宋_GB2312"/>
          <w:color w:val="auto"/>
          <w:sz w:val="24"/>
          <w:highlight w:val="none"/>
        </w:rPr>
        <w:t>项目负责人</w:t>
      </w:r>
      <w:r>
        <w:rPr>
          <w:rFonts w:hint="eastAsia" w:ascii="仿宋_GB2312" w:eastAsia="仿宋_GB2312"/>
          <w:color w:val="auto"/>
          <w:sz w:val="24"/>
          <w:highlight w:val="none"/>
        </w:rPr>
        <w:t>姓名</w:t>
      </w:r>
      <w:r>
        <w:rPr>
          <w:rFonts w:ascii="仿宋_GB2312" w:eastAsia="仿宋_GB2312"/>
          <w:color w:val="auto"/>
          <w:sz w:val="24"/>
          <w:highlight w:val="none"/>
        </w:rPr>
        <w:t>： ； 联系电话：。</w:t>
      </w:r>
    </w:p>
    <w:p>
      <w:pPr>
        <w:spacing w:line="360" w:lineRule="auto"/>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highlight w:val="none"/>
        </w:rPr>
        <w:t>第九条  售后服务</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9.1本合同所有货物及系统质保期为最终验收合格之日起个月。在质保期内发生的乙方责任范围内的一切部件更换及设备维修费用由乙方承担。若国家有明确规定的质量保证期高于此质量保证期的，执行国家规定。</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9.2在货物质保期内，乙方应对由于设计、工艺、质量（含环保节能要求）、材料和的缺陷而发生的任何不足或故障负责，并解决存在的问题。</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9.3乙方在质保期内的工作应包括对所有设备和系统的常规检查、调整、升级等。对不符合本合同第四条规定要求的货物应立即进行调换，调换本身并不影响甲方就其损失（包括但不限于诉讼(仲裁)费、律师费、公证费、调查费、差旅费、保全费、保全保费、鉴定费等因争议解决所发生的一切费用）向乙方索赔的权利。</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9.4货物安装调试完成后，乙方应继续向甲方提供良好的技术支持。应当由专门队伍从事此项工作，并提供全天候的热线技术支持服务，应当对甲方所反映的任何问题在</w:t>
      </w:r>
      <w:r>
        <w:rPr>
          <w:rFonts w:ascii="仿宋_GB2312" w:hAnsi="宋体" w:eastAsia="仿宋_GB2312"/>
          <w:color w:val="auto"/>
          <w:sz w:val="24"/>
          <w:highlight w:val="none"/>
          <w:u w:val="single"/>
        </w:rPr>
        <w:t xml:space="preserve">2  </w:t>
      </w:r>
      <w:r>
        <w:rPr>
          <w:rFonts w:hint="eastAsia" w:ascii="仿宋_GB2312" w:hAnsi="宋体" w:eastAsia="仿宋_GB2312"/>
          <w:color w:val="auto"/>
          <w:sz w:val="24"/>
          <w:highlight w:val="none"/>
        </w:rPr>
        <w:t>小时之内做出及时响应，在</w:t>
      </w:r>
      <w:r>
        <w:rPr>
          <w:rFonts w:ascii="仿宋_GB2312" w:hAnsi="宋体" w:eastAsia="仿宋_GB2312"/>
          <w:color w:val="auto"/>
          <w:sz w:val="24"/>
          <w:highlight w:val="none"/>
          <w:u w:val="single"/>
        </w:rPr>
        <w:t xml:space="preserve"> 6</w:t>
      </w:r>
      <w:r>
        <w:rPr>
          <w:rFonts w:hint="eastAsia" w:ascii="仿宋_GB2312" w:hAnsi="宋体" w:eastAsia="仿宋_GB2312"/>
          <w:color w:val="auto"/>
          <w:sz w:val="24"/>
          <w:highlight w:val="none"/>
        </w:rPr>
        <w:t>小时之内赶到现场实地解决问题。若问题、故障在检修</w:t>
      </w:r>
      <w:r>
        <w:rPr>
          <w:rFonts w:ascii="仿宋_GB2312" w:hAnsi="宋体" w:eastAsia="仿宋_GB2312"/>
          <w:color w:val="auto"/>
          <w:sz w:val="24"/>
          <w:highlight w:val="none"/>
          <w:u w:val="single"/>
        </w:rPr>
        <w:t xml:space="preserve">12 </w:t>
      </w:r>
      <w:r>
        <w:rPr>
          <w:rFonts w:hint="eastAsia" w:ascii="仿宋_GB2312" w:hAnsi="宋体" w:eastAsia="仿宋_GB2312"/>
          <w:color w:val="auto"/>
          <w:sz w:val="24"/>
          <w:highlight w:val="none"/>
        </w:rPr>
        <w:t>工作</w:t>
      </w:r>
      <w:r>
        <w:rPr>
          <w:rFonts w:ascii="仿宋_GB2312" w:hAnsi="宋体" w:eastAsia="仿宋_GB2312"/>
          <w:color w:val="auto"/>
          <w:sz w:val="24"/>
          <w:highlight w:val="none"/>
        </w:rPr>
        <w:t>小时</w:t>
      </w:r>
      <w:r>
        <w:rPr>
          <w:rFonts w:hint="eastAsia" w:ascii="仿宋_GB2312" w:hAnsi="宋体" w:eastAsia="仿宋_GB2312"/>
          <w:color w:val="auto"/>
          <w:sz w:val="24"/>
          <w:highlight w:val="none"/>
        </w:rPr>
        <w:t>后仍无法解决，乙方应在</w:t>
      </w:r>
      <w:r>
        <w:rPr>
          <w:rFonts w:ascii="仿宋_GB2312" w:hAnsi="宋体" w:eastAsia="仿宋_GB2312"/>
          <w:color w:val="auto"/>
          <w:sz w:val="24"/>
          <w:highlight w:val="none"/>
          <w:u w:val="single"/>
        </w:rPr>
        <w:t>24</w:t>
      </w:r>
      <w:r>
        <w:rPr>
          <w:rFonts w:hint="eastAsia" w:ascii="仿宋_GB2312" w:hAnsi="宋体" w:eastAsia="仿宋_GB2312"/>
          <w:color w:val="auto"/>
          <w:sz w:val="24"/>
          <w:highlight w:val="none"/>
        </w:rPr>
        <w:t>小时内免费提供不低于故障货物规格型号档次的备用货物供甲方使用，直至故障货物修复。</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9.5乙方应当建立健全售后服务体系，确保货物正常运行。乙方应当遵守甲方的有关管理制度、操作规程。对于乙方违规操作造成甲方损失的，由乙方按照本合同第十二条的约定承担赔偿责任。</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9.6乙方应负责货物及主要部件、配件维修更换。质保期内，乙方对货物（人为故意损坏除外）提供全免费保修或免费更换；质保期后，收取维修成本费（备品备件乙方应以投标文件承诺的优惠价格提供）。</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9.7无论在质保期内还是质保期满后，一旦设备发生故障，乙方在接到通知之时起</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rPr>
        <w:t>6</w:t>
      </w:r>
      <w:r>
        <w:rPr>
          <w:rFonts w:hint="eastAsia" w:ascii="仿宋_GB2312" w:hAnsi="宋体" w:eastAsia="仿宋_GB2312"/>
          <w:color w:val="auto"/>
          <w:sz w:val="24"/>
          <w:highlight w:val="none"/>
        </w:rPr>
        <w:t>小时内赶赴现场处理问题。一般故障</w:t>
      </w:r>
      <w:r>
        <w:rPr>
          <w:rFonts w:hint="eastAsia" w:ascii="仿宋_GB2312" w:hAnsi="宋体" w:eastAsia="仿宋_GB2312"/>
          <w:color w:val="auto"/>
          <w:sz w:val="24"/>
          <w:highlight w:val="none"/>
          <w:u w:val="single"/>
        </w:rPr>
        <w:t xml:space="preserve">  24  </w:t>
      </w:r>
      <w:r>
        <w:rPr>
          <w:rFonts w:hint="eastAsia" w:ascii="仿宋_GB2312" w:hAnsi="宋体" w:eastAsia="仿宋_GB2312"/>
          <w:color w:val="auto"/>
          <w:sz w:val="24"/>
          <w:highlight w:val="none"/>
        </w:rPr>
        <w:t xml:space="preserve">小时内解决，重大故障 </w:t>
      </w:r>
      <w:r>
        <w:rPr>
          <w:rFonts w:ascii="仿宋_GB2312" w:hAnsi="宋体" w:eastAsia="仿宋_GB2312"/>
          <w:color w:val="auto"/>
          <w:sz w:val="24"/>
          <w:highlight w:val="none"/>
          <w:u w:val="single"/>
        </w:rPr>
        <w:t>7</w:t>
      </w:r>
      <w:r>
        <w:rPr>
          <w:rFonts w:hint="eastAsia" w:ascii="仿宋_GB2312" w:hAnsi="宋体" w:eastAsia="仿宋_GB2312"/>
          <w:color w:val="auto"/>
          <w:sz w:val="24"/>
          <w:highlight w:val="none"/>
        </w:rPr>
        <w:t>日内解决。</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第十条  分包</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除招标采购文件事先说明、且经甲方事先书面同意外，乙方不得分包其应履行的合同义务。</w:t>
      </w:r>
    </w:p>
    <w:p>
      <w:pPr>
        <w:spacing w:line="360" w:lineRule="auto"/>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highlight w:val="none"/>
        </w:rPr>
        <w:t>第十一条  合同的生效</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11.1本合同经甲乙双方授权代表签字、加盖公章后成立，在乙方足额交纳约定的履约保证金后生效。</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11.2本合同生效后，除《政府采购法》第49条、第50条第二款规定的情形外，甲乙双方不得擅自变更、中止或终止合同。合同若有未尽事宜，需经双方共同协商，订立补充协议，补充协议与本合同有同等法律效力。</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11.3招标文件、投标文件及评审过程中形成的文字资料、询标纪要均作为本合同的组成部分，具有同等效力。</w:t>
      </w:r>
    </w:p>
    <w:p>
      <w:pPr>
        <w:snapToGrid w:val="0"/>
        <w:spacing w:line="460" w:lineRule="exact"/>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highlight w:val="none"/>
        </w:rPr>
        <w:t>第十二条 合同终止</w:t>
      </w:r>
    </w:p>
    <w:p>
      <w:pPr>
        <w:spacing w:line="4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12.1若乙方因破产或经营不善导致合同履行不能，乙方应书面告知甲方并请求终止合同，共同处理善后事宜；在甲方知情而未收到乙方终止合同书面通知时，以及预期违约条件成立，甲方有权在任何时候书面通知乙方终止合同。</w:t>
      </w:r>
    </w:p>
    <w:p>
      <w:pPr>
        <w:spacing w:line="460" w:lineRule="exact"/>
        <w:ind w:firstLine="480"/>
        <w:rPr>
          <w:rFonts w:ascii="仿宋_GB2312" w:hAnsi="宋体" w:eastAsia="仿宋_GB2312"/>
          <w:color w:val="auto"/>
          <w:sz w:val="24"/>
          <w:highlight w:val="none"/>
        </w:rPr>
      </w:pPr>
      <w:r>
        <w:rPr>
          <w:rFonts w:hint="eastAsia" w:ascii="仿宋_GB2312" w:hAnsi="宋体" w:eastAsia="仿宋_GB2312"/>
          <w:color w:val="auto"/>
          <w:sz w:val="24"/>
          <w:highlight w:val="none"/>
        </w:rPr>
        <w:t>12.2因不可抗力导致合同履行不能。</w:t>
      </w:r>
    </w:p>
    <w:p>
      <w:pPr>
        <w:snapToGrid w:val="0"/>
        <w:spacing w:line="460" w:lineRule="exact"/>
        <w:ind w:firstLine="482" w:firstLineChars="200"/>
        <w:rPr>
          <w:rFonts w:ascii="仿宋_GB2312" w:hAnsi="宋体" w:eastAsia="仿宋_GB2312" w:cs="宋体-18030"/>
          <w:b/>
          <w:snapToGrid w:val="0"/>
          <w:color w:val="auto"/>
          <w:kern w:val="0"/>
          <w:sz w:val="24"/>
          <w:highlight w:val="none"/>
        </w:rPr>
      </w:pPr>
      <w:r>
        <w:rPr>
          <w:rFonts w:hint="eastAsia" w:ascii="仿宋_GB2312" w:hAnsi="宋体" w:eastAsia="仿宋_GB2312"/>
          <w:b/>
          <w:color w:val="auto"/>
          <w:sz w:val="24"/>
          <w:highlight w:val="none"/>
        </w:rPr>
        <w:t xml:space="preserve">第十三条  </w:t>
      </w:r>
      <w:r>
        <w:rPr>
          <w:rFonts w:hint="eastAsia" w:ascii="仿宋_GB2312" w:hAnsi="宋体" w:eastAsia="仿宋_GB2312" w:cs="宋体-18030"/>
          <w:b/>
          <w:snapToGrid w:val="0"/>
          <w:color w:val="auto"/>
          <w:kern w:val="0"/>
          <w:sz w:val="24"/>
          <w:highlight w:val="none"/>
        </w:rPr>
        <w:t>保险</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13.1第三者责任保险</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乙方应对乙方人员以及第三方全权负责(如乙方应投保第三者责任险)，在乙方的责任区范围内由于乙方原因导致自己员工或第三方的损害或事故由乙方负责，甲方不承担任何责任。</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13.2员工或聘请的第三方人身意外</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在服务期内，乙方所有人员的事故由乙方自行全权负责(如乙方应对其派出员工的安全和技术培训、按操作规程安全生产教育、选取有资质的第三方注意义务等，为可能受损的人员、派出员工和第三方投保人身意外险。</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13.4其他保险及费用</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乙方外派员工应是依法缴纳社保的，具备相关专业技能的正式员工，并对选任员工以外提供服务的第三人资质和安全负全责。</w:t>
      </w:r>
    </w:p>
    <w:p>
      <w:pPr>
        <w:snapToGrid w:val="0"/>
        <w:spacing w:line="460" w:lineRule="exact"/>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highlight w:val="none"/>
        </w:rPr>
        <w:t>第十四条 商业秘密保护及无违法行为承诺</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14.1乙方及其派遣的工作人员和选派的第三方工作人员，对工作中涉及和了解到的甲方及学校的商业秘密及知识产权，有保密和保护、不泄露、不利用的义务。</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14.2参加本次政府采购活动前三年内，乙方及法定代表人、主要管理人员在生产经营活动中无重大违法犯罪记录。</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14.3参加本次政府采购活动前三年内，乙方及法定代表人、主要管理人员无涉嫌行贿犯罪等违法行为正被相关部门调查的。</w:t>
      </w:r>
    </w:p>
    <w:p>
      <w:pPr>
        <w:snapToGrid w:val="0"/>
        <w:spacing w:line="460" w:lineRule="exact"/>
        <w:ind w:firstLine="482" w:firstLineChars="200"/>
        <w:rPr>
          <w:rFonts w:ascii="仿宋_GB2312" w:hAnsi="宋体" w:eastAsia="仿宋_GB2312"/>
          <w:b/>
          <w:color w:val="auto"/>
          <w:sz w:val="24"/>
          <w:highlight w:val="none"/>
        </w:rPr>
      </w:pPr>
      <w:r>
        <w:rPr>
          <w:rFonts w:hint="eastAsia" w:ascii="仿宋_GB2312" w:hAnsi="宋体" w:eastAsia="仿宋_GB2312"/>
          <w:b/>
          <w:color w:val="auto"/>
          <w:sz w:val="24"/>
          <w:highlight w:val="none"/>
        </w:rPr>
        <w:t>第十五条 违约责任</w:t>
      </w:r>
    </w:p>
    <w:p>
      <w:pPr>
        <w:spacing w:line="460" w:lineRule="exact"/>
        <w:ind w:firstLine="556"/>
        <w:rPr>
          <w:rFonts w:ascii="仿宋_GB2312" w:hAnsi="宋体" w:eastAsia="仿宋_GB2312" w:cs="宋体-18030"/>
          <w:snapToGrid w:val="0"/>
          <w:color w:val="auto"/>
          <w:kern w:val="0"/>
          <w:sz w:val="24"/>
          <w:highlight w:val="none"/>
        </w:rPr>
      </w:pPr>
      <w:r>
        <w:rPr>
          <w:rFonts w:hint="eastAsia" w:ascii="仿宋_GB2312" w:hAnsi="宋体" w:eastAsia="仿宋_GB2312" w:cs="宋体-18030"/>
          <w:snapToGrid w:val="0"/>
          <w:color w:val="auto"/>
          <w:kern w:val="0"/>
          <w:sz w:val="24"/>
          <w:highlight w:val="none"/>
        </w:rPr>
        <w:t>15.1乙方逾期履行合同的，自逾期之日起，向甲方每日偿付合同总价的0.2%的违约金；乙方逾期10日不能交付的，应在前述违约金之外另向甲方支付合同总价2%的违约金。如乙方逾期交付货物的，按照 15.4 条约定执行。</w:t>
      </w:r>
    </w:p>
    <w:p>
      <w:pPr>
        <w:spacing w:line="460" w:lineRule="exact"/>
        <w:ind w:firstLine="556"/>
        <w:rPr>
          <w:rFonts w:ascii="仿宋_GB2312" w:hAnsi="宋体" w:eastAsia="仿宋_GB2312"/>
          <w:color w:val="auto"/>
          <w:sz w:val="24"/>
          <w:highlight w:val="none"/>
        </w:rPr>
      </w:pPr>
      <w:r>
        <w:rPr>
          <w:rFonts w:hint="eastAsia" w:ascii="仿宋_GB2312" w:hAnsi="宋体" w:eastAsia="仿宋_GB2312" w:cs="宋体-18030"/>
          <w:snapToGrid w:val="0"/>
          <w:color w:val="auto"/>
          <w:kern w:val="0"/>
          <w:sz w:val="24"/>
          <w:highlight w:val="none"/>
        </w:rPr>
        <w:t>15.2</w:t>
      </w:r>
      <w:r>
        <w:rPr>
          <w:rFonts w:ascii="仿宋_GB2312" w:hAnsi="宋体" w:eastAsia="仿宋_GB2312" w:cs="宋体-18030"/>
          <w:snapToGrid w:val="0"/>
          <w:color w:val="auto"/>
          <w:kern w:val="0"/>
          <w:sz w:val="24"/>
          <w:highlight w:val="none"/>
        </w:rPr>
        <w:t>乙方所交</w:t>
      </w:r>
      <w:r>
        <w:rPr>
          <w:rFonts w:hint="eastAsia" w:ascii="仿宋_GB2312" w:hAnsi="宋体" w:eastAsia="仿宋_GB2312" w:cs="宋体-18030"/>
          <w:snapToGrid w:val="0"/>
          <w:color w:val="auto"/>
          <w:kern w:val="0"/>
          <w:sz w:val="24"/>
          <w:highlight w:val="none"/>
        </w:rPr>
        <w:t>付</w:t>
      </w:r>
      <w:r>
        <w:rPr>
          <w:rFonts w:ascii="仿宋_GB2312" w:hAnsi="宋体" w:eastAsia="仿宋_GB2312" w:cs="宋体-18030"/>
          <w:snapToGrid w:val="0"/>
          <w:color w:val="auto"/>
          <w:kern w:val="0"/>
          <w:sz w:val="24"/>
          <w:highlight w:val="none"/>
        </w:rPr>
        <w:t>的货物不符合</w:t>
      </w:r>
      <w:r>
        <w:rPr>
          <w:rFonts w:hint="eastAsia" w:ascii="仿宋_GB2312" w:hAnsi="宋体" w:eastAsia="仿宋_GB2312" w:cs="宋体-18030"/>
          <w:snapToGrid w:val="0"/>
          <w:color w:val="auto"/>
          <w:kern w:val="0"/>
          <w:sz w:val="24"/>
          <w:highlight w:val="none"/>
        </w:rPr>
        <w:t>本</w:t>
      </w:r>
      <w:r>
        <w:rPr>
          <w:rFonts w:ascii="仿宋_GB2312" w:hAnsi="宋体" w:eastAsia="仿宋_GB2312" w:cs="宋体-18030"/>
          <w:snapToGrid w:val="0"/>
          <w:color w:val="auto"/>
          <w:kern w:val="0"/>
          <w:sz w:val="24"/>
          <w:highlight w:val="none"/>
        </w:rPr>
        <w:t>合同规定的，甲方有权拒收</w:t>
      </w:r>
      <w:r>
        <w:rPr>
          <w:rFonts w:hint="eastAsia" w:ascii="仿宋_GB2312" w:hAnsi="宋体" w:eastAsia="仿宋_GB2312" w:cs="宋体-18030"/>
          <w:snapToGrid w:val="0"/>
          <w:color w:val="auto"/>
          <w:kern w:val="0"/>
          <w:sz w:val="24"/>
          <w:highlight w:val="none"/>
        </w:rPr>
        <w:t>，乙方在得到甲方通知之日起</w:t>
      </w:r>
      <w:r>
        <w:rPr>
          <w:rFonts w:hint="eastAsia" w:ascii="仿宋_GB2312" w:hAnsi="宋体" w:eastAsia="仿宋_GB2312" w:cs="宋体-18030"/>
          <w:snapToGrid w:val="0"/>
          <w:color w:val="auto"/>
          <w:kern w:val="0"/>
          <w:sz w:val="24"/>
          <w:highlight w:val="none"/>
          <w:u w:val="single"/>
        </w:rPr>
        <w:t xml:space="preserve"> 3</w:t>
      </w:r>
      <w:r>
        <w:rPr>
          <w:rFonts w:hint="eastAsia" w:ascii="仿宋_GB2312" w:hAnsi="宋体" w:eastAsia="仿宋_GB2312" w:cs="宋体-18030"/>
          <w:snapToGrid w:val="0"/>
          <w:color w:val="auto"/>
          <w:kern w:val="0"/>
          <w:sz w:val="24"/>
          <w:highlight w:val="none"/>
        </w:rPr>
        <w:t>个工作日内采取补</w:t>
      </w:r>
      <w:r>
        <w:rPr>
          <w:rFonts w:hint="eastAsia" w:ascii="仿宋_GB2312" w:hAnsi="宋体" w:eastAsia="仿宋_GB2312"/>
          <w:color w:val="auto"/>
          <w:sz w:val="24"/>
          <w:highlight w:val="none"/>
        </w:rPr>
        <w:t>救措施，逾期仍未采取有效措施的，甲方有权要求乙方赔偿因此造成的损失（包括但不限于诉讼(仲裁)费、律师费、公证费、调查费、差旅费、保全费、保全保费、鉴定费等因争议解决所发生的一切费用）并扣留履约保证金；同时乙方应向甲方支付合同总价</w:t>
      </w:r>
      <w:r>
        <w:rPr>
          <w:rFonts w:hint="eastAsia" w:ascii="仿宋_GB2312" w:hAnsi="宋体" w:eastAsia="仿宋_GB2312"/>
          <w:color w:val="auto"/>
          <w:sz w:val="24"/>
          <w:highlight w:val="none"/>
          <w:u w:val="single"/>
        </w:rPr>
        <w:t xml:space="preserve"> / </w:t>
      </w:r>
      <w:r>
        <w:rPr>
          <w:rFonts w:hint="eastAsia" w:ascii="仿宋_GB2312" w:hAnsi="宋体" w:eastAsia="仿宋_GB2312"/>
          <w:color w:val="auto"/>
          <w:sz w:val="24"/>
          <w:highlight w:val="none"/>
        </w:rPr>
        <w:t>％的违约金。</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15.3甲方无正当理由拒收货物、拒付货款的，甲方应向乙方偿付拒付货款</w:t>
      </w:r>
      <w:r>
        <w:rPr>
          <w:rFonts w:hint="eastAsia" w:ascii="仿宋_GB2312" w:hAnsi="宋体" w:eastAsia="仿宋_GB2312"/>
          <w:color w:val="auto"/>
          <w:sz w:val="24"/>
          <w:highlight w:val="none"/>
          <w:u w:val="single"/>
        </w:rPr>
        <w:t xml:space="preserve">  /  </w:t>
      </w:r>
      <w:r>
        <w:rPr>
          <w:rFonts w:hint="eastAsia" w:ascii="仿宋_GB2312" w:hAnsi="宋体" w:eastAsia="仿宋_GB2312"/>
          <w:color w:val="auto"/>
          <w:sz w:val="24"/>
          <w:highlight w:val="none"/>
        </w:rPr>
        <w:t>％的违约金。</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15.4</w:t>
      </w:r>
      <w:r>
        <w:rPr>
          <w:rFonts w:ascii="仿宋_GB2312" w:hAnsi="宋体" w:eastAsia="仿宋_GB2312"/>
          <w:color w:val="auto"/>
          <w:sz w:val="24"/>
          <w:highlight w:val="none"/>
        </w:rPr>
        <w:t>乙方</w:t>
      </w:r>
      <w:r>
        <w:rPr>
          <w:rFonts w:ascii="仿宋_GB2312" w:eastAsia="仿宋_GB2312"/>
          <w:color w:val="auto"/>
          <w:sz w:val="24"/>
          <w:highlight w:val="none"/>
        </w:rPr>
        <w:t>无正当理由</w:t>
      </w:r>
      <w:r>
        <w:rPr>
          <w:rFonts w:ascii="仿宋_GB2312" w:hAnsi="宋体" w:eastAsia="仿宋_GB2312"/>
          <w:color w:val="auto"/>
          <w:sz w:val="24"/>
          <w:highlight w:val="none"/>
        </w:rPr>
        <w:t>逾期交付货物的，每逾期1天，乙方向甲方偿付逾期交货部分货款总额的</w:t>
      </w:r>
      <w:r>
        <w:rPr>
          <w:rFonts w:hint="eastAsia" w:ascii="仿宋_GB2312" w:hAnsi="宋体" w:eastAsia="仿宋_GB2312"/>
          <w:color w:val="auto"/>
          <w:sz w:val="24"/>
          <w:highlight w:val="none"/>
        </w:rPr>
        <w:t>0.2%的违约金。如乙方逾期交货达</w:t>
      </w:r>
      <w:r>
        <w:rPr>
          <w:rFonts w:hint="eastAsia" w:ascii="仿宋_GB2312" w:hAnsi="宋体" w:eastAsia="仿宋_GB2312"/>
          <w:color w:val="auto"/>
          <w:sz w:val="24"/>
          <w:highlight w:val="none"/>
          <w:u w:val="single"/>
        </w:rPr>
        <w:t>10</w:t>
      </w:r>
      <w:r>
        <w:rPr>
          <w:rFonts w:hint="eastAsia" w:ascii="仿宋_GB2312" w:hAnsi="宋体" w:eastAsia="仿宋_GB2312"/>
          <w:color w:val="auto"/>
          <w:sz w:val="24"/>
          <w:highlight w:val="none"/>
        </w:rPr>
        <w:t>天，甲方有权解除合同，并要求乙方在前述违约金之外向甲方另行支付合同总价2</w:t>
      </w:r>
      <w:r>
        <w:rPr>
          <w:rFonts w:ascii="仿宋_GB2312" w:hAnsi="宋体" w:eastAsia="仿宋_GB2312"/>
          <w:color w:val="auto"/>
          <w:sz w:val="24"/>
          <w:highlight w:val="none"/>
        </w:rPr>
        <w:t>%</w:t>
      </w:r>
      <w:r>
        <w:rPr>
          <w:rFonts w:hint="eastAsia" w:ascii="仿宋_GB2312" w:hAnsi="宋体" w:eastAsia="仿宋_GB2312"/>
          <w:color w:val="auto"/>
          <w:sz w:val="24"/>
          <w:highlight w:val="none"/>
        </w:rPr>
        <w:t>的违约金。甲方解除合同的通知自到达乙方时生效，并且不再退还履约保证金。</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在此情况下，乙方给甲方造成的实际损失（包括但不限于诉讼(仲裁)费、律师费、公证费、调查费、差旅费、保全费、保全保费、鉴定费等因争议解决所发生的一切费用）并高于违约金的，对高出违约金的部分乙方应予以赔偿。</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15.5甲方未按合同规定的期限向乙方支付货款的，每逾期1天甲方向乙方偿付欠款总额万分之四的违约金，且累计违约金总额不超过欠款总额的2％。</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15.6在乙方承诺的或国家规定的质量保证期内（取两者中最长的期限），</w:t>
      </w:r>
      <w:r>
        <w:rPr>
          <w:rFonts w:ascii="仿宋_GB2312" w:hAnsi="宋体" w:eastAsia="仿宋_GB2312"/>
          <w:color w:val="auto"/>
          <w:sz w:val="24"/>
          <w:highlight w:val="none"/>
        </w:rPr>
        <w:t>如经乙方两次维修，货物仍不能达到合同约定</w:t>
      </w:r>
      <w:r>
        <w:rPr>
          <w:rFonts w:hint="eastAsia" w:ascii="仿宋_GB2312" w:hAnsi="宋体" w:eastAsia="仿宋_GB2312"/>
          <w:color w:val="auto"/>
          <w:sz w:val="24"/>
          <w:highlight w:val="none"/>
        </w:rPr>
        <w:t>的</w:t>
      </w:r>
      <w:r>
        <w:rPr>
          <w:rFonts w:ascii="仿宋_GB2312" w:hAnsi="宋体" w:eastAsia="仿宋_GB2312"/>
          <w:color w:val="auto"/>
          <w:sz w:val="24"/>
          <w:highlight w:val="none"/>
        </w:rPr>
        <w:t>质量标准</w:t>
      </w:r>
      <w:r>
        <w:rPr>
          <w:rFonts w:hint="eastAsia" w:ascii="仿宋_GB2312" w:hAnsi="宋体" w:eastAsia="仿宋_GB2312"/>
          <w:color w:val="auto"/>
          <w:sz w:val="24"/>
          <w:highlight w:val="none"/>
        </w:rPr>
        <w:t>、运行效果的</w:t>
      </w:r>
      <w:r>
        <w:rPr>
          <w:rFonts w:ascii="仿宋_GB2312" w:hAnsi="宋体" w:eastAsia="仿宋_GB2312"/>
          <w:color w:val="auto"/>
          <w:sz w:val="24"/>
          <w:highlight w:val="none"/>
        </w:rPr>
        <w:t>，甲方有权</w:t>
      </w:r>
      <w:r>
        <w:rPr>
          <w:rFonts w:hint="eastAsia" w:ascii="仿宋_GB2312" w:hAnsi="宋体" w:eastAsia="仿宋_GB2312"/>
          <w:color w:val="auto"/>
          <w:sz w:val="24"/>
          <w:highlight w:val="none"/>
        </w:rPr>
        <w:t>要求乙方更换为全新合格货物</w:t>
      </w:r>
      <w:r>
        <w:rPr>
          <w:rFonts w:ascii="仿宋_GB2312" w:hAnsi="宋体" w:eastAsia="仿宋_GB2312"/>
          <w:color w:val="auto"/>
          <w:sz w:val="24"/>
          <w:highlight w:val="none"/>
        </w:rPr>
        <w:t>并按</w:t>
      </w:r>
      <w:r>
        <w:rPr>
          <w:rFonts w:hint="eastAsia" w:ascii="仿宋_GB2312" w:hAnsi="宋体" w:eastAsia="仿宋_GB2312"/>
          <w:color w:val="auto"/>
          <w:sz w:val="24"/>
          <w:highlight w:val="none"/>
        </w:rPr>
        <w:t>本条</w:t>
      </w:r>
      <w:r>
        <w:rPr>
          <w:rFonts w:ascii="仿宋_GB2312" w:hAnsi="宋体" w:eastAsia="仿宋_GB2312"/>
          <w:color w:val="auto"/>
          <w:sz w:val="24"/>
          <w:highlight w:val="none"/>
        </w:rPr>
        <w:t>第</w:t>
      </w:r>
      <w:r>
        <w:rPr>
          <w:rFonts w:hint="eastAsia" w:ascii="仿宋_GB2312" w:hAnsi="宋体" w:eastAsia="仿宋_GB2312"/>
          <w:color w:val="auto"/>
          <w:sz w:val="24"/>
          <w:highlight w:val="none"/>
        </w:rPr>
        <w:t>2</w:t>
      </w:r>
      <w:r>
        <w:rPr>
          <w:rFonts w:ascii="仿宋_GB2312" w:hAnsi="宋体" w:eastAsia="仿宋_GB2312"/>
          <w:color w:val="auto"/>
          <w:sz w:val="24"/>
          <w:highlight w:val="none"/>
        </w:rPr>
        <w:t>款处理，同时，乙方还须赔偿甲方因此遭受的损失</w:t>
      </w:r>
      <w:r>
        <w:rPr>
          <w:rFonts w:hint="eastAsia" w:ascii="仿宋_GB2312" w:hAnsi="宋体" w:eastAsia="仿宋_GB2312"/>
          <w:color w:val="auto"/>
          <w:sz w:val="24"/>
          <w:highlight w:val="none"/>
        </w:rPr>
        <w:t>（包括但不限于诉讼(仲裁)费、律师费、公证费、调查费、差旅费、保全费、保全保费、鉴定费等因争议解决所发生的一切费用）</w:t>
      </w:r>
      <w:r>
        <w:rPr>
          <w:rFonts w:ascii="仿宋_GB2312" w:hAnsi="宋体" w:eastAsia="仿宋_GB2312"/>
          <w:color w:val="auto"/>
          <w:sz w:val="24"/>
          <w:highlight w:val="none"/>
        </w:rPr>
        <w:t>。</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15.7如因乙方的违约行为给甲方造成任何损失的，乙方应进行赔偿，包括但不限于诉讼(仲裁)费、律师费、公证费、调查费、差旅费、保全费、保全保费、鉴定费等因争议解决所发生的一切费用。</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15.8其它未尽事宜，以《民法典》和《政府采购法》等有关法律法规规定为准，无相关规定的，双方协商解决。</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第十六条  不可抗力</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甲、乙方中任何一方，因不可抗力不能按时或完全履行合同的，应及时通知对方，并在</w:t>
      </w:r>
      <w:r>
        <w:rPr>
          <w:rFonts w:ascii="仿宋_GB2312" w:hAnsi="宋体" w:eastAsia="仿宋_GB2312"/>
          <w:color w:val="auto"/>
          <w:sz w:val="24"/>
          <w:highlight w:val="none"/>
          <w:u w:val="single"/>
        </w:rPr>
        <w:t>3</w:t>
      </w:r>
      <w:r>
        <w:rPr>
          <w:rFonts w:hint="eastAsia" w:ascii="仿宋_GB2312" w:hAnsi="宋体" w:eastAsia="仿宋_GB2312"/>
          <w:color w:val="auto"/>
          <w:sz w:val="24"/>
          <w:highlight w:val="none"/>
        </w:rPr>
        <w:t>个工作日内提供相应证明。未履行完合同部分是否继续履行、如何履行等问题，可由双方初步协商，并向主管部门和政府采购管理部门报告。确定为不可抗力原因造成的损失，免予承担责任。</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第十七条  争议的解决方式</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17.1各方应通过友好协商，解决在执行本政府采购合同过程中所发生的或与本政府采购合同有关的一切争端。如从协商开始</w:t>
      </w:r>
      <w:r>
        <w:rPr>
          <w:rFonts w:ascii="仿宋_GB2312" w:hAnsi="宋体" w:eastAsia="仿宋_GB2312"/>
          <w:color w:val="auto"/>
          <w:sz w:val="24"/>
          <w:highlight w:val="none"/>
          <w:u w:val="single"/>
        </w:rPr>
        <w:t>7</w:t>
      </w:r>
      <w:r>
        <w:rPr>
          <w:rFonts w:hint="eastAsia" w:ascii="仿宋_GB2312" w:hAnsi="宋体" w:eastAsia="仿宋_GB2312"/>
          <w:color w:val="auto"/>
          <w:sz w:val="24"/>
          <w:highlight w:val="none"/>
        </w:rPr>
        <w:t>日内仍不能解决，可向有关政府采购管理部门提请调解。</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17.2因货物的质量问题发生争议的，协商不成，应当共同协商邀请国家认可的质量检测机构对货物质量进行鉴定。货物符合标准的，鉴定费由甲方承担；货物不符合质量标准的，鉴定费由乙方承担。</w:t>
      </w:r>
    </w:p>
    <w:p>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17.3在解释或者执行本合同的过程中发生争议时，双方应通过协商方式解决。</w:t>
      </w:r>
    </w:p>
    <w:p>
      <w:pPr>
        <w:spacing w:line="48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17.4经协商不能解决的争议，双方可选择以下第</w:t>
      </w:r>
      <w:r>
        <w:rPr>
          <w:rFonts w:hint="eastAsia" w:ascii="仿宋_GB2312" w:hAnsi="仿宋_GB2312" w:eastAsia="仿宋_GB2312" w:cs="仿宋_GB2312"/>
          <w:color w:val="auto"/>
          <w:sz w:val="24"/>
          <w:highlight w:val="none"/>
          <w:u w:val="single"/>
        </w:rPr>
        <w:t>①</w:t>
      </w:r>
      <w:r>
        <w:rPr>
          <w:rFonts w:hint="eastAsia" w:ascii="仿宋_GB2312" w:hAnsi="宋体" w:eastAsia="仿宋_GB2312"/>
          <w:color w:val="auto"/>
          <w:sz w:val="24"/>
          <w:highlight w:val="none"/>
        </w:rPr>
        <w:t>种方式解决：</w:t>
      </w:r>
    </w:p>
    <w:p>
      <w:pPr>
        <w:spacing w:line="480" w:lineRule="exact"/>
        <w:ind w:firstLine="480" w:firstLineChars="200"/>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①</w:t>
      </w:r>
      <w:r>
        <w:rPr>
          <w:rFonts w:hint="eastAsia" w:ascii="仿宋_GB2312" w:hAnsi="宋体" w:eastAsia="仿宋_GB2312"/>
          <w:color w:val="auto"/>
          <w:sz w:val="24"/>
          <w:highlight w:val="none"/>
        </w:rPr>
        <w:t>向杭州市上城区人民法院提起诉讼；</w:t>
      </w:r>
    </w:p>
    <w:p>
      <w:pPr>
        <w:spacing w:line="480" w:lineRule="exact"/>
        <w:ind w:firstLine="480" w:firstLineChars="200"/>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②</w:t>
      </w:r>
      <w:r>
        <w:rPr>
          <w:rFonts w:hint="eastAsia" w:ascii="仿宋_GB2312" w:hAnsi="宋体" w:eastAsia="仿宋_GB2312"/>
          <w:color w:val="auto"/>
          <w:sz w:val="24"/>
          <w:highlight w:val="none"/>
        </w:rPr>
        <w:t>向杭州仲裁委员会提出仲裁。</w:t>
      </w:r>
    </w:p>
    <w:p>
      <w:pPr>
        <w:spacing w:line="48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17.5在法院审理和仲裁期间，除有不能继续履行的争议部分外，本合同可以履行的仍应按合同条款继续履行。</w:t>
      </w:r>
    </w:p>
    <w:p>
      <w:pPr>
        <w:spacing w:line="48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17.6本合同适用按照中华人民共和国现行法律、法规。</w:t>
      </w:r>
    </w:p>
    <w:p>
      <w:pPr>
        <w:spacing w:line="360" w:lineRule="auto"/>
        <w:ind w:left="482"/>
        <w:rPr>
          <w:rFonts w:ascii="仿宋_GB2312" w:hAnsi="宋体" w:eastAsia="仿宋_GB2312"/>
          <w:b/>
          <w:color w:val="auto"/>
          <w:sz w:val="24"/>
          <w:highlight w:val="none"/>
        </w:rPr>
      </w:pPr>
      <w:r>
        <w:rPr>
          <w:rFonts w:hint="eastAsia" w:ascii="仿宋_GB2312" w:hAnsi="宋体" w:eastAsia="仿宋_GB2312"/>
          <w:b/>
          <w:color w:val="auto"/>
          <w:sz w:val="24"/>
          <w:highlight w:val="none"/>
        </w:rPr>
        <w:t>第十八条  其他</w:t>
      </w:r>
    </w:p>
    <w:p>
      <w:pPr>
        <w:spacing w:line="360" w:lineRule="auto"/>
        <w:ind w:firstLine="480"/>
        <w:rPr>
          <w:rFonts w:ascii="仿宋_GB2312" w:hAnsi="宋体" w:eastAsia="仿宋_GB2312"/>
          <w:color w:val="auto"/>
          <w:sz w:val="24"/>
          <w:highlight w:val="none"/>
        </w:rPr>
      </w:pPr>
      <w:r>
        <w:rPr>
          <w:rFonts w:hint="eastAsia" w:ascii="仿宋_GB2312" w:hAnsi="宋体" w:eastAsia="仿宋_GB2312"/>
          <w:color w:val="auto"/>
          <w:sz w:val="24"/>
          <w:highlight w:val="none"/>
        </w:rPr>
        <w:t>18.1符合《政府采购法》第49条规定的，经双方协商，办理政府采购手续后，可签订补充合同，所签订的补充合同与本合同具有同等法律效力。</w:t>
      </w:r>
    </w:p>
    <w:p>
      <w:pPr>
        <w:spacing w:line="360" w:lineRule="auto"/>
        <w:ind w:firstLine="480"/>
        <w:rPr>
          <w:rFonts w:ascii="仿宋_GB2312" w:hAnsi="宋体" w:eastAsia="仿宋_GB2312"/>
          <w:color w:val="auto"/>
          <w:sz w:val="24"/>
          <w:highlight w:val="none"/>
        </w:rPr>
      </w:pPr>
      <w:r>
        <w:rPr>
          <w:rFonts w:hint="eastAsia" w:ascii="仿宋_GB2312" w:hAnsi="宋体" w:eastAsia="仿宋_GB2312"/>
          <w:color w:val="auto"/>
          <w:sz w:val="24"/>
          <w:highlight w:val="none"/>
        </w:rPr>
        <w:t>18.2.本合同履行过程中，学校需追加与合同标的相同的货物的，在不改变合同其他条款的前提下，可以报甲方同意后，与乙方协商签订补充合同，但所有补充合同的采购金额不得超过本合同采购金额的百分之十。</w:t>
      </w:r>
    </w:p>
    <w:p>
      <w:pPr>
        <w:spacing w:line="360" w:lineRule="auto"/>
        <w:ind w:firstLine="480"/>
        <w:rPr>
          <w:rFonts w:ascii="仿宋_GB2312" w:hAnsi="宋体" w:eastAsia="仿宋_GB2312"/>
          <w:color w:val="auto"/>
          <w:sz w:val="24"/>
          <w:highlight w:val="none"/>
        </w:rPr>
      </w:pPr>
      <w:r>
        <w:rPr>
          <w:rFonts w:hint="eastAsia" w:ascii="仿宋_GB2312" w:hAnsi="宋体" w:eastAsia="仿宋_GB2312"/>
          <w:color w:val="auto"/>
          <w:sz w:val="24"/>
          <w:highlight w:val="none"/>
        </w:rPr>
        <w:t>18.3本合同一式4份，甲方执2份、乙方和采购代理机构各执1份。</w:t>
      </w:r>
    </w:p>
    <w:p>
      <w:pPr>
        <w:spacing w:line="360" w:lineRule="auto"/>
        <w:ind w:firstLine="480"/>
        <w:rPr>
          <w:rFonts w:ascii="仿宋_GB2312" w:hAnsi="宋体" w:eastAsia="仿宋_GB2312"/>
          <w:b/>
          <w:bCs/>
          <w:color w:val="auto"/>
          <w:sz w:val="24"/>
          <w:highlight w:val="none"/>
        </w:rPr>
      </w:pPr>
      <w:r>
        <w:rPr>
          <w:rFonts w:ascii="仿宋_GB2312" w:hAnsi="宋体" w:eastAsia="仿宋_GB2312"/>
          <w:color w:val="auto"/>
          <w:sz w:val="24"/>
          <w:highlight w:val="none"/>
        </w:rPr>
        <mc:AlternateContent>
          <mc:Choice Requires="wps">
            <w:drawing>
              <wp:anchor distT="45720" distB="45720" distL="114300" distR="114300" simplePos="0" relativeHeight="251662336" behindDoc="0" locked="0" layoutInCell="1" allowOverlap="1">
                <wp:simplePos x="0" y="0"/>
                <wp:positionH relativeFrom="column">
                  <wp:posOffset>2997200</wp:posOffset>
                </wp:positionH>
                <wp:positionV relativeFrom="paragraph">
                  <wp:posOffset>118110</wp:posOffset>
                </wp:positionV>
                <wp:extent cx="2677160" cy="1917065"/>
                <wp:effectExtent l="0" t="0" r="2540" b="63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77160" cy="1917065"/>
                        </a:xfrm>
                        <a:prstGeom prst="rect">
                          <a:avLst/>
                        </a:prstGeom>
                        <a:solidFill>
                          <a:srgbClr val="FFFFFF"/>
                        </a:solidFill>
                        <a:ln w="9525">
                          <a:noFill/>
                          <a:miter lim="800000"/>
                        </a:ln>
                      </wps:spPr>
                      <wps:txbx>
                        <w:txbxContent>
                          <w:p>
                            <w:pPr>
                              <w:spacing w:line="360" w:lineRule="auto"/>
                              <w:rPr>
                                <w:rFonts w:ascii="仿宋_GB2312" w:hAnsi="宋体" w:eastAsia="仿宋_GB2312"/>
                                <w:sz w:val="24"/>
                              </w:rPr>
                            </w:pPr>
                            <w:r>
                              <w:rPr>
                                <w:rFonts w:hint="eastAsia" w:ascii="仿宋_GB2312" w:hAnsi="宋体" w:eastAsia="仿宋_GB2312"/>
                                <w:sz w:val="24"/>
                              </w:rPr>
                              <w:t>乙   方：</w:t>
                            </w:r>
                          </w:p>
                          <w:p>
                            <w:pPr>
                              <w:spacing w:line="360" w:lineRule="auto"/>
                              <w:rPr>
                                <w:rFonts w:ascii="仿宋_GB2312" w:hAnsi="宋体" w:eastAsia="仿宋_GB2312"/>
                                <w:sz w:val="24"/>
                              </w:rPr>
                            </w:pPr>
                            <w:r>
                              <w:rPr>
                                <w:rFonts w:hint="eastAsia" w:ascii="仿宋_GB2312" w:hAnsi="宋体" w:eastAsia="仿宋_GB2312"/>
                                <w:sz w:val="24"/>
                              </w:rPr>
                              <w:t>名称：</w:t>
                            </w:r>
                          </w:p>
                          <w:p>
                            <w:pPr>
                              <w:spacing w:line="360" w:lineRule="auto"/>
                              <w:rPr>
                                <w:rFonts w:ascii="仿宋_GB2312" w:hAnsi="宋体" w:eastAsia="仿宋_GB2312"/>
                                <w:sz w:val="24"/>
                              </w:rPr>
                            </w:pPr>
                            <w:r>
                              <w:rPr>
                                <w:rFonts w:hint="eastAsia" w:ascii="仿宋_GB2312" w:hAnsi="宋体" w:eastAsia="仿宋_GB2312"/>
                                <w:sz w:val="24"/>
                              </w:rPr>
                              <w:t>地址：法定代表人（签字）：</w:t>
                            </w:r>
                          </w:p>
                          <w:p>
                            <w:pPr>
                              <w:spacing w:line="360" w:lineRule="auto"/>
                              <w:rPr>
                                <w:rFonts w:ascii="仿宋_GB2312" w:hAnsi="宋体" w:eastAsia="仿宋_GB2312"/>
                                <w:sz w:val="24"/>
                              </w:rPr>
                            </w:pPr>
                            <w:r>
                              <w:rPr>
                                <w:rFonts w:hint="eastAsia" w:ascii="仿宋_GB2312" w:hAnsi="宋体" w:eastAsia="仿宋_GB2312"/>
                                <w:sz w:val="24"/>
                              </w:rPr>
                              <w:t>授权代表（签字）：</w:t>
                            </w:r>
                          </w:p>
                          <w:p>
                            <w:pPr>
                              <w:spacing w:line="360" w:lineRule="auto"/>
                              <w:rPr>
                                <w:rFonts w:ascii="仿宋_GB2312" w:hAnsi="宋体" w:eastAsia="仿宋_GB2312"/>
                                <w:sz w:val="24"/>
                              </w:rPr>
                            </w:pPr>
                            <w:r>
                              <w:rPr>
                                <w:rFonts w:hint="eastAsia" w:ascii="仿宋_GB2312" w:hAnsi="宋体" w:eastAsia="仿宋_GB2312"/>
                                <w:sz w:val="24"/>
                              </w:rPr>
                              <w:t>开户银行：</w:t>
                            </w:r>
                          </w:p>
                          <w:p>
                            <w:pPr>
                              <w:spacing w:line="360" w:lineRule="auto"/>
                            </w:pPr>
                            <w:r>
                              <w:rPr>
                                <w:rFonts w:hint="eastAsia" w:ascii="仿宋_GB2312" w:hAnsi="宋体" w:eastAsia="仿宋_GB2312"/>
                                <w:sz w:val="24"/>
                              </w:rPr>
                              <w:t>银行帐号：</w:t>
                            </w:r>
                          </w:p>
                          <w:p>
                            <w:pPr>
                              <w:pStyle w:val="60"/>
                            </w:pPr>
                          </w:p>
                          <w:p/>
                          <w:p>
                            <w:pPr>
                              <w:pStyle w:val="60"/>
                            </w:pPr>
                          </w:p>
                          <w:p/>
                          <w:p>
                            <w:pPr>
                              <w:pStyle w:val="35"/>
                              <w:spacing w:after="120"/>
                            </w:pPr>
                          </w:p>
                          <w:p>
                            <w:pPr>
                              <w:rPr>
                                <w:rFonts w:ascii="仿宋_GB2312" w:hAnsi="宋体" w:eastAsia="仿宋_GB2312"/>
                                <w:sz w:val="24"/>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36pt;margin-top:9.3pt;height:150.95pt;width:210.8pt;z-index:251662336;mso-width-relative:page;mso-height-relative:page;" fillcolor="#FFFFFF" filled="t" stroked="f" coordsize="21600,21600" o:gfxdata="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K4pYNgAAAAKAQAADwAAAAAAAAABACAAAAAiAAAAZHJzL2Rv&#10;d25yZXYueG1sUEsBAhQAFAAAAAgAh07iQFXW7Uw6AgAAUwQAAA4AAAAAAAAAAQAgAAAAJwEAAGRy&#10;cy9lMm9Eb2MueG1sUEsFBgAAAAAGAAYAWQEAANMFAAAAAA==&#10;">
                <v:fill on="t" focussize="0,0"/>
                <v:stroke on="f" miterlimit="8" joinstyle="miter"/>
                <v:imagedata o:title=""/>
                <o:lock v:ext="edit" aspectratio="f"/>
                <v:textbox>
                  <w:txbxContent>
                    <w:p>
                      <w:pPr>
                        <w:spacing w:line="360" w:lineRule="auto"/>
                        <w:rPr>
                          <w:rFonts w:ascii="仿宋_GB2312" w:hAnsi="宋体" w:eastAsia="仿宋_GB2312"/>
                          <w:sz w:val="24"/>
                        </w:rPr>
                      </w:pPr>
                      <w:r>
                        <w:rPr>
                          <w:rFonts w:hint="eastAsia" w:ascii="仿宋_GB2312" w:hAnsi="宋体" w:eastAsia="仿宋_GB2312"/>
                          <w:sz w:val="24"/>
                        </w:rPr>
                        <w:t>乙   方：</w:t>
                      </w:r>
                    </w:p>
                    <w:p>
                      <w:pPr>
                        <w:spacing w:line="360" w:lineRule="auto"/>
                        <w:rPr>
                          <w:rFonts w:ascii="仿宋_GB2312" w:hAnsi="宋体" w:eastAsia="仿宋_GB2312"/>
                          <w:sz w:val="24"/>
                        </w:rPr>
                      </w:pPr>
                      <w:r>
                        <w:rPr>
                          <w:rFonts w:hint="eastAsia" w:ascii="仿宋_GB2312" w:hAnsi="宋体" w:eastAsia="仿宋_GB2312"/>
                          <w:sz w:val="24"/>
                        </w:rPr>
                        <w:t>名称：</w:t>
                      </w:r>
                    </w:p>
                    <w:p>
                      <w:pPr>
                        <w:spacing w:line="360" w:lineRule="auto"/>
                        <w:rPr>
                          <w:rFonts w:ascii="仿宋_GB2312" w:hAnsi="宋体" w:eastAsia="仿宋_GB2312"/>
                          <w:sz w:val="24"/>
                        </w:rPr>
                      </w:pPr>
                      <w:r>
                        <w:rPr>
                          <w:rFonts w:hint="eastAsia" w:ascii="仿宋_GB2312" w:hAnsi="宋体" w:eastAsia="仿宋_GB2312"/>
                          <w:sz w:val="24"/>
                        </w:rPr>
                        <w:t>地址：法定代表人（签字）：</w:t>
                      </w:r>
                    </w:p>
                    <w:p>
                      <w:pPr>
                        <w:spacing w:line="360" w:lineRule="auto"/>
                        <w:rPr>
                          <w:rFonts w:ascii="仿宋_GB2312" w:hAnsi="宋体" w:eastAsia="仿宋_GB2312"/>
                          <w:sz w:val="24"/>
                        </w:rPr>
                      </w:pPr>
                      <w:r>
                        <w:rPr>
                          <w:rFonts w:hint="eastAsia" w:ascii="仿宋_GB2312" w:hAnsi="宋体" w:eastAsia="仿宋_GB2312"/>
                          <w:sz w:val="24"/>
                        </w:rPr>
                        <w:t>授权代表（签字）：</w:t>
                      </w:r>
                    </w:p>
                    <w:p>
                      <w:pPr>
                        <w:spacing w:line="360" w:lineRule="auto"/>
                        <w:rPr>
                          <w:rFonts w:ascii="仿宋_GB2312" w:hAnsi="宋体" w:eastAsia="仿宋_GB2312"/>
                          <w:sz w:val="24"/>
                        </w:rPr>
                      </w:pPr>
                      <w:r>
                        <w:rPr>
                          <w:rFonts w:hint="eastAsia" w:ascii="仿宋_GB2312" w:hAnsi="宋体" w:eastAsia="仿宋_GB2312"/>
                          <w:sz w:val="24"/>
                        </w:rPr>
                        <w:t>开户银行：</w:t>
                      </w:r>
                    </w:p>
                    <w:p>
                      <w:pPr>
                        <w:spacing w:line="360" w:lineRule="auto"/>
                      </w:pPr>
                      <w:r>
                        <w:rPr>
                          <w:rFonts w:hint="eastAsia" w:ascii="仿宋_GB2312" w:hAnsi="宋体" w:eastAsia="仿宋_GB2312"/>
                          <w:sz w:val="24"/>
                        </w:rPr>
                        <w:t>银行帐号：</w:t>
                      </w:r>
                    </w:p>
                    <w:p>
                      <w:pPr>
                        <w:pStyle w:val="60"/>
                      </w:pPr>
                    </w:p>
                    <w:p/>
                    <w:p>
                      <w:pPr>
                        <w:pStyle w:val="60"/>
                      </w:pPr>
                    </w:p>
                    <w:p/>
                    <w:p>
                      <w:pPr>
                        <w:pStyle w:val="35"/>
                        <w:spacing w:after="120"/>
                      </w:pPr>
                    </w:p>
                    <w:p>
                      <w:pPr>
                        <w:rPr>
                          <w:rFonts w:ascii="仿宋_GB2312" w:hAnsi="宋体" w:eastAsia="仿宋_GB2312"/>
                          <w:sz w:val="24"/>
                        </w:rPr>
                      </w:pPr>
                    </w:p>
                  </w:txbxContent>
                </v:textbox>
              </v:shape>
            </w:pict>
          </mc:Fallback>
        </mc:AlternateContent>
      </w:r>
      <w:r>
        <w:rPr>
          <w:rFonts w:hint="eastAsia" w:ascii="仿宋_GB2312" w:hAnsi="宋体" w:eastAsia="仿宋_GB2312"/>
          <w:b/>
          <w:bCs/>
          <w:color w:val="auto"/>
          <w:sz w:val="24"/>
          <w:highlight w:val="none"/>
        </w:rPr>
        <w:t>以下无正文</w:t>
      </w:r>
    </w:p>
    <w:p>
      <w:pPr>
        <w:pStyle w:val="7"/>
        <w:rPr>
          <w:color w:val="auto"/>
          <w:highlight w:val="none"/>
        </w:rPr>
      </w:pPr>
      <w:r>
        <w:rPr>
          <w:rFonts w:ascii="仿宋_GB2312" w:hAnsi="宋体" w:eastAsia="仿宋_GB2312"/>
          <w:color w:val="auto"/>
          <w:sz w:val="24"/>
          <w:highlight w:val="none"/>
        </w:rPr>
        <mc:AlternateContent>
          <mc:Choice Requires="wps">
            <w:drawing>
              <wp:anchor distT="45720" distB="45720" distL="114300" distR="114300" simplePos="0" relativeHeight="251664384" behindDoc="0" locked="0" layoutInCell="1" allowOverlap="1">
                <wp:simplePos x="0" y="0"/>
                <wp:positionH relativeFrom="column">
                  <wp:posOffset>76200</wp:posOffset>
                </wp:positionH>
                <wp:positionV relativeFrom="paragraph">
                  <wp:posOffset>47625</wp:posOffset>
                </wp:positionV>
                <wp:extent cx="2544445" cy="2562860"/>
                <wp:effectExtent l="0" t="0" r="8255" b="2540"/>
                <wp:wrapSquare wrapText="bothSides"/>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544445" cy="2562860"/>
                        </a:xfrm>
                        <a:prstGeom prst="rect">
                          <a:avLst/>
                        </a:prstGeom>
                        <a:solidFill>
                          <a:srgbClr val="FFFFFF"/>
                        </a:solidFill>
                        <a:ln w="9525">
                          <a:noFill/>
                          <a:miter lim="800000"/>
                        </a:ln>
                      </wps:spPr>
                      <wps:txbx>
                        <w:txbxContent>
                          <w:p>
                            <w:pPr>
                              <w:spacing w:line="360" w:lineRule="auto"/>
                              <w:rPr>
                                <w:rFonts w:ascii="仿宋_GB2312" w:hAnsi="宋体" w:eastAsia="仿宋_GB2312"/>
                                <w:sz w:val="24"/>
                              </w:rPr>
                            </w:pPr>
                            <w:r>
                              <w:rPr>
                                <w:rFonts w:hint="eastAsia" w:ascii="仿宋_GB2312" w:hAnsi="宋体" w:eastAsia="仿宋_GB2312"/>
                                <w:sz w:val="24"/>
                              </w:rPr>
                              <w:t>甲   方：</w:t>
                            </w:r>
                          </w:p>
                          <w:p>
                            <w:pPr>
                              <w:spacing w:line="360" w:lineRule="auto"/>
                              <w:rPr>
                                <w:rFonts w:ascii="仿宋_GB2312" w:hAnsi="宋体" w:eastAsia="仿宋_GB2312"/>
                                <w:sz w:val="24"/>
                              </w:rPr>
                            </w:pPr>
                            <w:r>
                              <w:rPr>
                                <w:rFonts w:hint="eastAsia" w:ascii="仿宋_GB2312" w:hAnsi="宋体" w:eastAsia="仿宋_GB2312"/>
                                <w:sz w:val="24"/>
                              </w:rPr>
                              <w:t>名称：杭州市上城区</w:t>
                            </w:r>
                            <w:r>
                              <w:rPr>
                                <w:rFonts w:ascii="仿宋_GB2312" w:hAnsi="宋体" w:eastAsia="仿宋_GB2312"/>
                                <w:sz w:val="24"/>
                              </w:rPr>
                              <w:t>教育发展服务中心</w:t>
                            </w:r>
                            <w:r>
                              <w:rPr>
                                <w:rFonts w:hint="eastAsia" w:ascii="仿宋_GB2312" w:hAnsi="宋体" w:eastAsia="仿宋_GB2312"/>
                                <w:sz w:val="24"/>
                              </w:rPr>
                              <w:t>（盖章）</w:t>
                            </w:r>
                          </w:p>
                          <w:p>
                            <w:pPr>
                              <w:spacing w:line="360" w:lineRule="auto"/>
                              <w:rPr>
                                <w:rFonts w:ascii="仿宋_GB2312" w:hAnsi="宋体" w:eastAsia="仿宋_GB2312"/>
                                <w:sz w:val="24"/>
                              </w:rPr>
                            </w:pPr>
                            <w:r>
                              <w:rPr>
                                <w:rFonts w:hint="eastAsia" w:ascii="仿宋_GB2312" w:hAnsi="宋体" w:eastAsia="仿宋_GB2312"/>
                                <w:sz w:val="24"/>
                              </w:rPr>
                              <w:t>地址：</w:t>
                            </w:r>
                          </w:p>
                          <w:p>
                            <w:pPr>
                              <w:spacing w:line="360" w:lineRule="auto"/>
                              <w:rPr>
                                <w:rFonts w:ascii="仿宋_GB2312" w:hAnsi="宋体" w:eastAsia="仿宋_GB2312"/>
                                <w:sz w:val="24"/>
                              </w:rPr>
                            </w:pPr>
                            <w:r>
                              <w:rPr>
                                <w:rFonts w:hint="eastAsia" w:ascii="仿宋_GB2312" w:hAnsi="宋体" w:eastAsia="仿宋_GB2312"/>
                                <w:sz w:val="24"/>
                              </w:rPr>
                              <w:t>法定代表人（签字）：</w:t>
                            </w:r>
                          </w:p>
                          <w:p>
                            <w:pPr>
                              <w:spacing w:line="360" w:lineRule="auto"/>
                              <w:rPr>
                                <w:rFonts w:ascii="仿宋_GB2312" w:hAnsi="宋体" w:eastAsia="仿宋_GB2312"/>
                                <w:sz w:val="24"/>
                              </w:rPr>
                            </w:pPr>
                            <w:r>
                              <w:rPr>
                                <w:rFonts w:hint="eastAsia" w:ascii="仿宋_GB2312" w:hAnsi="宋体" w:eastAsia="仿宋_GB2312"/>
                                <w:sz w:val="24"/>
                              </w:rPr>
                              <w:t>授权代表（签字）：</w:t>
                            </w:r>
                          </w:p>
                          <w:p>
                            <w:pPr>
                              <w:spacing w:line="360" w:lineRule="auto"/>
                              <w:rPr>
                                <w:rFonts w:ascii="仿宋_GB2312" w:hAnsi="宋体" w:eastAsia="仿宋_GB2312"/>
                                <w:sz w:val="24"/>
                              </w:rPr>
                            </w:pPr>
                            <w:r>
                              <w:rPr>
                                <w:rFonts w:hint="eastAsia" w:ascii="仿宋_GB2312" w:hAnsi="宋体" w:eastAsia="仿宋_GB2312"/>
                                <w:sz w:val="24"/>
                              </w:rPr>
                              <w:t>开户银行：工行</w:t>
                            </w:r>
                            <w:r>
                              <w:rPr>
                                <w:rFonts w:ascii="仿宋_GB2312" w:hAnsi="宋体" w:eastAsia="仿宋_GB2312"/>
                                <w:sz w:val="24"/>
                              </w:rPr>
                              <w:t>解放路支行</w:t>
                            </w:r>
                          </w:p>
                          <w:p>
                            <w:pPr>
                              <w:spacing w:line="360" w:lineRule="auto"/>
                              <w:rPr>
                                <w:rFonts w:ascii="仿宋_GB2312" w:hAnsi="宋体" w:eastAsia="仿宋_GB2312"/>
                                <w:sz w:val="24"/>
                              </w:rPr>
                            </w:pPr>
                            <w:r>
                              <w:rPr>
                                <w:rFonts w:hint="eastAsia" w:ascii="仿宋_GB2312" w:hAnsi="宋体" w:eastAsia="仿宋_GB2312"/>
                                <w:sz w:val="24"/>
                              </w:rPr>
                              <w:t>银行帐号：1202020709920162701</w:t>
                            </w:r>
                          </w:p>
                          <w:p>
                            <w:pPr>
                              <w:spacing w:line="360" w:lineRule="auto"/>
                              <w:rPr>
                                <w:rFonts w:ascii="仿宋_GB2312" w:hAnsi="宋体" w:eastAsia="仿宋_GB2312"/>
                                <w:sz w:val="24"/>
                              </w:rPr>
                            </w:pPr>
                          </w:p>
                          <w:p>
                            <w:pPr>
                              <w:spacing w:line="360" w:lineRule="auto"/>
                              <w:rPr>
                                <w:rFonts w:ascii="仿宋_GB2312" w:hAnsi="宋体" w:eastAsia="仿宋_GB2312"/>
                                <w:sz w:val="24"/>
                              </w:rPr>
                            </w:pPr>
                          </w:p>
                          <w:p>
                            <w:pPr>
                              <w:spacing w:line="360" w:lineRule="auto"/>
                              <w:rPr>
                                <w:rFonts w:ascii="仿宋_GB2312" w:hAnsi="宋体" w:eastAsia="仿宋_GB2312"/>
                                <w:sz w:val="24"/>
                              </w:rPr>
                            </w:pPr>
                          </w:p>
                          <w:p>
                            <w:pPr>
                              <w:pStyle w:val="35"/>
                              <w:spacing w:after="120"/>
                            </w:pPr>
                          </w:p>
                          <w:p>
                            <w:pPr>
                              <w:spacing w:line="360" w:lineRule="auto"/>
                              <w:rPr>
                                <w:rFonts w:ascii="仿宋_GB2312" w:hAnsi="宋体" w:eastAsia="仿宋_GB2312"/>
                                <w:sz w:val="24"/>
                              </w:rPr>
                            </w:pPr>
                          </w:p>
                          <w:p/>
                          <w:p>
                            <w:pPr>
                              <w:pStyle w:val="7"/>
                            </w:pPr>
                          </w:p>
                          <w:p>
                            <w:pPr>
                              <w:pStyle w:val="60"/>
                            </w:pPr>
                          </w:p>
                          <w:p/>
                          <w:p>
                            <w:pPr>
                              <w:pStyle w:val="60"/>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6pt;margin-top:3.75pt;height:201.8pt;width:200.35pt;mso-wrap-distance-bottom:3.6pt;mso-wrap-distance-left:9pt;mso-wrap-distance-right:9pt;mso-wrap-distance-top:3.6pt;z-index:251664384;mso-width-relative:page;mso-height-relative:page;" fillcolor="#FFFFFF" filled="t" stroked="f" coordsize="21600,21600" o:gfxdata="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GCh31QAAAAgBAAAPAAAAAAAAAAEAIAAAACIAAABkcnMvZG93bnJl&#10;di54bWxQSwECFAAUAAAACACHTuJAB15cPDkCAABTBAAADgAAAAAAAAABACAAAAAkAQAAZHJzL2Uy&#10;b0RvYy54bWxQSwUGAAAAAAYABgBZAQAAzwUAAAAA&#10;">
                <v:fill on="t" focussize="0,0"/>
                <v:stroke on="f" miterlimit="8" joinstyle="miter"/>
                <v:imagedata o:title=""/>
                <o:lock v:ext="edit" aspectratio="f"/>
                <v:textbox>
                  <w:txbxContent>
                    <w:p>
                      <w:pPr>
                        <w:spacing w:line="360" w:lineRule="auto"/>
                        <w:rPr>
                          <w:rFonts w:ascii="仿宋_GB2312" w:hAnsi="宋体" w:eastAsia="仿宋_GB2312"/>
                          <w:sz w:val="24"/>
                        </w:rPr>
                      </w:pPr>
                      <w:r>
                        <w:rPr>
                          <w:rFonts w:hint="eastAsia" w:ascii="仿宋_GB2312" w:hAnsi="宋体" w:eastAsia="仿宋_GB2312"/>
                          <w:sz w:val="24"/>
                        </w:rPr>
                        <w:t>甲   方：</w:t>
                      </w:r>
                    </w:p>
                    <w:p>
                      <w:pPr>
                        <w:spacing w:line="360" w:lineRule="auto"/>
                        <w:rPr>
                          <w:rFonts w:ascii="仿宋_GB2312" w:hAnsi="宋体" w:eastAsia="仿宋_GB2312"/>
                          <w:sz w:val="24"/>
                        </w:rPr>
                      </w:pPr>
                      <w:r>
                        <w:rPr>
                          <w:rFonts w:hint="eastAsia" w:ascii="仿宋_GB2312" w:hAnsi="宋体" w:eastAsia="仿宋_GB2312"/>
                          <w:sz w:val="24"/>
                        </w:rPr>
                        <w:t>名称：杭州市上城区</w:t>
                      </w:r>
                      <w:r>
                        <w:rPr>
                          <w:rFonts w:ascii="仿宋_GB2312" w:hAnsi="宋体" w:eastAsia="仿宋_GB2312"/>
                          <w:sz w:val="24"/>
                        </w:rPr>
                        <w:t>教育发展服务中心</w:t>
                      </w:r>
                      <w:r>
                        <w:rPr>
                          <w:rFonts w:hint="eastAsia" w:ascii="仿宋_GB2312" w:hAnsi="宋体" w:eastAsia="仿宋_GB2312"/>
                          <w:sz w:val="24"/>
                        </w:rPr>
                        <w:t>（盖章）</w:t>
                      </w:r>
                    </w:p>
                    <w:p>
                      <w:pPr>
                        <w:spacing w:line="360" w:lineRule="auto"/>
                        <w:rPr>
                          <w:rFonts w:ascii="仿宋_GB2312" w:hAnsi="宋体" w:eastAsia="仿宋_GB2312"/>
                          <w:sz w:val="24"/>
                        </w:rPr>
                      </w:pPr>
                      <w:r>
                        <w:rPr>
                          <w:rFonts w:hint="eastAsia" w:ascii="仿宋_GB2312" w:hAnsi="宋体" w:eastAsia="仿宋_GB2312"/>
                          <w:sz w:val="24"/>
                        </w:rPr>
                        <w:t>地址：</w:t>
                      </w:r>
                    </w:p>
                    <w:p>
                      <w:pPr>
                        <w:spacing w:line="360" w:lineRule="auto"/>
                        <w:rPr>
                          <w:rFonts w:ascii="仿宋_GB2312" w:hAnsi="宋体" w:eastAsia="仿宋_GB2312"/>
                          <w:sz w:val="24"/>
                        </w:rPr>
                      </w:pPr>
                      <w:r>
                        <w:rPr>
                          <w:rFonts w:hint="eastAsia" w:ascii="仿宋_GB2312" w:hAnsi="宋体" w:eastAsia="仿宋_GB2312"/>
                          <w:sz w:val="24"/>
                        </w:rPr>
                        <w:t>法定代表人（签字）：</w:t>
                      </w:r>
                    </w:p>
                    <w:p>
                      <w:pPr>
                        <w:spacing w:line="360" w:lineRule="auto"/>
                        <w:rPr>
                          <w:rFonts w:ascii="仿宋_GB2312" w:hAnsi="宋体" w:eastAsia="仿宋_GB2312"/>
                          <w:sz w:val="24"/>
                        </w:rPr>
                      </w:pPr>
                      <w:r>
                        <w:rPr>
                          <w:rFonts w:hint="eastAsia" w:ascii="仿宋_GB2312" w:hAnsi="宋体" w:eastAsia="仿宋_GB2312"/>
                          <w:sz w:val="24"/>
                        </w:rPr>
                        <w:t>授权代表（签字）：</w:t>
                      </w:r>
                    </w:p>
                    <w:p>
                      <w:pPr>
                        <w:spacing w:line="360" w:lineRule="auto"/>
                        <w:rPr>
                          <w:rFonts w:ascii="仿宋_GB2312" w:hAnsi="宋体" w:eastAsia="仿宋_GB2312"/>
                          <w:sz w:val="24"/>
                        </w:rPr>
                      </w:pPr>
                      <w:r>
                        <w:rPr>
                          <w:rFonts w:hint="eastAsia" w:ascii="仿宋_GB2312" w:hAnsi="宋体" w:eastAsia="仿宋_GB2312"/>
                          <w:sz w:val="24"/>
                        </w:rPr>
                        <w:t>开户银行：工行</w:t>
                      </w:r>
                      <w:r>
                        <w:rPr>
                          <w:rFonts w:ascii="仿宋_GB2312" w:hAnsi="宋体" w:eastAsia="仿宋_GB2312"/>
                          <w:sz w:val="24"/>
                        </w:rPr>
                        <w:t>解放路支行</w:t>
                      </w:r>
                    </w:p>
                    <w:p>
                      <w:pPr>
                        <w:spacing w:line="360" w:lineRule="auto"/>
                        <w:rPr>
                          <w:rFonts w:ascii="仿宋_GB2312" w:hAnsi="宋体" w:eastAsia="仿宋_GB2312"/>
                          <w:sz w:val="24"/>
                        </w:rPr>
                      </w:pPr>
                      <w:r>
                        <w:rPr>
                          <w:rFonts w:hint="eastAsia" w:ascii="仿宋_GB2312" w:hAnsi="宋体" w:eastAsia="仿宋_GB2312"/>
                          <w:sz w:val="24"/>
                        </w:rPr>
                        <w:t>银行帐号：1202020709920162701</w:t>
                      </w:r>
                    </w:p>
                    <w:p>
                      <w:pPr>
                        <w:spacing w:line="360" w:lineRule="auto"/>
                        <w:rPr>
                          <w:rFonts w:ascii="仿宋_GB2312" w:hAnsi="宋体" w:eastAsia="仿宋_GB2312"/>
                          <w:sz w:val="24"/>
                        </w:rPr>
                      </w:pPr>
                    </w:p>
                    <w:p>
                      <w:pPr>
                        <w:spacing w:line="360" w:lineRule="auto"/>
                        <w:rPr>
                          <w:rFonts w:ascii="仿宋_GB2312" w:hAnsi="宋体" w:eastAsia="仿宋_GB2312"/>
                          <w:sz w:val="24"/>
                        </w:rPr>
                      </w:pPr>
                    </w:p>
                    <w:p>
                      <w:pPr>
                        <w:spacing w:line="360" w:lineRule="auto"/>
                        <w:rPr>
                          <w:rFonts w:ascii="仿宋_GB2312" w:hAnsi="宋体" w:eastAsia="仿宋_GB2312"/>
                          <w:sz w:val="24"/>
                        </w:rPr>
                      </w:pPr>
                    </w:p>
                    <w:p>
                      <w:pPr>
                        <w:pStyle w:val="35"/>
                        <w:spacing w:after="120"/>
                      </w:pPr>
                    </w:p>
                    <w:p>
                      <w:pPr>
                        <w:spacing w:line="360" w:lineRule="auto"/>
                        <w:rPr>
                          <w:rFonts w:ascii="仿宋_GB2312" w:hAnsi="宋体" w:eastAsia="仿宋_GB2312"/>
                          <w:sz w:val="24"/>
                        </w:rPr>
                      </w:pPr>
                    </w:p>
                    <w:p/>
                    <w:p>
                      <w:pPr>
                        <w:pStyle w:val="7"/>
                      </w:pPr>
                    </w:p>
                    <w:p>
                      <w:pPr>
                        <w:pStyle w:val="60"/>
                      </w:pPr>
                    </w:p>
                    <w:p/>
                    <w:p>
                      <w:pPr>
                        <w:pStyle w:val="60"/>
                      </w:pPr>
                    </w:p>
                  </w:txbxContent>
                </v:textbox>
                <w10:wrap type="square"/>
              </v:shape>
            </w:pict>
          </mc:Fallback>
        </mc:AlternateContent>
      </w:r>
    </w:p>
    <w:p>
      <w:pPr>
        <w:rPr>
          <w:color w:val="auto"/>
          <w:highlight w:val="none"/>
        </w:rPr>
      </w:pPr>
    </w:p>
    <w:p>
      <w:pPr>
        <w:pStyle w:val="7"/>
        <w:ind w:firstLine="0"/>
        <w:rPr>
          <w:color w:val="auto"/>
          <w:highlight w:val="none"/>
        </w:rPr>
      </w:pPr>
    </w:p>
    <w:p>
      <w:pPr>
        <w:rPr>
          <w:color w:val="auto"/>
          <w:highlight w:val="none"/>
        </w:rPr>
      </w:pPr>
    </w:p>
    <w:p>
      <w:pPr>
        <w:pStyle w:val="7"/>
        <w:ind w:firstLine="480"/>
        <w:rPr>
          <w:color w:val="auto"/>
          <w:highlight w:val="none"/>
        </w:rPr>
      </w:pPr>
    </w:p>
    <w:p>
      <w:pPr>
        <w:rPr>
          <w:color w:val="auto"/>
          <w:highlight w:val="none"/>
        </w:rPr>
      </w:pPr>
    </w:p>
    <w:p>
      <w:pPr>
        <w:pStyle w:val="7"/>
        <w:rPr>
          <w:color w:val="auto"/>
          <w:highlight w:val="none"/>
        </w:rPr>
      </w:pPr>
    </w:p>
    <w:p>
      <w:pPr>
        <w:rPr>
          <w:color w:val="auto"/>
          <w:highlight w:val="none"/>
        </w:rPr>
      </w:pPr>
    </w:p>
    <w:p>
      <w:pPr>
        <w:pStyle w:val="35"/>
        <w:spacing w:after="120" w:line="360" w:lineRule="auto"/>
        <w:ind w:right="480"/>
        <w:rPr>
          <w:rFonts w:ascii="仿宋_GB2312" w:hAnsi="宋体" w:eastAsia="仿宋_GB2312"/>
          <w:color w:val="auto"/>
          <w:sz w:val="24"/>
          <w:highlight w:val="none"/>
        </w:rPr>
      </w:pPr>
      <w:r>
        <w:rPr>
          <w:rFonts w:hint="eastAsia" w:ascii="仿宋_GB2312" w:hAnsi="宋体" w:eastAsia="仿宋_GB2312"/>
          <w:color w:val="auto"/>
          <w:sz w:val="24"/>
          <w:highlight w:val="none"/>
        </w:rPr>
        <w:t>合同</w:t>
      </w:r>
      <w:r>
        <w:rPr>
          <w:rFonts w:ascii="仿宋_GB2312" w:hAnsi="宋体" w:eastAsia="仿宋_GB2312"/>
          <w:color w:val="auto"/>
          <w:sz w:val="24"/>
          <w:highlight w:val="none"/>
        </w:rPr>
        <w:t>签订地点：</w:t>
      </w:r>
    </w:p>
    <w:p>
      <w:pPr>
        <w:pStyle w:val="35"/>
        <w:spacing w:after="120" w:line="360" w:lineRule="auto"/>
        <w:ind w:right="480"/>
        <w:rPr>
          <w:rFonts w:ascii="仿宋_GB2312" w:hAnsi="宋体" w:eastAsia="仿宋_GB2312"/>
          <w:color w:val="auto"/>
          <w:sz w:val="24"/>
          <w:highlight w:val="none"/>
        </w:rPr>
      </w:pPr>
      <w:r>
        <w:rPr>
          <w:rFonts w:hint="eastAsia" w:ascii="仿宋_GB2312" w:hAnsi="宋体" w:eastAsia="仿宋_GB2312"/>
          <w:color w:val="auto"/>
          <w:sz w:val="24"/>
          <w:highlight w:val="none"/>
        </w:rPr>
        <w:t>合同</w:t>
      </w:r>
      <w:r>
        <w:rPr>
          <w:rFonts w:ascii="仿宋_GB2312" w:hAnsi="宋体" w:eastAsia="仿宋_GB2312"/>
          <w:color w:val="auto"/>
          <w:sz w:val="24"/>
          <w:highlight w:val="none"/>
        </w:rPr>
        <w:t>签订时间</w:t>
      </w:r>
      <w:r>
        <w:rPr>
          <w:rFonts w:hint="eastAsia" w:ascii="仿宋_GB2312" w:hAnsi="宋体" w:eastAsia="仿宋_GB2312"/>
          <w:color w:val="auto"/>
          <w:sz w:val="24"/>
          <w:highlight w:val="none"/>
        </w:rPr>
        <w:t>：2024年   月  日</w:t>
      </w:r>
    </w:p>
    <w:p>
      <w:pPr>
        <w:widowControl/>
        <w:adjustRightInd/>
        <w:jc w:val="left"/>
        <w:rPr>
          <w:rFonts w:ascii="仿宋_GB2312" w:hAnsi="宋体" w:eastAsia="仿宋_GB2312" w:cs="Arial"/>
          <w:snapToGrid w:val="0"/>
          <w:color w:val="auto"/>
          <w:sz w:val="24"/>
          <w:szCs w:val="21"/>
          <w:highlight w:val="none"/>
        </w:rPr>
      </w:pPr>
      <w:r>
        <w:rPr>
          <w:rFonts w:ascii="仿宋_GB2312" w:hAnsi="宋体" w:eastAsia="仿宋_GB2312"/>
          <w:color w:val="auto"/>
          <w:sz w:val="24"/>
          <w:highlight w:val="none"/>
        </w:rPr>
        <w:br w:type="page"/>
      </w:r>
    </w:p>
    <w:p>
      <w:pPr>
        <w:pStyle w:val="5"/>
        <w:jc w:val="center"/>
        <w:rPr>
          <w:rFonts w:ascii="华文中宋" w:hAnsi="华文中宋" w:eastAsia="华文中宋"/>
          <w:b w:val="0"/>
          <w:color w:val="auto"/>
          <w:highlight w:val="none"/>
        </w:rPr>
      </w:pPr>
      <w:r>
        <w:rPr>
          <w:rFonts w:hint="eastAsia" w:ascii="华文中宋" w:hAnsi="华文中宋" w:eastAsia="华文中宋"/>
          <w:b w:val="0"/>
          <w:color w:val="auto"/>
          <w:highlight w:val="none"/>
        </w:rPr>
        <w:t>上城</w:t>
      </w:r>
      <w:r>
        <w:rPr>
          <w:rFonts w:ascii="华文中宋" w:hAnsi="华文中宋" w:eastAsia="华文中宋"/>
          <w:b w:val="0"/>
          <w:color w:val="auto"/>
          <w:highlight w:val="none"/>
        </w:rPr>
        <w:t>区</w:t>
      </w:r>
      <w:r>
        <w:rPr>
          <w:rFonts w:hint="eastAsia" w:ascii="华文中宋" w:hAnsi="华文中宋" w:eastAsia="华文中宋"/>
          <w:b w:val="0"/>
          <w:color w:val="auto"/>
          <w:highlight w:val="none"/>
        </w:rPr>
        <w:t>教育</w:t>
      </w:r>
      <w:r>
        <w:rPr>
          <w:rFonts w:ascii="华文中宋" w:hAnsi="华文中宋" w:eastAsia="华文中宋"/>
          <w:b w:val="0"/>
          <w:color w:val="auto"/>
          <w:highlight w:val="none"/>
        </w:rPr>
        <w:t>系统货物类</w:t>
      </w:r>
      <w:r>
        <w:rPr>
          <w:rFonts w:hint="eastAsia" w:ascii="华文中宋" w:hAnsi="华文中宋" w:eastAsia="华文中宋"/>
          <w:b w:val="0"/>
          <w:color w:val="auto"/>
          <w:highlight w:val="none"/>
        </w:rPr>
        <w:t>政府</w:t>
      </w:r>
      <w:r>
        <w:rPr>
          <w:rFonts w:ascii="华文中宋" w:hAnsi="华文中宋" w:eastAsia="华文中宋"/>
          <w:b w:val="0"/>
          <w:color w:val="auto"/>
          <w:highlight w:val="none"/>
        </w:rPr>
        <w:t>采购项目</w:t>
      </w:r>
      <w:r>
        <w:rPr>
          <w:rFonts w:ascii="华文中宋" w:hAnsi="华文中宋" w:eastAsia="华文中宋"/>
          <w:b w:val="0"/>
          <w:color w:val="auto"/>
          <w:highlight w:val="none"/>
        </w:rPr>
        <w:br w:type="textWrapping"/>
      </w:r>
      <w:r>
        <w:rPr>
          <w:rFonts w:hint="eastAsia" w:ascii="华文中宋" w:hAnsi="华文中宋" w:eastAsia="华文中宋"/>
          <w:b w:val="0"/>
          <w:color w:val="auto"/>
          <w:highlight w:val="none"/>
        </w:rPr>
        <w:t>竣工</w:t>
      </w:r>
      <w:r>
        <w:rPr>
          <w:rFonts w:ascii="华文中宋" w:hAnsi="华文中宋" w:eastAsia="华文中宋"/>
          <w:b w:val="0"/>
          <w:color w:val="auto"/>
          <w:highlight w:val="none"/>
        </w:rPr>
        <w:t>验收</w:t>
      </w:r>
      <w:r>
        <w:rPr>
          <w:rFonts w:hint="eastAsia" w:ascii="华文中宋" w:hAnsi="华文中宋" w:eastAsia="华文中宋"/>
          <w:b w:val="0"/>
          <w:color w:val="auto"/>
          <w:highlight w:val="none"/>
        </w:rPr>
        <w:t>文档</w:t>
      </w:r>
      <w:r>
        <w:rPr>
          <w:rFonts w:ascii="华文中宋" w:hAnsi="华文中宋" w:eastAsia="华文中宋"/>
          <w:b w:val="0"/>
          <w:color w:val="auto"/>
          <w:highlight w:val="none"/>
        </w:rPr>
        <w:t>制作</w:t>
      </w:r>
      <w:r>
        <w:rPr>
          <w:rFonts w:hint="eastAsia" w:ascii="华文中宋" w:hAnsi="华文中宋" w:eastAsia="华文中宋"/>
          <w:b w:val="0"/>
          <w:color w:val="auto"/>
          <w:highlight w:val="none"/>
        </w:rPr>
        <w:t>要</w:t>
      </w:r>
      <w:r>
        <w:rPr>
          <w:rFonts w:ascii="华文中宋" w:hAnsi="华文中宋" w:eastAsia="华文中宋"/>
          <w:b w:val="0"/>
          <w:color w:val="auto"/>
          <w:highlight w:val="none"/>
        </w:rPr>
        <w:t>求</w:t>
      </w:r>
    </w:p>
    <w:p>
      <w:pPr>
        <w:pStyle w:val="6"/>
        <w:rPr>
          <w:color w:val="auto"/>
          <w:highlight w:val="none"/>
        </w:rPr>
      </w:pPr>
      <w:r>
        <w:rPr>
          <w:rFonts w:hint="eastAsia"/>
          <w:color w:val="auto"/>
          <w:highlight w:val="none"/>
        </w:rPr>
        <w:t>一</w:t>
      </w:r>
      <w:r>
        <w:rPr>
          <w:color w:val="auto"/>
          <w:highlight w:val="none"/>
        </w:rPr>
        <w:t>、</w:t>
      </w:r>
      <w:r>
        <w:rPr>
          <w:rFonts w:hint="eastAsia"/>
          <w:color w:val="auto"/>
          <w:highlight w:val="none"/>
        </w:rPr>
        <w:t>总体</w:t>
      </w:r>
      <w:r>
        <w:rPr>
          <w:color w:val="auto"/>
          <w:highlight w:val="none"/>
        </w:rPr>
        <w:t>要</w:t>
      </w:r>
      <w:r>
        <w:rPr>
          <w:rFonts w:hint="eastAsia"/>
          <w:color w:val="auto"/>
          <w:highlight w:val="none"/>
        </w:rPr>
        <w:t>求</w:t>
      </w:r>
    </w:p>
    <w:p>
      <w:pPr>
        <w:ind w:firstLine="560" w:firstLineChars="200"/>
        <w:rPr>
          <w:rFonts w:asciiTheme="minorEastAsia" w:hAnsiTheme="minorEastAsia"/>
          <w:color w:val="auto"/>
          <w:sz w:val="28"/>
          <w:highlight w:val="none"/>
        </w:rPr>
      </w:pPr>
      <w:r>
        <w:rPr>
          <w:rFonts w:hint="eastAsia" w:asciiTheme="minorEastAsia" w:hAnsiTheme="minorEastAsia"/>
          <w:color w:val="auto"/>
          <w:sz w:val="28"/>
          <w:highlight w:val="none"/>
        </w:rPr>
        <w:t>2</w:t>
      </w:r>
      <w:r>
        <w:rPr>
          <w:rFonts w:asciiTheme="minorEastAsia" w:hAnsiTheme="minorEastAsia"/>
          <w:color w:val="auto"/>
          <w:sz w:val="28"/>
          <w:highlight w:val="none"/>
        </w:rPr>
        <w:t>02</w:t>
      </w:r>
      <w:r>
        <w:rPr>
          <w:rFonts w:hint="eastAsia" w:asciiTheme="minorEastAsia" w:hAnsiTheme="minorEastAsia"/>
          <w:color w:val="auto"/>
          <w:sz w:val="28"/>
          <w:highlight w:val="none"/>
        </w:rPr>
        <w:t>4</w:t>
      </w:r>
      <w:r>
        <w:rPr>
          <w:rFonts w:asciiTheme="minorEastAsia" w:hAnsiTheme="minorEastAsia"/>
          <w:color w:val="auto"/>
          <w:sz w:val="28"/>
          <w:highlight w:val="none"/>
        </w:rPr>
        <w:t>年度</w:t>
      </w:r>
      <w:r>
        <w:rPr>
          <w:rFonts w:hint="eastAsia" w:asciiTheme="minorEastAsia" w:hAnsiTheme="minorEastAsia"/>
          <w:color w:val="auto"/>
          <w:sz w:val="28"/>
          <w:highlight w:val="none"/>
        </w:rPr>
        <w:t>上城</w:t>
      </w:r>
      <w:r>
        <w:rPr>
          <w:rFonts w:asciiTheme="minorEastAsia" w:hAnsiTheme="minorEastAsia"/>
          <w:color w:val="auto"/>
          <w:sz w:val="28"/>
          <w:highlight w:val="none"/>
        </w:rPr>
        <w:t>区教育系统公开招标货物类项目</w:t>
      </w:r>
      <w:r>
        <w:rPr>
          <w:rFonts w:hint="eastAsia" w:asciiTheme="minorEastAsia" w:hAnsiTheme="minorEastAsia"/>
          <w:color w:val="auto"/>
          <w:sz w:val="28"/>
          <w:highlight w:val="none"/>
        </w:rPr>
        <w:t>，</w:t>
      </w:r>
      <w:r>
        <w:rPr>
          <w:rFonts w:asciiTheme="minorEastAsia" w:hAnsiTheme="minorEastAsia"/>
          <w:color w:val="auto"/>
          <w:sz w:val="28"/>
          <w:highlight w:val="none"/>
        </w:rPr>
        <w:t>供应商均需</w:t>
      </w:r>
      <w:r>
        <w:rPr>
          <w:rFonts w:hint="eastAsia" w:asciiTheme="minorEastAsia" w:hAnsiTheme="minorEastAsia"/>
          <w:color w:val="auto"/>
          <w:sz w:val="28"/>
          <w:highlight w:val="none"/>
        </w:rPr>
        <w:t>按</w:t>
      </w:r>
      <w:r>
        <w:rPr>
          <w:rFonts w:asciiTheme="minorEastAsia" w:hAnsiTheme="minorEastAsia"/>
          <w:color w:val="auto"/>
          <w:sz w:val="28"/>
          <w:highlight w:val="none"/>
        </w:rPr>
        <w:t>本要求制作验收文档</w:t>
      </w:r>
      <w:r>
        <w:rPr>
          <w:rFonts w:hint="eastAsia" w:asciiTheme="minorEastAsia" w:hAnsiTheme="minorEastAsia"/>
          <w:color w:val="auto"/>
          <w:sz w:val="28"/>
          <w:highlight w:val="none"/>
        </w:rPr>
        <w:t>。</w:t>
      </w:r>
      <w:r>
        <w:rPr>
          <w:rFonts w:asciiTheme="minorEastAsia" w:hAnsiTheme="minorEastAsia"/>
          <w:color w:val="auto"/>
          <w:sz w:val="28"/>
          <w:highlight w:val="none"/>
        </w:rPr>
        <w:t>验收</w:t>
      </w:r>
      <w:r>
        <w:rPr>
          <w:rFonts w:hint="eastAsia" w:asciiTheme="minorEastAsia" w:hAnsiTheme="minorEastAsia"/>
          <w:color w:val="auto"/>
          <w:sz w:val="28"/>
          <w:highlight w:val="none"/>
        </w:rPr>
        <w:t>文</w:t>
      </w:r>
      <w:r>
        <w:rPr>
          <w:rFonts w:asciiTheme="minorEastAsia" w:hAnsiTheme="minorEastAsia"/>
          <w:color w:val="auto"/>
          <w:sz w:val="28"/>
          <w:highlight w:val="none"/>
        </w:rPr>
        <w:t>档一式三份，均需胶装并在所需位置加盖公章</w:t>
      </w:r>
      <w:r>
        <w:rPr>
          <w:rFonts w:hint="eastAsia" w:asciiTheme="minorEastAsia" w:hAnsiTheme="minorEastAsia"/>
          <w:color w:val="auto"/>
          <w:sz w:val="28"/>
          <w:highlight w:val="none"/>
        </w:rPr>
        <w:t>。验收</w:t>
      </w:r>
      <w:r>
        <w:rPr>
          <w:rFonts w:asciiTheme="minorEastAsia" w:hAnsiTheme="minorEastAsia"/>
          <w:color w:val="auto"/>
          <w:sz w:val="28"/>
          <w:highlight w:val="none"/>
        </w:rPr>
        <w:t>文档必须在</w:t>
      </w:r>
      <w:r>
        <w:rPr>
          <w:rFonts w:hint="eastAsia" w:asciiTheme="minorEastAsia" w:hAnsiTheme="minorEastAsia"/>
          <w:color w:val="auto"/>
          <w:sz w:val="28"/>
          <w:highlight w:val="none"/>
        </w:rPr>
        <w:t>9月15日</w:t>
      </w:r>
      <w:r>
        <w:rPr>
          <w:rFonts w:asciiTheme="minorEastAsia" w:hAnsiTheme="minorEastAsia"/>
          <w:color w:val="auto"/>
          <w:sz w:val="28"/>
          <w:highlight w:val="none"/>
        </w:rPr>
        <w:t>前完成，</w:t>
      </w:r>
      <w:r>
        <w:rPr>
          <w:rFonts w:hint="eastAsia" w:asciiTheme="minorEastAsia" w:hAnsiTheme="minorEastAsia"/>
          <w:color w:val="auto"/>
          <w:sz w:val="28"/>
          <w:highlight w:val="none"/>
        </w:rPr>
        <w:t>上城</w:t>
      </w:r>
      <w:r>
        <w:rPr>
          <w:rFonts w:asciiTheme="minorEastAsia" w:hAnsiTheme="minorEastAsia"/>
          <w:color w:val="auto"/>
          <w:sz w:val="28"/>
          <w:highlight w:val="none"/>
        </w:rPr>
        <w:t>区教育</w:t>
      </w:r>
      <w:r>
        <w:rPr>
          <w:rFonts w:hint="eastAsia" w:asciiTheme="minorEastAsia" w:hAnsiTheme="minorEastAsia"/>
          <w:color w:val="auto"/>
          <w:sz w:val="28"/>
          <w:highlight w:val="none"/>
        </w:rPr>
        <w:t>发展服务</w:t>
      </w:r>
      <w:r>
        <w:rPr>
          <w:rFonts w:asciiTheme="minorEastAsia" w:hAnsiTheme="minorEastAsia"/>
          <w:color w:val="auto"/>
          <w:sz w:val="28"/>
          <w:highlight w:val="none"/>
        </w:rPr>
        <w:t>中心将组织专家组进行项目终验</w:t>
      </w:r>
      <w:r>
        <w:rPr>
          <w:rFonts w:hint="eastAsia" w:asciiTheme="minorEastAsia" w:hAnsiTheme="minorEastAsia"/>
          <w:color w:val="auto"/>
          <w:sz w:val="28"/>
          <w:highlight w:val="none"/>
        </w:rPr>
        <w:t>。</w:t>
      </w:r>
    </w:p>
    <w:p>
      <w:pPr>
        <w:pStyle w:val="6"/>
        <w:rPr>
          <w:color w:val="auto"/>
          <w:highlight w:val="none"/>
        </w:rPr>
      </w:pPr>
      <w:r>
        <w:rPr>
          <w:rFonts w:hint="eastAsia"/>
          <w:color w:val="auto"/>
          <w:highlight w:val="none"/>
        </w:rPr>
        <w:t>二</w:t>
      </w:r>
      <w:r>
        <w:rPr>
          <w:color w:val="auto"/>
          <w:highlight w:val="none"/>
        </w:rPr>
        <w:t>、目录格式</w:t>
      </w:r>
    </w:p>
    <w:p>
      <w:pPr>
        <w:ind w:firstLine="560" w:firstLineChars="200"/>
        <w:rPr>
          <w:rFonts w:asciiTheme="minorEastAsia" w:hAnsiTheme="minorEastAsia"/>
          <w:color w:val="auto"/>
          <w:sz w:val="28"/>
          <w:highlight w:val="none"/>
        </w:rPr>
      </w:pPr>
      <w:r>
        <w:rPr>
          <w:rFonts w:hint="eastAsia" w:asciiTheme="minorEastAsia" w:hAnsiTheme="minorEastAsia"/>
          <w:color w:val="auto"/>
          <w:sz w:val="28"/>
          <w:highlight w:val="none"/>
        </w:rPr>
        <w:t>请按</w:t>
      </w:r>
      <w:r>
        <w:rPr>
          <w:rFonts w:asciiTheme="minorEastAsia" w:hAnsiTheme="minorEastAsia"/>
          <w:color w:val="auto"/>
          <w:sz w:val="28"/>
          <w:highlight w:val="none"/>
        </w:rPr>
        <w:t>以下格式</w:t>
      </w:r>
      <w:r>
        <w:rPr>
          <w:rFonts w:hint="eastAsia" w:asciiTheme="minorEastAsia" w:hAnsiTheme="minorEastAsia"/>
          <w:color w:val="auto"/>
          <w:sz w:val="28"/>
          <w:highlight w:val="none"/>
        </w:rPr>
        <w:t>制作</w:t>
      </w:r>
      <w:r>
        <w:rPr>
          <w:rFonts w:asciiTheme="minorEastAsia" w:hAnsiTheme="minorEastAsia"/>
          <w:color w:val="auto"/>
          <w:sz w:val="28"/>
          <w:highlight w:val="none"/>
        </w:rPr>
        <w:t>目录并整理</w:t>
      </w:r>
      <w:r>
        <w:rPr>
          <w:rFonts w:hint="eastAsia" w:asciiTheme="minorEastAsia" w:hAnsiTheme="minorEastAsia"/>
          <w:color w:val="auto"/>
          <w:sz w:val="28"/>
          <w:highlight w:val="none"/>
        </w:rPr>
        <w:t>验收</w:t>
      </w:r>
      <w:r>
        <w:rPr>
          <w:rFonts w:asciiTheme="minorEastAsia" w:hAnsiTheme="minorEastAsia"/>
          <w:color w:val="auto"/>
          <w:sz w:val="28"/>
          <w:highlight w:val="none"/>
        </w:rPr>
        <w:t>材料：</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投标报</w:t>
      </w:r>
      <w:r>
        <w:rPr>
          <w:rFonts w:asciiTheme="minorEastAsia" w:hAnsiTheme="minorEastAsia"/>
          <w:color w:val="auto"/>
          <w:sz w:val="28"/>
          <w:highlight w:val="none"/>
        </w:rPr>
        <w:t>价</w:t>
      </w:r>
      <w:r>
        <w:rPr>
          <w:rFonts w:hint="eastAsia" w:asciiTheme="minorEastAsia" w:hAnsiTheme="minorEastAsia"/>
          <w:color w:val="auto"/>
          <w:sz w:val="28"/>
          <w:highlight w:val="none"/>
        </w:rPr>
        <w:t>文件</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中标通知书</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合同（只</w:t>
      </w:r>
      <w:r>
        <w:rPr>
          <w:rFonts w:asciiTheme="minorEastAsia" w:hAnsiTheme="minorEastAsia"/>
          <w:color w:val="auto"/>
          <w:sz w:val="28"/>
          <w:highlight w:val="none"/>
        </w:rPr>
        <w:t>需</w:t>
      </w:r>
      <w:r>
        <w:rPr>
          <w:rFonts w:hint="eastAsia" w:asciiTheme="minorEastAsia" w:hAnsiTheme="minorEastAsia"/>
          <w:color w:val="auto"/>
          <w:sz w:val="28"/>
          <w:highlight w:val="none"/>
        </w:rPr>
        <w:t>主</w:t>
      </w:r>
      <w:r>
        <w:rPr>
          <w:rFonts w:asciiTheme="minorEastAsia" w:hAnsiTheme="minorEastAsia"/>
          <w:color w:val="auto"/>
          <w:sz w:val="28"/>
          <w:highlight w:val="none"/>
        </w:rPr>
        <w:t>合同与各校明细清单</w:t>
      </w:r>
      <w:r>
        <w:rPr>
          <w:rFonts w:hint="eastAsia" w:asciiTheme="minorEastAsia" w:hAnsiTheme="minorEastAsia"/>
          <w:color w:val="auto"/>
          <w:sz w:val="28"/>
          <w:highlight w:val="none"/>
        </w:rPr>
        <w:t>）</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施工组织方案</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设备签收（所</w:t>
      </w:r>
      <w:r>
        <w:rPr>
          <w:rFonts w:asciiTheme="minorEastAsia" w:hAnsiTheme="minorEastAsia"/>
          <w:color w:val="auto"/>
          <w:sz w:val="28"/>
          <w:highlight w:val="none"/>
        </w:rPr>
        <w:t>有学校均需有</w:t>
      </w:r>
      <w:r>
        <w:rPr>
          <w:rFonts w:hint="eastAsia" w:asciiTheme="minorEastAsia" w:hAnsiTheme="minorEastAsia"/>
          <w:color w:val="auto"/>
          <w:sz w:val="28"/>
          <w:highlight w:val="none"/>
        </w:rPr>
        <w:t>）</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设备合格证</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完工情况(现</w:t>
      </w:r>
      <w:r>
        <w:rPr>
          <w:rFonts w:asciiTheme="minorEastAsia" w:hAnsiTheme="minorEastAsia"/>
          <w:color w:val="auto"/>
          <w:sz w:val="28"/>
          <w:highlight w:val="none"/>
        </w:rPr>
        <w:t>场</w:t>
      </w:r>
      <w:r>
        <w:rPr>
          <w:rFonts w:hint="eastAsia" w:asciiTheme="minorEastAsia" w:hAnsiTheme="minorEastAsia"/>
          <w:color w:val="auto"/>
          <w:sz w:val="28"/>
          <w:highlight w:val="none"/>
        </w:rPr>
        <w:t>照片、</w:t>
      </w:r>
      <w:r>
        <w:rPr>
          <w:rFonts w:asciiTheme="minorEastAsia" w:hAnsiTheme="minorEastAsia"/>
          <w:color w:val="auto"/>
          <w:sz w:val="28"/>
          <w:highlight w:val="none"/>
        </w:rPr>
        <w:t>线路图、</w:t>
      </w:r>
      <w:r>
        <w:rPr>
          <w:rFonts w:hint="eastAsia" w:asciiTheme="minorEastAsia" w:hAnsiTheme="minorEastAsia"/>
          <w:color w:val="auto"/>
          <w:sz w:val="28"/>
          <w:highlight w:val="none"/>
        </w:rPr>
        <w:t>点</w:t>
      </w:r>
      <w:r>
        <w:rPr>
          <w:rFonts w:asciiTheme="minorEastAsia" w:hAnsiTheme="minorEastAsia"/>
          <w:color w:val="auto"/>
          <w:sz w:val="28"/>
          <w:highlight w:val="none"/>
        </w:rPr>
        <w:t>位</w:t>
      </w:r>
      <w:r>
        <w:rPr>
          <w:rFonts w:hint="eastAsia" w:asciiTheme="minorEastAsia" w:hAnsiTheme="minorEastAsia"/>
          <w:color w:val="auto"/>
          <w:sz w:val="28"/>
          <w:highlight w:val="none"/>
        </w:rPr>
        <w:t>配置</w:t>
      </w:r>
      <w:r>
        <w:rPr>
          <w:rFonts w:asciiTheme="minorEastAsia" w:hAnsiTheme="minorEastAsia"/>
          <w:color w:val="auto"/>
          <w:sz w:val="28"/>
          <w:highlight w:val="none"/>
        </w:rPr>
        <w:t>表等</w:t>
      </w:r>
      <w:r>
        <w:rPr>
          <w:rFonts w:hint="eastAsia" w:asciiTheme="minorEastAsia" w:hAnsiTheme="minorEastAsia"/>
          <w:color w:val="auto"/>
          <w:sz w:val="28"/>
          <w:highlight w:val="none"/>
        </w:rPr>
        <w:t>）</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初验报告（各学校验收</w:t>
      </w:r>
      <w:r>
        <w:rPr>
          <w:rFonts w:asciiTheme="minorEastAsia" w:hAnsiTheme="minorEastAsia"/>
          <w:color w:val="auto"/>
          <w:sz w:val="28"/>
          <w:highlight w:val="none"/>
        </w:rPr>
        <w:t>回复单</w:t>
      </w:r>
      <w:r>
        <w:rPr>
          <w:rFonts w:hint="eastAsia" w:asciiTheme="minorEastAsia" w:hAnsiTheme="minorEastAsia"/>
          <w:color w:val="auto"/>
          <w:sz w:val="28"/>
          <w:highlight w:val="none"/>
        </w:rPr>
        <w:t>）</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整改建议书（如有）</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售后服务手册</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培训方案</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培训记录（含培训教材、签到表、培训现场照片等）</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整改落实情况说明（如有）</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终验申请（区级</w:t>
      </w:r>
      <w:r>
        <w:rPr>
          <w:rFonts w:asciiTheme="minorEastAsia" w:hAnsiTheme="minorEastAsia"/>
          <w:color w:val="auto"/>
          <w:sz w:val="28"/>
          <w:highlight w:val="none"/>
        </w:rPr>
        <w:t>验收</w:t>
      </w:r>
      <w:r>
        <w:rPr>
          <w:rFonts w:hint="eastAsia" w:asciiTheme="minorEastAsia" w:hAnsiTheme="minorEastAsia"/>
          <w:color w:val="auto"/>
          <w:sz w:val="28"/>
          <w:highlight w:val="none"/>
        </w:rPr>
        <w:t>）</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竣工报告</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用户使用报告</w:t>
      </w:r>
    </w:p>
    <w:p>
      <w:pPr>
        <w:pStyle w:val="256"/>
        <w:numPr>
          <w:ilvl w:val="0"/>
          <w:numId w:val="4"/>
        </w:numPr>
        <w:adjustRightInd/>
        <w:spacing w:line="240" w:lineRule="auto"/>
        <w:ind w:firstLineChars="0"/>
        <w:rPr>
          <w:rFonts w:asciiTheme="minorEastAsia" w:hAnsiTheme="minorEastAsia"/>
          <w:color w:val="auto"/>
          <w:sz w:val="28"/>
          <w:highlight w:val="none"/>
        </w:rPr>
      </w:pPr>
      <w:r>
        <w:rPr>
          <w:rFonts w:hint="eastAsia" w:asciiTheme="minorEastAsia" w:hAnsiTheme="minorEastAsia"/>
          <w:color w:val="auto"/>
          <w:sz w:val="28"/>
          <w:highlight w:val="none"/>
        </w:rPr>
        <w:t>项目验收报</w:t>
      </w:r>
      <w:r>
        <w:rPr>
          <w:rFonts w:asciiTheme="minorEastAsia" w:hAnsiTheme="minorEastAsia"/>
          <w:color w:val="auto"/>
          <w:sz w:val="28"/>
          <w:highlight w:val="none"/>
        </w:rPr>
        <w:t>告</w:t>
      </w:r>
    </w:p>
    <w:p>
      <w:pPr>
        <w:pStyle w:val="6"/>
        <w:rPr>
          <w:color w:val="auto"/>
          <w:highlight w:val="none"/>
        </w:rPr>
      </w:pPr>
      <w:r>
        <w:rPr>
          <w:rFonts w:hint="eastAsia"/>
          <w:color w:val="auto"/>
          <w:highlight w:val="none"/>
        </w:rPr>
        <w:t>三</w:t>
      </w:r>
      <w:r>
        <w:rPr>
          <w:color w:val="auto"/>
          <w:highlight w:val="none"/>
        </w:rPr>
        <w:t>、表单格式</w:t>
      </w:r>
    </w:p>
    <w:p>
      <w:pPr>
        <w:pStyle w:val="6"/>
        <w:rPr>
          <w:color w:val="auto"/>
          <w:highlight w:val="none"/>
        </w:rPr>
      </w:pPr>
      <w:r>
        <w:rPr>
          <w:color w:val="auto"/>
          <w:highlight w:val="none"/>
          <w:lang w:val="en-US"/>
        </w:rPr>
        <mc:AlternateContent>
          <mc:Choice Requires="wps">
            <w:drawing>
              <wp:anchor distT="45720" distB="45720" distL="114300" distR="114300" simplePos="0" relativeHeight="251663360" behindDoc="0" locked="0" layoutInCell="1" allowOverlap="1">
                <wp:simplePos x="0" y="0"/>
                <wp:positionH relativeFrom="column">
                  <wp:posOffset>104775</wp:posOffset>
                </wp:positionH>
                <wp:positionV relativeFrom="paragraph">
                  <wp:posOffset>180975</wp:posOffset>
                </wp:positionV>
                <wp:extent cx="5581650" cy="6800850"/>
                <wp:effectExtent l="4445" t="4445" r="14605" b="14605"/>
                <wp:wrapSquare wrapText="bothSides"/>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5581650" cy="6800850"/>
                        </a:xfrm>
                        <a:prstGeom prst="rect">
                          <a:avLst/>
                        </a:prstGeom>
                        <a:solidFill>
                          <a:srgbClr val="FFFFFF"/>
                        </a:solidFill>
                        <a:ln w="9525">
                          <a:solidFill>
                            <a:srgbClr val="000000"/>
                          </a:solidFill>
                          <a:miter lim="800000"/>
                        </a:ln>
                      </wps:spPr>
                      <wps:txbx>
                        <w:txbxContent>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2024年上城区教育系统X</w:t>
                            </w:r>
                            <w:r>
                              <w:rPr>
                                <w:rFonts w:ascii="新宋体" w:hAnsi="新宋体" w:eastAsia="新宋体" w:cs="新宋体"/>
                                <w:b/>
                                <w:w w:val="94"/>
                                <w:kern w:val="0"/>
                                <w:sz w:val="52"/>
                                <w:szCs w:val="52"/>
                              </w:rPr>
                              <w:t>X</w:t>
                            </w:r>
                            <w:r>
                              <w:rPr>
                                <w:rFonts w:hint="eastAsia" w:ascii="新宋体" w:hAnsi="新宋体" w:eastAsia="新宋体" w:cs="新宋体"/>
                                <w:b/>
                                <w:w w:val="94"/>
                                <w:kern w:val="0"/>
                                <w:sz w:val="52"/>
                                <w:szCs w:val="52"/>
                              </w:rPr>
                              <w:t>设备项目</w:t>
                            </w:r>
                          </w:p>
                          <w:p>
                            <w:pPr>
                              <w:widowControl/>
                              <w:spacing w:line="360" w:lineRule="auto"/>
                              <w:jc w:val="center"/>
                              <w:rPr>
                                <w:rFonts w:ascii="新宋体" w:hAnsi="新宋体" w:eastAsia="新宋体" w:cs="新宋体"/>
                                <w:b/>
                                <w:w w:val="94"/>
                                <w:kern w:val="0"/>
                                <w:sz w:val="32"/>
                                <w:szCs w:val="32"/>
                              </w:rPr>
                            </w:pPr>
                            <w:r>
                              <w:rPr>
                                <w:rFonts w:hint="eastAsia" w:ascii="新宋体" w:hAnsi="新宋体" w:eastAsia="新宋体" w:cs="新宋体"/>
                                <w:b/>
                                <w:w w:val="94"/>
                                <w:kern w:val="0"/>
                                <w:sz w:val="32"/>
                                <w:szCs w:val="32"/>
                              </w:rPr>
                              <w:t>项目编号：</w:t>
                            </w:r>
                          </w:p>
                          <w:p>
                            <w:pPr>
                              <w:spacing w:line="560" w:lineRule="exact"/>
                              <w:jc w:val="center"/>
                              <w:rPr>
                                <w:rFonts w:ascii="楷体_GB2312" w:hAnsi="楷体_GB2312" w:eastAsia="楷体_GB2312" w:cs="楷体_GB2312"/>
                                <w:b/>
                                <w:bCs/>
                                <w:sz w:val="44"/>
                              </w:rPr>
                            </w:pP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竣</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工</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验</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收</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报</w:t>
                            </w:r>
                          </w:p>
                          <w:p>
                            <w:pPr>
                              <w:widowControl/>
                              <w:spacing w:line="360" w:lineRule="auto"/>
                              <w:jc w:val="center"/>
                              <w:rPr>
                                <w:rFonts w:ascii="楷体_GB2312" w:hAnsi="楷体_GB2312" w:eastAsia="楷体_GB2312" w:cs="楷体_GB2312"/>
                                <w:sz w:val="28"/>
                              </w:rPr>
                            </w:pPr>
                            <w:r>
                              <w:rPr>
                                <w:rFonts w:hint="eastAsia" w:ascii="新宋体" w:hAnsi="新宋体" w:eastAsia="新宋体" w:cs="新宋体"/>
                                <w:b/>
                                <w:w w:val="94"/>
                                <w:kern w:val="0"/>
                                <w:sz w:val="52"/>
                                <w:szCs w:val="52"/>
                              </w:rPr>
                              <w:t>告</w:t>
                            </w:r>
                          </w:p>
                          <w:p>
                            <w:pPr>
                              <w:spacing w:line="440" w:lineRule="exact"/>
                              <w:rPr>
                                <w:rFonts w:ascii="楷体_GB2312" w:hAnsi="楷体_GB2312" w:eastAsia="楷体_GB2312" w:cs="楷体_GB2312"/>
                                <w:sz w:val="28"/>
                              </w:rPr>
                            </w:pPr>
                          </w:p>
                          <w:p>
                            <w:pPr>
                              <w:spacing w:line="440" w:lineRule="exact"/>
                              <w:ind w:firstLine="840" w:firstLineChars="300"/>
                              <w:rPr>
                                <w:sz w:val="28"/>
                                <w:szCs w:val="28"/>
                              </w:rPr>
                            </w:pPr>
                            <w:r>
                              <w:rPr>
                                <w:rFonts w:hint="eastAsia"/>
                                <w:sz w:val="28"/>
                                <w:szCs w:val="28"/>
                              </w:rPr>
                              <w:t>供货单位名称：    （盖公章）</w:t>
                            </w:r>
                          </w:p>
                          <w:p>
                            <w:pPr>
                              <w:spacing w:line="440" w:lineRule="exact"/>
                              <w:ind w:firstLine="840" w:firstLineChars="300"/>
                              <w:rPr>
                                <w:sz w:val="28"/>
                                <w:szCs w:val="28"/>
                              </w:rPr>
                            </w:pPr>
                            <w:r>
                              <w:rPr>
                                <w:rFonts w:hint="eastAsia"/>
                                <w:sz w:val="28"/>
                                <w:szCs w:val="28"/>
                              </w:rPr>
                              <w:t xml:space="preserve">时间： </w:t>
                            </w:r>
                            <w:r>
                              <w:rPr>
                                <w:sz w:val="28"/>
                                <w:szCs w:val="28"/>
                              </w:rPr>
                              <w:t xml:space="preserve"> </w:t>
                            </w:r>
                            <w:r>
                              <w:rPr>
                                <w:rFonts w:hint="eastAsia"/>
                                <w:sz w:val="28"/>
                                <w:szCs w:val="28"/>
                              </w:rPr>
                              <w:t xml:space="preserve"> 年</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 xml:space="preserve"> 日</w:t>
                            </w:r>
                          </w:p>
                          <w:p>
                            <w:pPr>
                              <w:spacing w:line="440" w:lineRule="exact"/>
                              <w:rPr>
                                <w:sz w:val="28"/>
                                <w:szCs w:val="28"/>
                              </w:rPr>
                            </w:pPr>
                          </w:p>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8.25pt;margin-top:14.25pt;height:535.5pt;width:439.5pt;mso-wrap-distance-bottom:3.6pt;mso-wrap-distance-left:9pt;mso-wrap-distance-right:9pt;mso-wrap-distance-top:3.6pt;z-index:251663360;mso-width-relative:page;mso-height-relative:page;" fillcolor="#FFFFFF" filled="t" stroked="t" coordsize="21600,21600" o:gfxdata="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KlryNgAAAAKAQAADwAAAAAAAAABACAAAAAiAAAAZHJz&#10;L2Rvd25yZXYueG1sUEsBAhQAFAAAAAgAh07iQAeWzCo9AgAAgAQAAA4AAAAAAAAAAQAgAAAAJwEA&#10;AGRycy9lMm9Eb2MueG1sUEsFBgAAAAAGAAYAWQEAANYFAAAAAA==&#10;">
                <v:fill on="t" focussize="0,0"/>
                <v:stroke color="#000000" miterlimit="8" joinstyle="miter"/>
                <v:imagedata o:title=""/>
                <o:lock v:ext="edit" aspectratio="f"/>
                <v:textbox>
                  <w:txbxContent>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2024年上城区教育系统X</w:t>
                      </w:r>
                      <w:r>
                        <w:rPr>
                          <w:rFonts w:ascii="新宋体" w:hAnsi="新宋体" w:eastAsia="新宋体" w:cs="新宋体"/>
                          <w:b/>
                          <w:w w:val="94"/>
                          <w:kern w:val="0"/>
                          <w:sz w:val="52"/>
                          <w:szCs w:val="52"/>
                        </w:rPr>
                        <w:t>X</w:t>
                      </w:r>
                      <w:r>
                        <w:rPr>
                          <w:rFonts w:hint="eastAsia" w:ascii="新宋体" w:hAnsi="新宋体" w:eastAsia="新宋体" w:cs="新宋体"/>
                          <w:b/>
                          <w:w w:val="94"/>
                          <w:kern w:val="0"/>
                          <w:sz w:val="52"/>
                          <w:szCs w:val="52"/>
                        </w:rPr>
                        <w:t>设备项目</w:t>
                      </w:r>
                    </w:p>
                    <w:p>
                      <w:pPr>
                        <w:widowControl/>
                        <w:spacing w:line="360" w:lineRule="auto"/>
                        <w:jc w:val="center"/>
                        <w:rPr>
                          <w:rFonts w:ascii="新宋体" w:hAnsi="新宋体" w:eastAsia="新宋体" w:cs="新宋体"/>
                          <w:b/>
                          <w:w w:val="94"/>
                          <w:kern w:val="0"/>
                          <w:sz w:val="32"/>
                          <w:szCs w:val="32"/>
                        </w:rPr>
                      </w:pPr>
                      <w:r>
                        <w:rPr>
                          <w:rFonts w:hint="eastAsia" w:ascii="新宋体" w:hAnsi="新宋体" w:eastAsia="新宋体" w:cs="新宋体"/>
                          <w:b/>
                          <w:w w:val="94"/>
                          <w:kern w:val="0"/>
                          <w:sz w:val="32"/>
                          <w:szCs w:val="32"/>
                        </w:rPr>
                        <w:t>项目编号：</w:t>
                      </w:r>
                    </w:p>
                    <w:p>
                      <w:pPr>
                        <w:spacing w:line="560" w:lineRule="exact"/>
                        <w:jc w:val="center"/>
                        <w:rPr>
                          <w:rFonts w:ascii="楷体_GB2312" w:hAnsi="楷体_GB2312" w:eastAsia="楷体_GB2312" w:cs="楷体_GB2312"/>
                          <w:b/>
                          <w:bCs/>
                          <w:sz w:val="44"/>
                        </w:rPr>
                      </w:pP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竣</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工</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验</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收</w:t>
                      </w:r>
                    </w:p>
                    <w:p>
                      <w:pPr>
                        <w:widowControl/>
                        <w:spacing w:line="360" w:lineRule="auto"/>
                        <w:jc w:val="center"/>
                        <w:rPr>
                          <w:rFonts w:ascii="新宋体" w:hAnsi="新宋体" w:eastAsia="新宋体" w:cs="新宋体"/>
                          <w:b/>
                          <w:w w:val="94"/>
                          <w:kern w:val="0"/>
                          <w:sz w:val="52"/>
                          <w:szCs w:val="52"/>
                        </w:rPr>
                      </w:pPr>
                      <w:r>
                        <w:rPr>
                          <w:rFonts w:hint="eastAsia" w:ascii="新宋体" w:hAnsi="新宋体" w:eastAsia="新宋体" w:cs="新宋体"/>
                          <w:b/>
                          <w:w w:val="94"/>
                          <w:kern w:val="0"/>
                          <w:sz w:val="52"/>
                          <w:szCs w:val="52"/>
                        </w:rPr>
                        <w:t>报</w:t>
                      </w:r>
                    </w:p>
                    <w:p>
                      <w:pPr>
                        <w:widowControl/>
                        <w:spacing w:line="360" w:lineRule="auto"/>
                        <w:jc w:val="center"/>
                        <w:rPr>
                          <w:rFonts w:ascii="楷体_GB2312" w:hAnsi="楷体_GB2312" w:eastAsia="楷体_GB2312" w:cs="楷体_GB2312"/>
                          <w:sz w:val="28"/>
                        </w:rPr>
                      </w:pPr>
                      <w:r>
                        <w:rPr>
                          <w:rFonts w:hint="eastAsia" w:ascii="新宋体" w:hAnsi="新宋体" w:eastAsia="新宋体" w:cs="新宋体"/>
                          <w:b/>
                          <w:w w:val="94"/>
                          <w:kern w:val="0"/>
                          <w:sz w:val="52"/>
                          <w:szCs w:val="52"/>
                        </w:rPr>
                        <w:t>告</w:t>
                      </w:r>
                    </w:p>
                    <w:p>
                      <w:pPr>
                        <w:spacing w:line="440" w:lineRule="exact"/>
                        <w:rPr>
                          <w:rFonts w:ascii="楷体_GB2312" w:hAnsi="楷体_GB2312" w:eastAsia="楷体_GB2312" w:cs="楷体_GB2312"/>
                          <w:sz w:val="28"/>
                        </w:rPr>
                      </w:pPr>
                    </w:p>
                    <w:p>
                      <w:pPr>
                        <w:spacing w:line="440" w:lineRule="exact"/>
                        <w:ind w:firstLine="840" w:firstLineChars="300"/>
                        <w:rPr>
                          <w:sz w:val="28"/>
                          <w:szCs w:val="28"/>
                        </w:rPr>
                      </w:pPr>
                      <w:r>
                        <w:rPr>
                          <w:rFonts w:hint="eastAsia"/>
                          <w:sz w:val="28"/>
                          <w:szCs w:val="28"/>
                        </w:rPr>
                        <w:t>供货单位名称：    （盖公章）</w:t>
                      </w:r>
                    </w:p>
                    <w:p>
                      <w:pPr>
                        <w:spacing w:line="440" w:lineRule="exact"/>
                        <w:ind w:firstLine="840" w:firstLineChars="300"/>
                        <w:rPr>
                          <w:sz w:val="28"/>
                          <w:szCs w:val="28"/>
                        </w:rPr>
                      </w:pPr>
                      <w:r>
                        <w:rPr>
                          <w:rFonts w:hint="eastAsia"/>
                          <w:sz w:val="28"/>
                          <w:szCs w:val="28"/>
                        </w:rPr>
                        <w:t xml:space="preserve">时间： </w:t>
                      </w:r>
                      <w:r>
                        <w:rPr>
                          <w:sz w:val="28"/>
                          <w:szCs w:val="28"/>
                        </w:rPr>
                        <w:t xml:space="preserve"> </w:t>
                      </w:r>
                      <w:r>
                        <w:rPr>
                          <w:rFonts w:hint="eastAsia"/>
                          <w:sz w:val="28"/>
                          <w:szCs w:val="28"/>
                        </w:rPr>
                        <w:t xml:space="preserve"> 年</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 xml:space="preserve"> 日</w:t>
                      </w:r>
                    </w:p>
                    <w:p>
                      <w:pPr>
                        <w:spacing w:line="440" w:lineRule="exact"/>
                        <w:rPr>
                          <w:sz w:val="28"/>
                          <w:szCs w:val="28"/>
                        </w:rPr>
                      </w:pPr>
                    </w:p>
                    <w:p/>
                  </w:txbxContent>
                </v:textbox>
                <w10:wrap type="square"/>
              </v:shape>
            </w:pict>
          </mc:Fallback>
        </mc:AlternateContent>
      </w:r>
    </w:p>
    <w:p>
      <w:pPr>
        <w:pStyle w:val="6"/>
        <w:rPr>
          <w:color w:val="auto"/>
          <w:highlight w:val="none"/>
        </w:rPr>
      </w:pPr>
    </w:p>
    <w:p>
      <w:pPr>
        <w:pStyle w:val="6"/>
        <w:jc w:val="center"/>
        <w:rPr>
          <w:rFonts w:ascii="宋体" w:hAnsi="宋体"/>
          <w:color w:val="auto"/>
          <w:szCs w:val="24"/>
          <w:highlight w:val="none"/>
        </w:rPr>
      </w:pPr>
      <w:r>
        <w:rPr>
          <w:color w:val="auto"/>
          <w:highlight w:val="none"/>
        </w:rPr>
        <w:br w:type="page"/>
      </w:r>
    </w:p>
    <w:p>
      <w:pPr>
        <w:jc w:val="center"/>
        <w:rPr>
          <w:b/>
          <w:color w:val="auto"/>
          <w:sz w:val="36"/>
          <w:szCs w:val="36"/>
          <w:highlight w:val="none"/>
        </w:rPr>
      </w:pPr>
      <w:r>
        <w:rPr>
          <w:rFonts w:hint="eastAsia"/>
          <w:b/>
          <w:color w:val="auto"/>
          <w:sz w:val="36"/>
          <w:szCs w:val="36"/>
          <w:highlight w:val="none"/>
        </w:rPr>
        <w:t>杭州市上城区学校货物验收回复单</w:t>
      </w:r>
    </w:p>
    <w:p>
      <w:pPr>
        <w:jc w:val="left"/>
        <w:rPr>
          <w:b/>
          <w:color w:val="auto"/>
          <w:sz w:val="24"/>
          <w:highlight w:val="none"/>
        </w:rPr>
      </w:pPr>
    </w:p>
    <w:p>
      <w:pPr>
        <w:jc w:val="left"/>
        <w:rPr>
          <w:b/>
          <w:color w:val="auto"/>
          <w:sz w:val="24"/>
          <w:highlight w:val="none"/>
        </w:rPr>
      </w:pPr>
      <w:r>
        <w:rPr>
          <w:rFonts w:hint="eastAsia"/>
          <w:b/>
          <w:color w:val="auto"/>
          <w:sz w:val="24"/>
          <w:highlight w:val="none"/>
        </w:rPr>
        <w:t>上城区财政采购预算号：</w:t>
      </w:r>
    </w:p>
    <w:p>
      <w:pPr>
        <w:jc w:val="left"/>
        <w:rPr>
          <w:b/>
          <w:color w:val="auto"/>
          <w:sz w:val="24"/>
          <w:highlight w:val="none"/>
        </w:rPr>
      </w:pPr>
      <w:r>
        <w:rPr>
          <w:rFonts w:hint="eastAsia"/>
          <w:b/>
          <w:color w:val="auto"/>
          <w:sz w:val="24"/>
          <w:highlight w:val="none"/>
        </w:rPr>
        <w:t>采购计划文号：上城政采集-2024-0000{SCZFCG-YS-2024-000}</w:t>
      </w:r>
    </w:p>
    <w:p>
      <w:pPr>
        <w:jc w:val="left"/>
        <w:rPr>
          <w:b/>
          <w:color w:val="auto"/>
          <w:sz w:val="24"/>
          <w:highlight w:val="none"/>
        </w:rPr>
      </w:pPr>
    </w:p>
    <w:p>
      <w:pPr>
        <w:jc w:val="left"/>
        <w:rPr>
          <w:b/>
          <w:color w:val="auto"/>
          <w:sz w:val="24"/>
          <w:highlight w:val="none"/>
        </w:rPr>
      </w:pPr>
      <w:r>
        <w:rPr>
          <w:rFonts w:hint="eastAsia"/>
          <w:b/>
          <w:color w:val="auto"/>
          <w:sz w:val="24"/>
          <w:highlight w:val="none"/>
        </w:rPr>
        <w:t>一、采购单位信息</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592"/>
        <w:gridCol w:w="952"/>
        <w:gridCol w:w="1553"/>
        <w:gridCol w:w="127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jc w:val="center"/>
              <w:rPr>
                <w:color w:val="auto"/>
                <w:sz w:val="24"/>
                <w:highlight w:val="none"/>
              </w:rPr>
            </w:pPr>
            <w:r>
              <w:rPr>
                <w:rFonts w:hint="eastAsia"/>
                <w:color w:val="auto"/>
                <w:sz w:val="24"/>
                <w:highlight w:val="none"/>
              </w:rPr>
              <w:t>单位名称</w:t>
            </w:r>
          </w:p>
        </w:tc>
        <w:tc>
          <w:tcPr>
            <w:tcW w:w="1592" w:type="dxa"/>
            <w:vAlign w:val="center"/>
          </w:tcPr>
          <w:p>
            <w:pPr>
              <w:jc w:val="center"/>
              <w:rPr>
                <w:color w:val="auto"/>
                <w:sz w:val="24"/>
                <w:highlight w:val="none"/>
              </w:rPr>
            </w:pPr>
          </w:p>
        </w:tc>
        <w:tc>
          <w:tcPr>
            <w:tcW w:w="952" w:type="dxa"/>
            <w:vAlign w:val="center"/>
          </w:tcPr>
          <w:p>
            <w:pPr>
              <w:jc w:val="center"/>
              <w:rPr>
                <w:color w:val="auto"/>
                <w:sz w:val="24"/>
                <w:highlight w:val="none"/>
              </w:rPr>
            </w:pPr>
            <w:r>
              <w:rPr>
                <w:rFonts w:hint="eastAsia"/>
                <w:color w:val="auto"/>
                <w:sz w:val="24"/>
                <w:highlight w:val="none"/>
              </w:rPr>
              <w:t>联系人</w:t>
            </w:r>
          </w:p>
        </w:tc>
        <w:tc>
          <w:tcPr>
            <w:tcW w:w="1553" w:type="dxa"/>
            <w:vAlign w:val="center"/>
          </w:tcPr>
          <w:p>
            <w:pPr>
              <w:jc w:val="center"/>
              <w:rPr>
                <w:color w:val="auto"/>
                <w:sz w:val="24"/>
                <w:highlight w:val="none"/>
              </w:rPr>
            </w:pPr>
          </w:p>
        </w:tc>
        <w:tc>
          <w:tcPr>
            <w:tcW w:w="1273" w:type="dxa"/>
            <w:vAlign w:val="center"/>
          </w:tcPr>
          <w:p>
            <w:pPr>
              <w:jc w:val="center"/>
              <w:rPr>
                <w:color w:val="auto"/>
                <w:sz w:val="24"/>
                <w:highlight w:val="none"/>
              </w:rPr>
            </w:pPr>
            <w:r>
              <w:rPr>
                <w:rFonts w:hint="eastAsia"/>
                <w:color w:val="auto"/>
                <w:sz w:val="24"/>
                <w:highlight w:val="none"/>
              </w:rPr>
              <w:t>联系电话</w:t>
            </w:r>
          </w:p>
        </w:tc>
        <w:tc>
          <w:tcPr>
            <w:tcW w:w="1886" w:type="dxa"/>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5" w:type="dxa"/>
            <w:gridSpan w:val="6"/>
          </w:tcPr>
          <w:p>
            <w:pPr>
              <w:jc w:val="left"/>
              <w:rPr>
                <w:color w:val="auto"/>
                <w:sz w:val="24"/>
                <w:highlight w:val="none"/>
              </w:rPr>
            </w:pPr>
            <w:r>
              <w:rPr>
                <w:rFonts w:hint="eastAsia"/>
                <w:color w:val="auto"/>
                <w:sz w:val="24"/>
                <w:highlight w:val="none"/>
              </w:rPr>
              <w:t>收货地址：</w:t>
            </w:r>
          </w:p>
        </w:tc>
      </w:tr>
    </w:tbl>
    <w:p>
      <w:pPr>
        <w:jc w:val="left"/>
        <w:rPr>
          <w:b/>
          <w:color w:val="auto"/>
          <w:szCs w:val="21"/>
          <w:highlight w:val="none"/>
        </w:rPr>
      </w:pPr>
      <w:r>
        <w:rPr>
          <w:rFonts w:hint="eastAsia"/>
          <w:b/>
          <w:color w:val="auto"/>
          <w:szCs w:val="21"/>
          <w:highlight w:val="none"/>
        </w:rPr>
        <w:t>二、供货商信息</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592"/>
        <w:gridCol w:w="952"/>
        <w:gridCol w:w="1553"/>
        <w:gridCol w:w="127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jc w:val="center"/>
              <w:rPr>
                <w:color w:val="auto"/>
                <w:sz w:val="24"/>
                <w:highlight w:val="none"/>
              </w:rPr>
            </w:pPr>
            <w:r>
              <w:rPr>
                <w:rFonts w:hint="eastAsia"/>
                <w:color w:val="auto"/>
                <w:sz w:val="24"/>
                <w:highlight w:val="none"/>
              </w:rPr>
              <w:t>单位名称</w:t>
            </w:r>
          </w:p>
        </w:tc>
        <w:tc>
          <w:tcPr>
            <w:tcW w:w="1592" w:type="dxa"/>
            <w:vAlign w:val="center"/>
          </w:tcPr>
          <w:p>
            <w:pPr>
              <w:jc w:val="center"/>
              <w:rPr>
                <w:color w:val="auto"/>
                <w:sz w:val="24"/>
                <w:highlight w:val="none"/>
              </w:rPr>
            </w:pPr>
          </w:p>
        </w:tc>
        <w:tc>
          <w:tcPr>
            <w:tcW w:w="952" w:type="dxa"/>
            <w:vAlign w:val="center"/>
          </w:tcPr>
          <w:p>
            <w:pPr>
              <w:jc w:val="center"/>
              <w:rPr>
                <w:color w:val="auto"/>
                <w:sz w:val="24"/>
                <w:highlight w:val="none"/>
              </w:rPr>
            </w:pPr>
            <w:r>
              <w:rPr>
                <w:rFonts w:hint="eastAsia"/>
                <w:color w:val="auto"/>
                <w:sz w:val="24"/>
                <w:highlight w:val="none"/>
              </w:rPr>
              <w:t>联系人</w:t>
            </w:r>
          </w:p>
        </w:tc>
        <w:tc>
          <w:tcPr>
            <w:tcW w:w="1553" w:type="dxa"/>
            <w:vAlign w:val="center"/>
          </w:tcPr>
          <w:p>
            <w:pPr>
              <w:jc w:val="center"/>
              <w:rPr>
                <w:color w:val="auto"/>
                <w:sz w:val="24"/>
                <w:highlight w:val="none"/>
              </w:rPr>
            </w:pPr>
          </w:p>
        </w:tc>
        <w:tc>
          <w:tcPr>
            <w:tcW w:w="1273" w:type="dxa"/>
            <w:vAlign w:val="center"/>
          </w:tcPr>
          <w:p>
            <w:pPr>
              <w:jc w:val="center"/>
              <w:rPr>
                <w:color w:val="auto"/>
                <w:sz w:val="24"/>
                <w:highlight w:val="none"/>
              </w:rPr>
            </w:pPr>
            <w:r>
              <w:rPr>
                <w:rFonts w:hint="eastAsia"/>
                <w:color w:val="auto"/>
                <w:sz w:val="24"/>
                <w:highlight w:val="none"/>
              </w:rPr>
              <w:t>联系电话</w:t>
            </w:r>
          </w:p>
        </w:tc>
        <w:tc>
          <w:tcPr>
            <w:tcW w:w="1886" w:type="dxa"/>
            <w:vAlign w:val="center"/>
          </w:tcPr>
          <w:p>
            <w:pPr>
              <w:jc w:val="center"/>
              <w:rPr>
                <w:color w:val="auto"/>
                <w:sz w:val="24"/>
                <w:highlight w:val="none"/>
              </w:rPr>
            </w:pPr>
          </w:p>
        </w:tc>
      </w:tr>
    </w:tbl>
    <w:p>
      <w:pPr>
        <w:jc w:val="left"/>
        <w:rPr>
          <w:b/>
          <w:color w:val="auto"/>
          <w:szCs w:val="21"/>
          <w:highlight w:val="none"/>
        </w:rPr>
      </w:pPr>
      <w:r>
        <w:rPr>
          <w:rFonts w:hint="eastAsia"/>
          <w:b/>
          <w:color w:val="auto"/>
          <w:szCs w:val="21"/>
          <w:highlight w:val="none"/>
        </w:rPr>
        <w:t>三、货物信息</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318"/>
        <w:gridCol w:w="1225"/>
        <w:gridCol w:w="989"/>
        <w:gridCol w:w="986"/>
        <w:gridCol w:w="1067"/>
        <w:gridCol w:w="1067"/>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jc w:val="center"/>
              <w:rPr>
                <w:color w:val="auto"/>
                <w:sz w:val="24"/>
                <w:highlight w:val="none"/>
              </w:rPr>
            </w:pPr>
            <w:r>
              <w:rPr>
                <w:rFonts w:hint="eastAsia"/>
                <w:color w:val="auto"/>
                <w:sz w:val="24"/>
                <w:highlight w:val="none"/>
              </w:rPr>
              <w:t>序号</w:t>
            </w:r>
          </w:p>
        </w:tc>
        <w:tc>
          <w:tcPr>
            <w:tcW w:w="1318" w:type="dxa"/>
            <w:vAlign w:val="center"/>
          </w:tcPr>
          <w:p>
            <w:pPr>
              <w:jc w:val="center"/>
              <w:rPr>
                <w:color w:val="auto"/>
                <w:sz w:val="24"/>
                <w:highlight w:val="none"/>
              </w:rPr>
            </w:pPr>
            <w:r>
              <w:rPr>
                <w:rFonts w:hint="eastAsia"/>
                <w:color w:val="auto"/>
                <w:sz w:val="24"/>
                <w:highlight w:val="none"/>
              </w:rPr>
              <w:t>货物名称</w:t>
            </w:r>
          </w:p>
        </w:tc>
        <w:tc>
          <w:tcPr>
            <w:tcW w:w="1225" w:type="dxa"/>
            <w:vAlign w:val="center"/>
          </w:tcPr>
          <w:p>
            <w:pPr>
              <w:jc w:val="center"/>
              <w:rPr>
                <w:color w:val="auto"/>
                <w:sz w:val="24"/>
                <w:highlight w:val="none"/>
              </w:rPr>
            </w:pPr>
            <w:r>
              <w:rPr>
                <w:rFonts w:hint="eastAsia"/>
                <w:color w:val="auto"/>
                <w:sz w:val="24"/>
                <w:highlight w:val="none"/>
              </w:rPr>
              <w:t>型号规格</w:t>
            </w:r>
          </w:p>
        </w:tc>
        <w:tc>
          <w:tcPr>
            <w:tcW w:w="989" w:type="dxa"/>
            <w:vAlign w:val="center"/>
          </w:tcPr>
          <w:p>
            <w:pPr>
              <w:jc w:val="center"/>
              <w:rPr>
                <w:color w:val="auto"/>
                <w:sz w:val="24"/>
                <w:highlight w:val="none"/>
              </w:rPr>
            </w:pPr>
            <w:r>
              <w:rPr>
                <w:rFonts w:hint="eastAsia"/>
                <w:color w:val="auto"/>
                <w:sz w:val="24"/>
                <w:highlight w:val="none"/>
              </w:rPr>
              <w:t>制造商</w:t>
            </w:r>
          </w:p>
        </w:tc>
        <w:tc>
          <w:tcPr>
            <w:tcW w:w="986" w:type="dxa"/>
            <w:vAlign w:val="center"/>
          </w:tcPr>
          <w:p>
            <w:pPr>
              <w:jc w:val="center"/>
              <w:rPr>
                <w:color w:val="auto"/>
                <w:sz w:val="24"/>
                <w:highlight w:val="none"/>
              </w:rPr>
            </w:pPr>
            <w:r>
              <w:rPr>
                <w:rFonts w:hint="eastAsia"/>
                <w:color w:val="auto"/>
                <w:sz w:val="24"/>
                <w:highlight w:val="none"/>
              </w:rPr>
              <w:t>原产地</w:t>
            </w:r>
          </w:p>
        </w:tc>
        <w:tc>
          <w:tcPr>
            <w:tcW w:w="1067" w:type="dxa"/>
            <w:vAlign w:val="center"/>
          </w:tcPr>
          <w:p>
            <w:pPr>
              <w:jc w:val="center"/>
              <w:rPr>
                <w:color w:val="auto"/>
                <w:sz w:val="24"/>
                <w:highlight w:val="none"/>
              </w:rPr>
            </w:pPr>
            <w:r>
              <w:rPr>
                <w:rFonts w:hint="eastAsia"/>
                <w:color w:val="auto"/>
                <w:sz w:val="24"/>
                <w:highlight w:val="none"/>
              </w:rPr>
              <w:t>数量</w:t>
            </w:r>
          </w:p>
        </w:tc>
        <w:tc>
          <w:tcPr>
            <w:tcW w:w="1067" w:type="dxa"/>
            <w:vAlign w:val="center"/>
          </w:tcPr>
          <w:p>
            <w:pPr>
              <w:jc w:val="center"/>
              <w:rPr>
                <w:color w:val="auto"/>
                <w:sz w:val="24"/>
                <w:highlight w:val="none"/>
              </w:rPr>
            </w:pPr>
            <w:r>
              <w:rPr>
                <w:rFonts w:hint="eastAsia"/>
                <w:color w:val="auto"/>
                <w:sz w:val="24"/>
                <w:highlight w:val="none"/>
              </w:rPr>
              <w:t>单位</w:t>
            </w:r>
          </w:p>
        </w:tc>
        <w:tc>
          <w:tcPr>
            <w:tcW w:w="1029" w:type="dxa"/>
            <w:vAlign w:val="center"/>
          </w:tcPr>
          <w:p>
            <w:pPr>
              <w:jc w:val="center"/>
              <w:rPr>
                <w:color w:val="auto"/>
                <w:sz w:val="24"/>
                <w:highlight w:val="none"/>
              </w:rPr>
            </w:pPr>
            <w:r>
              <w:rPr>
                <w:rFonts w:hint="eastAsia"/>
                <w:color w:val="auto"/>
                <w:sz w:val="24"/>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jc w:val="center"/>
              <w:rPr>
                <w:color w:val="auto"/>
                <w:sz w:val="24"/>
                <w:highlight w:val="none"/>
              </w:rPr>
            </w:pPr>
            <w:r>
              <w:rPr>
                <w:rFonts w:hint="eastAsia"/>
                <w:color w:val="auto"/>
                <w:sz w:val="24"/>
                <w:highlight w:val="none"/>
              </w:rPr>
              <w:t>1</w:t>
            </w:r>
          </w:p>
        </w:tc>
        <w:tc>
          <w:tcPr>
            <w:tcW w:w="1318" w:type="dxa"/>
            <w:vAlign w:val="center"/>
          </w:tcPr>
          <w:p>
            <w:pPr>
              <w:jc w:val="center"/>
              <w:rPr>
                <w:color w:val="auto"/>
                <w:sz w:val="24"/>
                <w:highlight w:val="none"/>
              </w:rPr>
            </w:pPr>
          </w:p>
        </w:tc>
        <w:tc>
          <w:tcPr>
            <w:tcW w:w="1225" w:type="dxa"/>
            <w:vAlign w:val="center"/>
          </w:tcPr>
          <w:p>
            <w:pPr>
              <w:jc w:val="center"/>
              <w:rPr>
                <w:color w:val="auto"/>
                <w:sz w:val="24"/>
                <w:highlight w:val="none"/>
              </w:rPr>
            </w:pPr>
          </w:p>
        </w:tc>
        <w:tc>
          <w:tcPr>
            <w:tcW w:w="989" w:type="dxa"/>
            <w:vAlign w:val="center"/>
          </w:tcPr>
          <w:p>
            <w:pPr>
              <w:jc w:val="center"/>
              <w:rPr>
                <w:color w:val="auto"/>
                <w:sz w:val="24"/>
                <w:highlight w:val="none"/>
              </w:rPr>
            </w:pPr>
          </w:p>
        </w:tc>
        <w:tc>
          <w:tcPr>
            <w:tcW w:w="986" w:type="dxa"/>
            <w:vAlign w:val="center"/>
          </w:tcPr>
          <w:p>
            <w:pPr>
              <w:jc w:val="center"/>
              <w:rPr>
                <w:color w:val="auto"/>
                <w:sz w:val="24"/>
                <w:highlight w:val="none"/>
              </w:rPr>
            </w:pPr>
          </w:p>
        </w:tc>
        <w:tc>
          <w:tcPr>
            <w:tcW w:w="1067" w:type="dxa"/>
            <w:vAlign w:val="center"/>
          </w:tcPr>
          <w:p>
            <w:pPr>
              <w:jc w:val="center"/>
              <w:rPr>
                <w:color w:val="auto"/>
                <w:sz w:val="24"/>
                <w:highlight w:val="none"/>
              </w:rPr>
            </w:pPr>
          </w:p>
        </w:tc>
        <w:tc>
          <w:tcPr>
            <w:tcW w:w="1067" w:type="dxa"/>
            <w:vAlign w:val="center"/>
          </w:tcPr>
          <w:p>
            <w:pPr>
              <w:jc w:val="center"/>
              <w:rPr>
                <w:color w:val="auto"/>
                <w:sz w:val="24"/>
                <w:highlight w:val="none"/>
              </w:rPr>
            </w:pPr>
          </w:p>
        </w:tc>
        <w:tc>
          <w:tcPr>
            <w:tcW w:w="1029" w:type="dxa"/>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jc w:val="center"/>
              <w:rPr>
                <w:color w:val="auto"/>
                <w:sz w:val="24"/>
                <w:highlight w:val="none"/>
              </w:rPr>
            </w:pPr>
            <w:r>
              <w:rPr>
                <w:rFonts w:hint="eastAsia"/>
                <w:color w:val="auto"/>
                <w:sz w:val="24"/>
                <w:highlight w:val="none"/>
              </w:rPr>
              <w:t>2</w:t>
            </w:r>
          </w:p>
        </w:tc>
        <w:tc>
          <w:tcPr>
            <w:tcW w:w="1318" w:type="dxa"/>
            <w:vAlign w:val="center"/>
          </w:tcPr>
          <w:p>
            <w:pPr>
              <w:jc w:val="center"/>
              <w:rPr>
                <w:color w:val="auto"/>
                <w:sz w:val="24"/>
                <w:highlight w:val="none"/>
              </w:rPr>
            </w:pPr>
          </w:p>
        </w:tc>
        <w:tc>
          <w:tcPr>
            <w:tcW w:w="1225" w:type="dxa"/>
            <w:vAlign w:val="center"/>
          </w:tcPr>
          <w:p>
            <w:pPr>
              <w:jc w:val="center"/>
              <w:rPr>
                <w:color w:val="auto"/>
                <w:sz w:val="24"/>
                <w:highlight w:val="none"/>
              </w:rPr>
            </w:pPr>
          </w:p>
        </w:tc>
        <w:tc>
          <w:tcPr>
            <w:tcW w:w="989" w:type="dxa"/>
            <w:vAlign w:val="center"/>
          </w:tcPr>
          <w:p>
            <w:pPr>
              <w:jc w:val="center"/>
              <w:rPr>
                <w:color w:val="auto"/>
                <w:sz w:val="24"/>
                <w:highlight w:val="none"/>
              </w:rPr>
            </w:pPr>
          </w:p>
        </w:tc>
        <w:tc>
          <w:tcPr>
            <w:tcW w:w="986" w:type="dxa"/>
            <w:vAlign w:val="center"/>
          </w:tcPr>
          <w:p>
            <w:pPr>
              <w:jc w:val="center"/>
              <w:rPr>
                <w:color w:val="auto"/>
                <w:sz w:val="24"/>
                <w:highlight w:val="none"/>
              </w:rPr>
            </w:pPr>
          </w:p>
        </w:tc>
        <w:tc>
          <w:tcPr>
            <w:tcW w:w="1067" w:type="dxa"/>
            <w:vAlign w:val="center"/>
          </w:tcPr>
          <w:p>
            <w:pPr>
              <w:jc w:val="center"/>
              <w:rPr>
                <w:color w:val="auto"/>
                <w:sz w:val="24"/>
                <w:highlight w:val="none"/>
              </w:rPr>
            </w:pPr>
          </w:p>
        </w:tc>
        <w:tc>
          <w:tcPr>
            <w:tcW w:w="1067" w:type="dxa"/>
            <w:vAlign w:val="center"/>
          </w:tcPr>
          <w:p>
            <w:pPr>
              <w:jc w:val="center"/>
              <w:rPr>
                <w:color w:val="auto"/>
                <w:sz w:val="24"/>
                <w:highlight w:val="none"/>
              </w:rPr>
            </w:pPr>
          </w:p>
        </w:tc>
        <w:tc>
          <w:tcPr>
            <w:tcW w:w="1029" w:type="dxa"/>
            <w:vAlign w:val="center"/>
          </w:tcPr>
          <w:p>
            <w:pPr>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5" w:type="dxa"/>
            <w:gridSpan w:val="8"/>
            <w:vAlign w:val="center"/>
          </w:tcPr>
          <w:p>
            <w:pPr>
              <w:rPr>
                <w:color w:val="auto"/>
                <w:sz w:val="24"/>
                <w:highlight w:val="none"/>
              </w:rPr>
            </w:pPr>
            <w:r>
              <w:rPr>
                <w:rFonts w:hint="eastAsia"/>
                <w:color w:val="auto"/>
                <w:sz w:val="24"/>
                <w:highlight w:val="none"/>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5" w:type="dxa"/>
            <w:gridSpan w:val="8"/>
            <w:vAlign w:val="center"/>
          </w:tcPr>
          <w:p>
            <w:pPr>
              <w:rPr>
                <w:color w:val="auto"/>
                <w:sz w:val="24"/>
                <w:highlight w:val="none"/>
              </w:rPr>
            </w:pPr>
            <w:r>
              <w:rPr>
                <w:rFonts w:hint="eastAsia"/>
                <w:color w:val="auto"/>
                <w:sz w:val="24"/>
                <w:highlight w:val="none"/>
              </w:rPr>
              <w:t>合计人民币（大写）：</w:t>
            </w:r>
          </w:p>
        </w:tc>
      </w:tr>
    </w:tbl>
    <w:p>
      <w:pPr>
        <w:jc w:val="left"/>
        <w:rPr>
          <w:b/>
          <w:color w:val="auto"/>
          <w:szCs w:val="21"/>
          <w:highlight w:val="none"/>
        </w:rPr>
      </w:pPr>
      <w:r>
        <w:rPr>
          <w:rFonts w:hint="eastAsia"/>
          <w:b/>
          <w:color w:val="auto"/>
          <w:szCs w:val="21"/>
          <w:highlight w:val="none"/>
        </w:rPr>
        <w:t>四、验收信息</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7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jc w:val="center"/>
              <w:rPr>
                <w:color w:val="auto"/>
                <w:sz w:val="24"/>
                <w:highlight w:val="none"/>
              </w:rPr>
            </w:pPr>
            <w:r>
              <w:rPr>
                <w:rFonts w:hint="eastAsia"/>
                <w:color w:val="auto"/>
                <w:sz w:val="24"/>
                <w:highlight w:val="none"/>
              </w:rPr>
              <w:t>验收情况</w:t>
            </w:r>
          </w:p>
        </w:tc>
        <w:tc>
          <w:tcPr>
            <w:tcW w:w="7256" w:type="dxa"/>
          </w:tcPr>
          <w:p>
            <w:pPr>
              <w:jc w:val="left"/>
              <w:rPr>
                <w:color w:val="auto"/>
                <w:sz w:val="24"/>
                <w:highlight w:val="none"/>
              </w:rPr>
            </w:pPr>
            <w:r>
              <w:rPr>
                <w:rFonts w:hint="eastAsia"/>
                <w:color w:val="auto"/>
                <w:sz w:val="24"/>
                <w:highlight w:val="none"/>
              </w:rPr>
              <w:t>1.收到货物数量预订单数量是否一致？             是</w:t>
            </w:r>
            <w:r>
              <w:rPr>
                <w:rFonts w:hint="eastAsia" w:ascii="宋体" w:hAnsi="宋体"/>
                <w:color w:val="auto"/>
                <w:sz w:val="24"/>
                <w:highlight w:val="none"/>
              </w:rPr>
              <w:t>□</w:t>
            </w:r>
            <w:r>
              <w:rPr>
                <w:rFonts w:hint="eastAsia"/>
                <w:color w:val="auto"/>
                <w:sz w:val="24"/>
                <w:highlight w:val="none"/>
              </w:rPr>
              <w:t xml:space="preserve">   否□</w:t>
            </w:r>
          </w:p>
          <w:p>
            <w:pPr>
              <w:jc w:val="left"/>
              <w:rPr>
                <w:color w:val="auto"/>
                <w:sz w:val="24"/>
                <w:highlight w:val="none"/>
              </w:rPr>
            </w:pPr>
            <w:r>
              <w:rPr>
                <w:rFonts w:hint="eastAsia"/>
                <w:color w:val="auto"/>
                <w:sz w:val="24"/>
                <w:highlight w:val="none"/>
              </w:rPr>
              <w:t>2.内外包装是否完好？                           是□   否□</w:t>
            </w:r>
          </w:p>
          <w:p>
            <w:pPr>
              <w:jc w:val="left"/>
              <w:rPr>
                <w:color w:val="auto"/>
                <w:sz w:val="24"/>
                <w:highlight w:val="none"/>
              </w:rPr>
            </w:pPr>
            <w:r>
              <w:rPr>
                <w:rFonts w:hint="eastAsia"/>
                <w:color w:val="auto"/>
                <w:sz w:val="24"/>
                <w:highlight w:val="none"/>
              </w:rPr>
              <w:t>3.配置是否正确？                               是□   否□</w:t>
            </w:r>
          </w:p>
          <w:p>
            <w:pPr>
              <w:jc w:val="left"/>
              <w:rPr>
                <w:color w:val="auto"/>
                <w:sz w:val="24"/>
                <w:highlight w:val="none"/>
              </w:rPr>
            </w:pPr>
            <w:r>
              <w:rPr>
                <w:rFonts w:hint="eastAsia"/>
                <w:color w:val="auto"/>
                <w:sz w:val="24"/>
                <w:highlight w:val="none"/>
              </w:rPr>
              <w:t>4.箱内货物及配件与装箱清单数量是否一致？       是□   否□</w:t>
            </w:r>
          </w:p>
          <w:p>
            <w:pPr>
              <w:jc w:val="left"/>
              <w:rPr>
                <w:color w:val="auto"/>
                <w:sz w:val="24"/>
                <w:highlight w:val="none"/>
              </w:rPr>
            </w:pPr>
            <w:r>
              <w:rPr>
                <w:rFonts w:hint="eastAsia"/>
                <w:color w:val="auto"/>
                <w:sz w:val="24"/>
                <w:highlight w:val="none"/>
              </w:rPr>
              <w:t>5.品牌、型号是否正确？                         是□   否□</w:t>
            </w:r>
          </w:p>
          <w:p>
            <w:pPr>
              <w:jc w:val="left"/>
              <w:rPr>
                <w:color w:val="auto"/>
                <w:sz w:val="24"/>
                <w:highlight w:val="none"/>
              </w:rPr>
            </w:pPr>
            <w:r>
              <w:rPr>
                <w:rFonts w:hint="eastAsia"/>
                <w:color w:val="auto"/>
                <w:sz w:val="24"/>
                <w:highlight w:val="none"/>
              </w:rPr>
              <w:t>6.安装调试是否正常？                           是□   否□</w:t>
            </w:r>
          </w:p>
          <w:p>
            <w:pPr>
              <w:jc w:val="left"/>
              <w:rPr>
                <w:color w:val="auto"/>
                <w:sz w:val="24"/>
                <w:highlight w:val="none"/>
              </w:rPr>
            </w:pPr>
            <w:r>
              <w:rPr>
                <w:rFonts w:hint="eastAsia"/>
                <w:color w:val="auto"/>
                <w:sz w:val="24"/>
                <w:highlight w:val="none"/>
              </w:rPr>
              <w:t>7.是否有保修卡？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239" w:type="dxa"/>
            <w:vAlign w:val="center"/>
          </w:tcPr>
          <w:p>
            <w:pPr>
              <w:jc w:val="center"/>
              <w:rPr>
                <w:color w:val="auto"/>
                <w:sz w:val="24"/>
                <w:highlight w:val="none"/>
              </w:rPr>
            </w:pPr>
            <w:r>
              <w:rPr>
                <w:rFonts w:hint="eastAsia"/>
                <w:color w:val="auto"/>
                <w:sz w:val="24"/>
                <w:highlight w:val="none"/>
              </w:rPr>
              <w:t>验收意见</w:t>
            </w:r>
          </w:p>
        </w:tc>
        <w:tc>
          <w:tcPr>
            <w:tcW w:w="7256" w:type="dxa"/>
          </w:tcPr>
          <w:p>
            <w:pPr>
              <w:jc w:val="left"/>
              <w:rPr>
                <w:color w:val="auto"/>
                <w:sz w:val="24"/>
                <w:highlight w:val="none"/>
              </w:rPr>
            </w:pPr>
          </w:p>
          <w:p>
            <w:pPr>
              <w:jc w:val="left"/>
              <w:rPr>
                <w:color w:val="auto"/>
                <w:sz w:val="24"/>
                <w:highlight w:val="none"/>
              </w:rPr>
            </w:pPr>
          </w:p>
          <w:p>
            <w:pPr>
              <w:jc w:val="left"/>
              <w:rPr>
                <w:color w:val="auto"/>
                <w:sz w:val="24"/>
                <w:highlight w:val="none"/>
              </w:rPr>
            </w:pPr>
          </w:p>
          <w:p>
            <w:pPr>
              <w:jc w:val="left"/>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495" w:type="dxa"/>
            <w:gridSpan w:val="2"/>
            <w:vAlign w:val="center"/>
          </w:tcPr>
          <w:p>
            <w:pPr>
              <w:rPr>
                <w:color w:val="auto"/>
                <w:sz w:val="24"/>
                <w:highlight w:val="none"/>
              </w:rPr>
            </w:pPr>
            <w:r>
              <w:rPr>
                <w:rFonts w:hint="eastAsia"/>
                <w:color w:val="auto"/>
                <w:sz w:val="24"/>
                <w:highlight w:val="none"/>
              </w:rPr>
              <w:t>验收人1：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495" w:type="dxa"/>
            <w:gridSpan w:val="2"/>
            <w:vAlign w:val="center"/>
          </w:tcPr>
          <w:p>
            <w:pPr>
              <w:rPr>
                <w:color w:val="auto"/>
                <w:sz w:val="24"/>
                <w:highlight w:val="none"/>
              </w:rPr>
            </w:pPr>
            <w:r>
              <w:rPr>
                <w:rFonts w:hint="eastAsia"/>
                <w:color w:val="auto"/>
                <w:sz w:val="24"/>
                <w:highlight w:val="none"/>
              </w:rPr>
              <w:t>验收人2：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495" w:type="dxa"/>
            <w:gridSpan w:val="2"/>
            <w:vAlign w:val="center"/>
          </w:tcPr>
          <w:p>
            <w:pPr>
              <w:rPr>
                <w:color w:val="auto"/>
                <w:sz w:val="24"/>
                <w:highlight w:val="none"/>
              </w:rPr>
            </w:pPr>
            <w:r>
              <w:rPr>
                <w:rFonts w:hint="eastAsia"/>
                <w:color w:val="auto"/>
                <w:sz w:val="24"/>
                <w:highlight w:val="none"/>
              </w:rPr>
              <w:t>验收人3：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495" w:type="dxa"/>
            <w:gridSpan w:val="2"/>
            <w:vAlign w:val="center"/>
          </w:tcPr>
          <w:p>
            <w:pPr>
              <w:rPr>
                <w:color w:val="auto"/>
                <w:sz w:val="24"/>
                <w:highlight w:val="none"/>
              </w:rPr>
            </w:pPr>
            <w:r>
              <w:rPr>
                <w:rFonts w:hint="eastAsia"/>
                <w:color w:val="auto"/>
                <w:sz w:val="24"/>
                <w:highlight w:val="none"/>
              </w:rPr>
              <w:t>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495" w:type="dxa"/>
            <w:gridSpan w:val="2"/>
            <w:vAlign w:val="center"/>
          </w:tcPr>
          <w:p>
            <w:pPr>
              <w:rPr>
                <w:color w:val="auto"/>
                <w:sz w:val="24"/>
                <w:highlight w:val="none"/>
              </w:rPr>
            </w:pPr>
            <w:r>
              <w:rPr>
                <w:rFonts w:hint="eastAsia"/>
                <w:color w:val="auto"/>
                <w:sz w:val="24"/>
                <w:highlight w:val="none"/>
              </w:rPr>
              <w:t>验收单位盖章：</w:t>
            </w:r>
          </w:p>
        </w:tc>
      </w:tr>
    </w:tbl>
    <w:p>
      <w:pPr>
        <w:jc w:val="left"/>
        <w:rPr>
          <w:color w:val="auto"/>
          <w:highlight w:val="none"/>
        </w:rPr>
      </w:pPr>
    </w:p>
    <w:p>
      <w:pPr>
        <w:ind w:left="-2"/>
        <w:rPr>
          <w:rFonts w:ascii="宋体" w:hAnsi="宋体"/>
          <w:b/>
          <w:color w:val="auto"/>
          <w:sz w:val="24"/>
          <w:szCs w:val="32"/>
          <w:highlight w:val="none"/>
        </w:rPr>
      </w:pPr>
      <w:r>
        <w:rPr>
          <w:rFonts w:hint="eastAsia" w:ascii="宋体" w:hAnsi="宋体"/>
          <w:b/>
          <w:color w:val="auto"/>
          <w:sz w:val="24"/>
          <w:szCs w:val="28"/>
          <w:highlight w:val="none"/>
        </w:rPr>
        <w:t>注：本单由供应商打印填写，安装调试完毕后，由用户单位查对后签字盖章。本单一式二份，一份由供应商在发票盖章时交区教育发展服务中心，一份由用户单位留存。</w:t>
      </w:r>
      <w:r>
        <w:rPr>
          <w:rFonts w:ascii="宋体" w:hAnsi="宋体"/>
          <w:b/>
          <w:color w:val="auto"/>
          <w:sz w:val="24"/>
          <w:szCs w:val="32"/>
          <w:highlight w:val="none"/>
        </w:rPr>
        <w:t xml:space="preserve"> </w:t>
      </w:r>
    </w:p>
    <w:p>
      <w:pPr>
        <w:jc w:val="left"/>
        <w:rPr>
          <w:color w:val="auto"/>
          <w:highlight w:val="none"/>
        </w:rPr>
      </w:pPr>
    </w:p>
    <w:p>
      <w:pPr>
        <w:pStyle w:val="6"/>
        <w:rPr>
          <w:color w:val="auto"/>
          <w:highlight w:val="none"/>
        </w:rPr>
      </w:pPr>
    </w:p>
    <w:p>
      <w:pPr>
        <w:jc w:val="center"/>
        <w:rPr>
          <w:rFonts w:ascii="仿宋_GB2312" w:eastAsia="仿宋_GB2312"/>
          <w:color w:val="auto"/>
          <w:sz w:val="30"/>
          <w:szCs w:val="30"/>
          <w:highlight w:val="none"/>
        </w:rPr>
      </w:pPr>
    </w:p>
    <w:p>
      <w:pPr>
        <w:pStyle w:val="2"/>
        <w:rPr>
          <w:color w:val="auto"/>
          <w:highlight w:val="none"/>
        </w:rPr>
      </w:pPr>
    </w:p>
    <w:tbl>
      <w:tblPr>
        <w:tblStyle w:val="6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339"/>
        <w:gridCol w:w="1360"/>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8" w:type="dxa"/>
            <w:gridSpan w:val="4"/>
          </w:tcPr>
          <w:p>
            <w:pPr>
              <w:spacing w:line="360" w:lineRule="auto"/>
              <w:jc w:val="center"/>
              <w:rPr>
                <w:rFonts w:ascii="宋体" w:hAnsi="宋体"/>
                <w:color w:val="auto"/>
                <w:sz w:val="24"/>
                <w:highlight w:val="none"/>
              </w:rPr>
            </w:pPr>
            <w:r>
              <w:rPr>
                <w:rFonts w:hint="eastAsia"/>
                <w:b/>
                <w:bCs/>
                <w:color w:val="auto"/>
                <w:sz w:val="28"/>
                <w:highlight w:val="none"/>
              </w:rPr>
              <w:t>上城</w:t>
            </w:r>
            <w:r>
              <w:rPr>
                <w:b/>
                <w:bCs/>
                <w:color w:val="auto"/>
                <w:sz w:val="28"/>
                <w:highlight w:val="none"/>
              </w:rPr>
              <w:t>区教育系统</w:t>
            </w:r>
            <w:r>
              <w:rPr>
                <w:rFonts w:hint="eastAsia"/>
                <w:b/>
                <w:bCs/>
                <w:color w:val="auto"/>
                <w:sz w:val="28"/>
                <w:highlight w:val="none"/>
              </w:rPr>
              <w:t>政府采购XX项目终</w:t>
            </w:r>
            <w:r>
              <w:rPr>
                <w:b/>
                <w:bCs/>
                <w:color w:val="auto"/>
                <w:sz w:val="28"/>
                <w:highlight w:val="none"/>
              </w:rPr>
              <w:t>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spacing w:line="360" w:lineRule="auto"/>
              <w:jc w:val="center"/>
              <w:rPr>
                <w:rFonts w:ascii="宋体" w:hAnsi="宋体"/>
                <w:b/>
                <w:color w:val="auto"/>
                <w:sz w:val="24"/>
                <w:highlight w:val="none"/>
              </w:rPr>
            </w:pPr>
            <w:r>
              <w:rPr>
                <w:rFonts w:hint="eastAsia" w:ascii="宋体" w:hAnsi="宋体"/>
                <w:b/>
                <w:color w:val="auto"/>
                <w:sz w:val="24"/>
                <w:highlight w:val="none"/>
              </w:rPr>
              <w:t>项目名称</w:t>
            </w:r>
          </w:p>
        </w:tc>
        <w:tc>
          <w:tcPr>
            <w:tcW w:w="7021" w:type="dxa"/>
            <w:gridSpan w:val="3"/>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采购单位</w:t>
            </w:r>
          </w:p>
        </w:tc>
        <w:tc>
          <w:tcPr>
            <w:tcW w:w="2339" w:type="dxa"/>
            <w:vAlign w:val="center"/>
          </w:tcPr>
          <w:p>
            <w:pPr>
              <w:spacing w:line="360" w:lineRule="auto"/>
              <w:jc w:val="left"/>
              <w:rPr>
                <w:rFonts w:ascii="宋体" w:hAnsi="宋体"/>
                <w:color w:val="auto"/>
                <w:sz w:val="24"/>
                <w:highlight w:val="none"/>
              </w:rPr>
            </w:pPr>
            <w:bookmarkStart w:id="399" w:name="OLE_LINK2"/>
            <w:r>
              <w:rPr>
                <w:rFonts w:hint="eastAsia" w:ascii="宋体" w:hAnsi="宋体"/>
                <w:color w:val="auto"/>
                <w:sz w:val="24"/>
                <w:highlight w:val="none"/>
              </w:rPr>
              <w:t>杭州</w:t>
            </w:r>
            <w:bookmarkEnd w:id="399"/>
            <w:r>
              <w:rPr>
                <w:rFonts w:hint="eastAsia" w:ascii="宋体" w:hAnsi="宋体"/>
                <w:color w:val="auto"/>
                <w:sz w:val="24"/>
                <w:highlight w:val="none"/>
              </w:rPr>
              <w:t>市上城区教育发展服务中</w:t>
            </w:r>
            <w:r>
              <w:rPr>
                <w:rFonts w:ascii="宋体" w:hAnsi="宋体"/>
                <w:color w:val="auto"/>
                <w:sz w:val="24"/>
                <w:highlight w:val="none"/>
              </w:rPr>
              <w:t>心</w:t>
            </w:r>
          </w:p>
        </w:tc>
        <w:tc>
          <w:tcPr>
            <w:tcW w:w="1360" w:type="dxa"/>
            <w:vAlign w:val="center"/>
          </w:tcPr>
          <w:p>
            <w:pPr>
              <w:spacing w:line="360" w:lineRule="auto"/>
              <w:rPr>
                <w:rFonts w:ascii="宋体" w:hAnsi="宋体"/>
                <w:b/>
                <w:color w:val="auto"/>
                <w:sz w:val="24"/>
                <w:highlight w:val="none"/>
              </w:rPr>
            </w:pPr>
            <w:r>
              <w:rPr>
                <w:rFonts w:hint="eastAsia" w:ascii="宋体" w:hAnsi="宋体"/>
                <w:b/>
                <w:color w:val="auto"/>
                <w:sz w:val="24"/>
                <w:highlight w:val="none"/>
              </w:rPr>
              <w:t>中标单位</w:t>
            </w:r>
          </w:p>
        </w:tc>
        <w:tc>
          <w:tcPr>
            <w:tcW w:w="3322" w:type="dxa"/>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3" w:hRule="atLeast"/>
        </w:trPr>
        <w:tc>
          <w:tcPr>
            <w:tcW w:w="1547" w:type="dxa"/>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申</w:t>
            </w:r>
          </w:p>
          <w:p>
            <w:pPr>
              <w:spacing w:line="360" w:lineRule="auto"/>
              <w:jc w:val="center"/>
              <w:rPr>
                <w:rFonts w:ascii="宋体" w:hAnsi="宋体"/>
                <w:b/>
                <w:color w:val="auto"/>
                <w:sz w:val="24"/>
                <w:highlight w:val="none"/>
              </w:rPr>
            </w:pPr>
            <w:r>
              <w:rPr>
                <w:rFonts w:hint="eastAsia" w:ascii="宋体" w:hAnsi="宋体"/>
                <w:b/>
                <w:color w:val="auto"/>
                <w:sz w:val="24"/>
                <w:highlight w:val="none"/>
              </w:rPr>
              <w:t>请</w:t>
            </w:r>
          </w:p>
          <w:p>
            <w:pPr>
              <w:spacing w:line="360" w:lineRule="auto"/>
              <w:jc w:val="center"/>
              <w:rPr>
                <w:rFonts w:ascii="宋体" w:hAnsi="宋体"/>
                <w:b/>
                <w:color w:val="auto"/>
                <w:sz w:val="24"/>
                <w:highlight w:val="none"/>
              </w:rPr>
            </w:pPr>
            <w:r>
              <w:rPr>
                <w:rFonts w:hint="eastAsia" w:ascii="宋体" w:hAnsi="宋体"/>
                <w:b/>
                <w:color w:val="auto"/>
                <w:sz w:val="24"/>
                <w:highlight w:val="none"/>
              </w:rPr>
              <w:t>内</w:t>
            </w:r>
          </w:p>
          <w:p>
            <w:pPr>
              <w:spacing w:line="360" w:lineRule="auto"/>
              <w:jc w:val="center"/>
              <w:rPr>
                <w:rFonts w:ascii="宋体" w:hAnsi="宋体"/>
                <w:color w:val="auto"/>
                <w:sz w:val="24"/>
                <w:highlight w:val="none"/>
              </w:rPr>
            </w:pPr>
            <w:r>
              <w:rPr>
                <w:rFonts w:hint="eastAsia" w:ascii="宋体" w:hAnsi="宋体"/>
                <w:b/>
                <w:color w:val="auto"/>
                <w:sz w:val="24"/>
                <w:highlight w:val="none"/>
              </w:rPr>
              <w:t>容</w:t>
            </w:r>
          </w:p>
        </w:tc>
        <w:tc>
          <w:tcPr>
            <w:tcW w:w="7021" w:type="dxa"/>
            <w:gridSpan w:val="3"/>
          </w:tcPr>
          <w:p>
            <w:pPr>
              <w:spacing w:line="360" w:lineRule="auto"/>
              <w:rPr>
                <w:rFonts w:ascii="宋体" w:hAnsi="宋体"/>
                <w:color w:val="auto"/>
                <w:sz w:val="24"/>
                <w:highlight w:val="none"/>
              </w:rPr>
            </w:pPr>
            <w:r>
              <w:rPr>
                <w:rFonts w:hint="eastAsia" w:ascii="宋体" w:hAnsi="宋体"/>
                <w:color w:val="auto"/>
                <w:sz w:val="24"/>
                <w:highlight w:val="none"/>
              </w:rPr>
              <w:t>杭州市上城区教育发展服务中</w:t>
            </w:r>
            <w:r>
              <w:rPr>
                <w:rFonts w:ascii="宋体" w:hAnsi="宋体"/>
                <w:color w:val="auto"/>
                <w:sz w:val="24"/>
                <w:highlight w:val="none"/>
              </w:rPr>
              <w:t>心</w:t>
            </w:r>
            <w:r>
              <w:rPr>
                <w:rFonts w:hint="eastAsia" w:ascii="宋体" w:hAnsi="宋体"/>
                <w:color w:val="auto"/>
                <w:sz w:val="24"/>
                <w:highlight w:val="none"/>
              </w:rPr>
              <w:t>：</w:t>
            </w:r>
          </w:p>
          <w:p>
            <w:pPr>
              <w:spacing w:line="360" w:lineRule="auto"/>
              <w:ind w:firstLine="576" w:firstLineChars="240"/>
              <w:rPr>
                <w:rFonts w:ascii="宋体" w:hAnsi="宋体"/>
                <w:color w:val="auto"/>
                <w:sz w:val="24"/>
                <w:highlight w:val="none"/>
              </w:rPr>
            </w:pPr>
            <w:r>
              <w:rPr>
                <w:rFonts w:hint="eastAsia" w:ascii="宋体" w:hAnsi="宋体"/>
                <w:color w:val="auto"/>
                <w:sz w:val="24"/>
                <w:highlight w:val="none"/>
              </w:rPr>
              <w:t>由我方中</w:t>
            </w:r>
            <w:r>
              <w:rPr>
                <w:rFonts w:ascii="宋体" w:hAnsi="宋体"/>
                <w:color w:val="auto"/>
                <w:sz w:val="24"/>
                <w:highlight w:val="none"/>
              </w:rPr>
              <w:t>标</w:t>
            </w:r>
            <w:r>
              <w:rPr>
                <w:rFonts w:hint="eastAsia" w:ascii="宋体" w:hAnsi="宋体"/>
                <w:color w:val="auto"/>
                <w:sz w:val="24"/>
                <w:highlight w:val="none"/>
              </w:rPr>
              <w:t>承建的“X</w:t>
            </w:r>
            <w:r>
              <w:rPr>
                <w:rFonts w:ascii="宋体" w:hAnsi="宋体"/>
                <w:color w:val="auto"/>
                <w:sz w:val="24"/>
                <w:highlight w:val="none"/>
              </w:rPr>
              <w:t>XX</w:t>
            </w:r>
            <w:r>
              <w:rPr>
                <w:rFonts w:hint="eastAsia" w:ascii="宋体" w:hAnsi="宋体"/>
                <w:color w:val="auto"/>
                <w:sz w:val="24"/>
                <w:highlight w:val="none"/>
              </w:rPr>
              <w:t>项目（SCZFCG20</w:t>
            </w:r>
            <w:r>
              <w:rPr>
                <w:rFonts w:ascii="宋体" w:hAnsi="宋体"/>
                <w:color w:val="auto"/>
                <w:sz w:val="24"/>
                <w:highlight w:val="none"/>
              </w:rPr>
              <w:t>2</w:t>
            </w:r>
            <w:r>
              <w:rPr>
                <w:rFonts w:hint="eastAsia" w:ascii="宋体" w:hAnsi="宋体"/>
                <w:color w:val="auto"/>
                <w:sz w:val="24"/>
                <w:highlight w:val="none"/>
              </w:rPr>
              <w:t>4-GK-</w:t>
            </w:r>
            <w:r>
              <w:rPr>
                <w:rFonts w:ascii="宋体" w:hAnsi="宋体"/>
                <w:color w:val="auto"/>
                <w:sz w:val="24"/>
                <w:highlight w:val="none"/>
              </w:rPr>
              <w:t>XX</w:t>
            </w:r>
            <w:r>
              <w:rPr>
                <w:rFonts w:hint="eastAsia" w:ascii="宋体" w:hAnsi="宋体"/>
                <w:color w:val="auto"/>
                <w:sz w:val="24"/>
                <w:highlight w:val="none"/>
              </w:rPr>
              <w:t>）”已完成设备供</w:t>
            </w:r>
            <w:r>
              <w:rPr>
                <w:rFonts w:ascii="宋体" w:hAnsi="宋体"/>
                <w:color w:val="auto"/>
                <w:sz w:val="24"/>
                <w:highlight w:val="none"/>
              </w:rPr>
              <w:t>货、安装调试与培训等工作，并经学校初验合格</w:t>
            </w:r>
            <w:r>
              <w:rPr>
                <w:rFonts w:hint="eastAsia" w:ascii="宋体" w:hAnsi="宋体"/>
                <w:color w:val="auto"/>
                <w:sz w:val="24"/>
                <w:highlight w:val="none"/>
              </w:rPr>
              <w:t>。</w:t>
            </w:r>
          </w:p>
          <w:p>
            <w:pPr>
              <w:spacing w:line="360" w:lineRule="auto"/>
              <w:ind w:firstLine="576" w:firstLineChars="240"/>
              <w:rPr>
                <w:rFonts w:ascii="宋体" w:hAnsi="宋体"/>
                <w:color w:val="auto"/>
                <w:sz w:val="24"/>
                <w:highlight w:val="none"/>
              </w:rPr>
            </w:pPr>
            <w:r>
              <w:rPr>
                <w:rFonts w:hint="eastAsia" w:ascii="宋体" w:hAnsi="宋体"/>
                <w:color w:val="auto"/>
                <w:sz w:val="24"/>
                <w:highlight w:val="none"/>
              </w:rPr>
              <w:t>现根据合同要求和项目计划，申请项目竣工验收。</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中标单位（盖章）：</w:t>
            </w:r>
          </w:p>
          <w:p>
            <w:pPr>
              <w:spacing w:line="360" w:lineRule="auto"/>
              <w:rPr>
                <w:rFonts w:ascii="宋体" w:hAnsi="宋体"/>
                <w:color w:val="auto"/>
                <w:sz w:val="24"/>
                <w:highlight w:val="none"/>
              </w:rPr>
            </w:pPr>
            <w:r>
              <w:rPr>
                <w:rFonts w:hint="eastAsia" w:ascii="宋体" w:hAnsi="宋体"/>
                <w:color w:val="auto"/>
                <w:sz w:val="24"/>
                <w:highlight w:val="none"/>
              </w:rPr>
              <w:t>项目经理（签字）：</w:t>
            </w:r>
          </w:p>
          <w:p>
            <w:pPr>
              <w:spacing w:line="360" w:lineRule="auto"/>
              <w:rPr>
                <w:rFonts w:ascii="宋体" w:hAnsi="宋体"/>
                <w:color w:val="auto"/>
                <w:sz w:val="24"/>
                <w:highlight w:val="none"/>
              </w:rPr>
            </w:pPr>
            <w:r>
              <w:rPr>
                <w:rFonts w:hint="eastAsia" w:ascii="宋体" w:hAnsi="宋体"/>
                <w:color w:val="auto"/>
                <w:sz w:val="24"/>
                <w:highlight w:val="none"/>
              </w:rPr>
              <w:t>申请</w:t>
            </w:r>
            <w:r>
              <w:rPr>
                <w:rFonts w:ascii="宋体" w:hAnsi="宋体"/>
                <w:color w:val="auto"/>
                <w:sz w:val="24"/>
                <w:highlight w:val="none"/>
              </w:rPr>
              <w:t xml:space="preserve">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1547" w:type="dxa"/>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采</w:t>
            </w:r>
            <w:r>
              <w:rPr>
                <w:rFonts w:ascii="宋体" w:hAnsi="宋体"/>
                <w:b/>
                <w:color w:val="auto"/>
                <w:sz w:val="24"/>
                <w:highlight w:val="none"/>
              </w:rPr>
              <w:t>购</w:t>
            </w:r>
          </w:p>
          <w:p>
            <w:pPr>
              <w:spacing w:line="360" w:lineRule="auto"/>
              <w:jc w:val="center"/>
              <w:rPr>
                <w:rFonts w:ascii="宋体" w:hAnsi="宋体"/>
                <w:b/>
                <w:color w:val="auto"/>
                <w:sz w:val="24"/>
                <w:highlight w:val="none"/>
              </w:rPr>
            </w:pPr>
            <w:r>
              <w:rPr>
                <w:rFonts w:hint="eastAsia" w:ascii="宋体" w:hAnsi="宋体"/>
                <w:b/>
                <w:color w:val="auto"/>
                <w:sz w:val="24"/>
                <w:highlight w:val="none"/>
              </w:rPr>
              <w:t>单位</w:t>
            </w:r>
          </w:p>
          <w:p>
            <w:pPr>
              <w:spacing w:line="360" w:lineRule="auto"/>
              <w:jc w:val="center"/>
              <w:rPr>
                <w:rFonts w:ascii="宋体" w:hAnsi="宋体"/>
                <w:color w:val="auto"/>
                <w:sz w:val="24"/>
                <w:highlight w:val="none"/>
              </w:rPr>
            </w:pPr>
            <w:r>
              <w:rPr>
                <w:rFonts w:hint="eastAsia" w:ascii="宋体" w:hAnsi="宋体"/>
                <w:b/>
                <w:color w:val="auto"/>
                <w:sz w:val="24"/>
                <w:highlight w:val="none"/>
              </w:rPr>
              <w:t>意见</w:t>
            </w:r>
          </w:p>
        </w:tc>
        <w:tc>
          <w:tcPr>
            <w:tcW w:w="7021" w:type="dxa"/>
            <w:gridSpan w:val="3"/>
            <w:vAlign w:val="center"/>
          </w:tcPr>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采购单位（盖章）：</w:t>
            </w:r>
          </w:p>
          <w:p>
            <w:pPr>
              <w:spacing w:line="360" w:lineRule="auto"/>
              <w:rPr>
                <w:rFonts w:ascii="宋体" w:hAnsi="宋体"/>
                <w:color w:val="auto"/>
                <w:sz w:val="24"/>
                <w:highlight w:val="none"/>
              </w:rPr>
            </w:pPr>
            <w:r>
              <w:rPr>
                <w:rFonts w:hint="eastAsia" w:ascii="宋体" w:hAnsi="宋体"/>
                <w:color w:val="auto"/>
                <w:sz w:val="24"/>
                <w:highlight w:val="none"/>
              </w:rPr>
              <w:t>代    表（签字）：</w:t>
            </w:r>
          </w:p>
        </w:tc>
      </w:tr>
    </w:tbl>
    <w:p>
      <w:pPr>
        <w:widowControl/>
        <w:jc w:val="left"/>
        <w:rPr>
          <w:rFonts w:ascii="宋体" w:hAnsi="宋体"/>
          <w:color w:val="auto"/>
          <w:highlight w:val="none"/>
        </w:rPr>
      </w:pPr>
      <w:r>
        <w:rPr>
          <w:rFonts w:ascii="宋体" w:hAnsi="宋体"/>
          <w:color w:val="auto"/>
          <w:highlight w:val="none"/>
        </w:rPr>
        <w:br w:type="page"/>
      </w:r>
    </w:p>
    <w:tbl>
      <w:tblPr>
        <w:tblStyle w:val="6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2339"/>
        <w:gridCol w:w="1360"/>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68" w:type="dxa"/>
            <w:gridSpan w:val="4"/>
            <w:vAlign w:val="center"/>
          </w:tcPr>
          <w:p>
            <w:pPr>
              <w:spacing w:line="360" w:lineRule="auto"/>
              <w:jc w:val="center"/>
              <w:rPr>
                <w:b/>
                <w:bCs/>
                <w:color w:val="auto"/>
                <w:sz w:val="28"/>
                <w:highlight w:val="none"/>
              </w:rPr>
            </w:pPr>
            <w:r>
              <w:rPr>
                <w:rFonts w:hint="eastAsia"/>
                <w:b/>
                <w:bCs/>
                <w:color w:val="auto"/>
                <w:sz w:val="28"/>
                <w:highlight w:val="none"/>
              </w:rPr>
              <w:t>上城</w:t>
            </w:r>
            <w:r>
              <w:rPr>
                <w:b/>
                <w:bCs/>
                <w:color w:val="auto"/>
                <w:sz w:val="28"/>
                <w:highlight w:val="none"/>
              </w:rPr>
              <w:t>区教育系统</w:t>
            </w:r>
            <w:r>
              <w:rPr>
                <w:rFonts w:hint="eastAsia"/>
                <w:b/>
                <w:bCs/>
                <w:color w:val="auto"/>
                <w:sz w:val="28"/>
                <w:highlight w:val="none"/>
              </w:rPr>
              <w:t>政府采购XX项目用户</w:t>
            </w:r>
            <w:r>
              <w:rPr>
                <w:b/>
                <w:bCs/>
                <w:color w:val="auto"/>
                <w:sz w:val="28"/>
                <w:highlight w:val="none"/>
              </w:rPr>
              <w:t>使用报告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547" w:type="dxa"/>
          </w:tcPr>
          <w:p>
            <w:pPr>
              <w:spacing w:line="360" w:lineRule="auto"/>
              <w:jc w:val="center"/>
              <w:rPr>
                <w:rFonts w:ascii="宋体" w:hAnsi="宋体"/>
                <w:b/>
                <w:color w:val="auto"/>
                <w:sz w:val="24"/>
                <w:highlight w:val="none"/>
              </w:rPr>
            </w:pPr>
            <w:r>
              <w:rPr>
                <w:rFonts w:hint="eastAsia" w:ascii="宋体" w:hAnsi="宋体"/>
                <w:b/>
                <w:color w:val="auto"/>
                <w:sz w:val="24"/>
                <w:highlight w:val="none"/>
              </w:rPr>
              <w:t>项目名称</w:t>
            </w:r>
          </w:p>
        </w:tc>
        <w:tc>
          <w:tcPr>
            <w:tcW w:w="7021" w:type="dxa"/>
            <w:gridSpan w:val="3"/>
          </w:tcPr>
          <w:p>
            <w:pPr>
              <w:widowControl/>
              <w:jc w:val="left"/>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47" w:type="dxa"/>
            <w:vAlign w:val="center"/>
          </w:tcPr>
          <w:p>
            <w:pPr>
              <w:widowControl/>
              <w:jc w:val="left"/>
              <w:rPr>
                <w:rFonts w:ascii="宋体" w:hAnsi="宋体"/>
                <w:b/>
                <w:color w:val="auto"/>
                <w:highlight w:val="none"/>
              </w:rPr>
            </w:pPr>
            <w:r>
              <w:rPr>
                <w:rFonts w:hint="eastAsia" w:ascii="宋体" w:hAnsi="宋体"/>
                <w:b/>
                <w:color w:val="auto"/>
                <w:highlight w:val="none"/>
              </w:rPr>
              <w:t>采购单位</w:t>
            </w:r>
          </w:p>
        </w:tc>
        <w:tc>
          <w:tcPr>
            <w:tcW w:w="2339" w:type="dxa"/>
            <w:vAlign w:val="center"/>
          </w:tcPr>
          <w:p>
            <w:pPr>
              <w:widowControl/>
              <w:jc w:val="left"/>
              <w:rPr>
                <w:rFonts w:ascii="宋体" w:hAnsi="宋体"/>
                <w:color w:val="auto"/>
                <w:highlight w:val="none"/>
              </w:rPr>
            </w:pPr>
            <w:r>
              <w:rPr>
                <w:rFonts w:hint="eastAsia" w:ascii="宋体" w:hAnsi="宋体"/>
                <w:color w:val="auto"/>
                <w:sz w:val="24"/>
                <w:highlight w:val="none"/>
              </w:rPr>
              <w:t>杭州市上城区教育发展服务中</w:t>
            </w:r>
            <w:r>
              <w:rPr>
                <w:rFonts w:ascii="宋体" w:hAnsi="宋体"/>
                <w:color w:val="auto"/>
                <w:sz w:val="24"/>
                <w:highlight w:val="none"/>
              </w:rPr>
              <w:t>心</w:t>
            </w:r>
          </w:p>
        </w:tc>
        <w:tc>
          <w:tcPr>
            <w:tcW w:w="1360" w:type="dxa"/>
            <w:vAlign w:val="center"/>
          </w:tcPr>
          <w:p>
            <w:pPr>
              <w:widowControl/>
              <w:jc w:val="left"/>
              <w:rPr>
                <w:rFonts w:ascii="宋体" w:hAnsi="宋体"/>
                <w:b/>
                <w:color w:val="auto"/>
                <w:highlight w:val="none"/>
              </w:rPr>
            </w:pPr>
            <w:r>
              <w:rPr>
                <w:rFonts w:hint="eastAsia" w:ascii="宋体" w:hAnsi="宋体"/>
                <w:b/>
                <w:color w:val="auto"/>
                <w:highlight w:val="none"/>
              </w:rPr>
              <w:t>中标单位</w:t>
            </w:r>
          </w:p>
        </w:tc>
        <w:tc>
          <w:tcPr>
            <w:tcW w:w="3322" w:type="dxa"/>
            <w:vAlign w:val="center"/>
          </w:tcPr>
          <w:p>
            <w:pPr>
              <w:widowControl/>
              <w:jc w:val="left"/>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1547" w:type="dxa"/>
            <w:vAlign w:val="center"/>
          </w:tcPr>
          <w:p>
            <w:pPr>
              <w:widowControl/>
              <w:jc w:val="left"/>
              <w:rPr>
                <w:rFonts w:ascii="宋体" w:hAnsi="宋体"/>
                <w:color w:val="auto"/>
                <w:highlight w:val="none"/>
              </w:rPr>
            </w:pPr>
            <w:r>
              <w:rPr>
                <w:rFonts w:hint="eastAsia" w:ascii="宋体" w:hAnsi="宋体"/>
                <w:color w:val="auto"/>
                <w:highlight w:val="none"/>
              </w:rPr>
              <w:t>中</w:t>
            </w:r>
            <w:r>
              <w:rPr>
                <w:rFonts w:ascii="宋体" w:hAnsi="宋体"/>
                <w:color w:val="auto"/>
                <w:highlight w:val="none"/>
              </w:rPr>
              <w:t>标情况</w:t>
            </w:r>
          </w:p>
        </w:tc>
        <w:tc>
          <w:tcPr>
            <w:tcW w:w="7021" w:type="dxa"/>
            <w:gridSpan w:val="3"/>
          </w:tcPr>
          <w:p>
            <w:pPr>
              <w:widowControl/>
              <w:jc w:val="left"/>
              <w:rPr>
                <w:rFonts w:ascii="宋体" w:hAnsi="宋体"/>
                <w:color w:val="auto"/>
                <w:highlight w:val="none"/>
              </w:rPr>
            </w:pPr>
            <w:r>
              <w:rPr>
                <w:rFonts w:hint="eastAsia" w:ascii="宋体" w:hAnsi="宋体"/>
                <w:color w:val="auto"/>
                <w:highlight w:val="none"/>
              </w:rPr>
              <w:t>经区财政局批准，</w:t>
            </w:r>
            <w:r>
              <w:rPr>
                <w:rFonts w:ascii="宋体" w:hAnsi="宋体"/>
                <w:color w:val="auto"/>
                <w:highlight w:val="none"/>
              </w:rPr>
              <w:t>202</w:t>
            </w:r>
            <w:r>
              <w:rPr>
                <w:rFonts w:hint="eastAsia" w:ascii="宋体" w:hAnsi="宋体"/>
                <w:color w:val="auto"/>
                <w:highlight w:val="none"/>
              </w:rPr>
              <w:t>4年上城区教育系统X</w:t>
            </w:r>
            <w:r>
              <w:rPr>
                <w:rFonts w:ascii="宋体" w:hAnsi="宋体"/>
                <w:color w:val="auto"/>
                <w:highlight w:val="none"/>
              </w:rPr>
              <w:t>X</w:t>
            </w:r>
            <w:r>
              <w:rPr>
                <w:rFonts w:hint="eastAsia" w:ascii="宋体" w:hAnsi="宋体"/>
                <w:color w:val="auto"/>
                <w:highlight w:val="none"/>
              </w:rPr>
              <w:t>设备项目（项目编号：</w:t>
            </w:r>
            <w:r>
              <w:rPr>
                <w:rFonts w:ascii="宋体" w:hAnsi="宋体"/>
                <w:color w:val="auto"/>
                <w:highlight w:val="none"/>
              </w:rPr>
              <w:t>XX</w:t>
            </w:r>
            <w:r>
              <w:rPr>
                <w:rFonts w:hint="eastAsia" w:ascii="宋体" w:hAnsi="宋体"/>
                <w:color w:val="auto"/>
                <w:highlight w:val="none"/>
              </w:rPr>
              <w:t>）由杭州市</w:t>
            </w:r>
            <w:r>
              <w:rPr>
                <w:rFonts w:ascii="宋体" w:hAnsi="宋体"/>
                <w:color w:val="auto"/>
                <w:highlight w:val="none"/>
              </w:rPr>
              <w:t>公共资源交易中心</w:t>
            </w:r>
            <w:r>
              <w:rPr>
                <w:rFonts w:hint="eastAsia" w:ascii="宋体" w:hAnsi="宋体"/>
                <w:color w:val="auto"/>
                <w:highlight w:val="none"/>
              </w:rPr>
              <w:t>上城</w:t>
            </w:r>
            <w:r>
              <w:rPr>
                <w:rFonts w:ascii="宋体" w:hAnsi="宋体"/>
                <w:color w:val="auto"/>
                <w:highlight w:val="none"/>
              </w:rPr>
              <w:t>分中心</w:t>
            </w:r>
            <w:r>
              <w:rPr>
                <w:rFonts w:hint="eastAsia" w:ascii="宋体" w:hAnsi="宋体"/>
                <w:color w:val="auto"/>
                <w:highlight w:val="none"/>
              </w:rPr>
              <w:t>进行公</w:t>
            </w:r>
            <w:r>
              <w:rPr>
                <w:rFonts w:ascii="宋体" w:hAnsi="宋体"/>
                <w:color w:val="auto"/>
                <w:highlight w:val="none"/>
              </w:rPr>
              <w:t>开</w:t>
            </w:r>
            <w:r>
              <w:rPr>
                <w:rFonts w:hint="eastAsia" w:ascii="宋体" w:hAnsi="宋体"/>
                <w:color w:val="auto"/>
                <w:highlight w:val="none"/>
              </w:rPr>
              <w:t>招标。项</w:t>
            </w:r>
            <w:r>
              <w:rPr>
                <w:rFonts w:ascii="宋体" w:hAnsi="宋体"/>
                <w:color w:val="auto"/>
                <w:highlight w:val="none"/>
              </w:rPr>
              <w:t>目</w:t>
            </w:r>
            <w:r>
              <w:rPr>
                <w:rFonts w:hint="eastAsia" w:ascii="宋体" w:hAnsi="宋体"/>
                <w:color w:val="auto"/>
                <w:highlight w:val="none"/>
              </w:rPr>
              <w:t>于20</w:t>
            </w:r>
            <w:r>
              <w:rPr>
                <w:rFonts w:ascii="宋体" w:hAnsi="宋体"/>
                <w:color w:val="auto"/>
                <w:highlight w:val="none"/>
              </w:rPr>
              <w:t>2</w:t>
            </w:r>
            <w:r>
              <w:rPr>
                <w:rFonts w:hint="eastAsia" w:ascii="宋体" w:hAnsi="宋体"/>
                <w:color w:val="auto"/>
                <w:highlight w:val="none"/>
              </w:rPr>
              <w:t>4年</w:t>
            </w:r>
            <w:r>
              <w:rPr>
                <w:rFonts w:ascii="宋体" w:hAnsi="宋体"/>
                <w:color w:val="auto"/>
                <w:highlight w:val="none"/>
              </w:rPr>
              <w:t>X</w:t>
            </w:r>
            <w:r>
              <w:rPr>
                <w:rFonts w:hint="eastAsia" w:ascii="宋体" w:hAnsi="宋体"/>
                <w:color w:val="auto"/>
                <w:highlight w:val="none"/>
              </w:rPr>
              <w:t>月</w:t>
            </w:r>
            <w:r>
              <w:rPr>
                <w:rFonts w:ascii="宋体" w:hAnsi="宋体"/>
                <w:color w:val="auto"/>
                <w:highlight w:val="none"/>
              </w:rPr>
              <w:t>X</w:t>
            </w:r>
            <w:r>
              <w:rPr>
                <w:rFonts w:hint="eastAsia" w:ascii="宋体" w:hAnsi="宋体"/>
                <w:color w:val="auto"/>
                <w:highlight w:val="none"/>
              </w:rPr>
              <w:t>日由X</w:t>
            </w:r>
            <w:r>
              <w:rPr>
                <w:rFonts w:ascii="宋体" w:hAnsi="宋体"/>
                <w:color w:val="auto"/>
                <w:highlight w:val="none"/>
              </w:rPr>
              <w:t>X</w:t>
            </w:r>
            <w:r>
              <w:rPr>
                <w:rFonts w:hint="eastAsia" w:ascii="宋体" w:hAnsi="宋体"/>
                <w:color w:val="auto"/>
                <w:highlight w:val="none"/>
              </w:rPr>
              <w:t>公司中标，</w:t>
            </w:r>
            <w:r>
              <w:rPr>
                <w:rFonts w:ascii="宋体" w:hAnsi="宋体"/>
                <w:color w:val="auto"/>
                <w:highlight w:val="none"/>
              </w:rPr>
              <w:t>中标金额</w:t>
            </w:r>
            <w:r>
              <w:rPr>
                <w:rFonts w:hint="eastAsia" w:ascii="宋体" w:hAnsi="宋体"/>
                <w:color w:val="auto"/>
                <w:highlight w:val="none"/>
              </w:rPr>
              <w:t>XX万</w:t>
            </w:r>
            <w:r>
              <w:rPr>
                <w:rFonts w:ascii="宋体" w:hAnsi="宋体"/>
                <w:color w:val="auto"/>
                <w:highlight w:val="none"/>
              </w:rPr>
              <w:t>元</w:t>
            </w:r>
            <w:r>
              <w:rPr>
                <w:rFonts w:hint="eastAsia" w:ascii="宋体" w:hAnsi="宋体"/>
                <w:color w:val="auto"/>
                <w:highlight w:val="none"/>
              </w:rPr>
              <w:t>，</w:t>
            </w:r>
            <w:r>
              <w:rPr>
                <w:rFonts w:ascii="宋体" w:hAnsi="宋体"/>
                <w:color w:val="auto"/>
                <w:highlight w:val="none"/>
              </w:rPr>
              <w:t>涉及</w:t>
            </w:r>
            <w:r>
              <w:rPr>
                <w:rFonts w:hint="eastAsia" w:ascii="宋体" w:hAnsi="宋体"/>
                <w:color w:val="auto"/>
                <w:highlight w:val="none"/>
              </w:rPr>
              <w:t>上城</w:t>
            </w:r>
            <w:r>
              <w:rPr>
                <w:rFonts w:ascii="宋体" w:hAnsi="宋体"/>
                <w:color w:val="auto"/>
                <w:highlight w:val="none"/>
              </w:rPr>
              <w:t>区教育局下属</w:t>
            </w:r>
            <w:r>
              <w:rPr>
                <w:rFonts w:hint="eastAsia" w:ascii="宋体" w:hAnsi="宋体"/>
                <w:color w:val="auto"/>
                <w:highlight w:val="none"/>
              </w:rPr>
              <w:t>X个</w:t>
            </w:r>
            <w:r>
              <w:rPr>
                <w:rFonts w:ascii="宋体" w:hAnsi="宋体"/>
                <w:color w:val="auto"/>
                <w:highlight w:val="none"/>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1547" w:type="dxa"/>
            <w:vAlign w:val="center"/>
          </w:tcPr>
          <w:p>
            <w:pPr>
              <w:widowControl/>
              <w:jc w:val="left"/>
              <w:rPr>
                <w:rFonts w:ascii="宋体" w:hAnsi="宋体"/>
                <w:color w:val="auto"/>
                <w:highlight w:val="none"/>
              </w:rPr>
            </w:pPr>
            <w:r>
              <w:rPr>
                <w:rFonts w:hint="eastAsia" w:ascii="宋体" w:hAnsi="宋体"/>
                <w:color w:val="auto"/>
                <w:highlight w:val="none"/>
              </w:rPr>
              <w:t>供</w:t>
            </w:r>
            <w:r>
              <w:rPr>
                <w:rFonts w:ascii="宋体" w:hAnsi="宋体"/>
                <w:color w:val="auto"/>
                <w:highlight w:val="none"/>
              </w:rPr>
              <w:t>货与</w:t>
            </w:r>
            <w:r>
              <w:rPr>
                <w:rFonts w:hint="eastAsia" w:ascii="宋体" w:hAnsi="宋体"/>
                <w:color w:val="auto"/>
                <w:highlight w:val="none"/>
              </w:rPr>
              <w:t>施</w:t>
            </w:r>
            <w:r>
              <w:rPr>
                <w:rFonts w:ascii="宋体" w:hAnsi="宋体"/>
                <w:color w:val="auto"/>
                <w:highlight w:val="none"/>
              </w:rPr>
              <w:t>工</w:t>
            </w:r>
          </w:p>
        </w:tc>
        <w:tc>
          <w:tcPr>
            <w:tcW w:w="7021" w:type="dxa"/>
            <w:gridSpan w:val="3"/>
          </w:tcPr>
          <w:p>
            <w:pPr>
              <w:widowControl/>
              <w:jc w:val="left"/>
              <w:rPr>
                <w:rFonts w:ascii="宋体" w:hAnsi="宋体"/>
                <w:color w:val="auto"/>
                <w:highlight w:val="none"/>
              </w:rPr>
            </w:pPr>
            <w:r>
              <w:rPr>
                <w:rFonts w:hint="eastAsia" w:ascii="宋体" w:hAnsi="宋体"/>
                <w:color w:val="auto"/>
                <w:highlight w:val="none"/>
              </w:rPr>
              <w:t>根据</w:t>
            </w:r>
            <w:r>
              <w:rPr>
                <w:rFonts w:ascii="宋体" w:hAnsi="宋体"/>
                <w:color w:val="auto"/>
                <w:highlight w:val="none"/>
              </w:rPr>
              <w:t>合同规定，中标方于</w:t>
            </w:r>
            <w:r>
              <w:rPr>
                <w:rFonts w:hint="eastAsia" w:ascii="宋体" w:hAnsi="宋体"/>
                <w:color w:val="auto"/>
                <w:highlight w:val="none"/>
              </w:rPr>
              <w:t>2024年X月X日</w:t>
            </w:r>
            <w:r>
              <w:rPr>
                <w:rFonts w:ascii="宋体" w:hAnsi="宋体"/>
                <w:color w:val="auto"/>
                <w:highlight w:val="none"/>
              </w:rPr>
              <w:t>至</w:t>
            </w:r>
            <w:r>
              <w:rPr>
                <w:rFonts w:hint="eastAsia" w:ascii="宋体" w:hAnsi="宋体"/>
                <w:color w:val="auto"/>
                <w:highlight w:val="none"/>
              </w:rPr>
              <w:t>X月X日</w:t>
            </w:r>
            <w:r>
              <w:rPr>
                <w:rFonts w:ascii="宋体" w:hAnsi="宋体"/>
                <w:color w:val="auto"/>
                <w:highlight w:val="none"/>
              </w:rPr>
              <w:t>在</w:t>
            </w:r>
            <w:r>
              <w:rPr>
                <w:rFonts w:hint="eastAsia" w:ascii="宋体" w:hAnsi="宋体"/>
                <w:color w:val="auto"/>
                <w:highlight w:val="none"/>
              </w:rPr>
              <w:t>上城</w:t>
            </w:r>
            <w:r>
              <w:rPr>
                <w:rFonts w:ascii="宋体" w:hAnsi="宋体"/>
                <w:color w:val="auto"/>
                <w:highlight w:val="none"/>
              </w:rPr>
              <w:t>区</w:t>
            </w:r>
            <w:r>
              <w:rPr>
                <w:rFonts w:hint="eastAsia" w:ascii="宋体" w:hAnsi="宋体"/>
                <w:color w:val="auto"/>
                <w:highlight w:val="none"/>
              </w:rPr>
              <w:t>教育系统</w:t>
            </w:r>
            <w:r>
              <w:rPr>
                <w:rFonts w:ascii="宋体" w:hAnsi="宋体"/>
                <w:color w:val="auto"/>
                <w:highlight w:val="none"/>
              </w:rPr>
              <w:t>进行</w:t>
            </w:r>
            <w:r>
              <w:rPr>
                <w:rFonts w:hint="eastAsia" w:ascii="宋体" w:hAnsi="宋体"/>
                <w:color w:val="auto"/>
                <w:highlight w:val="none"/>
              </w:rPr>
              <w:t>XX</w:t>
            </w:r>
            <w:r>
              <w:rPr>
                <w:rFonts w:ascii="宋体" w:hAnsi="宋体"/>
                <w:color w:val="auto"/>
                <w:highlight w:val="none"/>
              </w:rPr>
              <w:t>设备供货、</w:t>
            </w:r>
            <w:r>
              <w:rPr>
                <w:rFonts w:hint="eastAsia" w:ascii="宋体" w:hAnsi="宋体"/>
                <w:color w:val="auto"/>
                <w:highlight w:val="none"/>
              </w:rPr>
              <w:t>安装调</w:t>
            </w:r>
            <w:r>
              <w:rPr>
                <w:rFonts w:ascii="宋体" w:hAnsi="宋体"/>
                <w:color w:val="auto"/>
                <w:highlight w:val="none"/>
              </w:rPr>
              <w:t>试与技术培训</w:t>
            </w:r>
            <w:r>
              <w:rPr>
                <w:rFonts w:hint="eastAsia" w:ascii="宋体" w:hAnsi="宋体"/>
                <w:color w:val="auto"/>
                <w:highlight w:val="none"/>
              </w:rPr>
              <w:t>等工作，</w:t>
            </w:r>
            <w:r>
              <w:rPr>
                <w:rFonts w:ascii="宋体" w:hAnsi="宋体"/>
                <w:color w:val="auto"/>
                <w:highlight w:val="none"/>
              </w:rPr>
              <w:t>现已全部完成</w:t>
            </w:r>
            <w:r>
              <w:rPr>
                <w:rFonts w:hint="eastAsia" w:ascii="宋体" w:hAnsi="宋体"/>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1547" w:type="dxa"/>
            <w:vAlign w:val="center"/>
          </w:tcPr>
          <w:p>
            <w:pPr>
              <w:widowControl/>
              <w:jc w:val="left"/>
              <w:rPr>
                <w:rFonts w:ascii="宋体" w:hAnsi="宋体"/>
                <w:color w:val="auto"/>
                <w:highlight w:val="none"/>
              </w:rPr>
            </w:pPr>
            <w:r>
              <w:rPr>
                <w:rFonts w:hint="eastAsia" w:ascii="宋体" w:hAnsi="宋体"/>
                <w:color w:val="auto"/>
                <w:highlight w:val="none"/>
              </w:rPr>
              <w:t>质量与</w:t>
            </w:r>
            <w:r>
              <w:rPr>
                <w:rFonts w:ascii="宋体" w:hAnsi="宋体"/>
                <w:color w:val="auto"/>
                <w:highlight w:val="none"/>
              </w:rPr>
              <w:t>服务</w:t>
            </w:r>
          </w:p>
        </w:tc>
        <w:tc>
          <w:tcPr>
            <w:tcW w:w="7021" w:type="dxa"/>
            <w:gridSpan w:val="3"/>
          </w:tcPr>
          <w:p>
            <w:pPr>
              <w:widowControl/>
              <w:jc w:val="left"/>
              <w:rPr>
                <w:rFonts w:ascii="宋体" w:hAnsi="宋体"/>
                <w:color w:val="auto"/>
                <w:highlight w:val="none"/>
              </w:rPr>
            </w:pPr>
            <w:r>
              <w:rPr>
                <w:rFonts w:hint="eastAsia" w:ascii="宋体" w:hAnsi="宋体"/>
                <w:color w:val="auto"/>
                <w:highlight w:val="none"/>
              </w:rPr>
              <w:t>经</w:t>
            </w:r>
            <w:r>
              <w:rPr>
                <w:rFonts w:ascii="宋体" w:hAnsi="宋体"/>
                <w:color w:val="auto"/>
                <w:highlight w:val="none"/>
              </w:rPr>
              <w:t>各相关学校初验</w:t>
            </w:r>
            <w:r>
              <w:rPr>
                <w:rFonts w:hint="eastAsia" w:ascii="宋体" w:hAnsi="宋体"/>
                <w:color w:val="auto"/>
                <w:highlight w:val="none"/>
              </w:rPr>
              <w:t>合格</w:t>
            </w:r>
            <w:r>
              <w:rPr>
                <w:rFonts w:ascii="宋体" w:hAnsi="宋体"/>
                <w:color w:val="auto"/>
                <w:highlight w:val="none"/>
              </w:rPr>
              <w:t>，设备</w:t>
            </w:r>
            <w:r>
              <w:rPr>
                <w:rFonts w:hint="eastAsia" w:ascii="宋体" w:hAnsi="宋体"/>
                <w:color w:val="auto"/>
                <w:highlight w:val="none"/>
              </w:rPr>
              <w:t>品牌</w:t>
            </w:r>
            <w:r>
              <w:rPr>
                <w:rFonts w:ascii="宋体" w:hAnsi="宋体"/>
                <w:color w:val="auto"/>
                <w:highlight w:val="none"/>
              </w:rPr>
              <w:t>型号</w:t>
            </w:r>
            <w:r>
              <w:rPr>
                <w:rFonts w:hint="eastAsia" w:ascii="宋体" w:hAnsi="宋体"/>
                <w:color w:val="auto"/>
                <w:highlight w:val="none"/>
              </w:rPr>
              <w:t>、</w:t>
            </w:r>
            <w:r>
              <w:rPr>
                <w:rFonts w:ascii="宋体" w:hAnsi="宋体"/>
                <w:color w:val="auto"/>
                <w:highlight w:val="none"/>
              </w:rPr>
              <w:t>数量、</w:t>
            </w:r>
            <w:r>
              <w:rPr>
                <w:rFonts w:hint="eastAsia" w:ascii="宋体" w:hAnsi="宋体"/>
                <w:color w:val="auto"/>
                <w:highlight w:val="none"/>
              </w:rPr>
              <w:t>配置、</w:t>
            </w:r>
            <w:r>
              <w:rPr>
                <w:rFonts w:ascii="宋体" w:hAnsi="宋体"/>
                <w:color w:val="auto"/>
                <w:highlight w:val="none"/>
              </w:rPr>
              <w:t>施工</w:t>
            </w:r>
            <w:r>
              <w:rPr>
                <w:rFonts w:hint="eastAsia" w:ascii="宋体" w:hAnsi="宋体"/>
                <w:color w:val="auto"/>
                <w:highlight w:val="none"/>
              </w:rPr>
              <w:t>质量</w:t>
            </w:r>
            <w:r>
              <w:rPr>
                <w:rFonts w:ascii="宋体" w:hAnsi="宋体"/>
                <w:color w:val="auto"/>
                <w:highlight w:val="none"/>
              </w:rPr>
              <w:t>与服务</w:t>
            </w:r>
            <w:r>
              <w:rPr>
                <w:rFonts w:hint="eastAsia" w:ascii="宋体" w:hAnsi="宋体"/>
                <w:color w:val="auto"/>
                <w:highlight w:val="none"/>
              </w:rPr>
              <w:t>约定等</w:t>
            </w:r>
            <w:r>
              <w:rPr>
                <w:rFonts w:ascii="宋体" w:hAnsi="宋体"/>
                <w:color w:val="auto"/>
                <w:highlight w:val="none"/>
              </w:rPr>
              <w:t>符合合同规定</w:t>
            </w:r>
            <w:r>
              <w:rPr>
                <w:rFonts w:hint="eastAsia" w:ascii="宋体" w:hAnsi="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trPr>
        <w:tc>
          <w:tcPr>
            <w:tcW w:w="1547" w:type="dxa"/>
            <w:vAlign w:val="center"/>
          </w:tcPr>
          <w:p>
            <w:pPr>
              <w:widowControl/>
              <w:jc w:val="left"/>
              <w:rPr>
                <w:rFonts w:ascii="宋体" w:hAnsi="宋体"/>
                <w:color w:val="auto"/>
                <w:highlight w:val="none"/>
              </w:rPr>
            </w:pPr>
            <w:r>
              <w:rPr>
                <w:rFonts w:hint="eastAsia" w:ascii="宋体" w:hAnsi="宋体"/>
                <w:color w:val="auto"/>
                <w:highlight w:val="none"/>
              </w:rPr>
              <w:t>用</w:t>
            </w:r>
            <w:r>
              <w:rPr>
                <w:rFonts w:ascii="宋体" w:hAnsi="宋体"/>
                <w:color w:val="auto"/>
                <w:highlight w:val="none"/>
              </w:rPr>
              <w:t>户意见</w:t>
            </w:r>
          </w:p>
        </w:tc>
        <w:tc>
          <w:tcPr>
            <w:tcW w:w="7021" w:type="dxa"/>
            <w:gridSpan w:val="3"/>
          </w:tcPr>
          <w:p>
            <w:pPr>
              <w:widowControl/>
              <w:jc w:val="left"/>
              <w:rPr>
                <w:rFonts w:ascii="宋体" w:hAnsi="宋体"/>
                <w:color w:val="auto"/>
                <w:highlight w:val="none"/>
              </w:rPr>
            </w:pPr>
            <w:r>
              <w:rPr>
                <w:rFonts w:hint="eastAsia" w:ascii="宋体" w:hAnsi="宋体"/>
                <w:color w:val="auto"/>
                <w:highlight w:val="none"/>
              </w:rPr>
              <w:t>同意施</w:t>
            </w:r>
            <w:r>
              <w:rPr>
                <w:rFonts w:ascii="宋体" w:hAnsi="宋体"/>
                <w:color w:val="auto"/>
                <w:highlight w:val="none"/>
              </w:rPr>
              <w:t>工方终验申请，提请专家组进行竣工验收。</w:t>
            </w:r>
          </w:p>
          <w:p>
            <w:pPr>
              <w:widowControl/>
              <w:jc w:val="left"/>
              <w:rPr>
                <w:rFonts w:ascii="宋体" w:hAnsi="宋体"/>
                <w:color w:val="auto"/>
                <w:highlight w:val="none"/>
              </w:rPr>
            </w:pPr>
          </w:p>
          <w:p>
            <w:pPr>
              <w:widowControl/>
              <w:jc w:val="left"/>
              <w:rPr>
                <w:rFonts w:ascii="宋体" w:hAnsi="宋体"/>
                <w:color w:val="auto"/>
                <w:highlight w:val="none"/>
              </w:rPr>
            </w:pPr>
          </w:p>
          <w:p>
            <w:pPr>
              <w:widowControl/>
              <w:jc w:val="left"/>
              <w:rPr>
                <w:rFonts w:ascii="宋体" w:hAnsi="宋体"/>
                <w:color w:val="auto"/>
                <w:highlight w:val="none"/>
              </w:rPr>
            </w:pPr>
          </w:p>
          <w:p>
            <w:pPr>
              <w:widowControl/>
              <w:jc w:val="left"/>
              <w:rPr>
                <w:rFonts w:ascii="宋体" w:hAnsi="宋体"/>
                <w:color w:val="auto"/>
                <w:highlight w:val="none"/>
              </w:rPr>
            </w:pPr>
          </w:p>
          <w:p>
            <w:pPr>
              <w:widowControl/>
              <w:jc w:val="left"/>
              <w:rPr>
                <w:rFonts w:ascii="宋体" w:hAnsi="宋体"/>
                <w:color w:val="auto"/>
                <w:highlight w:val="none"/>
              </w:rPr>
            </w:pPr>
            <w:r>
              <w:rPr>
                <w:rFonts w:hint="eastAsia" w:ascii="宋体" w:hAnsi="宋体"/>
                <w:color w:val="auto"/>
                <w:highlight w:val="none"/>
              </w:rPr>
              <w:t>杭州市上城</w:t>
            </w:r>
            <w:r>
              <w:rPr>
                <w:rFonts w:ascii="宋体" w:hAnsi="宋体"/>
                <w:color w:val="auto"/>
                <w:highlight w:val="none"/>
              </w:rPr>
              <w:t>区教育</w:t>
            </w:r>
            <w:r>
              <w:rPr>
                <w:rFonts w:hint="eastAsia" w:ascii="宋体" w:hAnsi="宋体"/>
                <w:color w:val="auto"/>
                <w:highlight w:val="none"/>
              </w:rPr>
              <w:t>发展服务</w:t>
            </w:r>
            <w:r>
              <w:rPr>
                <w:rFonts w:ascii="宋体" w:hAnsi="宋体"/>
                <w:color w:val="auto"/>
                <w:highlight w:val="none"/>
              </w:rPr>
              <w:t>中心</w:t>
            </w:r>
            <w:r>
              <w:rPr>
                <w:rFonts w:hint="eastAsia" w:ascii="宋体" w:hAnsi="宋体"/>
                <w:color w:val="auto"/>
                <w:highlight w:val="none"/>
              </w:rPr>
              <w:t>（盖章）</w:t>
            </w:r>
          </w:p>
          <w:p>
            <w:pPr>
              <w:widowControl/>
              <w:jc w:val="left"/>
              <w:rPr>
                <w:rFonts w:ascii="宋体" w:hAnsi="宋体"/>
                <w:color w:val="auto"/>
                <w:highlight w:val="none"/>
              </w:rPr>
            </w:pPr>
            <w:r>
              <w:rPr>
                <w:rFonts w:hint="eastAsia" w:ascii="宋体" w:hAnsi="宋体"/>
                <w:color w:val="auto"/>
                <w:highlight w:val="none"/>
              </w:rPr>
              <w:t>项</w:t>
            </w:r>
            <w:r>
              <w:rPr>
                <w:rFonts w:ascii="宋体" w:hAnsi="宋体"/>
                <w:color w:val="auto"/>
                <w:highlight w:val="none"/>
              </w:rPr>
              <w:t>目负责人（</w:t>
            </w:r>
            <w:r>
              <w:rPr>
                <w:rFonts w:hint="eastAsia" w:ascii="宋体" w:hAnsi="宋体"/>
                <w:color w:val="auto"/>
                <w:highlight w:val="none"/>
              </w:rPr>
              <w:t>签字</w:t>
            </w:r>
            <w:r>
              <w:rPr>
                <w:rFonts w:ascii="宋体" w:hAnsi="宋体"/>
                <w:color w:val="auto"/>
                <w:highlight w:val="none"/>
              </w:rPr>
              <w:t>）</w:t>
            </w:r>
          </w:p>
          <w:p>
            <w:pPr>
              <w:widowControl/>
              <w:jc w:val="left"/>
              <w:rPr>
                <w:rFonts w:ascii="宋体" w:hAnsi="宋体"/>
                <w:color w:val="auto"/>
                <w:highlight w:val="none"/>
              </w:rPr>
            </w:pPr>
            <w:r>
              <w:rPr>
                <w:rFonts w:hint="eastAsia" w:ascii="宋体" w:hAnsi="宋体"/>
                <w:color w:val="auto"/>
                <w:highlight w:val="none"/>
              </w:rPr>
              <w:t>日期</w:t>
            </w:r>
            <w:r>
              <w:rPr>
                <w:rFonts w:ascii="宋体" w:hAnsi="宋体"/>
                <w:color w:val="auto"/>
                <w:highlight w:val="none"/>
              </w:rPr>
              <w:t>：</w:t>
            </w:r>
          </w:p>
        </w:tc>
      </w:tr>
    </w:tbl>
    <w:p>
      <w:pPr>
        <w:widowControl/>
        <w:jc w:val="left"/>
        <w:rPr>
          <w:rFonts w:ascii="宋体" w:hAnsi="宋体"/>
          <w:color w:val="auto"/>
          <w:highlight w:val="none"/>
        </w:rPr>
      </w:pPr>
    </w:p>
    <w:p>
      <w:pPr>
        <w:rPr>
          <w:color w:val="auto"/>
          <w:highlight w:val="none"/>
        </w:rPr>
      </w:pPr>
      <w:r>
        <w:rPr>
          <w:color w:val="auto"/>
          <w:highlight w:val="none"/>
        </w:rPr>
        <w:br w:type="page"/>
      </w:r>
    </w:p>
    <w:tbl>
      <w:tblPr>
        <w:tblStyle w:val="6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28"/>
        <w:gridCol w:w="777"/>
        <w:gridCol w:w="734"/>
        <w:gridCol w:w="1022"/>
        <w:gridCol w:w="1320"/>
        <w:gridCol w:w="129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8"/>
            <w:vAlign w:val="center"/>
          </w:tcPr>
          <w:p>
            <w:pPr>
              <w:jc w:val="center"/>
              <w:rPr>
                <w:b/>
                <w:bCs/>
                <w:color w:val="auto"/>
                <w:highlight w:val="none"/>
              </w:rPr>
            </w:pPr>
            <w:r>
              <w:rPr>
                <w:rFonts w:hint="eastAsia"/>
                <w:b/>
                <w:bCs/>
                <w:color w:val="auto"/>
                <w:sz w:val="28"/>
                <w:highlight w:val="none"/>
              </w:rPr>
              <w:t>上城</w:t>
            </w:r>
            <w:r>
              <w:rPr>
                <w:b/>
                <w:bCs/>
                <w:color w:val="auto"/>
                <w:sz w:val="28"/>
                <w:highlight w:val="none"/>
              </w:rPr>
              <w:t>区教育系统</w:t>
            </w:r>
            <w:r>
              <w:rPr>
                <w:rFonts w:hint="eastAsia"/>
                <w:b/>
                <w:bCs/>
                <w:color w:val="auto"/>
                <w:sz w:val="28"/>
                <w:highlight w:val="none"/>
              </w:rPr>
              <w:t>政府采购项目验收报告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390" w:type="dxa"/>
            <w:gridSpan w:val="5"/>
            <w:vAlign w:val="center"/>
          </w:tcPr>
          <w:p>
            <w:pPr>
              <w:rPr>
                <w:color w:val="auto"/>
                <w:highlight w:val="none"/>
              </w:rPr>
            </w:pPr>
            <w:r>
              <w:rPr>
                <w:rFonts w:hint="eastAsia"/>
                <w:color w:val="auto"/>
                <w:highlight w:val="none"/>
              </w:rPr>
              <w:t>采购单位：杭州市上城区教育发展服务中</w:t>
            </w:r>
            <w:r>
              <w:rPr>
                <w:color w:val="auto"/>
                <w:highlight w:val="none"/>
              </w:rPr>
              <w:t>心</w:t>
            </w:r>
          </w:p>
        </w:tc>
        <w:tc>
          <w:tcPr>
            <w:tcW w:w="1320" w:type="dxa"/>
            <w:vAlign w:val="center"/>
          </w:tcPr>
          <w:p>
            <w:pPr>
              <w:rPr>
                <w:color w:val="auto"/>
                <w:highlight w:val="none"/>
              </w:rPr>
            </w:pPr>
            <w:r>
              <w:rPr>
                <w:rFonts w:hint="eastAsia"/>
                <w:color w:val="auto"/>
                <w:highlight w:val="none"/>
              </w:rPr>
              <w:t>验收日期：</w:t>
            </w:r>
          </w:p>
        </w:tc>
        <w:tc>
          <w:tcPr>
            <w:tcW w:w="2586" w:type="dxa"/>
            <w:gridSpan w:val="2"/>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29" w:type="dxa"/>
            <w:vAlign w:val="center"/>
          </w:tcPr>
          <w:p>
            <w:pPr>
              <w:rPr>
                <w:color w:val="auto"/>
                <w:highlight w:val="none"/>
              </w:rPr>
            </w:pPr>
            <w:r>
              <w:rPr>
                <w:rFonts w:hint="eastAsia"/>
                <w:color w:val="auto"/>
                <w:highlight w:val="none"/>
              </w:rPr>
              <w:t>采购项目</w:t>
            </w:r>
          </w:p>
        </w:tc>
        <w:tc>
          <w:tcPr>
            <w:tcW w:w="7167" w:type="dxa"/>
            <w:gridSpan w:val="7"/>
            <w:vAlign w:val="center"/>
          </w:tcPr>
          <w:p>
            <w:pPr>
              <w:rPr>
                <w:b/>
                <w:bCs/>
                <w:color w:val="auto"/>
                <w:highlight w:val="none"/>
              </w:rPr>
            </w:pPr>
            <w:r>
              <w:rPr>
                <w:rFonts w:hint="eastAsia"/>
                <w:b/>
                <w:bCs/>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29" w:type="dxa"/>
            <w:vAlign w:val="center"/>
          </w:tcPr>
          <w:p>
            <w:pPr>
              <w:rPr>
                <w:color w:val="auto"/>
                <w:highlight w:val="none"/>
              </w:rPr>
            </w:pPr>
            <w:r>
              <w:rPr>
                <w:rFonts w:hint="eastAsia"/>
                <w:color w:val="auto"/>
                <w:highlight w:val="none"/>
              </w:rPr>
              <w:t>项目编号</w:t>
            </w:r>
          </w:p>
        </w:tc>
        <w:tc>
          <w:tcPr>
            <w:tcW w:w="3261" w:type="dxa"/>
            <w:gridSpan w:val="4"/>
            <w:vAlign w:val="center"/>
          </w:tcPr>
          <w:p>
            <w:pPr>
              <w:rPr>
                <w:b/>
                <w:bCs/>
                <w:color w:val="auto"/>
                <w:highlight w:val="none"/>
              </w:rPr>
            </w:pPr>
            <w:r>
              <w:rPr>
                <w:b/>
                <w:bCs/>
                <w:color w:val="auto"/>
                <w:highlight w:val="none"/>
              </w:rPr>
              <w:t>　</w:t>
            </w:r>
          </w:p>
        </w:tc>
        <w:tc>
          <w:tcPr>
            <w:tcW w:w="1320" w:type="dxa"/>
            <w:vAlign w:val="center"/>
          </w:tcPr>
          <w:p>
            <w:pPr>
              <w:jc w:val="left"/>
              <w:rPr>
                <w:color w:val="auto"/>
                <w:highlight w:val="none"/>
              </w:rPr>
            </w:pPr>
            <w:r>
              <w:rPr>
                <w:rFonts w:hint="eastAsia"/>
                <w:color w:val="auto"/>
                <w:highlight w:val="none"/>
              </w:rPr>
              <w:t>中标金额</w:t>
            </w:r>
          </w:p>
        </w:tc>
        <w:tc>
          <w:tcPr>
            <w:tcW w:w="2586" w:type="dxa"/>
            <w:gridSpan w:val="2"/>
            <w:vAlign w:val="center"/>
          </w:tcPr>
          <w:p>
            <w:pPr>
              <w:rPr>
                <w:b/>
                <w:bCs/>
                <w:color w:val="auto"/>
                <w:highlight w:val="none"/>
              </w:rPr>
            </w:pPr>
            <w:r>
              <w:rPr>
                <w:b/>
                <w:bCs/>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29" w:type="dxa"/>
            <w:vAlign w:val="center"/>
          </w:tcPr>
          <w:p>
            <w:pPr>
              <w:rPr>
                <w:color w:val="auto"/>
                <w:highlight w:val="none"/>
              </w:rPr>
            </w:pPr>
            <w:r>
              <w:rPr>
                <w:rFonts w:hint="eastAsia"/>
                <w:color w:val="auto"/>
                <w:highlight w:val="none"/>
              </w:rPr>
              <w:t>采购方式</w:t>
            </w:r>
          </w:p>
        </w:tc>
        <w:tc>
          <w:tcPr>
            <w:tcW w:w="1505" w:type="dxa"/>
            <w:gridSpan w:val="2"/>
            <w:vAlign w:val="center"/>
          </w:tcPr>
          <w:p>
            <w:pPr>
              <w:rPr>
                <w:color w:val="auto"/>
                <w:highlight w:val="none"/>
              </w:rPr>
            </w:pPr>
            <w:r>
              <w:rPr>
                <w:rFonts w:hint="eastAsia"/>
                <w:color w:val="auto"/>
                <w:highlight w:val="none"/>
              </w:rPr>
              <w:t>公开招标</w:t>
            </w:r>
          </w:p>
        </w:tc>
        <w:tc>
          <w:tcPr>
            <w:tcW w:w="1756" w:type="dxa"/>
            <w:gridSpan w:val="2"/>
            <w:vAlign w:val="center"/>
          </w:tcPr>
          <w:p>
            <w:pPr>
              <w:rPr>
                <w:color w:val="auto"/>
                <w:highlight w:val="none"/>
              </w:rPr>
            </w:pPr>
            <w:r>
              <w:rPr>
                <w:rFonts w:hint="eastAsia"/>
                <w:color w:val="auto"/>
                <w:highlight w:val="none"/>
              </w:rPr>
              <w:t>采购机构</w:t>
            </w:r>
          </w:p>
        </w:tc>
        <w:tc>
          <w:tcPr>
            <w:tcW w:w="3906" w:type="dxa"/>
            <w:gridSpan w:val="3"/>
            <w:vAlign w:val="center"/>
          </w:tcPr>
          <w:p>
            <w:pPr>
              <w:rPr>
                <w:color w:val="auto"/>
                <w:highlight w:val="none"/>
              </w:rPr>
            </w:pPr>
            <w:r>
              <w:rPr>
                <w:rFonts w:hint="eastAsia"/>
                <w:color w:val="auto"/>
                <w:highlight w:val="none"/>
              </w:rPr>
              <w:t>杭州市公共资源交易中心上城分中</w:t>
            </w:r>
            <w:r>
              <w:rPr>
                <w:color w:val="auto"/>
                <w:highlight w:val="none"/>
              </w:rPr>
              <w:t>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57" w:type="dxa"/>
            <w:gridSpan w:val="2"/>
            <w:vAlign w:val="center"/>
          </w:tcPr>
          <w:p>
            <w:pPr>
              <w:rPr>
                <w:color w:val="auto"/>
                <w:highlight w:val="none"/>
              </w:rPr>
            </w:pPr>
            <w:r>
              <w:rPr>
                <w:rFonts w:hint="eastAsia"/>
                <w:color w:val="auto"/>
                <w:highlight w:val="none"/>
              </w:rPr>
              <w:t>合同签订日期</w:t>
            </w:r>
          </w:p>
        </w:tc>
        <w:tc>
          <w:tcPr>
            <w:tcW w:w="2533" w:type="dxa"/>
            <w:gridSpan w:val="3"/>
            <w:vAlign w:val="center"/>
          </w:tcPr>
          <w:p>
            <w:pPr>
              <w:rPr>
                <w:color w:val="auto"/>
                <w:highlight w:val="none"/>
              </w:rPr>
            </w:pPr>
          </w:p>
        </w:tc>
        <w:tc>
          <w:tcPr>
            <w:tcW w:w="1320" w:type="dxa"/>
            <w:vAlign w:val="center"/>
          </w:tcPr>
          <w:p>
            <w:pPr>
              <w:rPr>
                <w:color w:val="auto"/>
                <w:highlight w:val="none"/>
              </w:rPr>
            </w:pPr>
            <w:r>
              <w:rPr>
                <w:rFonts w:hint="eastAsia"/>
                <w:color w:val="auto"/>
                <w:highlight w:val="none"/>
              </w:rPr>
              <w:t>质保期</w:t>
            </w:r>
          </w:p>
        </w:tc>
        <w:tc>
          <w:tcPr>
            <w:tcW w:w="2586" w:type="dxa"/>
            <w:gridSpan w:val="2"/>
            <w:vAlign w:val="center"/>
          </w:tcPr>
          <w:p>
            <w:pPr>
              <w:rPr>
                <w:color w:val="auto"/>
                <w:highlight w:val="none"/>
              </w:rPr>
            </w:pPr>
            <w:r>
              <w:rPr>
                <w:rFonts w:hint="eastAsia"/>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857" w:type="dxa"/>
            <w:gridSpan w:val="2"/>
            <w:vAlign w:val="center"/>
          </w:tcPr>
          <w:p>
            <w:pPr>
              <w:rPr>
                <w:color w:val="auto"/>
                <w:highlight w:val="none"/>
              </w:rPr>
            </w:pPr>
            <w:r>
              <w:rPr>
                <w:rFonts w:hint="eastAsia"/>
                <w:color w:val="auto"/>
                <w:highlight w:val="none"/>
              </w:rPr>
              <w:t>中标供应商</w:t>
            </w:r>
          </w:p>
        </w:tc>
        <w:tc>
          <w:tcPr>
            <w:tcW w:w="2533" w:type="dxa"/>
            <w:gridSpan w:val="3"/>
            <w:vAlign w:val="center"/>
          </w:tcPr>
          <w:p>
            <w:pPr>
              <w:rPr>
                <w:color w:val="auto"/>
                <w:highlight w:val="none"/>
              </w:rPr>
            </w:pPr>
            <w:r>
              <w:rPr>
                <w:rFonts w:hint="eastAsia"/>
                <w:color w:val="auto"/>
                <w:highlight w:val="none"/>
              </w:rPr>
              <w:t>　</w:t>
            </w:r>
          </w:p>
        </w:tc>
        <w:tc>
          <w:tcPr>
            <w:tcW w:w="1320" w:type="dxa"/>
            <w:vAlign w:val="center"/>
          </w:tcPr>
          <w:p>
            <w:pPr>
              <w:jc w:val="left"/>
              <w:rPr>
                <w:color w:val="auto"/>
                <w:highlight w:val="none"/>
              </w:rPr>
            </w:pPr>
            <w:r>
              <w:rPr>
                <w:rFonts w:hint="eastAsia"/>
                <w:color w:val="auto"/>
                <w:highlight w:val="none"/>
              </w:rPr>
              <w:t>联系人手机</w:t>
            </w:r>
          </w:p>
        </w:tc>
        <w:tc>
          <w:tcPr>
            <w:tcW w:w="2586" w:type="dxa"/>
            <w:gridSpan w:val="2"/>
            <w:vAlign w:val="center"/>
          </w:tcPr>
          <w:p>
            <w:pPr>
              <w:rPr>
                <w:color w:val="auto"/>
                <w:highlight w:val="none"/>
              </w:rPr>
            </w:pPr>
            <w:r>
              <w:rPr>
                <w:rFonts w:hint="eastAsia"/>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29" w:type="dxa"/>
            <w:vMerge w:val="restart"/>
            <w:vAlign w:val="center"/>
          </w:tcPr>
          <w:p>
            <w:pPr>
              <w:jc w:val="center"/>
              <w:rPr>
                <w:color w:val="auto"/>
                <w:highlight w:val="none"/>
              </w:rPr>
            </w:pPr>
            <w:r>
              <w:rPr>
                <w:rFonts w:hint="eastAsia"/>
                <w:color w:val="auto"/>
                <w:highlight w:val="none"/>
              </w:rPr>
              <w:t>验</w:t>
            </w:r>
          </w:p>
          <w:p>
            <w:pPr>
              <w:jc w:val="center"/>
              <w:rPr>
                <w:color w:val="auto"/>
                <w:highlight w:val="none"/>
              </w:rPr>
            </w:pPr>
            <w:r>
              <w:rPr>
                <w:rFonts w:hint="eastAsia"/>
                <w:color w:val="auto"/>
                <w:highlight w:val="none"/>
              </w:rPr>
              <w:t>收</w:t>
            </w:r>
          </w:p>
          <w:p>
            <w:pPr>
              <w:jc w:val="center"/>
              <w:rPr>
                <w:color w:val="auto"/>
                <w:highlight w:val="none"/>
              </w:rPr>
            </w:pPr>
            <w:r>
              <w:rPr>
                <w:rFonts w:hint="eastAsia"/>
                <w:color w:val="auto"/>
                <w:highlight w:val="none"/>
              </w:rPr>
              <w:t>综</w:t>
            </w:r>
          </w:p>
          <w:p>
            <w:pPr>
              <w:jc w:val="center"/>
              <w:rPr>
                <w:color w:val="auto"/>
                <w:highlight w:val="none"/>
              </w:rPr>
            </w:pPr>
            <w:r>
              <w:rPr>
                <w:rFonts w:hint="eastAsia"/>
                <w:color w:val="auto"/>
                <w:highlight w:val="none"/>
              </w:rPr>
              <w:t>合</w:t>
            </w:r>
          </w:p>
          <w:p>
            <w:pPr>
              <w:jc w:val="center"/>
              <w:rPr>
                <w:color w:val="auto"/>
                <w:highlight w:val="none"/>
              </w:rPr>
            </w:pPr>
            <w:r>
              <w:rPr>
                <w:rFonts w:hint="eastAsia"/>
                <w:color w:val="auto"/>
                <w:highlight w:val="none"/>
              </w:rPr>
              <w:t>结</w:t>
            </w:r>
          </w:p>
          <w:p>
            <w:pPr>
              <w:jc w:val="center"/>
              <w:rPr>
                <w:color w:val="auto"/>
                <w:highlight w:val="none"/>
              </w:rPr>
            </w:pPr>
            <w:r>
              <w:rPr>
                <w:rFonts w:hint="eastAsia"/>
                <w:color w:val="auto"/>
                <w:highlight w:val="none"/>
              </w:rPr>
              <w:t>论</w:t>
            </w:r>
          </w:p>
          <w:p>
            <w:pPr>
              <w:rPr>
                <w:color w:val="auto"/>
                <w:highlight w:val="none"/>
              </w:rPr>
            </w:pPr>
          </w:p>
        </w:tc>
        <w:tc>
          <w:tcPr>
            <w:tcW w:w="7167" w:type="dxa"/>
            <w:gridSpan w:val="7"/>
            <w:vAlign w:val="center"/>
          </w:tcPr>
          <w:p>
            <w:pPr>
              <w:rPr>
                <w:color w:val="auto"/>
                <w:highlight w:val="none"/>
              </w:rPr>
            </w:pPr>
            <w:r>
              <w:rPr>
                <w:rFonts w:hint="eastAsia"/>
                <w:color w:val="auto"/>
                <w:highlight w:val="none"/>
              </w:rPr>
              <w:t>验收记录（包括设备的品牌、型号、配置、质保期、数量等以及合同约定的施</w:t>
            </w:r>
            <w:r>
              <w:rPr>
                <w:color w:val="auto"/>
                <w:highlight w:val="none"/>
              </w:rPr>
              <w:t>工质量、</w:t>
            </w:r>
            <w:r>
              <w:rPr>
                <w:rFonts w:hint="eastAsia"/>
                <w:color w:val="auto"/>
                <w:highlight w:val="none"/>
              </w:rPr>
              <w:t>服务考核情况）：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0" w:hRule="atLeast"/>
          <w:jc w:val="center"/>
        </w:trPr>
        <w:tc>
          <w:tcPr>
            <w:tcW w:w="1129" w:type="dxa"/>
            <w:vMerge w:val="continue"/>
            <w:vAlign w:val="center"/>
          </w:tcPr>
          <w:p>
            <w:pPr>
              <w:rPr>
                <w:color w:val="auto"/>
                <w:highlight w:val="none"/>
              </w:rPr>
            </w:pPr>
          </w:p>
        </w:tc>
        <w:tc>
          <w:tcPr>
            <w:tcW w:w="7167" w:type="dxa"/>
            <w:gridSpan w:val="7"/>
            <w:vAlign w:val="center"/>
          </w:tcPr>
          <w:p>
            <w:pPr>
              <w:rPr>
                <w:color w:val="auto"/>
                <w:highlight w:val="none"/>
              </w:rPr>
            </w:pPr>
            <w:r>
              <w:rPr>
                <w:color w:val="auto"/>
                <w:highlight w:val="none"/>
              </w:rPr>
              <w:t>　</w:t>
            </w:r>
          </w:p>
          <w:p>
            <w:pPr>
              <w:rPr>
                <w:color w:val="auto"/>
                <w:highlight w:val="none"/>
              </w:rPr>
            </w:pPr>
            <w:r>
              <w:rPr>
                <w:color w:val="auto"/>
                <w:highlight w:val="none"/>
              </w:rPr>
              <w:t>　</w:t>
            </w:r>
          </w:p>
          <w:p>
            <w:pPr>
              <w:rPr>
                <w:color w:val="auto"/>
                <w:highlight w:val="none"/>
              </w:rPr>
            </w:pPr>
            <w:r>
              <w:rPr>
                <w:color w:val="auto"/>
                <w:highlight w:val="none"/>
              </w:rPr>
              <w:t>　</w:t>
            </w:r>
          </w:p>
          <w:p>
            <w:pPr>
              <w:rPr>
                <w:color w:val="auto"/>
                <w:highlight w:val="none"/>
              </w:rPr>
            </w:pPr>
            <w:r>
              <w:rPr>
                <w:rFonts w:hint="eastAsia"/>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29" w:type="dxa"/>
            <w:vMerge w:val="continue"/>
            <w:vAlign w:val="center"/>
          </w:tcPr>
          <w:p>
            <w:pPr>
              <w:rPr>
                <w:color w:val="auto"/>
                <w:highlight w:val="none"/>
              </w:rPr>
            </w:pPr>
          </w:p>
        </w:tc>
        <w:tc>
          <w:tcPr>
            <w:tcW w:w="7167" w:type="dxa"/>
            <w:gridSpan w:val="7"/>
            <w:vAlign w:val="center"/>
          </w:tcPr>
          <w:p>
            <w:pPr>
              <w:rPr>
                <w:color w:val="auto"/>
                <w:highlight w:val="none"/>
              </w:rPr>
            </w:pPr>
            <w:r>
              <w:rPr>
                <w:rFonts w:hint="eastAsia"/>
                <w:color w:val="auto"/>
                <w:highlight w:val="none"/>
              </w:rPr>
              <w:t>验收结论：合格（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29" w:type="dxa"/>
            <w:vMerge w:val="continue"/>
            <w:vAlign w:val="center"/>
          </w:tcPr>
          <w:p>
            <w:pPr>
              <w:rPr>
                <w:color w:val="auto"/>
                <w:highlight w:val="none"/>
              </w:rPr>
            </w:pPr>
          </w:p>
        </w:tc>
        <w:tc>
          <w:tcPr>
            <w:tcW w:w="7167" w:type="dxa"/>
            <w:gridSpan w:val="7"/>
            <w:vAlign w:val="center"/>
          </w:tcPr>
          <w:p>
            <w:pPr>
              <w:rPr>
                <w:color w:val="auto"/>
                <w:highlight w:val="none"/>
              </w:rPr>
            </w:pPr>
            <w:r>
              <w:rPr>
                <w:rFonts w:hint="eastAsia"/>
                <w:color w:val="auto"/>
                <w:highlight w:val="none"/>
              </w:rPr>
              <w:t xml:space="preserve">                                        验收负责人（签字）：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96" w:type="dxa"/>
            <w:gridSpan w:val="8"/>
            <w:vAlign w:val="center"/>
          </w:tcPr>
          <w:p>
            <w:pPr>
              <w:rPr>
                <w:b/>
                <w:bCs/>
                <w:color w:val="auto"/>
                <w:highlight w:val="none"/>
              </w:rPr>
            </w:pPr>
            <w:r>
              <w:rPr>
                <w:rFonts w:hint="eastAsia"/>
                <w:b/>
                <w:bCs/>
                <w:color w:val="auto"/>
                <w:highlight w:val="none"/>
              </w:rPr>
              <w:t>验  收  人  员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29" w:type="dxa"/>
            <w:vAlign w:val="center"/>
          </w:tcPr>
          <w:p>
            <w:pPr>
              <w:rPr>
                <w:color w:val="auto"/>
                <w:highlight w:val="none"/>
              </w:rPr>
            </w:pPr>
            <w:r>
              <w:rPr>
                <w:rFonts w:hint="eastAsia"/>
                <w:color w:val="auto"/>
                <w:highlight w:val="none"/>
              </w:rPr>
              <w:t>姓名</w:t>
            </w:r>
          </w:p>
        </w:tc>
        <w:tc>
          <w:tcPr>
            <w:tcW w:w="2239" w:type="dxa"/>
            <w:gridSpan w:val="3"/>
            <w:vAlign w:val="center"/>
          </w:tcPr>
          <w:p>
            <w:pPr>
              <w:rPr>
                <w:color w:val="auto"/>
                <w:highlight w:val="none"/>
              </w:rPr>
            </w:pPr>
            <w:r>
              <w:rPr>
                <w:rFonts w:hint="eastAsia"/>
                <w:color w:val="auto"/>
                <w:highlight w:val="none"/>
              </w:rPr>
              <w:t>工作单位</w:t>
            </w:r>
          </w:p>
        </w:tc>
        <w:tc>
          <w:tcPr>
            <w:tcW w:w="1022" w:type="dxa"/>
            <w:vAlign w:val="center"/>
          </w:tcPr>
          <w:p>
            <w:pPr>
              <w:rPr>
                <w:color w:val="auto"/>
                <w:highlight w:val="none"/>
              </w:rPr>
            </w:pPr>
            <w:r>
              <w:rPr>
                <w:rFonts w:hint="eastAsia"/>
                <w:color w:val="auto"/>
                <w:highlight w:val="none"/>
              </w:rPr>
              <w:t>职务</w:t>
            </w:r>
            <w:r>
              <w:rPr>
                <w:color w:val="auto"/>
                <w:highlight w:val="none"/>
              </w:rPr>
              <w:t>/</w:t>
            </w:r>
            <w:r>
              <w:rPr>
                <w:rFonts w:hint="eastAsia"/>
                <w:color w:val="auto"/>
                <w:highlight w:val="none"/>
              </w:rPr>
              <w:t>职称</w:t>
            </w:r>
          </w:p>
        </w:tc>
        <w:tc>
          <w:tcPr>
            <w:tcW w:w="1320" w:type="dxa"/>
            <w:vAlign w:val="center"/>
          </w:tcPr>
          <w:p>
            <w:pPr>
              <w:rPr>
                <w:color w:val="auto"/>
                <w:highlight w:val="none"/>
              </w:rPr>
            </w:pPr>
            <w:r>
              <w:rPr>
                <w:rFonts w:hint="eastAsia"/>
                <w:color w:val="auto"/>
                <w:highlight w:val="none"/>
              </w:rPr>
              <w:t>联系电话</w:t>
            </w:r>
          </w:p>
        </w:tc>
        <w:tc>
          <w:tcPr>
            <w:tcW w:w="1293" w:type="dxa"/>
            <w:vAlign w:val="center"/>
          </w:tcPr>
          <w:p>
            <w:pPr>
              <w:rPr>
                <w:color w:val="auto"/>
                <w:highlight w:val="none"/>
              </w:rPr>
            </w:pPr>
            <w:r>
              <w:rPr>
                <w:rFonts w:hint="eastAsia"/>
                <w:color w:val="auto"/>
                <w:highlight w:val="none"/>
              </w:rPr>
              <w:t>合格或不合格</w:t>
            </w:r>
          </w:p>
        </w:tc>
        <w:tc>
          <w:tcPr>
            <w:tcW w:w="1293" w:type="dxa"/>
            <w:vAlign w:val="center"/>
          </w:tcPr>
          <w:p>
            <w:pPr>
              <w:rPr>
                <w:color w:val="auto"/>
                <w:highlight w:val="none"/>
              </w:rPr>
            </w:pPr>
            <w:r>
              <w:rPr>
                <w:rFonts w:hint="eastAsia"/>
                <w:color w:val="auto"/>
                <w:highlight w:val="none"/>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1129" w:type="dxa"/>
            <w:vAlign w:val="center"/>
          </w:tcPr>
          <w:p>
            <w:pPr>
              <w:rPr>
                <w:color w:val="auto"/>
                <w:highlight w:val="none"/>
              </w:rPr>
            </w:pPr>
            <w:r>
              <w:rPr>
                <w:color w:val="auto"/>
                <w:highlight w:val="none"/>
              </w:rPr>
              <w:t>　</w:t>
            </w:r>
          </w:p>
        </w:tc>
        <w:tc>
          <w:tcPr>
            <w:tcW w:w="2239" w:type="dxa"/>
            <w:gridSpan w:val="3"/>
            <w:vAlign w:val="center"/>
          </w:tcPr>
          <w:p>
            <w:pPr>
              <w:rPr>
                <w:color w:val="auto"/>
                <w:highlight w:val="none"/>
              </w:rPr>
            </w:pPr>
            <w:r>
              <w:rPr>
                <w:rFonts w:hint="eastAsia"/>
                <w:color w:val="auto"/>
                <w:highlight w:val="none"/>
              </w:rPr>
              <w:t>　</w:t>
            </w:r>
          </w:p>
        </w:tc>
        <w:tc>
          <w:tcPr>
            <w:tcW w:w="1022" w:type="dxa"/>
            <w:vAlign w:val="center"/>
          </w:tcPr>
          <w:p>
            <w:pPr>
              <w:rPr>
                <w:color w:val="auto"/>
                <w:highlight w:val="none"/>
              </w:rPr>
            </w:pPr>
            <w:r>
              <w:rPr>
                <w:color w:val="auto"/>
                <w:highlight w:val="none"/>
              </w:rPr>
              <w:t>　</w:t>
            </w:r>
          </w:p>
        </w:tc>
        <w:tc>
          <w:tcPr>
            <w:tcW w:w="1320"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29" w:type="dxa"/>
            <w:vAlign w:val="center"/>
          </w:tcPr>
          <w:p>
            <w:pPr>
              <w:rPr>
                <w:color w:val="auto"/>
                <w:highlight w:val="none"/>
              </w:rPr>
            </w:pPr>
            <w:r>
              <w:rPr>
                <w:color w:val="auto"/>
                <w:highlight w:val="none"/>
              </w:rPr>
              <w:t>　</w:t>
            </w:r>
          </w:p>
        </w:tc>
        <w:tc>
          <w:tcPr>
            <w:tcW w:w="2239" w:type="dxa"/>
            <w:gridSpan w:val="3"/>
            <w:vAlign w:val="center"/>
          </w:tcPr>
          <w:p>
            <w:pPr>
              <w:rPr>
                <w:color w:val="auto"/>
                <w:highlight w:val="none"/>
              </w:rPr>
            </w:pPr>
            <w:r>
              <w:rPr>
                <w:rFonts w:hint="eastAsia"/>
                <w:color w:val="auto"/>
                <w:highlight w:val="none"/>
              </w:rPr>
              <w:t>　</w:t>
            </w:r>
          </w:p>
        </w:tc>
        <w:tc>
          <w:tcPr>
            <w:tcW w:w="1022" w:type="dxa"/>
            <w:vAlign w:val="center"/>
          </w:tcPr>
          <w:p>
            <w:pPr>
              <w:rPr>
                <w:color w:val="auto"/>
                <w:highlight w:val="none"/>
              </w:rPr>
            </w:pPr>
            <w:r>
              <w:rPr>
                <w:color w:val="auto"/>
                <w:highlight w:val="none"/>
              </w:rPr>
              <w:t>　</w:t>
            </w:r>
          </w:p>
        </w:tc>
        <w:tc>
          <w:tcPr>
            <w:tcW w:w="1320"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29" w:type="dxa"/>
            <w:vAlign w:val="center"/>
          </w:tcPr>
          <w:p>
            <w:pPr>
              <w:rPr>
                <w:color w:val="auto"/>
                <w:highlight w:val="none"/>
              </w:rPr>
            </w:pPr>
            <w:r>
              <w:rPr>
                <w:color w:val="auto"/>
                <w:highlight w:val="none"/>
              </w:rPr>
              <w:t>　</w:t>
            </w:r>
          </w:p>
        </w:tc>
        <w:tc>
          <w:tcPr>
            <w:tcW w:w="2239" w:type="dxa"/>
            <w:gridSpan w:val="3"/>
            <w:vAlign w:val="center"/>
          </w:tcPr>
          <w:p>
            <w:pPr>
              <w:rPr>
                <w:color w:val="auto"/>
                <w:highlight w:val="none"/>
              </w:rPr>
            </w:pPr>
            <w:r>
              <w:rPr>
                <w:rFonts w:hint="eastAsia"/>
                <w:color w:val="auto"/>
                <w:highlight w:val="none"/>
              </w:rPr>
              <w:t>　</w:t>
            </w:r>
          </w:p>
        </w:tc>
        <w:tc>
          <w:tcPr>
            <w:tcW w:w="1022" w:type="dxa"/>
            <w:vAlign w:val="center"/>
          </w:tcPr>
          <w:p>
            <w:pPr>
              <w:rPr>
                <w:color w:val="auto"/>
                <w:highlight w:val="none"/>
              </w:rPr>
            </w:pPr>
            <w:r>
              <w:rPr>
                <w:color w:val="auto"/>
                <w:highlight w:val="none"/>
              </w:rPr>
              <w:t>　</w:t>
            </w:r>
          </w:p>
        </w:tc>
        <w:tc>
          <w:tcPr>
            <w:tcW w:w="1320"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29" w:type="dxa"/>
            <w:vAlign w:val="center"/>
          </w:tcPr>
          <w:p>
            <w:pPr>
              <w:rPr>
                <w:color w:val="auto"/>
                <w:highlight w:val="none"/>
              </w:rPr>
            </w:pPr>
            <w:r>
              <w:rPr>
                <w:color w:val="auto"/>
                <w:highlight w:val="none"/>
              </w:rPr>
              <w:t>　</w:t>
            </w:r>
          </w:p>
        </w:tc>
        <w:tc>
          <w:tcPr>
            <w:tcW w:w="2239" w:type="dxa"/>
            <w:gridSpan w:val="3"/>
            <w:vAlign w:val="center"/>
          </w:tcPr>
          <w:p>
            <w:pPr>
              <w:rPr>
                <w:color w:val="auto"/>
                <w:highlight w:val="none"/>
              </w:rPr>
            </w:pPr>
            <w:r>
              <w:rPr>
                <w:rFonts w:hint="eastAsia"/>
                <w:color w:val="auto"/>
                <w:highlight w:val="none"/>
              </w:rPr>
              <w:t>　</w:t>
            </w:r>
          </w:p>
        </w:tc>
        <w:tc>
          <w:tcPr>
            <w:tcW w:w="1022" w:type="dxa"/>
            <w:vAlign w:val="center"/>
          </w:tcPr>
          <w:p>
            <w:pPr>
              <w:rPr>
                <w:color w:val="auto"/>
                <w:highlight w:val="none"/>
              </w:rPr>
            </w:pPr>
            <w:r>
              <w:rPr>
                <w:color w:val="auto"/>
                <w:highlight w:val="none"/>
              </w:rPr>
              <w:t>　</w:t>
            </w:r>
          </w:p>
        </w:tc>
        <w:tc>
          <w:tcPr>
            <w:tcW w:w="1320"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29" w:type="dxa"/>
            <w:vAlign w:val="center"/>
          </w:tcPr>
          <w:p>
            <w:pPr>
              <w:rPr>
                <w:color w:val="auto"/>
                <w:highlight w:val="none"/>
              </w:rPr>
            </w:pPr>
            <w:r>
              <w:rPr>
                <w:color w:val="auto"/>
                <w:highlight w:val="none"/>
              </w:rPr>
              <w:t>　</w:t>
            </w:r>
          </w:p>
        </w:tc>
        <w:tc>
          <w:tcPr>
            <w:tcW w:w="2239" w:type="dxa"/>
            <w:gridSpan w:val="3"/>
            <w:vAlign w:val="center"/>
          </w:tcPr>
          <w:p>
            <w:pPr>
              <w:rPr>
                <w:color w:val="auto"/>
                <w:highlight w:val="none"/>
              </w:rPr>
            </w:pPr>
            <w:r>
              <w:rPr>
                <w:rFonts w:hint="eastAsia"/>
                <w:color w:val="auto"/>
                <w:highlight w:val="none"/>
              </w:rPr>
              <w:t>　</w:t>
            </w:r>
          </w:p>
        </w:tc>
        <w:tc>
          <w:tcPr>
            <w:tcW w:w="1022" w:type="dxa"/>
            <w:vAlign w:val="center"/>
          </w:tcPr>
          <w:p>
            <w:pPr>
              <w:rPr>
                <w:color w:val="auto"/>
                <w:highlight w:val="none"/>
              </w:rPr>
            </w:pPr>
            <w:r>
              <w:rPr>
                <w:color w:val="auto"/>
                <w:highlight w:val="none"/>
              </w:rPr>
              <w:t>　</w:t>
            </w:r>
          </w:p>
        </w:tc>
        <w:tc>
          <w:tcPr>
            <w:tcW w:w="1320"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c>
          <w:tcPr>
            <w:tcW w:w="1293" w:type="dxa"/>
            <w:vAlign w:val="center"/>
          </w:tcPr>
          <w:p>
            <w:pPr>
              <w:rPr>
                <w:color w:val="auto"/>
                <w:highlight w:val="none"/>
              </w:rPr>
            </w:pPr>
            <w:r>
              <w:rPr>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29" w:type="dxa"/>
            <w:vAlign w:val="center"/>
          </w:tcPr>
          <w:p>
            <w:pPr>
              <w:rPr>
                <w:color w:val="auto"/>
                <w:highlight w:val="none"/>
              </w:rPr>
            </w:pPr>
            <w:r>
              <w:rPr>
                <w:rFonts w:hint="eastAsia"/>
                <w:color w:val="auto"/>
                <w:highlight w:val="none"/>
              </w:rPr>
              <w:t>备　注</w:t>
            </w:r>
          </w:p>
        </w:tc>
        <w:tc>
          <w:tcPr>
            <w:tcW w:w="7167" w:type="dxa"/>
            <w:gridSpan w:val="7"/>
            <w:vAlign w:val="center"/>
          </w:tcPr>
          <w:p>
            <w:pPr>
              <w:rPr>
                <w:color w:val="auto"/>
                <w:highlight w:val="none"/>
              </w:rPr>
            </w:pPr>
            <w:r>
              <w:rPr>
                <w:color w:val="auto"/>
                <w:highlight w:val="none"/>
              </w:rPr>
              <w:t>　</w:t>
            </w:r>
          </w:p>
        </w:tc>
      </w:tr>
    </w:tbl>
    <w:p>
      <w:pPr>
        <w:spacing w:line="360" w:lineRule="auto"/>
        <w:ind w:left="-420" w:leftChars="-200" w:right="-420" w:rightChars="-200" w:firstLine="480" w:firstLineChars="200"/>
        <w:rPr>
          <w:rFonts w:ascii="宋体" w:hAnsi="宋体" w:cs="宋体"/>
          <w:color w:val="auto"/>
          <w:sz w:val="24"/>
          <w:highlight w:val="none"/>
        </w:rPr>
      </w:pPr>
    </w:p>
    <w:p>
      <w:pPr>
        <w:rPr>
          <w:color w:val="auto"/>
          <w:highlight w:val="none"/>
        </w:rPr>
      </w:pP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杭州市上城区教育发展服务中心、欧邦工程管理集团有限公司：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OBZB-2024-0517</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80"/>
        <w:jc w:val="left"/>
        <w:rPr>
          <w:rFonts w:ascii="宋体" w:hAnsi="宋体" w:cs="宋体"/>
          <w:color w:val="auto"/>
          <w:sz w:val="24"/>
          <w:highlight w:val="none"/>
        </w:rPr>
      </w:pP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highlight w:val="none"/>
        </w:rPr>
      </w:pP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jc w:val="center"/>
        <w:outlineLvl w:val="0"/>
        <w:rPr>
          <w:rFonts w:ascii="宋体" w:hAnsi="宋体" w:cs="宋体"/>
          <w:b/>
          <w:color w:val="auto"/>
          <w:kern w:val="0"/>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p>
    <w:p>
      <w:pPr>
        <w:pStyle w:val="6"/>
        <w:rPr>
          <w:color w:val="auto"/>
          <w:highlight w:val="none"/>
          <w:lang w:val="en-US"/>
        </w:rPr>
      </w:pPr>
    </w:p>
    <w:p>
      <w:pPr>
        <w:rPr>
          <w:color w:val="auto"/>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snapToGrid w:val="0"/>
        <w:spacing w:line="360" w:lineRule="auto"/>
        <w:ind w:firstLine="3855" w:firstLineChars="1200"/>
        <w:outlineLvl w:val="0"/>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杭州市上城区教育发展服务中心、欧邦工程管理集团有限公司：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OBZB-2024-0517</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杭州市上城区教育发展服务中心、欧邦工程管理集团有限公司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OBZB-2024-0517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杭州市上城区教育发展服务中心、欧邦工程管理集团有限公司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OBZB-2024-0517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7"/>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400"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0"/>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pStyle w:val="6"/>
        <w:rPr>
          <w:color w:val="auto"/>
          <w:highlight w:val="none"/>
          <w:lang w:val="en-US"/>
        </w:rPr>
      </w:pPr>
    </w:p>
    <w:p>
      <w:pPr>
        <w:rPr>
          <w:color w:val="auto"/>
          <w:highlight w:val="none"/>
        </w:rPr>
      </w:pPr>
    </w:p>
    <w:p>
      <w:pPr>
        <w:pStyle w:val="6"/>
        <w:rPr>
          <w:color w:val="auto"/>
          <w:highlight w:val="none"/>
          <w:lang w:val="en-US"/>
        </w:rPr>
      </w:pPr>
    </w:p>
    <w:p>
      <w:pPr>
        <w:jc w:val="center"/>
        <w:rPr>
          <w:rFonts w:ascii="宋体" w:hAnsi="宋体" w:cs="宋体"/>
          <w:b/>
          <w:color w:val="auto"/>
          <w:kern w:val="0"/>
          <w:sz w:val="32"/>
          <w:szCs w:val="32"/>
          <w:highlight w:val="none"/>
        </w:rPr>
      </w:pPr>
    </w:p>
    <w:p>
      <w:pPr>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left"/>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杭州市上城区教育发展服务中心、欧邦工程管理集团有限公司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杭州市上城区教育发展服务中心、欧邦工程管理集团有限公司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OBZB-2024-0517</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3109"/>
        <w:gridCol w:w="1748"/>
        <w:gridCol w:w="1748"/>
        <w:gridCol w:w="1388"/>
        <w:gridCol w:w="941"/>
        <w:gridCol w:w="1358"/>
        <w:gridCol w:w="1164"/>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6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310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学校</w:t>
            </w:r>
          </w:p>
        </w:tc>
        <w:tc>
          <w:tcPr>
            <w:tcW w:w="174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74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38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41"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35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16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174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杭州市天杭实验学校</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杭州市天杭实验学校</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杭州市杭州中学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杭州市杭州中学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杭州采荷第三小学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杭州采荷第三小学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杭州师范大学东城第二小学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杭州师范大学东城第二小学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杭州市江锦小学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杭州市江锦小学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杭州市丁荷小学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杭州市丁荷小学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杭州市钱江新城实验小学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杭州市钱江新城实验小学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杭州市胜利山南小学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杭州市胜利山南小学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杭州市采荷第二幼儿园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杭州市采荷第二幼儿园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杭州市濮家幼儿园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杭州市濮家幼儿园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杭州市丁蕙第二幼儿园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杭州市丁蕙第二幼儿园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杭州市三里亭幼儿园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杭州市三里亭幼儿园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杭州市丁兰幼儿园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杭州市丁兰幼儿园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杭州市笕新幼儿园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杭州市笕新幼儿园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杭州市澎博幼儿园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杭州市澎博幼儿园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杭州市丁信第二幼儿园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杭州市丁信第二幼儿园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杭州市景辰幼儿园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杭州市景辰幼儿园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杭州市胜利东河幼儿园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杭州市胜利东河幼儿园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杭州市阳光幼儿园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杭州市阳光幼儿园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杭州市近江幼儿园</w:t>
            </w:r>
            <w:r>
              <w:rPr>
                <w:rFonts w:hint="eastAsia" w:ascii="宋体" w:hAnsi="宋体" w:cs="宋体"/>
                <w:color w:val="auto"/>
                <w:sz w:val="24"/>
                <w:highlight w:val="none"/>
              </w:rPr>
              <w:t>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杭州市近江幼儿园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杭州市采荷幼儿园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杭州市采荷幼儿园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杭州市天杭实验学校</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杭州市天杭实验学校</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杭州市东润外国语学校</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p>
        </w:tc>
        <w:tc>
          <w:tcPr>
            <w:tcW w:w="3109" w:type="dxa"/>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杭州市东润外国语学校</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杭州市东城外国语实验学校</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杭州市东城外国语实验学校</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杭州市钱江外国语实验学校（初中部）</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杭州市钱江外国语实验学校（初中部）</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笕桥（JG0701-08）90班中学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笕桥（JG0701-08）90班中学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杭州市丁蕙第二小学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杭州市丁蕙第二小学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杭州市娃哈哈小学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杭州市娃哈哈小学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杭州市天长观潮小学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杭州市天长观潮小学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杭州市崇文未来学校</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杭州市崇文未来学校</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杭州市东城幼儿园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杭州市东城幼儿园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杭州市胜利笕成幼儿园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杭州市胜利笕成幼儿园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杭州市陶子幼儿园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杭州市陶子幼儿园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杭州市丁荷第二幼儿园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杭州市丁荷第二幼儿园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杭州市笕和幼儿园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杭州市笕和幼儿园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杭州市明远未来幼儿园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杭州市明远未来幼儿园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杭州师范大学东城实验学校</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杭州师范大学东城实验学校</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杭州天成教育集团</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杭州天成教育集团</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杭州市南肖埠小学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杭州市南肖埠小学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杭州市丁蕙第二小学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杭州市丁蕙第二小学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杭州市丁兰第二小学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杭州市丁兰第二小学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杭州市丁荷小学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杭州市丁荷小学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浙江师范大学附属丁蕙实验小学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浙江师范大学附属丁蕙实验小学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杭州市丁信小学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杭州市丁信小学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杭州市丁兰第三小学</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杭州市丁兰第三小学</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杭州市东城第三幼儿园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杭州市东城第三幼儿园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杭州市笕新第二幼儿园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杭州市笕新第二幼儿园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3109" w:type="dxa"/>
            <w:vMerge w:val="restart"/>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杭州市行知幼儿园</w:t>
            </w: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6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3109" w:type="dxa"/>
            <w:vMerge w:val="continue"/>
            <w:vAlign w:val="center"/>
          </w:tcPr>
          <w:p>
            <w:pPr>
              <w:snapToGrid w:val="0"/>
              <w:spacing w:line="360" w:lineRule="auto"/>
              <w:jc w:val="center"/>
              <w:rPr>
                <w:rFonts w:ascii="宋体" w:hAnsi="宋体" w:cs="宋体"/>
                <w:color w:val="auto"/>
                <w:sz w:val="24"/>
                <w:highlight w:val="none"/>
              </w:rPr>
            </w:pPr>
          </w:p>
        </w:tc>
        <w:tc>
          <w:tcPr>
            <w:tcW w:w="1748"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748" w:type="dxa"/>
            <w:vAlign w:val="center"/>
          </w:tcPr>
          <w:p>
            <w:pPr>
              <w:snapToGrid w:val="0"/>
              <w:spacing w:line="360" w:lineRule="auto"/>
              <w:jc w:val="center"/>
              <w:rPr>
                <w:rFonts w:ascii="宋体" w:hAnsi="宋体" w:cs="宋体"/>
                <w:color w:val="auto"/>
                <w:sz w:val="24"/>
                <w:highlight w:val="none"/>
              </w:rPr>
            </w:pPr>
          </w:p>
        </w:tc>
        <w:tc>
          <w:tcPr>
            <w:tcW w:w="1388" w:type="dxa"/>
            <w:vAlign w:val="center"/>
          </w:tcPr>
          <w:p>
            <w:pPr>
              <w:snapToGrid w:val="0"/>
              <w:spacing w:line="360" w:lineRule="auto"/>
              <w:jc w:val="center"/>
              <w:rPr>
                <w:rFonts w:ascii="宋体" w:hAnsi="宋体" w:cs="宋体"/>
                <w:color w:val="auto"/>
                <w:sz w:val="24"/>
                <w:highlight w:val="none"/>
              </w:rPr>
            </w:pPr>
          </w:p>
        </w:tc>
        <w:tc>
          <w:tcPr>
            <w:tcW w:w="941" w:type="dxa"/>
            <w:vAlign w:val="center"/>
          </w:tcPr>
          <w:p>
            <w:pPr>
              <w:snapToGrid w:val="0"/>
              <w:spacing w:line="360" w:lineRule="auto"/>
              <w:jc w:val="center"/>
              <w:rPr>
                <w:rFonts w:ascii="宋体" w:hAnsi="宋体" w:cs="宋体"/>
                <w:color w:val="auto"/>
                <w:sz w:val="24"/>
                <w:highlight w:val="none"/>
              </w:rPr>
            </w:pPr>
          </w:p>
        </w:tc>
        <w:tc>
          <w:tcPr>
            <w:tcW w:w="1358" w:type="dxa"/>
            <w:vAlign w:val="center"/>
          </w:tcPr>
          <w:p>
            <w:pPr>
              <w:spacing w:line="360" w:lineRule="auto"/>
              <w:jc w:val="center"/>
              <w:rPr>
                <w:rFonts w:ascii="宋体" w:hAnsi="宋体" w:cs="宋体"/>
                <w:color w:val="auto"/>
                <w:sz w:val="24"/>
                <w:highlight w:val="none"/>
              </w:rPr>
            </w:pP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261" w:type="dxa"/>
            <w:gridSpan w:val="7"/>
            <w:vAlign w:val="center"/>
          </w:tcPr>
          <w:p>
            <w:pPr>
              <w:spacing w:line="360" w:lineRule="auto"/>
              <w:jc w:val="center"/>
              <w:rPr>
                <w:rFonts w:ascii="宋体" w:hAnsi="宋体" w:cs="宋体"/>
                <w:color w:val="auto"/>
                <w:sz w:val="24"/>
                <w:highlight w:val="none"/>
              </w:rPr>
            </w:pPr>
            <w:r>
              <w:rPr>
                <w:rFonts w:hint="eastAsia" w:ascii="宋体" w:hAnsi="宋体" w:cs="宋体"/>
                <w:color w:val="auto"/>
                <w:szCs w:val="21"/>
                <w:highlight w:val="none"/>
              </w:rPr>
              <w:t>杭州市行知幼儿园</w:t>
            </w:r>
            <w:r>
              <w:rPr>
                <w:rFonts w:hint="eastAsia" w:ascii="宋体" w:hAnsi="宋体" w:cs="宋体"/>
                <w:color w:val="auto"/>
                <w:sz w:val="24"/>
                <w:highlight w:val="none"/>
              </w:rPr>
              <w:t>投标报价</w:t>
            </w:r>
          </w:p>
        </w:tc>
        <w:tc>
          <w:tcPr>
            <w:tcW w:w="1164" w:type="dxa"/>
            <w:vAlign w:val="center"/>
          </w:tcPr>
          <w:p>
            <w:pPr>
              <w:spacing w:line="360" w:lineRule="auto"/>
              <w:jc w:val="center"/>
              <w:rPr>
                <w:rFonts w:ascii="宋体" w:hAnsi="宋体" w:cs="宋体"/>
                <w:color w:val="auto"/>
                <w:sz w:val="24"/>
                <w:highlight w:val="none"/>
              </w:rPr>
            </w:pPr>
          </w:p>
        </w:tc>
        <w:tc>
          <w:tcPr>
            <w:tcW w:w="1748"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962" w:type="dxa"/>
            <w:gridSpan w:val="5"/>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投标报价（小写）</w:t>
            </w:r>
          </w:p>
        </w:tc>
        <w:tc>
          <w:tcPr>
            <w:tcW w:w="5211"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962" w:type="dxa"/>
            <w:gridSpan w:val="5"/>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投标报价（大写）</w:t>
            </w:r>
          </w:p>
        </w:tc>
        <w:tc>
          <w:tcPr>
            <w:tcW w:w="5211" w:type="dxa"/>
            <w:gridSpan w:val="4"/>
            <w:vAlign w:val="center"/>
          </w:tcPr>
          <w:p>
            <w:pPr>
              <w:spacing w:line="360" w:lineRule="auto"/>
              <w:jc w:val="center"/>
              <w:rPr>
                <w:rFonts w:ascii="宋体" w:hAnsi="宋体" w:cs="宋体"/>
                <w:color w:val="auto"/>
                <w:sz w:val="24"/>
                <w:highlight w:val="none"/>
              </w:rPr>
            </w:pPr>
          </w:p>
        </w:tc>
      </w:tr>
    </w:tbl>
    <w:p>
      <w:pPr>
        <w:pStyle w:val="2"/>
        <w:rPr>
          <w:color w:val="auto"/>
          <w:highlight w:val="none"/>
          <w:lang w:val="zh-CN"/>
        </w:rPr>
      </w:pPr>
    </w:p>
    <w:p>
      <w:pPr>
        <w:snapToGrid w:val="0"/>
        <w:spacing w:line="360" w:lineRule="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2" w:firstLineChars="200"/>
        <w:jc w:val="left"/>
        <w:rPr>
          <w:rFonts w:cs="宋体"/>
          <w:b/>
          <w:color w:val="auto"/>
          <w:kern w:val="0"/>
          <w:sz w:val="24"/>
          <w:szCs w:val="22"/>
          <w:highlight w:val="none"/>
          <w:lang w:val="zh-CN"/>
        </w:rPr>
      </w:pPr>
      <w:r>
        <w:rPr>
          <w:rFonts w:hint="eastAsia" w:ascii="宋体" w:hAnsi="宋体" w:cs="宋体"/>
          <w:b/>
          <w:color w:val="auto"/>
          <w:kern w:val="0"/>
          <w:sz w:val="24"/>
          <w:szCs w:val="22"/>
          <w:highlight w:val="none"/>
          <w:lang w:val="zh-CN"/>
        </w:rPr>
        <w:t>5.▲</w:t>
      </w:r>
      <w:r>
        <w:rPr>
          <w:rFonts w:hint="eastAsia" w:cs="宋体"/>
          <w:b/>
          <w:color w:val="auto"/>
          <w:kern w:val="0"/>
          <w:sz w:val="24"/>
          <w:szCs w:val="22"/>
          <w:highlight w:val="none"/>
          <w:lang w:val="zh-CN"/>
        </w:rPr>
        <w:t>本</w:t>
      </w:r>
      <w:r>
        <w:rPr>
          <w:rFonts w:cs="宋体"/>
          <w:b/>
          <w:color w:val="auto"/>
          <w:kern w:val="0"/>
          <w:sz w:val="24"/>
          <w:szCs w:val="22"/>
          <w:highlight w:val="none"/>
          <w:lang w:val="zh-CN"/>
        </w:rPr>
        <w:t>项目各学校投标报价不得超出最高限价，否则作无效标处理。</w:t>
      </w:r>
    </w:p>
    <w:p>
      <w:pPr>
        <w:pStyle w:val="2"/>
        <w:rPr>
          <w:rFonts w:ascii="Times New Roman" w:hAnsi="Times New Roman" w:eastAsia="宋体" w:cs="宋体"/>
          <w:b/>
          <w:color w:val="auto"/>
          <w:kern w:val="0"/>
          <w:szCs w:val="22"/>
          <w:highlight w:val="none"/>
          <w:lang w:val="zh-CN"/>
        </w:rPr>
      </w:pPr>
      <w:r>
        <w:rPr>
          <w:rFonts w:hint="default" w:ascii="Times New Roman" w:hAnsi="Times New Roman" w:eastAsia="宋体" w:cs="宋体"/>
          <w:b/>
          <w:color w:val="auto"/>
          <w:kern w:val="0"/>
          <w:sz w:val="24"/>
          <w:szCs w:val="22"/>
          <w:highlight w:val="none"/>
          <w:lang w:val="zh-CN" w:eastAsia="zh-CN"/>
        </w:rPr>
        <w:t>6</w:t>
      </w:r>
      <w:r>
        <w:rPr>
          <w:rFonts w:hint="default" w:ascii="Times New Roman" w:hAnsi="Times New Roman" w:eastAsia="宋体" w:cs="宋体"/>
          <w:b/>
          <w:color w:val="auto"/>
          <w:kern w:val="0"/>
          <w:sz w:val="24"/>
          <w:szCs w:val="22"/>
          <w:highlight w:val="none"/>
          <w:lang w:val="zh-CN"/>
        </w:rPr>
        <w:t>.</w:t>
      </w:r>
      <w:r>
        <w:rPr>
          <w:rFonts w:hint="default" w:ascii="Times New Roman" w:hAnsi="Times New Roman" w:eastAsia="宋体" w:cs="宋体"/>
          <w:b/>
          <w:color w:val="auto"/>
          <w:kern w:val="0"/>
          <w:sz w:val="24"/>
          <w:szCs w:val="22"/>
          <w:highlight w:val="none"/>
        </w:rPr>
        <w:t>特别说明</w:t>
      </w:r>
      <w:r>
        <w:rPr>
          <w:rFonts w:hint="default" w:ascii="Times New Roman" w:hAnsi="Times New Roman" w:eastAsia="宋体" w:cs="宋体"/>
          <w:b/>
          <w:color w:val="auto"/>
          <w:kern w:val="0"/>
          <w:sz w:val="24"/>
          <w:szCs w:val="22"/>
          <w:highlight w:val="none"/>
          <w:lang w:eastAsia="zh-CN"/>
        </w:rPr>
        <w:t>：</w:t>
      </w:r>
      <w:r>
        <w:rPr>
          <w:rFonts w:hint="default" w:ascii="Times New Roman" w:hAnsi="Times New Roman" w:eastAsia="宋体" w:cs="宋体"/>
          <w:b/>
          <w:color w:val="auto"/>
          <w:kern w:val="0"/>
          <w:sz w:val="24"/>
          <w:szCs w:val="22"/>
          <w:highlight w:val="none"/>
          <w:lang w:val="zh-CN"/>
        </w:rPr>
        <w:t>▲供应商</w:t>
      </w:r>
      <w:r>
        <w:rPr>
          <w:rFonts w:ascii="Times New Roman" w:hAnsi="Times New Roman" w:eastAsia="宋体" w:cs="宋体"/>
          <w:b/>
          <w:color w:val="auto"/>
          <w:kern w:val="0"/>
          <w:sz w:val="24"/>
          <w:szCs w:val="22"/>
          <w:highlight w:val="none"/>
          <w:lang w:val="zh-CN"/>
        </w:rPr>
        <w:t>报价</w:t>
      </w:r>
      <w:r>
        <w:rPr>
          <w:rFonts w:hint="default" w:ascii="Times New Roman" w:hAnsi="Times New Roman" w:eastAsia="宋体" w:cs="宋体"/>
          <w:b/>
          <w:color w:val="auto"/>
          <w:kern w:val="0"/>
          <w:sz w:val="24"/>
          <w:szCs w:val="22"/>
          <w:highlight w:val="none"/>
          <w:lang w:val="zh-CN"/>
        </w:rPr>
        <w:t>低于</w:t>
      </w:r>
      <w:r>
        <w:rPr>
          <w:rFonts w:ascii="Times New Roman" w:hAnsi="Times New Roman" w:eastAsia="宋体" w:cs="宋体"/>
          <w:b/>
          <w:color w:val="auto"/>
          <w:kern w:val="0"/>
          <w:sz w:val="24"/>
          <w:szCs w:val="22"/>
          <w:highlight w:val="none"/>
          <w:lang w:val="zh-CN"/>
        </w:rPr>
        <w:t>项目预算</w:t>
      </w:r>
      <w:r>
        <w:rPr>
          <w:rFonts w:hint="default" w:ascii="Times New Roman" w:hAnsi="Times New Roman" w:eastAsia="宋体" w:cs="宋体"/>
          <w:b/>
          <w:color w:val="auto"/>
          <w:kern w:val="0"/>
          <w:sz w:val="24"/>
          <w:szCs w:val="22"/>
          <w:highlight w:val="none"/>
          <w:lang w:val="zh-CN"/>
        </w:rPr>
        <w:t>50</w:t>
      </w:r>
      <w:r>
        <w:rPr>
          <w:rFonts w:ascii="Times New Roman" w:hAnsi="Times New Roman" w:eastAsia="宋体" w:cs="宋体"/>
          <w:b/>
          <w:color w:val="auto"/>
          <w:kern w:val="0"/>
          <w:sz w:val="24"/>
          <w:szCs w:val="22"/>
          <w:highlight w:val="none"/>
          <w:lang w:val="zh-CN"/>
        </w:rPr>
        <w:t>%的</w:t>
      </w:r>
      <w:r>
        <w:rPr>
          <w:rFonts w:hint="default" w:ascii="Times New Roman" w:hAnsi="Times New Roman" w:eastAsia="宋体" w:cs="宋体"/>
          <w:b/>
          <w:color w:val="auto"/>
          <w:kern w:val="0"/>
          <w:sz w:val="24"/>
          <w:szCs w:val="22"/>
          <w:highlight w:val="none"/>
          <w:lang w:val="zh-CN"/>
        </w:rPr>
        <w:t>，</w:t>
      </w:r>
      <w:r>
        <w:rPr>
          <w:rFonts w:ascii="Times New Roman" w:hAnsi="Times New Roman" w:eastAsia="宋体" w:cs="宋体"/>
          <w:b/>
          <w:color w:val="auto"/>
          <w:kern w:val="0"/>
          <w:sz w:val="24"/>
          <w:szCs w:val="22"/>
          <w:highlight w:val="none"/>
          <w:lang w:val="zh-CN"/>
        </w:rPr>
        <w:t>应当在报价文件中</w:t>
      </w:r>
      <w:r>
        <w:rPr>
          <w:rFonts w:hint="default" w:ascii="Times New Roman" w:hAnsi="Times New Roman" w:eastAsia="宋体" w:cs="宋体"/>
          <w:b/>
          <w:color w:val="auto"/>
          <w:kern w:val="0"/>
          <w:sz w:val="24"/>
          <w:szCs w:val="22"/>
          <w:highlight w:val="none"/>
          <w:lang w:val="zh-CN"/>
        </w:rPr>
        <w:t>详细</w:t>
      </w:r>
      <w:r>
        <w:rPr>
          <w:rFonts w:ascii="Times New Roman" w:hAnsi="Times New Roman" w:eastAsia="宋体" w:cs="宋体"/>
          <w:b/>
          <w:color w:val="auto"/>
          <w:kern w:val="0"/>
          <w:sz w:val="24"/>
          <w:szCs w:val="22"/>
          <w:highlight w:val="none"/>
          <w:lang w:val="zh-CN"/>
        </w:rPr>
        <w:t>阐述不影响产品质量或者诚信履约的具体原因，否则作无效标处理。</w:t>
      </w:r>
    </w:p>
    <w:p>
      <w:pPr>
        <w:spacing w:line="360" w:lineRule="auto"/>
        <w:ind w:firstLine="482" w:firstLineChars="200"/>
        <w:rPr>
          <w:rFonts w:ascii="宋体" w:hAnsi="宋体" w:cs="宋体"/>
          <w:b/>
          <w:color w:val="auto"/>
          <w:kern w:val="0"/>
          <w:sz w:val="24"/>
          <w:highlight w:val="none"/>
        </w:rPr>
      </w:pPr>
    </w:p>
    <w:p>
      <w:pPr>
        <w:pStyle w:val="27"/>
        <w:ind w:firstLine="420"/>
        <w:rPr>
          <w:color w:val="auto"/>
          <w:highlight w:val="none"/>
        </w:rPr>
        <w:sectPr>
          <w:pgSz w:w="16840" w:h="11907"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401" w:name="_Hlk101259491"/>
      <w:r>
        <w:rPr>
          <w:rFonts w:hint="eastAsia" w:ascii="宋体" w:hAnsi="宋体" w:eastAsia="宋体" w:cs="宋体"/>
          <w:color w:val="auto"/>
          <w:sz w:val="32"/>
          <w:szCs w:val="32"/>
          <w:highlight w:val="none"/>
        </w:rPr>
        <w:t>（如果有）</w:t>
      </w:r>
      <w:bookmarkEnd w:id="401"/>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2" w:name="_Toc465665161"/>
      <w:r>
        <w:rPr>
          <w:rFonts w:hint="eastAsia" w:ascii="宋体" w:hAnsi="宋体" w:cs="宋体"/>
          <w:color w:val="auto"/>
          <w:highlight w:val="none"/>
        </w:rPr>
        <w:t>附件</w:t>
      </w:r>
      <w:bookmarkEnd w:id="402"/>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403" w:name="OLE_LINK13"/>
      <w:bookmarkStart w:id="404" w:name="OLE_LINK14"/>
      <w:r>
        <w:rPr>
          <w:rFonts w:hint="eastAsia" w:ascii="宋体" w:hAnsi="宋体" w:cs="宋体"/>
          <w:b/>
          <w:color w:val="auto"/>
          <w:spacing w:val="6"/>
          <w:sz w:val="32"/>
          <w:szCs w:val="32"/>
          <w:highlight w:val="none"/>
        </w:rPr>
        <w:t>残疾人福利性单位声明函</w:t>
      </w:r>
    </w:p>
    <w:bookmarkEnd w:id="403"/>
    <w:bookmarkEnd w:id="404"/>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杭州市上城区教育发展服务中心</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2024年杭州市上城区教育系统学校厨房设备采购项目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pStyle w:val="2"/>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杭州市上城区教育发展服务中心、欧邦工程管理集团有限公司：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OBZB-2024-0517</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40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5"/>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2024年杭州市上城区教育系统学校厨房设备采购项目</w:t>
      </w:r>
      <w:r>
        <w:rPr>
          <w:rFonts w:hint="eastAsia" w:ascii="宋体" w:hAnsi="宋体" w:cs="宋体"/>
          <w:color w:val="auto"/>
          <w:sz w:val="24"/>
          <w:highlight w:val="none"/>
        </w:rPr>
        <w:t>【招标编号：OBZB-2024-0517】</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6"/>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6"/>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杭州市上城区教育发展服务中心</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2024年杭州市上城区教育系统学校厨房设备采购项目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采购活动，提供的货物全部由符合政策要求的中小企业制造。相关企业（含联合体中的中小企业、签订分包意向协议的中小企业）的具体情况如下：</w:t>
      </w:r>
    </w:p>
    <w:p>
      <w:pPr>
        <w:numPr>
          <w:ilvl w:val="0"/>
          <w:numId w:val="5"/>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标的</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炊用燃气大锅灶（双眼）</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numPr>
          <w:ilvl w:val="0"/>
          <w:numId w:val="5"/>
        </w:num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标的</w:t>
      </w:r>
      <w:r>
        <w:rPr>
          <w:rFonts w:hint="eastAsia" w:ascii="宋体" w:hAnsi="宋体" w:cs="宋体"/>
          <w:color w:val="auto"/>
          <w:sz w:val="24"/>
          <w:highlight w:val="none"/>
          <w:u w:val="single"/>
          <w:lang w:val="en-US" w:eastAsia="zh-CN"/>
        </w:rPr>
        <w:t>:热风循环双门消毒柜</w:t>
      </w:r>
      <w:r>
        <w:rPr>
          <w:rFonts w:hint="eastAsia" w:ascii="宋体" w:hAnsi="宋体" w:cs="宋体"/>
          <w:color w:val="auto"/>
          <w:sz w:val="24"/>
          <w:highlight w:val="none"/>
        </w:rPr>
        <w:t xml:space="preserve"> ，属于</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numPr>
          <w:ilvl w:val="0"/>
          <w:numId w:val="5"/>
        </w:numPr>
        <w:spacing w:line="360" w:lineRule="auto"/>
        <w:ind w:firstLine="480" w:firstLineChars="200"/>
      </w:pPr>
      <w:r>
        <w:rPr>
          <w:rFonts w:hint="eastAsia" w:ascii="宋体" w:hAnsi="宋体" w:cs="宋体"/>
          <w:color w:val="auto"/>
          <w:sz w:val="24"/>
          <w:highlight w:val="none"/>
          <w:u w:val="single"/>
        </w:rPr>
        <w:t>标的</w:t>
      </w:r>
      <w:r>
        <w:rPr>
          <w:rFonts w:hint="eastAsia" w:ascii="宋体" w:hAnsi="宋体" w:cs="宋体"/>
          <w:color w:val="auto"/>
          <w:sz w:val="24"/>
          <w:highlight w:val="none"/>
          <w:u w:val="single"/>
          <w:lang w:val="en-US" w:eastAsia="zh-CN"/>
        </w:rPr>
        <w:t>:大单星水池</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numPr>
          <w:ilvl w:val="0"/>
          <w:numId w:val="5"/>
        </w:numPr>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标的</w:t>
      </w:r>
      <w:r>
        <w:rPr>
          <w:rFonts w:hint="eastAsia" w:ascii="宋体" w:hAnsi="宋体" w:cs="宋体"/>
          <w:color w:val="auto"/>
          <w:sz w:val="24"/>
          <w:highlight w:val="none"/>
          <w:u w:val="single"/>
          <w:lang w:val="en-US" w:eastAsia="zh-CN"/>
        </w:rPr>
        <w:t>:商用四门冰箱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:商用风冷四玻璃门冰箱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:生铁大锅</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:木案板操作台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:6门不锈钢更衣柜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:双层餐车</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:风幕机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:电热开水器连底座</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:商用自动洗碗机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:双门电蒸饭箱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:厢式风机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:不锈钢排油烟风管(㎡)</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:软连接</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:风机槽钢支架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:燃气双门蒸饭箱（24盘）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:燃气单门蒸饭箱（12盘）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:炊用燃气大锅灶（双眼）</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:单星水池</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:单星水池连平台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:鹅颈式冷热水龙头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:双层工作台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:不锈钢排油烟罩(㎡)</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:排油烟专用风机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:排蒸汽专用风机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:油烟净化器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:智能通风排烟迭制系统</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:槽钢支架</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:防火阀</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:定制调料平台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:双层货架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:三层送餐车</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:商用破壁机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:醒发箱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:三层烤箱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:商用风扇</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:防潮板托盘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:烤盘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:双门保温柜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:双门热风循环消毒柜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:商用电子称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:中餐燃气炒菜灶（单眼）</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:调理台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:箱式风机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:智能通风排烟控制系统</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:商用四门双温冰箱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:(单门)刀具砧板消毒柜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:消毒柜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:双温冰箱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:净水器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:不锈钢风管（M2）</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:风柜减震器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:直饮水机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:炊用一大一炒燃气灶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:热水器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:中餐燃气炒菜灶（双眼）</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:双门电蒸饭箱（24盘)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:炊用单眼大锅灶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:减震垫</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:风机减震支架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:消声器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:风量调节阀</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:接油盘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:风机支架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:双眼燃气蒸台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:厨房专用灭火系统</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:不锈钢排油烟罩（烹饪间）(㎡)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:不锈集气罩（面点间）(㎡)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:不锈集气罩（蒸煮间）(㎡)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:不锈集气罩（售餐间）(㎡)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:定制调料台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:拖把池</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:四层平板货架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:大米架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:双星水池</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:商用四门冷藏冰箱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:商用四门冷冻冰箱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:单向调理台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:调料平台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:中餐广式燃气炒菜灶（两眼）</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:双通调理台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:不锈钢集气罩(㎡)</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:单星洗手水池连平台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:高身玻璃门冰箱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:双门四格平台智能留样柜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:五格保温台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:残食台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:双孔残食台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:高身保洁柜</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:保温送餐车</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:不锈钢风管</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:长柄单温龙头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:挡鼠板</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:混水龙头</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:四层货架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:刀具砧板消毒柜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:中餐燃气炒菜灶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:不锈钢排油烟罩连罩上封板(㎡)</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:双门36盘发酵箱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:双层四盘不锈钢电烘炉</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:电饼铛</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:搅杠型25公斤和面机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:全自动压面机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w:t>
      </w:r>
      <w:r>
        <w:rPr>
          <w:rFonts w:hint="eastAsia" w:ascii="宋体" w:hAnsi="宋体" w:cs="宋体"/>
          <w:color w:val="auto"/>
          <w:kern w:val="0"/>
          <w:sz w:val="28"/>
          <w:szCs w:val="28"/>
          <w:highlight w:val="none"/>
          <w:u w:val="single"/>
        </w:rPr>
        <w:t>干手机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:残菜回收台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:风机阻尼减震器</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:三角阀</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:深斗车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:平板车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:双层送餐车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:脱皮清洗机</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:诱捕式灭蝇灯</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:三门海鲜蒸柜</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:留样冰箱</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:饮水机</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:落地电子秤</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:洗地龙头</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:双门四格平台智能留样柜</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:感应龙头</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:杀菌灯</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:高速风幕机</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:农药检测仪</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:农残检测冰箱</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:工作人员晨检机</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:阳光厨房显示器</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:众食安物联设备</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:单温水龙头</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:双向打荷台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:食堂推车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:保洁车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:学生餐车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:一大一炒燃气灶</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:砧板架</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:双层板车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pStyle w:val="2"/>
        <w:numPr>
          <w:ilvl w:val="0"/>
          <w:numId w:val="5"/>
        </w:numPr>
        <w:ind w:left="0" w:leftChars="0" w:firstLine="480" w:firstLineChars="200"/>
      </w:pPr>
      <w:r>
        <w:rPr>
          <w:rFonts w:hint="eastAsia" w:ascii="宋体" w:hAnsi="宋体" w:cs="宋体"/>
          <w:color w:val="auto"/>
          <w:sz w:val="24"/>
          <w:highlight w:val="none"/>
          <w:u w:val="single"/>
        </w:rPr>
        <w:t>标的</w:t>
      </w:r>
      <w:r>
        <w:rPr>
          <w:rFonts w:hint="eastAsia" w:hAnsi="宋体" w:cs="宋体"/>
          <w:color w:val="auto"/>
          <w:sz w:val="24"/>
          <w:highlight w:val="none"/>
          <w:u w:val="single"/>
          <w:lang w:val="en-US" w:eastAsia="zh-CN"/>
        </w:rPr>
        <w:t>:学生送餐车</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lang w:val="en-US" w:eastAsia="zh-CN"/>
        </w:rPr>
        <w:t xml:space="preserve"> 工业 </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panose1 w:val="020B0504020202030204"/>
    <w:charset w:val="00"/>
    <w:family w:val="swiss"/>
    <w:pitch w:val="default"/>
    <w:sig w:usb0="00000007"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___WRD_EMBED_SUB_46">
    <w:altName w:val="宋体"/>
    <w:panose1 w:val="00000000000000000000"/>
    <w:charset w:val="86"/>
    <w:family w:val="modern"/>
    <w:pitch w:val="default"/>
    <w:sig w:usb0="00000000" w:usb1="00000000" w:usb2="00000006" w:usb3="00000000" w:csb0="00040001" w:csb1="00000000"/>
  </w:font>
  <w:font w:name="宋体-18030">
    <w:altName w:val="微软雅黑"/>
    <w:panose1 w:val="00000000000000000000"/>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07" w:name="_Toc164085800"/>
    <w:bookmarkStart w:id="408" w:name="_Toc36110187"/>
    <w:bookmarkStart w:id="409" w:name="_Toc91899912"/>
    <w:bookmarkStart w:id="410" w:name="_Toc131845147"/>
    <w:r>
      <w:rPr>
        <w:rFonts w:hint="eastAsia" w:ascii="仿宋_GB2312" w:eastAsia="仿宋_GB2312"/>
        <w:kern w:val="0"/>
        <w:szCs w:val="21"/>
      </w:rPr>
      <w:t xml:space="preserve"> 页</w:t>
    </w:r>
    <w:bookmarkEnd w:id="407"/>
    <w:bookmarkEnd w:id="408"/>
    <w:bookmarkEnd w:id="409"/>
    <w:bookmarkEnd w:id="41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right"/>
      <w:rPr>
        <w:rFonts w:ascii="仿宋_GB2312" w:eastAsia="仿宋_GB2312"/>
        <w:b/>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D2B95F"/>
    <w:multiLevelType w:val="singleLevel"/>
    <w:tmpl w:val="FBD2B95F"/>
    <w:lvl w:ilvl="0" w:tentative="0">
      <w:start w:val="3"/>
      <w:numFmt w:val="chineseCounting"/>
      <w:suff w:val="space"/>
      <w:lvlText w:val="第%1部分"/>
      <w:lvlJc w:val="left"/>
      <w:rPr>
        <w:rFonts w:hint="eastAsia"/>
      </w:rPr>
    </w:lvl>
  </w:abstractNum>
  <w:abstractNum w:abstractNumId="1">
    <w:nsid w:val="06BC776C"/>
    <w:multiLevelType w:val="multilevel"/>
    <w:tmpl w:val="06BC776C"/>
    <w:lvl w:ilvl="0" w:tentative="0">
      <w:start w:val="1"/>
      <w:numFmt w:val="japaneseCounting"/>
      <w:lvlText w:val="第%1条"/>
      <w:lvlJc w:val="left"/>
      <w:pPr>
        <w:ind w:left="1245" w:hanging="765"/>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8892F99"/>
    <w:multiLevelType w:val="singleLevel"/>
    <w:tmpl w:val="18892F99"/>
    <w:lvl w:ilvl="0" w:tentative="0">
      <w:start w:val="8"/>
      <w:numFmt w:val="chineseCounting"/>
      <w:suff w:val="nothing"/>
      <w:lvlText w:val="%1、"/>
      <w:lvlJc w:val="left"/>
      <w:rPr>
        <w:rFonts w:hint="eastAsia"/>
      </w:rPr>
    </w:lvl>
  </w:abstractNum>
  <w:abstractNum w:abstractNumId="3">
    <w:nsid w:val="2B44195F"/>
    <w:multiLevelType w:val="multilevel"/>
    <w:tmpl w:val="2B44195F"/>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6BB1950A"/>
    <w:multiLevelType w:val="singleLevel"/>
    <w:tmpl w:val="6BB1950A"/>
    <w:lvl w:ilvl="0" w:tentative="0">
      <w:start w:val="1"/>
      <w:numFmt w:val="decimal"/>
      <w:suff w:val="space"/>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3NzVjZWU4NmIzYjMzMDM2ZmRjNzUxZGE1ZTI2NDkifQ=="/>
    <w:docVar w:name="KSO_WPS_MARK_KEY" w:val="6bd3f849-eccd-4220-bab7-52dd328a36dc"/>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19F"/>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4004C3"/>
    <w:rsid w:val="048F763B"/>
    <w:rsid w:val="049F330E"/>
    <w:rsid w:val="04AA775C"/>
    <w:rsid w:val="04AF1889"/>
    <w:rsid w:val="04F66F48"/>
    <w:rsid w:val="05251E14"/>
    <w:rsid w:val="058359C0"/>
    <w:rsid w:val="05A16594"/>
    <w:rsid w:val="05A7762D"/>
    <w:rsid w:val="060E5941"/>
    <w:rsid w:val="06110FAF"/>
    <w:rsid w:val="06493CA7"/>
    <w:rsid w:val="065A6178"/>
    <w:rsid w:val="066F1CF3"/>
    <w:rsid w:val="06930BB8"/>
    <w:rsid w:val="06B170AD"/>
    <w:rsid w:val="06C81717"/>
    <w:rsid w:val="07245D42"/>
    <w:rsid w:val="07264C62"/>
    <w:rsid w:val="07430F3D"/>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7F70BC"/>
    <w:rsid w:val="098353B5"/>
    <w:rsid w:val="09A92330"/>
    <w:rsid w:val="09B06B87"/>
    <w:rsid w:val="09C13146"/>
    <w:rsid w:val="09E04166"/>
    <w:rsid w:val="0A1C0718"/>
    <w:rsid w:val="0A23066B"/>
    <w:rsid w:val="0A3E7710"/>
    <w:rsid w:val="0A5B7E63"/>
    <w:rsid w:val="0AA374A5"/>
    <w:rsid w:val="0AAB7649"/>
    <w:rsid w:val="0ABC5606"/>
    <w:rsid w:val="0B30404E"/>
    <w:rsid w:val="0B4C6C14"/>
    <w:rsid w:val="0B547599"/>
    <w:rsid w:val="0B631A88"/>
    <w:rsid w:val="0B683D45"/>
    <w:rsid w:val="0B7F3F11"/>
    <w:rsid w:val="0B884417"/>
    <w:rsid w:val="0BCC5F89"/>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2D6EBA"/>
    <w:rsid w:val="0D4A7419"/>
    <w:rsid w:val="0D827401"/>
    <w:rsid w:val="0D84094E"/>
    <w:rsid w:val="0D8A00E9"/>
    <w:rsid w:val="0D8D589E"/>
    <w:rsid w:val="0DA01C73"/>
    <w:rsid w:val="0DD63300"/>
    <w:rsid w:val="0DF50604"/>
    <w:rsid w:val="0DF702FE"/>
    <w:rsid w:val="0E060E51"/>
    <w:rsid w:val="0E0C7856"/>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D0305B"/>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82830"/>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6D0513"/>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F31A0"/>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4DA20EF"/>
    <w:rsid w:val="257D72C5"/>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341380"/>
    <w:rsid w:val="28454BD6"/>
    <w:rsid w:val="28455253"/>
    <w:rsid w:val="28551971"/>
    <w:rsid w:val="285B1C53"/>
    <w:rsid w:val="289F7086"/>
    <w:rsid w:val="28AC5D0C"/>
    <w:rsid w:val="28C32028"/>
    <w:rsid w:val="28CC490F"/>
    <w:rsid w:val="28DE40AA"/>
    <w:rsid w:val="29345E77"/>
    <w:rsid w:val="294C65AD"/>
    <w:rsid w:val="29806583"/>
    <w:rsid w:val="298B3C4C"/>
    <w:rsid w:val="29F26D24"/>
    <w:rsid w:val="2A15033F"/>
    <w:rsid w:val="2A1662C1"/>
    <w:rsid w:val="2A1C7367"/>
    <w:rsid w:val="2A2815FA"/>
    <w:rsid w:val="2A3A75DF"/>
    <w:rsid w:val="2A6D6092"/>
    <w:rsid w:val="2A7D76B4"/>
    <w:rsid w:val="2AE100DC"/>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203E6"/>
    <w:rsid w:val="2EC63002"/>
    <w:rsid w:val="2F0A6B38"/>
    <w:rsid w:val="2F946CCB"/>
    <w:rsid w:val="2FA67210"/>
    <w:rsid w:val="2FD25781"/>
    <w:rsid w:val="2FDC745C"/>
    <w:rsid w:val="2FF85FC0"/>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3F3CFB"/>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29E2"/>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624D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332224"/>
    <w:rsid w:val="477B778F"/>
    <w:rsid w:val="478203EC"/>
    <w:rsid w:val="47B025FA"/>
    <w:rsid w:val="4809698F"/>
    <w:rsid w:val="4811697D"/>
    <w:rsid w:val="487A3E25"/>
    <w:rsid w:val="488B5503"/>
    <w:rsid w:val="48937E21"/>
    <w:rsid w:val="489A0361"/>
    <w:rsid w:val="48AB44F2"/>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4E206F"/>
    <w:rsid w:val="4E793892"/>
    <w:rsid w:val="4E800872"/>
    <w:rsid w:val="4EC569ED"/>
    <w:rsid w:val="4ED50EA1"/>
    <w:rsid w:val="4EEC050C"/>
    <w:rsid w:val="4F104EC3"/>
    <w:rsid w:val="4F47354A"/>
    <w:rsid w:val="4F911C54"/>
    <w:rsid w:val="4FA860FA"/>
    <w:rsid w:val="4FD50DCC"/>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EB20DE"/>
    <w:rsid w:val="5617624F"/>
    <w:rsid w:val="566B6D1E"/>
    <w:rsid w:val="56E40506"/>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B53E83"/>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23020C"/>
    <w:rsid w:val="5D397964"/>
    <w:rsid w:val="5D5A391C"/>
    <w:rsid w:val="5D5F10C0"/>
    <w:rsid w:val="5D7F0889"/>
    <w:rsid w:val="5D891B7B"/>
    <w:rsid w:val="5DAD38EE"/>
    <w:rsid w:val="5DD50CA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528F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3FA10C8"/>
    <w:rsid w:val="64055776"/>
    <w:rsid w:val="64240056"/>
    <w:rsid w:val="643E143A"/>
    <w:rsid w:val="64491666"/>
    <w:rsid w:val="64810929"/>
    <w:rsid w:val="648B6EEF"/>
    <w:rsid w:val="64C158BF"/>
    <w:rsid w:val="64CE2EAA"/>
    <w:rsid w:val="653C3090"/>
    <w:rsid w:val="65854376"/>
    <w:rsid w:val="658767BE"/>
    <w:rsid w:val="65892531"/>
    <w:rsid w:val="65C36624"/>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1B45E6"/>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329F3"/>
    <w:rsid w:val="6C552F0B"/>
    <w:rsid w:val="6C8C67B7"/>
    <w:rsid w:val="6C9D744C"/>
    <w:rsid w:val="6CAE575C"/>
    <w:rsid w:val="6D167928"/>
    <w:rsid w:val="6D26299B"/>
    <w:rsid w:val="6D4772EC"/>
    <w:rsid w:val="6D9078AF"/>
    <w:rsid w:val="6DAA3FEF"/>
    <w:rsid w:val="6DC0172B"/>
    <w:rsid w:val="6DCB690C"/>
    <w:rsid w:val="6DD41A5B"/>
    <w:rsid w:val="6DF43C2E"/>
    <w:rsid w:val="6DF51CA3"/>
    <w:rsid w:val="6E62689D"/>
    <w:rsid w:val="6E8335BD"/>
    <w:rsid w:val="6E8E12EF"/>
    <w:rsid w:val="6E972936"/>
    <w:rsid w:val="6ED446C5"/>
    <w:rsid w:val="6F2A7D94"/>
    <w:rsid w:val="6F49496A"/>
    <w:rsid w:val="6F8331F1"/>
    <w:rsid w:val="6FAE1A09"/>
    <w:rsid w:val="6FD75BF8"/>
    <w:rsid w:val="707723D0"/>
    <w:rsid w:val="70F5661B"/>
    <w:rsid w:val="71360107"/>
    <w:rsid w:val="713B688E"/>
    <w:rsid w:val="71D43752"/>
    <w:rsid w:val="71E24103"/>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831BFB"/>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9670B3"/>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3472CE"/>
    <w:rsid w:val="7F715AF2"/>
    <w:rsid w:val="7F886E69"/>
    <w:rsid w:val="7FBA20C7"/>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7"/>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19"/>
    <w:qFormat/>
    <w:uiPriority w:val="0"/>
    <w:pPr>
      <w:ind w:firstLine="420"/>
    </w:pPr>
    <w:rPr>
      <w:rFonts w:hAnsi="Calibri" w:cs="Times New Roman"/>
      <w:snapToGrid/>
      <w:szCs w:val="20"/>
    </w:rPr>
  </w:style>
  <w:style w:type="paragraph" w:styleId="3">
    <w:name w:val="Body Text"/>
    <w:basedOn w:val="1"/>
    <w:next w:val="4"/>
    <w:link w:val="428"/>
    <w:qFormat/>
    <w:uiPriority w:val="0"/>
    <w:pPr>
      <w:autoSpaceDE w:val="0"/>
      <w:autoSpaceDN w:val="0"/>
      <w:spacing w:line="360" w:lineRule="auto"/>
    </w:pPr>
    <w:rPr>
      <w:rFonts w:ascii="宋体" w:hAnsi="Arial" w:cs="Arial"/>
      <w:snapToGrid w:val="0"/>
      <w:sz w:val="24"/>
      <w:szCs w:val="21"/>
      <w:lang w:val="zh-CN"/>
    </w:rPr>
  </w:style>
  <w:style w:type="paragraph" w:styleId="4">
    <w:name w:val="toc 4"/>
    <w:basedOn w:val="1"/>
    <w:next w:val="1"/>
    <w:qFormat/>
    <w:uiPriority w:val="0"/>
    <w:pPr>
      <w:ind w:left="1260" w:leftChars="600"/>
    </w:pPr>
  </w:style>
  <w:style w:type="paragraph" w:styleId="7">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7"/>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0"/>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27"/>
    <w:link w:val="263"/>
    <w:qFormat/>
    <w:uiPriority w:val="0"/>
    <w:pPr>
      <w:spacing w:line="480" w:lineRule="exact"/>
      <w:ind w:firstLine="480" w:firstLineChars="200"/>
    </w:pPr>
    <w:rPr>
      <w:rFonts w:ascii="宋体" w:hAnsi="宋体"/>
      <w:sz w:val="24"/>
    </w:rPr>
  </w:style>
  <w:style w:type="paragraph" w:styleId="27">
    <w:name w:val="Body Text First Indent 2"/>
    <w:basedOn w:val="26"/>
    <w:next w:val="1"/>
    <w:link w:val="119"/>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3"/>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79"/>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29"/>
    <w:qFormat/>
    <w:uiPriority w:val="0"/>
    <w:rPr>
      <w:lang w:val="zh-CN"/>
    </w:rPr>
  </w:style>
  <w:style w:type="paragraph" w:styleId="41">
    <w:name w:val="Balloon Text"/>
    <w:basedOn w:val="1"/>
    <w:link w:val="186"/>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4"/>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1"/>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27"/>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8"/>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11"/>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6"/>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8"/>
    <w:qFormat/>
    <w:uiPriority w:val="0"/>
    <w:rPr>
      <w:rFonts w:ascii="宋体"/>
      <w:kern w:val="2"/>
      <w:sz w:val="24"/>
      <w:szCs w:val="21"/>
      <w:lang w:val="zh-CN"/>
    </w:rPr>
  </w:style>
  <w:style w:type="character" w:customStyle="1" w:styleId="180">
    <w:name w:val="标题 9 Char"/>
    <w:link w:val="14"/>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41"/>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7"/>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21"/>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2"/>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9"/>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9"/>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0"/>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8"/>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8"/>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9"/>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9"/>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8"/>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8"/>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3"/>
    <w:next w:val="638"/>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2"/>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1"/>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10"/>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40"/>
    <w:qFormat/>
    <w:uiPriority w:val="0"/>
    <w:rPr>
      <w:kern w:val="2"/>
      <w:sz w:val="21"/>
      <w:szCs w:val="24"/>
      <w:lang w:val="zh-CN"/>
    </w:rPr>
  </w:style>
  <w:style w:type="character" w:customStyle="1" w:styleId="930">
    <w:name w:val="无间隔 Char"/>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01"/>
    <w:basedOn w:val="69"/>
    <w:qFormat/>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media/image72.jpe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4.xml"/><Relationship Id="rId89" Type="http://schemas.openxmlformats.org/officeDocument/2006/relationships/image" Target="media/image63.jpeg"/><Relationship Id="rId88" Type="http://schemas.openxmlformats.org/officeDocument/2006/relationships/image" Target="media/image62.png"/><Relationship Id="rId87" Type="http://schemas.openxmlformats.org/officeDocument/2006/relationships/image" Target="media/image61.jpeg"/><Relationship Id="rId86" Type="http://schemas.openxmlformats.org/officeDocument/2006/relationships/image" Target="media/image60.jpe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jpeg"/><Relationship Id="rId82" Type="http://schemas.openxmlformats.org/officeDocument/2006/relationships/image" Target="media/image56.png"/><Relationship Id="rId81" Type="http://schemas.openxmlformats.org/officeDocument/2006/relationships/image" Target="media/image55.jpeg"/><Relationship Id="rId80" Type="http://schemas.openxmlformats.org/officeDocument/2006/relationships/image" Target="media/image54.jpeg"/><Relationship Id="rId8" Type="http://schemas.openxmlformats.org/officeDocument/2006/relationships/header" Target="header3.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jpeg"/><Relationship Id="rId76" Type="http://schemas.openxmlformats.org/officeDocument/2006/relationships/image" Target="media/image50.jpe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jpeg"/><Relationship Id="rId71" Type="http://schemas.openxmlformats.org/officeDocument/2006/relationships/image" Target="media/image45.jpe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jpe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jpe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jpe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png"/><Relationship Id="rId34" Type="http://schemas.openxmlformats.org/officeDocument/2006/relationships/image" Target="media/image8.jpe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NULL" TargetMode="External"/><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1" Type="http://schemas.openxmlformats.org/officeDocument/2006/relationships/fontTable" Target="fontTable.xml"/><Relationship Id="rId190" Type="http://schemas.openxmlformats.org/officeDocument/2006/relationships/numbering" Target="numbering.xml"/><Relationship Id="rId19" Type="http://schemas.openxmlformats.org/officeDocument/2006/relationships/footer" Target="footer9.xml"/><Relationship Id="rId189" Type="http://schemas.openxmlformats.org/officeDocument/2006/relationships/customXml" Target="../customXml/item1.xml"/><Relationship Id="rId188" Type="http://schemas.openxmlformats.org/officeDocument/2006/relationships/image" Target="media/image162.jpeg"/><Relationship Id="rId187" Type="http://schemas.openxmlformats.org/officeDocument/2006/relationships/image" Target="media/image161.jpeg"/><Relationship Id="rId186" Type="http://schemas.openxmlformats.org/officeDocument/2006/relationships/image" Target="media/image160.jpeg"/><Relationship Id="rId185" Type="http://schemas.openxmlformats.org/officeDocument/2006/relationships/image" Target="media/image159.jpeg"/><Relationship Id="rId184" Type="http://schemas.openxmlformats.org/officeDocument/2006/relationships/image" Target="media/image158.emf"/><Relationship Id="rId183" Type="http://schemas.openxmlformats.org/officeDocument/2006/relationships/image" Target="media/image157.png"/><Relationship Id="rId182" Type="http://schemas.openxmlformats.org/officeDocument/2006/relationships/image" Target="media/image156.jpeg"/><Relationship Id="rId181" Type="http://schemas.openxmlformats.org/officeDocument/2006/relationships/image" Target="media/image155.png"/><Relationship Id="rId180" Type="http://schemas.openxmlformats.org/officeDocument/2006/relationships/image" Target="media/image154.png"/><Relationship Id="rId18" Type="http://schemas.openxmlformats.org/officeDocument/2006/relationships/footer" Target="footer8.xml"/><Relationship Id="rId179" Type="http://schemas.openxmlformats.org/officeDocument/2006/relationships/image" Target="media/image153.png"/><Relationship Id="rId178" Type="http://schemas.openxmlformats.org/officeDocument/2006/relationships/image" Target="media/image152.png"/><Relationship Id="rId177" Type="http://schemas.openxmlformats.org/officeDocument/2006/relationships/image" Target="media/image151.jpeg"/><Relationship Id="rId176" Type="http://schemas.openxmlformats.org/officeDocument/2006/relationships/image" Target="media/image150.jpeg"/><Relationship Id="rId175" Type="http://schemas.openxmlformats.org/officeDocument/2006/relationships/image" Target="media/image149.png"/><Relationship Id="rId174" Type="http://schemas.openxmlformats.org/officeDocument/2006/relationships/image" Target="media/image148.jpe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jpeg"/><Relationship Id="rId17" Type="http://schemas.openxmlformats.org/officeDocument/2006/relationships/header" Target="header8.xml"/><Relationship Id="rId169" Type="http://schemas.openxmlformats.org/officeDocument/2006/relationships/image" Target="media/image143.jpeg"/><Relationship Id="rId168" Type="http://schemas.openxmlformats.org/officeDocument/2006/relationships/image" Target="media/image142.png"/><Relationship Id="rId167" Type="http://schemas.openxmlformats.org/officeDocument/2006/relationships/image" Target="media/image141.jpe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jpeg"/><Relationship Id="rId163" Type="http://schemas.openxmlformats.org/officeDocument/2006/relationships/image" Target="media/image137.jpe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header" Target="header7.xml"/><Relationship Id="rId159" Type="http://schemas.openxmlformats.org/officeDocument/2006/relationships/image" Target="media/image133.png"/><Relationship Id="rId158" Type="http://schemas.openxmlformats.org/officeDocument/2006/relationships/image" Target="media/image132.jpe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jpeg"/><Relationship Id="rId152" Type="http://schemas.openxmlformats.org/officeDocument/2006/relationships/image" Target="media/image126.jpeg"/><Relationship Id="rId151" Type="http://schemas.openxmlformats.org/officeDocument/2006/relationships/image" Target="media/image125.png"/><Relationship Id="rId150" Type="http://schemas.openxmlformats.org/officeDocument/2006/relationships/image" Target="media/image124.jpeg"/><Relationship Id="rId15" Type="http://schemas.openxmlformats.org/officeDocument/2006/relationships/footer" Target="footer7.xml"/><Relationship Id="rId149" Type="http://schemas.openxmlformats.org/officeDocument/2006/relationships/image" Target="media/image123.png"/><Relationship Id="rId148" Type="http://schemas.openxmlformats.org/officeDocument/2006/relationships/image" Target="media/image122.jpeg"/><Relationship Id="rId147" Type="http://schemas.openxmlformats.org/officeDocument/2006/relationships/image" Target="media/image121.png"/><Relationship Id="rId146" Type="http://schemas.openxmlformats.org/officeDocument/2006/relationships/image" Target="media/image120.jpeg"/><Relationship Id="rId145" Type="http://schemas.openxmlformats.org/officeDocument/2006/relationships/image" Target="media/image119.png"/><Relationship Id="rId144" Type="http://schemas.openxmlformats.org/officeDocument/2006/relationships/image" Target="media/image118.jpeg"/><Relationship Id="rId143" Type="http://schemas.openxmlformats.org/officeDocument/2006/relationships/image" Target="media/image117.png"/><Relationship Id="rId142" Type="http://schemas.openxmlformats.org/officeDocument/2006/relationships/image" Target="media/image116.jpe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footer" Target="footer6.xml"/><Relationship Id="rId139" Type="http://schemas.openxmlformats.org/officeDocument/2006/relationships/image" Target="media/image113.jpe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jpeg"/><Relationship Id="rId135" Type="http://schemas.openxmlformats.org/officeDocument/2006/relationships/image" Target="media/image109.png"/><Relationship Id="rId134" Type="http://schemas.openxmlformats.org/officeDocument/2006/relationships/image" Target="media/image108.jpeg"/><Relationship Id="rId133" Type="http://schemas.openxmlformats.org/officeDocument/2006/relationships/image" Target="media/image107.jpeg"/><Relationship Id="rId132" Type="http://schemas.openxmlformats.org/officeDocument/2006/relationships/image" Target="media/image106.jpeg"/><Relationship Id="rId131" Type="http://schemas.openxmlformats.org/officeDocument/2006/relationships/image" Target="media/image105.jpeg"/><Relationship Id="rId130" Type="http://schemas.openxmlformats.org/officeDocument/2006/relationships/image" Target="media/image104.png"/><Relationship Id="rId13" Type="http://schemas.openxmlformats.org/officeDocument/2006/relationships/header" Target="header6.xml"/><Relationship Id="rId129" Type="http://schemas.openxmlformats.org/officeDocument/2006/relationships/image" Target="media/image103.png"/><Relationship Id="rId128" Type="http://schemas.openxmlformats.org/officeDocument/2006/relationships/image" Target="media/image102.jpeg"/><Relationship Id="rId127" Type="http://schemas.openxmlformats.org/officeDocument/2006/relationships/image" Target="media/image101.png"/><Relationship Id="rId126" Type="http://schemas.openxmlformats.org/officeDocument/2006/relationships/image" Target="media/image100.jpeg"/><Relationship Id="rId125" Type="http://schemas.openxmlformats.org/officeDocument/2006/relationships/image" Target="media/image99.png"/><Relationship Id="rId124" Type="http://schemas.openxmlformats.org/officeDocument/2006/relationships/image" Target="media/image98.jpeg"/><Relationship Id="rId123" Type="http://schemas.openxmlformats.org/officeDocument/2006/relationships/image" Target="media/image97.png"/><Relationship Id="rId122" Type="http://schemas.openxmlformats.org/officeDocument/2006/relationships/image" Target="media/image96.jpe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header" Target="header5.xml"/><Relationship Id="rId119" Type="http://schemas.openxmlformats.org/officeDocument/2006/relationships/image" Target="media/image93.jpeg"/><Relationship Id="rId118" Type="http://schemas.openxmlformats.org/officeDocument/2006/relationships/image" Target="media/image92.jpeg"/><Relationship Id="rId117" Type="http://schemas.openxmlformats.org/officeDocument/2006/relationships/image" Target="media/image91.png"/><Relationship Id="rId116" Type="http://schemas.openxmlformats.org/officeDocument/2006/relationships/image" Target="media/image90.jpe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jpeg"/><Relationship Id="rId111" Type="http://schemas.openxmlformats.org/officeDocument/2006/relationships/image" Target="media/image85.jpeg"/><Relationship Id="rId110" Type="http://schemas.openxmlformats.org/officeDocument/2006/relationships/image" Target="media/image84.png"/><Relationship Id="rId11" Type="http://schemas.openxmlformats.org/officeDocument/2006/relationships/footer" Target="footer5.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jpeg"/><Relationship Id="rId106" Type="http://schemas.openxmlformats.org/officeDocument/2006/relationships/image" Target="media/image80.jpe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jpeg"/><Relationship Id="rId102" Type="http://schemas.openxmlformats.org/officeDocument/2006/relationships/image" Target="media/image76.jpeg"/><Relationship Id="rId101" Type="http://schemas.openxmlformats.org/officeDocument/2006/relationships/image" Target="media/image75.jpeg"/><Relationship Id="rId100" Type="http://schemas.openxmlformats.org/officeDocument/2006/relationships/image" Target="media/image74.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205</Pages>
  <Words>113354</Words>
  <Characters>129571</Characters>
  <Lines>279</Lines>
  <Paragraphs>78</Paragraphs>
  <TotalTime>31</TotalTime>
  <ScaleCrop>false</ScaleCrop>
  <LinksUpToDate>false</LinksUpToDate>
  <CharactersWithSpaces>138467</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WPS_1712799345</cp:lastModifiedBy>
  <cp:lastPrinted>2021-12-27T11:06:00Z</cp:lastPrinted>
  <dcterms:modified xsi:type="dcterms:W3CDTF">2024-05-22T07:02:44Z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BEA52463F01441939D8C6FA0F2E9E26B</vt:lpwstr>
  </property>
</Properties>
</file>