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val="0"/>
          <w:color w:val="auto"/>
          <w:sz w:val="52"/>
          <w:szCs w:val="52"/>
          <w:highlight w:val="none"/>
        </w:rPr>
      </w:pPr>
    </w:p>
    <w:p>
      <w:pPr>
        <w:adjustRightInd/>
        <w:spacing w:line="360" w:lineRule="auto"/>
        <w:jc w:val="center"/>
        <w:rPr>
          <w:rFonts w:hint="eastAsia" w:ascii="宋体" w:hAnsi="宋体" w:eastAsia="宋体" w:cs="宋体"/>
          <w:b/>
          <w:bCs w:val="0"/>
          <w:color w:val="auto"/>
          <w:sz w:val="44"/>
          <w:szCs w:val="44"/>
          <w:highlight w:val="none"/>
          <w:lang w:eastAsia="zh-CN"/>
        </w:rPr>
      </w:pPr>
      <w:r>
        <w:rPr>
          <w:rFonts w:hint="eastAsia" w:ascii="宋体" w:hAnsi="宋体" w:cs="宋体"/>
          <w:b/>
          <w:bCs w:val="0"/>
          <w:color w:val="auto"/>
          <w:sz w:val="44"/>
          <w:szCs w:val="44"/>
          <w:highlight w:val="none"/>
          <w:lang w:eastAsia="zh-CN"/>
        </w:rPr>
        <w:t>乔司街道集镇一体化养护项目</w:t>
      </w:r>
    </w:p>
    <w:p>
      <w:pPr>
        <w:adjustRightInd/>
        <w:spacing w:line="360" w:lineRule="auto"/>
        <w:jc w:val="center"/>
        <w:rPr>
          <w:rFonts w:hint="eastAsia" w:ascii="宋体" w:hAnsi="宋体" w:eastAsia="宋体" w:cs="宋体"/>
          <w:b/>
          <w:bCs w:val="0"/>
          <w:color w:val="auto"/>
          <w:sz w:val="52"/>
          <w:szCs w:val="52"/>
          <w:highlight w:val="none"/>
        </w:rPr>
      </w:pPr>
      <w:r>
        <w:rPr>
          <w:rFonts w:hint="eastAsia" w:ascii="宋体" w:hAnsi="宋体" w:eastAsia="宋体" w:cs="宋体"/>
          <w:b/>
          <w:bCs w:val="0"/>
          <w:color w:val="auto"/>
          <w:sz w:val="52"/>
          <w:szCs w:val="52"/>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widowControl/>
        <w:spacing w:line="360" w:lineRule="auto"/>
        <w:ind w:right="-2"/>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招标编号：</w:t>
      </w:r>
      <w:r>
        <w:rPr>
          <w:rFonts w:hint="eastAsia" w:ascii="仿宋" w:hAnsi="仿宋" w:eastAsia="仿宋" w:cs="仿宋"/>
          <w:b/>
          <w:bCs/>
          <w:color w:val="auto"/>
          <w:sz w:val="36"/>
          <w:szCs w:val="36"/>
          <w:highlight w:val="none"/>
          <w:lang w:eastAsia="zh-CN"/>
        </w:rPr>
        <w:t>XCXCG-2023-008</w:t>
      </w:r>
    </w:p>
    <w:p>
      <w:pPr>
        <w:snapToGrid w:val="0"/>
        <w:spacing w:line="360" w:lineRule="auto"/>
        <w:jc w:val="center"/>
        <w:rPr>
          <w:rFonts w:ascii="仿宋" w:hAnsi="仿宋" w:eastAsia="仿宋" w:cs="仿宋_GB2312"/>
          <w:color w:val="auto"/>
          <w:sz w:val="30"/>
          <w:szCs w:val="30"/>
          <w:highlight w:val="none"/>
        </w:rPr>
      </w:pPr>
      <w:r>
        <w:rPr>
          <w:rFonts w:hint="eastAsia" w:ascii="宋体" w:hAnsi="宋体" w:eastAsia="宋体" w:cs="宋体"/>
          <w:color w:val="auto"/>
          <w:sz w:val="30"/>
          <w:szCs w:val="30"/>
          <w:highlight w:val="none"/>
          <w:lang w:val="en-US" w:eastAsia="zh-CN"/>
        </w:rPr>
        <w:t xml:space="preserve"> </w:t>
      </w:r>
      <w:r>
        <w:rPr>
          <w:rFonts w:hint="eastAsia" w:ascii="仿宋" w:hAnsi="仿宋" w:eastAsia="仿宋" w:cs="仿宋_GB2312"/>
          <w:color w:val="auto"/>
          <w:sz w:val="30"/>
          <w:szCs w:val="30"/>
          <w:highlight w:val="none"/>
          <w:lang w:val="en-US" w:eastAsia="zh-CN"/>
        </w:rPr>
        <w:t xml:space="preserve"> </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pStyle w:val="2"/>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pStyle w:val="23"/>
        <w:rPr>
          <w:rFonts w:ascii="仿宋" w:hAnsi="仿宋" w:eastAsia="仿宋" w:cs="仿宋_GB2312"/>
          <w:color w:val="auto"/>
          <w:sz w:val="24"/>
          <w:highlight w:val="none"/>
        </w:rPr>
      </w:pPr>
    </w:p>
    <w:p>
      <w:pPr>
        <w:pStyle w:val="62"/>
        <w:rPr>
          <w:rFonts w:ascii="仿宋" w:hAnsi="仿宋" w:eastAsia="仿宋" w:cs="仿宋_GB2312"/>
          <w:color w:val="auto"/>
          <w:sz w:val="24"/>
          <w:highlight w:val="none"/>
        </w:rPr>
      </w:pPr>
    </w:p>
    <w:p>
      <w:pPr>
        <w:pStyle w:val="52"/>
        <w:rPr>
          <w:rFonts w:ascii="仿宋" w:hAnsi="仿宋" w:eastAsia="仿宋" w:cs="仿宋_GB2312"/>
          <w:color w:val="auto"/>
          <w:sz w:val="24"/>
          <w:highlight w:val="none"/>
        </w:rPr>
      </w:pPr>
    </w:p>
    <w:p>
      <w:pPr>
        <w:rPr>
          <w:color w:val="auto"/>
          <w:highlight w:val="none"/>
        </w:rPr>
      </w:pPr>
    </w:p>
    <w:p>
      <w:pPr>
        <w:rPr>
          <w:rFonts w:ascii="仿宋" w:hAnsi="仿宋" w:eastAsia="仿宋" w:cs="仿宋_GB2312"/>
          <w:color w:val="auto"/>
          <w:sz w:val="24"/>
          <w:highlight w:val="none"/>
        </w:rPr>
      </w:pPr>
    </w:p>
    <w:p>
      <w:pPr>
        <w:shd w:val="clear" w:color="auto" w:fill="FFFFFF"/>
        <w:snapToGrid w:val="0"/>
        <w:spacing w:line="360" w:lineRule="auto"/>
        <w:ind w:firstLine="425"/>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 xml:space="preserve"> 招标人：</w:t>
      </w:r>
      <w:r>
        <w:rPr>
          <w:rFonts w:hint="eastAsia" w:ascii="宋体" w:hAnsi="宋体" w:cs="宋体"/>
          <w:b/>
          <w:bCs/>
          <w:color w:val="auto"/>
          <w:sz w:val="32"/>
          <w:szCs w:val="32"/>
          <w:highlight w:val="none"/>
          <w:lang w:eastAsia="zh-CN"/>
        </w:rPr>
        <w:t>杭州市临平区人民政府乔司街道办事处</w:t>
      </w:r>
    </w:p>
    <w:p>
      <w:pPr>
        <w:shd w:val="clear" w:color="auto" w:fill="FFFFFF"/>
        <w:snapToGrid w:val="0"/>
        <w:spacing w:line="360" w:lineRule="auto"/>
        <w:ind w:firstLine="425"/>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招标代理机构：</w:t>
      </w:r>
      <w:r>
        <w:rPr>
          <w:rFonts w:hint="eastAsia" w:ascii="宋体" w:hAnsi="宋体" w:cs="宋体"/>
          <w:b/>
          <w:bCs/>
          <w:color w:val="auto"/>
          <w:sz w:val="32"/>
          <w:szCs w:val="32"/>
          <w:highlight w:val="none"/>
          <w:lang w:eastAsia="zh-CN"/>
        </w:rPr>
        <w:t>浙江新诚信工程咨询有限公司</w:t>
      </w: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二月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乔司街道集镇一体化养护项目</w:t>
      </w:r>
      <w:r>
        <w:rPr>
          <w:rFonts w:hint="eastAsia" w:ascii="仿宋" w:hAnsi="仿宋" w:eastAsia="仿宋" w:cs="仿宋"/>
          <w:color w:val="auto"/>
          <w:sz w:val="24"/>
          <w:szCs w:val="24"/>
          <w:highlight w:val="none"/>
        </w:rPr>
        <w:t>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"https://www.zcygov.cn/）获取（下载）招标文件，并于2021年" </w:instrText>
      </w:r>
      <w:r>
        <w:rPr>
          <w:rFonts w:hint="eastAsia" w:ascii="仿宋" w:hAnsi="仿宋" w:eastAsia="仿宋" w:cs="仿宋"/>
          <w:color w:val="auto"/>
          <w:sz w:val="24"/>
          <w:szCs w:val="24"/>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lang w:eastAsia="zh-CN"/>
        </w:rPr>
        <w:t>2023年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eastAsia="zh-CN"/>
        </w:rPr>
        <w:t>分00秒</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pPr>
        <w:spacing w:line="360" w:lineRule="auto"/>
        <w:rPr>
          <w:rFonts w:hint="eastAsia" w:ascii="仿宋_GB2312" w:hAnsi="仿宋" w:eastAsia="仿宋_GB2312"/>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b/>
          <w:bCs/>
          <w:color w:val="auto"/>
          <w:sz w:val="24"/>
          <w:szCs w:val="24"/>
          <w:highlight w:val="none"/>
        </w:rPr>
        <w:t>项目编号：</w:t>
      </w:r>
      <w:r>
        <w:rPr>
          <w:rFonts w:hint="eastAsia" w:ascii="仿宋_GB2312" w:hAnsi="仿宋" w:eastAsia="仿宋_GB2312" w:cs="仿宋_GB2312"/>
          <w:b/>
          <w:bCs/>
          <w:color w:val="auto"/>
          <w:sz w:val="24"/>
          <w:szCs w:val="24"/>
          <w:highlight w:val="none"/>
          <w:lang w:eastAsia="zh-CN"/>
        </w:rPr>
        <w:t>XCXCG-2023-008</w:t>
      </w:r>
    </w:p>
    <w:p>
      <w:pPr>
        <w:spacing w:line="360" w:lineRule="auto"/>
        <w:rPr>
          <w:rFonts w:hint="eastAsia" w:ascii="仿宋_GB2312" w:hAnsi="仿宋" w:eastAsia="仿宋_GB2312"/>
          <w:color w:val="auto"/>
          <w:sz w:val="24"/>
          <w:szCs w:val="24"/>
          <w:highlight w:val="none"/>
          <w:lang w:eastAsia="zh-CN"/>
        </w:rPr>
      </w:pPr>
      <w:r>
        <w:rPr>
          <w:rFonts w:ascii="仿宋_GB2312" w:hAnsi="仿宋" w:eastAsia="仿宋_GB2312" w:cs="仿宋_GB2312"/>
          <w:color w:val="auto"/>
          <w:sz w:val="24"/>
          <w:szCs w:val="24"/>
          <w:highlight w:val="none"/>
        </w:rPr>
        <w:t xml:space="preserve">   </w:t>
      </w:r>
      <w:r>
        <w:rPr>
          <w:rFonts w:ascii="仿宋_GB2312" w:hAnsi="仿宋" w:eastAsia="仿宋_GB2312" w:cs="仿宋_GB2312"/>
          <w:b/>
          <w:bCs/>
          <w:color w:val="auto"/>
          <w:sz w:val="24"/>
          <w:szCs w:val="24"/>
          <w:highlight w:val="none"/>
        </w:rPr>
        <w:t xml:space="preserve"> </w:t>
      </w:r>
      <w:r>
        <w:rPr>
          <w:rFonts w:hint="eastAsia" w:ascii="仿宋_GB2312" w:hAnsi="仿宋" w:eastAsia="仿宋_GB2312" w:cs="仿宋_GB2312"/>
          <w:b/>
          <w:bCs/>
          <w:color w:val="auto"/>
          <w:sz w:val="24"/>
          <w:szCs w:val="24"/>
          <w:highlight w:val="none"/>
        </w:rPr>
        <w:t>项目名称：</w:t>
      </w:r>
      <w:r>
        <w:rPr>
          <w:rFonts w:hint="eastAsia" w:ascii="仿宋_GB2312" w:hAnsi="仿宋" w:eastAsia="仿宋_GB2312" w:cs="仿宋_GB2312"/>
          <w:b/>
          <w:bCs/>
          <w:color w:val="auto"/>
          <w:sz w:val="24"/>
          <w:szCs w:val="24"/>
          <w:highlight w:val="none"/>
          <w:lang w:eastAsia="zh-CN"/>
        </w:rPr>
        <w:t>乔司街道集镇一体化养护项目</w:t>
      </w:r>
    </w:p>
    <w:p>
      <w:pPr>
        <w:spacing w:line="360" w:lineRule="auto"/>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ascii="仿宋_GB2312" w:hAnsi="仿宋" w:eastAsia="仿宋_GB2312" w:cs="仿宋_GB2312"/>
          <w:b/>
          <w:bCs/>
          <w:color w:val="auto"/>
          <w:sz w:val="24"/>
          <w:szCs w:val="24"/>
          <w:highlight w:val="none"/>
        </w:rPr>
        <w:t xml:space="preserve"> </w:t>
      </w:r>
      <w:r>
        <w:rPr>
          <w:rFonts w:hint="eastAsia" w:ascii="仿宋_GB2312" w:hAnsi="仿宋" w:eastAsia="仿宋_GB2312" w:cs="仿宋_GB2312"/>
          <w:b/>
          <w:bCs/>
          <w:color w:val="auto"/>
          <w:sz w:val="24"/>
          <w:szCs w:val="24"/>
          <w:highlight w:val="none"/>
        </w:rPr>
        <w:t>预算金额（元）：</w:t>
      </w:r>
      <w:r>
        <w:rPr>
          <w:rFonts w:hint="eastAsia" w:ascii="仿宋_GB2312" w:hAnsi="仿宋" w:eastAsia="仿宋_GB2312" w:cs="仿宋_GB2312"/>
          <w:b/>
          <w:bCs/>
          <w:color w:val="auto"/>
          <w:sz w:val="24"/>
          <w:szCs w:val="24"/>
          <w:highlight w:val="none"/>
          <w:lang w:val="en-US" w:eastAsia="zh-CN"/>
        </w:rPr>
        <w:t xml:space="preserve">25274200 </w:t>
      </w:r>
      <w:r>
        <w:rPr>
          <w:rFonts w:ascii="仿宋_GB2312" w:hAnsi="仿宋" w:eastAsia="仿宋_GB2312" w:cs="仿宋_GB2312"/>
          <w:color w:val="auto"/>
          <w:sz w:val="24"/>
          <w:szCs w:val="24"/>
          <w:highlight w:val="none"/>
        </w:rPr>
        <w:t xml:space="preserve"> </w:t>
      </w:r>
    </w:p>
    <w:p>
      <w:pPr>
        <w:spacing w:line="360" w:lineRule="auto"/>
        <w:ind w:firstLine="480"/>
        <w:rPr>
          <w:rFonts w:hint="eastAsia" w:ascii="仿宋_GB2312" w:hAnsi="仿宋" w:eastAsia="仿宋_GB2312" w:cs="仿宋_GB2312"/>
          <w:color w:val="auto"/>
          <w:sz w:val="24"/>
          <w:szCs w:val="24"/>
          <w:highlight w:val="none"/>
          <w:lang w:eastAsia="zh-CN"/>
        </w:rPr>
      </w:pPr>
      <w:r>
        <w:rPr>
          <w:rFonts w:hint="eastAsia" w:ascii="仿宋_GB2312" w:hAnsi="仿宋" w:eastAsia="仿宋_GB2312" w:cs="仿宋_GB2312"/>
          <w:b/>
          <w:bCs/>
          <w:color w:val="auto"/>
          <w:sz w:val="24"/>
          <w:szCs w:val="24"/>
          <w:highlight w:val="none"/>
        </w:rPr>
        <w:t>最高限价（元）：</w:t>
      </w:r>
      <w:r>
        <w:rPr>
          <w:rFonts w:hint="eastAsia" w:ascii="仿宋_GB2312" w:hAnsi="仿宋" w:eastAsia="仿宋_GB2312" w:cs="仿宋_GB2312"/>
          <w:b/>
          <w:bCs/>
          <w:color w:val="auto"/>
          <w:sz w:val="24"/>
          <w:szCs w:val="24"/>
          <w:highlight w:val="none"/>
          <w:lang w:val="en-US" w:eastAsia="zh-CN"/>
        </w:rPr>
        <w:t xml:space="preserve">25274200 </w:t>
      </w:r>
    </w:p>
    <w:p>
      <w:pPr>
        <w:pStyle w:val="5"/>
        <w:spacing w:line="360" w:lineRule="auto"/>
        <w:ind w:firstLine="480"/>
        <w:rPr>
          <w:rFonts w:ascii="仿宋_GB2312" w:hAnsi="仿宋" w:eastAsia="仿宋_GB2312" w:cs="Times New Roman"/>
          <w:color w:val="auto"/>
          <w:kern w:val="2"/>
          <w:sz w:val="24"/>
          <w:szCs w:val="24"/>
          <w:highlight w:val="none"/>
        </w:rPr>
      </w:pPr>
      <w:r>
        <w:rPr>
          <w:rFonts w:hint="eastAsia" w:ascii="仿宋_GB2312" w:hAnsi="仿宋" w:eastAsia="仿宋_GB2312" w:cs="仿宋_GB2312"/>
          <w:b/>
          <w:bCs/>
          <w:color w:val="auto"/>
          <w:sz w:val="24"/>
          <w:szCs w:val="24"/>
          <w:highlight w:val="none"/>
        </w:rPr>
        <w:t>采购需求：</w:t>
      </w:r>
      <w:r>
        <w:rPr>
          <w:rFonts w:hint="eastAsia" w:ascii="仿宋_GB2312" w:hAnsi="仿宋" w:eastAsia="仿宋_GB2312" w:cs="仿宋_GB2312"/>
          <w:b/>
          <w:bCs/>
          <w:color w:val="auto"/>
          <w:sz w:val="24"/>
          <w:szCs w:val="24"/>
          <w:highlight w:val="none"/>
          <w:lang w:eastAsia="zh-CN"/>
        </w:rPr>
        <w:t>乔司街道集镇一体化养护项目</w:t>
      </w:r>
      <w:r>
        <w:rPr>
          <w:rFonts w:hint="eastAsia" w:ascii="仿宋_GB2312" w:hAnsi="仿宋" w:eastAsia="仿宋_GB2312" w:cs="仿宋_GB2312"/>
          <w:b/>
          <w:bCs/>
          <w:color w:val="auto"/>
          <w:sz w:val="24"/>
          <w:szCs w:val="24"/>
          <w:highlight w:val="none"/>
        </w:rPr>
        <w:t>，</w:t>
      </w:r>
      <w:r>
        <w:rPr>
          <w:rFonts w:hint="eastAsia" w:ascii="仿宋_GB2312" w:hAnsi="仿宋" w:eastAsia="仿宋_GB2312" w:cs="仿宋_GB2312"/>
          <w:color w:val="auto"/>
          <w:kern w:val="2"/>
          <w:sz w:val="24"/>
          <w:szCs w:val="24"/>
          <w:highlight w:val="none"/>
        </w:rPr>
        <w:t>主要内容：本项目为乔司街道综合养护，采购内容主要包括道路保洁、绿化养护、公厕保洁、商户垃圾运输（音乐线，含生鲜专运）、牛皮癣清理、</w:t>
      </w:r>
      <w:r>
        <w:rPr>
          <w:rFonts w:hint="eastAsia" w:ascii="仿宋_GB2312" w:hAnsi="仿宋" w:eastAsia="仿宋_GB2312" w:cs="仿宋_GB2312"/>
          <w:color w:val="auto"/>
          <w:kern w:val="2"/>
          <w:sz w:val="24"/>
          <w:szCs w:val="24"/>
          <w:highlight w:val="none"/>
          <w:lang w:val="en-US" w:eastAsia="zh-CN"/>
        </w:rPr>
        <w:t>疫苗接种点卫生、厕所保洁及垃圾清运</w:t>
      </w:r>
      <w:r>
        <w:rPr>
          <w:rFonts w:hint="eastAsia" w:ascii="仿宋_GB2312" w:hAnsi="仿宋" w:eastAsia="仿宋_GB2312" w:cs="仿宋_GB2312"/>
          <w:color w:val="auto"/>
          <w:kern w:val="2"/>
          <w:sz w:val="24"/>
          <w:szCs w:val="24"/>
          <w:highlight w:val="none"/>
        </w:rPr>
        <w:t>等其他养护工作。详见招标文件第三部分采购需求。</w:t>
      </w:r>
    </w:p>
    <w:p>
      <w:pPr>
        <w:pStyle w:val="90"/>
        <w:ind w:firstLine="31680"/>
        <w:outlineLvl w:val="2"/>
        <w:rPr>
          <w:rFonts w:hint="eastAsia" w:ascii="仿宋_GB2312" w:hAnsi="仿宋" w:eastAsia="仿宋_GB2312"/>
          <w:color w:val="auto"/>
          <w:highlight w:val="none"/>
          <w:lang w:eastAsia="zh-CN"/>
        </w:rPr>
      </w:pPr>
      <w:r>
        <w:rPr>
          <w:rFonts w:hint="eastAsia" w:ascii="仿宋_GB2312" w:hAnsi="仿宋" w:eastAsia="仿宋_GB2312" w:cs="仿宋_GB2312"/>
          <w:b/>
          <w:bCs/>
          <w:color w:val="auto"/>
          <w:highlight w:val="none"/>
        </w:rPr>
        <w:t>合同履约期限：</w:t>
      </w:r>
      <w:r>
        <w:rPr>
          <w:rFonts w:hint="eastAsia" w:ascii="仿宋_GB2312" w:hAnsi="仿宋" w:eastAsia="仿宋_GB2312" w:cs="仿宋_GB2312"/>
          <w:b/>
          <w:bCs/>
          <w:color w:val="auto"/>
          <w:highlight w:val="none"/>
          <w:lang w:val="en-US" w:eastAsia="zh-CN"/>
        </w:rPr>
        <w:t>贰年</w:t>
      </w:r>
    </w:p>
    <w:p>
      <w:pPr>
        <w:pStyle w:val="5"/>
        <w:spacing w:line="360" w:lineRule="auto"/>
        <w:ind w:firstLine="480"/>
        <w:rPr>
          <w:rFonts w:ascii="仿宋_GB2312" w:hAnsi="仿宋" w:eastAsia="仿宋_GB2312" w:cs="Times New Roman"/>
          <w:b/>
          <w:bCs/>
          <w:color w:val="auto"/>
          <w:sz w:val="24"/>
          <w:szCs w:val="24"/>
          <w:highlight w:val="none"/>
        </w:rPr>
      </w:pPr>
      <w:r>
        <w:rPr>
          <w:rFonts w:hint="eastAsia" w:ascii="仿宋_GB2312" w:hAnsi="仿宋" w:eastAsia="仿宋_GB2312" w:cs="仿宋_GB2312"/>
          <w:b/>
          <w:bCs/>
          <w:color w:val="auto"/>
          <w:sz w:val="24"/>
          <w:szCs w:val="24"/>
          <w:highlight w:val="none"/>
        </w:rPr>
        <w:t>本项目接受联合体投标：</w:t>
      </w:r>
      <w:r>
        <w:rPr>
          <w:rFonts w:hint="eastAsia" w:ascii="MS Gothic" w:hAnsi="Wingdings" w:eastAsia="MS Gothic" w:cs="Times New Roman"/>
          <w:color w:val="auto"/>
          <w:kern w:val="0"/>
          <w:sz w:val="24"/>
          <w:szCs w:val="24"/>
          <w:highlight w:val="none"/>
        </w:rPr>
        <w:sym w:font="Wingdings" w:char="00FE"/>
      </w:r>
      <w:r>
        <w:rPr>
          <w:rFonts w:hint="eastAsia" w:ascii="仿宋_GB2312" w:hAnsi="仿宋" w:eastAsia="仿宋_GB2312" w:cs="仿宋_GB2312"/>
          <w:b/>
          <w:bCs/>
          <w:color w:val="auto"/>
          <w:sz w:val="24"/>
          <w:szCs w:val="24"/>
          <w:highlight w:val="none"/>
        </w:rPr>
        <w:t>是，</w:t>
      </w:r>
      <w:r>
        <w:rPr>
          <w:rFonts w:hint="eastAsia" w:ascii="MS Gothic" w:hAnsi="Wingdings" w:eastAsia="MS Gothic" w:cs="Times New Roman"/>
          <w:color w:val="auto"/>
          <w:kern w:val="0"/>
          <w:sz w:val="24"/>
          <w:szCs w:val="24"/>
          <w:highlight w:val="none"/>
        </w:rPr>
        <w:sym w:font="Wingdings" w:char="00A8"/>
      </w:r>
      <w:r>
        <w:rPr>
          <w:rFonts w:hint="eastAsia" w:ascii="仿宋_GB2312" w:hAnsi="仿宋" w:eastAsia="仿宋_GB2312" w:cs="仿宋_GB2312"/>
          <w:b/>
          <w:bCs/>
          <w:color w:val="auto"/>
          <w:sz w:val="24"/>
          <w:szCs w:val="24"/>
          <w:highlight w:val="none"/>
        </w:rPr>
        <w:t>否</w:t>
      </w:r>
      <w:r>
        <w:rPr>
          <w:rFonts w:hint="eastAsia" w:hAnsi="宋体"/>
          <w:color w:val="auto"/>
          <w:kern w:val="0"/>
          <w:sz w:val="24"/>
          <w:szCs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w:t>
      </w:r>
      <w:r>
        <w:rPr>
          <w:rFonts w:hint="eastAsia" w:ascii="仿宋" w:hAnsi="仿宋" w:eastAsia="仿宋" w:cs="仿宋"/>
          <w:snapToGrid w:val="0"/>
          <w:color w:val="auto"/>
          <w:kern w:val="28"/>
          <w:sz w:val="24"/>
          <w:szCs w:val="20"/>
          <w:highlight w:val="none"/>
          <w:lang w:val="en-US" w:eastAsia="zh-CN"/>
        </w:rPr>
        <w:tab/>
      </w:r>
      <w:r>
        <w:rPr>
          <w:rFonts w:hint="eastAsia" w:ascii="仿宋" w:hAnsi="仿宋" w:eastAsia="仿宋" w:cs="仿宋"/>
          <w:snapToGrid w:val="0"/>
          <w:color w:val="auto"/>
          <w:kern w:val="28"/>
          <w:sz w:val="24"/>
          <w:szCs w:val="20"/>
          <w:highlight w:val="none"/>
        </w:rPr>
        <w:t>定；未被“信用中国”（www.creditchina.gov.cn)、中国政府采购网（www.ccgp.gov.cn）列入失信被执行人、重大税收违法案件当事人名</w:t>
      </w:r>
      <w:r>
        <w:rPr>
          <w:rFonts w:hint="eastAsia" w:ascii="仿宋" w:hAnsi="仿宋" w:eastAsia="仿宋" w:cs="仿宋"/>
          <w:snapToGrid w:val="0"/>
          <w:color w:val="auto"/>
          <w:kern w:val="28"/>
          <w:sz w:val="24"/>
          <w:szCs w:val="20"/>
          <w:highlight w:val="none"/>
          <w:lang w:val="en-US" w:eastAsia="zh-CN"/>
        </w:rPr>
        <w:tab/>
      </w:r>
      <w:r>
        <w:rPr>
          <w:rFonts w:hint="eastAsia" w:ascii="仿宋" w:hAnsi="仿宋" w:eastAsia="仿宋" w:cs="仿宋"/>
          <w:snapToGrid w:val="0"/>
          <w:color w:val="auto"/>
          <w:kern w:val="28"/>
          <w:sz w:val="24"/>
          <w:szCs w:val="20"/>
          <w:highlight w:val="none"/>
        </w:rPr>
        <w:t>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ascii="仿宋_GB2312" w:hAnsi="仿宋" w:eastAsia="仿宋_GB2312"/>
          <w:color w:val="auto"/>
          <w:sz w:val="24"/>
          <w:szCs w:val="24"/>
          <w:highlight w:val="none"/>
        </w:rPr>
      </w:pPr>
      <w:r>
        <w:rPr>
          <w:rFonts w:hint="eastAsia" w:ascii="MS Gothic" w:hAnsi="Wingdings" w:eastAsia="MS Gothic"/>
          <w:color w:val="auto"/>
          <w:kern w:val="0"/>
          <w:sz w:val="24"/>
          <w:szCs w:val="24"/>
          <w:highlight w:val="none"/>
        </w:rPr>
        <w:sym w:font="Wingdings" w:char="00A8"/>
      </w:r>
      <w:r>
        <w:rPr>
          <w:rFonts w:hint="eastAsia" w:ascii="仿宋_GB2312" w:hAnsi="仿宋" w:eastAsia="仿宋_GB2312" w:cs="仿宋_GB2312"/>
          <w:color w:val="auto"/>
          <w:sz w:val="24"/>
          <w:szCs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A8"/>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szCs w:val="24"/>
          <w:highlight w:val="none"/>
          <w:u w:val="single"/>
          <w:lang w:eastAsia="zh-CN"/>
        </w:rPr>
        <w:t>2023年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eastAsia="zh-CN"/>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szCs w:val="24"/>
          <w:highlight w:val="none"/>
          <w:u w:val="single"/>
          <w:lang w:eastAsia="zh-CN"/>
        </w:rPr>
      </w:pPr>
      <w:r>
        <w:rPr>
          <w:rFonts w:hint="eastAsia" w:ascii="仿宋" w:hAnsi="仿宋" w:eastAsia="仿宋" w:cs="仿宋"/>
          <w:b/>
          <w:color w:val="auto"/>
          <w:sz w:val="24"/>
          <w:highlight w:val="none"/>
        </w:rPr>
        <w:t>开标时间：</w:t>
      </w:r>
      <w:r>
        <w:rPr>
          <w:rFonts w:hint="eastAsia" w:ascii="仿宋" w:hAnsi="仿宋" w:eastAsia="仿宋" w:cs="仿宋"/>
          <w:color w:val="auto"/>
          <w:sz w:val="24"/>
          <w:szCs w:val="24"/>
          <w:highlight w:val="none"/>
          <w:u w:val="single"/>
          <w:lang w:eastAsia="zh-CN"/>
        </w:rPr>
        <w:t>2023年3月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lang w:eastAsia="zh-CN"/>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t>
      </w:r>
      <w:bookmarkStart w:id="401" w:name="_GoBack"/>
      <w:bookmarkEnd w:id="401"/>
      <w:r>
        <w:rPr>
          <w:rFonts w:hint="eastAsia" w:ascii="仿宋" w:hAnsi="仿宋" w:eastAsia="仿宋" w:cs="仿宋"/>
          <w:color w:val="auto"/>
          <w:sz w:val="24"/>
          <w:highlight w:val="none"/>
        </w:rPr>
        <w:t>://www.zcygov.cn/）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4.其他事项：（1）需要落实的政府采购政策：包括节约资源、保护环境、支持创新、促进中小企业发展等。详见招标文件的第二部分总则。（2）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杭州市临平区人民政府乔司街道办事处</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浙江省杭州市临平区乔井路268号</w:t>
      </w:r>
      <w:r>
        <w:rPr>
          <w:rFonts w:hint="eastAsia" w:ascii="仿宋" w:hAnsi="仿宋" w:eastAsia="仿宋" w:cs="仿宋"/>
          <w:color w:val="auto"/>
          <w:sz w:val="24"/>
          <w:highlight w:val="none"/>
          <w:lang w:eastAsia="zh-CN"/>
        </w:rPr>
        <w:t> </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王涛  </w:t>
      </w:r>
      <w:r>
        <w:rPr>
          <w:rFonts w:hint="eastAsia" w:ascii="仿宋" w:hAnsi="仿宋" w:eastAsia="仿宋" w:cs="仿宋"/>
          <w:color w:val="auto"/>
          <w:sz w:val="24"/>
          <w:highlight w:val="none"/>
        </w:rPr>
        <w:t xml:space="preserve">  </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17767167034</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质疑联系人：翁振泉</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质疑联系方式：0571-86296891</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浙江新诚信工程咨询有限公司</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地    址：杭州市临平区南苑街道香雪路38号香雪铭座7F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传    真：/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项目联系人（询问）：张喆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项目联系方式（询问）：18989891985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质疑联系人：戚东升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w:t>
      </w:r>
      <w:r>
        <w:rPr>
          <w:rFonts w:hint="eastAsia" w:ascii="仿宋" w:hAnsi="仿宋" w:eastAsia="仿宋" w:cs="仿宋"/>
          <w:color w:val="auto"/>
          <w:sz w:val="24"/>
          <w:highlight w:val="none"/>
          <w:lang w:val="en-US" w:eastAsia="zh-CN"/>
        </w:rPr>
        <w:t>89183725</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 杭州市</w:t>
      </w:r>
      <w:r>
        <w:rPr>
          <w:rFonts w:hint="eastAsia" w:ascii="仿宋" w:hAnsi="仿宋" w:eastAsia="仿宋" w:cs="仿宋"/>
          <w:b w:val="0"/>
          <w:bCs/>
          <w:color w:val="auto"/>
          <w:kern w:val="0"/>
          <w:sz w:val="24"/>
          <w:highlight w:val="none"/>
          <w:lang w:val="en-US" w:eastAsia="zh-CN"/>
        </w:rPr>
        <w:t>临平区政府采购办公室</w:t>
      </w:r>
      <w:r>
        <w:rPr>
          <w:rFonts w:hint="eastAsia" w:ascii="仿宋" w:hAnsi="仿宋" w:eastAsia="仿宋" w:cs="仿宋"/>
          <w:color w:val="auto"/>
          <w:sz w:val="24"/>
          <w:highlight w:val="none"/>
        </w:rPr>
        <w:t>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w:t>
      </w:r>
      <w:r>
        <w:rPr>
          <w:rFonts w:hint="eastAsia" w:ascii="仿宋" w:hAnsi="仿宋" w:eastAsia="仿宋" w:cs="仿宋"/>
          <w:color w:val="auto"/>
          <w:sz w:val="24"/>
          <w:highlight w:val="none"/>
          <w:lang w:val="en-US" w:eastAsia="zh-CN"/>
        </w:rPr>
        <w:t>临平</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 xml:space="preserve">临平东湖中路236号余杭财税大楼 </w:t>
      </w:r>
    </w:p>
    <w:p>
      <w:pPr>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 </w:t>
      </w:r>
      <w:r>
        <w:rPr>
          <w:rFonts w:hint="eastAsia" w:ascii="仿宋" w:hAnsi="仿宋" w:eastAsia="仿宋" w:cs="仿宋"/>
          <w:color w:val="auto"/>
          <w:sz w:val="24"/>
          <w:highlight w:val="none"/>
          <w:lang w:val="en-US" w:eastAsia="zh-CN"/>
        </w:rPr>
        <w:t>俞征</w:t>
      </w:r>
      <w:r>
        <w:rPr>
          <w:rFonts w:hint="eastAsia" w:ascii="仿宋" w:hAnsi="仿宋" w:eastAsia="仿宋" w:cs="仿宋"/>
          <w:color w:val="auto"/>
          <w:sz w:val="24"/>
          <w:highlight w:val="none"/>
        </w:rPr>
        <w:t xml:space="preserve">   </w:t>
      </w:r>
    </w:p>
    <w:p>
      <w:pPr>
        <w:widowControl w:val="0"/>
        <w:wordWrap/>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监督投诉电话：0571-89185312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2"/>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4"/>
        <w:tblpPr w:leftFromText="180" w:rightFromText="180" w:vertAnchor="text" w:tblpX="108" w:tblpY="1"/>
        <w:tblOverlap w:val="never"/>
        <w:tblW w:w="91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2"/>
        <w:gridCol w:w="64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69"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69"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9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宋体"/>
                <w:color w:val="auto"/>
                <w:sz w:val="24"/>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r>
              <w:rPr>
                <w:rFonts w:hint="eastAsia" w:ascii="华文仿宋" w:hAnsi="华文仿宋" w:eastAsia="华文仿宋" w:cs="宋体"/>
                <w:color w:val="auto"/>
                <w:sz w:val="24"/>
              </w:rPr>
              <w:t>1、投标报价上限：报价不得高于项目总预算且不得高于各标项预算。</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color w:val="auto"/>
              </w:rPr>
            </w:pPr>
            <w:r>
              <w:rPr>
                <w:rFonts w:hint="eastAsia" w:ascii="华文仿宋" w:hAnsi="华文仿宋" w:eastAsia="华文仿宋" w:cs="宋体"/>
                <w:b/>
                <w:color w:val="auto"/>
                <w:sz w:val="24"/>
              </w:rPr>
              <w:t>▲</w:t>
            </w:r>
            <w:r>
              <w:rPr>
                <w:rFonts w:hint="eastAsia" w:ascii="华文仿宋" w:hAnsi="华文仿宋" w:eastAsia="华文仿宋" w:cs="宋体"/>
                <w:color w:val="auto"/>
                <w:sz w:val="24"/>
              </w:rPr>
              <w:t>2、</w:t>
            </w:r>
            <w:r>
              <w:rPr>
                <w:rFonts w:hint="eastAsia" w:ascii="华文仿宋" w:hAnsi="华文仿宋" w:eastAsia="华文仿宋" w:cs="仿宋_GB2312"/>
                <w:b/>
                <w:color w:val="auto"/>
                <w:kern w:val="0"/>
                <w:sz w:val="24"/>
              </w:rPr>
              <w:t>最低人员工资：</w:t>
            </w:r>
            <w:r>
              <w:rPr>
                <w:rFonts w:hint="eastAsia" w:ascii="华文仿宋" w:hAnsi="华文仿宋" w:eastAsia="华文仿宋" w:cs="仿宋_GB2312"/>
                <w:color w:val="auto"/>
                <w:kern w:val="0"/>
                <w:sz w:val="24"/>
              </w:rPr>
              <w:t>根据杭政办〔2008〕14号、浙政办发〔2009〕190号、</w:t>
            </w:r>
            <w:r>
              <w:rPr>
                <w:rFonts w:hint="eastAsia" w:ascii="华文仿宋" w:hAnsi="华文仿宋" w:eastAsia="华文仿宋" w:cs="仿宋_GB2312"/>
                <w:color w:val="auto"/>
                <w:kern w:val="0"/>
                <w:sz w:val="24"/>
                <w:lang w:val="zh-CN"/>
              </w:rPr>
              <w:t>《浙江省人民政府关于调整全省最低工资标准的通知》（浙政发[2021]22号）、</w:t>
            </w:r>
            <w:r>
              <w:rPr>
                <w:rFonts w:hint="eastAsia" w:ascii="华文仿宋" w:hAnsi="华文仿宋" w:eastAsia="华文仿宋" w:cs="仿宋_GB2312"/>
                <w:color w:val="auto"/>
                <w:kern w:val="0"/>
                <w:sz w:val="24"/>
              </w:rPr>
              <w:t>《杭州市人民政府关于调整市区最低工资标准的通知》（杭政函[2021]69号），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w:t>
            </w:r>
            <w:r>
              <w:rPr>
                <w:rFonts w:hint="eastAsia" w:ascii="华文仿宋" w:hAnsi="华文仿宋" w:eastAsia="华文仿宋" w:cs="仿宋_GB2312"/>
                <w:b/>
                <w:color w:val="auto"/>
                <w:kern w:val="0"/>
                <w:sz w:val="24"/>
              </w:rPr>
              <w:t>投标单位根据道路保洁作业定额，结合作业难易程度，确定投标合理报价。</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宋体"/>
                <w:color w:val="auto"/>
                <w:sz w:val="24"/>
              </w:rPr>
            </w:pPr>
            <w:r>
              <w:rPr>
                <w:rFonts w:hint="eastAsia" w:ascii="华文仿宋" w:hAnsi="华文仿宋" w:eastAsia="华文仿宋" w:cs="宋体"/>
                <w:color w:val="auto"/>
                <w:sz w:val="24"/>
              </w:rPr>
              <w:t>3、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华文仿宋" w:hAnsi="华文仿宋" w:eastAsia="华文仿宋" w:cs="宋体"/>
                <w:color w:val="auto"/>
                <w:sz w:val="24"/>
              </w:rPr>
              <w:t>4、如评标委员会认为供应商的上述报价明显低于其他通过符合性审查供应商的报价，有可能影响产品质量或者不能诚信履约的，应当要求其在合理的时间内提供书面说明，必要时提交相关证明材料。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64"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91" w:type="dxa"/>
            <w:tcBorders>
              <w:top w:val="single" w:color="000000" w:sz="8" w:space="0"/>
              <w:left w:val="single" w:color="000000" w:sz="2" w:space="0"/>
              <w:bottom w:val="single" w:color="000000" w:sz="8" w:space="0"/>
              <w:right w:val="single" w:color="000000" w:sz="8" w:space="0"/>
            </w:tcBorders>
            <w:vAlign w:val="center"/>
          </w:tcPr>
          <w:tbl>
            <w:tblPr>
              <w:tblStyle w:val="64"/>
              <w:tblpPr w:leftFromText="180" w:rightFromText="180" w:vertAnchor="text" w:tblpXSpec="left" w:tblpY="1"/>
              <w:tblOverlap w:val="never"/>
              <w:tblW w:w="6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754"/>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基本工资</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2280元/月，即27360元/年</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杭政函[2021]69号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上浮10%</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228元/月，即2736元/年</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特殊岗位津贴</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300元/月，即3600元/年</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浙政办发〔2009〕190号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夏季高温津贴</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1200元/年</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浙人社发〔2018〕65号300元/月，按4个月计算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住房公积金</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125.4元/月，即1504.8元/年</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ascii="华文仿宋" w:hAnsi="华文仿宋" w:eastAsia="华文仿宋" w:cs="仿宋_GB2312"/>
                      <w:color w:val="auto"/>
                      <w:kern w:val="0"/>
                      <w:sz w:val="24"/>
                    </w:rPr>
                    <w:t>企业职工基本养老保险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r>
                    <w:rPr>
                      <w:rFonts w:ascii="华文仿宋" w:hAnsi="华文仿宋" w:eastAsia="华文仿宋" w:cs="仿宋_GB2312"/>
                      <w:color w:val="auto"/>
                      <w:kern w:val="0"/>
                      <w:sz w:val="24"/>
                    </w:rPr>
                    <w:t>（</w:t>
                  </w:r>
                  <w:r>
                    <w:rPr>
                      <w:rFonts w:hint="eastAsia" w:ascii="华文仿宋" w:hAnsi="华文仿宋" w:eastAsia="华文仿宋" w:cs="仿宋_GB2312"/>
                      <w:color w:val="auto"/>
                      <w:kern w:val="0"/>
                      <w:sz w:val="24"/>
                    </w:rPr>
                    <w:t>单位</w:t>
                  </w:r>
                  <w:r>
                    <w:rPr>
                      <w:rFonts w:ascii="华文仿宋" w:hAnsi="华文仿宋" w:eastAsia="华文仿宋" w:cs="仿宋_GB2312"/>
                      <w:color w:val="auto"/>
                      <w:kern w:val="0"/>
                      <w:sz w:val="24"/>
                    </w:rPr>
                    <w:t>缴纳比例按</w:t>
                  </w:r>
                  <w:r>
                    <w:rPr>
                      <w:rFonts w:hint="eastAsia" w:ascii="华文仿宋" w:hAnsi="华文仿宋" w:eastAsia="华文仿宋" w:cs="仿宋_GB2312"/>
                      <w:color w:val="auto"/>
                      <w:kern w:val="0"/>
                      <w:sz w:val="24"/>
                    </w:rPr>
                    <w:t>14%</w:t>
                  </w:r>
                  <w:r>
                    <w:rPr>
                      <w:rFonts w:ascii="华文仿宋" w:hAnsi="华文仿宋" w:eastAsia="华文仿宋" w:cs="仿宋_GB2312"/>
                      <w:color w:val="auto"/>
                      <w:kern w:val="0"/>
                      <w:sz w:val="24"/>
                    </w:rPr>
                    <w:t>）</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r>
                    <w:rPr>
                      <w:rFonts w:hint="eastAsia" w:ascii="华文仿宋" w:hAnsi="华文仿宋" w:eastAsia="华文仿宋" w:cs="仿宋_GB2312"/>
                      <w:color w:val="auto"/>
                      <w:kern w:val="0"/>
                      <w:sz w:val="24"/>
                    </w:rPr>
                    <w:t>553.98元/月，即6647.76元/年</w:t>
                  </w:r>
                </w:p>
              </w:tc>
              <w:tc>
                <w:tcPr>
                  <w:tcW w:w="3058" w:type="dxa"/>
                  <w:vMerge w:val="restart"/>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r>
                    <w:rPr>
                      <w:rFonts w:ascii="华文仿宋" w:hAnsi="华文仿宋" w:eastAsia="华文仿宋" w:cs="仿宋_GB2312"/>
                      <w:color w:val="auto"/>
                      <w:kern w:val="0"/>
                      <w:sz w:val="24"/>
                    </w:rPr>
                    <w:t>关于启动</w:t>
                  </w:r>
                  <w:r>
                    <w:rPr>
                      <w:rFonts w:hint="eastAsia" w:ascii="华文仿宋" w:hAnsi="华文仿宋" w:eastAsia="华文仿宋" w:cs="仿宋_GB2312"/>
                      <w:color w:val="auto"/>
                      <w:kern w:val="0"/>
                      <w:sz w:val="24"/>
                    </w:rPr>
                    <w:t>2021年度社会保险缴费基数的通知、浙人社发[2021]54号，基数保底值按3957元计算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ascii="华文仿宋" w:hAnsi="华文仿宋" w:eastAsia="华文仿宋" w:cs="仿宋_GB2312"/>
                      <w:color w:val="auto"/>
                      <w:kern w:val="0"/>
                      <w:sz w:val="24"/>
                    </w:rPr>
                    <w:t>失业保险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ascii="华文仿宋" w:hAnsi="华文仿宋" w:eastAsia="华文仿宋" w:cs="仿宋_GB2312"/>
                      <w:color w:val="auto"/>
                      <w:kern w:val="0"/>
                      <w:sz w:val="24"/>
                    </w:rPr>
                    <w:t>（按</w:t>
                  </w:r>
                  <w:r>
                    <w:rPr>
                      <w:rFonts w:hint="eastAsia" w:ascii="华文仿宋" w:hAnsi="华文仿宋" w:eastAsia="华文仿宋" w:cs="仿宋_GB2312"/>
                      <w:color w:val="auto"/>
                      <w:kern w:val="0"/>
                      <w:sz w:val="24"/>
                    </w:rPr>
                    <w:t>0.</w:t>
                  </w:r>
                  <w:r>
                    <w:rPr>
                      <w:rFonts w:hint="eastAsia" w:ascii="华文仿宋" w:hAnsi="华文仿宋" w:eastAsia="华文仿宋" w:cs="仿宋_GB2312"/>
                      <w:color w:val="auto"/>
                      <w:kern w:val="0"/>
                      <w:sz w:val="24"/>
                      <w:lang w:eastAsia="zh-CN"/>
                    </w:rPr>
                    <w:t>1%</w:t>
                  </w:r>
                  <w:r>
                    <w:rPr>
                      <w:rFonts w:hint="eastAsia" w:ascii="华文仿宋" w:hAnsi="华文仿宋" w:eastAsia="华文仿宋" w:cs="仿宋_GB2312"/>
                      <w:color w:val="auto"/>
                      <w:kern w:val="0"/>
                      <w:sz w:val="24"/>
                    </w:rPr>
                    <w:t>计取</w:t>
                  </w:r>
                  <w:r>
                    <w:rPr>
                      <w:rFonts w:ascii="华文仿宋" w:hAnsi="华文仿宋" w:eastAsia="华文仿宋" w:cs="仿宋_GB2312"/>
                      <w:color w:val="auto"/>
                      <w:kern w:val="0"/>
                      <w:sz w:val="24"/>
                    </w:rPr>
                    <w:t>）</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19.79元/月，即237.48元/年</w:t>
                  </w:r>
                </w:p>
              </w:tc>
              <w:tc>
                <w:tcPr>
                  <w:tcW w:w="3058" w:type="dxa"/>
                  <w:vMerge w:val="continue"/>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医疗保险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ascii="华文仿宋" w:hAnsi="华文仿宋" w:eastAsia="华文仿宋" w:cs="仿宋_GB2312"/>
                      <w:color w:val="auto"/>
                      <w:kern w:val="0"/>
                      <w:sz w:val="24"/>
                    </w:rPr>
                    <w:t>（</w:t>
                  </w:r>
                  <w:r>
                    <w:rPr>
                      <w:rFonts w:hint="eastAsia" w:ascii="华文仿宋" w:hAnsi="华文仿宋" w:eastAsia="华文仿宋" w:cs="仿宋_GB2312"/>
                      <w:color w:val="auto"/>
                      <w:kern w:val="0"/>
                      <w:sz w:val="24"/>
                    </w:rPr>
                    <w:t>单位</w:t>
                  </w:r>
                  <w:r>
                    <w:rPr>
                      <w:rFonts w:ascii="华文仿宋" w:hAnsi="华文仿宋" w:eastAsia="华文仿宋" w:cs="仿宋_GB2312"/>
                      <w:color w:val="auto"/>
                      <w:kern w:val="0"/>
                      <w:sz w:val="24"/>
                    </w:rPr>
                    <w:t>缴纳比例按</w:t>
                  </w:r>
                  <w:r>
                    <w:rPr>
                      <w:rFonts w:hint="eastAsia" w:ascii="华文仿宋" w:hAnsi="华文仿宋" w:eastAsia="华文仿宋" w:cs="仿宋_GB2312"/>
                      <w:color w:val="auto"/>
                      <w:kern w:val="0"/>
                      <w:sz w:val="24"/>
                    </w:rPr>
                    <w:t>9.9%</w:t>
                  </w:r>
                  <w:r>
                    <w:rPr>
                      <w:rFonts w:ascii="华文仿宋" w:hAnsi="华文仿宋" w:eastAsia="华文仿宋" w:cs="仿宋_GB2312"/>
                      <w:color w:val="auto"/>
                      <w:kern w:val="0"/>
                      <w:sz w:val="24"/>
                    </w:rPr>
                    <w:t>）</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color w:val="auto"/>
                      <w:kern w:val="0"/>
                      <w:sz w:val="24"/>
                    </w:rPr>
                  </w:pPr>
                  <w:r>
                    <w:rPr>
                      <w:rFonts w:hint="eastAsia" w:ascii="华文仿宋" w:hAnsi="华文仿宋" w:eastAsia="华文仿宋" w:cs="仿宋_GB2312"/>
                      <w:color w:val="auto"/>
                      <w:kern w:val="0"/>
                      <w:sz w:val="24"/>
                    </w:rPr>
                    <w:t>391.74元/月，即4700.88元/年</w:t>
                  </w:r>
                </w:p>
              </w:tc>
              <w:tc>
                <w:tcPr>
                  <w:tcW w:w="3058" w:type="dxa"/>
                  <w:vMerge w:val="continue"/>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13"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r>
                    <w:rPr>
                      <w:rFonts w:hint="eastAsia" w:ascii="华文仿宋" w:hAnsi="华文仿宋" w:eastAsia="华文仿宋" w:cs="宋体"/>
                      <w:b/>
                      <w:color w:val="auto"/>
                      <w:sz w:val="24"/>
                    </w:rPr>
                    <w:t>▲</w:t>
                  </w:r>
                  <w:r>
                    <w:rPr>
                      <w:rFonts w:hint="eastAsia" w:ascii="华文仿宋" w:hAnsi="华文仿宋" w:eastAsia="华文仿宋" w:cs="仿宋_GB2312"/>
                      <w:b/>
                      <w:color w:val="auto"/>
                      <w:kern w:val="0"/>
                      <w:sz w:val="24"/>
                    </w:rPr>
                    <w:t>本次招标最低人员工资</w:t>
                  </w:r>
                </w:p>
              </w:tc>
              <w:tc>
                <w:tcPr>
                  <w:tcW w:w="1754"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r>
                    <w:rPr>
                      <w:rFonts w:hint="eastAsia" w:ascii="华文仿宋" w:hAnsi="华文仿宋" w:eastAsia="华文仿宋" w:cs="仿宋_GB2312"/>
                      <w:b/>
                      <w:color w:val="auto"/>
                      <w:kern w:val="0"/>
                      <w:sz w:val="24"/>
                    </w:rPr>
                    <w:t>47986.92元/年•人</w:t>
                  </w:r>
                </w:p>
              </w:tc>
              <w:tc>
                <w:tcPr>
                  <w:tcW w:w="3058" w:type="dxa"/>
                  <w:vAlign w:val="top"/>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ascii="华文仿宋" w:hAnsi="华文仿宋" w:eastAsia="华文仿宋" w:cs="仿宋_GB2312"/>
                      <w:b/>
                      <w:color w:val="auto"/>
                      <w:kern w:val="0"/>
                      <w:sz w:val="24"/>
                    </w:rPr>
                  </w:pPr>
                </w:p>
              </w:tc>
            </w:tr>
          </w:tbl>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hint="eastAsia" w:ascii="华文仿宋" w:hAnsi="华文仿宋" w:eastAsia="华文仿宋" w:cs="宋体"/>
                <w:color w:val="auto"/>
                <w:sz w:val="24"/>
              </w:rPr>
            </w:pPr>
            <w:r>
              <w:rPr>
                <w:rFonts w:hint="eastAsia" w:ascii="华文仿宋" w:hAnsi="华文仿宋" w:eastAsia="华文仿宋" w:cs="仿宋_GB2312"/>
                <w:kern w:val="0"/>
                <w:sz w:val="24"/>
                <w:lang w:val="en-US" w:eastAsia="zh-CN"/>
              </w:rPr>
              <w:t>5</w:t>
            </w:r>
            <w:r>
              <w:rPr>
                <w:rFonts w:hint="eastAsia" w:ascii="华文仿宋" w:hAnsi="华文仿宋" w:eastAsia="华文仿宋" w:cs="宋体"/>
                <w:color w:val="auto"/>
                <w:sz w:val="24"/>
                <w:lang w:val="en-US" w:eastAsia="zh-CN"/>
              </w:rPr>
              <w:t>、</w:t>
            </w:r>
            <w:r>
              <w:rPr>
                <w:rFonts w:hint="eastAsia" w:ascii="华文仿宋" w:hAnsi="华文仿宋" w:eastAsia="华文仿宋" w:cs="宋体"/>
                <w:color w:val="auto"/>
                <w:sz w:val="24"/>
              </w:rPr>
              <w:t>根据中华人民共和国招标投标法第三十三条规定“投标人不得以低于成本的报价竞标”。</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华文仿宋" w:hAnsi="华文仿宋" w:eastAsia="华文仿宋" w:cs="宋体"/>
                <w:color w:val="auto"/>
                <w:sz w:val="24"/>
                <w:lang w:val="en-US" w:eastAsia="zh-CN"/>
              </w:rPr>
              <w:t>6</w:t>
            </w:r>
            <w:r>
              <w:rPr>
                <w:rFonts w:hint="eastAsia" w:ascii="华文仿宋" w:hAnsi="华文仿宋" w:eastAsia="华文仿宋" w:cs="宋体"/>
                <w:color w:val="auto"/>
                <w:sz w:val="24"/>
              </w:rPr>
              <w:t>、根据中华人民共和国财政部令第87号中的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10" w:hRule="atLeast"/>
        </w:trPr>
        <w:tc>
          <w:tcPr>
            <w:tcW w:w="669" w:type="dxa"/>
            <w:vMerge w:val="restart"/>
            <w:tcBorders>
              <w:top w:val="single" w:color="auto" w:sz="4" w:space="0"/>
              <w:left w:val="single" w:color="auto" w:sz="4" w:space="0"/>
              <w:right w:val="single" w:color="auto" w:sz="4"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62" w:type="dxa"/>
            <w:vMerge w:val="restart"/>
            <w:tcBorders>
              <w:top w:val="single" w:color="000000" w:sz="8" w:space="0"/>
              <w:left w:val="single" w:color="auto" w:sz="4"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91" w:type="dxa"/>
            <w:tcBorders>
              <w:top w:val="single" w:color="000000" w:sz="8" w:space="0"/>
              <w:left w:val="single" w:color="000000" w:sz="2" w:space="0"/>
              <w:bottom w:val="single" w:color="auto" w:sz="4"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widowControl w:val="0"/>
              <w:wordWrap/>
              <w:adjustRightInd w:val="0"/>
              <w:spacing w:line="4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0" w:hRule="atLeast"/>
        </w:trPr>
        <w:tc>
          <w:tcPr>
            <w:tcW w:w="669" w:type="dxa"/>
            <w:vMerge w:val="continue"/>
            <w:tcBorders>
              <w:left w:val="single" w:color="auto" w:sz="4" w:space="0"/>
              <w:bottom w:val="single" w:color="auto" w:sz="4" w:space="0"/>
              <w:right w:val="single" w:color="auto" w:sz="4"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tc>
        <w:tc>
          <w:tcPr>
            <w:tcW w:w="1962" w:type="dxa"/>
            <w:vMerge w:val="continue"/>
            <w:tcBorders>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p>
        </w:tc>
        <w:tc>
          <w:tcPr>
            <w:tcW w:w="6491" w:type="dxa"/>
            <w:tcBorders>
              <w:top w:val="single" w:color="auto" w:sz="4"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45"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widowControl w:val="0"/>
              <w:wordWrap/>
              <w:adjustRightInd w:val="0"/>
              <w:spacing w:line="400" w:lineRule="exact"/>
              <w:textAlignment w:val="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970"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62"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MS Gothic" w:hAnsi="Wingdings" w:eastAsia="MS Gothic"/>
                <w:color w:val="auto"/>
                <w:kern w:val="0"/>
                <w:sz w:val="24"/>
                <w:szCs w:val="24"/>
                <w:highlight w:val="none"/>
              </w:rPr>
              <w:sym w:font="Wingdings" w:char="00FE"/>
            </w:r>
            <w:r>
              <w:rPr>
                <w:rFonts w:ascii="仿宋_GB2312" w:hAnsi="仿宋" w:eastAsia="仿宋_GB2312" w:cs="仿宋_GB2312"/>
                <w:color w:val="auto"/>
                <w:kern w:val="0"/>
                <w:sz w:val="24"/>
                <w:szCs w:val="24"/>
                <w:highlight w:val="none"/>
              </w:rPr>
              <w:t>A</w:t>
            </w:r>
            <w:r>
              <w:rPr>
                <w:rFonts w:hint="eastAsia" w:ascii="仿宋_GB2312" w:hAnsi="仿宋" w:eastAsia="仿宋_GB2312" w:cs="仿宋_GB2312"/>
                <w:color w:val="auto"/>
                <w:sz w:val="24"/>
                <w:szCs w:val="24"/>
                <w:highlight w:val="none"/>
              </w:rPr>
              <w:t>不要求提供。</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B要求提供，</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widowControl w:val="0"/>
              <w:wordWrap/>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Wingdings" w:hAnsi="Wingdings" w:eastAsia="仿宋_GB2312"/>
                <w:color w:val="auto"/>
                <w:kern w:val="0"/>
                <w:sz w:val="24"/>
                <w:szCs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widowControl w:val="0"/>
              <w:wordWrap/>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widowControl w:val="0"/>
              <w:wordWrap/>
              <w:adjustRightInd w:val="0"/>
              <w:snapToGrid w:val="0"/>
              <w:spacing w:line="40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widowControl w:val="0"/>
              <w:wordWrap/>
              <w:adjustRightInd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8"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widowControl w:val="0"/>
              <w:wordWrap/>
              <w:adjustRightInd w:val="0"/>
              <w:spacing w:line="400" w:lineRule="exact"/>
              <w:textAlignment w:val="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保洁服务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b w:val="0"/>
                <w:bCs/>
                <w:color w:val="auto"/>
                <w:sz w:val="24"/>
                <w:szCs w:val="24"/>
                <w:highlight w:val="none"/>
                <w:u w:val="single"/>
              </w:rPr>
              <w:t>其他未列明行业</w:t>
            </w:r>
            <w:r>
              <w:rPr>
                <w:rFonts w:hint="eastAsia" w:ascii="仿宋" w:hAnsi="仿宋" w:eastAsia="仿宋" w:cs="仿宋"/>
                <w:b w:val="0"/>
                <w:bCs/>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44" w:hRule="atLeast"/>
        </w:trPr>
        <w:tc>
          <w:tcPr>
            <w:tcW w:w="669" w:type="dxa"/>
            <w:vMerge w:val="restart"/>
            <w:tcBorders>
              <w:top w:val="single" w:color="auto" w:sz="4" w:space="0"/>
              <w:left w:val="single" w:color="000000" w:sz="8"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62" w:type="dxa"/>
            <w:vMerge w:val="restart"/>
            <w:tcBorders>
              <w:top w:val="single" w:color="000000" w:sz="8" w:space="0"/>
              <w:left w:val="single" w:color="000000" w:sz="2"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44" w:hRule="atLeast"/>
        </w:trPr>
        <w:tc>
          <w:tcPr>
            <w:tcW w:w="669" w:type="dxa"/>
            <w:vMerge w:val="continue"/>
            <w:tcBorders>
              <w:left w:val="single" w:color="000000" w:sz="8" w:space="0"/>
              <w:right w:val="single" w:color="000000" w:sz="2" w:space="0"/>
            </w:tcBorders>
            <w:vAlign w:val="center"/>
          </w:tcPr>
          <w:p>
            <w:pPr>
              <w:widowControl w:val="0"/>
              <w:wordWrap/>
              <w:adjustRightInd w:val="0"/>
              <w:spacing w:line="400" w:lineRule="exact"/>
              <w:ind w:firstLine="420" w:firstLineChars="200"/>
              <w:jc w:val="center"/>
              <w:textAlignment w:val="auto"/>
              <w:rPr>
                <w:rFonts w:hint="eastAsia" w:ascii="仿宋" w:hAnsi="仿宋" w:eastAsia="仿宋" w:cs="仿宋"/>
                <w:color w:val="auto"/>
                <w:highlight w:val="none"/>
              </w:rPr>
            </w:pPr>
          </w:p>
        </w:tc>
        <w:tc>
          <w:tcPr>
            <w:tcW w:w="1962" w:type="dxa"/>
            <w:vMerge w:val="continue"/>
            <w:tcBorders>
              <w:left w:val="single" w:color="000000" w:sz="2" w:space="0"/>
              <w:right w:val="single" w:color="000000" w:sz="8" w:space="0"/>
            </w:tcBorders>
            <w:vAlign w:val="center"/>
          </w:tcPr>
          <w:p>
            <w:pPr>
              <w:widowControl w:val="0"/>
              <w:wordWrap/>
              <w:adjustRightInd w:val="0"/>
              <w:spacing w:line="400" w:lineRule="exact"/>
              <w:ind w:firstLine="420" w:firstLineChars="200"/>
              <w:textAlignment w:val="auto"/>
              <w:rPr>
                <w:rFonts w:hint="eastAsia" w:ascii="仿宋" w:hAnsi="仿宋" w:eastAsia="仿宋" w:cs="仿宋"/>
                <w:color w:val="auto"/>
                <w:highlight w:val="none"/>
              </w:rPr>
            </w:pP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4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87" w:hRule="atLeast"/>
        </w:trPr>
        <w:tc>
          <w:tcPr>
            <w:tcW w:w="66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62"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491" w:type="dxa"/>
            <w:tcBorders>
              <w:top w:val="single" w:color="000000" w:sz="8" w:space="0"/>
              <w:left w:val="single" w:color="000000" w:sz="2" w:space="0"/>
              <w:bottom w:val="single" w:color="000000" w:sz="8" w:space="0"/>
              <w:right w:val="single" w:color="000000" w:sz="8" w:space="0"/>
            </w:tcBorders>
            <w:vAlign w:val="center"/>
          </w:tcPr>
          <w:p>
            <w:pPr>
              <w:pStyle w:val="32"/>
              <w:widowControl w:val="0"/>
              <w:wordWrap/>
              <w:adjustRightInd w:val="0"/>
              <w:spacing w:line="40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p>
          <w:p>
            <w:pPr>
              <w:pStyle w:val="32"/>
              <w:widowControl w:val="0"/>
              <w:wordWrap/>
              <w:adjustRightInd w:val="0"/>
              <w:spacing w:line="400" w:lineRule="exact"/>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kern w:val="28"/>
                <w:sz w:val="24"/>
                <w:szCs w:val="24"/>
                <w:highlight w:val="none"/>
                <w:lang w:eastAsia="zh-CN"/>
              </w:rPr>
              <w:t>：</w:t>
            </w:r>
          </w:p>
          <w:p>
            <w:pPr>
              <w:pStyle w:val="32"/>
              <w:widowControl w:val="0"/>
              <w:wordWrap/>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vMerge w:val="restart"/>
            <w:tcBorders>
              <w:top w:val="single" w:color="auto" w:sz="4" w:space="0"/>
              <w:left w:val="single" w:color="000000" w:sz="8" w:space="0"/>
              <w:right w:val="single" w:color="000000" w:sz="2" w:space="0"/>
            </w:tcBorders>
            <w:vAlign w:val="center"/>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62" w:type="dxa"/>
            <w:vMerge w:val="restart"/>
            <w:tcBorders>
              <w:top w:val="single" w:color="000000" w:sz="8" w:space="0"/>
              <w:left w:val="single" w:color="000000" w:sz="2"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bCs/>
                <w:color w:val="auto"/>
                <w:highlight w:val="none"/>
              </w:rPr>
              <w:t>招标服务费：</w:t>
            </w:r>
            <w:r>
              <w:rPr>
                <w:rFonts w:hint="eastAsia" w:ascii="仿宋" w:hAnsi="仿宋" w:eastAsia="仿宋" w:cs="仿宋"/>
                <w:color w:val="auto"/>
                <w:sz w:val="24"/>
                <w:highlight w:val="none"/>
              </w:rPr>
              <w:t>本次招标代理服务费由中标人支付，招标代理服务费按照国家计委印发的《招标代理服务收费管理暂行办法》计价格[2002]1980号、发改办价格[2003]857号规定收费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招标代理服务费由中标人在领取中标通知书前支付给招标代理机构，各投标人应在投标报价中予以考虑。</w:t>
            </w:r>
          </w:p>
          <w:p>
            <w:pPr>
              <w:widowControl w:val="0"/>
              <w:wordWrap/>
              <w:adjustRightInd w:val="0"/>
              <w:snapToGrid/>
              <w:spacing w:line="400" w:lineRule="exact"/>
              <w:textAlignment w:val="auto"/>
              <w:rPr>
                <w:rFonts w:hint="eastAsia" w:ascii="仿宋" w:hAnsi="仿宋" w:eastAsia="仿宋" w:cs="仿宋"/>
                <w:snapToGrid w:val="0"/>
                <w:color w:val="auto"/>
                <w:kern w:val="28"/>
                <w:sz w:val="24"/>
                <w:highlight w:val="none"/>
              </w:rPr>
            </w:pPr>
            <w:r>
              <w:rPr>
                <w:rFonts w:hint="eastAsia" w:ascii="宋体" w:hAnsi="宋体" w:cs="宋体"/>
                <w:b/>
                <w:bCs/>
                <w:color w:val="auto"/>
                <w:highlight w:val="none"/>
              </w:rPr>
              <w:t>中标服务费的交纳方式：以转帐或支票的形式支付</w:t>
            </w:r>
            <w:r>
              <w:rPr>
                <w:rFonts w:hint="eastAsia" w:ascii="宋体" w:hAnsi="宋体" w:cs="宋体"/>
                <w:b/>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69" w:type="dxa"/>
            <w:vMerge w:val="continue"/>
            <w:tcBorders>
              <w:left w:val="single" w:color="000000" w:sz="8" w:space="0"/>
              <w:right w:val="single" w:color="000000" w:sz="2" w:space="0"/>
            </w:tcBorders>
            <w:vAlign w:val="top"/>
          </w:tcPr>
          <w:p>
            <w:pPr>
              <w:widowControl w:val="0"/>
              <w:wordWrap/>
              <w:adjustRightInd w:val="0"/>
              <w:snapToGrid w:val="0"/>
              <w:spacing w:line="400" w:lineRule="exact"/>
              <w:jc w:val="center"/>
              <w:textAlignment w:val="auto"/>
              <w:rPr>
                <w:rFonts w:hint="eastAsia" w:ascii="仿宋" w:hAnsi="仿宋" w:eastAsia="仿宋" w:cs="仿宋"/>
                <w:color w:val="auto"/>
                <w:sz w:val="24"/>
                <w:highlight w:val="none"/>
              </w:rPr>
            </w:pPr>
          </w:p>
        </w:tc>
        <w:tc>
          <w:tcPr>
            <w:tcW w:w="1962" w:type="dxa"/>
            <w:vMerge w:val="continue"/>
            <w:tcBorders>
              <w:left w:val="single" w:color="000000" w:sz="2" w:space="0"/>
              <w:right w:val="single" w:color="000000" w:sz="8" w:space="0"/>
            </w:tcBorders>
            <w:vAlign w:val="center"/>
          </w:tcPr>
          <w:p>
            <w:pPr>
              <w:widowControl w:val="0"/>
              <w:wordWrap/>
              <w:adjustRightInd w:val="0"/>
              <w:snapToGrid w:val="0"/>
              <w:spacing w:line="400" w:lineRule="exact"/>
              <w:jc w:val="center"/>
              <w:textAlignment w:val="auto"/>
              <w:rPr>
                <w:rFonts w:hint="eastAsia" w:ascii="仿宋" w:hAnsi="仿宋" w:eastAsia="仿宋" w:cs="仿宋"/>
                <w:b/>
                <w:color w:val="auto"/>
                <w:sz w:val="24"/>
                <w:highlight w:val="none"/>
              </w:rPr>
            </w:pPr>
          </w:p>
        </w:tc>
        <w:tc>
          <w:tcPr>
            <w:tcW w:w="6491"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中标单位需在领取中标通知书时，提供本项目纸质投标文件（资格文件”、“报价文件”和“商务技术文件”）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份（正本一份，副本</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份）并提供电子投标文件与纸质投标文件内容一致承诺书</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份（格式详见采购文件）。</w:t>
            </w:r>
          </w:p>
        </w:tc>
      </w:tr>
    </w:tbl>
    <w:p>
      <w:pPr>
        <w:snapToGrid w:val="0"/>
        <w:spacing w:line="360" w:lineRule="auto"/>
        <w:jc w:val="center"/>
        <w:outlineLvl w:val="9"/>
        <w:rPr>
          <w:rFonts w:ascii="仿宋" w:hAnsi="仿宋" w:eastAsia="仿宋" w:cs="仿宋_GB2312"/>
          <w:b/>
          <w:color w:val="auto"/>
          <w:sz w:val="32"/>
          <w:szCs w:val="20"/>
          <w:highlight w:val="none"/>
        </w:rPr>
      </w:pPr>
    </w:p>
    <w:p>
      <w:pPr>
        <w:tabs>
          <w:tab w:val="left" w:pos="432"/>
        </w:tabs>
        <w:outlineLvl w:val="9"/>
        <w:rPr>
          <w:rFonts w:ascii="仿宋" w:hAnsi="仿宋" w:eastAsia="仿宋" w:cs="仿宋_GB2312"/>
          <w:b/>
          <w:color w:val="auto"/>
          <w:sz w:val="32"/>
          <w:szCs w:val="20"/>
          <w:highlight w:val="none"/>
        </w:rPr>
      </w:pPr>
    </w:p>
    <w:p>
      <w:pPr>
        <w:outlineLvl w:val="9"/>
        <w:rPr>
          <w:rFonts w:ascii="仿宋" w:hAnsi="仿宋" w:eastAsia="仿宋" w:cs="仿宋_GB2312"/>
          <w:b/>
          <w:color w:val="auto"/>
          <w:sz w:val="32"/>
          <w:szCs w:val="20"/>
          <w:highlight w:val="none"/>
        </w:rPr>
      </w:pPr>
    </w:p>
    <w:p>
      <w:pPr>
        <w:tabs>
          <w:tab w:val="left" w:pos="432"/>
        </w:tabs>
        <w:outlineLvl w:val="9"/>
        <w:rPr>
          <w:color w:val="auto"/>
        </w:rPr>
      </w:pPr>
    </w:p>
    <w:bookmarkEnd w:id="10"/>
    <w:p>
      <w:pPr>
        <w:adjustRightInd/>
        <w:spacing w:line="360" w:lineRule="auto"/>
        <w:ind w:firstLine="3845" w:firstLineChars="1197"/>
        <w:outlineLvl w:val="9"/>
        <w:rPr>
          <w:rFonts w:hint="eastAsia" w:ascii="仿宋_GB2312" w:hAnsi="仿宋" w:eastAsia="仿宋_GB2312" w:cs="仿宋_GB2312"/>
          <w:b/>
          <w:color w:val="auto"/>
          <w:sz w:val="32"/>
          <w:szCs w:val="20"/>
          <w:highlight w:val="none"/>
        </w:rPr>
      </w:pPr>
      <w:bookmarkStart w:id="11" w:name="_Toc164416483"/>
      <w:bookmarkStart w:id="12" w:name="第三部分"/>
    </w:p>
    <w:p>
      <w:pPr>
        <w:pStyle w:val="82"/>
        <w:rPr>
          <w:rFonts w:hint="eastAsia" w:ascii="仿宋_GB2312" w:hAnsi="仿宋" w:eastAsia="仿宋_GB2312" w:cs="仿宋_GB2312"/>
          <w:b/>
          <w:color w:val="auto"/>
          <w:sz w:val="32"/>
          <w:szCs w:val="20"/>
          <w:highlight w:val="none"/>
        </w:rPr>
      </w:pPr>
    </w:p>
    <w:p>
      <w:pPr>
        <w:pStyle w:val="82"/>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9"/>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1"/>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2"/>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90"/>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1"/>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90"/>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2"/>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hint="eastAsia" w:ascii="仿宋_GB2312" w:hAnsi="仿宋" w:eastAsia="仿宋"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11.3.2</w:t>
      </w:r>
      <w:r>
        <w:rPr>
          <w:rFonts w:ascii="仿宋_GB2312" w:hAnsi="仿宋" w:eastAsia="仿宋_GB2312" w:cs="仿宋_GB2312"/>
          <w:color w:val="auto"/>
          <w:sz w:val="24"/>
          <w:highlight w:val="none"/>
        </w:rPr>
        <w:t>中小企业声明函</w:t>
      </w:r>
      <w:r>
        <w:rPr>
          <w:rFonts w:hint="eastAsia" w:ascii="仿宋" w:hAnsi="仿宋" w:eastAsia="仿宋" w:cs="仿宋"/>
          <w:color w:val="auto"/>
          <w:kern w:val="0"/>
          <w:sz w:val="24"/>
          <w:highlight w:val="none"/>
          <w:lang w:eastAsia="zh-CN"/>
        </w:rPr>
        <w:t>；</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90"/>
        <w:snapToGrid w:val="0"/>
        <w:spacing w:before="0"/>
        <w:ind w:firstLine="0" w:firstLineChars="0"/>
        <w:outlineLvl w:val="9"/>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90"/>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9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2"/>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4"/>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9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9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0"/>
        <w:spacing w:before="0"/>
        <w:ind w:firstLine="643"/>
        <w:rPr>
          <w:rFonts w:ascii="仿宋_GB2312" w:hAnsi="仿宋" w:eastAsia="仿宋_GB2312" w:cs="仿宋_GB2312"/>
          <w:b/>
          <w:color w:val="auto"/>
          <w:sz w:val="32"/>
          <w:highlight w:val="none"/>
        </w:rPr>
      </w:pPr>
    </w:p>
    <w:p>
      <w:pPr>
        <w:pStyle w:val="90"/>
        <w:spacing w:before="0"/>
        <w:ind w:firstLine="1928" w:firstLineChars="600"/>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244"/>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24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90"/>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9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90"/>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90"/>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90"/>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90"/>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90"/>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highlight w:val="none"/>
          <w:lang w:val="en-US" w:eastAsia="zh-CN"/>
        </w:rPr>
        <w:t>1</w:t>
      </w:r>
      <w:r>
        <w:rPr>
          <w:rFonts w:hint="eastAsia" w:ascii="仿宋_GB2312" w:hAnsi="仿宋" w:eastAsia="仿宋_GB2312" w:cs="仿宋_GB2312"/>
          <w:color w:val="auto"/>
          <w:sz w:val="24"/>
          <w:szCs w:val="20"/>
          <w:highlight w:val="none"/>
        </w:rPr>
        <w:t>%；评价总分在90分以下或者暂无评分的，收取履约保证金不得高于合同金额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1</w:t>
      </w:r>
      <w:r>
        <w:rPr>
          <w:rFonts w:hint="eastAsia" w:ascii="仿宋_GB2312" w:hAnsi="仿宋" w:eastAsia="仿宋_GB2312" w:cs="仿宋_GB2312"/>
          <w:color w:val="auto"/>
          <w:sz w:val="24"/>
          <w:szCs w:val="20"/>
          <w:highlight w:val="none"/>
        </w:rPr>
        <w:t>%。</w:t>
      </w:r>
    </w:p>
    <w:p>
      <w:pPr>
        <w:tabs>
          <w:tab w:val="left" w:pos="0"/>
        </w:tabs>
        <w:spacing w:line="360" w:lineRule="auto"/>
        <w:ind w:firstLine="482"/>
        <w:rPr>
          <w:rFonts w:hint="eastAsia" w:ascii="仿宋_GB2312" w:hAnsi="仿宋" w:eastAsia="仿宋_GB2312" w:cs="仿宋_GB2312"/>
          <w:color w:val="auto"/>
          <w:sz w:val="24"/>
          <w:szCs w:val="20"/>
          <w:highlight w:val="none"/>
          <w:lang w:val="en-US"/>
        </w:rPr>
      </w:pPr>
      <w:r>
        <w:rPr>
          <w:rFonts w:hint="eastAsia" w:ascii="仿宋_GB2312" w:hAnsi="仿宋" w:eastAsia="仿宋_GB2312" w:cs="仿宋_GB2312"/>
          <w:color w:val="auto"/>
          <w:sz w:val="24"/>
          <w:szCs w:val="20"/>
          <w:highlight w:val="none"/>
        </w:rPr>
        <w:t>供应商</w:t>
      </w:r>
      <w:r>
        <w:rPr>
          <w:rFonts w:hint="eastAsia" w:ascii="仿宋_GB2312" w:hAnsi="仿宋" w:eastAsia="仿宋_GB2312" w:cs="仿宋_GB2312"/>
          <w:color w:val="auto"/>
          <w:sz w:val="24"/>
          <w:szCs w:val="20"/>
          <w:highlight w:val="none"/>
          <w:lang w:val="en-US"/>
        </w:rPr>
        <w:t>可</w:t>
      </w:r>
      <w:r>
        <w:rPr>
          <w:rFonts w:hint="eastAsia" w:ascii="仿宋_GB2312" w:hAnsi="仿宋" w:eastAsia="仿宋_GB2312" w:cs="仿宋_GB2312"/>
          <w:color w:val="auto"/>
          <w:sz w:val="24"/>
          <w:szCs w:val="20"/>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outlineLvl w:val="1"/>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9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90"/>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90"/>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4"/>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68403820"/>
      <w:bookmarkEnd w:id="14"/>
      <w:bookmarkStart w:id="15" w:name="_Hlt75236101"/>
      <w:bookmarkEnd w:id="15"/>
      <w:bookmarkStart w:id="16" w:name="_Hlt74707468"/>
      <w:bookmarkEnd w:id="16"/>
      <w:bookmarkStart w:id="17" w:name="_Hlt68073093"/>
      <w:bookmarkEnd w:id="17"/>
      <w:bookmarkStart w:id="18" w:name="_Hlt74714665"/>
      <w:bookmarkEnd w:id="18"/>
      <w:bookmarkStart w:id="19" w:name="_Hlt68072990"/>
      <w:bookmarkEnd w:id="19"/>
      <w:bookmarkStart w:id="20" w:name="_Hlt75236290"/>
      <w:bookmarkEnd w:id="20"/>
      <w:bookmarkStart w:id="21" w:name="_Hlt75236011"/>
      <w:bookmarkEnd w:id="21"/>
      <w:bookmarkStart w:id="22" w:name="_Hlt68057669"/>
      <w:bookmarkEnd w:id="22"/>
      <w:bookmarkStart w:id="23" w:name="_Hlt74730295"/>
      <w:bookmarkEnd w:id="23"/>
      <w:bookmarkStart w:id="24" w:name="_Hlt74729768"/>
      <w:bookmarkEnd w:id="24"/>
      <w:bookmarkStart w:id="25" w:name="_Hlt68072998"/>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pacing w:line="600" w:lineRule="exact"/>
        <w:rPr>
          <w:rFonts w:hint="eastAsia" w:ascii="仿宋" w:hAnsi="仿宋" w:eastAsia="仿宋" w:cs="仿宋"/>
          <w:b/>
          <w:sz w:val="24"/>
          <w:szCs w:val="24"/>
        </w:rPr>
      </w:pPr>
      <w:r>
        <w:rPr>
          <w:rFonts w:hint="eastAsia" w:ascii="仿宋" w:hAnsi="仿宋" w:eastAsia="仿宋" w:cs="仿宋"/>
          <w:b/>
          <w:color w:val="000000"/>
          <w:sz w:val="24"/>
          <w:szCs w:val="24"/>
          <w:lang w:bidi="ar"/>
        </w:rPr>
        <w:t>一、</w:t>
      </w:r>
      <w:r>
        <w:rPr>
          <w:rFonts w:hint="eastAsia" w:ascii="仿宋" w:hAnsi="仿宋" w:eastAsia="仿宋" w:cs="仿宋"/>
          <w:b/>
          <w:sz w:val="24"/>
          <w:szCs w:val="24"/>
        </w:rPr>
        <w:t>采购项目概述：</w:t>
      </w:r>
    </w:p>
    <w:p>
      <w:pPr>
        <w:adjustRightInd w:val="0"/>
        <w:snapToGrid w:val="0"/>
        <w:spacing w:line="600" w:lineRule="exact"/>
        <w:ind w:firstLine="472" w:firstLineChars="197"/>
        <w:rPr>
          <w:rFonts w:hint="eastAsia" w:ascii="仿宋" w:hAnsi="仿宋" w:eastAsia="仿宋" w:cs="仿宋"/>
          <w:bCs/>
          <w:color w:val="000000"/>
          <w:sz w:val="24"/>
          <w:szCs w:val="24"/>
        </w:rPr>
      </w:pPr>
      <w:r>
        <w:rPr>
          <w:rFonts w:hint="eastAsia" w:ascii="仿宋" w:hAnsi="仿宋" w:eastAsia="仿宋" w:cs="仿宋"/>
          <w:bCs/>
          <w:color w:val="000000"/>
          <w:sz w:val="24"/>
          <w:szCs w:val="24"/>
        </w:rPr>
        <w:t>本项目为乔司街道综合养护，采购内容主要包括道路保洁、绿化养护、公厕保洁、商户垃圾运输（</w:t>
      </w:r>
      <w:r>
        <w:rPr>
          <w:rFonts w:hint="eastAsia" w:ascii="仿宋" w:hAnsi="仿宋" w:eastAsia="仿宋" w:cs="仿宋"/>
          <w:bCs/>
          <w:color w:val="000000"/>
          <w:sz w:val="24"/>
          <w:szCs w:val="24"/>
          <w:highlight w:val="none"/>
        </w:rPr>
        <w:t>音乐线，含生鲜专运）、牛皮癣清理、</w:t>
      </w:r>
      <w:r>
        <w:rPr>
          <w:rFonts w:hint="eastAsia" w:ascii="仿宋" w:hAnsi="仿宋" w:eastAsia="仿宋" w:cs="仿宋"/>
          <w:bCs/>
          <w:color w:val="000000"/>
          <w:sz w:val="24"/>
          <w:szCs w:val="24"/>
          <w:highlight w:val="none"/>
          <w:lang w:val="en-US" w:eastAsia="zh-CN"/>
        </w:rPr>
        <w:t>疫苗接种点卫生、厕所保洁及垃圾清运</w:t>
      </w:r>
      <w:r>
        <w:rPr>
          <w:rFonts w:hint="eastAsia" w:ascii="仿宋" w:hAnsi="仿宋" w:eastAsia="仿宋" w:cs="仿宋"/>
          <w:color w:val="000000"/>
          <w:sz w:val="24"/>
          <w:szCs w:val="24"/>
          <w:highlight w:val="none"/>
        </w:rPr>
        <w:t>等其他养护</w:t>
      </w:r>
      <w:r>
        <w:rPr>
          <w:rFonts w:hint="eastAsia" w:ascii="仿宋" w:hAnsi="仿宋" w:eastAsia="仿宋" w:cs="仿宋"/>
          <w:color w:val="000000"/>
          <w:kern w:val="0"/>
          <w:sz w:val="24"/>
          <w:szCs w:val="24"/>
        </w:rPr>
        <w:t>工作</w:t>
      </w:r>
      <w:r>
        <w:rPr>
          <w:rFonts w:hint="eastAsia" w:ascii="仿宋" w:hAnsi="仿宋" w:eastAsia="仿宋" w:cs="仿宋"/>
          <w:bCs/>
          <w:color w:val="000000"/>
          <w:sz w:val="24"/>
          <w:szCs w:val="24"/>
        </w:rPr>
        <w:t>。</w:t>
      </w:r>
    </w:p>
    <w:p>
      <w:pPr>
        <w:numPr>
          <w:ilvl w:val="0"/>
          <w:numId w:val="1"/>
        </w:numPr>
        <w:spacing w:line="600" w:lineRule="exact"/>
        <w:rPr>
          <w:rFonts w:hint="eastAsia" w:ascii="仿宋" w:hAnsi="仿宋" w:eastAsia="仿宋" w:cs="仿宋"/>
          <w:b/>
          <w:bCs/>
          <w:sz w:val="24"/>
          <w:szCs w:val="24"/>
        </w:rPr>
      </w:pPr>
      <w:r>
        <w:rPr>
          <w:rFonts w:hint="eastAsia" w:ascii="仿宋" w:hAnsi="仿宋" w:eastAsia="仿宋" w:cs="仿宋"/>
          <w:b/>
          <w:bCs/>
          <w:sz w:val="24"/>
          <w:szCs w:val="24"/>
        </w:rPr>
        <w:t>采购清单：</w:t>
      </w:r>
    </w:p>
    <w:p>
      <w:pPr>
        <w:spacing w:before="120" w:after="120"/>
        <w:rPr>
          <w:rFonts w:hint="eastAsia" w:ascii="仿宋" w:hAnsi="仿宋" w:eastAsia="仿宋" w:cs="仿宋"/>
          <w:b/>
          <w:bCs/>
          <w:sz w:val="24"/>
          <w:szCs w:val="24"/>
        </w:rPr>
      </w:pPr>
      <w:r>
        <w:rPr>
          <w:rFonts w:hint="eastAsia" w:ascii="仿宋" w:hAnsi="仿宋" w:eastAsia="仿宋" w:cs="仿宋"/>
          <w:b/>
          <w:bCs/>
          <w:sz w:val="24"/>
          <w:szCs w:val="24"/>
        </w:rPr>
        <w:t>①乔司街道集镇保洁面积表：</w:t>
      </w:r>
    </w:p>
    <w:tbl>
      <w:tblPr>
        <w:tblStyle w:val="64"/>
        <w:tblpPr w:leftFromText="180" w:rightFromText="180" w:vertAnchor="text" w:tblpY="1"/>
        <w:tblOverlap w:val="never"/>
        <w:tblW w:w="0" w:type="auto"/>
        <w:tblInd w:w="0" w:type="dxa"/>
        <w:tblLayout w:type="fixed"/>
        <w:tblCellMar>
          <w:top w:w="15" w:type="dxa"/>
          <w:left w:w="15" w:type="dxa"/>
          <w:bottom w:w="15" w:type="dxa"/>
          <w:right w:w="15" w:type="dxa"/>
        </w:tblCellMar>
      </w:tblPr>
      <w:tblGrid>
        <w:gridCol w:w="988"/>
        <w:gridCol w:w="999"/>
        <w:gridCol w:w="2550"/>
        <w:gridCol w:w="1200"/>
        <w:gridCol w:w="1313"/>
        <w:gridCol w:w="1363"/>
      </w:tblGrid>
      <w:tr>
        <w:tblPrEx>
          <w:tblCellMar>
            <w:top w:w="15" w:type="dxa"/>
            <w:left w:w="15" w:type="dxa"/>
            <w:bottom w:w="15" w:type="dxa"/>
            <w:right w:w="15" w:type="dxa"/>
          </w:tblCellMar>
        </w:tblPrEx>
        <w:trPr>
          <w:trHeight w:val="285" w:hRule="atLeast"/>
        </w:trPr>
        <w:tc>
          <w:tcPr>
            <w:tcW w:w="988"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区域</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编号</w:t>
            </w:r>
          </w:p>
        </w:tc>
        <w:tc>
          <w:tcPr>
            <w:tcW w:w="255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120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一类道路</w:t>
            </w:r>
          </w:p>
        </w:tc>
        <w:tc>
          <w:tcPr>
            <w:tcW w:w="1313"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二类道路</w:t>
            </w:r>
          </w:p>
        </w:tc>
        <w:tc>
          <w:tcPr>
            <w:tcW w:w="1363"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其他道路</w:t>
            </w:r>
          </w:p>
        </w:tc>
      </w:tr>
      <w:tr>
        <w:tblPrEx>
          <w:tblCellMar>
            <w:top w:w="15" w:type="dxa"/>
            <w:left w:w="15" w:type="dxa"/>
            <w:bottom w:w="15" w:type="dxa"/>
            <w:right w:w="15" w:type="dxa"/>
          </w:tblCellMar>
        </w:tblPrEx>
        <w:trPr>
          <w:trHeight w:val="285" w:hRule="atLeast"/>
        </w:trPr>
        <w:tc>
          <w:tcPr>
            <w:tcW w:w="98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东区</w:t>
            </w: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永玄路1</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13689.5</w:t>
            </w: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8154</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2728.8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755.7</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869.8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永玄路南健身点</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803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丰惠嘉园东</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696.1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城隍中路1</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6703.4</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城隍中路东1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1766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11836.8</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2429.8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1257.2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城隍中路2</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5138.6</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城隍中路西1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1296.3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城隍中路东2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1346.3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6307.4</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4370.2</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宝庆街3</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4808.6</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1350.1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1275.9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宝庆街北3</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1171.5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803.5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2109.1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宝庆街南3</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1385.4</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城隍中路3</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4378.9</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城隍中路4</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681.6</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城隍中路5</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2475.4</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城隍中路6</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2996.9</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城隍中路7</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7414.5</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24112.5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杭海路1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26375</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杭海路2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17064</w:t>
            </w: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博卡路</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6203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乔安路1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2669.1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乔安路2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1544.2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乔井路1</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16838.6</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乔井路2</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384.4</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1664.9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1167.2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乔井路南绿化</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10556.6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南街1</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14589.4</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南街2</w:t>
            </w:r>
          </w:p>
        </w:tc>
        <w:tc>
          <w:tcPr>
            <w:tcW w:w="120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15005.6</w:t>
            </w: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740.4</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856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南街北3</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529.1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南街北4</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831.4</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3964.1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兴寺路1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1424.6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兴寺路2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3522.5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桃安路1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1712.4</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桃安路2</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4652.3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毛桃西街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3982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毛桃西街北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1978.3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毛桃西街南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2147.8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仙塘西街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3872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仙塘西街南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2286.3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2303.2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2649.5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1408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仙塘东街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2150.6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仙塘东街南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858.2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永和小区北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1500.3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永和小区南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693.5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临时停车场1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10818.6</w:t>
            </w:r>
          </w:p>
        </w:tc>
      </w:tr>
      <w:tr>
        <w:tblPrEx>
          <w:tblCellMar>
            <w:top w:w="15" w:type="dxa"/>
            <w:left w:w="15" w:type="dxa"/>
            <w:bottom w:w="15" w:type="dxa"/>
            <w:right w:w="15" w:type="dxa"/>
          </w:tblCellMar>
        </w:tblPrEx>
        <w:trPr>
          <w:trHeight w:val="90"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临时停车场2(原农贸市场）</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5972.2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镇政府宿舍1</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1114.9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政府东停车场</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9824.7</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乔司卫生院南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1493.3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方家弄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2677.8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北李家弄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3112.8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北城隍弄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1886.3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石板弄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991.5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棉纺厂弄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862.1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井弄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3651</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王家弄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5266.9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乔司工商所</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1344.7</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南城隍弄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3073.9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南李家弄</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12062.8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79</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临时停车场3</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80</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中国银行南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529.6</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81</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乔司港健身苑</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12715.8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82</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南洪桥</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1378.8</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83</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建设银行北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161.2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84</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农贸市场北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1883.2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85</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商贸苑小区北</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873.9</w:t>
            </w:r>
          </w:p>
        </w:tc>
      </w:tr>
      <w:tr>
        <w:tblPrEx>
          <w:tblCellMar>
            <w:top w:w="15" w:type="dxa"/>
            <w:left w:w="15" w:type="dxa"/>
            <w:bottom w:w="15" w:type="dxa"/>
            <w:right w:w="15" w:type="dxa"/>
          </w:tblCellMar>
        </w:tblPrEx>
        <w:trPr>
          <w:trHeight w:val="570"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86</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棉纺厂弄北停车场</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5739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87</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和平公园</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16222.3</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88</w:t>
            </w:r>
          </w:p>
        </w:tc>
        <w:tc>
          <w:tcPr>
            <w:tcW w:w="2550"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乔莫东路东</w:t>
            </w:r>
          </w:p>
        </w:tc>
        <w:tc>
          <w:tcPr>
            <w:tcW w:w="1200"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1533.2</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89</w:t>
            </w:r>
          </w:p>
        </w:tc>
        <w:tc>
          <w:tcPr>
            <w:tcW w:w="2550" w:type="dxa"/>
            <w:tcBorders>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镇东路</w:t>
            </w:r>
          </w:p>
        </w:tc>
        <w:tc>
          <w:tcPr>
            <w:tcW w:w="1200" w:type="dxa"/>
            <w:tcBorders>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5715</w:t>
            </w:r>
          </w:p>
        </w:tc>
      </w:tr>
      <w:tr>
        <w:tblPrEx>
          <w:tblCellMar>
            <w:top w:w="15" w:type="dxa"/>
            <w:left w:w="15" w:type="dxa"/>
            <w:bottom w:w="15" w:type="dxa"/>
            <w:right w:w="15" w:type="dxa"/>
          </w:tblCellMar>
        </w:tblPrEx>
        <w:trPr>
          <w:trHeight w:val="372"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90</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永玄路（乔莫东路-东湖路）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51009</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91</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4147.9</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乔司小学西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812.5</w:t>
            </w: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外翁线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16298.5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西区</w:t>
            </w: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94</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乔中路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53140.2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95</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和平路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11068.2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96</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乔农路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21459.4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97</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博卡路（包含0+960-1+360）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42550.4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98</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乔安路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10712.9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5" w:hRule="atLeast"/>
        </w:trPr>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红线外新增</w:t>
            </w: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99</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农贸市场周边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2498.1</w:t>
            </w:r>
          </w:p>
        </w:tc>
      </w:tr>
      <w:tr>
        <w:tblPrEx>
          <w:tblCellMar>
            <w:top w:w="15" w:type="dxa"/>
            <w:left w:w="15" w:type="dxa"/>
            <w:bottom w:w="15" w:type="dxa"/>
            <w:right w:w="15" w:type="dxa"/>
          </w:tblCellMar>
        </w:tblPrEx>
        <w:trPr>
          <w:trHeight w:val="285"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逸家花苑门口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898.6</w:t>
            </w:r>
          </w:p>
        </w:tc>
      </w:tr>
      <w:tr>
        <w:tblPrEx>
          <w:tblCellMar>
            <w:top w:w="15" w:type="dxa"/>
            <w:left w:w="15" w:type="dxa"/>
            <w:bottom w:w="15" w:type="dxa"/>
            <w:right w:w="15" w:type="dxa"/>
          </w:tblCellMar>
        </w:tblPrEx>
        <w:trPr>
          <w:trHeight w:val="298"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101</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农副产品交易中心门口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4472</w:t>
            </w:r>
          </w:p>
        </w:tc>
      </w:tr>
      <w:tr>
        <w:tblPrEx>
          <w:tblCellMar>
            <w:top w:w="15" w:type="dxa"/>
            <w:left w:w="15" w:type="dxa"/>
            <w:bottom w:w="15" w:type="dxa"/>
            <w:right w:w="15" w:type="dxa"/>
          </w:tblCellMar>
        </w:tblPrEx>
        <w:trPr>
          <w:trHeight w:val="297"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02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东冠逸景花苑门口</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24"/>
                <w:szCs w:val="24"/>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2998</w:t>
            </w:r>
          </w:p>
        </w:tc>
      </w:tr>
      <w:tr>
        <w:tblPrEx>
          <w:tblCellMar>
            <w:top w:w="15" w:type="dxa"/>
            <w:left w:w="15" w:type="dxa"/>
            <w:bottom w:w="15" w:type="dxa"/>
            <w:right w:w="15" w:type="dxa"/>
          </w:tblCellMar>
        </w:tblPrEx>
        <w:trPr>
          <w:trHeight w:val="359" w:hRule="atLeast"/>
        </w:trPr>
        <w:tc>
          <w:tcPr>
            <w:tcW w:w="98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999"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03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面积合计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215538.4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159913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240995.1</w:t>
            </w:r>
          </w:p>
        </w:tc>
      </w:tr>
    </w:tbl>
    <w:p>
      <w:pPr>
        <w:spacing w:before="120" w:after="120"/>
        <w:rPr>
          <w:rFonts w:hint="eastAsia" w:ascii="仿宋" w:hAnsi="仿宋" w:eastAsia="仿宋" w:cs="仿宋"/>
          <w:b/>
          <w:bCs/>
          <w:color w:val="auto"/>
          <w:sz w:val="24"/>
          <w:szCs w:val="24"/>
        </w:rPr>
      </w:pPr>
      <w:r>
        <w:rPr>
          <w:rFonts w:hint="eastAsia" w:ascii="仿宋" w:hAnsi="仿宋" w:eastAsia="仿宋" w:cs="仿宋"/>
          <w:b/>
          <w:bCs/>
          <w:color w:val="auto"/>
          <w:sz w:val="24"/>
          <w:szCs w:val="24"/>
        </w:rPr>
        <w:t>注：包含但不限于以上路段及路段涉及公共区域，</w:t>
      </w:r>
    </w:p>
    <w:p>
      <w:pPr>
        <w:adjustRightInd w:val="0"/>
        <w:snapToGrid w:val="0"/>
        <w:spacing w:line="600" w:lineRule="exact"/>
        <w:rPr>
          <w:rFonts w:hint="eastAsia" w:ascii="仿宋" w:hAnsi="仿宋" w:eastAsia="仿宋" w:cs="仿宋"/>
          <w:b/>
          <w:bCs/>
          <w:sz w:val="24"/>
          <w:szCs w:val="24"/>
        </w:rPr>
      </w:pPr>
      <w:r>
        <w:rPr>
          <w:rFonts w:hint="eastAsia" w:ascii="仿宋" w:hAnsi="仿宋" w:eastAsia="仿宋" w:cs="仿宋"/>
          <w:b/>
          <w:bCs/>
          <w:sz w:val="24"/>
          <w:szCs w:val="24"/>
        </w:rPr>
        <w:t>②乔司街道绿化面积计算统计表：</w:t>
      </w:r>
    </w:p>
    <w:tbl>
      <w:tblPr>
        <w:tblStyle w:val="64"/>
        <w:tblW w:w="0" w:type="auto"/>
        <w:tblInd w:w="0" w:type="dxa"/>
        <w:tblLayout w:type="fixed"/>
        <w:tblCellMar>
          <w:top w:w="15" w:type="dxa"/>
          <w:left w:w="15" w:type="dxa"/>
          <w:bottom w:w="15" w:type="dxa"/>
          <w:right w:w="15" w:type="dxa"/>
        </w:tblCellMar>
      </w:tblPr>
      <w:tblGrid>
        <w:gridCol w:w="1455"/>
        <w:gridCol w:w="3780"/>
        <w:gridCol w:w="2520"/>
      </w:tblGrid>
      <w:tr>
        <w:tblPrEx>
          <w:tblCellMar>
            <w:top w:w="15" w:type="dxa"/>
            <w:left w:w="15" w:type="dxa"/>
            <w:bottom w:w="15" w:type="dxa"/>
            <w:right w:w="15" w:type="dxa"/>
          </w:tblCellMar>
        </w:tblPrEx>
        <w:trPr>
          <w:trHeight w:val="283" w:hRule="atLeast"/>
        </w:trPr>
        <w:tc>
          <w:tcPr>
            <w:tcW w:w="14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道路类别</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路名</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面积（㎡）</w:t>
            </w:r>
          </w:p>
        </w:tc>
      </w:tr>
      <w:tr>
        <w:tblPrEx>
          <w:tblCellMar>
            <w:top w:w="15" w:type="dxa"/>
            <w:left w:w="15" w:type="dxa"/>
            <w:bottom w:w="15" w:type="dxa"/>
            <w:right w:w="15" w:type="dxa"/>
          </w:tblCellMar>
        </w:tblPrEx>
        <w:trPr>
          <w:trHeight w:val="283" w:hRule="atLeast"/>
        </w:trPr>
        <w:tc>
          <w:tcPr>
            <w:tcW w:w="1455"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一类道路</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496</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529</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720.96</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中心公园</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6719.37</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和平公园</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7958.19</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综治中心</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4515.71</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政府东停车场</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4479.57</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花箱</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291.38</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面积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25710.18</w:t>
            </w:r>
          </w:p>
        </w:tc>
      </w:tr>
      <w:tr>
        <w:tblPrEx>
          <w:tblCellMar>
            <w:top w:w="15" w:type="dxa"/>
            <w:left w:w="15" w:type="dxa"/>
            <w:bottom w:w="15" w:type="dxa"/>
            <w:right w:w="15" w:type="dxa"/>
          </w:tblCellMar>
        </w:tblPrEx>
        <w:trPr>
          <w:trHeight w:val="95"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二类道路</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244</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200</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1564.24</w:t>
            </w:r>
          </w:p>
        </w:tc>
      </w:tr>
      <w:tr>
        <w:tblPrEx>
          <w:tblCellMar>
            <w:top w:w="15" w:type="dxa"/>
            <w:left w:w="15" w:type="dxa"/>
            <w:bottom w:w="15" w:type="dxa"/>
            <w:right w:w="15"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面积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2008.24</w:t>
            </w:r>
          </w:p>
        </w:tc>
      </w:tr>
      <w:tr>
        <w:tblPrEx>
          <w:tblCellMar>
            <w:top w:w="15" w:type="dxa"/>
            <w:left w:w="15" w:type="dxa"/>
            <w:bottom w:w="15" w:type="dxa"/>
            <w:right w:w="15" w:type="dxa"/>
          </w:tblCellMar>
        </w:tblPrEx>
        <w:trPr>
          <w:trHeight w:val="285" w:hRule="atLeast"/>
        </w:trPr>
        <w:tc>
          <w:tcPr>
            <w:tcW w:w="1455" w:type="dxa"/>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其他道路</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永玄路南健身点</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629.44</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南街1北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93.07</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桃安</w:t>
            </w:r>
            <w:r>
              <w:rPr>
                <w:rFonts w:hint="eastAsia" w:ascii="仿宋" w:hAnsi="仿宋" w:eastAsia="仿宋" w:cs="仿宋"/>
                <w:kern w:val="0"/>
                <w:sz w:val="24"/>
                <w:szCs w:val="24"/>
                <w:lang w:val="en-US" w:eastAsia="zh-CN"/>
              </w:rPr>
              <w:t>路</w:t>
            </w:r>
            <w:r>
              <w:rPr>
                <w:rFonts w:hint="eastAsia" w:ascii="仿宋" w:hAnsi="仿宋" w:eastAsia="仿宋" w:cs="仿宋"/>
                <w:kern w:val="0"/>
                <w:sz w:val="24"/>
                <w:szCs w:val="24"/>
              </w:rPr>
              <w:t>1</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68</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新市路1</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32</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老菜场停车场</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941.34</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乔司港健身点</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5275.24</w:t>
            </w:r>
          </w:p>
        </w:tc>
      </w:tr>
      <w:tr>
        <w:tblPrEx>
          <w:tblCellMar>
            <w:top w:w="15" w:type="dxa"/>
            <w:left w:w="15" w:type="dxa"/>
            <w:bottom w:w="15" w:type="dxa"/>
            <w:right w:w="15" w:type="dxa"/>
          </w:tblCellMar>
        </w:tblPrEx>
        <w:trPr>
          <w:trHeight w:val="90"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博卡路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363.65</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296.98</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1870.76</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147.27</w:t>
            </w:r>
          </w:p>
        </w:tc>
      </w:tr>
      <w:tr>
        <w:tblPrEx>
          <w:tblCellMar>
            <w:top w:w="15" w:type="dxa"/>
            <w:left w:w="15" w:type="dxa"/>
            <w:bottom w:w="15" w:type="dxa"/>
            <w:right w:w="15" w:type="dxa"/>
          </w:tblCellMar>
        </w:tblPrEx>
        <w:trPr>
          <w:trHeight w:val="19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w:t>
            </w:r>
            <w:r>
              <w:rPr>
                <w:rFonts w:hint="eastAsia" w:ascii="仿宋" w:hAnsi="仿宋" w:eastAsia="仿宋" w:cs="仿宋"/>
                <w:kern w:val="0"/>
                <w:sz w:val="24"/>
                <w:szCs w:val="24"/>
                <w:lang w:val="en-US" w:eastAsia="zh-CN"/>
              </w:rPr>
              <w:t>街道</w:t>
            </w:r>
            <w:r>
              <w:rPr>
                <w:rFonts w:hint="eastAsia" w:ascii="仿宋" w:hAnsi="仿宋" w:eastAsia="仿宋" w:cs="仿宋"/>
                <w:kern w:val="0"/>
                <w:sz w:val="24"/>
                <w:szCs w:val="24"/>
              </w:rPr>
              <w:t>中心幼儿园</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362.86</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1645.69</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宝庆街北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236.32</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兴寺路2</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31.45</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桃安路2</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67.39</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乔司小学西</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99.25</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鑫业路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923.84</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南街1南</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1032.12</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吴稼村委门口</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283.2</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乔莫东路与外翁线交叉口西南角</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192</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博卡路与外翁线交叉口</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431.75</w:t>
            </w:r>
          </w:p>
        </w:tc>
      </w:tr>
      <w:tr>
        <w:tblPrEx>
          <w:tblCellMar>
            <w:top w:w="15" w:type="dxa"/>
            <w:left w:w="15" w:type="dxa"/>
            <w:bottom w:w="15" w:type="dxa"/>
            <w:right w:w="15" w:type="dxa"/>
          </w:tblCellMar>
        </w:tblPrEx>
        <w:trPr>
          <w:trHeight w:val="285" w:hRule="atLeast"/>
        </w:trPr>
        <w:tc>
          <w:tcPr>
            <w:tcW w:w="1455" w:type="dxa"/>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面积</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15023.62</w:t>
            </w:r>
          </w:p>
        </w:tc>
      </w:tr>
    </w:tbl>
    <w:p>
      <w:pPr>
        <w:spacing w:line="440" w:lineRule="exact"/>
        <w:rPr>
          <w:rFonts w:hint="eastAsia" w:ascii="仿宋" w:hAnsi="仿宋" w:eastAsia="仿宋" w:cs="仿宋"/>
          <w:b/>
          <w:bCs/>
          <w:sz w:val="24"/>
          <w:szCs w:val="24"/>
        </w:rPr>
      </w:pPr>
      <w:r>
        <w:rPr>
          <w:rFonts w:hint="eastAsia" w:ascii="仿宋" w:hAnsi="仿宋" w:eastAsia="仿宋" w:cs="仿宋"/>
          <w:b/>
          <w:kern w:val="0"/>
          <w:sz w:val="24"/>
          <w:szCs w:val="24"/>
        </w:rPr>
        <w:t>③</w:t>
      </w:r>
      <w:r>
        <w:rPr>
          <w:rFonts w:hint="eastAsia" w:ascii="仿宋" w:hAnsi="仿宋" w:eastAsia="仿宋" w:cs="仿宋"/>
          <w:b/>
          <w:bCs/>
          <w:sz w:val="24"/>
          <w:szCs w:val="24"/>
        </w:rPr>
        <w:t>乔司街道集镇公厕统计表：</w:t>
      </w:r>
    </w:p>
    <w:tbl>
      <w:tblPr>
        <w:tblStyle w:val="64"/>
        <w:tblW w:w="0" w:type="auto"/>
        <w:tblInd w:w="0" w:type="dxa"/>
        <w:tblLayout w:type="fixed"/>
        <w:tblCellMar>
          <w:top w:w="15" w:type="dxa"/>
          <w:left w:w="15" w:type="dxa"/>
          <w:bottom w:w="15" w:type="dxa"/>
          <w:right w:w="15" w:type="dxa"/>
        </w:tblCellMar>
      </w:tblPr>
      <w:tblGrid>
        <w:gridCol w:w="1451"/>
        <w:gridCol w:w="3782"/>
        <w:gridCol w:w="2518"/>
      </w:tblGrid>
      <w:tr>
        <w:tblPrEx>
          <w:tblCellMar>
            <w:top w:w="15" w:type="dxa"/>
            <w:left w:w="15" w:type="dxa"/>
            <w:bottom w:w="15" w:type="dxa"/>
            <w:right w:w="15" w:type="dxa"/>
          </w:tblCellMar>
        </w:tblPrEx>
        <w:trPr>
          <w:trHeight w:val="30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公厕名称</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r>
      <w:tr>
        <w:tblPrEx>
          <w:tblCellMar>
            <w:top w:w="15" w:type="dxa"/>
            <w:left w:w="15" w:type="dxa"/>
            <w:bottom w:w="15" w:type="dxa"/>
            <w:right w:w="15" w:type="dxa"/>
          </w:tblCellMar>
        </w:tblPrEx>
        <w:trPr>
          <w:trHeight w:val="30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电商园公厕</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0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街心公园公厕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39"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乔司港公厕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271"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1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和平公园公厕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0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城管中队公厕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59"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2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王家弄公厕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1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2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方家弄公厕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20" w:hRule="atLeast"/>
        </w:trPr>
        <w:tc>
          <w:tcPr>
            <w:tcW w:w="1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3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施家桥公厕</w:t>
            </w:r>
          </w:p>
        </w:tc>
        <w:tc>
          <w:tcPr>
            <w:tcW w:w="25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230" w:hRule="atLeast"/>
        </w:trPr>
        <w:tc>
          <w:tcPr>
            <w:tcW w:w="145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78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乔司中学公厕</w:t>
            </w:r>
          </w:p>
        </w:tc>
        <w:tc>
          <w:tcPr>
            <w:tcW w:w="2518" w:type="dxa"/>
            <w:tcBorders>
              <w:top w:val="single" w:color="000000" w:sz="4" w:space="0"/>
              <w:left w:val="single" w:color="000000" w:sz="4" w:space="0"/>
              <w:right w:val="single" w:color="000000" w:sz="4" w:space="0"/>
            </w:tcBorders>
            <w:noWrap w:val="0"/>
            <w:vAlign w:val="top"/>
          </w:tcPr>
          <w:p>
            <w:pPr>
              <w:jc w:val="center"/>
              <w:rPr>
                <w:rFonts w:hint="eastAsia" w:ascii="仿宋" w:hAnsi="仿宋" w:eastAsia="仿宋" w:cs="仿宋"/>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230" w:hRule="atLeast"/>
        </w:trPr>
        <w:tc>
          <w:tcPr>
            <w:tcW w:w="145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378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井弄公厕</w:t>
            </w:r>
          </w:p>
        </w:tc>
        <w:tc>
          <w:tcPr>
            <w:tcW w:w="2518" w:type="dxa"/>
            <w:tcBorders>
              <w:top w:val="single" w:color="000000" w:sz="4" w:space="0"/>
              <w:left w:val="single" w:color="000000" w:sz="4" w:space="0"/>
              <w:right w:val="single" w:color="000000" w:sz="4" w:space="0"/>
            </w:tcBorders>
            <w:noWrap w:val="0"/>
            <w:vAlign w:val="top"/>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tblPrEx>
          <w:tblCellMar>
            <w:top w:w="15" w:type="dxa"/>
            <w:left w:w="15" w:type="dxa"/>
            <w:bottom w:w="15" w:type="dxa"/>
            <w:right w:w="15" w:type="dxa"/>
          </w:tblCellMar>
        </w:tblPrEx>
        <w:trPr>
          <w:trHeight w:val="300" w:hRule="atLeast"/>
        </w:trPr>
        <w:tc>
          <w:tcPr>
            <w:tcW w:w="5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总计</w:t>
            </w:r>
          </w:p>
        </w:tc>
        <w:tc>
          <w:tcPr>
            <w:tcW w:w="2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p>
        </w:tc>
      </w:tr>
    </w:tbl>
    <w:p>
      <w:pPr>
        <w:widowControl/>
        <w:spacing w:line="260" w:lineRule="exact"/>
        <w:jc w:val="left"/>
        <w:rPr>
          <w:rFonts w:hint="eastAsia" w:ascii="仿宋" w:hAnsi="仿宋" w:eastAsia="仿宋" w:cs="仿宋"/>
          <w:b/>
          <w:bCs/>
          <w:color w:val="auto"/>
          <w:sz w:val="24"/>
          <w:szCs w:val="24"/>
        </w:rPr>
      </w:pPr>
    </w:p>
    <w:p>
      <w:pPr>
        <w:widowControl/>
        <w:spacing w:line="26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④乔司街道集镇商户垃圾运输（音乐线，</w:t>
      </w:r>
      <w:r>
        <w:rPr>
          <w:rFonts w:hint="eastAsia" w:ascii="仿宋" w:hAnsi="仿宋" w:eastAsia="仿宋" w:cs="仿宋"/>
          <w:color w:val="auto"/>
          <w:sz w:val="24"/>
          <w:szCs w:val="24"/>
        </w:rPr>
        <w:t>含生鲜专运</w:t>
      </w:r>
      <w:r>
        <w:rPr>
          <w:rFonts w:hint="eastAsia" w:ascii="仿宋" w:hAnsi="仿宋" w:eastAsia="仿宋" w:cs="仿宋"/>
          <w:b/>
          <w:bCs/>
          <w:color w:val="auto"/>
          <w:sz w:val="24"/>
          <w:szCs w:val="24"/>
        </w:rPr>
        <w:t>）</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服务内容：一体化服务范围内的所有商户垃圾运输（音乐线）</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招聘人员和购置设施设备，按照约定提供服务。</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负责商户垃圾运输的合法运营，过程中产生的成本由乙方承担。</w:t>
      </w:r>
    </w:p>
    <w:p>
      <w:pPr>
        <w:spacing w:line="440" w:lineRule="exact"/>
        <w:rPr>
          <w:rFonts w:hint="eastAsia" w:ascii="仿宋" w:hAnsi="仿宋" w:eastAsia="仿宋" w:cs="仿宋"/>
          <w:sz w:val="24"/>
          <w:szCs w:val="24"/>
        </w:rPr>
      </w:pPr>
      <w:r>
        <w:rPr>
          <w:rFonts w:hint="eastAsia" w:ascii="仿宋" w:hAnsi="仿宋" w:eastAsia="仿宋" w:cs="仿宋"/>
          <w:b/>
          <w:bCs/>
          <w:sz w:val="24"/>
          <w:szCs w:val="24"/>
        </w:rPr>
        <w:t>生鲜垃圾专运路段</w:t>
      </w:r>
    </w:p>
    <w:tbl>
      <w:tblPr>
        <w:tblStyle w:val="64"/>
        <w:tblW w:w="0" w:type="auto"/>
        <w:tblInd w:w="0" w:type="dxa"/>
        <w:tblLayout w:type="fixed"/>
        <w:tblCellMar>
          <w:top w:w="15" w:type="dxa"/>
          <w:left w:w="15" w:type="dxa"/>
          <w:bottom w:w="15" w:type="dxa"/>
          <w:right w:w="15" w:type="dxa"/>
        </w:tblCellMar>
      </w:tblPr>
      <w:tblGrid>
        <w:gridCol w:w="1112"/>
        <w:gridCol w:w="7038"/>
      </w:tblGrid>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线路路段</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毛桃东街，毛桃西街，仙塘东街，仙塘西街</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城隍中路（南街以南），杭海路</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乔井路，城隍中路（中段）</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保庆街，乔莫东路北段</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永乔路，永玄路</w:t>
            </w:r>
          </w:p>
        </w:tc>
      </w:tr>
      <w:tr>
        <w:tblPrEx>
          <w:tblCellMar>
            <w:top w:w="15" w:type="dxa"/>
            <w:left w:w="15" w:type="dxa"/>
            <w:bottom w:w="15" w:type="dxa"/>
            <w:right w:w="15" w:type="dxa"/>
          </w:tblCellMar>
        </w:tblPrEx>
        <w:trPr>
          <w:trHeight w:val="495"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7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乔莫东路南段，桃安路，兴市路</w:t>
            </w:r>
          </w:p>
        </w:tc>
      </w:tr>
    </w:tbl>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1）、结合道路实际情况，遵循定时定线定人定车的“四定”原则，采取播放音乐告知，对沿街商铺的生活垃圾实行定时定点分类收集的模式。</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2)、垃圾清运质量标准</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1、垃圾桶清洗每星期不少于二次，垃圾清运每天三次。</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2、垃圾点要求日产日清，垃圾桶周边清洁无散落，严禁焚烧。</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3、垃圾收集点必须做到每日清洗。</w:t>
      </w:r>
    </w:p>
    <w:p>
      <w:pPr>
        <w:adjustRightInd w:val="0"/>
        <w:snapToGrid w:val="0"/>
        <w:spacing w:line="6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4、分类垃圾需分类清运。</w:t>
      </w:r>
    </w:p>
    <w:p>
      <w:pPr>
        <w:spacing w:line="440" w:lineRule="exact"/>
        <w:rPr>
          <w:rFonts w:hint="eastAsia" w:ascii="仿宋" w:hAnsi="仿宋" w:eastAsia="仿宋" w:cs="仿宋"/>
          <w:b/>
          <w:kern w:val="0"/>
          <w:sz w:val="24"/>
          <w:szCs w:val="24"/>
          <w:highlight w:val="none"/>
        </w:rPr>
      </w:pPr>
      <w:r>
        <w:rPr>
          <w:rFonts w:hint="eastAsia" w:ascii="仿宋" w:hAnsi="仿宋" w:eastAsia="仿宋" w:cs="仿宋"/>
          <w:b/>
          <w:bCs/>
          <w:color w:val="000000"/>
          <w:sz w:val="24"/>
          <w:szCs w:val="24"/>
          <w:highlight w:val="none"/>
        </w:rPr>
        <w:t>⑤</w:t>
      </w:r>
      <w:r>
        <w:rPr>
          <w:rFonts w:hint="eastAsia" w:ascii="仿宋" w:hAnsi="仿宋" w:eastAsia="仿宋" w:cs="仿宋"/>
          <w:b/>
          <w:kern w:val="0"/>
          <w:sz w:val="24"/>
          <w:szCs w:val="24"/>
          <w:highlight w:val="none"/>
        </w:rPr>
        <w:t>乔司街道集镇牛皮癣清除范围统计表</w:t>
      </w:r>
    </w:p>
    <w:tbl>
      <w:tblPr>
        <w:tblStyle w:val="64"/>
        <w:tblW w:w="0" w:type="auto"/>
        <w:tblInd w:w="175" w:type="dxa"/>
        <w:tblLayout w:type="fixed"/>
        <w:tblCellMar>
          <w:top w:w="15" w:type="dxa"/>
          <w:left w:w="15" w:type="dxa"/>
          <w:bottom w:w="15" w:type="dxa"/>
          <w:right w:w="15" w:type="dxa"/>
        </w:tblCellMar>
      </w:tblPr>
      <w:tblGrid>
        <w:gridCol w:w="905"/>
        <w:gridCol w:w="4644"/>
        <w:gridCol w:w="1155"/>
        <w:gridCol w:w="1980"/>
      </w:tblGrid>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序号</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道路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单位</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数量</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 （乔莫东路-乔莫西路）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845</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永玄路（乔莫东路-乔莫西路）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399</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 （乔莫东路-乔莫西路）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871</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乔安路 （乔莫东路-乔莫西路）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682</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保庆街 （乔司港-乔莫西路）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765</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 （乔莫东路-乔莫西路）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493</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乔莫东路 乔莫西路-杭海路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1486</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乔莫西路（01省道） 方桥港-三角村13组</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2807</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 杭海路-永玄路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1050</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毛桃路 乔莫东路-城隍中路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263.74</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仙塘路 乔莫东路-城隍中路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248.5</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兴市路 杭海路-乔井路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403.8</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桃安路 杭海路-乔井路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393.7</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博卡路 （杭海路-乔莫西路）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360</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杭海路 （外乔司-三角村13组）</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1261</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永玄路北1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272</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永玄路北2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56</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永玄路南1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279</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永乔路南1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420</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永乔路南2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418</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保庆街南1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104</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保庆街南2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238</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保庆街南3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159</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保庆街北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326</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乔井路北1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乔井路北2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159</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339</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152</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58</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64</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南街北5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43.7</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南街南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437</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33.6</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城隍中路东1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47.4</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东冠逸景花苑北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156</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毛桃西街北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212</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149</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毛桃西街南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169</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毛桃东街南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91</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仙塘西街南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166</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仙塘东街南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56</w:t>
            </w:r>
          </w:p>
        </w:tc>
      </w:tr>
      <w:tr>
        <w:tblPrEx>
          <w:tblCellMar>
            <w:top w:w="15" w:type="dxa"/>
            <w:left w:w="15" w:type="dxa"/>
            <w:bottom w:w="15" w:type="dxa"/>
            <w:right w:w="15" w:type="dxa"/>
          </w:tblCellMar>
        </w:tblPrEx>
        <w:trPr>
          <w:trHeight w:val="344"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乔井路（乔农路-庙港）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359</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永玄路（迎宾路-乔中路）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315</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博卡路 杭海路-永玄路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1807</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乔中路 绕城-永玄路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1581</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和平路 乔莫西路-博卡路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461</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永玄路北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227</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48</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乔农路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580</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49</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乔安西路 乔莫西路-博卡路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466</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乔司港健身苑</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430</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51</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乔井路东 乔莫东路-水厂</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87</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52</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镇东路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115</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53</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农贸市场北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121</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54</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商贸苑小区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81</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55</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丰惠嘉园东</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106</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56</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永玄路东</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1200</w:t>
            </w:r>
          </w:p>
        </w:tc>
      </w:tr>
      <w:tr>
        <w:tblPrEx>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57</w:t>
            </w:r>
          </w:p>
        </w:tc>
        <w:tc>
          <w:tcPr>
            <w:tcW w:w="46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长度</w:t>
            </w:r>
            <w:r>
              <w:rPr>
                <w:rFonts w:hint="eastAsia" w:ascii="仿宋" w:hAnsi="仿宋" w:eastAsia="仿宋" w:cs="仿宋"/>
                <w:kern w:val="0"/>
                <w:sz w:val="24"/>
                <w:szCs w:val="24"/>
              </w:rPr>
              <w:t>总计</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48</w:t>
            </w:r>
            <w:r>
              <w:rPr>
                <w:rFonts w:hint="eastAsia" w:ascii="仿宋" w:hAnsi="仿宋" w:eastAsia="仿宋" w:cs="仿宋"/>
                <w:kern w:val="0"/>
                <w:sz w:val="24"/>
                <w:szCs w:val="24"/>
              </w:rPr>
              <w:t>89.44</w:t>
            </w:r>
          </w:p>
        </w:tc>
      </w:tr>
    </w:tbl>
    <w:p>
      <w:pPr>
        <w:spacing w:line="440" w:lineRule="exact"/>
        <w:rPr>
          <w:rFonts w:hint="eastAsia" w:ascii="仿宋" w:hAnsi="仿宋" w:eastAsia="仿宋" w:cs="仿宋"/>
          <w:b/>
          <w:kern w:val="0"/>
          <w:sz w:val="24"/>
          <w:szCs w:val="24"/>
        </w:rPr>
      </w:pPr>
      <w:r>
        <w:rPr>
          <w:rFonts w:hint="eastAsia" w:ascii="仿宋" w:hAnsi="仿宋" w:eastAsia="仿宋" w:cs="仿宋"/>
          <w:b/>
          <w:kern w:val="0"/>
          <w:sz w:val="24"/>
          <w:szCs w:val="24"/>
        </w:rPr>
        <w:t>无责任方的公共区域内所有牛皮癣清除。</w:t>
      </w:r>
    </w:p>
    <w:p>
      <w:pPr>
        <w:spacing w:line="360" w:lineRule="auto"/>
        <w:rPr>
          <w:rFonts w:hint="eastAsia" w:ascii="仿宋" w:hAnsi="仿宋" w:eastAsia="仿宋" w:cs="仿宋"/>
          <w:bCs/>
          <w:sz w:val="24"/>
          <w:szCs w:val="24"/>
        </w:rPr>
      </w:pPr>
      <w:r>
        <w:rPr>
          <w:rFonts w:hint="eastAsia" w:ascii="仿宋" w:hAnsi="仿宋" w:eastAsia="仿宋" w:cs="仿宋"/>
          <w:b/>
          <w:bCs/>
          <w:sz w:val="24"/>
          <w:szCs w:val="24"/>
        </w:rPr>
        <w:t>标准：</w:t>
      </w:r>
      <w:r>
        <w:rPr>
          <w:rFonts w:hint="eastAsia" w:ascii="仿宋" w:hAnsi="仿宋" w:eastAsia="仿宋" w:cs="仿宋"/>
          <w:bCs/>
          <w:sz w:val="24"/>
          <w:szCs w:val="24"/>
        </w:rPr>
        <w:t>主要对石材、瓷砖等建筑物表面喷洒广告先用醇酸稀料进行浸泡，再用晴纶棉纱进行擦洗、冲洗即可；对于涂料水泥墙面上的喷漆广告可先用醇酸稀料进行浸泡，再用刮刀刮掉后，按照上涂料的工序涂刷即可；对于档土墙、桥梁等设施上的涂料广告可用清单清理后，用与涂抹部分的涂料覆盖即可；对于张贴性广告先用清水喷浸泡后，再用刷子或抹布擦掉即可；对于实在清除不掉的附有乔贴乱画的设施，在许可的范围内尽可能实施拆除新建。</w:t>
      </w:r>
    </w:p>
    <w:p>
      <w:pPr>
        <w:widowControl/>
        <w:spacing w:line="360" w:lineRule="auto"/>
        <w:ind w:firstLine="361" w:firstLineChars="150"/>
        <w:jc w:val="left"/>
        <w:rPr>
          <w:rFonts w:hint="eastAsia" w:ascii="仿宋" w:hAnsi="仿宋" w:eastAsia="仿宋" w:cs="仿宋"/>
          <w:sz w:val="24"/>
          <w:szCs w:val="24"/>
        </w:rPr>
      </w:pPr>
      <w:r>
        <w:rPr>
          <w:rFonts w:hint="eastAsia" w:ascii="仿宋" w:hAnsi="仿宋" w:eastAsia="仿宋" w:cs="仿宋"/>
          <w:b/>
          <w:sz w:val="24"/>
          <w:szCs w:val="24"/>
        </w:rPr>
        <w:t>要求：</w:t>
      </w:r>
      <w:r>
        <w:rPr>
          <w:rFonts w:hint="eastAsia" w:ascii="仿宋" w:hAnsi="仿宋" w:eastAsia="仿宋" w:cs="仿宋"/>
          <w:bCs/>
          <w:sz w:val="24"/>
          <w:szCs w:val="24"/>
        </w:rPr>
        <w:t xml:space="preserve">（1）清理“牛皮癣”要求使用专业的清洁剂、专业的清洗工具、无毒无味的调色剂，不得含有损害人体健康的物质成分。 </w:t>
      </w:r>
    </w:p>
    <w:p>
      <w:pPr>
        <w:pStyle w:val="32"/>
        <w:snapToGrid w:val="0"/>
        <w:spacing w:line="3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（2）以不留痕迹、不留残胶和字胶、不损坏物体表面、保持原物体外观、尽量与墙体或公共设施的色调一致、清理后无明显色差、看不出覆盖痕迹为标准，并做到美观。</w:t>
      </w:r>
    </w:p>
    <w:p>
      <w:pPr>
        <w:pStyle w:val="32"/>
        <w:snapToGrid w:val="0"/>
        <w:spacing w:line="3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（3）涂写印画类采取清洗作业的，须清洗至无明显痕迹；采取遮盖层涂刷的，遮盖要求与墙体基本同色，无明显色差，涂刷须规则（正方形或长方形）；采取磨砂的，不得损坏物体表面，保持原物体外观。</w:t>
      </w:r>
    </w:p>
    <w:p>
      <w:pPr>
        <w:pStyle w:val="32"/>
        <w:snapToGrid w:val="0"/>
        <w:spacing w:line="3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（4）张贴张挂类（包含店面外侧的招工等各类小广告）要求全部清除干净，不得留有纸屑、碎片。</w:t>
      </w:r>
    </w:p>
    <w:p>
      <w:pPr>
        <w:pStyle w:val="32"/>
        <w:snapToGrid w:val="0"/>
        <w:spacing w:line="3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（5）“牛皮癣”清理过程中产生的垃圾要及时清理和回收，保证清理现场的整洁。</w:t>
      </w:r>
    </w:p>
    <w:p>
      <w:pPr>
        <w:pStyle w:val="32"/>
        <w:snapToGrid w:val="0"/>
        <w:spacing w:line="3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6）“牛皮癣”清理工作过程中，承包方必须做好相应的安全工作，切实采取措施确保作业人员的人身、工作安全及周边环境、群众的生命财产安全，由此引发的安全事故等一切法律经济责任由承包方自行承担，与发包方无关。</w:t>
      </w:r>
    </w:p>
    <w:p>
      <w:pPr>
        <w:spacing w:before="120" w:after="120"/>
        <w:rPr>
          <w:rFonts w:hint="eastAsia" w:ascii="仿宋" w:hAnsi="仿宋" w:eastAsia="仿宋" w:cs="仿宋"/>
          <w:bCs/>
          <w:sz w:val="24"/>
          <w:szCs w:val="24"/>
        </w:rPr>
      </w:pPr>
      <w:r>
        <w:rPr>
          <w:rFonts w:hint="eastAsia" w:ascii="仿宋" w:hAnsi="仿宋" w:eastAsia="仿宋" w:cs="仿宋"/>
          <w:bCs/>
          <w:sz w:val="24"/>
          <w:szCs w:val="24"/>
        </w:rPr>
        <w:t>（7）“牛皮癣”清理工作过程中，因清理操作对“牛皮癣”附着物有损坏的，由承包方承担赔偿等相关责任。</w:t>
      </w:r>
    </w:p>
    <w:p>
      <w:pPr>
        <w:spacing w:before="120" w:after="120"/>
        <w:rPr>
          <w:rFonts w:hint="eastAsia" w:ascii="仿宋" w:hAnsi="仿宋" w:eastAsia="仿宋" w:cs="仿宋"/>
          <w:sz w:val="24"/>
          <w:szCs w:val="24"/>
        </w:rPr>
      </w:pPr>
      <w:r>
        <w:rPr>
          <w:rFonts w:hint="eastAsia" w:ascii="仿宋" w:hAnsi="仿宋" w:eastAsia="仿宋" w:cs="仿宋"/>
          <w:b/>
          <w:kern w:val="0"/>
          <w:sz w:val="24"/>
          <w:szCs w:val="24"/>
        </w:rPr>
        <w:t>⑥乔司集镇东区新街社区无物业小区</w:t>
      </w:r>
    </w:p>
    <w:tbl>
      <w:tblPr>
        <w:tblStyle w:val="64"/>
        <w:tblW w:w="9025" w:type="dxa"/>
        <w:tblInd w:w="0" w:type="dxa"/>
        <w:tblLayout w:type="fixed"/>
        <w:tblCellMar>
          <w:top w:w="15" w:type="dxa"/>
          <w:left w:w="15" w:type="dxa"/>
          <w:bottom w:w="15" w:type="dxa"/>
          <w:right w:w="15" w:type="dxa"/>
        </w:tblCellMar>
      </w:tblPr>
      <w:tblGrid>
        <w:gridCol w:w="1080"/>
        <w:gridCol w:w="1410"/>
        <w:gridCol w:w="1980"/>
        <w:gridCol w:w="2380"/>
        <w:gridCol w:w="1062"/>
        <w:gridCol w:w="1113"/>
      </w:tblGrid>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编号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区域编号</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房屋俗称</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坐落位置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单元数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户数</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四区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信用社宿舍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农村商业银行楼上</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六区1幢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电影院宿舍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乔莫东路42号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30</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六区2幢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电影院宿舍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乔莫东路44号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八区1幢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教师宿舍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兴市路5号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八区2幢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高洋房</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兴市路7号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30</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八区3幢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高洋房</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兴市路9号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30</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八区4幢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高洋房</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兴市路11号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八区5幢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高洋房</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兴市路13号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九区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邱老师所住宿舍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乔井路27-31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原菜场边宿舍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乔井路20-30号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24</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十一区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司法所宿舍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乔井路46-56号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19</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十二区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税务所</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井弄2-1号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镇政府宿舍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乔井路40-1号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25</w:t>
            </w:r>
          </w:p>
        </w:tc>
      </w:tr>
      <w:tr>
        <w:tblPrEx>
          <w:tblCellMar>
            <w:top w:w="15" w:type="dxa"/>
            <w:left w:w="15" w:type="dxa"/>
            <w:bottom w:w="15" w:type="dxa"/>
            <w:right w:w="15" w:type="dxa"/>
          </w:tblCellMar>
        </w:tblPrEx>
        <w:trPr>
          <w:trHeight w:val="655"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十四区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私人集资房</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乔井路60-68号</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（小胖子土菜馆旁）</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十五区1幢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丁建农宿舍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乔井路70-1号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p>
        </w:tc>
        <w:tc>
          <w:tcPr>
            <w:tcW w:w="11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28</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十五区2幢</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丁建农宿舍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乔井路70-2号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p>
        </w:tc>
        <w:tc>
          <w:tcPr>
            <w:tcW w:w="11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十六区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原苏阳大面</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乔井路88号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16</w:t>
            </w:r>
          </w:p>
        </w:tc>
      </w:tr>
      <w:tr>
        <w:tblPrEx>
          <w:tblCellMar>
            <w:top w:w="15" w:type="dxa"/>
            <w:left w:w="15" w:type="dxa"/>
            <w:bottom w:w="15" w:type="dxa"/>
            <w:right w:w="15" w:type="dxa"/>
          </w:tblCellMar>
        </w:tblPrEx>
        <w:trPr>
          <w:trHeight w:val="283" w:hRule="exac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十七区</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沈利华所住宿舍</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城隍中路52-1号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p>
        </w:tc>
      </w:tr>
    </w:tbl>
    <w:p>
      <w:pPr>
        <w:adjustRightInd w:val="0"/>
        <w:snapToGrid w:val="0"/>
        <w:spacing w:line="6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整体养护范围，采购人有权进行调整，按时结算。</w:t>
      </w:r>
    </w:p>
    <w:p>
      <w:pPr>
        <w:pStyle w:val="82"/>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⑦疫苗接种点卫生、厕所保洁及垃圾清运</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安排专职人员2名，做到接种区域场地每天两次消毒（按照医疗场所消毒液配比），物品表每天擦拭两次，卫生长效循环保洁，负责医疗废弃物转移交接。</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、地面保持清洁、干燥，无果壳瓜皮等杂物，地面杂物须及时清洁干净，医疗废弃物统一规范堆置。</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、做好疫苗接种点外围（包括排队区域）的垃圾清洁，做到有垃圾随时清理，做到地面干净无垃圾。</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、医疗废弃物、垃圾等日产日清，垃圾箱外观整洁，周围无污垢，无积水，无漏拣垃圾。清运后及时冲洗，周围无蚊虫卵孳生，医疗废弃物统一处理。</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厕所内需确保无污渍、无积水、无死角、无异味、无垃圾，保洁每日不少于3次化粪池进出畅通，无污水外溢池满后需及时清理（相关费用由保洁公司自行承担），养护期内，必须投入相应的保洁工具、厕纸、洗手液、灭蚊蝇药物、现有除臭器的除臭液等消耗品，确保正常使用。</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6</w:t>
      </w:r>
      <w:r>
        <w:rPr>
          <w:rFonts w:hint="eastAsia" w:ascii="Times New Roman" w:hAnsi="Times New Roman" w:eastAsia="宋体" w:cs="Times New Roman"/>
          <w:color w:val="auto"/>
          <w:kern w:val="2"/>
          <w:sz w:val="24"/>
          <w:szCs w:val="24"/>
          <w:highlight w:val="none"/>
          <w:lang w:val="en-US" w:eastAsia="zh-CN" w:bidi="ar-SA"/>
        </w:rPr>
        <w:t>、厕所地面保洁无污物，清洗冲刷地面时应设置国家规定的防滑标志，墙壁、门窗、隔断板等整洁无乱涂乱画等污迹物，厕所便器及时冲刷，无粪迹、尿迹和其他污物。</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7</w:t>
      </w:r>
      <w:r>
        <w:rPr>
          <w:rFonts w:hint="eastAsia" w:ascii="Times New Roman" w:hAnsi="Times New Roman" w:eastAsia="宋体" w:cs="Times New Roman"/>
          <w:color w:val="auto"/>
          <w:kern w:val="2"/>
          <w:sz w:val="24"/>
          <w:szCs w:val="24"/>
          <w:highlight w:val="none"/>
          <w:lang w:val="en-US" w:eastAsia="zh-CN" w:bidi="ar-SA"/>
        </w:rPr>
        <w:t>、中标单位须无偿提供厕纸，并保证每个卫生间内厕纸不断。</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8</w:t>
      </w:r>
      <w:r>
        <w:rPr>
          <w:rFonts w:hint="eastAsia" w:ascii="Times New Roman" w:hAnsi="Times New Roman" w:eastAsia="宋体" w:cs="Times New Roman"/>
          <w:color w:val="auto"/>
          <w:kern w:val="2"/>
          <w:sz w:val="24"/>
          <w:szCs w:val="24"/>
          <w:highlight w:val="none"/>
          <w:lang w:val="en-US" w:eastAsia="zh-CN" w:bidi="ar-SA"/>
        </w:rPr>
        <w:t>、定时喷洒灭蚊蝇药物，做到随有随灭。纸篓无污迹、无隔夜垃圾。空气流通无臭味。</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9</w:t>
      </w:r>
      <w:r>
        <w:rPr>
          <w:rFonts w:hint="eastAsia" w:ascii="Times New Roman" w:hAnsi="Times New Roman" w:eastAsia="宋体" w:cs="Times New Roman"/>
          <w:color w:val="auto"/>
          <w:kern w:val="2"/>
          <w:sz w:val="24"/>
          <w:szCs w:val="24"/>
          <w:highlight w:val="none"/>
          <w:lang w:val="en-US" w:eastAsia="zh-CN" w:bidi="ar-SA"/>
        </w:rPr>
        <w:t>、厕所设施和工具摆放有序，干净整洁。按照规定时间、地点和方式倾倒废物。外墙屋顶及卫生负责区内环境整洁无杂物。</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、休息区、接种室卫生清洁每天结束后进行全面检查清扫拖地，凳子摆放整齐，及时清理垃圾桶医疗废弃物。</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、饮水区域滴水漏水及时清理，保证饮水区域的干净整洁。</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、疫苗接种区域所有范围每天消毒2次，物品表每天擦拭2次。</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、遇到上级检查、创建模等活动时，应加强巡查和保洁密度，并服从安排调度。</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eastAsia="宋体"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、按照街道要求做好其他保洁工作。</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eastAsia="宋体"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、疫苗接种点产生的垃圾每天清运。</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eastAsia="宋体" w:cs="Times New Roman"/>
          <w:color w:val="auto"/>
          <w:kern w:val="2"/>
          <w:sz w:val="24"/>
          <w:szCs w:val="24"/>
          <w:highlight w:val="none"/>
          <w:lang w:val="en-US" w:eastAsia="zh-CN" w:bidi="ar-SA"/>
        </w:rPr>
        <w:t>6</w:t>
      </w:r>
      <w:r>
        <w:rPr>
          <w:rFonts w:hint="eastAsia" w:ascii="Times New Roman" w:hAnsi="Times New Roman" w:eastAsia="宋体" w:cs="Times New Roman"/>
          <w:color w:val="auto"/>
          <w:kern w:val="2"/>
          <w:sz w:val="24"/>
          <w:szCs w:val="24"/>
          <w:highlight w:val="none"/>
          <w:lang w:val="en-US" w:eastAsia="zh-CN" w:bidi="ar-SA"/>
        </w:rPr>
        <w:t>、所有保洁人员必须遵守街道方的一切规章制度，认真配合好街道方管理人员的各项工作，街道方对承包方不合理作业程序可以提出修改意见，承包方需无条件服从街道方；如街道方有预料外的迎检任务，承包方必须无偿服从并配合其工作。</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17</w:t>
      </w:r>
      <w:r>
        <w:rPr>
          <w:rFonts w:hint="eastAsia" w:ascii="Times New Roman" w:hAnsi="Times New Roman" w:eastAsia="宋体" w:cs="Times New Roman"/>
          <w:color w:val="auto"/>
          <w:kern w:val="2"/>
          <w:sz w:val="24"/>
          <w:szCs w:val="24"/>
          <w:highlight w:val="none"/>
          <w:lang w:val="en-US" w:eastAsia="zh-CN" w:bidi="ar-SA"/>
        </w:rPr>
        <w:t>、承包方需爱护街道方公共设施，如因承包方人员的失误造成设施损坏的由承包方承担赔偿责任。场所内由于承包方人员造成的设施出现破坏的，中标单位要组织维修人员在2日内完成修复或更换。供水、供电、排水、通风等设备完好，有效保证使用，简单问题的必须12小时以内修复。墙壁、地面、隔断板、洗手台、门窗、便器、开关、手柄、门锁、挂衣钩等设施损坏的必须要在两天内修复或更换。场所内设置的标志保持清洁、完整、规范，如出现破损的，必须在12小时内修复或更换。</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18</w:t>
      </w:r>
      <w:r>
        <w:rPr>
          <w:rFonts w:hint="eastAsia" w:ascii="Times New Roman" w:hAnsi="Times New Roman" w:eastAsia="宋体" w:cs="Times New Roman"/>
          <w:color w:val="auto"/>
          <w:kern w:val="2"/>
          <w:sz w:val="24"/>
          <w:szCs w:val="24"/>
          <w:highlight w:val="none"/>
          <w:lang w:val="en-US" w:eastAsia="zh-CN" w:bidi="ar-SA"/>
        </w:rPr>
        <w:t>、医疗废弃物需要统一收集统一处理。</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19</w:t>
      </w:r>
      <w:r>
        <w:rPr>
          <w:rFonts w:hint="eastAsia" w:ascii="Times New Roman" w:hAnsi="Times New Roman" w:eastAsia="宋体" w:cs="Times New Roman"/>
          <w:color w:val="auto"/>
          <w:kern w:val="2"/>
          <w:sz w:val="24"/>
          <w:szCs w:val="24"/>
          <w:highlight w:val="none"/>
          <w:lang w:val="en-US" w:eastAsia="zh-CN" w:bidi="ar-SA"/>
        </w:rPr>
        <w:t>、若保洁人员发生人生伤害等安全事故与承包方服务内容有直接关联的，相关赔偿责任由承包方承担。（第三方责任事故发生，按国家相关法律法规执行）</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20</w:t>
      </w:r>
      <w:r>
        <w:rPr>
          <w:rFonts w:hint="eastAsia" w:ascii="Times New Roman" w:hAnsi="Times New Roman" w:eastAsia="宋体" w:cs="Times New Roman"/>
          <w:color w:val="auto"/>
          <w:kern w:val="2"/>
          <w:sz w:val="24"/>
          <w:szCs w:val="24"/>
          <w:highlight w:val="none"/>
          <w:lang w:val="en-US" w:eastAsia="zh-CN" w:bidi="ar-SA"/>
        </w:rPr>
        <w:t>、所有与保洁有关的工具购买及其维修均由承包方自行负责，与街道方无关。</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21</w:t>
      </w:r>
      <w:r>
        <w:rPr>
          <w:rFonts w:hint="eastAsia" w:ascii="Times New Roman" w:hAnsi="Times New Roman" w:eastAsia="宋体" w:cs="Times New Roman"/>
          <w:color w:val="auto"/>
          <w:kern w:val="2"/>
          <w:sz w:val="24"/>
          <w:szCs w:val="24"/>
          <w:highlight w:val="none"/>
          <w:lang w:val="en-US" w:eastAsia="zh-CN" w:bidi="ar-SA"/>
        </w:rPr>
        <w:t>、消毒液由中标单位准备，防护用品由疫苗接种点提供。</w:t>
      </w:r>
    </w:p>
    <w:p>
      <w:pPr>
        <w:pStyle w:val="82"/>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22</w:t>
      </w:r>
      <w:r>
        <w:rPr>
          <w:rFonts w:hint="eastAsia" w:ascii="Times New Roman" w:hAnsi="Times New Roman" w:eastAsia="宋体" w:cs="Times New Roman"/>
          <w:color w:val="auto"/>
          <w:kern w:val="2"/>
          <w:sz w:val="24"/>
          <w:szCs w:val="24"/>
          <w:highlight w:val="none"/>
          <w:lang w:val="en-US" w:eastAsia="zh-CN" w:bidi="ar-SA"/>
        </w:rPr>
        <w:t>、承包方中途擅自放弃清扫的，街道有权不支付剩余承包款项。</w:t>
      </w:r>
    </w:p>
    <w:p>
      <w:pPr>
        <w:pStyle w:val="82"/>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23、具体服务期限按招标人要求执行，按实结算。</w:t>
      </w:r>
    </w:p>
    <w:p>
      <w:pPr>
        <w:pStyle w:val="82"/>
        <w:ind w:firstLine="482" w:firstLineChars="200"/>
        <w:rPr>
          <w:rFonts w:hint="eastAsia" w:ascii="仿宋" w:hAnsi="仿宋" w:eastAsia="仿宋" w:cs="仿宋"/>
          <w:b/>
          <w:color w:val="auto"/>
          <w:kern w:val="0"/>
          <w:sz w:val="24"/>
          <w:szCs w:val="24"/>
          <w:highlight w:val="none"/>
          <w:lang w:val="en-US" w:eastAsia="zh-CN" w:bidi="ar-SA"/>
        </w:rPr>
      </w:pPr>
    </w:p>
    <w:p>
      <w:pPr>
        <w:adjustRightInd w:val="0"/>
        <w:snapToGrid w:val="0"/>
        <w:spacing w:line="6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四、投标报价说明：</w:t>
      </w:r>
    </w:p>
    <w:p>
      <w:pPr>
        <w:adjustRightInd w:val="0"/>
        <w:snapToGrid w:val="0"/>
        <w:spacing w:line="6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投标报价包括一年的综合养护费，</w:t>
      </w:r>
      <w:r>
        <w:rPr>
          <w:rFonts w:hint="eastAsia" w:ascii="仿宋" w:hAnsi="仿宋" w:eastAsia="仿宋" w:cs="仿宋"/>
          <w:b/>
          <w:bCs/>
          <w:color w:val="000000"/>
          <w:sz w:val="24"/>
          <w:szCs w:val="24"/>
          <w:highlight w:val="none"/>
        </w:rPr>
        <w:t>人员配备要求：不少于</w:t>
      </w:r>
      <w:r>
        <w:rPr>
          <w:rFonts w:hint="eastAsia" w:ascii="仿宋" w:hAnsi="仿宋" w:eastAsia="仿宋" w:cs="仿宋"/>
          <w:b/>
          <w:bCs/>
          <w:color w:val="000000"/>
          <w:sz w:val="24"/>
          <w:szCs w:val="24"/>
          <w:highlight w:val="none"/>
          <w:lang w:val="en-US" w:eastAsia="zh-CN"/>
        </w:rPr>
        <w:t>178</w:t>
      </w:r>
      <w:r>
        <w:rPr>
          <w:rFonts w:hint="eastAsia" w:ascii="仿宋" w:hAnsi="仿宋" w:eastAsia="仿宋" w:cs="仿宋"/>
          <w:b/>
          <w:bCs/>
          <w:color w:val="000000"/>
          <w:sz w:val="24"/>
          <w:szCs w:val="24"/>
          <w:highlight w:val="none"/>
        </w:rPr>
        <w:t>人。</w:t>
      </w:r>
    </w:p>
    <w:p>
      <w:pPr>
        <w:adjustRightInd w:val="0"/>
        <w:snapToGrid w:val="0"/>
        <w:spacing w:line="400" w:lineRule="atLeas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五、服务标准、考核方式和内容</w:t>
      </w:r>
    </w:p>
    <w:p>
      <w:pPr>
        <w:pStyle w:val="22"/>
        <w:bidi w:val="0"/>
        <w:ind w:left="0" w:leftChars="0"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1、服务标准主要依据《浙江省城市市容和环境卫生管理条例》（浙江省第十一届人民代表大会常务委员会第五次会议修订）、《杭州市城市市容和环境卫生管理条例》（市人大常委会公告〔2005〕第49号）、《杭州市市政设施管理条例》（市人大常委会公告〔2005〕第52号）、《杭州市环卫保洁单位诚信评价办法》、《关于印发《关于优化完善镇街平台财政体制进一步加强财权事权管理的实施意见》的通知 》（临平政发〔2021〕48号）、关于印发《临平区市政绿化亮灯保洁设施养护标准》的通知（临平城组办〔2022〕9号）、关于印发《临平区城市管理范围内洁化、市政亮化、绿化、序化分级分类及考核办法》的通知（临平城组办〔2022〕7号）执行，如上级主管有新文件的，按新文件执行，（详见附件，以上文件要求不一致时，以标准高的为准）。</w:t>
      </w:r>
    </w:p>
    <w:p>
      <w:pPr>
        <w:adjustRightInd w:val="0"/>
        <w:snapToGrid w:val="0"/>
        <w:spacing w:line="400" w:lineRule="atLeas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各项服务内容运营服务费划分为服务保障费及服务考核费，其中服务保障费占各项服务费的70%，不纳入考核；服务考核费占各项服务费的30%，服务考核费支付与考核结果挂钩，根据各项服务的考核得分进行折算。具体考核办法详见附件。</w:t>
      </w:r>
    </w:p>
    <w:p>
      <w:pPr>
        <w:adjustRightInd w:val="0"/>
        <w:snapToGrid w:val="0"/>
        <w:spacing w:line="400" w:lineRule="atLeas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3、甲方根据考核办法每月组织人员对乙方各项服务内容进行现场单项检查考核，次月5日前未反馈考核情况的视作考核满分。</w:t>
      </w:r>
    </w:p>
    <w:p>
      <w:pPr>
        <w:adjustRightInd w:val="0"/>
        <w:snapToGrid w:val="0"/>
        <w:spacing w:line="400" w:lineRule="atLeast"/>
        <w:rPr>
          <w:rFonts w:hint="eastAsia" w:ascii="仿宋" w:hAnsi="仿宋" w:eastAsia="仿宋" w:cs="仿宋"/>
          <w:bCs/>
          <w:color w:val="000000"/>
          <w:sz w:val="24"/>
          <w:szCs w:val="24"/>
        </w:rPr>
      </w:pPr>
      <w:r>
        <w:rPr>
          <w:rFonts w:hint="eastAsia" w:ascii="仿宋" w:hAnsi="仿宋" w:eastAsia="仿宋" w:cs="仿宋"/>
          <w:bCs/>
          <w:color w:val="000000"/>
          <w:sz w:val="24"/>
          <w:szCs w:val="24"/>
        </w:rPr>
        <w:t>为了鼓励先进，针对区内通报的红榜或优秀提名，在区奖励的基础上，甲方给予同等的加倍奖励。</w:t>
      </w:r>
    </w:p>
    <w:p>
      <w:pPr>
        <w:pStyle w:val="24"/>
        <w:rPr>
          <w:rFonts w:hint="eastAsia" w:ascii="仿宋" w:hAnsi="仿宋" w:eastAsia="仿宋" w:cs="仿宋"/>
          <w:bCs/>
          <w:color w:val="auto"/>
          <w:sz w:val="24"/>
          <w:szCs w:val="24"/>
        </w:rPr>
      </w:pPr>
      <w:r>
        <w:rPr>
          <w:rFonts w:hint="eastAsia" w:ascii="仿宋" w:hAnsi="仿宋" w:eastAsia="仿宋" w:cs="仿宋"/>
          <w:bCs/>
          <w:color w:val="auto"/>
          <w:sz w:val="24"/>
          <w:szCs w:val="24"/>
        </w:rPr>
        <w:t>4、洒水车、扫路车、三位一体车、抑尘车需确保能安装GPS且养护期间GPS轨迹只能显示在标项区域内。</w:t>
      </w:r>
    </w:p>
    <w:p>
      <w:pPr>
        <w:adjustRightInd w:val="0"/>
        <w:snapToGrid w:val="0"/>
        <w:spacing w:line="400" w:lineRule="atLeas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六、资金结算和支付</w:t>
      </w:r>
    </w:p>
    <w:p>
      <w:pPr>
        <w:adjustRightInd w:val="0"/>
        <w:snapToGrid w:val="0"/>
        <w:spacing w:line="400" w:lineRule="atLeas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为确保运营工作正常开展，服务费以季度为结算周期，对每月平均分进行汇总，每个季度期满后的第一个月10日前完成支付。甲方逾期支付服务费用的，按应付费用的日万分之五向乙方支付违约金直至逾期费用付清为止。如遇延期2个月未支付的，乙方有权停止服务。</w:t>
      </w:r>
    </w:p>
    <w:p>
      <w:pPr>
        <w:pStyle w:val="60"/>
        <w:jc w:val="left"/>
        <w:rPr>
          <w:rFonts w:hint="eastAsia" w:ascii="仿宋" w:hAnsi="仿宋" w:eastAsia="仿宋" w:cs="仿宋"/>
          <w:sz w:val="24"/>
          <w:szCs w:val="24"/>
          <w:lang w:val="zh-CN"/>
        </w:rPr>
      </w:pPr>
    </w:p>
    <w:p>
      <w:pPr>
        <w:pStyle w:val="60"/>
        <w:jc w:val="left"/>
        <w:rPr>
          <w:rFonts w:hint="eastAsia" w:ascii="仿宋" w:hAnsi="仿宋" w:eastAsia="仿宋" w:cs="仿宋"/>
          <w:sz w:val="24"/>
          <w:szCs w:val="24"/>
          <w:lang w:val="zh-CN"/>
        </w:rPr>
      </w:pPr>
    </w:p>
    <w:p>
      <w:pPr>
        <w:pStyle w:val="60"/>
        <w:jc w:val="left"/>
        <w:rPr>
          <w:rFonts w:hint="eastAsia" w:ascii="仿宋" w:hAnsi="仿宋" w:eastAsia="仿宋" w:cs="仿宋"/>
          <w:sz w:val="24"/>
          <w:szCs w:val="24"/>
          <w:lang w:val="zh-CN"/>
        </w:rPr>
      </w:pPr>
    </w:p>
    <w:p>
      <w:pPr>
        <w:pStyle w:val="60"/>
        <w:jc w:val="left"/>
        <w:rPr>
          <w:rFonts w:hint="eastAsia" w:ascii="仿宋" w:hAnsi="仿宋" w:eastAsia="仿宋" w:cs="仿宋"/>
          <w:sz w:val="24"/>
          <w:szCs w:val="24"/>
          <w:lang w:val="zh-CN"/>
        </w:rPr>
      </w:pPr>
      <w:r>
        <w:rPr>
          <w:rFonts w:hint="eastAsia" w:ascii="仿宋" w:hAnsi="仿宋" w:eastAsia="仿宋" w:cs="仿宋"/>
          <w:sz w:val="24"/>
          <w:szCs w:val="24"/>
          <w:lang w:val="zh-CN"/>
        </w:rPr>
        <w:t>附件：各项考核标准：（如有新</w:t>
      </w:r>
      <w:r>
        <w:rPr>
          <w:rFonts w:hint="eastAsia" w:ascii="仿宋" w:hAnsi="仿宋" w:eastAsia="仿宋" w:cs="仿宋"/>
          <w:sz w:val="24"/>
          <w:szCs w:val="24"/>
          <w:lang w:val="en-US" w:eastAsia="zh-CN"/>
        </w:rPr>
        <w:t>考核标准</w:t>
      </w:r>
      <w:r>
        <w:rPr>
          <w:rFonts w:hint="eastAsia" w:ascii="仿宋" w:hAnsi="仿宋" w:eastAsia="仿宋" w:cs="仿宋"/>
          <w:sz w:val="24"/>
          <w:szCs w:val="24"/>
          <w:lang w:val="zh-CN"/>
        </w:rPr>
        <w:t>的，按新</w:t>
      </w:r>
      <w:r>
        <w:rPr>
          <w:rFonts w:hint="eastAsia" w:ascii="仿宋" w:hAnsi="仿宋" w:eastAsia="仿宋" w:cs="仿宋"/>
          <w:sz w:val="24"/>
          <w:szCs w:val="24"/>
          <w:lang w:val="en-US" w:eastAsia="zh-CN"/>
        </w:rPr>
        <w:t>考核标准</w:t>
      </w:r>
      <w:r>
        <w:rPr>
          <w:rFonts w:hint="eastAsia" w:ascii="仿宋" w:hAnsi="仿宋" w:eastAsia="仿宋" w:cs="仿宋"/>
          <w:sz w:val="24"/>
          <w:szCs w:val="24"/>
          <w:lang w:val="zh-CN"/>
        </w:rPr>
        <w:t>执行）</w:t>
      </w:r>
    </w:p>
    <w:p>
      <w:pPr>
        <w:pStyle w:val="60"/>
        <w:jc w:val="left"/>
        <w:rPr>
          <w:rFonts w:hint="eastAsia" w:ascii="仿宋" w:hAnsi="仿宋" w:eastAsia="仿宋" w:cs="仿宋"/>
          <w:sz w:val="24"/>
          <w:szCs w:val="24"/>
        </w:rPr>
      </w:pPr>
      <w:r>
        <w:rPr>
          <w:rFonts w:hint="eastAsia" w:ascii="仿宋" w:hAnsi="仿宋" w:eastAsia="仿宋" w:cs="仿宋"/>
          <w:sz w:val="24"/>
          <w:szCs w:val="24"/>
        </w:rPr>
        <w:t>（1）环卫道路清扫考核标准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为促进乔司街道城市管理提升，加强各管养单位的工作能力，现对乔司街道下属管养单位制定考核方案。</w:t>
      </w:r>
    </w:p>
    <w:p>
      <w:pPr>
        <w:rPr>
          <w:rFonts w:hint="eastAsia" w:ascii="仿宋" w:hAnsi="仿宋" w:eastAsia="仿宋" w:cs="仿宋"/>
          <w:sz w:val="24"/>
          <w:szCs w:val="24"/>
        </w:rPr>
      </w:pPr>
      <w:r>
        <w:rPr>
          <w:rFonts w:hint="eastAsia" w:ascii="仿宋" w:hAnsi="仿宋" w:eastAsia="仿宋" w:cs="仿宋"/>
          <w:b/>
          <w:bCs/>
          <w:sz w:val="24"/>
          <w:szCs w:val="24"/>
        </w:rPr>
        <w:t xml:space="preserve">    1.考核成绩计算</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城市化区域内</w:t>
      </w:r>
      <w:r>
        <w:rPr>
          <w:rFonts w:hint="eastAsia" w:ascii="仿宋" w:hAnsi="仿宋" w:eastAsia="仿宋" w:cs="仿宋"/>
          <w:sz w:val="24"/>
          <w:szCs w:val="24"/>
        </w:rPr>
        <w:t>管养单位（市政、绿化、保洁单位）月度成绩=街道巡查队伍自查成绩（占50%）+社区评价成绩（10%）+区级综合普查件成绩（占40%）</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城市化区域外</w:t>
      </w:r>
      <w:r>
        <w:rPr>
          <w:rFonts w:hint="eastAsia" w:ascii="仿宋" w:hAnsi="仿宋" w:eastAsia="仿宋" w:cs="仿宋"/>
          <w:sz w:val="24"/>
          <w:szCs w:val="24"/>
        </w:rPr>
        <w:t>管养单位（市政、绿化、保洁单位）道路考核月度成绩=街道巡查队伍自查成绩（占60%）+区级综合普查件成绩（占40%）</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街道巡查队伍自查问题扣分细则详见附件二，区级综合普查件问题按照A、B、C问题进行扣分，A类问题扣1分，B类问题扣2分，C类问题扣3分。</w:t>
      </w:r>
    </w:p>
    <w:p>
      <w:pPr>
        <w:ind w:left="420" w:leftChars="200"/>
        <w:rPr>
          <w:rFonts w:hint="eastAsia" w:ascii="仿宋" w:hAnsi="仿宋" w:eastAsia="仿宋" w:cs="仿宋"/>
          <w:b/>
          <w:bCs/>
          <w:sz w:val="24"/>
          <w:szCs w:val="24"/>
        </w:rPr>
      </w:pPr>
      <w:r>
        <w:rPr>
          <w:rFonts w:hint="eastAsia" w:ascii="仿宋" w:hAnsi="仿宋" w:eastAsia="仿宋" w:cs="仿宋"/>
          <w:b/>
          <w:bCs/>
          <w:sz w:val="24"/>
          <w:szCs w:val="24"/>
        </w:rPr>
        <w:t xml:space="preserve"> 2.成绩排名奖惩机制：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经街道部门会议决定，将管养单位（绿化、保洁单位）招标费用的30%作为考核费用。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考核奖=管养单位考核成绩*1%*考核费用</w:t>
      </w:r>
    </w:p>
    <w:p>
      <w:pPr>
        <w:rPr>
          <w:rFonts w:hint="eastAsia" w:ascii="仿宋" w:hAnsi="仿宋" w:eastAsia="仿宋" w:cs="仿宋"/>
          <w:sz w:val="24"/>
          <w:szCs w:val="24"/>
        </w:rPr>
      </w:pPr>
      <w:r>
        <w:rPr>
          <w:rFonts w:hint="eastAsia" w:ascii="仿宋" w:hAnsi="仿宋" w:eastAsia="仿宋" w:cs="仿宋"/>
          <w:sz w:val="24"/>
          <w:szCs w:val="24"/>
        </w:rPr>
        <w:t xml:space="preserve">    每月城市管理考核成绩出来后，对各单项考核成绩进行排名，在扣分奖罚机制上，排名第一可免除扣分，排名第二加2分后乘0.4系数，排名第三加1分后乘0.8系数，排名第四正常扣分不加分不减分，排名第五再扣1分后乘1.2系数，排名第六再扣2分后乘1.4系数，排名第七再扣3分后乘1.8系数，排名第八再扣4分后乘2.0系数。</w:t>
      </w:r>
    </w:p>
    <w:p>
      <w:pPr>
        <w:ind w:left="420" w:leftChars="200"/>
        <w:rPr>
          <w:rFonts w:hint="eastAsia" w:ascii="仿宋" w:hAnsi="仿宋" w:eastAsia="仿宋" w:cs="仿宋"/>
          <w:b/>
          <w:bCs/>
          <w:sz w:val="24"/>
          <w:szCs w:val="24"/>
        </w:rPr>
      </w:pPr>
      <w:r>
        <w:rPr>
          <w:rFonts w:hint="eastAsia" w:ascii="仿宋" w:hAnsi="仿宋" w:eastAsia="仿宋" w:cs="仿宋"/>
          <w:b/>
          <w:bCs/>
          <w:sz w:val="24"/>
          <w:szCs w:val="24"/>
        </w:rPr>
        <w:t xml:space="preserve">  3.直接奖罚机制：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市政单位月度考核成绩出来后，95分-90分扣1000元，90分-85分扣2000元，85分-75分扣3500元，75分-60分扣5000元，60分以下扣10000元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牛皮癣月度成绩出来后，95分-90分扣1000元，90分-85分扣2000元，85分-75分扣3500元，75分-60分扣5000元，60分以下扣10000元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领导交办件：街道交办一个点位问题扣2000元，区级交办一个点位问题扣4000元，市级交办一个点位问题扣6000元。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市级抄告单：市级抄告单问题每扣一分罚款1000元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区、市级红黑榜：管养单位区级红榜奖励10000元，市级红榜奖励20000元；区级黑榜罚款20000元，市级黑榜罚款40000元。</w:t>
      </w:r>
    </w:p>
    <w:p>
      <w:pPr>
        <w:pStyle w:val="60"/>
        <w:jc w:val="left"/>
        <w:rPr>
          <w:rFonts w:hint="eastAsia" w:ascii="仿宋" w:hAnsi="仿宋" w:eastAsia="仿宋" w:cs="仿宋"/>
          <w:sz w:val="24"/>
          <w:szCs w:val="24"/>
        </w:rPr>
      </w:pPr>
      <w:r>
        <w:rPr>
          <w:rFonts w:hint="eastAsia" w:ascii="仿宋" w:hAnsi="仿宋" w:eastAsia="仿宋" w:cs="仿宋"/>
          <w:b w:val="0"/>
          <w:sz w:val="24"/>
          <w:szCs w:val="24"/>
        </w:rPr>
        <w:t>问题点位媒体曝光：媒体平台(区城管局、市城管局微信公众号，新闻媒体）区级问题曝光扣20000元，市级问题曝光扣30000元，省级问题曝光扣40000元。</w:t>
      </w:r>
    </w:p>
    <w:p>
      <w:pPr>
        <w:jc w:val="left"/>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b/>
          <w:sz w:val="24"/>
          <w:szCs w:val="24"/>
        </w:rPr>
        <w:t>保洁单位考核评分细则</w:t>
      </w:r>
      <w:r>
        <w:rPr>
          <w:rFonts w:hint="eastAsia" w:ascii="仿宋" w:hAnsi="仿宋" w:eastAsia="仿宋" w:cs="仿宋"/>
          <w:b/>
          <w:bCs/>
          <w:sz w:val="24"/>
          <w:szCs w:val="24"/>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40"/>
        <w:gridCol w:w="703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0" w:type="dxa"/>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考核项目</w:t>
            </w:r>
          </w:p>
        </w:tc>
        <w:tc>
          <w:tcPr>
            <w:tcW w:w="740" w:type="dxa"/>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项目  内容</w:t>
            </w:r>
          </w:p>
        </w:tc>
        <w:tc>
          <w:tcPr>
            <w:tcW w:w="7030" w:type="dxa"/>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788" w:type="dxa"/>
            <w:noWrap w:val="0"/>
            <w:vAlign w:val="center"/>
          </w:tcPr>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考核</w:t>
            </w:r>
          </w:p>
          <w:p>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60" w:type="dxa"/>
            <w:vMerge w:val="restart"/>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道路清扫保洁（70分）</w:t>
            </w:r>
          </w:p>
        </w:tc>
        <w:tc>
          <w:tcPr>
            <w:tcW w:w="740" w:type="dxa"/>
            <w:shd w:val="clear" w:color="auto" w:fill="auto"/>
            <w:noWrap w:val="0"/>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日常 保洁</w:t>
            </w:r>
          </w:p>
        </w:tc>
        <w:tc>
          <w:tcPr>
            <w:tcW w:w="7030" w:type="dxa"/>
            <w:shd w:val="clear" w:color="auto" w:fill="FFFFFF"/>
            <w:noWrap w:val="0"/>
            <w:vAlign w:val="center"/>
          </w:tcPr>
          <w:p>
            <w:pPr>
              <w:numPr>
                <w:ilvl w:val="0"/>
                <w:numId w:val="2"/>
              </w:numPr>
              <w:spacing w:line="260" w:lineRule="exact"/>
              <w:rPr>
                <w:rFonts w:hint="eastAsia" w:ascii="仿宋" w:hAnsi="仿宋" w:eastAsia="仿宋" w:cs="仿宋"/>
                <w:sz w:val="24"/>
                <w:szCs w:val="24"/>
              </w:rPr>
            </w:pPr>
            <w:r>
              <w:rPr>
                <w:rFonts w:hint="eastAsia" w:ascii="仿宋" w:hAnsi="仿宋" w:eastAsia="仿宋" w:cs="仿宋"/>
                <w:sz w:val="24"/>
                <w:szCs w:val="24"/>
              </w:rPr>
              <w:t>未在规定时间内普扫的每条扣5分，未全路段普扫的每条扣3分，机扫路面后垃圾未吸净而形成条或小堆的或清扫时将垃圾扫入窨井、雨水井、绿地等，扣3分；恶劣天气下，应急保障不力的扣3分。2.</w:t>
            </w:r>
            <w:r>
              <w:rPr>
                <w:rFonts w:hint="eastAsia" w:ascii="仿宋" w:hAnsi="仿宋" w:eastAsia="仿宋" w:cs="仿宋"/>
                <w:kern w:val="0"/>
                <w:sz w:val="24"/>
                <w:szCs w:val="24"/>
              </w:rPr>
              <w:t>日常保洁及道路红线外3米范围内</w:t>
            </w:r>
            <w:r>
              <w:rPr>
                <w:rFonts w:hint="eastAsia" w:ascii="仿宋" w:hAnsi="仿宋" w:eastAsia="仿宋" w:cs="仿宋"/>
                <w:sz w:val="24"/>
                <w:szCs w:val="24"/>
              </w:rPr>
              <w:t>不符合环卫保洁要求每处扣1-5分，其中，道路路面、绿化带、树圈等有有色垃圾、烟蒂的，5处以上的（含）扣2分，5处以下3处以上的扣1.5分，3处以下的（含）扣1分；有卫生死角、道路外成堆暴露垃圾（0.5平方米以上）未清理每处扣5分；路面积泥（砂石）长度超过20米（含）的每处扣5分，10米以上（含）扣3分；道路侧石积尘0.5厘米（含）以上扣5分，0.2厘米（含）以上扣3分，0.1厘米（含）以上扣2分，路面污渍、污水（2平方米以内）每处扣1.5分，2平方米以上（含）扣3分；晴天道路明显积水、路面雨水井沟眼堵塞、有积泥（嵌石）每处扣2分；清扫保洁作业不规范导致路面扬尘的扣5分；道路两侧有乱涂写、乱张贴的每处扣1分。</w:t>
            </w:r>
          </w:p>
        </w:tc>
        <w:tc>
          <w:tcPr>
            <w:tcW w:w="788" w:type="dxa"/>
            <w:vMerge w:val="restart"/>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60" w:type="dxa"/>
            <w:vMerge w:val="continue"/>
            <w:shd w:val="clear" w:color="auto" w:fill="auto"/>
            <w:noWrap w:val="0"/>
            <w:vAlign w:val="center"/>
          </w:tcPr>
          <w:p>
            <w:pPr>
              <w:spacing w:line="300" w:lineRule="exact"/>
              <w:jc w:val="center"/>
              <w:rPr>
                <w:rFonts w:hint="eastAsia" w:ascii="仿宋" w:hAnsi="仿宋" w:eastAsia="仿宋" w:cs="仿宋"/>
                <w:sz w:val="24"/>
                <w:szCs w:val="24"/>
              </w:rPr>
            </w:pP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车辆 管理</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未按照规定进行洒水、机扫、清洗的每次扣2分；机扫车、洒水车未按规定使用警示灯、提示音每次扣2分。</w:t>
            </w:r>
          </w:p>
        </w:tc>
        <w:tc>
          <w:tcPr>
            <w:tcW w:w="788" w:type="dxa"/>
            <w:vMerge w:val="continue"/>
            <w:noWrap w:val="0"/>
            <w:vAlign w:val="center"/>
          </w:tcPr>
          <w:p>
            <w:pPr>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060" w:type="dxa"/>
            <w:vMerge w:val="restart"/>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垃圾收集清运处置（10分）</w:t>
            </w: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收运 处置</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发现垃圾不按规定时间处置一处扣5分，如垃圾未倒入指定地点、焚烧垃圾等。</w:t>
            </w:r>
          </w:p>
        </w:tc>
        <w:tc>
          <w:tcPr>
            <w:tcW w:w="788"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60" w:type="dxa"/>
            <w:vMerge w:val="continue"/>
            <w:shd w:val="clear" w:color="auto" w:fill="auto"/>
            <w:noWrap w:val="0"/>
            <w:vAlign w:val="center"/>
          </w:tcPr>
          <w:p>
            <w:pPr>
              <w:spacing w:line="300" w:lineRule="exact"/>
              <w:jc w:val="center"/>
              <w:rPr>
                <w:rFonts w:hint="eastAsia" w:ascii="仿宋" w:hAnsi="仿宋" w:eastAsia="仿宋" w:cs="仿宋"/>
                <w:sz w:val="24"/>
                <w:szCs w:val="24"/>
              </w:rPr>
            </w:pP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车辆 管理</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环卫专用车辆维护不到位每次扣2分；垃圾清运车发生抛洒滴漏、垃圾吊挂等每次扣5分。</w:t>
            </w:r>
          </w:p>
        </w:tc>
        <w:tc>
          <w:tcPr>
            <w:tcW w:w="788"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60" w:type="dxa"/>
            <w:vMerge w:val="restart"/>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环卫</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设施</w:t>
            </w:r>
          </w:p>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（10分）</w:t>
            </w:r>
          </w:p>
        </w:tc>
        <w:tc>
          <w:tcPr>
            <w:tcW w:w="740" w:type="dxa"/>
            <w:shd w:val="clear" w:color="auto" w:fill="auto"/>
            <w:noWrap w:val="0"/>
            <w:vAlign w:val="center"/>
          </w:tcPr>
          <w:p>
            <w:pPr>
              <w:spacing w:line="300" w:lineRule="exact"/>
              <w:jc w:val="center"/>
              <w:rPr>
                <w:rFonts w:hint="eastAsia" w:ascii="仿宋" w:hAnsi="仿宋" w:eastAsia="仿宋" w:cs="仿宋"/>
                <w:spacing w:val="-4"/>
                <w:sz w:val="24"/>
                <w:szCs w:val="24"/>
              </w:rPr>
            </w:pPr>
            <w:r>
              <w:rPr>
                <w:rFonts w:hint="eastAsia" w:ascii="仿宋" w:hAnsi="仿宋" w:eastAsia="仿宋" w:cs="仿宋"/>
                <w:spacing w:val="-4"/>
                <w:sz w:val="24"/>
                <w:szCs w:val="24"/>
              </w:rPr>
              <w:t>垃圾收集设施</w:t>
            </w:r>
          </w:p>
        </w:tc>
        <w:tc>
          <w:tcPr>
            <w:tcW w:w="7030" w:type="dxa"/>
            <w:tcBorders>
              <w:bottom w:val="single" w:color="auto" w:sz="4" w:space="0"/>
            </w:tcBorders>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垃圾收集设施设置不规范每处扣2分。垃圾收集设施出现内外不洁、满溢等每处扣1.5分；垃圾收集设施破损每处扣2分。</w:t>
            </w:r>
          </w:p>
        </w:tc>
        <w:tc>
          <w:tcPr>
            <w:tcW w:w="788" w:type="dxa"/>
            <w:tcBorders>
              <w:bottom w:val="single" w:color="auto" w:sz="4" w:space="0"/>
            </w:tcBorders>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060" w:type="dxa"/>
            <w:vMerge w:val="continue"/>
            <w:shd w:val="clear" w:color="auto" w:fill="auto"/>
            <w:noWrap w:val="0"/>
            <w:vAlign w:val="center"/>
          </w:tcPr>
          <w:p>
            <w:pPr>
              <w:spacing w:line="300" w:lineRule="exact"/>
              <w:jc w:val="center"/>
              <w:rPr>
                <w:rFonts w:hint="eastAsia" w:ascii="仿宋" w:hAnsi="仿宋" w:eastAsia="仿宋" w:cs="仿宋"/>
                <w:sz w:val="24"/>
                <w:szCs w:val="24"/>
              </w:rPr>
            </w:pP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垃圾中转站管理</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kern w:val="0"/>
                <w:sz w:val="24"/>
                <w:szCs w:val="24"/>
              </w:rPr>
              <w:t>管理制度、操作制度缺失，设施设备缺损每处扣2分。日常保洁不到位每处扣2分，如垃圾未日产日清、内外环境不洁、堆放杂物等。</w:t>
            </w:r>
          </w:p>
        </w:tc>
        <w:tc>
          <w:tcPr>
            <w:tcW w:w="788"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60" w:type="dxa"/>
            <w:vMerge w:val="restart"/>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安全监督及抄告单处置</w:t>
            </w: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（10分）</w:t>
            </w: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kern w:val="0"/>
                <w:sz w:val="24"/>
                <w:szCs w:val="24"/>
              </w:rPr>
              <w:t>安全 管理</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kern w:val="0"/>
                <w:sz w:val="24"/>
                <w:szCs w:val="24"/>
              </w:rPr>
              <w:t>环卫工人未按规定着装、不遵守交通规则、未文明规范作业，环卫车辆未设置反光标识每处</w:t>
            </w:r>
            <w:r>
              <w:rPr>
                <w:rFonts w:hint="eastAsia" w:ascii="仿宋" w:hAnsi="仿宋" w:eastAsia="仿宋" w:cs="仿宋"/>
                <w:sz w:val="24"/>
                <w:szCs w:val="24"/>
              </w:rPr>
              <w:t>扣2分</w:t>
            </w:r>
            <w:r>
              <w:rPr>
                <w:rFonts w:hint="eastAsia" w:ascii="仿宋" w:hAnsi="仿宋" w:eastAsia="仿宋" w:cs="仿宋"/>
                <w:kern w:val="0"/>
                <w:sz w:val="24"/>
                <w:szCs w:val="24"/>
              </w:rPr>
              <w:t>。</w:t>
            </w:r>
            <w:r>
              <w:rPr>
                <w:rFonts w:hint="eastAsia" w:ascii="仿宋" w:hAnsi="仿宋" w:eastAsia="仿宋" w:cs="仿宋"/>
                <w:sz w:val="24"/>
                <w:szCs w:val="24"/>
              </w:rPr>
              <w:t>因上述原因造成安全事故未上报扣2分。</w:t>
            </w:r>
          </w:p>
        </w:tc>
        <w:tc>
          <w:tcPr>
            <w:tcW w:w="788"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060" w:type="dxa"/>
            <w:vMerge w:val="continue"/>
            <w:shd w:val="clear" w:color="auto" w:fill="auto"/>
            <w:noWrap w:val="0"/>
            <w:vAlign w:val="center"/>
          </w:tcPr>
          <w:p>
            <w:pPr>
              <w:spacing w:line="300" w:lineRule="exact"/>
              <w:rPr>
                <w:rFonts w:hint="eastAsia" w:ascii="仿宋" w:hAnsi="仿宋" w:eastAsia="仿宋" w:cs="仿宋"/>
                <w:sz w:val="24"/>
                <w:szCs w:val="24"/>
              </w:rPr>
            </w:pPr>
          </w:p>
        </w:tc>
        <w:tc>
          <w:tcPr>
            <w:tcW w:w="740" w:type="dxa"/>
            <w:shd w:val="clear" w:color="auto" w:fill="auto"/>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kern w:val="0"/>
                <w:sz w:val="24"/>
                <w:szCs w:val="24"/>
              </w:rPr>
              <w:t>公众 监督</w:t>
            </w:r>
          </w:p>
        </w:tc>
        <w:tc>
          <w:tcPr>
            <w:tcW w:w="7030" w:type="dxa"/>
            <w:shd w:val="clear" w:color="auto" w:fill="FFFFFF"/>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区级媒体曝光、信访处置不力等扣2分。</w:t>
            </w:r>
          </w:p>
        </w:tc>
        <w:tc>
          <w:tcPr>
            <w:tcW w:w="788"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060" w:type="dxa"/>
            <w:vMerge w:val="continue"/>
            <w:noWrap w:val="0"/>
            <w:vAlign w:val="center"/>
          </w:tcPr>
          <w:p>
            <w:pPr>
              <w:spacing w:line="300" w:lineRule="exact"/>
              <w:rPr>
                <w:rFonts w:hint="eastAsia" w:ascii="仿宋" w:hAnsi="仿宋" w:eastAsia="仿宋" w:cs="仿宋"/>
                <w:sz w:val="24"/>
                <w:szCs w:val="24"/>
              </w:rPr>
            </w:pPr>
          </w:p>
        </w:tc>
        <w:tc>
          <w:tcPr>
            <w:tcW w:w="740" w:type="dxa"/>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kern w:val="0"/>
                <w:sz w:val="24"/>
                <w:szCs w:val="24"/>
              </w:rPr>
              <w:t>检查 监督</w:t>
            </w:r>
          </w:p>
        </w:tc>
        <w:tc>
          <w:tcPr>
            <w:tcW w:w="7030" w:type="dxa"/>
            <w:noWrap w:val="0"/>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市查、区查</w:t>
            </w:r>
            <w:r>
              <w:rPr>
                <w:rFonts w:hint="eastAsia" w:ascii="仿宋" w:hAnsi="仿宋" w:eastAsia="仿宋" w:cs="仿宋"/>
                <w:kern w:val="0"/>
                <w:sz w:val="24"/>
                <w:szCs w:val="24"/>
              </w:rPr>
              <w:t>的</w:t>
            </w:r>
            <w:r>
              <w:rPr>
                <w:rFonts w:hint="eastAsia" w:ascii="仿宋" w:hAnsi="仿宋" w:eastAsia="仿宋" w:cs="仿宋"/>
                <w:spacing w:val="-8"/>
                <w:sz w:val="24"/>
                <w:szCs w:val="24"/>
              </w:rPr>
              <w:t>涉及属地管辖内所有市容的</w:t>
            </w:r>
            <w:r>
              <w:rPr>
                <w:rFonts w:hint="eastAsia" w:ascii="仿宋" w:hAnsi="仿宋" w:eastAsia="仿宋" w:cs="仿宋"/>
                <w:kern w:val="0"/>
                <w:sz w:val="24"/>
                <w:szCs w:val="24"/>
              </w:rPr>
              <w:t>有责抄告及信访问题，</w:t>
            </w:r>
            <w:r>
              <w:rPr>
                <w:rFonts w:hint="eastAsia" w:ascii="仿宋" w:hAnsi="仿宋" w:eastAsia="仿宋" w:cs="仿宋"/>
                <w:sz w:val="24"/>
                <w:szCs w:val="24"/>
              </w:rPr>
              <w:t>每发生1件扣扣1分，整改不到位扣2分，二次抄告扣2.5分，整改不到位扣5分，三次抄告扣5分。</w:t>
            </w:r>
          </w:p>
        </w:tc>
        <w:tc>
          <w:tcPr>
            <w:tcW w:w="788" w:type="dxa"/>
            <w:noWrap w:val="0"/>
            <w:vAlign w:val="center"/>
          </w:tcPr>
          <w:p>
            <w:pPr>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1800" w:type="dxa"/>
            <w:gridSpan w:val="2"/>
            <w:noWrap w:val="0"/>
            <w:vAlign w:val="center"/>
          </w:tcPr>
          <w:p>
            <w:pPr>
              <w:widowControl/>
              <w:spacing w:line="30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030" w:type="dxa"/>
            <w:noWrap w:val="0"/>
            <w:vAlign w:val="center"/>
          </w:tcPr>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1.未尽事宜，当月可视情况酌情</w:t>
            </w:r>
            <w:r>
              <w:rPr>
                <w:rFonts w:hint="eastAsia" w:ascii="仿宋" w:hAnsi="仿宋" w:eastAsia="仿宋" w:cs="仿宋"/>
                <w:kern w:val="0"/>
                <w:sz w:val="24"/>
                <w:szCs w:val="24"/>
              </w:rPr>
              <w:t>加、扣1-5分。</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2.道路清扫保洁考核扣分比重按照一类道路100%，二类道路90%，三类道路80%，其他道路70%予以扣分。</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3.对额定抽查区块以外的区域</w:t>
            </w:r>
            <w:r>
              <w:rPr>
                <w:rFonts w:hint="eastAsia" w:ascii="仿宋" w:hAnsi="仿宋" w:eastAsia="仿宋" w:cs="仿宋"/>
                <w:spacing w:val="-8"/>
                <w:sz w:val="24"/>
                <w:szCs w:val="24"/>
              </w:rPr>
              <w:t>（包括区直部门管养护面积）</w:t>
            </w:r>
            <w:r>
              <w:rPr>
                <w:rFonts w:hint="eastAsia" w:ascii="仿宋" w:hAnsi="仿宋" w:eastAsia="仿宋" w:cs="仿宋"/>
                <w:sz w:val="24"/>
                <w:szCs w:val="24"/>
              </w:rPr>
              <w:t>实行问题抄告制。</w:t>
            </w:r>
          </w:p>
          <w:p>
            <w:pPr>
              <w:spacing w:line="320" w:lineRule="exac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pacing w:val="-8"/>
                <w:sz w:val="24"/>
                <w:szCs w:val="24"/>
              </w:rPr>
              <w:t>根据难易度系数拆算最终得分。</w:t>
            </w:r>
          </w:p>
          <w:p>
            <w:pPr>
              <w:widowControl/>
              <w:spacing w:line="300" w:lineRule="exact"/>
              <w:rPr>
                <w:rFonts w:hint="eastAsia" w:ascii="仿宋" w:hAnsi="仿宋" w:eastAsia="仿宋" w:cs="仿宋"/>
                <w:sz w:val="24"/>
                <w:szCs w:val="24"/>
              </w:rPr>
            </w:pPr>
            <w:r>
              <w:rPr>
                <w:rFonts w:hint="eastAsia" w:ascii="仿宋" w:hAnsi="仿宋" w:eastAsia="仿宋" w:cs="仿宋"/>
                <w:sz w:val="24"/>
                <w:szCs w:val="24"/>
              </w:rPr>
              <w:t>5.考核总分为100分，每项扣分不超过项目的分值，分数扣完为止。</w:t>
            </w:r>
          </w:p>
        </w:tc>
        <w:tc>
          <w:tcPr>
            <w:tcW w:w="788" w:type="dxa"/>
            <w:noWrap w:val="0"/>
            <w:vAlign w:val="center"/>
          </w:tcPr>
          <w:p>
            <w:pPr>
              <w:spacing w:line="300" w:lineRule="exact"/>
              <w:rPr>
                <w:rFonts w:hint="eastAsia" w:ascii="仿宋" w:hAnsi="仿宋" w:eastAsia="仿宋" w:cs="仿宋"/>
                <w:sz w:val="24"/>
                <w:szCs w:val="24"/>
              </w:rPr>
            </w:pPr>
          </w:p>
        </w:tc>
      </w:tr>
    </w:tbl>
    <w:p>
      <w:pPr>
        <w:pStyle w:val="60"/>
        <w:jc w:val="left"/>
        <w:rPr>
          <w:rFonts w:hint="eastAsia" w:ascii="仿宋" w:hAnsi="仿宋" w:eastAsia="仿宋" w:cs="仿宋"/>
          <w:sz w:val="24"/>
          <w:szCs w:val="24"/>
        </w:rPr>
      </w:pPr>
      <w:r>
        <w:rPr>
          <w:rFonts w:hint="eastAsia" w:ascii="仿宋" w:hAnsi="仿宋" w:eastAsia="仿宋" w:cs="仿宋"/>
          <w:sz w:val="24"/>
          <w:szCs w:val="24"/>
        </w:rPr>
        <w:t>（2）绿化养护考核标准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1.考核成绩计算</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城市化区域内</w:t>
      </w:r>
      <w:r>
        <w:rPr>
          <w:rFonts w:hint="eastAsia" w:ascii="仿宋" w:hAnsi="仿宋" w:eastAsia="仿宋" w:cs="仿宋"/>
          <w:sz w:val="24"/>
          <w:szCs w:val="24"/>
        </w:rPr>
        <w:t>管养单位（市政、绿化、保洁单位）月度成绩=街道巡查队伍自查成绩（占50%）+社区评价成绩（10%）+区级综合普查件成绩（占40%）</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城市化区域外</w:t>
      </w:r>
      <w:r>
        <w:rPr>
          <w:rFonts w:hint="eastAsia" w:ascii="仿宋" w:hAnsi="仿宋" w:eastAsia="仿宋" w:cs="仿宋"/>
          <w:sz w:val="24"/>
          <w:szCs w:val="24"/>
        </w:rPr>
        <w:t>管养单位（市政、绿化、保洁单位）道路考核月度成绩=街道巡查队伍自查成绩（占60%）+区级综合普查件成绩（占40%）</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街道巡查队伍自查问题扣分细则详见附件二，区级综合普查件问题按照A、B、C问题进行扣分，A类问题扣1分，B类问题扣2分，C类问题扣3分。</w:t>
      </w:r>
    </w:p>
    <w:p>
      <w:pPr>
        <w:ind w:left="420" w:leftChars="200"/>
        <w:rPr>
          <w:rFonts w:hint="eastAsia" w:ascii="仿宋" w:hAnsi="仿宋" w:eastAsia="仿宋" w:cs="仿宋"/>
          <w:b/>
          <w:bCs/>
          <w:sz w:val="24"/>
          <w:szCs w:val="24"/>
        </w:rPr>
      </w:pPr>
      <w:r>
        <w:rPr>
          <w:rFonts w:hint="eastAsia" w:ascii="仿宋" w:hAnsi="仿宋" w:eastAsia="仿宋" w:cs="仿宋"/>
          <w:b/>
          <w:bCs/>
          <w:sz w:val="24"/>
          <w:szCs w:val="24"/>
        </w:rPr>
        <w:t xml:space="preserve"> 2.成绩排名奖惩机制：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经街道部门会议决定，将管养单位（绿化、保洁单位）招标费用的30%作为考核费用。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考核奖=管养单位考核成绩*1%*考核费用</w:t>
      </w:r>
    </w:p>
    <w:p>
      <w:pPr>
        <w:rPr>
          <w:rFonts w:hint="eastAsia" w:ascii="仿宋" w:hAnsi="仿宋" w:eastAsia="仿宋" w:cs="仿宋"/>
          <w:sz w:val="24"/>
          <w:szCs w:val="24"/>
        </w:rPr>
      </w:pPr>
      <w:r>
        <w:rPr>
          <w:rFonts w:hint="eastAsia" w:ascii="仿宋" w:hAnsi="仿宋" w:eastAsia="仿宋" w:cs="仿宋"/>
          <w:sz w:val="24"/>
          <w:szCs w:val="24"/>
        </w:rPr>
        <w:t xml:space="preserve">    每月城市管理考核成绩出来后，对各单项考核成绩进行排名，在扣分奖罚机制上，排名第一可免除扣分，排名第二加2分后乘0.4系数，排名第三加1分后乘0.8系数，排名第四正常扣分不加分不减分，排名第五再扣1分后乘1.2系数，排名第六再扣2分后乘1.4系数，排名第七再扣3分后乘1.8系数，排名第八再扣4分后乘2.0系数。</w:t>
      </w:r>
    </w:p>
    <w:p>
      <w:pPr>
        <w:ind w:left="420" w:leftChars="200"/>
        <w:rPr>
          <w:rFonts w:hint="eastAsia" w:ascii="仿宋" w:hAnsi="仿宋" w:eastAsia="仿宋" w:cs="仿宋"/>
          <w:b/>
          <w:bCs/>
          <w:sz w:val="24"/>
          <w:szCs w:val="24"/>
        </w:rPr>
      </w:pPr>
      <w:r>
        <w:rPr>
          <w:rFonts w:hint="eastAsia" w:ascii="仿宋" w:hAnsi="仿宋" w:eastAsia="仿宋" w:cs="仿宋"/>
          <w:b/>
          <w:bCs/>
          <w:sz w:val="24"/>
          <w:szCs w:val="24"/>
        </w:rPr>
        <w:t xml:space="preserve">  3.直接奖罚机制：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市政单位月度考核成绩出来后，95分-90分扣1000元，90分-85分扣2000元，85分-75分扣3500元，75分-60分扣5000元，60分以下扣10000元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牛皮癣月度成绩出来后，95分-90分扣1000元，90分-85分扣2000元，85分-75分扣3500元，75分-60分扣5000元，60分以下扣10000元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领导交办件：街道交办一个点位问题扣2000元，区级交办一个点位问题扣4000元，市级交办一个点位问题扣6000元。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市级抄告单：市级抄告单问题每扣一分罚款1000元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区、市级红黑榜：管养单位区级红榜奖励10000元，市级红榜奖励20000元；区级黑榜罚款20000元，市级黑榜罚款40000元。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问题点位媒体曝光：媒体平台(区城管局、市城管局微信公众号，新闻媒体）区级问题曝光扣20000元，市级问题曝光扣30000元，省级问题曝光扣40000元</w:t>
      </w:r>
    </w:p>
    <w:p>
      <w:pPr>
        <w:spacing w:line="590" w:lineRule="exact"/>
        <w:jc w:val="center"/>
        <w:rPr>
          <w:rFonts w:hint="eastAsia" w:ascii="仿宋" w:hAnsi="仿宋" w:eastAsia="仿宋" w:cs="仿宋"/>
          <w:b/>
          <w:bCs/>
          <w:sz w:val="24"/>
          <w:szCs w:val="24"/>
        </w:rPr>
      </w:pPr>
      <w:r>
        <w:rPr>
          <w:rFonts w:hint="eastAsia" w:ascii="仿宋" w:hAnsi="仿宋" w:eastAsia="仿宋" w:cs="仿宋"/>
          <w:b/>
          <w:bCs/>
          <w:sz w:val="24"/>
          <w:szCs w:val="24"/>
        </w:rPr>
        <w:t>绿化单位考核评分细则</w:t>
      </w:r>
    </w:p>
    <w:p>
      <w:pPr>
        <w:rPr>
          <w:rFonts w:hint="eastAsia" w:ascii="仿宋" w:hAnsi="仿宋" w:eastAsia="仿宋" w:cs="仿宋"/>
          <w:b/>
          <w:sz w:val="24"/>
          <w:szCs w:val="24"/>
        </w:rPr>
      </w:pPr>
      <w:r>
        <w:rPr>
          <w:rFonts w:hint="eastAsia" w:ascii="仿宋" w:hAnsi="仿宋" w:eastAsia="仿宋" w:cs="仿宋"/>
          <w:b/>
          <w:sz w:val="24"/>
          <w:szCs w:val="24"/>
        </w:rPr>
        <w:t xml:space="preserve">         </w:t>
      </w:r>
    </w:p>
    <w:tbl>
      <w:tblPr>
        <w:tblStyle w:val="64"/>
        <w:tblW w:w="0" w:type="auto"/>
        <w:tblInd w:w="93" w:type="dxa"/>
        <w:tblLayout w:type="fixed"/>
        <w:tblCellMar>
          <w:top w:w="0" w:type="dxa"/>
          <w:left w:w="108" w:type="dxa"/>
          <w:bottom w:w="0" w:type="dxa"/>
          <w:right w:w="108" w:type="dxa"/>
        </w:tblCellMar>
      </w:tblPr>
      <w:tblGrid>
        <w:gridCol w:w="900"/>
        <w:gridCol w:w="7538"/>
        <w:gridCol w:w="834"/>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考核</w:t>
            </w:r>
          </w:p>
          <w:p>
            <w:pPr>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项目</w:t>
            </w:r>
          </w:p>
        </w:tc>
        <w:tc>
          <w:tcPr>
            <w:tcW w:w="753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评分细则</w:t>
            </w:r>
          </w:p>
        </w:tc>
        <w:tc>
          <w:tcPr>
            <w:tcW w:w="83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考核</w:t>
            </w:r>
          </w:p>
          <w:p>
            <w:pPr>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分值</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植</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物</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基</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本</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养</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护</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60分</w:t>
            </w: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行道树和乔木死株、缺株，每处扣3-5分。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行道树和乔木支撑不规范、支撑架倒塌、断桩、坏桩、树木倾斜严重，每处扣2分。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行道树和乔木病虫枝、枯枝、伤损枝、徒长枝超过养护标准的，未疏枝、树皮开裂、孔洞未及时填补，每处扣2分；修剪不规范造成树木严重受损的，每处扣3分，沿线出现严重修剪问题每次扣5-10分。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行道树和乔木长势不佳、偏冠严重、无冠幅，每处扣2分；树木长势较弱，黄叶、焦叶、落叶株数较多，每处扣2分。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树穴土壤高于侧石、板结、填充物缺失，每处扣2分；0.5平方米以内树穴裸露扣2分，超出0.5平方米每处扣3分。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绿篱和灌木出现死株、缺株、混种、小道、杂株返祖的、绿植倒伏，每处2分；0.5平方米以内黄土裸露每处扣2分，超出0.5平方米每处扣3分。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绿篱和灌木修剪不规范、不平整、窜条、高度影响交通视线的，每处扣2-3分。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草坪高度超出养护标准、草坪边缘不清淅、草坪空秃、草坪覆盖率低的，每处扣1分，0.5平方米以内黄土裸露的，每处扣2分，超出0.5平方米每处扣3分。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绿地内杂草超过养护标准的，每处扣2分。 </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花坛花箱内时花缺株、倒伏、枯枝残花、杂草垃圾等每处扣2分。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绿化补种不规范、以及绿地养护出现其他问题的每处扣2分;管养区域内绿地失管每处扣5-10分。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bottom w:val="single" w:color="000000"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病</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虫</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害</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防</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治</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10分</w:t>
            </w: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发生病虫害每处扣2分</w:t>
            </w:r>
            <w:r>
              <w:rPr>
                <w:rFonts w:hint="eastAsia" w:ascii="仿宋" w:hAnsi="仿宋" w:eastAsia="仿宋" w:cs="仿宋"/>
                <w:b/>
                <w:bCs/>
                <w:kern w:val="0"/>
                <w:sz w:val="24"/>
                <w:szCs w:val="24"/>
              </w:rPr>
              <w:t>，</w:t>
            </w:r>
            <w:r>
              <w:rPr>
                <w:rFonts w:hint="eastAsia" w:ascii="仿宋" w:hAnsi="仿宋" w:eastAsia="仿宋" w:cs="仿宋"/>
                <w:kern w:val="0"/>
                <w:sz w:val="24"/>
                <w:szCs w:val="24"/>
              </w:rPr>
              <w:t>大面积爆发扣5分</w:t>
            </w:r>
            <w:r>
              <w:rPr>
                <w:rFonts w:hint="eastAsia" w:ascii="仿宋" w:hAnsi="仿宋" w:eastAsia="仿宋" w:cs="仿宋"/>
                <w:b/>
                <w:bCs/>
                <w:kern w:val="0"/>
                <w:sz w:val="24"/>
                <w:szCs w:val="24"/>
              </w:rPr>
              <w:t>。</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发现病虫害未及时进行防治措施的每处扣3分。病虫害防治措施不到位的每处扣3分。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食叶性害虫危害树木，每处扣2分。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发现活蛀虫和活卵，每处扣2分。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绿化</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设施</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10分</w:t>
            </w: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花箱、花坛、树穴破损、缺失扣2分，其他设施缺失扣2分。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公园及绿地内果壳箱有污迹、破损，箱内垃圾未日产日清的，每处扣2分。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设施有污迹、破损，金属构件设施有锈斑，油漆剥落等现象的每处扣2分，公园设施存在明显安全隐患，未采取安全措施的，每处扣5分。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p>
            <w:pPr>
              <w:spacing w:line="320" w:lineRule="exact"/>
              <w:jc w:val="center"/>
              <w:rPr>
                <w:rFonts w:hint="eastAsia" w:ascii="仿宋" w:hAnsi="仿宋" w:eastAsia="仿宋" w:cs="仿宋"/>
                <w:kern w:val="0"/>
                <w:sz w:val="24"/>
                <w:szCs w:val="24"/>
              </w:rPr>
            </w:pP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卫生及</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p>
            <w:pPr>
              <w:spacing w:line="320" w:lineRule="exact"/>
              <w:jc w:val="center"/>
              <w:rPr>
                <w:rFonts w:hint="eastAsia" w:ascii="仿宋" w:hAnsi="仿宋" w:eastAsia="仿宋" w:cs="仿宋"/>
                <w:kern w:val="0"/>
                <w:sz w:val="24"/>
                <w:szCs w:val="24"/>
              </w:rPr>
            </w:pPr>
          </w:p>
        </w:tc>
        <w:tc>
          <w:tcPr>
            <w:tcW w:w="75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树上及绿带内有垃圾袋、零乱草绳、钉子、扎缚铁丝、电线、挂晾晒衣物、堆物、渣土积泥等，每处扣2分。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绿地内有明显枯叶堆积、白色垃圾、石块、果壳等杂物的每处扣2分。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乔木及绿带积尘明显每处扣2分，沿线绿带色块叶面积灰严重的每处扣3-5分。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管养人员不到位，养护人员上路作业不穿工作服，不文明作业的，每发现1次扣3分；应急结束，因应急设施、设备未拆除影响道路通行安全的，每处扣2分，</w:t>
            </w:r>
            <w:r>
              <w:rPr>
                <w:rFonts w:hint="eastAsia" w:ascii="仿宋" w:hAnsi="仿宋" w:eastAsia="仿宋" w:cs="仿宋"/>
                <w:sz w:val="24"/>
                <w:szCs w:val="24"/>
              </w:rPr>
              <w:t>不文明施工，无围护扣5分、围护不到位扣3分</w:t>
            </w:r>
            <w:r>
              <w:rPr>
                <w:rFonts w:hint="eastAsia" w:ascii="仿宋" w:hAnsi="仿宋" w:eastAsia="仿宋" w:cs="仿宋"/>
                <w:kern w:val="0"/>
                <w:sz w:val="24"/>
                <w:szCs w:val="24"/>
              </w:rPr>
              <w:t>。</w:t>
            </w:r>
          </w:p>
        </w:tc>
        <w:tc>
          <w:tcPr>
            <w:tcW w:w="8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抗雪防冻、防寒保暖、抗旱保绿、防高温等应急工作不到位的每处扣5-10分。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sz w:val="24"/>
                <w:szCs w:val="24"/>
              </w:rPr>
              <w:t>未经审批私自开挖绿地或未按绿化养护规范要求恢复等每处扣3分。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540" w:hRule="atLeast"/>
        </w:trPr>
        <w:tc>
          <w:tcPr>
            <w:tcW w:w="900"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整体</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景观</w:t>
            </w:r>
          </w:p>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5分</w:t>
            </w:r>
          </w:p>
        </w:tc>
        <w:tc>
          <w:tcPr>
            <w:tcW w:w="753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养护不当造成植物季相不分明，色彩不丰富，生长不茂盛，植物群落不完整、无绿带布置等影响整体景观效果的扣5分。</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336" w:hRule="atLeast"/>
        </w:trPr>
        <w:tc>
          <w:tcPr>
            <w:tcW w:w="900"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抄告</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单处理情况及专项台帐检查</w:t>
            </w:r>
          </w:p>
          <w:p>
            <w:pPr>
              <w:spacing w:line="320" w:lineRule="exact"/>
              <w:jc w:val="center"/>
              <w:rPr>
                <w:rFonts w:hint="eastAsia" w:ascii="仿宋" w:hAnsi="仿宋" w:eastAsia="仿宋" w:cs="仿宋"/>
                <w:strike/>
                <w:kern w:val="0"/>
                <w:sz w:val="24"/>
                <w:szCs w:val="24"/>
              </w:rPr>
            </w:pPr>
            <w:r>
              <w:rPr>
                <w:rFonts w:hint="eastAsia" w:ascii="仿宋" w:hAnsi="仿宋" w:eastAsia="仿宋" w:cs="仿宋"/>
                <w:kern w:val="0"/>
                <w:sz w:val="24"/>
                <w:szCs w:val="24"/>
              </w:rPr>
              <w:t>5分</w:t>
            </w:r>
          </w:p>
        </w:tc>
        <w:tc>
          <w:tcPr>
            <w:tcW w:w="7538" w:type="dxa"/>
            <w:tcBorders>
              <w:top w:val="nil"/>
              <w:left w:val="nil"/>
              <w:bottom w:val="single" w:color="auto" w:sz="4" w:space="0"/>
              <w:right w:val="single" w:color="auto" w:sz="4" w:space="0"/>
            </w:tcBorders>
            <w:noWrap w:val="0"/>
            <w:vAlign w:val="center"/>
          </w:tcPr>
          <w:p>
            <w:pPr>
              <w:widowControl/>
              <w:numPr>
                <w:ilvl w:val="0"/>
                <w:numId w:val="3"/>
              </w:numPr>
              <w:jc w:val="left"/>
              <w:rPr>
                <w:rFonts w:hint="eastAsia" w:ascii="仿宋" w:hAnsi="仿宋" w:eastAsia="仿宋" w:cs="仿宋"/>
                <w:kern w:val="0"/>
                <w:sz w:val="24"/>
                <w:szCs w:val="24"/>
              </w:rPr>
            </w:pPr>
            <w:r>
              <w:rPr>
                <w:rFonts w:hint="eastAsia" w:ascii="仿宋" w:hAnsi="仿宋" w:eastAsia="仿宋" w:cs="仿宋"/>
                <w:kern w:val="0"/>
                <w:sz w:val="24"/>
                <w:szCs w:val="24"/>
              </w:rPr>
              <w:t>市查、区查的</w:t>
            </w:r>
            <w:r>
              <w:rPr>
                <w:rFonts w:hint="eastAsia" w:ascii="仿宋" w:hAnsi="仿宋" w:eastAsia="仿宋" w:cs="仿宋"/>
                <w:spacing w:val="-8"/>
                <w:sz w:val="24"/>
                <w:szCs w:val="24"/>
              </w:rPr>
              <w:t>涉及属地管辖内（包括区直部门管养护面积）的</w:t>
            </w:r>
            <w:r>
              <w:rPr>
                <w:rFonts w:hint="eastAsia" w:ascii="仿宋" w:hAnsi="仿宋" w:eastAsia="仿宋" w:cs="仿宋"/>
                <w:kern w:val="0"/>
                <w:sz w:val="24"/>
                <w:szCs w:val="24"/>
              </w:rPr>
              <w:t>有责抄告及信访问题二</w:t>
            </w:r>
            <w:r>
              <w:rPr>
                <w:rFonts w:hint="eastAsia" w:ascii="仿宋" w:hAnsi="仿宋" w:eastAsia="仿宋" w:cs="仿宋"/>
                <w:spacing w:val="-8"/>
                <w:sz w:val="24"/>
                <w:szCs w:val="24"/>
              </w:rPr>
              <w:t>次抄告每件扣</w:t>
            </w:r>
            <w:r>
              <w:rPr>
                <w:rFonts w:hint="eastAsia" w:ascii="仿宋" w:hAnsi="仿宋" w:eastAsia="仿宋" w:cs="仿宋"/>
                <w:sz w:val="24"/>
                <w:szCs w:val="24"/>
              </w:rPr>
              <w:t xml:space="preserve">3分 </w:t>
            </w:r>
            <w:r>
              <w:rPr>
                <w:rFonts w:hint="eastAsia" w:ascii="仿宋" w:hAnsi="仿宋" w:eastAsia="仿宋" w:cs="仿宋"/>
                <w:spacing w:val="-8"/>
                <w:sz w:val="24"/>
                <w:szCs w:val="24"/>
              </w:rPr>
              <w:t>，三次及以上抄告扣</w:t>
            </w:r>
            <w:r>
              <w:rPr>
                <w:rFonts w:hint="eastAsia" w:ascii="仿宋" w:hAnsi="仿宋" w:eastAsia="仿宋" w:cs="仿宋"/>
                <w:sz w:val="24"/>
                <w:szCs w:val="24"/>
              </w:rPr>
              <w:t>5分</w:t>
            </w:r>
            <w:r>
              <w:rPr>
                <w:rFonts w:hint="eastAsia" w:ascii="仿宋" w:hAnsi="仿宋" w:eastAsia="仿宋" w:cs="仿宋"/>
                <w:spacing w:val="-8"/>
                <w:sz w:val="24"/>
                <w:szCs w:val="24"/>
              </w:rPr>
              <w:t>；</w:t>
            </w:r>
            <w:r>
              <w:rPr>
                <w:rFonts w:hint="eastAsia" w:ascii="仿宋" w:hAnsi="仿宋" w:eastAsia="仿宋" w:cs="仿宋"/>
                <w:kern w:val="0"/>
                <w:sz w:val="24"/>
                <w:szCs w:val="24"/>
              </w:rPr>
              <w:t>发生区级媒体曝光每件扣</w:t>
            </w:r>
            <w:r>
              <w:rPr>
                <w:rFonts w:hint="eastAsia" w:ascii="仿宋" w:hAnsi="仿宋" w:eastAsia="仿宋" w:cs="仿宋"/>
                <w:sz w:val="24"/>
                <w:szCs w:val="24"/>
              </w:rPr>
              <w:t>2分</w:t>
            </w:r>
            <w:r>
              <w:rPr>
                <w:rFonts w:hint="eastAsia" w:ascii="仿宋" w:hAnsi="仿宋" w:eastAsia="仿宋" w:cs="仿宋"/>
                <w:kern w:val="0"/>
                <w:sz w:val="24"/>
                <w:szCs w:val="24"/>
              </w:rPr>
              <w:t>，被区级以上领导批示批评的每件</w:t>
            </w:r>
            <w:r>
              <w:rPr>
                <w:rFonts w:hint="eastAsia" w:ascii="仿宋" w:hAnsi="仿宋" w:eastAsia="仿宋" w:cs="仿宋"/>
                <w:sz w:val="24"/>
                <w:szCs w:val="24"/>
              </w:rPr>
              <w:t>5分；联系函、抄告单等超时回复或不回复的每次扣3-5分</w:t>
            </w:r>
            <w:r>
              <w:rPr>
                <w:rFonts w:hint="eastAsia" w:ascii="仿宋" w:hAnsi="仿宋" w:eastAsia="仿宋" w:cs="仿宋"/>
                <w:kern w:val="0"/>
                <w:sz w:val="24"/>
                <w:szCs w:val="24"/>
              </w:rPr>
              <w:t>。</w:t>
            </w:r>
          </w:p>
          <w:p>
            <w:pPr>
              <w:widowControl/>
              <w:numPr>
                <w:ilvl w:val="0"/>
                <w:numId w:val="4"/>
              </w:numPr>
              <w:jc w:val="left"/>
              <w:rPr>
                <w:rFonts w:hint="eastAsia" w:ascii="仿宋" w:hAnsi="仿宋" w:eastAsia="仿宋" w:cs="仿宋"/>
                <w:kern w:val="0"/>
                <w:sz w:val="24"/>
                <w:szCs w:val="24"/>
              </w:rPr>
            </w:pPr>
            <w:r>
              <w:rPr>
                <w:rFonts w:hint="eastAsia" w:ascii="仿宋" w:hAnsi="仿宋" w:eastAsia="仿宋" w:cs="仿宋"/>
                <w:kern w:val="0"/>
                <w:sz w:val="24"/>
                <w:szCs w:val="24"/>
              </w:rPr>
              <w:t>绿化巡查台帐及绿化施肥、病虫害防治、植物修剪等专项养护台帐检查</w:t>
            </w:r>
            <w:r>
              <w:rPr>
                <w:rFonts w:hint="eastAsia" w:ascii="仿宋" w:hAnsi="仿宋" w:eastAsia="仿宋" w:cs="仿宋"/>
                <w:spacing w:val="-8"/>
                <w:sz w:val="24"/>
                <w:szCs w:val="24"/>
              </w:rPr>
              <w:t>未完成、弄虚作假扣5分。</w:t>
            </w:r>
          </w:p>
        </w:tc>
        <w:tc>
          <w:tcPr>
            <w:tcW w:w="834"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495" w:hRule="atLeast"/>
        </w:trPr>
        <w:tc>
          <w:tcPr>
            <w:tcW w:w="8438"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评分合计</w:t>
            </w:r>
          </w:p>
        </w:tc>
        <w:tc>
          <w:tcPr>
            <w:tcW w:w="8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4"/>
                <w:szCs w:val="24"/>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c>
          <w:tcPr>
            <w:tcW w:w="8372" w:type="dxa"/>
            <w:gridSpan w:val="2"/>
            <w:tcBorders>
              <w:top w:val="single" w:color="auto" w:sz="4" w:space="0"/>
              <w:left w:val="nil"/>
              <w:bottom w:val="single" w:color="auto" w:sz="4" w:space="0"/>
              <w:right w:val="single" w:color="000000" w:sz="4" w:space="0"/>
            </w:tcBorders>
            <w:noWrap w:val="0"/>
            <w:vAlign w:val="center"/>
          </w:tcPr>
          <w:p>
            <w:pPr>
              <w:spacing w:line="320" w:lineRule="exact"/>
              <w:rPr>
                <w:rFonts w:hint="eastAsia" w:ascii="仿宋" w:hAnsi="仿宋" w:eastAsia="仿宋" w:cs="仿宋"/>
                <w:spacing w:val="-8"/>
                <w:sz w:val="24"/>
                <w:szCs w:val="24"/>
              </w:rPr>
            </w:pPr>
            <w:r>
              <w:rPr>
                <w:rFonts w:hint="eastAsia" w:ascii="仿宋" w:hAnsi="仿宋" w:eastAsia="仿宋" w:cs="仿宋"/>
                <w:spacing w:val="-8"/>
                <w:sz w:val="24"/>
                <w:szCs w:val="24"/>
              </w:rPr>
              <w:t>1、未尽事宜（如市“绿化双最”评比等市、区相关绿化工作），考核视情况加或扣1-5分。</w:t>
            </w:r>
          </w:p>
          <w:p>
            <w:pPr>
              <w:widowControl/>
              <w:jc w:val="left"/>
              <w:rPr>
                <w:rFonts w:hint="eastAsia" w:ascii="仿宋" w:hAnsi="仿宋" w:eastAsia="仿宋" w:cs="仿宋"/>
                <w:spacing w:val="-8"/>
                <w:sz w:val="24"/>
                <w:szCs w:val="24"/>
              </w:rPr>
            </w:pPr>
            <w:r>
              <w:rPr>
                <w:rFonts w:hint="eastAsia" w:ascii="仿宋" w:hAnsi="仿宋" w:eastAsia="仿宋" w:cs="仿宋"/>
                <w:spacing w:val="-8"/>
                <w:sz w:val="24"/>
                <w:szCs w:val="24"/>
              </w:rPr>
              <w:t>2、公共绿地管养考核扣分比重按照一类道路100%，二类道路90%，三类道路80%，其它道路70%予以扣分。</w:t>
            </w:r>
          </w:p>
          <w:p>
            <w:pPr>
              <w:widowControl/>
              <w:jc w:val="left"/>
              <w:rPr>
                <w:rFonts w:hint="eastAsia" w:ascii="仿宋" w:hAnsi="仿宋" w:eastAsia="仿宋" w:cs="仿宋"/>
                <w:spacing w:val="-8"/>
                <w:sz w:val="24"/>
                <w:szCs w:val="24"/>
              </w:rPr>
            </w:pPr>
            <w:r>
              <w:rPr>
                <w:rFonts w:hint="eastAsia" w:ascii="仿宋" w:hAnsi="仿宋" w:eastAsia="仿宋" w:cs="仿宋"/>
                <w:spacing w:val="-8"/>
                <w:sz w:val="24"/>
                <w:szCs w:val="24"/>
              </w:rPr>
              <w:t>3、根据难易度系数拆算最终得分。</w:t>
            </w:r>
          </w:p>
          <w:p>
            <w:pPr>
              <w:widowControl/>
              <w:jc w:val="left"/>
              <w:rPr>
                <w:rFonts w:hint="eastAsia" w:ascii="仿宋" w:hAnsi="仿宋" w:eastAsia="仿宋" w:cs="仿宋"/>
                <w:spacing w:val="-8"/>
                <w:sz w:val="24"/>
                <w:szCs w:val="24"/>
              </w:rPr>
            </w:pPr>
            <w:r>
              <w:rPr>
                <w:rFonts w:hint="eastAsia" w:ascii="仿宋" w:hAnsi="仿宋" w:eastAsia="仿宋" w:cs="仿宋"/>
                <w:spacing w:val="-8"/>
                <w:sz w:val="24"/>
                <w:szCs w:val="24"/>
              </w:rPr>
              <w:t>4、</w:t>
            </w:r>
            <w:r>
              <w:rPr>
                <w:rFonts w:hint="eastAsia" w:ascii="仿宋" w:hAnsi="仿宋" w:eastAsia="仿宋" w:cs="仿宋"/>
                <w:sz w:val="24"/>
                <w:szCs w:val="24"/>
              </w:rPr>
              <w:t>考核总分为100分，每项扣分不超过项目的分值，分数扣完为止。</w:t>
            </w:r>
          </w:p>
        </w:tc>
      </w:tr>
    </w:tbl>
    <w:p>
      <w:pPr>
        <w:pStyle w:val="60"/>
        <w:jc w:val="left"/>
        <w:rPr>
          <w:rFonts w:hint="eastAsia" w:ascii="仿宋" w:hAnsi="仿宋" w:eastAsia="仿宋" w:cs="仿宋"/>
          <w:sz w:val="24"/>
          <w:szCs w:val="24"/>
        </w:rPr>
      </w:pPr>
    </w:p>
    <w:p>
      <w:pPr>
        <w:pStyle w:val="60"/>
        <w:jc w:val="left"/>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（3）公厕保洁考核标准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rPr>
          <w:rFonts w:hint="eastAsia" w:ascii="仿宋" w:hAnsi="仿宋" w:eastAsia="仿宋" w:cs="仿宋"/>
          <w:sz w:val="24"/>
          <w:szCs w:val="24"/>
        </w:rPr>
      </w:pPr>
      <w:r>
        <w:rPr>
          <w:rFonts w:hint="eastAsia" w:ascii="仿宋" w:hAnsi="仿宋" w:eastAsia="仿宋" w:cs="仿宋"/>
          <w:sz w:val="24"/>
          <w:szCs w:val="24"/>
        </w:rPr>
        <w:t xml:space="preserve">    甲方根据考核办法每季度月末前组织人员对乙方保洁情况进行现场检查考核。考核结果与服务金额支付挂钩。考核结果分为一档、二档、三档、四档。考核得分在90分以上（含）为一档，80分（含）至90分为二档，70分（含）至80分为三档，70分以下为四档。考核为一档，100%支付服务考核费用。考核为二档，按照90%支付服务考核费用。考核为三档，按照80%支付服务考核费用。考核为四档，按照70%支付服务考核费用。保洁费以季度为结算周期，每个季度期满后的第一个月内完成支付。如遇连续两季度费用未支付，乙方有权停止服务。  </w:t>
      </w:r>
    </w:p>
    <w:p>
      <w:pPr>
        <w:rPr>
          <w:rFonts w:hint="eastAsia" w:ascii="仿宋" w:hAnsi="仿宋" w:eastAsia="仿宋" w:cs="仿宋"/>
          <w:sz w:val="24"/>
          <w:szCs w:val="24"/>
        </w:rPr>
      </w:pPr>
      <w:r>
        <w:rPr>
          <w:rFonts w:hint="eastAsia" w:ascii="仿宋" w:hAnsi="仿宋" w:eastAsia="仿宋" w:cs="仿宋"/>
          <w:sz w:val="24"/>
          <w:szCs w:val="24"/>
        </w:rPr>
        <w:t xml:space="preserve">    甲方对乙方的管理项目实施日常监管及考核,考核不合格,甲方有权扣付部分经费,如多次考核不合格甲方有权单方面终止合同。</w:t>
      </w: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临平区</w:t>
      </w:r>
      <w:r>
        <w:rPr>
          <w:rFonts w:hint="eastAsia" w:ascii="仿宋" w:hAnsi="仿宋" w:eastAsia="仿宋" w:cs="仿宋"/>
          <w:sz w:val="24"/>
          <w:szCs w:val="24"/>
        </w:rPr>
        <w:t>城市化管理范围内公厕分类管理现场评分标准</w:t>
      </w:r>
    </w:p>
    <w:p>
      <w:pPr>
        <w:spacing w:line="360" w:lineRule="auto"/>
        <w:jc w:val="left"/>
        <w:rPr>
          <w:rFonts w:hint="eastAsia" w:ascii="仿宋" w:hAnsi="仿宋" w:eastAsia="仿宋" w:cs="仿宋"/>
          <w:sz w:val="24"/>
          <w:szCs w:val="24"/>
        </w:rPr>
      </w:pPr>
      <w:r>
        <w:rPr>
          <w:rFonts w:hint="eastAsia" w:ascii="仿宋" w:hAnsi="仿宋" w:eastAsia="仿宋" w:cs="仿宋"/>
          <w:b/>
          <w:sz w:val="24"/>
          <w:szCs w:val="24"/>
        </w:rPr>
        <w:t>考核对象：                             考核时间：</w:t>
      </w:r>
    </w:p>
    <w:tbl>
      <w:tblPr>
        <w:tblStyle w:val="64"/>
        <w:tblW w:w="0" w:type="auto"/>
        <w:jc w:val="center"/>
        <w:tblLayout w:type="fixed"/>
        <w:tblCellMar>
          <w:top w:w="0" w:type="dxa"/>
          <w:left w:w="108" w:type="dxa"/>
          <w:bottom w:w="0" w:type="dxa"/>
          <w:right w:w="108" w:type="dxa"/>
        </w:tblCellMar>
      </w:tblPr>
      <w:tblGrid>
        <w:gridCol w:w="375"/>
        <w:gridCol w:w="1011"/>
        <w:gridCol w:w="3794"/>
        <w:gridCol w:w="3672"/>
        <w:gridCol w:w="577"/>
      </w:tblGrid>
      <w:tr>
        <w:tblPrEx>
          <w:tblCellMar>
            <w:top w:w="0" w:type="dxa"/>
            <w:left w:w="108" w:type="dxa"/>
            <w:bottom w:w="0" w:type="dxa"/>
            <w:right w:w="108" w:type="dxa"/>
          </w:tblCellMar>
        </w:tblPrEx>
        <w:trPr>
          <w:trHeight w:val="540"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011"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检查</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管理作业标准</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评分标准</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扣分</w:t>
            </w:r>
          </w:p>
        </w:tc>
      </w:tr>
      <w:tr>
        <w:tblPrEx>
          <w:tblCellMar>
            <w:top w:w="0" w:type="dxa"/>
            <w:left w:w="108" w:type="dxa"/>
            <w:bottom w:w="0" w:type="dxa"/>
            <w:right w:w="108" w:type="dxa"/>
          </w:tblCellMar>
        </w:tblPrEx>
        <w:trPr>
          <w:trHeight w:val="1058" w:hRule="atLeast"/>
          <w:jc w:val="center"/>
        </w:trPr>
        <w:tc>
          <w:tcPr>
            <w:tcW w:w="37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011" w:type="dxa"/>
            <w:vMerge w:val="restart"/>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制度（10分）</w:t>
            </w:r>
          </w:p>
        </w:tc>
        <w:tc>
          <w:tcPr>
            <w:tcW w:w="3794"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按照统一要求设置公厕管理制度牌,做到制度上墙。</w:t>
            </w:r>
          </w:p>
        </w:tc>
        <w:tc>
          <w:tcPr>
            <w:tcW w:w="3672"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未设置公厕管理制度牌的扣5分/次，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制度牌破损、字体不清晰、公示的信息缺项及不准确的扣3分/次。</w:t>
            </w:r>
          </w:p>
        </w:tc>
        <w:tc>
          <w:tcPr>
            <w:tcW w:w="577"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895" w:hRule="atLeast"/>
          <w:jc w:val="center"/>
        </w:trPr>
        <w:tc>
          <w:tcPr>
            <w:tcW w:w="37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24小时免费开放公厕，无障碍间、厕位正常开放使用，并在保洁时段内落实专人管理。16小时免费开放公厕（6:00—22:00），18小时免费开放公厕（5:00—23:00），按人均保洁厕位的定额要求，落实专职保洁人员。四星级（含）以上公厕实行男、女分设保洁管理。</w:t>
            </w:r>
          </w:p>
        </w:tc>
        <w:tc>
          <w:tcPr>
            <w:tcW w:w="3672"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未经审核同意，无故关闭公厕的扣10分/次，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无故关闭无障碍间、男女厕位的扣2分/次。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未落实专职保洁员的扣1分/次，保洁员脱岗的2分/次。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四星级以上公厕未实行男、女分设保洁管理的，扣2分/次。</w:t>
            </w:r>
          </w:p>
        </w:tc>
        <w:tc>
          <w:tcPr>
            <w:tcW w:w="577" w:type="dxa"/>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835" w:hRule="atLeast"/>
          <w:jc w:val="center"/>
        </w:trPr>
        <w:tc>
          <w:tcPr>
            <w:tcW w:w="37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011" w:type="dxa"/>
            <w:vMerge w:val="restart"/>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作业规范（30分）</w:t>
            </w:r>
          </w:p>
        </w:tc>
        <w:tc>
          <w:tcPr>
            <w:tcW w:w="37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强化作业规范，不发生有责安全事故事件。一旦发生环卫工人伤亡的事故应立即逐级上报，发生环卫工人群体性事件的，严格做到在2小时内上报。</w:t>
            </w:r>
          </w:p>
          <w:p>
            <w:pPr>
              <w:spacing w:line="280" w:lineRule="exact"/>
              <w:jc w:val="center"/>
              <w:rPr>
                <w:rFonts w:hint="eastAsia" w:ascii="仿宋" w:hAnsi="仿宋" w:eastAsia="仿宋" w:cs="仿宋"/>
                <w:kern w:val="0"/>
                <w:sz w:val="24"/>
                <w:szCs w:val="24"/>
              </w:rPr>
            </w:pP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1.发生有责死亡安全事故或直接经济损失30万以上的，每起扣1环扣养护得分3分;有责伤人事故或直接经济损失在20万以上的，每发生一次扣2分；有责事故扣养护得分1分。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2.事故未上报的扣2分，未在2小时内及时上报的扣1分。</w:t>
            </w:r>
          </w:p>
        </w:tc>
        <w:tc>
          <w:tcPr>
            <w:tcW w:w="577" w:type="dxa"/>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391"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强化公厕管理房安全，公厕管理房安全设置100%。</w:t>
            </w:r>
          </w:p>
          <w:p>
            <w:pPr>
              <w:spacing w:line="280" w:lineRule="exact"/>
              <w:jc w:val="center"/>
              <w:rPr>
                <w:rFonts w:hint="eastAsia" w:ascii="仿宋" w:hAnsi="仿宋" w:eastAsia="仿宋" w:cs="仿宋"/>
                <w:kern w:val="0"/>
                <w:sz w:val="24"/>
                <w:szCs w:val="24"/>
              </w:rPr>
            </w:pP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管理房内、外私拉电线、乱接插头插座、裸露接线现象每处扣2分；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使用电热毯、电暖炉、热的快等大功率电器设备每处扣2分；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使用蜡烛、煤油炉等明火设施每处扣2分；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存放汽油、酒精等易燃、易爆物品每处扣2分。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在灯具上拴挂蚊帐、晾晒衣物、节日装饰物每处扣2分。</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无消防器材配备每座扣3分，保洁员不会使用扣2分。</w:t>
            </w:r>
          </w:p>
        </w:tc>
        <w:tc>
          <w:tcPr>
            <w:tcW w:w="577" w:type="dxa"/>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353"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保洁员应着统一的工作服并佩带上岗证。免费向公众提供洗手液和手纸服务，保持足够用量。保洁作业时需设置警示牌，冲洗厕所地面和雨雪冰冻天气时需铺设防滑垫。保洁作业时主动避让如厕人员。</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保洁员工作时间未统一着装或未佩戴上岗证的每项扣3分/次；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未免费向公众提供洗手液和手纸服务的，每发现一次扣2分/次；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作业时未设置警示牌的扣3分/次；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冲洗厕所地面和雨雪冰冻天气时未铺设防滑垫的扣3/次；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保洁作业时未主动避让如厕人员，遇到有责投诉的的扣2分/次。</w:t>
            </w:r>
          </w:p>
        </w:tc>
        <w:tc>
          <w:tcPr>
            <w:tcW w:w="577" w:type="dxa"/>
            <w:tcBorders>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391"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内外不得乱接水管。公厕管理员上班期间不得在公厕公共区域从事洗衣及洗碗等事情。公厕管理间只能用于公厕保洁管理人员使用，上班时间不得在管理间内干杂活、睡觉，闲杂人员不得随意在管理间内休息等。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公厕内外乱接水管的每项扣2/次；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管理间居住与公厕保洁管理无关人员及逗留与公厕保洁管理无关人员的扣2分/次；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上班时间在管理间内干与公厕保洁管理无关的杂活或睡觉的扣2分/次；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管理间物品摆放杂乱、不洁的扣1分/次；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在管理间内饮酒、吸烟的扣2分/次；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利用公厕从事销售商品、废品回收等经营性活动的扣5分/次；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公厕内饲养宠物的扣2分/次。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353" w:hRule="atLeast"/>
          <w:jc w:val="center"/>
        </w:trPr>
        <w:tc>
          <w:tcPr>
            <w:tcW w:w="37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粪污水应排入市政污水管网或经吸粪车转运至粪便处理场所处置，公厕化粪池每半年清理、疏通不少于1次，贮粪池内的粪污水应及时转运。化粪池、贮粪池周围场地应保持整洁，地面无粪迹、垃圾、污水、恶臭、蝇蛆。化粪池、贮粪池无满溢问题，若发生满溢问题应在2小时内予以解决。</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粪污水未按照规定达到规范化处置排放要求的扣10分/次，粪污水、粪便污染周边水体等环境的扣10分/次。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化粪池、贮粪池臭气外溢的扣5分/次，周围地面有粪迹、垃圾、污水、恶臭、蝇蛆的每项扣2分/次，满溢的扣5分/次，发生满溢问题未在规定时间内妥善处理的扣5分/次。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391" w:hRule="atLeast"/>
          <w:jc w:val="center"/>
        </w:trPr>
        <w:tc>
          <w:tcPr>
            <w:tcW w:w="37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011" w:type="dxa"/>
            <w:vMerge w:val="restart"/>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保洁管理（30分）</w:t>
            </w:r>
          </w:p>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三星以上公厕异味0度以上。</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公厕天花板、内外墙面、门窗、洗手池及台面、拖把池、大小便厕位隔断、搁物台、上下水管、镜子等不洁的每项扣1分/次。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垃圾桶或纸篓破损不洁的，以及垃圾量超过容量2/3的扣1分/次，满溢的扣2分/次。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公厕内堆放杂物、厕位内乱堆放作业工具的扣2分/次。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公厕及厕位地面不洁、湿滑积水的每项扣1分/次。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工具间环境不整洁的扣1分/次。公厕有明显臭味的扣2分/次。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8"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倒粪处以及大便器、大便槽清洁，无粪便污垢、无积粪、无堵塞、洁净见底。</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倒粪处以及大便器、大便槽污垢不洁的每处扣1分/次，有积粪的扣2分/次，堵塞的扣5分/次。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8"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小便器（槽）清洁无水锈、尿垢、垃圾，沟眼、管道保持畅通。</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小便器（槽）有水锈、尿垢、垃圾等不洁的每项扣1分/次，沟眼、管道流水不畅通的每项扣2分/次。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058" w:hRule="atLeast"/>
          <w:jc w:val="center"/>
        </w:trPr>
        <w:tc>
          <w:tcPr>
            <w:tcW w:w="375"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公厕外环境（有绿化带的以绿化带外围为界限，无绿化带的外墙起4米范围内）整洁有序，无垃圾、无粪便、无晾晒衣物、无杂物堆放吊挂、无落叶积留。</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公厕外环境不洁，有作业工具乱放，垃圾、粪便、杂物堆放吊挂、晾晒衣物现象的每项扣1分/次。落叶积留不清扫的扣1分/次。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095" w:hRule="atLeast"/>
          <w:jc w:val="center"/>
        </w:trPr>
        <w:tc>
          <w:tcPr>
            <w:tcW w:w="375"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011" w:type="dxa"/>
            <w:vMerge w:val="restart"/>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设施管理（30分）</w:t>
            </w: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按要求设置公厕指向牌（各路口方向至少两块）、公厕标识牌、夜间灯光指示牌、厕门男女标识牌、无障碍标识牌、管理间标识牌、工具间标识牌、坐厕位标识牌等。厕所各类标识、标牌设置规范、醒目，无破损、遮挡、残缺、歪斜现象。</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公厕指向牌、公厕标识牌、夜间灯光指示牌、厕门男女标识牌、无障碍标识牌、管理间标识牌、工具间标识牌、坐厕位标识牌每缺失一块扣2分/次。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公厕各类标牌不规范设置的每项扣1分/次，破损、遮挡、残缺、歪斜的扣1分/次。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873"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公厕内外墙面渗漏、墙面破损、乳胶漆脱落的每处扣2分/次，地面不平整、破损的每项扣2分/次。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天花板、门窗及锁、窗栅、大小便厕位隔断、搁物台及金属扣件、镜子、挂衣钩、洗手池台面及水池、大小便器、水龙头、拖把池、上下水管、水箱、水阀缺失、破损、生锈或不能正常使用的每项扣1分/次。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公厕倒粪处设施破损、上锁的扣1分/次。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873"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供水、供电系统运行正常，无安全隐患。公厕照明、除臭设备应正常使用。按不同星级公厕的要求维护管理洗手液分配器、干手器、手纸架、空调器，保持设施完好，功能正常。干手器应正常使用，空调器在气温30℃以上，5℃以下启用（特殊情况除外）。除臭设施运行良好，通风无臭味。</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公厕洗手供水过小，造成无法正常洗手的扣1分/次；存在用电安全隐患的扣2分/次；夜间时段公厕照明光线不足的扣1分/次，照明不亮的每处扣5分/次。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灯具、洗手液分配器、干手器、手纸架、空调器、除臭设备破损或不能正常使用的每项扣1分/次，缺失的扣2分/次。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灯具、除臭设备、夜间灯光指示牌、空调未按照规定启用的扣1分/次。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17"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无障碍通道畅通，扶手（含靠墙厕位扶手）完好、牢固。无障碍间卫生洁具及辅助设施完好。</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无障碍通道不能正常使用的扣2分/次，扶手（含靠墙厕位扶手）缺失破损、松动不牢固的每项扣1分/次。</w:t>
            </w:r>
          </w:p>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无障碍间卫生洁具及辅助设施缺失、破损的扣1分/次。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40" w:hRule="atLeast"/>
          <w:jc w:val="center"/>
        </w:trPr>
        <w:tc>
          <w:tcPr>
            <w:tcW w:w="375" w:type="dxa"/>
            <w:vMerge w:val="continue"/>
            <w:tcBorders>
              <w:left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给水和排污管道完好，保持畅通，闸阀严密，无破损。</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给水、排污管道堵塞、破损的扣2分/次。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13" w:hRule="atLeast"/>
          <w:jc w:val="center"/>
        </w:trPr>
        <w:tc>
          <w:tcPr>
            <w:tcW w:w="375" w:type="dxa"/>
            <w:vMerge w:val="continue"/>
            <w:tcBorders>
              <w:left w:val="single" w:color="auto" w:sz="4" w:space="0"/>
              <w:bottom w:val="single" w:color="000000"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1011" w:type="dxa"/>
            <w:vMerge w:val="continue"/>
            <w:tcBorders>
              <w:left w:val="nil"/>
              <w:bottom w:val="single" w:color="000000"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c>
          <w:tcPr>
            <w:tcW w:w="379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化粪池、贮粪池密闭性能良好，粪池盖密闭，无缺失、破损、松动现象。</w:t>
            </w:r>
          </w:p>
        </w:tc>
        <w:tc>
          <w:tcPr>
            <w:tcW w:w="367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化粪池、贮粪池、公厕粪池盖不密闭、缺失、破损、松动的扣2分/次。</w:t>
            </w:r>
          </w:p>
        </w:tc>
        <w:tc>
          <w:tcPr>
            <w:tcW w:w="57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00" w:hRule="atLeast"/>
          <w:jc w:val="center"/>
        </w:trPr>
        <w:tc>
          <w:tcPr>
            <w:tcW w:w="5180" w:type="dxa"/>
            <w:gridSpan w:val="3"/>
            <w:tcBorders>
              <w:top w:val="single" w:color="auto" w:sz="4" w:space="0"/>
              <w:left w:val="single" w:color="auto" w:sz="4" w:space="0"/>
              <w:bottom w:val="single" w:color="000000"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总分</w:t>
            </w:r>
          </w:p>
        </w:tc>
        <w:tc>
          <w:tcPr>
            <w:tcW w:w="424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 w:hAnsi="仿宋" w:eastAsia="仿宋" w:cs="仿宋"/>
                <w:kern w:val="0"/>
                <w:sz w:val="24"/>
                <w:szCs w:val="24"/>
              </w:rPr>
            </w:pPr>
          </w:p>
        </w:tc>
      </w:tr>
    </w:tbl>
    <w:p>
      <w:pPr>
        <w:pStyle w:val="60"/>
        <w:jc w:val="left"/>
        <w:rPr>
          <w:rFonts w:hint="eastAsia" w:ascii="仿宋" w:hAnsi="仿宋" w:eastAsia="仿宋" w:cs="仿宋"/>
          <w:sz w:val="24"/>
          <w:szCs w:val="24"/>
        </w:rPr>
      </w:pPr>
    </w:p>
    <w:p>
      <w:pPr>
        <w:pStyle w:val="60"/>
        <w:jc w:val="left"/>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（4）商户垃圾运输（音乐线，含生鲜专运）考核标准</w:t>
      </w:r>
    </w:p>
    <w:p>
      <w:pPr>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音乐线考核要求及方式</w:t>
      </w:r>
    </w:p>
    <w:p>
      <w:pPr>
        <w:rPr>
          <w:rFonts w:hint="eastAsia" w:ascii="仿宋" w:hAnsi="仿宋" w:eastAsia="仿宋" w:cs="仿宋"/>
          <w:sz w:val="24"/>
          <w:szCs w:val="24"/>
        </w:rPr>
      </w:pPr>
      <w:r>
        <w:rPr>
          <w:rFonts w:hint="eastAsia" w:ascii="仿宋" w:hAnsi="仿宋" w:eastAsia="仿宋" w:cs="仿宋"/>
          <w:sz w:val="24"/>
          <w:szCs w:val="24"/>
        </w:rPr>
        <w:t xml:space="preserve">    保洁期内，在迎检和各类创建活动中，乙方单位应无条件服从甲方的安排，圆满完成各项任务，由于乙方单位的原因失分或造成不良影响的，甲方有权进行处罚和清退乙方单位。</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保洁期内所发生的任何安全事故一律由乙方单位负责，甲方不承担任何责任。</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甲方根据考核办法每季度月末前组织人员对乙方运营情况进行现场检查考核。如发现乙方不按规定（上午和下午各收运两次）作业的，一次扣除金额1500元。</w:t>
      </w:r>
    </w:p>
    <w:p>
      <w:pPr>
        <w:adjustRightInd w:val="0"/>
        <w:snapToGrid w:val="0"/>
        <w:spacing w:line="520" w:lineRule="exact"/>
        <w:jc w:val="center"/>
        <w:rPr>
          <w:rFonts w:hint="eastAsia" w:ascii="仿宋" w:hAnsi="仿宋" w:eastAsia="仿宋" w:cs="仿宋"/>
          <w:b/>
          <w:sz w:val="24"/>
          <w:szCs w:val="24"/>
        </w:rPr>
      </w:pPr>
      <w:r>
        <w:rPr>
          <w:rFonts w:hint="eastAsia" w:ascii="仿宋" w:hAnsi="仿宋" w:eastAsia="仿宋" w:cs="仿宋"/>
          <w:b/>
          <w:sz w:val="24"/>
          <w:szCs w:val="24"/>
        </w:rPr>
        <w:t>垃圾不落地音乐线考核评分细则</w:t>
      </w:r>
    </w:p>
    <w:tbl>
      <w:tblPr>
        <w:tblStyle w:val="64"/>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5"/>
        <w:gridCol w:w="505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仿宋" w:hAnsi="仿宋" w:eastAsia="仿宋" w:cs="仿宋"/>
                <w:b/>
                <w:sz w:val="24"/>
                <w:szCs w:val="24"/>
              </w:rPr>
            </w:pPr>
            <w:r>
              <w:rPr>
                <w:rFonts w:hint="eastAsia" w:ascii="仿宋" w:hAnsi="仿宋" w:eastAsia="仿宋" w:cs="仿宋"/>
                <w:b/>
                <w:sz w:val="24"/>
                <w:szCs w:val="24"/>
              </w:rPr>
              <w:t>考核</w:t>
            </w:r>
          </w:p>
          <w:p>
            <w:pPr>
              <w:adjustRightInd w:val="0"/>
              <w:snapToGrid w:val="0"/>
              <w:spacing w:line="520" w:lineRule="exact"/>
              <w:ind w:left="1"/>
              <w:jc w:val="center"/>
              <w:rPr>
                <w:rFonts w:hint="eastAsia" w:ascii="仿宋" w:hAnsi="仿宋" w:eastAsia="仿宋" w:cs="仿宋"/>
                <w:b/>
                <w:sz w:val="24"/>
                <w:szCs w:val="24"/>
              </w:rPr>
            </w:pPr>
            <w:r>
              <w:rPr>
                <w:rFonts w:hint="eastAsia" w:ascii="仿宋" w:hAnsi="仿宋" w:eastAsia="仿宋" w:cs="仿宋"/>
                <w:b/>
                <w:sz w:val="24"/>
                <w:szCs w:val="24"/>
              </w:rPr>
              <w:t>项目</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仿宋" w:hAnsi="仿宋" w:eastAsia="仿宋" w:cs="仿宋"/>
                <w:b/>
                <w:sz w:val="24"/>
                <w:szCs w:val="24"/>
              </w:rPr>
            </w:pPr>
            <w:r>
              <w:rPr>
                <w:rFonts w:hint="eastAsia" w:ascii="仿宋" w:hAnsi="仿宋" w:eastAsia="仿宋" w:cs="仿宋"/>
                <w:b/>
                <w:sz w:val="24"/>
                <w:szCs w:val="24"/>
              </w:rPr>
              <w:t>考核内容</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ind w:left="1"/>
              <w:jc w:val="center"/>
              <w:rPr>
                <w:rFonts w:hint="eastAsia" w:ascii="仿宋" w:hAnsi="仿宋" w:eastAsia="仿宋" w:cs="仿宋"/>
                <w:b/>
                <w:sz w:val="24"/>
                <w:szCs w:val="24"/>
              </w:rPr>
            </w:pPr>
            <w:r>
              <w:rPr>
                <w:rFonts w:hint="eastAsia" w:ascii="仿宋" w:hAnsi="仿宋" w:eastAsia="仿宋" w:cs="仿宋"/>
                <w:b/>
                <w:sz w:val="24"/>
                <w:szCs w:val="24"/>
              </w:rPr>
              <w:t>考核  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5"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制度规范（15分）</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制度建立</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r>
              <w:rPr>
                <w:rFonts w:hint="eastAsia" w:ascii="仿宋" w:hAnsi="仿宋" w:eastAsia="仿宋" w:cs="仿宋"/>
                <w:sz w:val="24"/>
                <w:szCs w:val="24"/>
              </w:rPr>
              <w:t>按照《2018年度余杭区垃圾不落地音乐线创建方案》结合实际情况制定方案，作业单位制定作业制度，确保作业规范。未建立方案扣3分，未签订考核制度3分。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55" w:type="dxa"/>
            <w:vMerge w:val="continue"/>
            <w:tcBorders>
              <w:left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投放模式</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r>
              <w:rPr>
                <w:rFonts w:hint="eastAsia" w:ascii="仿宋" w:hAnsi="仿宋" w:eastAsia="仿宋" w:cs="仿宋"/>
                <w:sz w:val="24"/>
                <w:szCs w:val="24"/>
              </w:rPr>
              <w:t>按照三化四分工作要求，实施干垃圾与湿垃圾分类投放。未设置分类投放模式的扣6分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5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执证上岗</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r>
              <w:rPr>
                <w:rFonts w:hint="eastAsia" w:ascii="仿宋" w:hAnsi="仿宋" w:eastAsia="仿宋" w:cs="仿宋"/>
                <w:sz w:val="24"/>
                <w:szCs w:val="24"/>
              </w:rPr>
              <w:t>按照交警部门要求，电动车驾驶员需执证上岗。如安排无证人员驾驶，扣3分。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日常管理（60）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履行情况</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r>
              <w:rPr>
                <w:rFonts w:hint="eastAsia" w:ascii="仿宋" w:hAnsi="仿宋" w:eastAsia="仿宋" w:cs="仿宋"/>
                <w:sz w:val="24"/>
                <w:szCs w:val="24"/>
              </w:rPr>
              <w:t>根据现场情况考核。未按规定时间清运的扣4分，未播放统一告知音乐的扣3分，未按定时定点停靠或未等候商铺投放垃圾扣3分。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“撤路入巷”</w:t>
            </w:r>
          </w:p>
          <w:p>
            <w:pPr>
              <w:adjustRightInd w:val="0"/>
              <w:snapToGrid w:val="0"/>
              <w:spacing w:line="400" w:lineRule="exact"/>
              <w:ind w:left="1"/>
              <w:jc w:val="center"/>
              <w:rPr>
                <w:rFonts w:hint="eastAsia" w:ascii="仿宋" w:hAnsi="仿宋" w:eastAsia="仿宋" w:cs="仿宋"/>
                <w:sz w:val="24"/>
                <w:szCs w:val="24"/>
                <w:highlight w:val="yellow"/>
              </w:rPr>
            </w:pPr>
            <w:r>
              <w:rPr>
                <w:rFonts w:hint="eastAsia" w:ascii="仿宋" w:hAnsi="仿宋" w:eastAsia="仿宋" w:cs="仿宋"/>
                <w:sz w:val="24"/>
                <w:szCs w:val="24"/>
              </w:rPr>
              <w:t>“撤路入店”</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highlight w:val="yellow"/>
              </w:rPr>
            </w:pPr>
            <w:r>
              <w:rPr>
                <w:rFonts w:hint="eastAsia" w:ascii="仿宋" w:hAnsi="仿宋" w:eastAsia="仿宋" w:cs="仿宋"/>
                <w:sz w:val="24"/>
                <w:szCs w:val="24"/>
              </w:rPr>
              <w:t>根据现场情况考核。未执行垃圾桶“撤路入巷”、“撤路入店”的，每发现一处扣5分。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highlight w:val="yellow"/>
              </w:rPr>
            </w:pPr>
            <w:r>
              <w:rPr>
                <w:rFonts w:hint="eastAsia" w:ascii="仿宋" w:hAnsi="仿宋" w:eastAsia="仿宋" w:cs="仿宋"/>
                <w:sz w:val="24"/>
                <w:szCs w:val="24"/>
              </w:rPr>
              <w:t>车辆使用情况</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highlight w:val="yellow"/>
              </w:rPr>
            </w:pPr>
            <w:r>
              <w:rPr>
                <w:rFonts w:hint="eastAsia" w:ascii="仿宋" w:hAnsi="仿宋" w:eastAsia="仿宋" w:cs="仿宋"/>
                <w:sz w:val="24"/>
                <w:szCs w:val="24"/>
              </w:rPr>
              <w:t>保持车身整洁，确保车辆专车专用，无意外机械伤亡事故。如有车身不洁的扣5分，如沿用2016、2017年已创建的垃圾不落地音乐线车辆或混用其他道路车辆扣10分，如发现机械伤亡事故的扣10分。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台账管理</w:t>
            </w:r>
          </w:p>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（5分）</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highlight w:val="yellow"/>
              </w:rPr>
            </w:pPr>
            <w:r>
              <w:rPr>
                <w:rFonts w:hint="eastAsia" w:ascii="仿宋" w:hAnsi="仿宋" w:eastAsia="仿宋" w:cs="仿宋"/>
                <w:sz w:val="24"/>
                <w:szCs w:val="24"/>
              </w:rPr>
              <w:t>方案、合同、收运照片、清运数据、总结等材料整理归档</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highlight w:val="yellow"/>
              </w:rPr>
            </w:pPr>
            <w:r>
              <w:rPr>
                <w:rFonts w:hint="eastAsia" w:ascii="仿宋" w:hAnsi="仿宋" w:eastAsia="仿宋" w:cs="仿宋"/>
                <w:sz w:val="24"/>
                <w:szCs w:val="24"/>
              </w:rPr>
              <w:t>未对方案、合同、收运照片、清运数据、总结等材料进行整理的，每缺一处扣1分。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5"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宣传    （20分）</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开展入户宣传</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开展入户宣传工作，未提供宣传工作照片扣3分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55" w:type="dxa"/>
            <w:vMerge w:val="continue"/>
            <w:tcBorders>
              <w:left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确保参与率与知晓率达75%以上</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以沿街商铺、店家对音乐线的知晓度、参与率等指标作为考核依据。知晓率低于75%扣7分，参与率低于75%扣7分。</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55" w:type="dxa"/>
            <w:vMerge w:val="continue"/>
            <w:tcBorders>
              <w:left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center"/>
              <w:rPr>
                <w:rFonts w:hint="eastAsia" w:ascii="仿宋" w:hAnsi="仿宋" w:eastAsia="仿宋" w:cs="仿宋"/>
                <w:sz w:val="24"/>
                <w:szCs w:val="24"/>
              </w:rPr>
            </w:pPr>
            <w:r>
              <w:rPr>
                <w:rFonts w:hint="eastAsia" w:ascii="仿宋" w:hAnsi="仿宋" w:eastAsia="仿宋" w:cs="仿宋"/>
                <w:sz w:val="24"/>
                <w:szCs w:val="24"/>
              </w:rPr>
              <w:t>配套湿垃圾处置</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r>
              <w:rPr>
                <w:rFonts w:hint="eastAsia" w:ascii="仿宋" w:hAnsi="仿宋" w:eastAsia="仿宋" w:cs="仿宋"/>
                <w:sz w:val="24"/>
                <w:szCs w:val="24"/>
              </w:rPr>
              <w:t>根据现有的湿垃圾就地处置设备，通过垃圾不落地清运专线实施湿垃圾分类投放后的收集、处置。</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885" w:type="dxa"/>
            <w:gridSpan w:val="3"/>
            <w:tcBorders>
              <w:left w:val="single" w:color="auto" w:sz="4" w:space="0"/>
              <w:bottom w:val="single" w:color="auto" w:sz="4" w:space="0"/>
              <w:right w:val="single" w:color="auto" w:sz="4" w:space="0"/>
            </w:tcBorders>
            <w:noWrap w:val="0"/>
            <w:vAlign w:val="center"/>
          </w:tcPr>
          <w:p>
            <w:pPr>
              <w:adjustRightInd w:val="0"/>
              <w:snapToGrid w:val="0"/>
              <w:spacing w:line="400" w:lineRule="exact"/>
              <w:ind w:left="1"/>
              <w:rPr>
                <w:rFonts w:hint="eastAsia" w:ascii="仿宋" w:hAnsi="仿宋" w:eastAsia="仿宋" w:cs="仿宋"/>
                <w:sz w:val="24"/>
                <w:szCs w:val="24"/>
              </w:rPr>
            </w:pPr>
            <w:r>
              <w:rPr>
                <w:rFonts w:hint="eastAsia" w:ascii="仿宋" w:hAnsi="仿宋" w:eastAsia="仿宋" w:cs="仿宋"/>
                <w:sz w:val="24"/>
                <w:szCs w:val="24"/>
              </w:rPr>
              <w:t>考核对象：                               考核分数：</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
              <w:jc w:val="left"/>
              <w:rPr>
                <w:rFonts w:hint="eastAsia" w:ascii="仿宋" w:hAnsi="仿宋" w:eastAsia="仿宋" w:cs="仿宋"/>
                <w:sz w:val="24"/>
                <w:szCs w:val="24"/>
              </w:rPr>
            </w:pPr>
          </w:p>
        </w:tc>
      </w:tr>
    </w:tbl>
    <w:p>
      <w:pPr>
        <w:pBdr>
          <w:top w:val="single" w:color="auto" w:sz="6" w:space="1"/>
          <w:bottom w:val="single" w:color="auto" w:sz="6" w:space="1"/>
        </w:pBdr>
        <w:spacing w:line="600" w:lineRule="exact"/>
        <w:rPr>
          <w:rFonts w:hint="eastAsia" w:ascii="仿宋" w:hAnsi="仿宋" w:eastAsia="仿宋" w:cs="仿宋"/>
          <w:b/>
          <w:bCs/>
          <w:sz w:val="24"/>
          <w:szCs w:val="24"/>
        </w:rPr>
      </w:pPr>
      <w:r>
        <w:rPr>
          <w:rFonts w:hint="eastAsia" w:ascii="仿宋" w:hAnsi="仿宋" w:eastAsia="仿宋" w:cs="仿宋"/>
          <w:sz w:val="24"/>
          <w:szCs w:val="24"/>
        </w:rPr>
        <w:t xml:space="preserve">考核日期：                                考核人员：                </w:t>
      </w:r>
    </w:p>
    <w:p>
      <w:pPr>
        <w:pStyle w:val="60"/>
        <w:jc w:val="left"/>
        <w:rPr>
          <w:rFonts w:hint="eastAsia" w:ascii="仿宋" w:hAnsi="仿宋" w:eastAsia="仿宋" w:cs="仿宋"/>
          <w:sz w:val="24"/>
          <w:szCs w:val="24"/>
        </w:rPr>
      </w:pPr>
    </w:p>
    <w:p>
      <w:pPr>
        <w:spacing w:line="570" w:lineRule="exact"/>
        <w:jc w:val="both"/>
        <w:rPr>
          <w:rFonts w:hint="eastAsia" w:ascii="仿宋" w:hAnsi="仿宋" w:eastAsia="仿宋" w:cs="仿宋"/>
          <w:b/>
          <w:bCs/>
          <w:sz w:val="24"/>
          <w:szCs w:val="24"/>
        </w:rPr>
      </w:pPr>
      <w:r>
        <w:rPr>
          <w:rFonts w:hint="eastAsia" w:ascii="仿宋" w:hAnsi="仿宋" w:eastAsia="仿宋" w:cs="仿宋"/>
          <w:b/>
          <w:bCs/>
          <w:sz w:val="24"/>
          <w:szCs w:val="24"/>
        </w:rPr>
        <w:t>生鲜专运考核要求及方式</w:t>
      </w:r>
    </w:p>
    <w:p>
      <w:pPr>
        <w:spacing w:line="570" w:lineRule="exact"/>
        <w:jc w:val="center"/>
        <w:rPr>
          <w:rFonts w:hint="eastAsia" w:ascii="仿宋" w:hAnsi="仿宋" w:eastAsia="仿宋" w:cs="仿宋"/>
          <w:b/>
          <w:bCs/>
          <w:sz w:val="24"/>
          <w:szCs w:val="24"/>
          <w:lang w:val="zh-TW"/>
        </w:rPr>
      </w:pPr>
      <w:r>
        <w:rPr>
          <w:rFonts w:hint="eastAsia" w:ascii="仿宋" w:hAnsi="仿宋" w:eastAsia="仿宋" w:cs="仿宋"/>
          <w:b/>
          <w:bCs/>
          <w:sz w:val="24"/>
          <w:szCs w:val="24"/>
          <w:lang w:val="zh-TW"/>
        </w:rPr>
        <w:t>乔司生鲜运输专线考核评分细则</w:t>
      </w:r>
    </w:p>
    <w:p>
      <w:pPr>
        <w:spacing w:line="57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考核对象：                                         考核时间：</w:t>
      </w:r>
    </w:p>
    <w:tbl>
      <w:tblPr>
        <w:tblStyle w:val="64"/>
        <w:tblW w:w="0" w:type="auto"/>
        <w:jc w:val="center"/>
        <w:tblLayout w:type="fixed"/>
        <w:tblCellMar>
          <w:top w:w="0" w:type="dxa"/>
          <w:left w:w="108" w:type="dxa"/>
          <w:bottom w:w="0" w:type="dxa"/>
          <w:right w:w="108" w:type="dxa"/>
        </w:tblCellMar>
      </w:tblPr>
      <w:tblGrid>
        <w:gridCol w:w="1252"/>
        <w:gridCol w:w="7202"/>
        <w:gridCol w:w="603"/>
      </w:tblGrid>
      <w:tr>
        <w:tblPrEx>
          <w:tblCellMar>
            <w:top w:w="0" w:type="dxa"/>
            <w:left w:w="108" w:type="dxa"/>
            <w:bottom w:w="0" w:type="dxa"/>
            <w:right w:w="108" w:type="dxa"/>
          </w:tblCellMar>
        </w:tblPrEx>
        <w:trPr>
          <w:trHeight w:val="890"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考核项目</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color w:val="000000"/>
                <w:sz w:val="24"/>
                <w:szCs w:val="24"/>
              </w:rPr>
            </w:pPr>
          </w:p>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考核内容</w:t>
            </w:r>
          </w:p>
          <w:p>
            <w:pPr>
              <w:spacing w:line="320" w:lineRule="exact"/>
              <w:jc w:val="center"/>
              <w:rPr>
                <w:rFonts w:hint="eastAsia" w:ascii="仿宋" w:hAnsi="仿宋" w:eastAsia="仿宋" w:cs="仿宋"/>
                <w:b/>
                <w:color w:val="000000"/>
                <w:sz w:val="24"/>
                <w:szCs w:val="24"/>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得分</w:t>
            </w:r>
          </w:p>
        </w:tc>
      </w:tr>
      <w:tr>
        <w:tblPrEx>
          <w:tblCellMar>
            <w:top w:w="0" w:type="dxa"/>
            <w:left w:w="108" w:type="dxa"/>
            <w:bottom w:w="0" w:type="dxa"/>
            <w:right w:w="108" w:type="dxa"/>
          </w:tblCellMar>
        </w:tblPrEx>
        <w:trPr>
          <w:trHeight w:val="90" w:hRule="atLeast"/>
          <w:jc w:val="center"/>
        </w:trPr>
        <w:tc>
          <w:tcPr>
            <w:tcW w:w="12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组织管理</w:t>
            </w:r>
          </w:p>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人员配备：按照合同约定配备人员，保证运营正常进行，做到商户生鲜垃圾及时清运。</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66"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工作人员应着装规范，文明用语，不得与商户发生争执。</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20"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组织培训:当月工作总结、运输台账记录、清单等资料清晰、齐全、完整；</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cantSplit/>
          <w:trHeight w:val="242" w:hRule="atLeast"/>
          <w:jc w:val="center"/>
        </w:trPr>
        <w:tc>
          <w:tcPr>
            <w:tcW w:w="12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xml:space="preserve">运输设施设备 </w:t>
            </w:r>
          </w:p>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60分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车辆配置：按照合同约定配备车辆，保证每条生鲜运输专线运营正常，做到商户生鲜垃圾及时清运。</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cantSplit/>
          <w:trHeight w:val="442"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外观干净整洁，车辆各项功能正常运行；</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cantSplit/>
          <w:trHeight w:val="296"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如遇车辆发生故障，维修时间不超过5天，乙方应保证该条生鲜运输专线正常运行。</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16"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保障迎检10分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乙方单位应无条件的服从甲方的安排，圆满完成各项任务，由乙方单位的原因失分失分或造成不良影响的，甲方根据情况进行考核。</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73"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安全文明运输</w:t>
            </w:r>
          </w:p>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保洁期间内所发生的的任何安全事故一律由乙方单位负责，甲方根据事故所造成的影响进行相应考核。</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cantSplit/>
          <w:trHeight w:val="930"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相关部门抄告10分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1.造成市级暗访、媒体扣分的，每次扣1分，扣款200元。</w:t>
            </w:r>
          </w:p>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2.重大活动保障、防汛抗台、防冻抗雪等应急情况未及时处理造成恶劣后果的每次扣5分，扣款500元。</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856"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附加分值</w:t>
            </w:r>
          </w:p>
          <w:p>
            <w:pPr>
              <w:spacing w:line="30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10分</w:t>
            </w:r>
          </w:p>
        </w:tc>
        <w:tc>
          <w:tcPr>
            <w:tcW w:w="72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rPr>
              <w:t>根据以下情况酌情加分：</w:t>
            </w:r>
            <w:r>
              <w:rPr>
                <w:rFonts w:hint="eastAsia" w:ascii="仿宋" w:hAnsi="仿宋" w:eastAsia="仿宋" w:cs="仿宋"/>
                <w:color w:val="000000"/>
                <w:kern w:val="0"/>
                <w:sz w:val="24"/>
                <w:szCs w:val="24"/>
              </w:rPr>
              <w:t>圆满完成正常工作范围以外的领导交办任务的；采用先进管理办法或机械设备，切实提高工作成效，受到相关部门肯定的；先进事迹受到相关部门表彰的；在重大活动中作出突出贡献的。</w:t>
            </w:r>
          </w:p>
        </w:tc>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仿宋"/>
                <w:color w:val="000000"/>
                <w:kern w:val="0"/>
                <w:sz w:val="24"/>
                <w:szCs w:val="24"/>
              </w:rPr>
            </w:pPr>
          </w:p>
        </w:tc>
      </w:tr>
    </w:tbl>
    <w:p>
      <w:pPr>
        <w:spacing w:line="570" w:lineRule="exact"/>
        <w:rPr>
          <w:rFonts w:hint="eastAsia" w:ascii="仿宋" w:hAnsi="仿宋" w:eastAsia="仿宋" w:cs="仿宋"/>
          <w:b/>
          <w:bCs/>
          <w:caps/>
          <w:kern w:val="0"/>
          <w:sz w:val="24"/>
          <w:szCs w:val="24"/>
          <w:u w:val="single"/>
        </w:rPr>
      </w:pPr>
      <w:r>
        <w:rPr>
          <w:rFonts w:hint="eastAsia" w:ascii="仿宋" w:hAnsi="仿宋" w:eastAsia="仿宋" w:cs="仿宋"/>
          <w:b/>
          <w:color w:val="000000"/>
          <w:sz w:val="24"/>
          <w:szCs w:val="24"/>
        </w:rPr>
        <w:t xml:space="preserve"> 考评人员：                                          分数：</w:t>
      </w:r>
    </w:p>
    <w:p>
      <w:pPr>
        <w:spacing w:line="57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备注：每项扣分不超过考核项目的总分值，分数扣完为止。</w:t>
      </w:r>
    </w:p>
    <w:p>
      <w:pPr>
        <w:rPr>
          <w:rFonts w:hint="eastAsia" w:ascii="仿宋" w:hAnsi="仿宋" w:eastAsia="仿宋" w:cs="仿宋"/>
          <w:sz w:val="24"/>
          <w:szCs w:val="24"/>
        </w:rPr>
      </w:pPr>
    </w:p>
    <w:p>
      <w:pPr>
        <w:spacing w:line="56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1.考核以现场打分为主，严格按照考评细则进行，并提供相应照片留存作为扣分依据，须被考核负责人签字确认，每月底进行本月成绩公布，考核每月不少于一次，优秀考核分为90分以上，考核分数80分（含）以上，100%支付服务考核费用；合格考核分数为80分（含）至90分（不含），</w:t>
      </w:r>
      <w:r>
        <w:rPr>
          <w:rFonts w:hint="eastAsia" w:ascii="仿宋" w:hAnsi="仿宋" w:eastAsia="仿宋" w:cs="仿宋"/>
          <w:sz w:val="24"/>
          <w:szCs w:val="24"/>
        </w:rPr>
        <w:t>每扣1分，扣款1000元。考核分数80分以下（不含80分）为不合格。</w:t>
      </w:r>
    </w:p>
    <w:p>
      <w:pPr>
        <w:pStyle w:val="60"/>
        <w:jc w:val="left"/>
        <w:rPr>
          <w:rFonts w:hint="eastAsia" w:ascii="仿宋" w:hAnsi="仿宋" w:eastAsia="仿宋" w:cs="仿宋"/>
          <w:sz w:val="24"/>
          <w:szCs w:val="24"/>
        </w:rPr>
      </w:pPr>
      <w:r>
        <w:rPr>
          <w:rFonts w:hint="eastAsia" w:ascii="仿宋" w:hAnsi="仿宋" w:eastAsia="仿宋" w:cs="仿宋"/>
          <w:color w:val="000000"/>
          <w:sz w:val="24"/>
          <w:szCs w:val="24"/>
        </w:rPr>
        <w:t>2.合同款按季支付，合同签署生效后，经季度考核，甲方应在次月20日前向乙方支付上月服务费用，最后一月费用在合同期满验收合格后十五日内支付；考核应扣款项及其他应扣款项在每月支付经费或年终支付经费时扣除，并提供扣款凭证。</w:t>
      </w:r>
    </w:p>
    <w:p>
      <w:pPr>
        <w:pStyle w:val="60"/>
        <w:jc w:val="left"/>
        <w:rPr>
          <w:rFonts w:hint="eastAsia" w:ascii="仿宋" w:hAnsi="仿宋" w:eastAsia="仿宋" w:cs="仿宋"/>
          <w:sz w:val="24"/>
          <w:szCs w:val="24"/>
        </w:rPr>
      </w:pPr>
    </w:p>
    <w:p>
      <w:pPr>
        <w:pStyle w:val="60"/>
        <w:jc w:val="left"/>
        <w:rPr>
          <w:rFonts w:hint="eastAsia" w:ascii="仿宋" w:hAnsi="仿宋" w:eastAsia="仿宋" w:cs="仿宋"/>
          <w:sz w:val="24"/>
          <w:szCs w:val="24"/>
        </w:rPr>
      </w:pPr>
      <w:r>
        <w:rPr>
          <w:rFonts w:hint="eastAsia" w:ascii="仿宋" w:hAnsi="仿宋" w:eastAsia="仿宋" w:cs="仿宋"/>
          <w:sz w:val="24"/>
          <w:szCs w:val="24"/>
        </w:rPr>
        <w:br w:type="page"/>
      </w:r>
    </w:p>
    <w:p>
      <w:pPr>
        <w:pStyle w:val="6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）牛皮癣清理考核标准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rPr>
          <w:rFonts w:hint="eastAsia" w:ascii="仿宋" w:hAnsi="仿宋" w:eastAsia="仿宋" w:cs="仿宋"/>
          <w:sz w:val="24"/>
          <w:szCs w:val="24"/>
        </w:rPr>
      </w:pPr>
      <w:r>
        <w:rPr>
          <w:rFonts w:hint="eastAsia" w:ascii="仿宋" w:hAnsi="仿宋" w:eastAsia="仿宋" w:cs="仿宋"/>
          <w:sz w:val="24"/>
          <w:szCs w:val="24"/>
        </w:rPr>
        <w:t xml:space="preserve">    日常清洗保洁质量(工作)考核采用随机抽查的方式进行。</w:t>
      </w:r>
    </w:p>
    <w:p>
      <w:pPr>
        <w:rPr>
          <w:rFonts w:hint="eastAsia" w:ascii="仿宋" w:hAnsi="仿宋" w:eastAsia="仿宋" w:cs="仿宋"/>
          <w:sz w:val="24"/>
          <w:szCs w:val="24"/>
        </w:rPr>
      </w:pPr>
      <w:r>
        <w:rPr>
          <w:rFonts w:hint="eastAsia" w:ascii="仿宋" w:hAnsi="仿宋" w:eastAsia="仿宋" w:cs="仿宋"/>
          <w:sz w:val="24"/>
          <w:szCs w:val="24"/>
        </w:rPr>
        <w:t xml:space="preserve">    规定执行和其他情况考核采用随机抽查与定期检查的方式进行。</w:t>
      </w:r>
    </w:p>
    <w:p>
      <w:pPr>
        <w:rPr>
          <w:rFonts w:hint="eastAsia" w:ascii="仿宋" w:hAnsi="仿宋" w:eastAsia="仿宋" w:cs="仿宋"/>
          <w:sz w:val="24"/>
          <w:szCs w:val="24"/>
        </w:rPr>
      </w:pPr>
      <w:r>
        <w:rPr>
          <w:rFonts w:hint="eastAsia" w:ascii="仿宋" w:hAnsi="仿宋" w:eastAsia="仿宋" w:cs="仿宋"/>
          <w:sz w:val="24"/>
          <w:szCs w:val="24"/>
        </w:rPr>
        <w:t xml:space="preserve">    月度考核得分以当月实际考核得分计。年度综合考评由城管乔司中队根据月度考核分的平均得分，作为年度考核最终得分。</w:t>
      </w:r>
    </w:p>
    <w:p>
      <w:pPr>
        <w:rPr>
          <w:rFonts w:hint="eastAsia" w:ascii="仿宋" w:hAnsi="仿宋" w:eastAsia="仿宋" w:cs="仿宋"/>
          <w:sz w:val="24"/>
          <w:szCs w:val="24"/>
        </w:rPr>
      </w:pPr>
      <w:r>
        <w:rPr>
          <w:rFonts w:hint="eastAsia" w:ascii="仿宋" w:hAnsi="仿宋" w:eastAsia="仿宋" w:cs="仿宋"/>
          <w:sz w:val="24"/>
          <w:szCs w:val="24"/>
        </w:rPr>
        <w:t xml:space="preserve">    甲方根据月度考核的实际得分计算兑现作业考核经费，以按协议考核金额量化到月，按月考核分数再折算考核金额给予支付。</w:t>
      </w:r>
    </w:p>
    <w:p>
      <w:pPr>
        <w:rPr>
          <w:rFonts w:hint="eastAsia" w:ascii="仿宋" w:hAnsi="仿宋" w:eastAsia="仿宋" w:cs="仿宋"/>
          <w:sz w:val="24"/>
          <w:szCs w:val="24"/>
        </w:rPr>
      </w:pPr>
      <w:r>
        <w:rPr>
          <w:rFonts w:hint="eastAsia" w:ascii="仿宋" w:hAnsi="仿宋" w:eastAsia="仿宋" w:cs="仿宋"/>
          <w:sz w:val="24"/>
          <w:szCs w:val="24"/>
        </w:rPr>
        <w:t xml:space="preserve">    月度考核得分在95分以上(含)至100分(含)的为优秀，给予通报表扬。</w:t>
      </w:r>
    </w:p>
    <w:p>
      <w:pPr>
        <w:rPr>
          <w:rFonts w:hint="eastAsia" w:ascii="仿宋" w:hAnsi="仿宋" w:eastAsia="仿宋" w:cs="仿宋"/>
          <w:sz w:val="24"/>
          <w:szCs w:val="24"/>
        </w:rPr>
      </w:pPr>
      <w:r>
        <w:rPr>
          <w:rFonts w:hint="eastAsia" w:ascii="仿宋" w:hAnsi="仿宋" w:eastAsia="仿宋" w:cs="仿宋"/>
          <w:sz w:val="24"/>
          <w:szCs w:val="24"/>
        </w:rPr>
        <w:t xml:space="preserve">    月度考核得分在90分以上(含)至94分(含)的为合格，不奖不惩。</w:t>
      </w:r>
    </w:p>
    <w:p>
      <w:pPr>
        <w:rPr>
          <w:rFonts w:hint="eastAsia" w:ascii="仿宋" w:hAnsi="仿宋" w:eastAsia="仿宋" w:cs="仿宋"/>
          <w:sz w:val="24"/>
          <w:szCs w:val="24"/>
        </w:rPr>
      </w:pPr>
      <w:r>
        <w:rPr>
          <w:rFonts w:hint="eastAsia" w:ascii="仿宋" w:hAnsi="仿宋" w:eastAsia="仿宋" w:cs="仿宋"/>
          <w:sz w:val="24"/>
          <w:szCs w:val="24"/>
        </w:rPr>
        <w:t xml:space="preserve">    月度考核得分不满90分(不含)的为不合格，按比例扣除相关保洁考核费用，具体如下：</w:t>
      </w:r>
    </w:p>
    <w:p>
      <w:pPr>
        <w:rPr>
          <w:rFonts w:hint="eastAsia" w:ascii="仿宋" w:hAnsi="仿宋" w:eastAsia="仿宋" w:cs="仿宋"/>
          <w:sz w:val="24"/>
          <w:szCs w:val="24"/>
        </w:rPr>
      </w:pPr>
      <w:r>
        <w:rPr>
          <w:rFonts w:hint="eastAsia" w:ascii="仿宋" w:hAnsi="仿宋" w:eastAsia="仿宋" w:cs="仿宋"/>
          <w:sz w:val="24"/>
          <w:szCs w:val="24"/>
        </w:rPr>
        <w:t xml:space="preserve">        89分--85分，扣除当月保洁考核经费的10%；</w:t>
      </w:r>
    </w:p>
    <w:p>
      <w:pPr>
        <w:rPr>
          <w:rFonts w:hint="eastAsia" w:ascii="仿宋" w:hAnsi="仿宋" w:eastAsia="仿宋" w:cs="仿宋"/>
          <w:sz w:val="24"/>
          <w:szCs w:val="24"/>
        </w:rPr>
      </w:pPr>
      <w:r>
        <w:rPr>
          <w:rFonts w:hint="eastAsia" w:ascii="仿宋" w:hAnsi="仿宋" w:eastAsia="仿宋" w:cs="仿宋"/>
          <w:sz w:val="24"/>
          <w:szCs w:val="24"/>
        </w:rPr>
        <w:t xml:space="preserve">        84分--80分，扣除当月保洁考核经费的20%；</w:t>
      </w:r>
    </w:p>
    <w:p>
      <w:pPr>
        <w:rPr>
          <w:rFonts w:hint="eastAsia" w:ascii="仿宋" w:hAnsi="仿宋" w:eastAsia="仿宋" w:cs="仿宋"/>
          <w:sz w:val="24"/>
          <w:szCs w:val="24"/>
        </w:rPr>
      </w:pPr>
      <w:r>
        <w:rPr>
          <w:rFonts w:hint="eastAsia" w:ascii="仿宋" w:hAnsi="仿宋" w:eastAsia="仿宋" w:cs="仿宋"/>
          <w:sz w:val="24"/>
          <w:szCs w:val="24"/>
        </w:rPr>
        <w:t xml:space="preserve">        79分--75分，扣除当月保洁考核经费的30%；</w:t>
      </w:r>
    </w:p>
    <w:p>
      <w:pPr>
        <w:rPr>
          <w:rFonts w:hint="eastAsia" w:ascii="仿宋" w:hAnsi="仿宋" w:eastAsia="仿宋" w:cs="仿宋"/>
          <w:sz w:val="24"/>
          <w:szCs w:val="24"/>
        </w:rPr>
      </w:pPr>
      <w:r>
        <w:rPr>
          <w:rFonts w:hint="eastAsia" w:ascii="仿宋" w:hAnsi="仿宋" w:eastAsia="仿宋" w:cs="仿宋"/>
          <w:sz w:val="24"/>
          <w:szCs w:val="24"/>
        </w:rPr>
        <w:t xml:space="preserve">        74分--70分，扣除当月保洁考核经费的40%；</w:t>
      </w:r>
    </w:p>
    <w:p>
      <w:pPr>
        <w:rPr>
          <w:rFonts w:hint="eastAsia" w:ascii="仿宋" w:hAnsi="仿宋" w:eastAsia="仿宋" w:cs="仿宋"/>
          <w:sz w:val="24"/>
          <w:szCs w:val="24"/>
        </w:rPr>
      </w:pPr>
      <w:r>
        <w:rPr>
          <w:rFonts w:hint="eastAsia" w:ascii="仿宋" w:hAnsi="仿宋" w:eastAsia="仿宋" w:cs="仿宋"/>
          <w:sz w:val="24"/>
          <w:szCs w:val="24"/>
        </w:rPr>
        <w:t xml:space="preserve">        69分--65分，扣除当月保洁考核经费的50%；</w:t>
      </w:r>
    </w:p>
    <w:p>
      <w:pPr>
        <w:rPr>
          <w:rFonts w:hint="eastAsia" w:ascii="仿宋" w:hAnsi="仿宋" w:eastAsia="仿宋" w:cs="仿宋"/>
          <w:sz w:val="24"/>
          <w:szCs w:val="24"/>
        </w:rPr>
      </w:pPr>
      <w:r>
        <w:rPr>
          <w:rFonts w:hint="eastAsia" w:ascii="仿宋" w:hAnsi="仿宋" w:eastAsia="仿宋" w:cs="仿宋"/>
          <w:sz w:val="24"/>
          <w:szCs w:val="24"/>
        </w:rPr>
        <w:t xml:space="preserve">        64分--60分，扣除当月保洁考核经费的60%；</w:t>
      </w:r>
    </w:p>
    <w:p>
      <w:pPr>
        <w:rPr>
          <w:rFonts w:hint="eastAsia" w:ascii="仿宋" w:hAnsi="仿宋" w:eastAsia="仿宋" w:cs="仿宋"/>
          <w:sz w:val="24"/>
          <w:szCs w:val="24"/>
        </w:rPr>
      </w:pPr>
      <w:r>
        <w:rPr>
          <w:rFonts w:hint="eastAsia" w:ascii="仿宋" w:hAnsi="仿宋" w:eastAsia="仿宋" w:cs="仿宋"/>
          <w:sz w:val="24"/>
          <w:szCs w:val="24"/>
        </w:rPr>
        <w:t xml:space="preserve">        60分以下不予支付当月保洁考核经费，同时通报批评。</w:t>
      </w:r>
    </w:p>
    <w:p>
      <w:pPr>
        <w:spacing w:line="460" w:lineRule="exact"/>
        <w:jc w:val="center"/>
        <w:rPr>
          <w:rFonts w:hint="eastAsia" w:ascii="仿宋" w:hAnsi="仿宋" w:eastAsia="仿宋" w:cs="仿宋"/>
          <w:b/>
          <w:bCs/>
          <w:sz w:val="24"/>
          <w:szCs w:val="24"/>
        </w:rPr>
      </w:pPr>
    </w:p>
    <w:p>
      <w:pPr>
        <w:spacing w:line="460" w:lineRule="exact"/>
        <w:jc w:val="center"/>
        <w:rPr>
          <w:rFonts w:hint="eastAsia" w:ascii="仿宋" w:hAnsi="仿宋" w:eastAsia="仿宋" w:cs="仿宋"/>
          <w:sz w:val="24"/>
          <w:szCs w:val="24"/>
        </w:rPr>
      </w:pPr>
      <w:r>
        <w:rPr>
          <w:rFonts w:hint="eastAsia" w:ascii="仿宋" w:hAnsi="仿宋" w:eastAsia="仿宋" w:cs="仿宋"/>
          <w:b/>
          <w:bCs/>
          <w:sz w:val="24"/>
          <w:szCs w:val="24"/>
        </w:rPr>
        <w:t>乔司街道牛皮癣考核细则</w:t>
      </w:r>
    </w:p>
    <w:p>
      <w:pPr>
        <w:spacing w:line="460" w:lineRule="exact"/>
        <w:jc w:val="left"/>
        <w:rPr>
          <w:rFonts w:hint="eastAsia" w:ascii="仿宋" w:hAnsi="仿宋" w:eastAsia="仿宋" w:cs="仿宋"/>
          <w:sz w:val="24"/>
          <w:szCs w:val="24"/>
        </w:rPr>
      </w:pPr>
      <w:r>
        <w:rPr>
          <w:rFonts w:hint="eastAsia" w:ascii="仿宋" w:hAnsi="仿宋" w:eastAsia="仿宋" w:cs="仿宋"/>
          <w:sz w:val="24"/>
          <w:szCs w:val="24"/>
        </w:rPr>
        <w:t>考核对象：                               考核时间：</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4"/>
        <w:gridCol w:w="809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68" w:type="dxa"/>
            <w:noWrap w:val="0"/>
            <w:vAlign w:val="center"/>
          </w:tcPr>
          <w:p>
            <w:pPr>
              <w:spacing w:line="280" w:lineRule="exact"/>
              <w:ind w:left="-105" w:leftChars="-50" w:right="-105" w:rightChars="-5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084" w:type="dxa"/>
            <w:noWrap w:val="0"/>
            <w:vAlign w:val="center"/>
          </w:tcPr>
          <w:p>
            <w:pPr>
              <w:spacing w:line="280" w:lineRule="exact"/>
              <w:ind w:left="-105" w:leftChars="-50" w:right="-105" w:rightChars="-50"/>
              <w:jc w:val="center"/>
              <w:rPr>
                <w:rFonts w:hint="eastAsia" w:ascii="仿宋" w:hAnsi="仿宋" w:eastAsia="仿宋" w:cs="仿宋"/>
                <w:b/>
                <w:sz w:val="24"/>
                <w:szCs w:val="24"/>
              </w:rPr>
            </w:pPr>
            <w:r>
              <w:rPr>
                <w:rFonts w:hint="eastAsia" w:ascii="仿宋" w:hAnsi="仿宋" w:eastAsia="仿宋" w:cs="仿宋"/>
                <w:b/>
                <w:sz w:val="24"/>
                <w:szCs w:val="24"/>
              </w:rPr>
              <w:t>考评内容</w:t>
            </w:r>
          </w:p>
        </w:tc>
        <w:tc>
          <w:tcPr>
            <w:tcW w:w="8096" w:type="dxa"/>
            <w:noWrap w:val="0"/>
            <w:vAlign w:val="center"/>
          </w:tcPr>
          <w:p>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722" w:type="dxa"/>
            <w:noWrap w:val="0"/>
            <w:vAlign w:val="center"/>
          </w:tcPr>
          <w:p>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468" w:type="dxa"/>
            <w:vMerge w:val="restart"/>
            <w:noWrap w:val="0"/>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84" w:type="dxa"/>
            <w:vMerge w:val="restart"/>
            <w:noWrap w:val="0"/>
            <w:vAlign w:val="center"/>
          </w:tcPr>
          <w:p>
            <w:pPr>
              <w:spacing w:line="28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日常清洗保洁质量（50分）</w:t>
            </w: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在日常检查中发现并通知整改后未及时清洗的“牛皮癣”每处扣0.3分</w:t>
            </w:r>
          </w:p>
        </w:tc>
        <w:tc>
          <w:tcPr>
            <w:tcW w:w="722" w:type="dxa"/>
            <w:noWrap w:val="0"/>
            <w:vAlign w:val="top"/>
          </w:tcPr>
          <w:p>
            <w:pPr>
              <w:spacing w:line="280" w:lineRule="exact"/>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日常检查程序采用“双控”机制，每月在检查中发现的未清理牛皮癣应低于基准300处，每超出100处扣3分，即多出的每一处扣除0.03分。每月超出基准300处以外的牛皮癣如未整改完毕，以十倍分数进行扣分，即每处扣除0.3分</w:t>
            </w:r>
          </w:p>
        </w:tc>
        <w:tc>
          <w:tcPr>
            <w:tcW w:w="722" w:type="dxa"/>
            <w:noWrap w:val="0"/>
            <w:vAlign w:val="top"/>
          </w:tcPr>
          <w:p>
            <w:pPr>
              <w:spacing w:line="280" w:lineRule="exact"/>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在清理“牛皮癣”作业时造成路面污染未及时清扫的每处扣0.2分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对表面为光滑板材上的“牛皮癣”未按规定使用化学物品全面清洗，或使用不当涂料的每处扣0.2分</w:t>
            </w:r>
          </w:p>
        </w:tc>
        <w:tc>
          <w:tcPr>
            <w:tcW w:w="722" w:type="dxa"/>
            <w:noWrap w:val="0"/>
            <w:vAlign w:val="top"/>
          </w:tcPr>
          <w:p>
            <w:pPr>
              <w:widowControl/>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对表面为不同颜色的涂料或水泥墙面上“牛皮癣”未按照“色差一致、形状统一、干净整洁、协调美观”的要求，使用相近颜色进行复原的或者影响美观整洁的每处扣0.2分</w:t>
            </w:r>
          </w:p>
        </w:tc>
        <w:tc>
          <w:tcPr>
            <w:tcW w:w="722" w:type="dxa"/>
            <w:noWrap w:val="0"/>
            <w:vAlign w:val="top"/>
          </w:tcPr>
          <w:p>
            <w:pPr>
              <w:widowControl/>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对表面为不同颜色的涂料或水泥墙面上“牛皮癣”，虽然按照“色差一致、形状统一、干净整洁、协调美观”的要求，使用相近颜色进行复原，但复原效果差，显影明显印迹的每处扣0.1分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采用涂料进行粉刷覆盖的“牛皮癣”经清除覆盖后，因雨水冲刷、涂料过稀滴落、结块脱落等原因造成涂料脱落，“牛皮癣”重新泛出的每处扣0.3分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对张贴式的“牛皮癣”清理后遗留明显遗留20%的张贴痕迹的每处扣0.1分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sz w:val="24"/>
                <w:szCs w:val="24"/>
              </w:rPr>
            </w:pPr>
            <w:r>
              <w:rPr>
                <w:rFonts w:hint="eastAsia" w:ascii="仿宋" w:hAnsi="仿宋" w:eastAsia="仿宋" w:cs="仿宋"/>
                <w:sz w:val="24"/>
                <w:szCs w:val="24"/>
              </w:rPr>
              <w:t>在清理“牛皮癣”作业时，造成建筑物、构筑物、树木、管线及其他市政公用设施损坏，未及时采取相应补救措施恢复原样视情扣0.3分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68" w:type="dxa"/>
            <w:vMerge w:val="continue"/>
            <w:noWrap w:val="0"/>
            <w:vAlign w:val="center"/>
          </w:tcPr>
          <w:p>
            <w:pPr>
              <w:spacing w:line="280" w:lineRule="exact"/>
              <w:jc w:val="center"/>
              <w:rPr>
                <w:rFonts w:hint="eastAsia" w:ascii="仿宋" w:hAnsi="仿宋" w:eastAsia="仿宋" w:cs="仿宋"/>
                <w:sz w:val="24"/>
                <w:szCs w:val="24"/>
              </w:rPr>
            </w:pPr>
          </w:p>
        </w:tc>
        <w:tc>
          <w:tcPr>
            <w:tcW w:w="1084" w:type="dxa"/>
            <w:vMerge w:val="continue"/>
            <w:noWrap w:val="0"/>
            <w:vAlign w:val="center"/>
          </w:tcPr>
          <w:p>
            <w:pPr>
              <w:spacing w:line="280" w:lineRule="exact"/>
              <w:ind w:left="-105" w:leftChars="-50" w:right="-105" w:rightChars="-50"/>
              <w:jc w:val="center"/>
              <w:rPr>
                <w:rFonts w:hint="eastAsia" w:ascii="仿宋" w:hAnsi="仿宋" w:eastAsia="仿宋" w:cs="仿宋"/>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接到承包区域反映“牛皮癣”问题的投诉或新闻舆论批评后，未在规定时限内及时处理完毕并反馈信息每起扣2分</w:t>
            </w:r>
          </w:p>
        </w:tc>
        <w:tc>
          <w:tcPr>
            <w:tcW w:w="722" w:type="dxa"/>
            <w:noWrap w:val="0"/>
            <w:vAlign w:val="top"/>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68" w:type="dxa"/>
            <w:vMerge w:val="restart"/>
            <w:noWrap w:val="0"/>
            <w:vAlign w:val="center"/>
          </w:tcPr>
          <w:p>
            <w:pPr>
              <w:spacing w:line="280" w:lineRule="exact"/>
              <w:ind w:left="-210" w:leftChars="-100" w:right="-210" w:rightChars="-100"/>
              <w:jc w:val="center"/>
              <w:rPr>
                <w:rFonts w:hint="eastAsia" w:ascii="仿宋" w:hAnsi="仿宋" w:eastAsia="仿宋" w:cs="仿宋"/>
                <w:sz w:val="24"/>
                <w:szCs w:val="24"/>
              </w:rPr>
            </w:pPr>
            <w:r>
              <w:rPr>
                <w:rFonts w:hint="eastAsia" w:ascii="仿宋" w:hAnsi="仿宋" w:eastAsia="仿宋" w:cs="仿宋"/>
                <w:sz w:val="24"/>
                <w:szCs w:val="24"/>
              </w:rPr>
              <w:t>2</w:t>
            </w:r>
          </w:p>
        </w:tc>
        <w:tc>
          <w:tcPr>
            <w:tcW w:w="1084" w:type="dxa"/>
            <w:vMerge w:val="restart"/>
            <w:noWrap w:val="0"/>
            <w:vAlign w:val="center"/>
          </w:tcPr>
          <w:p>
            <w:pPr>
              <w:widowControl/>
              <w:spacing w:line="280" w:lineRule="exact"/>
              <w:ind w:left="-105" w:leftChars="-50" w:right="-105" w:rightChars="-50"/>
              <w:jc w:val="center"/>
              <w:rPr>
                <w:rFonts w:hint="eastAsia" w:ascii="仿宋" w:hAnsi="仿宋" w:eastAsia="仿宋" w:cs="仿宋"/>
                <w:kern w:val="0"/>
                <w:sz w:val="24"/>
                <w:szCs w:val="24"/>
              </w:rPr>
            </w:pPr>
            <w:r>
              <w:rPr>
                <w:rFonts w:hint="eastAsia" w:ascii="仿宋" w:hAnsi="仿宋" w:eastAsia="仿宋" w:cs="仿宋"/>
                <w:kern w:val="0"/>
                <w:sz w:val="24"/>
                <w:szCs w:val="24"/>
              </w:rPr>
              <w:t>规定执行和其他情况（50分）</w:t>
            </w: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各类管理人员未及时按要求到位，清洗保洁人员未按要求配备充足的视情扣分0.1－0.5分</w:t>
            </w:r>
          </w:p>
        </w:tc>
        <w:tc>
          <w:tcPr>
            <w:tcW w:w="722" w:type="dxa"/>
            <w:noWrap w:val="0"/>
            <w:vAlign w:val="top"/>
          </w:tcPr>
          <w:p>
            <w:pPr>
              <w:widowControl/>
              <w:spacing w:line="28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68" w:type="dxa"/>
            <w:vMerge w:val="continue"/>
            <w:noWrap w:val="0"/>
            <w:vAlign w:val="top"/>
          </w:tcPr>
          <w:p>
            <w:pPr>
              <w:spacing w:line="280" w:lineRule="exact"/>
              <w:ind w:left="-210" w:leftChars="-100" w:right="-210" w:rightChars="-100"/>
              <w:rPr>
                <w:rFonts w:hint="eastAsia" w:ascii="仿宋" w:hAnsi="仿宋" w:eastAsia="仿宋" w:cs="仿宋"/>
                <w:sz w:val="24"/>
                <w:szCs w:val="24"/>
              </w:rPr>
            </w:pPr>
          </w:p>
        </w:tc>
        <w:tc>
          <w:tcPr>
            <w:tcW w:w="1084" w:type="dxa"/>
            <w:vMerge w:val="continue"/>
            <w:noWrap w:val="0"/>
            <w:vAlign w:val="top"/>
          </w:tcPr>
          <w:p>
            <w:pPr>
              <w:widowControl/>
              <w:spacing w:line="280" w:lineRule="exact"/>
              <w:ind w:left="-105" w:leftChars="-50" w:right="-105" w:rightChars="-50"/>
              <w:rPr>
                <w:rFonts w:hint="eastAsia" w:ascii="仿宋" w:hAnsi="仿宋" w:eastAsia="仿宋" w:cs="仿宋"/>
                <w:kern w:val="0"/>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清洗保洁作业人员未按照“定人员、定路段、定责任”的要求实行“三定”管理的每发现一起扣1分</w:t>
            </w:r>
          </w:p>
        </w:tc>
        <w:tc>
          <w:tcPr>
            <w:tcW w:w="722" w:type="dxa"/>
            <w:noWrap w:val="0"/>
            <w:vAlign w:val="top"/>
          </w:tcPr>
          <w:p>
            <w:pPr>
              <w:widowControl/>
              <w:spacing w:line="28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8" w:type="dxa"/>
            <w:vMerge w:val="continue"/>
            <w:noWrap w:val="0"/>
            <w:vAlign w:val="top"/>
          </w:tcPr>
          <w:p>
            <w:pPr>
              <w:spacing w:line="280" w:lineRule="exact"/>
              <w:ind w:left="-210" w:leftChars="-100" w:right="-210" w:rightChars="-100"/>
              <w:rPr>
                <w:rFonts w:hint="eastAsia" w:ascii="仿宋" w:hAnsi="仿宋" w:eastAsia="仿宋" w:cs="仿宋"/>
                <w:sz w:val="24"/>
                <w:szCs w:val="24"/>
              </w:rPr>
            </w:pPr>
          </w:p>
        </w:tc>
        <w:tc>
          <w:tcPr>
            <w:tcW w:w="1084" w:type="dxa"/>
            <w:vMerge w:val="continue"/>
            <w:noWrap w:val="0"/>
            <w:vAlign w:val="top"/>
          </w:tcPr>
          <w:p>
            <w:pPr>
              <w:widowControl/>
              <w:spacing w:line="280" w:lineRule="exact"/>
              <w:ind w:left="-105" w:leftChars="-50" w:right="-105" w:rightChars="-50"/>
              <w:rPr>
                <w:rFonts w:hint="eastAsia" w:ascii="仿宋" w:hAnsi="仿宋" w:eastAsia="仿宋" w:cs="仿宋"/>
                <w:kern w:val="0"/>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清洗保洁人员作业时不遵章守纪，不按规定程序操作，违章蛮干，每发现一人次扣1分，情节严重的建议承包人予以解聘</w:t>
            </w:r>
          </w:p>
        </w:tc>
        <w:tc>
          <w:tcPr>
            <w:tcW w:w="722" w:type="dxa"/>
            <w:noWrap w:val="0"/>
            <w:vAlign w:val="top"/>
          </w:tcPr>
          <w:p>
            <w:pPr>
              <w:widowControl/>
              <w:spacing w:line="28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68" w:type="dxa"/>
            <w:vMerge w:val="continue"/>
            <w:noWrap w:val="0"/>
            <w:vAlign w:val="top"/>
          </w:tcPr>
          <w:p>
            <w:pPr>
              <w:spacing w:line="280" w:lineRule="exact"/>
              <w:ind w:left="-210" w:leftChars="-100" w:right="-210" w:rightChars="-100"/>
              <w:rPr>
                <w:rFonts w:hint="eastAsia" w:ascii="仿宋" w:hAnsi="仿宋" w:eastAsia="仿宋" w:cs="仿宋"/>
                <w:sz w:val="24"/>
                <w:szCs w:val="24"/>
              </w:rPr>
            </w:pPr>
          </w:p>
        </w:tc>
        <w:tc>
          <w:tcPr>
            <w:tcW w:w="1084" w:type="dxa"/>
            <w:vMerge w:val="continue"/>
            <w:noWrap w:val="0"/>
            <w:vAlign w:val="top"/>
          </w:tcPr>
          <w:p>
            <w:pPr>
              <w:widowControl/>
              <w:spacing w:line="280" w:lineRule="exact"/>
              <w:ind w:left="-105" w:leftChars="-50" w:right="-105" w:rightChars="-50"/>
              <w:rPr>
                <w:rFonts w:hint="eastAsia" w:ascii="仿宋" w:hAnsi="仿宋" w:eastAsia="仿宋" w:cs="仿宋"/>
                <w:kern w:val="0"/>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群众举报、新闻媒体曝光、政府公开电话交办或受到政府公开电话通报批评（扣分），经查实因承包人主观原因引起的，每次视情扣1至5分</w:t>
            </w:r>
          </w:p>
        </w:tc>
        <w:tc>
          <w:tcPr>
            <w:tcW w:w="722" w:type="dxa"/>
            <w:noWrap w:val="0"/>
            <w:vAlign w:val="top"/>
          </w:tcPr>
          <w:p>
            <w:pPr>
              <w:widowControl/>
              <w:spacing w:line="28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68" w:type="dxa"/>
            <w:vMerge w:val="continue"/>
            <w:noWrap w:val="0"/>
            <w:vAlign w:val="top"/>
          </w:tcPr>
          <w:p>
            <w:pPr>
              <w:spacing w:line="280" w:lineRule="exact"/>
              <w:ind w:left="-210" w:leftChars="-100" w:right="-210" w:rightChars="-100"/>
              <w:rPr>
                <w:rFonts w:hint="eastAsia" w:ascii="仿宋" w:hAnsi="仿宋" w:eastAsia="仿宋" w:cs="仿宋"/>
                <w:sz w:val="24"/>
                <w:szCs w:val="24"/>
              </w:rPr>
            </w:pPr>
          </w:p>
        </w:tc>
        <w:tc>
          <w:tcPr>
            <w:tcW w:w="1084" w:type="dxa"/>
            <w:vMerge w:val="continue"/>
            <w:noWrap w:val="0"/>
            <w:vAlign w:val="top"/>
          </w:tcPr>
          <w:p>
            <w:pPr>
              <w:widowControl/>
              <w:spacing w:line="280" w:lineRule="exact"/>
              <w:ind w:left="-105" w:leftChars="-50" w:right="-105" w:rightChars="-50"/>
              <w:rPr>
                <w:rFonts w:hint="eastAsia" w:ascii="仿宋" w:hAnsi="仿宋" w:eastAsia="仿宋" w:cs="仿宋"/>
                <w:kern w:val="0"/>
                <w:sz w:val="24"/>
                <w:szCs w:val="24"/>
              </w:rPr>
            </w:pPr>
          </w:p>
        </w:tc>
        <w:tc>
          <w:tcPr>
            <w:tcW w:w="8096" w:type="dxa"/>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在上级各项检查时发现不符合清洗保洁或未及时对“牛皮癣”进行清洗保洁要求的每次扣5分</w:t>
            </w:r>
          </w:p>
        </w:tc>
        <w:tc>
          <w:tcPr>
            <w:tcW w:w="722" w:type="dxa"/>
            <w:noWrap w:val="0"/>
            <w:vAlign w:val="top"/>
          </w:tcPr>
          <w:p>
            <w:pPr>
              <w:widowControl/>
              <w:spacing w:line="28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648" w:type="dxa"/>
            <w:gridSpan w:val="3"/>
            <w:noWrap w:val="0"/>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合计得分</w:t>
            </w:r>
          </w:p>
        </w:tc>
        <w:tc>
          <w:tcPr>
            <w:tcW w:w="722" w:type="dxa"/>
            <w:noWrap w:val="0"/>
            <w:vAlign w:val="top"/>
          </w:tcPr>
          <w:p>
            <w:pPr>
              <w:widowControl/>
              <w:spacing w:line="280" w:lineRule="exact"/>
              <w:rPr>
                <w:rFonts w:hint="eastAsia" w:ascii="仿宋" w:hAnsi="仿宋" w:eastAsia="仿宋" w:cs="仿宋"/>
                <w:kern w:val="0"/>
                <w:sz w:val="24"/>
                <w:szCs w:val="24"/>
              </w:rPr>
            </w:pPr>
          </w:p>
        </w:tc>
      </w:tr>
    </w:tbl>
    <w:p>
      <w:pPr>
        <w:spacing w:line="440" w:lineRule="exact"/>
        <w:rPr>
          <w:rFonts w:hint="eastAsia" w:ascii="仿宋" w:hAnsi="仿宋" w:eastAsia="仿宋" w:cs="仿宋"/>
          <w:b/>
          <w:bCs/>
          <w:sz w:val="24"/>
          <w:szCs w:val="24"/>
        </w:rPr>
      </w:pPr>
    </w:p>
    <w:p>
      <w:pPr>
        <w:pStyle w:val="60"/>
        <w:jc w:val="left"/>
        <w:rPr>
          <w:rFonts w:hint="eastAsia" w:ascii="仿宋" w:hAnsi="仿宋" w:eastAsia="仿宋" w:cs="仿宋"/>
          <w:sz w:val="24"/>
          <w:szCs w:val="24"/>
        </w:rPr>
      </w:pPr>
      <w:r>
        <w:rPr>
          <w:rFonts w:hint="eastAsia" w:ascii="仿宋" w:hAnsi="仿宋" w:eastAsia="仿宋" w:cs="仿宋"/>
          <w:sz w:val="24"/>
          <w:szCs w:val="24"/>
        </w:rPr>
        <w:br w:type="page"/>
      </w:r>
    </w:p>
    <w:p>
      <w:pPr>
        <w:spacing w:line="560" w:lineRule="exact"/>
        <w:ind w:firstLine="480" w:firstLineChars="200"/>
        <w:rPr>
          <w:rFonts w:hint="eastAsia" w:ascii="仿宋" w:hAnsi="仿宋" w:eastAsia="仿宋" w:cs="仿宋"/>
          <w:color w:val="000000"/>
          <w:kern w:val="0"/>
          <w:sz w:val="24"/>
          <w:szCs w:val="24"/>
        </w:rPr>
        <w:sectPr>
          <w:footerReference r:id="rId8" w:type="default"/>
          <w:pgSz w:w="11906" w:h="16838"/>
          <w:pgMar w:top="2098" w:right="1474" w:bottom="1984" w:left="1587" w:header="851" w:footer="1417" w:gutter="0"/>
          <w:pgNumType w:fmt="decimal"/>
          <w:cols w:space="720" w:num="1"/>
          <w:docGrid w:linePitch="319" w:charSpace="0"/>
        </w:sectPr>
      </w:pPr>
    </w:p>
    <w:p>
      <w:pPr>
        <w:pStyle w:val="60"/>
        <w:jc w:val="left"/>
        <w:rPr>
          <w:rFonts w:hint="eastAsia" w:ascii="仿宋" w:hAnsi="仿宋" w:eastAsia="仿宋" w:cs="仿宋"/>
          <w:sz w:val="24"/>
          <w:szCs w:val="24"/>
        </w:rPr>
      </w:pPr>
    </w:p>
    <w:p>
      <w:pPr>
        <w:pStyle w:val="6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）新街社区无物业小区保洁考核标准</w:t>
      </w:r>
    </w:p>
    <w:p>
      <w:pPr>
        <w:rPr>
          <w:rFonts w:hint="eastAsia" w:ascii="仿宋" w:hAnsi="仿宋" w:eastAsia="仿宋" w:cs="仿宋"/>
          <w:b/>
          <w:bCs/>
          <w:sz w:val="24"/>
          <w:szCs w:val="24"/>
        </w:rPr>
      </w:pPr>
      <w:r>
        <w:rPr>
          <w:rFonts w:hint="eastAsia" w:ascii="仿宋" w:hAnsi="仿宋" w:eastAsia="仿宋" w:cs="仿宋"/>
          <w:b/>
          <w:bCs/>
          <w:sz w:val="24"/>
          <w:szCs w:val="24"/>
        </w:rPr>
        <w:t>考核要求及方式</w:t>
      </w:r>
    </w:p>
    <w:p>
      <w:pPr>
        <w:spacing w:line="56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乔司街道无物业小区保洁、日常运营、甲方其他任务安排等工作（考核评分细则详见附表）。</w:t>
      </w:r>
    </w:p>
    <w:p>
      <w:pPr>
        <w:spacing w:line="460" w:lineRule="exact"/>
        <w:ind w:firstLine="561"/>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1.</w:t>
      </w:r>
      <w:r>
        <w:rPr>
          <w:rFonts w:hint="eastAsia" w:ascii="仿宋" w:hAnsi="仿宋" w:eastAsia="仿宋" w:cs="仿宋"/>
          <w:sz w:val="24"/>
          <w:szCs w:val="24"/>
        </w:rPr>
        <w:t>无物业保洁服务费划分为服务保障费及服务考核费，其中服务保障费占总服务费的70%，不纳入考核；服务考核费占总服务费的30%，服务考核费支付与考核结果挂钩。</w:t>
      </w:r>
    </w:p>
    <w:p>
      <w:pPr>
        <w:spacing w:line="460" w:lineRule="exact"/>
        <w:ind w:firstLine="561"/>
        <w:rPr>
          <w:rFonts w:hint="eastAsia" w:ascii="仿宋" w:hAnsi="仿宋" w:eastAsia="仿宋" w:cs="仿宋"/>
          <w:sz w:val="24"/>
          <w:szCs w:val="24"/>
        </w:rPr>
      </w:pPr>
      <w:r>
        <w:rPr>
          <w:rFonts w:hint="eastAsia" w:ascii="仿宋" w:hAnsi="仿宋" w:eastAsia="仿宋" w:cs="仿宋"/>
          <w:sz w:val="24"/>
          <w:szCs w:val="24"/>
        </w:rPr>
        <w:t>由甲方根据考核办法每月末前组织人员对乙方运营情况进行现场检查考核。</w:t>
      </w:r>
      <w:r>
        <w:rPr>
          <w:rFonts w:hint="eastAsia" w:ascii="仿宋" w:hAnsi="仿宋" w:eastAsia="仿宋" w:cs="仿宋"/>
          <w:color w:val="000000"/>
          <w:kern w:val="0"/>
          <w:sz w:val="24"/>
          <w:szCs w:val="24"/>
        </w:rPr>
        <w:t>考核以现场打分为主，严格按照考评细则进行，并提供相应照片留存作为扣分依据，须被考核片区负责人签字确认，每月底进行本月检查成绩公布。</w:t>
      </w:r>
      <w:r>
        <w:rPr>
          <w:rFonts w:hint="eastAsia" w:ascii="仿宋" w:hAnsi="仿宋" w:eastAsia="仿宋" w:cs="仿宋"/>
          <w:sz w:val="24"/>
          <w:szCs w:val="24"/>
        </w:rPr>
        <w:t>具体考核办法详见附件。考核结果分为一档、二档、三档、四档。考核得分在90分以上（含）为一档，80分（含）至90分为二档，70分（含）至80分为三档，70分以下为四档。</w:t>
      </w:r>
    </w:p>
    <w:p>
      <w:pPr>
        <w:spacing w:line="460" w:lineRule="exact"/>
        <w:ind w:firstLine="561"/>
        <w:rPr>
          <w:rFonts w:hint="eastAsia" w:ascii="仿宋" w:hAnsi="仿宋" w:eastAsia="仿宋" w:cs="仿宋"/>
          <w:sz w:val="24"/>
          <w:szCs w:val="24"/>
        </w:rPr>
      </w:pPr>
      <w:r>
        <w:rPr>
          <w:rFonts w:hint="eastAsia" w:ascii="仿宋" w:hAnsi="仿宋" w:eastAsia="仿宋" w:cs="仿宋"/>
          <w:color w:val="000000"/>
          <w:kern w:val="0"/>
          <w:sz w:val="24"/>
          <w:szCs w:val="24"/>
        </w:rPr>
        <w:t>2.</w:t>
      </w:r>
      <w:r>
        <w:rPr>
          <w:rFonts w:hint="eastAsia" w:ascii="仿宋" w:hAnsi="仿宋" w:eastAsia="仿宋" w:cs="仿宋"/>
          <w:sz w:val="24"/>
          <w:szCs w:val="24"/>
        </w:rPr>
        <w:t>考核为一档，100%支付服务费用。考核为二档，按照90%支付服务考核费用。考核为三档，按照80%支付服务考核费用。考核为四档，按照70%支付服务考核费用。</w:t>
      </w:r>
    </w:p>
    <w:p>
      <w:pPr>
        <w:spacing w:line="56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款按季支付，合同签署生效后，经季度考核，甲方应在次月20日前向乙方支付上季度服务费用，最后一季度费用在合同期满验收合格后十五日内支付；考核应扣款项及其他应扣款项在每季度支付经费或年终支付经费时扣除，并提供扣款凭证。</w:t>
      </w:r>
    </w:p>
    <w:p>
      <w:pPr>
        <w:spacing w:line="560" w:lineRule="exact"/>
        <w:rPr>
          <w:rFonts w:hint="eastAsia" w:ascii="仿宋" w:hAnsi="仿宋" w:eastAsia="仿宋" w:cs="仿宋"/>
          <w:color w:val="000000"/>
          <w:kern w:val="0"/>
          <w:sz w:val="24"/>
          <w:szCs w:val="24"/>
        </w:rPr>
      </w:pPr>
    </w:p>
    <w:p>
      <w:pPr>
        <w:spacing w:line="560" w:lineRule="exact"/>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rPr>
        <w:t>（11）环卫保洁管理要求:(1)按《杭州市人民政府办公厅转发市城管委关于杭州城区整洁度检查考核试行办法的通知》(杭政办函(2012)177号)、《关于印发2020年度各区、县(市)政府(管委会)城市管理目标考核办法的通知》(杭城管局(2020)42号)、《关于进一步明确城市各类保洁相关要求的通知》(杭城管局(2020)49号)和《关于印发(杭州市环卫作业人员着装与作业行为规范〉及(杭州市环卫作业车辆标识与作业管理规范〉的通知》(杭城管委(2016)130号)中明确的相关要求执行，如市、区相应规范标准有更新，按照最新版本执行。(2)按照以人为本原则关心职工，严格遵守《劳动法》、《劳动合同法》等劳动法规，保障职工合法权益。认真贯彻杭政办《浙江省人民政府办公厅关于进一步改善环卫工人工作生活条件促进环卫事业持续健康发展的若干意见》(浙政办发(2009)190号)和《杭州市人民政府办公厅关于进一步解决环卫工人实际困难 保障其合法权益的意见》((2008)14号)文件精神，环卫工人工资不得低于文件规定的工资标准，落实职工劳保福利待遇。(3)环卫职工的工资、岗位津贴、加班工资等必须确保按月发放。本次招标项目要求作业期间同一时段内道路保洁作业人数不</w:t>
      </w:r>
      <w:r>
        <w:rPr>
          <w:rFonts w:hint="eastAsia" w:ascii="仿宋" w:hAnsi="仿宋" w:eastAsia="仿宋" w:cs="仿宋"/>
          <w:b w:val="0"/>
          <w:bCs/>
          <w:color w:val="auto"/>
          <w:sz w:val="24"/>
          <w:szCs w:val="24"/>
          <w:highlight w:val="none"/>
        </w:rPr>
        <w:t>得少于</w:t>
      </w:r>
      <w:r>
        <w:rPr>
          <w:rFonts w:hint="eastAsia" w:ascii="仿宋" w:hAnsi="仿宋" w:eastAsia="仿宋" w:cs="仿宋"/>
          <w:b w:val="0"/>
          <w:bCs/>
          <w:color w:val="auto"/>
          <w:sz w:val="24"/>
          <w:szCs w:val="24"/>
          <w:highlight w:val="none"/>
          <w:lang w:val="en-US" w:eastAsia="zh-CN"/>
        </w:rPr>
        <w:t>89</w:t>
      </w:r>
      <w:r>
        <w:rPr>
          <w:rFonts w:hint="eastAsia" w:ascii="仿宋" w:hAnsi="仿宋" w:eastAsia="仿宋" w:cs="仿宋"/>
          <w:b w:val="0"/>
          <w:bCs/>
          <w:color w:val="auto"/>
          <w:sz w:val="24"/>
          <w:szCs w:val="24"/>
          <w:highlight w:val="none"/>
        </w:rPr>
        <w:t>人，一线清扫保洁作业人员(含保洁项目现场管理人员)总人数不得少于</w:t>
      </w:r>
      <w:r>
        <w:rPr>
          <w:rFonts w:hint="eastAsia" w:ascii="仿宋" w:hAnsi="仿宋" w:eastAsia="仿宋" w:cs="仿宋"/>
          <w:b w:val="0"/>
          <w:bCs/>
          <w:color w:val="auto"/>
          <w:sz w:val="24"/>
          <w:szCs w:val="24"/>
          <w:highlight w:val="none"/>
          <w:lang w:val="en-US" w:eastAsia="zh-CN"/>
        </w:rPr>
        <w:t>178</w:t>
      </w:r>
      <w:r>
        <w:rPr>
          <w:rFonts w:hint="eastAsia" w:ascii="仿宋" w:hAnsi="仿宋" w:eastAsia="仿宋" w:cs="仿宋"/>
          <w:b w:val="0"/>
          <w:bCs/>
          <w:color w:val="auto"/>
          <w:sz w:val="24"/>
          <w:szCs w:val="24"/>
          <w:highlight w:val="none"/>
        </w:rPr>
        <w:t>人</w:t>
      </w:r>
      <w:r>
        <w:rPr>
          <w:rFonts w:hint="eastAsia" w:ascii="仿宋" w:hAnsi="仿宋" w:eastAsia="仿宋" w:cs="仿宋"/>
          <w:b w:val="0"/>
          <w:bCs/>
          <w:color w:val="auto"/>
          <w:sz w:val="24"/>
          <w:szCs w:val="24"/>
        </w:rPr>
        <w:t>。本次招标要求的班组人员、机具设备固定用于本项目，不能与其它标段重复。如发有作业人员、机具在其它道路标段兼职或使用的，采购人有权解除合同。</w:t>
      </w:r>
    </w:p>
    <w:p>
      <w:pPr>
        <w:numPr>
          <w:ilvl w:val="0"/>
          <w:numId w:val="1"/>
        </w:numPr>
        <w:spacing w:line="600" w:lineRule="exact"/>
        <w:rPr>
          <w:rFonts w:hint="eastAsia" w:ascii="仿宋" w:hAnsi="仿宋" w:eastAsia="仿宋" w:cs="仿宋"/>
          <w:b/>
          <w:bCs/>
          <w:sz w:val="24"/>
          <w:szCs w:val="24"/>
        </w:rPr>
      </w:pPr>
      <w:r>
        <w:rPr>
          <w:rFonts w:hint="eastAsia" w:ascii="仿宋" w:hAnsi="仿宋" w:eastAsia="仿宋" w:cs="仿宋"/>
          <w:b/>
          <w:bCs/>
          <w:sz w:val="24"/>
          <w:szCs w:val="24"/>
        </w:rPr>
        <w:t>本工程有关的特殊条款</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lang w:val="en-US" w:eastAsia="zh-CN"/>
        </w:rPr>
        <w:t>服务</w:t>
      </w:r>
      <w:r>
        <w:rPr>
          <w:rFonts w:hint="eastAsia" w:ascii="仿宋" w:hAnsi="仿宋" w:eastAsia="仿宋" w:cs="仿宋"/>
          <w:b/>
          <w:bCs/>
          <w:sz w:val="24"/>
        </w:rPr>
        <w:t>期内,必须投入相应的机械等设备，符合杭州市环卫行业标准化管理的要求。</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w:t>
      </w:r>
      <w:r>
        <w:rPr>
          <w:rFonts w:hint="eastAsia" w:ascii="仿宋" w:hAnsi="仿宋" w:eastAsia="仿宋" w:cs="仿宋"/>
          <w:b/>
          <w:bCs/>
          <w:sz w:val="24"/>
          <w:lang w:val="en-US" w:eastAsia="zh-CN"/>
        </w:rPr>
        <w:t>服务</w:t>
      </w:r>
      <w:r>
        <w:rPr>
          <w:rFonts w:hint="eastAsia" w:ascii="仿宋" w:hAnsi="仿宋" w:eastAsia="仿宋" w:cs="仿宋"/>
          <w:b/>
          <w:bCs/>
          <w:sz w:val="24"/>
        </w:rPr>
        <w:t>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养护费中扣除。</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w:t>
      </w:r>
      <w:r>
        <w:rPr>
          <w:rFonts w:hint="eastAsia" w:ascii="仿宋" w:hAnsi="仿宋" w:eastAsia="仿宋" w:cs="仿宋"/>
          <w:b/>
          <w:bCs/>
          <w:sz w:val="24"/>
          <w:lang w:val="en-US" w:eastAsia="zh-CN"/>
        </w:rPr>
        <w:t>服务</w:t>
      </w:r>
      <w:r>
        <w:rPr>
          <w:rFonts w:hint="eastAsia" w:ascii="仿宋" w:hAnsi="仿宋" w:eastAsia="仿宋" w:cs="仿宋"/>
          <w:b/>
          <w:bCs/>
          <w:sz w:val="24"/>
        </w:rPr>
        <w:t>期限内，采购人有权直接委托中标单位养护管理本标段</w:t>
      </w:r>
      <w:r>
        <w:rPr>
          <w:rFonts w:hint="eastAsia" w:ascii="仿宋" w:hAnsi="仿宋" w:eastAsia="仿宋" w:cs="仿宋"/>
          <w:b/>
          <w:bCs/>
          <w:sz w:val="24"/>
          <w:lang w:val="en-US" w:eastAsia="zh-CN"/>
        </w:rPr>
        <w:t>10</w:t>
      </w:r>
      <w:r>
        <w:rPr>
          <w:rFonts w:hint="eastAsia" w:ascii="仿宋" w:hAnsi="仿宋" w:eastAsia="仿宋" w:cs="仿宋"/>
          <w:b/>
          <w:bCs/>
          <w:sz w:val="24"/>
        </w:rPr>
        <w:t>%以下工程量的保洁面积</w:t>
      </w:r>
      <w:r>
        <w:rPr>
          <w:rFonts w:hint="eastAsia" w:ascii="仿宋" w:hAnsi="仿宋" w:eastAsia="仿宋" w:cs="仿宋"/>
          <w:b/>
          <w:bCs/>
          <w:sz w:val="24"/>
          <w:lang w:val="en-US" w:eastAsia="zh-CN"/>
        </w:rPr>
        <w:t>或养护时间不超6个月的保洁任务</w:t>
      </w:r>
      <w:r>
        <w:rPr>
          <w:rFonts w:hint="eastAsia" w:ascii="仿宋" w:hAnsi="仿宋" w:eastAsia="仿宋" w:cs="仿宋"/>
          <w:b/>
          <w:bCs/>
          <w:sz w:val="24"/>
        </w:rPr>
        <w:t>，采购人不额外增加养护费。</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（4）</w:t>
      </w:r>
      <w:r>
        <w:rPr>
          <w:rFonts w:hint="eastAsia" w:ascii="仿宋" w:hAnsi="仿宋" w:eastAsia="仿宋" w:cs="仿宋"/>
          <w:b/>
          <w:bCs/>
          <w:sz w:val="24"/>
          <w:lang w:val="en-US" w:eastAsia="zh-CN"/>
        </w:rPr>
        <w:t>服务</w:t>
      </w:r>
      <w:r>
        <w:rPr>
          <w:rFonts w:hint="eastAsia" w:ascii="仿宋" w:hAnsi="仿宋" w:eastAsia="仿宋" w:cs="仿宋"/>
          <w:b/>
          <w:bCs/>
          <w:sz w:val="24"/>
        </w:rPr>
        <w:t>期内所发生的任何安全事故一律由中标单位负责，招标人不承担任何责任。</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（5）</w:t>
      </w:r>
      <w:r>
        <w:rPr>
          <w:rFonts w:hint="eastAsia" w:ascii="仿宋" w:hAnsi="仿宋" w:eastAsia="仿宋" w:cs="仿宋"/>
          <w:b/>
          <w:bCs/>
          <w:sz w:val="24"/>
          <w:lang w:val="en-US" w:eastAsia="zh-CN"/>
        </w:rPr>
        <w:t>服务</w:t>
      </w:r>
      <w:r>
        <w:rPr>
          <w:rFonts w:hint="eastAsia" w:ascii="仿宋" w:hAnsi="仿宋" w:eastAsia="仿宋" w:cs="仿宋"/>
          <w:b/>
          <w:bCs/>
          <w:sz w:val="24"/>
        </w:rPr>
        <w:t>期内，中标单位所产生的各项费用（迎检保障工作、防台抗洪、防雪抗冻、突击整治等各类应急工作），由中标单位负责列入报价，招标人不再追加费用。</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（6）</w:t>
      </w:r>
      <w:r>
        <w:rPr>
          <w:rFonts w:hint="eastAsia" w:ascii="仿宋" w:hAnsi="仿宋" w:eastAsia="仿宋" w:cs="仿宋"/>
          <w:b/>
          <w:sz w:val="24"/>
        </w:rPr>
        <w:t>中标单位不得向沿街单位和个人收取任何费用（包括门前三包）。</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（7）中标单位不得将本项目分包或转包，否则招标人有权责令其停止作业并中止承包合同，所造成的损失由中标单位负责。</w:t>
      </w:r>
    </w:p>
    <w:p>
      <w:pPr>
        <w:autoSpaceDE w:val="0"/>
        <w:autoSpaceDN w:val="0"/>
        <w:adjustRightInd w:val="0"/>
        <w:spacing w:line="360" w:lineRule="auto"/>
        <w:ind w:firstLine="479" w:firstLineChars="199"/>
        <w:jc w:val="left"/>
        <w:rPr>
          <w:rFonts w:hint="eastAsia" w:ascii="仿宋" w:hAnsi="仿宋" w:eastAsia="仿宋" w:cs="仿宋"/>
          <w:b/>
          <w:bCs/>
          <w:sz w:val="24"/>
        </w:rPr>
      </w:pPr>
      <w:r>
        <w:rPr>
          <w:rFonts w:hint="eastAsia" w:ascii="仿宋" w:hAnsi="仿宋" w:eastAsia="仿宋" w:cs="仿宋"/>
          <w:b/>
          <w:bCs/>
          <w:sz w:val="24"/>
        </w:rPr>
        <w:t>（8）招标人有权采用数字管理平台对保洁车辆、保洁人员进行作业监管，修改完善考核标准，投标人应无条件接受。</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9）公厕内的公共设施必须细心看管，认真维护，如遇丢失或损坏均由中标单位负责购置或维修，所需费用也由中标单位承担。公厕保洁过程中，如遇粪坑倒溢，粪管堵塞等情况，中标单位需及时采取措施，处理好类似情况。（处置类似情况费用由中标人承担）</w:t>
      </w:r>
    </w:p>
    <w:p>
      <w:pPr>
        <w:pStyle w:val="24"/>
        <w:spacing w:line="360" w:lineRule="auto"/>
        <w:ind w:firstLine="482" w:firstLineChars="200"/>
        <w:rPr>
          <w:rFonts w:hint="eastAsia" w:ascii="仿宋" w:hAnsi="仿宋" w:eastAsia="仿宋" w:cs="仿宋"/>
          <w:lang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10</w:t>
      </w:r>
      <w:r>
        <w:rPr>
          <w:rFonts w:hint="eastAsia" w:ascii="仿宋" w:hAnsi="仿宋" w:eastAsia="仿宋" w:cs="仿宋"/>
          <w:b/>
          <w:bCs/>
          <w:sz w:val="24"/>
          <w:lang w:eastAsia="zh-CN"/>
        </w:rPr>
        <w:t>）</w:t>
      </w:r>
      <w:r>
        <w:rPr>
          <w:rFonts w:hint="eastAsia" w:ascii="仿宋" w:hAnsi="仿宋" w:eastAsia="仿宋" w:cs="仿宋"/>
          <w:b/>
          <w:bCs/>
          <w:color w:val="auto"/>
          <w:sz w:val="24"/>
        </w:rPr>
        <w:t>投标单位需承诺中标后一周内由甲方验收投标承诺车辆，喷绘</w:t>
      </w:r>
      <w:r>
        <w:rPr>
          <w:rFonts w:hint="eastAsia" w:ascii="仿宋" w:hAnsi="仿宋" w:eastAsia="仿宋" w:cs="仿宋"/>
          <w:b/>
          <w:bCs/>
          <w:color w:val="auto"/>
          <w:sz w:val="24"/>
          <w:lang w:val="en-US" w:eastAsia="zh-CN"/>
        </w:rPr>
        <w:t>统一</w:t>
      </w:r>
      <w:r>
        <w:rPr>
          <w:rFonts w:hint="eastAsia" w:ascii="仿宋" w:hAnsi="仿宋" w:eastAsia="仿宋" w:cs="仿宋"/>
          <w:b/>
          <w:bCs/>
          <w:color w:val="auto"/>
          <w:sz w:val="24"/>
        </w:rPr>
        <w:t>标识，并在所有车辆上安装GPS定位系统，如中标单位不能按时提供，招标人将取消中标单位资格，并报备区交易中心及城管局</w:t>
      </w:r>
      <w:r>
        <w:rPr>
          <w:rFonts w:hint="eastAsia" w:ascii="仿宋" w:hAnsi="仿宋" w:eastAsia="仿宋" w:cs="仿宋"/>
          <w:b/>
          <w:bCs/>
          <w:color w:val="auto"/>
          <w:sz w:val="24"/>
          <w:lang w:eastAsia="zh-CN"/>
        </w:rPr>
        <w:t>。</w:t>
      </w:r>
    </w:p>
    <w:p>
      <w:pPr>
        <w:pStyle w:val="24"/>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11</w:t>
      </w:r>
      <w:r>
        <w:rPr>
          <w:rFonts w:hint="eastAsia" w:ascii="仿宋" w:hAnsi="仿宋" w:eastAsia="仿宋" w:cs="仿宋"/>
          <w:b/>
          <w:bCs/>
          <w:sz w:val="24"/>
          <w:lang w:eastAsia="zh-CN"/>
        </w:rPr>
        <w:t>）</w:t>
      </w:r>
      <w:r>
        <w:rPr>
          <w:rFonts w:hint="eastAsia" w:ascii="仿宋" w:hAnsi="仿宋" w:eastAsia="仿宋" w:cs="仿宋"/>
          <w:b/>
          <w:bCs/>
          <w:sz w:val="24"/>
          <w:lang w:val="en-US" w:eastAsia="zh-CN"/>
        </w:rPr>
        <w:t>实际保洁服务期限为签订合同之日起两年，合同一年一签，根据考核结果是否合格，招标人有权是否续签或提前终止合同。</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val="en-US" w:eastAsia="zh-CN"/>
        </w:rPr>
        <w:t>（12）</w:t>
      </w:r>
      <w:r>
        <w:rPr>
          <w:rFonts w:hint="eastAsia" w:ascii="仿宋" w:hAnsi="仿宋" w:eastAsia="仿宋" w:cs="仿宋"/>
          <w:b/>
          <w:bCs/>
          <w:sz w:val="24"/>
        </w:rPr>
        <w:t>本项目投标报价超过最高限价的（即投标报价&gt;最高限价），其投标视为无效。</w:t>
      </w:r>
    </w:p>
    <w:p>
      <w:pPr>
        <w:pStyle w:val="24"/>
        <w:rPr>
          <w:rFonts w:hint="eastAsia" w:eastAsia="仿宋"/>
          <w:lang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13</w:t>
      </w:r>
      <w:r>
        <w:rPr>
          <w:rFonts w:hint="eastAsia" w:ascii="仿宋" w:hAnsi="仿宋" w:eastAsia="仿宋" w:cs="仿宋"/>
          <w:b/>
          <w:bCs/>
          <w:sz w:val="24"/>
          <w:lang w:eastAsia="zh-CN"/>
        </w:rPr>
        <w:t>）投标人</w:t>
      </w:r>
      <w:r>
        <w:rPr>
          <w:rFonts w:hint="eastAsia" w:ascii="仿宋" w:hAnsi="仿宋" w:eastAsia="仿宋" w:cs="仿宋"/>
          <w:b/>
          <w:bCs/>
          <w:sz w:val="24"/>
          <w:lang w:val="en-US" w:eastAsia="zh-CN"/>
        </w:rPr>
        <w:t>应</w:t>
      </w:r>
      <w:r>
        <w:rPr>
          <w:rFonts w:hint="eastAsia" w:ascii="仿宋" w:hAnsi="仿宋" w:eastAsia="仿宋" w:cs="仿宋"/>
          <w:b/>
          <w:bCs/>
          <w:sz w:val="24"/>
          <w:lang w:eastAsia="zh-CN"/>
        </w:rPr>
        <w:t>在中标后</w:t>
      </w:r>
      <w:r>
        <w:rPr>
          <w:rFonts w:hint="eastAsia" w:ascii="仿宋" w:hAnsi="仿宋" w:eastAsia="仿宋" w:cs="仿宋"/>
          <w:b/>
          <w:bCs/>
          <w:sz w:val="24"/>
          <w:lang w:val="en-US" w:eastAsia="zh-CN"/>
        </w:rPr>
        <w:t>10日历天内</w:t>
      </w:r>
      <w:r>
        <w:rPr>
          <w:rFonts w:hint="eastAsia" w:ascii="仿宋" w:hAnsi="仿宋" w:eastAsia="仿宋" w:cs="仿宋"/>
          <w:b/>
          <w:bCs/>
          <w:sz w:val="24"/>
          <w:lang w:eastAsia="zh-CN"/>
        </w:rPr>
        <w:t>正式进场前，在服务所在镇街范围内设立工作场所（含办公、仓库等）。</w:t>
      </w:r>
    </w:p>
    <w:p>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08094"/>
      <w:bookmarkEnd w:id="27"/>
      <w:bookmarkStart w:id="28" w:name="_Toc184310276"/>
      <w:bookmarkEnd w:id="28"/>
      <w:bookmarkStart w:id="29" w:name="_Toc184312101"/>
      <w:bookmarkEnd w:id="29"/>
      <w:bookmarkStart w:id="30" w:name="_Toc184314410"/>
      <w:bookmarkEnd w:id="30"/>
      <w:bookmarkStart w:id="31" w:name="_Toc184312086"/>
      <w:bookmarkEnd w:id="31"/>
      <w:bookmarkStart w:id="32" w:name="_Toc184310325"/>
      <w:bookmarkEnd w:id="32"/>
      <w:bookmarkStart w:id="33" w:name="_Toc184314447"/>
      <w:bookmarkEnd w:id="33"/>
      <w:bookmarkStart w:id="34" w:name="_Toc184310310"/>
      <w:bookmarkEnd w:id="34"/>
      <w:bookmarkStart w:id="35" w:name="_Toc184310294"/>
      <w:bookmarkEnd w:id="35"/>
      <w:bookmarkStart w:id="36" w:name="_Toc184308100"/>
      <w:bookmarkEnd w:id="36"/>
      <w:bookmarkStart w:id="37" w:name="_Toc184310284"/>
      <w:bookmarkEnd w:id="37"/>
      <w:bookmarkStart w:id="38" w:name="_Toc184313251"/>
      <w:bookmarkEnd w:id="38"/>
      <w:bookmarkStart w:id="39" w:name="_Toc184313254"/>
      <w:bookmarkEnd w:id="39"/>
      <w:bookmarkStart w:id="40" w:name="_Toc184313273"/>
      <w:bookmarkEnd w:id="40"/>
      <w:bookmarkStart w:id="41" w:name="_Toc184308039"/>
      <w:bookmarkEnd w:id="41"/>
      <w:bookmarkStart w:id="42" w:name="_Toc184312112"/>
      <w:bookmarkEnd w:id="42"/>
      <w:bookmarkStart w:id="43" w:name="_Toc184314470"/>
      <w:bookmarkEnd w:id="43"/>
      <w:bookmarkStart w:id="44" w:name="_Toc184312114"/>
      <w:bookmarkEnd w:id="44"/>
      <w:bookmarkStart w:id="45" w:name="_Toc184312095"/>
      <w:bookmarkEnd w:id="45"/>
      <w:bookmarkStart w:id="46" w:name="_Toc184308064"/>
      <w:bookmarkEnd w:id="46"/>
      <w:bookmarkStart w:id="47" w:name="_Toc184314482"/>
      <w:bookmarkEnd w:id="47"/>
      <w:bookmarkStart w:id="48" w:name="_Toc184312117"/>
      <w:bookmarkEnd w:id="48"/>
      <w:bookmarkStart w:id="49" w:name="_Toc184310317"/>
      <w:bookmarkEnd w:id="49"/>
      <w:bookmarkStart w:id="50" w:name="_Toc184314428"/>
      <w:bookmarkEnd w:id="50"/>
      <w:bookmarkStart w:id="51" w:name="_Toc184310281"/>
      <w:bookmarkEnd w:id="51"/>
      <w:bookmarkStart w:id="52" w:name="_Toc184310330"/>
      <w:bookmarkEnd w:id="52"/>
      <w:bookmarkStart w:id="53" w:name="_Toc184310280"/>
      <w:bookmarkEnd w:id="53"/>
      <w:bookmarkStart w:id="54" w:name="_Toc184313283"/>
      <w:bookmarkEnd w:id="54"/>
      <w:bookmarkStart w:id="55" w:name="_Toc184313287"/>
      <w:bookmarkEnd w:id="55"/>
      <w:bookmarkStart w:id="56" w:name="_Toc184310316"/>
      <w:bookmarkEnd w:id="56"/>
      <w:bookmarkStart w:id="57" w:name="_Toc184312134"/>
      <w:bookmarkEnd w:id="57"/>
      <w:bookmarkStart w:id="58" w:name="_Toc184310299"/>
      <w:bookmarkEnd w:id="58"/>
      <w:bookmarkStart w:id="59" w:name="_Toc184312107"/>
      <w:bookmarkEnd w:id="59"/>
      <w:bookmarkStart w:id="60" w:name="_Toc184310274"/>
      <w:bookmarkEnd w:id="60"/>
      <w:bookmarkStart w:id="61" w:name="_Toc184312118"/>
      <w:bookmarkEnd w:id="61"/>
      <w:bookmarkStart w:id="62" w:name="_Toc184310324"/>
      <w:bookmarkEnd w:id="62"/>
      <w:bookmarkStart w:id="63" w:name="_Toc184313293"/>
      <w:bookmarkEnd w:id="63"/>
      <w:bookmarkStart w:id="64" w:name="_Toc184312096"/>
      <w:bookmarkEnd w:id="64"/>
      <w:bookmarkStart w:id="65" w:name="_Toc184308101"/>
      <w:bookmarkEnd w:id="65"/>
      <w:bookmarkStart w:id="66" w:name="_Toc184313281"/>
      <w:bookmarkEnd w:id="66"/>
      <w:bookmarkStart w:id="67" w:name="_Toc184310326"/>
      <w:bookmarkEnd w:id="67"/>
      <w:bookmarkStart w:id="68" w:name="_Toc184308036"/>
      <w:bookmarkEnd w:id="68"/>
      <w:bookmarkStart w:id="69" w:name="_Toc184308045"/>
      <w:bookmarkEnd w:id="69"/>
      <w:bookmarkStart w:id="70" w:name="_Toc184314426"/>
      <w:bookmarkEnd w:id="70"/>
      <w:bookmarkStart w:id="71" w:name="_Toc184310339"/>
      <w:bookmarkEnd w:id="71"/>
      <w:bookmarkStart w:id="72" w:name="_Toc184308081"/>
      <w:bookmarkEnd w:id="72"/>
      <w:bookmarkStart w:id="73" w:name="_Toc184310288"/>
      <w:bookmarkEnd w:id="73"/>
      <w:bookmarkStart w:id="74" w:name="_Toc184308104"/>
      <w:bookmarkEnd w:id="74"/>
      <w:bookmarkStart w:id="75" w:name="_Toc184312098"/>
      <w:bookmarkEnd w:id="75"/>
      <w:bookmarkStart w:id="76" w:name="_Toc184310275"/>
      <w:bookmarkEnd w:id="76"/>
      <w:bookmarkStart w:id="77" w:name="_Toc184312083"/>
      <w:bookmarkEnd w:id="77"/>
      <w:bookmarkStart w:id="78" w:name="_Toc184312073"/>
      <w:bookmarkEnd w:id="78"/>
      <w:bookmarkStart w:id="79" w:name="_Toc184310283"/>
      <w:bookmarkEnd w:id="79"/>
      <w:bookmarkStart w:id="80" w:name="_Toc184314415"/>
      <w:bookmarkEnd w:id="80"/>
      <w:bookmarkStart w:id="81" w:name="_Toc184313259"/>
      <w:bookmarkEnd w:id="81"/>
      <w:bookmarkStart w:id="82" w:name="_Toc184313274"/>
      <w:bookmarkEnd w:id="82"/>
      <w:bookmarkStart w:id="83" w:name="_Toc184314477"/>
      <w:bookmarkEnd w:id="83"/>
      <w:bookmarkStart w:id="84" w:name="_Toc184310301"/>
      <w:bookmarkEnd w:id="84"/>
      <w:bookmarkStart w:id="85" w:name="_Toc184314442"/>
      <w:bookmarkEnd w:id="85"/>
      <w:bookmarkStart w:id="86" w:name="_Toc184313297"/>
      <w:bookmarkEnd w:id="86"/>
      <w:bookmarkStart w:id="87" w:name="_Toc184314472"/>
      <w:bookmarkEnd w:id="87"/>
      <w:bookmarkStart w:id="88" w:name="_Toc184312068"/>
      <w:bookmarkEnd w:id="88"/>
      <w:bookmarkStart w:id="89" w:name="_Toc184314439"/>
      <w:bookmarkEnd w:id="89"/>
      <w:bookmarkStart w:id="90" w:name="_Toc184312084"/>
      <w:bookmarkEnd w:id="90"/>
      <w:bookmarkStart w:id="91" w:name="_Toc184314476"/>
      <w:bookmarkEnd w:id="91"/>
      <w:bookmarkStart w:id="92" w:name="_Toc184313241"/>
      <w:bookmarkEnd w:id="92"/>
      <w:bookmarkStart w:id="93" w:name="_Toc184308077"/>
      <w:bookmarkEnd w:id="93"/>
      <w:bookmarkStart w:id="94" w:name="_Toc184313257"/>
      <w:bookmarkEnd w:id="94"/>
      <w:bookmarkStart w:id="95" w:name="_Toc184313289"/>
      <w:bookmarkEnd w:id="95"/>
      <w:bookmarkStart w:id="96" w:name="_Toc184308103"/>
      <w:bookmarkEnd w:id="96"/>
      <w:bookmarkStart w:id="97" w:name="_Toc184313307"/>
      <w:bookmarkEnd w:id="97"/>
      <w:bookmarkStart w:id="98" w:name="_Toc184308048"/>
      <w:bookmarkEnd w:id="98"/>
      <w:bookmarkStart w:id="99" w:name="_Toc184310335"/>
      <w:bookmarkEnd w:id="99"/>
      <w:bookmarkStart w:id="100" w:name="_Toc184310319"/>
      <w:bookmarkEnd w:id="100"/>
      <w:bookmarkStart w:id="101" w:name="_Toc184310332"/>
      <w:bookmarkEnd w:id="101"/>
      <w:bookmarkStart w:id="102" w:name="_Toc184310327"/>
      <w:bookmarkEnd w:id="102"/>
      <w:bookmarkStart w:id="103" w:name="_Toc184310306"/>
      <w:bookmarkEnd w:id="103"/>
      <w:bookmarkStart w:id="104" w:name="_Toc184308068"/>
      <w:bookmarkEnd w:id="104"/>
      <w:bookmarkStart w:id="105" w:name="_Toc184313282"/>
      <w:bookmarkEnd w:id="105"/>
      <w:bookmarkStart w:id="106" w:name="_Toc184308085"/>
      <w:bookmarkEnd w:id="106"/>
      <w:bookmarkStart w:id="107" w:name="_Toc184310285"/>
      <w:bookmarkEnd w:id="107"/>
      <w:bookmarkStart w:id="108" w:name="_Toc184314427"/>
      <w:bookmarkEnd w:id="108"/>
      <w:bookmarkStart w:id="109" w:name="_Toc184310315"/>
      <w:bookmarkEnd w:id="109"/>
      <w:bookmarkStart w:id="110" w:name="_Toc184310343"/>
      <w:bookmarkEnd w:id="110"/>
      <w:bookmarkStart w:id="111" w:name="_Toc184313247"/>
      <w:bookmarkEnd w:id="111"/>
      <w:bookmarkStart w:id="112" w:name="_Toc184308058"/>
      <w:bookmarkEnd w:id="112"/>
      <w:bookmarkStart w:id="113" w:name="_Toc184312088"/>
      <w:bookmarkEnd w:id="113"/>
      <w:bookmarkStart w:id="114" w:name="_Toc184308075"/>
      <w:bookmarkEnd w:id="114"/>
      <w:bookmarkStart w:id="115" w:name="_Toc184312102"/>
      <w:bookmarkEnd w:id="115"/>
      <w:bookmarkStart w:id="116" w:name="_Toc184310277"/>
      <w:bookmarkEnd w:id="116"/>
      <w:bookmarkStart w:id="117" w:name="_Toc184314471"/>
      <w:bookmarkEnd w:id="117"/>
      <w:bookmarkStart w:id="118" w:name="_Toc184312106"/>
      <w:bookmarkEnd w:id="118"/>
      <w:bookmarkStart w:id="119" w:name="_Toc184308042"/>
      <w:bookmarkEnd w:id="119"/>
      <w:bookmarkStart w:id="120" w:name="_Toc184308102"/>
      <w:bookmarkEnd w:id="120"/>
      <w:bookmarkStart w:id="121" w:name="_Toc184313255"/>
      <w:bookmarkEnd w:id="121"/>
      <w:bookmarkStart w:id="122" w:name="_Toc184312067"/>
      <w:bookmarkEnd w:id="122"/>
      <w:bookmarkStart w:id="123" w:name="_Toc184312105"/>
      <w:bookmarkEnd w:id="123"/>
      <w:bookmarkStart w:id="124" w:name="_Toc184314480"/>
      <w:bookmarkEnd w:id="124"/>
      <w:bookmarkStart w:id="125" w:name="_Toc184310329"/>
      <w:bookmarkEnd w:id="125"/>
      <w:bookmarkStart w:id="126" w:name="_Toc184313298"/>
      <w:bookmarkEnd w:id="126"/>
      <w:bookmarkStart w:id="127" w:name="_Toc184308092"/>
      <w:bookmarkEnd w:id="127"/>
      <w:bookmarkStart w:id="128" w:name="_Toc184314474"/>
      <w:bookmarkEnd w:id="128"/>
      <w:bookmarkStart w:id="129" w:name="_Toc184313271"/>
      <w:bookmarkEnd w:id="129"/>
      <w:bookmarkStart w:id="130" w:name="_Toc184310338"/>
      <w:bookmarkEnd w:id="130"/>
      <w:bookmarkStart w:id="131" w:name="_Toc184313263"/>
      <w:bookmarkEnd w:id="131"/>
      <w:bookmarkStart w:id="132" w:name="_Toc184314441"/>
      <w:bookmarkEnd w:id="132"/>
      <w:bookmarkStart w:id="133" w:name="_Toc184313308"/>
      <w:bookmarkEnd w:id="133"/>
      <w:bookmarkStart w:id="134" w:name="_Toc184314444"/>
      <w:bookmarkEnd w:id="134"/>
      <w:bookmarkStart w:id="135" w:name="_Toc184308105"/>
      <w:bookmarkEnd w:id="135"/>
      <w:bookmarkStart w:id="136" w:name="_Toc184308072"/>
      <w:bookmarkEnd w:id="136"/>
      <w:bookmarkStart w:id="137" w:name="_Toc184308056"/>
      <w:bookmarkEnd w:id="137"/>
      <w:bookmarkStart w:id="138" w:name="_Toc184308066"/>
      <w:bookmarkEnd w:id="138"/>
      <w:bookmarkStart w:id="139" w:name="_Toc184314475"/>
      <w:bookmarkEnd w:id="139"/>
      <w:bookmarkStart w:id="140" w:name="_Toc184314424"/>
      <w:bookmarkEnd w:id="140"/>
      <w:bookmarkStart w:id="141" w:name="_Toc184312139"/>
      <w:bookmarkEnd w:id="141"/>
      <w:bookmarkStart w:id="142" w:name="_Toc184314437"/>
      <w:bookmarkEnd w:id="142"/>
      <w:bookmarkStart w:id="143" w:name="_Toc184312085"/>
      <w:bookmarkEnd w:id="143"/>
      <w:bookmarkStart w:id="144" w:name="_Toc184308099"/>
      <w:bookmarkEnd w:id="144"/>
      <w:bookmarkStart w:id="145" w:name="_Toc184308040"/>
      <w:bookmarkEnd w:id="145"/>
      <w:bookmarkStart w:id="146" w:name="_Toc184312099"/>
      <w:bookmarkEnd w:id="146"/>
      <w:bookmarkStart w:id="147" w:name="_Toc184314413"/>
      <w:bookmarkEnd w:id="147"/>
      <w:bookmarkStart w:id="148" w:name="_Toc184310342"/>
      <w:bookmarkEnd w:id="148"/>
      <w:bookmarkStart w:id="149" w:name="_Toc184310321"/>
      <w:bookmarkEnd w:id="149"/>
      <w:bookmarkStart w:id="150" w:name="_Toc184313303"/>
      <w:bookmarkEnd w:id="150"/>
      <w:bookmarkStart w:id="151" w:name="_Toc184313245"/>
      <w:bookmarkEnd w:id="151"/>
      <w:bookmarkStart w:id="152" w:name="_Toc184313304"/>
      <w:bookmarkEnd w:id="152"/>
      <w:bookmarkStart w:id="153" w:name="_Toc184312125"/>
      <w:bookmarkEnd w:id="153"/>
      <w:bookmarkStart w:id="154" w:name="_Toc184313280"/>
      <w:bookmarkEnd w:id="154"/>
      <w:bookmarkStart w:id="155" w:name="_Toc184308096"/>
      <w:bookmarkEnd w:id="155"/>
      <w:bookmarkStart w:id="156" w:name="_Toc184314461"/>
      <w:bookmarkEnd w:id="156"/>
      <w:bookmarkStart w:id="157" w:name="_Toc184313248"/>
      <w:bookmarkEnd w:id="157"/>
      <w:bookmarkStart w:id="158" w:name="_Toc184313265"/>
      <w:bookmarkEnd w:id="158"/>
      <w:bookmarkStart w:id="159" w:name="_Toc184308059"/>
      <w:bookmarkEnd w:id="159"/>
      <w:bookmarkStart w:id="160" w:name="_Toc184313252"/>
      <w:bookmarkEnd w:id="160"/>
      <w:bookmarkStart w:id="161" w:name="_Toc184312081"/>
      <w:bookmarkEnd w:id="161"/>
      <w:bookmarkStart w:id="162" w:name="_Toc184308051"/>
      <w:bookmarkEnd w:id="162"/>
      <w:bookmarkStart w:id="163" w:name="_Toc184314434"/>
      <w:bookmarkEnd w:id="163"/>
      <w:bookmarkStart w:id="164" w:name="_Toc184310289"/>
      <w:bookmarkEnd w:id="164"/>
      <w:bookmarkStart w:id="165" w:name="_Toc184314435"/>
      <w:bookmarkEnd w:id="165"/>
      <w:bookmarkStart w:id="166" w:name="_Toc184313266"/>
      <w:bookmarkEnd w:id="166"/>
      <w:bookmarkStart w:id="167" w:name="_Toc184313253"/>
      <w:bookmarkEnd w:id="167"/>
      <w:bookmarkStart w:id="168" w:name="_Toc184308069"/>
      <w:bookmarkEnd w:id="168"/>
      <w:bookmarkStart w:id="169" w:name="_Toc184310290"/>
      <w:bookmarkEnd w:id="169"/>
      <w:bookmarkStart w:id="170" w:name="_Toc184312075"/>
      <w:bookmarkEnd w:id="170"/>
      <w:bookmarkStart w:id="171" w:name="_Toc184308097"/>
      <w:bookmarkEnd w:id="171"/>
      <w:bookmarkStart w:id="172" w:name="_Toc184314467"/>
      <w:bookmarkEnd w:id="172"/>
      <w:bookmarkStart w:id="173" w:name="_Toc184314421"/>
      <w:bookmarkEnd w:id="173"/>
      <w:bookmarkStart w:id="174" w:name="_Toc184312093"/>
      <w:bookmarkEnd w:id="174"/>
      <w:bookmarkStart w:id="175" w:name="_Toc184308063"/>
      <w:bookmarkEnd w:id="175"/>
      <w:bookmarkStart w:id="176" w:name="_Toc184312094"/>
      <w:bookmarkEnd w:id="176"/>
      <w:bookmarkStart w:id="177" w:name="_Toc184313291"/>
      <w:bookmarkEnd w:id="177"/>
      <w:bookmarkStart w:id="178" w:name="_Toc184308060"/>
      <w:bookmarkEnd w:id="178"/>
      <w:bookmarkStart w:id="179" w:name="_Toc184313309"/>
      <w:bookmarkEnd w:id="179"/>
      <w:bookmarkStart w:id="180" w:name="_Toc184312089"/>
      <w:bookmarkEnd w:id="180"/>
      <w:bookmarkStart w:id="181" w:name="_Toc184314432"/>
      <w:bookmarkEnd w:id="181"/>
      <w:bookmarkStart w:id="182" w:name="_Toc184314457"/>
      <w:bookmarkEnd w:id="182"/>
      <w:bookmarkStart w:id="183" w:name="_Toc184313243"/>
      <w:bookmarkEnd w:id="183"/>
      <w:bookmarkStart w:id="184" w:name="_Toc184314451"/>
      <w:bookmarkEnd w:id="184"/>
      <w:bookmarkStart w:id="185" w:name="_Toc184312078"/>
      <w:bookmarkEnd w:id="185"/>
      <w:bookmarkStart w:id="186" w:name="_Toc184308041"/>
      <w:bookmarkEnd w:id="186"/>
      <w:bookmarkStart w:id="187" w:name="_Toc184308079"/>
      <w:bookmarkEnd w:id="187"/>
      <w:bookmarkStart w:id="188" w:name="_Toc184314416"/>
      <w:bookmarkEnd w:id="188"/>
      <w:bookmarkStart w:id="189" w:name="_Toc184313242"/>
      <w:bookmarkEnd w:id="189"/>
      <w:bookmarkStart w:id="190" w:name="_Toc184314455"/>
      <w:bookmarkEnd w:id="190"/>
      <w:bookmarkStart w:id="191" w:name="_Toc184308053"/>
      <w:bookmarkEnd w:id="191"/>
      <w:bookmarkStart w:id="192" w:name="_Toc184313267"/>
      <w:bookmarkEnd w:id="192"/>
      <w:bookmarkStart w:id="193" w:name="_Toc184310334"/>
      <w:bookmarkEnd w:id="193"/>
      <w:bookmarkStart w:id="194" w:name="_Toc184312069"/>
      <w:bookmarkEnd w:id="194"/>
      <w:bookmarkStart w:id="195" w:name="_Toc184308089"/>
      <w:bookmarkEnd w:id="195"/>
      <w:bookmarkStart w:id="196" w:name="_Toc184313275"/>
      <w:bookmarkEnd w:id="196"/>
      <w:bookmarkStart w:id="197" w:name="_Toc184314429"/>
      <w:bookmarkEnd w:id="197"/>
      <w:bookmarkStart w:id="198" w:name="_Toc184314422"/>
      <w:bookmarkEnd w:id="198"/>
      <w:bookmarkStart w:id="199" w:name="_Toc184310302"/>
      <w:bookmarkEnd w:id="199"/>
      <w:bookmarkStart w:id="200" w:name="_Toc184308047"/>
      <w:bookmarkEnd w:id="200"/>
      <w:bookmarkStart w:id="201" w:name="_Toc184313246"/>
      <w:bookmarkEnd w:id="201"/>
      <w:bookmarkStart w:id="202" w:name="_Toc184314414"/>
      <w:bookmarkEnd w:id="202"/>
      <w:bookmarkStart w:id="203" w:name="_Toc184308074"/>
      <w:bookmarkEnd w:id="203"/>
      <w:bookmarkStart w:id="204" w:name="_Toc184308078"/>
      <w:bookmarkEnd w:id="204"/>
      <w:bookmarkStart w:id="205" w:name="_Toc184314443"/>
      <w:bookmarkEnd w:id="205"/>
      <w:bookmarkStart w:id="206" w:name="_Toc184314479"/>
      <w:bookmarkEnd w:id="206"/>
      <w:bookmarkStart w:id="207" w:name="_Toc184314468"/>
      <w:bookmarkEnd w:id="207"/>
      <w:bookmarkStart w:id="208" w:name="_Toc184313249"/>
      <w:bookmarkEnd w:id="208"/>
      <w:bookmarkStart w:id="209" w:name="_Toc184308082"/>
      <w:bookmarkEnd w:id="209"/>
      <w:bookmarkStart w:id="210" w:name="_Toc184312113"/>
      <w:bookmarkEnd w:id="210"/>
      <w:bookmarkStart w:id="211" w:name="_Toc184312122"/>
      <w:bookmarkEnd w:id="211"/>
      <w:bookmarkStart w:id="212" w:name="_Toc184308091"/>
      <w:bookmarkEnd w:id="212"/>
      <w:bookmarkStart w:id="213" w:name="_Toc184313284"/>
      <w:bookmarkEnd w:id="213"/>
      <w:bookmarkStart w:id="214" w:name="_Toc184314431"/>
      <w:bookmarkEnd w:id="214"/>
      <w:bookmarkStart w:id="215" w:name="_Toc184314448"/>
      <w:bookmarkEnd w:id="215"/>
      <w:bookmarkStart w:id="216" w:name="_Toc184312090"/>
      <w:bookmarkEnd w:id="216"/>
      <w:bookmarkStart w:id="217" w:name="_Toc184310313"/>
      <w:bookmarkEnd w:id="217"/>
      <w:bookmarkStart w:id="218" w:name="_Toc184308071"/>
      <w:bookmarkEnd w:id="218"/>
      <w:bookmarkStart w:id="219" w:name="_Toc184308067"/>
      <w:bookmarkEnd w:id="219"/>
      <w:bookmarkStart w:id="220" w:name="_Toc184313244"/>
      <w:bookmarkEnd w:id="220"/>
      <w:bookmarkStart w:id="221" w:name="_Toc184310278"/>
      <w:bookmarkEnd w:id="221"/>
      <w:bookmarkStart w:id="222" w:name="_Toc184314456"/>
      <w:bookmarkEnd w:id="222"/>
      <w:bookmarkStart w:id="223" w:name="_Toc184314462"/>
      <w:bookmarkEnd w:id="223"/>
      <w:bookmarkStart w:id="224" w:name="_Toc184312082"/>
      <w:bookmarkEnd w:id="224"/>
      <w:bookmarkStart w:id="225" w:name="_Toc184310293"/>
      <w:bookmarkEnd w:id="225"/>
      <w:bookmarkStart w:id="226" w:name="_Toc184312137"/>
      <w:bookmarkEnd w:id="226"/>
      <w:bookmarkStart w:id="227" w:name="_Toc184308087"/>
      <w:bookmarkEnd w:id="227"/>
      <w:bookmarkStart w:id="228" w:name="_Toc184314452"/>
      <w:bookmarkEnd w:id="228"/>
      <w:bookmarkStart w:id="229" w:name="_Toc184310307"/>
      <w:bookmarkEnd w:id="229"/>
      <w:bookmarkStart w:id="230" w:name="_Toc184312136"/>
      <w:bookmarkEnd w:id="230"/>
      <w:bookmarkStart w:id="231" w:name="_Toc184312120"/>
      <w:bookmarkEnd w:id="231"/>
      <w:bookmarkStart w:id="232" w:name="_Toc184312077"/>
      <w:bookmarkEnd w:id="232"/>
      <w:bookmarkStart w:id="233" w:name="_Toc184314478"/>
      <w:bookmarkEnd w:id="233"/>
      <w:bookmarkStart w:id="234" w:name="_Toc184310344"/>
      <w:bookmarkEnd w:id="234"/>
      <w:bookmarkStart w:id="235" w:name="_Toc184310279"/>
      <w:bookmarkEnd w:id="235"/>
      <w:bookmarkStart w:id="236" w:name="_Toc184312076"/>
      <w:bookmarkEnd w:id="236"/>
      <w:bookmarkStart w:id="237" w:name="_Toc184313305"/>
      <w:bookmarkEnd w:id="237"/>
      <w:bookmarkStart w:id="238" w:name="_Toc184313295"/>
      <w:bookmarkEnd w:id="238"/>
      <w:bookmarkStart w:id="239" w:name="_Toc184310295"/>
      <w:bookmarkEnd w:id="239"/>
      <w:bookmarkStart w:id="240" w:name="_Toc184312087"/>
      <w:bookmarkEnd w:id="240"/>
      <w:bookmarkStart w:id="241" w:name="_Toc184308049"/>
      <w:bookmarkEnd w:id="241"/>
      <w:bookmarkStart w:id="242" w:name="_Toc184314419"/>
      <w:bookmarkEnd w:id="242"/>
      <w:bookmarkStart w:id="243" w:name="_Toc184310305"/>
      <w:bookmarkEnd w:id="243"/>
      <w:bookmarkStart w:id="244" w:name="_Toc184310308"/>
      <w:bookmarkEnd w:id="244"/>
      <w:bookmarkStart w:id="245" w:name="_Toc184314425"/>
      <w:bookmarkEnd w:id="245"/>
      <w:bookmarkStart w:id="246" w:name="_Toc184314433"/>
      <w:bookmarkEnd w:id="246"/>
      <w:bookmarkStart w:id="247" w:name="_Toc184314454"/>
      <w:bookmarkEnd w:id="247"/>
      <w:bookmarkStart w:id="248" w:name="_Toc184313300"/>
      <w:bookmarkEnd w:id="248"/>
      <w:bookmarkStart w:id="249" w:name="_Toc184308084"/>
      <w:bookmarkEnd w:id="249"/>
      <w:bookmarkStart w:id="250" w:name="_Toc184312135"/>
      <w:bookmarkEnd w:id="250"/>
      <w:bookmarkStart w:id="251" w:name="_Toc184314481"/>
      <w:bookmarkEnd w:id="251"/>
      <w:bookmarkStart w:id="252" w:name="_Toc184312110"/>
      <w:bookmarkEnd w:id="252"/>
      <w:bookmarkStart w:id="253" w:name="_Toc184308065"/>
      <w:bookmarkEnd w:id="253"/>
      <w:bookmarkStart w:id="254" w:name="_Toc184308098"/>
      <w:bookmarkEnd w:id="254"/>
      <w:bookmarkStart w:id="255" w:name="_Toc184308044"/>
      <w:bookmarkEnd w:id="255"/>
      <w:bookmarkStart w:id="256" w:name="_Toc184314411"/>
      <w:bookmarkEnd w:id="256"/>
      <w:bookmarkStart w:id="257" w:name="_Toc184308107"/>
      <w:bookmarkEnd w:id="257"/>
      <w:bookmarkStart w:id="258" w:name="_Toc184314440"/>
      <w:bookmarkEnd w:id="258"/>
      <w:bookmarkStart w:id="259" w:name="_Toc184308038"/>
      <w:bookmarkEnd w:id="259"/>
      <w:bookmarkStart w:id="260" w:name="_Toc184314460"/>
      <w:bookmarkEnd w:id="260"/>
      <w:bookmarkStart w:id="261" w:name="_Toc184310318"/>
      <w:bookmarkEnd w:id="261"/>
      <w:bookmarkStart w:id="262" w:name="_Toc184312119"/>
      <w:bookmarkEnd w:id="262"/>
      <w:bookmarkStart w:id="263" w:name="_Toc184312108"/>
      <w:bookmarkEnd w:id="263"/>
      <w:bookmarkStart w:id="264" w:name="_Toc184312131"/>
      <w:bookmarkEnd w:id="264"/>
      <w:bookmarkStart w:id="265" w:name="_Toc184313302"/>
      <w:bookmarkEnd w:id="265"/>
      <w:bookmarkStart w:id="266" w:name="_Toc184310286"/>
      <w:bookmarkEnd w:id="266"/>
      <w:bookmarkStart w:id="267" w:name="_Toc184313239"/>
      <w:bookmarkEnd w:id="267"/>
      <w:bookmarkStart w:id="268" w:name="_Toc184314465"/>
      <w:bookmarkEnd w:id="268"/>
      <w:bookmarkStart w:id="269" w:name="_Toc184313301"/>
      <w:bookmarkEnd w:id="269"/>
      <w:bookmarkStart w:id="270" w:name="_Toc184312128"/>
      <w:bookmarkEnd w:id="270"/>
      <w:bookmarkStart w:id="271" w:name="_Toc184310287"/>
      <w:bookmarkEnd w:id="271"/>
      <w:bookmarkStart w:id="272" w:name="_Toc184310309"/>
      <w:bookmarkEnd w:id="272"/>
      <w:bookmarkStart w:id="273" w:name="_Toc184314438"/>
      <w:bookmarkEnd w:id="273"/>
      <w:bookmarkStart w:id="274" w:name="_Toc184312072"/>
      <w:bookmarkEnd w:id="274"/>
      <w:bookmarkStart w:id="275" w:name="_Toc184312097"/>
      <w:bookmarkEnd w:id="275"/>
      <w:bookmarkStart w:id="276" w:name="_Toc184313278"/>
      <w:bookmarkEnd w:id="276"/>
      <w:bookmarkStart w:id="277" w:name="_Toc184313306"/>
      <w:bookmarkEnd w:id="277"/>
      <w:bookmarkStart w:id="278" w:name="_Toc184308108"/>
      <w:bookmarkEnd w:id="278"/>
      <w:bookmarkStart w:id="279" w:name="_Toc184308080"/>
      <w:bookmarkEnd w:id="279"/>
      <w:bookmarkStart w:id="280" w:name="_Toc184310320"/>
      <w:bookmarkEnd w:id="280"/>
      <w:bookmarkStart w:id="281" w:name="_Toc184312091"/>
      <w:bookmarkEnd w:id="281"/>
      <w:bookmarkStart w:id="282" w:name="_Toc184314463"/>
      <w:bookmarkEnd w:id="282"/>
      <w:bookmarkStart w:id="283" w:name="_Toc184314469"/>
      <w:bookmarkEnd w:id="283"/>
      <w:bookmarkStart w:id="284" w:name="_Toc184313310"/>
      <w:bookmarkEnd w:id="284"/>
      <w:bookmarkStart w:id="285" w:name="_Toc184314417"/>
      <w:bookmarkEnd w:id="285"/>
      <w:bookmarkStart w:id="286" w:name="_Toc184313279"/>
      <w:bookmarkEnd w:id="286"/>
      <w:bookmarkStart w:id="287" w:name="_Toc184308093"/>
      <w:bookmarkEnd w:id="287"/>
      <w:bookmarkStart w:id="288" w:name="_Toc184313277"/>
      <w:bookmarkEnd w:id="288"/>
      <w:bookmarkStart w:id="289" w:name="_Toc184314446"/>
      <w:bookmarkEnd w:id="289"/>
      <w:bookmarkStart w:id="290" w:name="_Toc184310300"/>
      <w:bookmarkEnd w:id="290"/>
      <w:bookmarkStart w:id="291" w:name="_Toc184312111"/>
      <w:bookmarkEnd w:id="291"/>
      <w:bookmarkStart w:id="292" w:name="_Toc184313285"/>
      <w:bookmarkEnd w:id="292"/>
      <w:bookmarkStart w:id="293" w:name="_Toc184310311"/>
      <w:bookmarkEnd w:id="293"/>
      <w:bookmarkStart w:id="294" w:name="_Toc184310340"/>
      <w:bookmarkEnd w:id="294"/>
      <w:bookmarkStart w:id="295" w:name="_Toc184313294"/>
      <w:bookmarkEnd w:id="295"/>
      <w:bookmarkStart w:id="296" w:name="_Toc184314436"/>
      <w:bookmarkEnd w:id="296"/>
      <w:bookmarkStart w:id="297" w:name="_Toc184310273"/>
      <w:bookmarkEnd w:id="297"/>
      <w:bookmarkStart w:id="298" w:name="_Toc184310337"/>
      <w:bookmarkEnd w:id="298"/>
      <w:bookmarkStart w:id="299" w:name="_Toc184313240"/>
      <w:bookmarkEnd w:id="299"/>
      <w:bookmarkStart w:id="300" w:name="_Toc184308057"/>
      <w:bookmarkEnd w:id="300"/>
      <w:bookmarkStart w:id="301" w:name="_Toc184308073"/>
      <w:bookmarkEnd w:id="301"/>
      <w:bookmarkStart w:id="302" w:name="_Toc184312070"/>
      <w:bookmarkEnd w:id="302"/>
      <w:bookmarkStart w:id="303" w:name="_Toc184313286"/>
      <w:bookmarkEnd w:id="303"/>
      <w:bookmarkStart w:id="304" w:name="_Toc184310303"/>
      <w:bookmarkEnd w:id="304"/>
      <w:bookmarkStart w:id="305" w:name="_Toc184314473"/>
      <w:bookmarkEnd w:id="305"/>
      <w:bookmarkStart w:id="306" w:name="_Toc184310291"/>
      <w:bookmarkEnd w:id="306"/>
      <w:bookmarkStart w:id="307" w:name="_Toc184308046"/>
      <w:bookmarkEnd w:id="307"/>
      <w:bookmarkStart w:id="308" w:name="_Toc184313261"/>
      <w:bookmarkEnd w:id="308"/>
      <w:bookmarkStart w:id="309" w:name="_Toc184313256"/>
      <w:bookmarkEnd w:id="309"/>
      <w:bookmarkStart w:id="310" w:name="_Toc184312129"/>
      <w:bookmarkEnd w:id="310"/>
      <w:bookmarkStart w:id="311" w:name="_Toc184312127"/>
      <w:bookmarkEnd w:id="311"/>
      <w:bookmarkStart w:id="312" w:name="_Toc184312100"/>
      <w:bookmarkEnd w:id="312"/>
      <w:bookmarkStart w:id="313" w:name="_Toc184310292"/>
      <w:bookmarkEnd w:id="313"/>
      <w:bookmarkStart w:id="314" w:name="_Toc184308037"/>
      <w:bookmarkEnd w:id="314"/>
      <w:bookmarkStart w:id="315" w:name="_Toc184314418"/>
      <w:bookmarkEnd w:id="315"/>
      <w:bookmarkStart w:id="316" w:name="_Toc184312092"/>
      <w:bookmarkEnd w:id="316"/>
      <w:bookmarkStart w:id="317" w:name="_Toc184314420"/>
      <w:bookmarkEnd w:id="317"/>
      <w:bookmarkStart w:id="318" w:name="_Toc184313276"/>
      <w:bookmarkEnd w:id="318"/>
      <w:bookmarkStart w:id="319" w:name="_Toc184308054"/>
      <w:bookmarkEnd w:id="319"/>
      <w:bookmarkStart w:id="320" w:name="_Toc184310296"/>
      <w:bookmarkEnd w:id="320"/>
      <w:bookmarkStart w:id="321" w:name="_Toc184313290"/>
      <w:bookmarkEnd w:id="321"/>
      <w:bookmarkStart w:id="322" w:name="_Toc184313270"/>
      <w:bookmarkEnd w:id="322"/>
      <w:bookmarkStart w:id="323" w:name="_Toc184310297"/>
      <w:bookmarkEnd w:id="323"/>
      <w:bookmarkStart w:id="324" w:name="_Toc184308088"/>
      <w:bookmarkEnd w:id="324"/>
      <w:bookmarkStart w:id="325" w:name="_Toc184310341"/>
      <w:bookmarkEnd w:id="325"/>
      <w:bookmarkStart w:id="326" w:name="_Toc184312138"/>
      <w:bookmarkEnd w:id="326"/>
      <w:bookmarkStart w:id="327" w:name="_Toc184312126"/>
      <w:bookmarkEnd w:id="327"/>
      <w:bookmarkStart w:id="328" w:name="_Toc184308055"/>
      <w:bookmarkEnd w:id="328"/>
      <w:bookmarkStart w:id="329" w:name="_Toc184308090"/>
      <w:bookmarkEnd w:id="329"/>
      <w:bookmarkStart w:id="330" w:name="_Toc184308083"/>
      <w:bookmarkEnd w:id="330"/>
      <w:bookmarkStart w:id="331" w:name="_Toc184310312"/>
      <w:bookmarkEnd w:id="331"/>
      <w:bookmarkStart w:id="332" w:name="_Toc184312133"/>
      <w:bookmarkEnd w:id="332"/>
      <w:bookmarkStart w:id="333" w:name="_Toc184310336"/>
      <w:bookmarkEnd w:id="333"/>
      <w:bookmarkStart w:id="334" w:name="_Toc184313296"/>
      <w:bookmarkEnd w:id="334"/>
      <w:bookmarkStart w:id="335" w:name="_Toc184308062"/>
      <w:bookmarkEnd w:id="335"/>
      <w:bookmarkStart w:id="336" w:name="_Toc184308086"/>
      <w:bookmarkEnd w:id="336"/>
      <w:bookmarkStart w:id="337" w:name="_Toc184308050"/>
      <w:bookmarkEnd w:id="337"/>
      <w:bookmarkStart w:id="338" w:name="_Toc184313260"/>
      <w:bookmarkEnd w:id="338"/>
      <w:bookmarkStart w:id="339" w:name="_Toc184308076"/>
      <w:bookmarkEnd w:id="339"/>
      <w:bookmarkStart w:id="340" w:name="_Toc184314449"/>
      <w:bookmarkEnd w:id="340"/>
      <w:bookmarkStart w:id="341" w:name="_Toc184314464"/>
      <w:bookmarkEnd w:id="341"/>
      <w:bookmarkStart w:id="342" w:name="_Toc184310323"/>
      <w:bookmarkEnd w:id="342"/>
      <w:bookmarkStart w:id="343" w:name="_Toc184313299"/>
      <w:bookmarkEnd w:id="343"/>
      <w:bookmarkStart w:id="344" w:name="_Toc184312124"/>
      <w:bookmarkEnd w:id="344"/>
      <w:bookmarkStart w:id="345" w:name="_Toc184310314"/>
      <w:bookmarkEnd w:id="345"/>
      <w:bookmarkStart w:id="346" w:name="_Toc184313288"/>
      <w:bookmarkEnd w:id="346"/>
      <w:bookmarkStart w:id="347" w:name="_Toc184312103"/>
      <w:bookmarkEnd w:id="347"/>
      <w:bookmarkStart w:id="348" w:name="_Toc184312116"/>
      <w:bookmarkEnd w:id="348"/>
      <w:bookmarkStart w:id="349" w:name="_Toc184314430"/>
      <w:bookmarkEnd w:id="349"/>
      <w:bookmarkStart w:id="350" w:name="_Toc184312080"/>
      <w:bookmarkEnd w:id="350"/>
      <w:bookmarkStart w:id="351" w:name="_Toc184313268"/>
      <w:bookmarkEnd w:id="351"/>
      <w:bookmarkStart w:id="352" w:name="_Toc184310331"/>
      <w:bookmarkEnd w:id="352"/>
      <w:bookmarkStart w:id="353" w:name="_Toc184314450"/>
      <w:bookmarkEnd w:id="353"/>
      <w:bookmarkStart w:id="354" w:name="_Toc184312132"/>
      <w:bookmarkEnd w:id="354"/>
      <w:bookmarkStart w:id="355" w:name="_Toc184314459"/>
      <w:bookmarkEnd w:id="355"/>
      <w:bookmarkStart w:id="356" w:name="_Toc184308106"/>
      <w:bookmarkEnd w:id="356"/>
      <w:bookmarkStart w:id="357" w:name="_Toc184314466"/>
      <w:bookmarkEnd w:id="357"/>
      <w:bookmarkStart w:id="358" w:name="_Toc184310328"/>
      <w:bookmarkEnd w:id="358"/>
      <w:bookmarkStart w:id="359" w:name="_Toc184313258"/>
      <w:bookmarkEnd w:id="359"/>
      <w:bookmarkStart w:id="360" w:name="_Toc184313292"/>
      <w:bookmarkEnd w:id="360"/>
      <w:bookmarkStart w:id="361" w:name="_Toc184312071"/>
      <w:bookmarkEnd w:id="361"/>
      <w:bookmarkStart w:id="362" w:name="_Toc184310282"/>
      <w:bookmarkEnd w:id="362"/>
      <w:bookmarkStart w:id="363" w:name="_Toc184310272"/>
      <w:bookmarkEnd w:id="363"/>
      <w:bookmarkStart w:id="364" w:name="_Toc184310298"/>
      <w:bookmarkEnd w:id="364"/>
      <w:bookmarkStart w:id="365" w:name="_Toc184312115"/>
      <w:bookmarkEnd w:id="365"/>
      <w:bookmarkStart w:id="366" w:name="_Toc184312130"/>
      <w:bookmarkEnd w:id="366"/>
      <w:bookmarkStart w:id="367" w:name="_Toc184308095"/>
      <w:bookmarkEnd w:id="367"/>
      <w:bookmarkStart w:id="368" w:name="_Toc184312074"/>
      <w:bookmarkEnd w:id="368"/>
      <w:bookmarkStart w:id="369" w:name="_Toc184314423"/>
      <w:bookmarkEnd w:id="369"/>
      <w:bookmarkStart w:id="370" w:name="_Toc184314412"/>
      <w:bookmarkEnd w:id="370"/>
      <w:bookmarkStart w:id="371" w:name="_Toc184313269"/>
      <w:bookmarkEnd w:id="371"/>
      <w:bookmarkStart w:id="372" w:name="_Toc184310304"/>
      <w:bookmarkEnd w:id="372"/>
      <w:bookmarkStart w:id="373" w:name="_Toc184312123"/>
      <w:bookmarkEnd w:id="373"/>
      <w:bookmarkStart w:id="374" w:name="_Toc184310333"/>
      <w:bookmarkEnd w:id="374"/>
      <w:bookmarkStart w:id="375" w:name="_Toc184314453"/>
      <w:bookmarkEnd w:id="375"/>
      <w:bookmarkStart w:id="376" w:name="_Toc184312121"/>
      <w:bookmarkEnd w:id="376"/>
      <w:bookmarkStart w:id="377" w:name="_Toc184308052"/>
      <w:bookmarkEnd w:id="377"/>
      <w:bookmarkStart w:id="378" w:name="_Toc184312079"/>
      <w:bookmarkEnd w:id="378"/>
      <w:bookmarkStart w:id="379" w:name="_Toc184308070"/>
      <w:bookmarkEnd w:id="379"/>
      <w:bookmarkStart w:id="380" w:name="_Toc184308043"/>
      <w:bookmarkEnd w:id="380"/>
      <w:bookmarkStart w:id="381" w:name="_Toc184313264"/>
      <w:bookmarkEnd w:id="381"/>
      <w:bookmarkStart w:id="382" w:name="_Toc184312104"/>
      <w:bookmarkEnd w:id="382"/>
      <w:bookmarkStart w:id="383" w:name="_Toc184313272"/>
      <w:bookmarkEnd w:id="383"/>
      <w:bookmarkStart w:id="384" w:name="_Toc184313262"/>
      <w:bookmarkEnd w:id="384"/>
      <w:bookmarkStart w:id="385" w:name="_Toc184314445"/>
      <w:bookmarkEnd w:id="385"/>
      <w:bookmarkStart w:id="386" w:name="_Toc184310322"/>
      <w:bookmarkEnd w:id="386"/>
      <w:bookmarkStart w:id="387" w:name="_Toc184314458"/>
      <w:bookmarkEnd w:id="387"/>
      <w:bookmarkStart w:id="388" w:name="_Toc184313238"/>
      <w:bookmarkEnd w:id="388"/>
      <w:bookmarkStart w:id="389" w:name="_Toc184312109"/>
      <w:bookmarkEnd w:id="389"/>
      <w:bookmarkStart w:id="390" w:name="_Toc184313250"/>
      <w:bookmarkEnd w:id="390"/>
      <w:bookmarkStart w:id="391" w:name="_Toc184308061"/>
      <w:bookmarkEnd w:id="391"/>
      <w:r>
        <w:rPr>
          <w:rFonts w:hint="eastAsia" w:ascii="仿宋" w:hAnsi="仿宋" w:eastAsia="仿宋" w:cs="仿宋_GB2312"/>
          <w:b/>
          <w:color w:val="auto"/>
          <w:sz w:val="36"/>
          <w:szCs w:val="36"/>
          <w:highlight w:val="none"/>
        </w:rPr>
        <w:t>评标办法</w:t>
      </w:r>
    </w:p>
    <w:p>
      <w:pPr>
        <w:snapToGrid w:val="0"/>
        <w:spacing w:line="360" w:lineRule="auto"/>
        <w:jc w:val="center"/>
        <w:outlineLvl w:val="1"/>
        <w:rPr>
          <w:rFonts w:hint="eastAsia" w:ascii="仿宋" w:hAnsi="仿宋" w:eastAsia="仿宋" w:cs="仿宋"/>
          <w:b/>
          <w:bCs/>
          <w:color w:val="auto"/>
          <w:highlight w:val="none"/>
          <w:lang w:eastAsia="zh-CN"/>
        </w:rPr>
      </w:pPr>
      <w:r>
        <w:rPr>
          <w:rFonts w:hint="eastAsia" w:ascii="仿宋" w:hAnsi="仿宋" w:eastAsia="仿宋" w:cs="仿宋"/>
          <w:b/>
          <w:color w:val="auto"/>
          <w:sz w:val="32"/>
          <w:szCs w:val="20"/>
          <w:highlight w:val="none"/>
        </w:rPr>
        <w:t>评标办法前附表</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商务评标细则（</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分）</w:t>
      </w:r>
    </w:p>
    <w:tbl>
      <w:tblPr>
        <w:tblStyle w:val="64"/>
        <w:tblW w:w="9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017"/>
        <w:gridCol w:w="6860"/>
        <w:gridCol w:w="9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54"/>
              <w:spacing w:line="360" w:lineRule="auto"/>
              <w:ind w:left="0" w:leftChars="0" w:firstLine="0" w:firstLineChars="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序号</w:t>
            </w:r>
          </w:p>
        </w:tc>
        <w:tc>
          <w:tcPr>
            <w:tcW w:w="1017" w:type="dxa"/>
            <w:tcBorders>
              <w:top w:val="single" w:color="auto" w:sz="4" w:space="0"/>
              <w:left w:val="single" w:color="auto" w:sz="4" w:space="0"/>
              <w:bottom w:val="single" w:color="auto" w:sz="4" w:space="0"/>
              <w:right w:val="single" w:color="auto" w:sz="4" w:space="0"/>
            </w:tcBorders>
            <w:vAlign w:val="center"/>
          </w:tcPr>
          <w:p>
            <w:pPr>
              <w:pStyle w:val="54"/>
              <w:spacing w:line="360" w:lineRule="auto"/>
              <w:ind w:left="0" w:leftChars="0" w:firstLine="0" w:firstLineChars="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评审</w:t>
            </w:r>
          </w:p>
          <w:p>
            <w:pPr>
              <w:pStyle w:val="54"/>
              <w:spacing w:line="360" w:lineRule="auto"/>
              <w:ind w:left="0" w:leftChars="0" w:firstLine="0" w:firstLineChars="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内容</w:t>
            </w:r>
          </w:p>
        </w:tc>
        <w:tc>
          <w:tcPr>
            <w:tcW w:w="6860" w:type="dxa"/>
            <w:tcBorders>
              <w:top w:val="single" w:color="auto" w:sz="4" w:space="0"/>
              <w:left w:val="single" w:color="auto" w:sz="4" w:space="0"/>
              <w:bottom w:val="single" w:color="auto" w:sz="4" w:space="0"/>
              <w:right w:val="single" w:color="auto" w:sz="4" w:space="0"/>
            </w:tcBorders>
            <w:vAlign w:val="center"/>
          </w:tcPr>
          <w:p>
            <w:pPr>
              <w:pStyle w:val="54"/>
              <w:spacing w:line="360" w:lineRule="auto"/>
              <w:ind w:left="0"/>
              <w:jc w:val="center"/>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评分标准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54"/>
              <w:spacing w:line="360" w:lineRule="auto"/>
              <w:ind w:left="0" w:leftChars="0" w:firstLine="0" w:firstLineChars="0"/>
              <w:jc w:val="center"/>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lang w:val="en-US" w:eastAsia="zh-CN"/>
              </w:rPr>
              <w:t>评分分值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71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val="en-US" w:eastAsia="zh-CN"/>
              </w:rPr>
              <w:t>1</w:t>
            </w:r>
          </w:p>
        </w:tc>
        <w:tc>
          <w:tcPr>
            <w:tcW w:w="101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企业综合评价及业绩</w:t>
            </w: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投标人具有质量管理体系认证证书得2分、环境管理体系认证证书得2分、职业健康安全管理体系认证证书得2分、诚信管理体系认证证书得2分；本项最高得8分。   </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（在投标文件中提供有效认证证书复印件或扫描打印件并提供网络查询截图加盖公章，否则不得分）</w:t>
            </w:r>
          </w:p>
        </w:tc>
        <w:tc>
          <w:tcPr>
            <w:tcW w:w="990" w:type="dxa"/>
            <w:vMerge w:val="restart"/>
            <w:tcBorders>
              <w:top w:val="single" w:color="auto" w:sz="4" w:space="0"/>
              <w:left w:val="single" w:color="auto" w:sz="4" w:space="0"/>
              <w:right w:val="single" w:color="auto" w:sz="4" w:space="0"/>
            </w:tcBorders>
            <w:vAlign w:val="center"/>
          </w:tcPr>
          <w:p>
            <w:pPr>
              <w:pStyle w:val="54"/>
              <w:spacing w:line="360" w:lineRule="auto"/>
              <w:ind w:left="0" w:leftChars="0" w:firstLine="0" w:firstLineChars="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71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Cs w:val="21"/>
                <w:highlight w:val="none"/>
              </w:rPr>
            </w:pPr>
          </w:p>
        </w:tc>
        <w:tc>
          <w:tcPr>
            <w:tcW w:w="101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具有区级及以上城市管理局颁发的城市生活垃圾经营性清扫、收集、运输服务许可证且在有效服务期内的得2分；本项最高2分。</w:t>
            </w:r>
          </w:p>
          <w:p>
            <w:p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（在投标文件中提供有效认证证书复印件或扫描打印件并加盖公章，否则不得分）</w:t>
            </w:r>
          </w:p>
        </w:tc>
        <w:tc>
          <w:tcPr>
            <w:tcW w:w="990" w:type="dxa"/>
            <w:vMerge w:val="continue"/>
            <w:tcBorders>
              <w:left w:val="single" w:color="auto" w:sz="4" w:space="0"/>
              <w:bottom w:val="single" w:color="auto" w:sz="4" w:space="0"/>
              <w:right w:val="single" w:color="auto" w:sz="4" w:space="0"/>
            </w:tcBorders>
            <w:vAlign w:val="center"/>
          </w:tcPr>
          <w:p>
            <w:pPr>
              <w:pStyle w:val="54"/>
              <w:spacing w:line="360" w:lineRule="auto"/>
              <w:ind w:left="0"/>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71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Cs w:val="21"/>
                <w:highlight w:val="none"/>
              </w:rPr>
            </w:pPr>
          </w:p>
        </w:tc>
        <w:tc>
          <w:tcPr>
            <w:tcW w:w="101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具有公共环境消毒杀菌服务企业（一级）资质证书得1分；本项最高1分。</w:t>
            </w:r>
          </w:p>
          <w:p>
            <w:pPr>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（在投标文件中提供有效认证证书复印件或扫描打印件并加盖公章，否则不得分）</w:t>
            </w:r>
          </w:p>
        </w:tc>
        <w:tc>
          <w:tcPr>
            <w:tcW w:w="990" w:type="dxa"/>
            <w:vMerge w:val="continue"/>
            <w:tcBorders>
              <w:left w:val="single" w:color="auto" w:sz="4" w:space="0"/>
              <w:bottom w:val="single" w:color="auto" w:sz="4" w:space="0"/>
              <w:right w:val="single" w:color="auto" w:sz="4" w:space="0"/>
            </w:tcBorders>
            <w:vAlign w:val="center"/>
          </w:tcPr>
          <w:p>
            <w:pPr>
              <w:pStyle w:val="54"/>
              <w:spacing w:line="360" w:lineRule="auto"/>
              <w:ind w:left="0"/>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71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Cs w:val="21"/>
                <w:highlight w:val="none"/>
              </w:rPr>
            </w:pPr>
          </w:p>
        </w:tc>
        <w:tc>
          <w:tcPr>
            <w:tcW w:w="101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日起至今（时间以合同签订时间或中标通知书发出的时间为准），</w:t>
            </w:r>
            <w:r>
              <w:rPr>
                <w:rFonts w:hint="eastAsia" w:ascii="仿宋" w:hAnsi="仿宋" w:eastAsia="仿宋" w:cs="仿宋"/>
                <w:color w:val="auto"/>
                <w:sz w:val="24"/>
                <w:highlight w:val="none"/>
                <w:lang w:val="en-US" w:eastAsia="zh-CN"/>
              </w:rPr>
              <w:t>有综合保洁</w:t>
            </w:r>
            <w:r>
              <w:rPr>
                <w:rFonts w:hint="eastAsia" w:ascii="仿宋" w:hAnsi="仿宋" w:eastAsia="仿宋" w:cs="仿宋"/>
                <w:color w:val="auto"/>
                <w:sz w:val="24"/>
                <w:highlight w:val="none"/>
              </w:rPr>
              <w:t>作业经验的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内容包含道路保洁及绿化养护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0.25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有厨余垃圾分类</w:t>
            </w:r>
            <w:r>
              <w:rPr>
                <w:rFonts w:hint="eastAsia" w:ascii="仿宋" w:hAnsi="仿宋" w:eastAsia="仿宋" w:cs="仿宋"/>
                <w:color w:val="auto"/>
                <w:sz w:val="24"/>
                <w:highlight w:val="none"/>
              </w:rPr>
              <w:t>作业经验的，得</w:t>
            </w:r>
            <w:r>
              <w:rPr>
                <w:rFonts w:hint="eastAsia" w:ascii="仿宋" w:hAnsi="仿宋" w:eastAsia="仿宋" w:cs="仿宋"/>
                <w:color w:val="auto"/>
                <w:sz w:val="24"/>
                <w:highlight w:val="none"/>
                <w:lang w:val="en-US" w:eastAsia="zh-CN"/>
              </w:rPr>
              <w:t>0.25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有偷倒垃圾清理</w:t>
            </w:r>
            <w:r>
              <w:rPr>
                <w:rFonts w:hint="eastAsia" w:ascii="仿宋" w:hAnsi="仿宋" w:eastAsia="仿宋" w:cs="仿宋"/>
                <w:color w:val="auto"/>
                <w:sz w:val="24"/>
                <w:highlight w:val="none"/>
              </w:rPr>
              <w:t>作业经验的，得</w:t>
            </w:r>
            <w:r>
              <w:rPr>
                <w:rFonts w:hint="eastAsia" w:ascii="仿宋" w:hAnsi="仿宋" w:eastAsia="仿宋" w:cs="仿宋"/>
                <w:color w:val="auto"/>
                <w:sz w:val="24"/>
                <w:highlight w:val="none"/>
                <w:lang w:val="en-US" w:eastAsia="zh-CN"/>
              </w:rPr>
              <w:t>0.25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有社区保洁作业经验</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0.25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本项最高得1分，单项不累计得分</w:t>
            </w:r>
            <w:r>
              <w:rPr>
                <w:rFonts w:hint="eastAsia" w:ascii="仿宋" w:hAnsi="仿宋" w:eastAsia="仿宋" w:cs="仿宋"/>
                <w:color w:val="auto"/>
                <w:sz w:val="24"/>
                <w:highlight w:val="none"/>
              </w:rPr>
              <w:t>。</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在投标文件中需提供</w:t>
            </w:r>
            <w:r>
              <w:rPr>
                <w:rFonts w:hint="eastAsia" w:ascii="仿宋" w:hAnsi="仿宋" w:eastAsia="仿宋" w:cs="仿宋"/>
                <w:b/>
                <w:bCs/>
                <w:color w:val="auto"/>
                <w:sz w:val="24"/>
                <w:highlight w:val="none"/>
              </w:rPr>
              <w:t>中标通知书</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rPr>
              <w:t>合同复印件并加盖公章，否则不得分。）</w:t>
            </w:r>
          </w:p>
        </w:tc>
        <w:tc>
          <w:tcPr>
            <w:tcW w:w="990" w:type="dxa"/>
            <w:vMerge w:val="continue"/>
            <w:tcBorders>
              <w:left w:val="single" w:color="auto" w:sz="4" w:space="0"/>
              <w:bottom w:val="single" w:color="auto" w:sz="4" w:space="0"/>
              <w:right w:val="single" w:color="auto" w:sz="4" w:space="0"/>
            </w:tcBorders>
            <w:vAlign w:val="center"/>
          </w:tcPr>
          <w:p>
            <w:pPr>
              <w:pStyle w:val="54"/>
              <w:spacing w:line="360" w:lineRule="auto"/>
              <w:ind w:left="0"/>
              <w:jc w:val="center"/>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4"/>
                <w:highlight w:val="none"/>
              </w:rPr>
              <w:t>拟派项目实施人员的配备情况</w:t>
            </w: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val="en-US" w:eastAsia="zh-CN"/>
              </w:rPr>
              <w:t>项目负责人：</w:t>
            </w:r>
            <w:r>
              <w:rPr>
                <w:rFonts w:hint="eastAsia" w:ascii="仿宋" w:hAnsi="仿宋" w:eastAsia="仿宋" w:cs="仿宋"/>
                <w:sz w:val="24"/>
              </w:rPr>
              <w:t>同时具备中级及以上工程师职称</w:t>
            </w:r>
            <w:r>
              <w:rPr>
                <w:rFonts w:hint="eastAsia" w:ascii="仿宋" w:hAnsi="仿宋" w:eastAsia="仿宋" w:cs="仿宋"/>
                <w:sz w:val="24"/>
                <w:lang w:eastAsia="zh-CN"/>
              </w:rPr>
              <w:t>、</w:t>
            </w:r>
            <w:r>
              <w:rPr>
                <w:rFonts w:hint="eastAsia" w:ascii="仿宋" w:hAnsi="仿宋" w:eastAsia="仿宋" w:cs="仿宋"/>
                <w:sz w:val="24"/>
                <w:lang w:val="en-US" w:eastAsia="zh-CN"/>
              </w:rPr>
              <w:t>人社颁发（高级绿化工证、五级（含）以上有害生物防制员证）、物业项目经理证及</w:t>
            </w:r>
            <w:r>
              <w:rPr>
                <w:rFonts w:hint="eastAsia" w:ascii="仿宋" w:hAnsi="仿宋" w:eastAsia="仿宋" w:cs="仿宋"/>
                <w:sz w:val="24"/>
              </w:rPr>
              <w:t>大专（不含）以上学历</w:t>
            </w:r>
            <w:r>
              <w:rPr>
                <w:rFonts w:hint="eastAsia" w:ascii="仿宋" w:hAnsi="仿宋" w:eastAsia="仿宋" w:cs="仿宋"/>
                <w:sz w:val="24"/>
                <w:lang w:eastAsia="zh-CN"/>
              </w:rPr>
              <w:t>，</w:t>
            </w:r>
            <w:r>
              <w:rPr>
                <w:rFonts w:hint="eastAsia" w:ascii="仿宋" w:hAnsi="仿宋" w:eastAsia="仿宋" w:cs="仿宋"/>
                <w:sz w:val="24"/>
                <w:lang w:val="en-US" w:eastAsia="zh-CN"/>
              </w:rPr>
              <w:t>得4分</w:t>
            </w:r>
            <w:r>
              <w:rPr>
                <w:rFonts w:hint="eastAsia" w:ascii="仿宋" w:hAnsi="仿宋" w:eastAsia="仿宋" w:cs="仿宋"/>
                <w:color w:val="auto"/>
                <w:sz w:val="24"/>
                <w:highlight w:val="none"/>
              </w:rPr>
              <w:t>。没有则不得分；（需提供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rPr>
              <w:t>证书、毕业证书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项目经理在本单位</w:t>
            </w:r>
            <w:r>
              <w:rPr>
                <w:rFonts w:hint="eastAsia" w:ascii="仿宋" w:hAnsi="仿宋" w:eastAsia="仿宋" w:cs="仿宋"/>
                <w:color w:val="auto"/>
                <w:sz w:val="24"/>
                <w:highlight w:val="none"/>
                <w:lang w:val="en-US" w:eastAsia="zh-CN"/>
              </w:rPr>
              <w:t>近6个月</w:t>
            </w:r>
            <w:r>
              <w:rPr>
                <w:rFonts w:hint="eastAsia" w:ascii="仿宋" w:hAnsi="仿宋" w:eastAsia="仿宋" w:cs="仿宋"/>
                <w:color w:val="auto"/>
                <w:sz w:val="24"/>
                <w:highlight w:val="none"/>
              </w:rPr>
              <w:t>社保缴纳证明）。</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安全员：</w:t>
            </w:r>
            <w:r>
              <w:rPr>
                <w:rFonts w:hint="eastAsia" w:ascii="仿宋" w:hAnsi="仿宋" w:eastAsia="仿宋" w:cs="仿宋"/>
                <w:color w:val="auto"/>
                <w:sz w:val="24"/>
                <w:highlight w:val="none"/>
              </w:rPr>
              <w:t>具有安全员C证1人，得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 提供安全员C证复印件，并提供在本单位近6个月社保证明复印件。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③</w:t>
            </w:r>
            <w:r>
              <w:rPr>
                <w:rFonts w:hint="eastAsia" w:ascii="仿宋" w:hAnsi="仿宋" w:eastAsia="仿宋" w:cs="仿宋"/>
                <w:sz w:val="24"/>
                <w:szCs w:val="24"/>
                <w:lang w:val="en-US" w:eastAsia="zh-CN"/>
              </w:rPr>
              <w:t>安全应急人员：具有国家人社部门颁发的四级（含）及以上护理员证书的， 1人</w:t>
            </w:r>
            <w:r>
              <w:rPr>
                <w:rFonts w:hint="eastAsia" w:ascii="仿宋" w:hAnsi="仿宋" w:eastAsia="仿宋" w:cs="仿宋"/>
                <w:sz w:val="24"/>
                <w:szCs w:val="24"/>
              </w:rPr>
              <w:t>（含）及以上的得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en-US" w:eastAsia="zh-CN"/>
              </w:rPr>
              <w:t>没有不得分</w:t>
            </w:r>
            <w:r>
              <w:rPr>
                <w:rFonts w:hint="eastAsia" w:ascii="仿宋" w:hAnsi="仿宋" w:eastAsia="仿宋" w:cs="仿宋"/>
                <w:sz w:val="24"/>
                <w:szCs w:val="24"/>
              </w:rPr>
              <w:t>；</w:t>
            </w:r>
            <w:r>
              <w:rPr>
                <w:rFonts w:hint="eastAsia" w:ascii="仿宋" w:hAnsi="仿宋" w:eastAsia="仿宋" w:cs="仿宋"/>
                <w:sz w:val="24"/>
                <w:szCs w:val="24"/>
                <w:lang w:val="en-US" w:eastAsia="zh-CN"/>
              </w:rPr>
              <w:t>最高得2分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以上技工人员需提</w:t>
            </w:r>
            <w:r>
              <w:rPr>
                <w:rFonts w:hint="eastAsia" w:ascii="仿宋" w:hAnsi="仿宋" w:eastAsia="仿宋" w:cs="仿宋"/>
                <w:color w:val="auto"/>
                <w:sz w:val="24"/>
                <w:szCs w:val="24"/>
                <w:highlight w:val="none"/>
                <w:lang w:val="en-US" w:eastAsia="zh-CN"/>
              </w:rPr>
              <w:t>供</w:t>
            </w:r>
            <w:r>
              <w:rPr>
                <w:rFonts w:hint="eastAsia" w:ascii="仿宋" w:hAnsi="仿宋" w:eastAsia="仿宋" w:cs="仿宋"/>
                <w:sz w:val="24"/>
                <w:szCs w:val="24"/>
                <w:lang w:val="en-US" w:eastAsia="zh-CN"/>
              </w:rPr>
              <w:t>人社颁发的</w:t>
            </w:r>
            <w:r>
              <w:rPr>
                <w:rFonts w:hint="eastAsia" w:ascii="仿宋" w:hAnsi="仿宋" w:eastAsia="仿宋" w:cs="仿宋"/>
                <w:color w:val="auto"/>
                <w:sz w:val="24"/>
                <w:szCs w:val="24"/>
                <w:highlight w:val="none"/>
              </w:rPr>
              <w:t>技能人才评价证书全国联网查询系统（网址：zscx.osta.org.cn或jndj.osta.org.cn）查询截图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否则不得分。</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在投标文件中</w:t>
            </w:r>
            <w:r>
              <w:rPr>
                <w:rFonts w:hint="eastAsia" w:ascii="仿宋" w:hAnsi="仿宋" w:eastAsia="仿宋" w:cs="仿宋"/>
                <w:b/>
                <w:bCs/>
                <w:color w:val="auto"/>
                <w:sz w:val="24"/>
                <w:highlight w:val="none"/>
              </w:rPr>
              <w:t>需提供相关证书复印件，同时提供</w:t>
            </w:r>
            <w:r>
              <w:rPr>
                <w:rFonts w:hint="eastAsia" w:ascii="仿宋" w:hAnsi="仿宋" w:eastAsia="仿宋" w:cs="仿宋"/>
                <w:b/>
                <w:bCs/>
                <w:color w:val="auto"/>
                <w:sz w:val="24"/>
                <w:highlight w:val="none"/>
                <w:lang w:val="en-US" w:eastAsia="zh-CN"/>
              </w:rPr>
              <w:t>上述</w:t>
            </w:r>
            <w:r>
              <w:rPr>
                <w:rFonts w:hint="eastAsia" w:ascii="仿宋" w:hAnsi="仿宋" w:eastAsia="仿宋" w:cs="仿宋"/>
                <w:b/>
                <w:bCs/>
                <w:color w:val="auto"/>
                <w:sz w:val="24"/>
                <w:highlight w:val="none"/>
              </w:rPr>
              <w:t>相关人员在本单位</w:t>
            </w:r>
            <w:r>
              <w:rPr>
                <w:rFonts w:hint="eastAsia" w:ascii="仿宋" w:hAnsi="仿宋" w:eastAsia="仿宋" w:cs="仿宋"/>
                <w:b/>
                <w:bCs/>
                <w:color w:val="auto"/>
                <w:sz w:val="24"/>
                <w:highlight w:val="none"/>
                <w:lang w:val="en-US" w:eastAsia="zh-CN"/>
              </w:rPr>
              <w:t>近六个月</w:t>
            </w:r>
            <w:r>
              <w:rPr>
                <w:rFonts w:hint="eastAsia" w:ascii="仿宋" w:hAnsi="仿宋" w:eastAsia="仿宋" w:cs="仿宋"/>
                <w:b/>
                <w:bCs/>
                <w:color w:val="auto"/>
                <w:sz w:val="24"/>
                <w:highlight w:val="none"/>
              </w:rPr>
              <w:t>社保缴纳证明）。</w:t>
            </w:r>
          </w:p>
        </w:tc>
        <w:tc>
          <w:tcPr>
            <w:tcW w:w="990" w:type="dxa"/>
            <w:tcBorders>
              <w:top w:val="single" w:color="auto" w:sz="4" w:space="0"/>
              <w:left w:val="single" w:color="auto" w:sz="4" w:space="0"/>
              <w:bottom w:val="single" w:color="auto" w:sz="4" w:space="0"/>
              <w:right w:val="single" w:color="auto" w:sz="4" w:space="0"/>
            </w:tcBorders>
            <w:vAlign w:val="center"/>
          </w:tcPr>
          <w:p>
            <w:pPr>
              <w:pStyle w:val="54"/>
              <w:spacing w:line="360" w:lineRule="auto"/>
              <w:ind w:left="0" w:leftChars="0" w:firstLine="0" w:firstLineChars="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企业荣誉</w:t>
            </w:r>
          </w:p>
        </w:tc>
        <w:tc>
          <w:tcPr>
            <w:tcW w:w="6860"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1月1</w:t>
            </w:r>
            <w:r>
              <w:rPr>
                <w:rFonts w:hint="eastAsia" w:ascii="仿宋" w:hAnsi="仿宋" w:eastAsia="仿宋" w:cs="仿宋"/>
                <w:color w:val="auto"/>
                <w:sz w:val="24"/>
                <w:highlight w:val="none"/>
              </w:rPr>
              <w:t>日至今，投标人获得区（县）级及以上城市管理局颁发</w:t>
            </w:r>
            <w:r>
              <w:rPr>
                <w:rFonts w:hint="eastAsia" w:ascii="仿宋" w:hAnsi="仿宋" w:eastAsia="仿宋" w:cs="仿宋"/>
                <w:color w:val="auto"/>
                <w:sz w:val="24"/>
                <w:highlight w:val="none"/>
                <w:lang w:val="en-US" w:eastAsia="zh-CN"/>
              </w:rPr>
              <w:t>表彰的得1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本项最高得1分。</w:t>
            </w:r>
          </w:p>
          <w:p>
            <w:pPr>
              <w:spacing w:line="360" w:lineRule="exact"/>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在投标文件中</w:t>
            </w:r>
            <w:r>
              <w:rPr>
                <w:rFonts w:hint="eastAsia" w:ascii="仿宋" w:hAnsi="仿宋" w:eastAsia="仿宋" w:cs="仿宋"/>
                <w:b/>
                <w:bCs/>
                <w:color w:val="auto"/>
                <w:sz w:val="24"/>
                <w:highlight w:val="none"/>
              </w:rPr>
              <w:t>需提供相关证明材料扫描件，否则不得分）</w:t>
            </w:r>
          </w:p>
        </w:tc>
        <w:tc>
          <w:tcPr>
            <w:tcW w:w="990" w:type="dxa"/>
            <w:tcBorders>
              <w:top w:val="single" w:color="auto" w:sz="4" w:space="0"/>
              <w:left w:val="single" w:color="auto" w:sz="4" w:space="0"/>
              <w:bottom w:val="single" w:color="auto" w:sz="4" w:space="0"/>
              <w:right w:val="single" w:color="auto" w:sz="4" w:space="0"/>
            </w:tcBorders>
            <w:vAlign w:val="center"/>
          </w:tcPr>
          <w:p>
            <w:pPr>
              <w:pStyle w:val="54"/>
              <w:spacing w:line="360" w:lineRule="auto"/>
              <w:ind w:left="0" w:leftChars="0" w:firstLine="0" w:firstLineChars="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w:t>
            </w:r>
          </w:p>
        </w:tc>
      </w:tr>
    </w:tbl>
    <w:p>
      <w:pPr>
        <w:spacing w:line="360" w:lineRule="auto"/>
        <w:rPr>
          <w:rFonts w:hint="eastAsia" w:ascii="仿宋" w:hAnsi="仿宋" w:eastAsia="仿宋" w:cs="仿宋"/>
          <w:b/>
          <w:color w:val="auto"/>
          <w:sz w:val="24"/>
          <w:szCs w:val="20"/>
          <w:highlight w:val="none"/>
          <w:lang w:val="en-US" w:eastAsia="zh-CN"/>
        </w:rPr>
      </w:pPr>
    </w:p>
    <w:p>
      <w:pPr>
        <w:spacing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lang w:val="en-US" w:eastAsia="zh-CN"/>
        </w:rPr>
        <w:t>2、</w:t>
      </w:r>
      <w:r>
        <w:rPr>
          <w:rFonts w:hint="eastAsia" w:ascii="仿宋" w:hAnsi="仿宋" w:eastAsia="仿宋" w:cs="仿宋"/>
          <w:b/>
          <w:color w:val="auto"/>
          <w:sz w:val="24"/>
          <w:szCs w:val="20"/>
          <w:highlight w:val="none"/>
        </w:rPr>
        <w:t>技术</w:t>
      </w:r>
      <w:r>
        <w:rPr>
          <w:rFonts w:hint="eastAsia" w:ascii="仿宋" w:hAnsi="仿宋" w:eastAsia="仿宋" w:cs="仿宋"/>
          <w:b/>
          <w:color w:val="auto"/>
          <w:sz w:val="24"/>
          <w:szCs w:val="20"/>
          <w:highlight w:val="none"/>
          <w:lang w:eastAsia="zh-CN"/>
        </w:rPr>
        <w:t>标评分细则（</w:t>
      </w:r>
      <w:r>
        <w:rPr>
          <w:rFonts w:hint="eastAsia" w:ascii="仿宋" w:hAnsi="仿宋" w:eastAsia="仿宋" w:cs="仿宋"/>
          <w:b/>
          <w:color w:val="auto"/>
          <w:sz w:val="24"/>
          <w:szCs w:val="20"/>
          <w:highlight w:val="none"/>
          <w:lang w:val="en-US" w:eastAsia="zh-CN"/>
        </w:rPr>
        <w:t>69分</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rPr>
        <w:t xml:space="preserve"> </w:t>
      </w:r>
    </w:p>
    <w:tbl>
      <w:tblPr>
        <w:tblStyle w:val="64"/>
        <w:tblW w:w="95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65"/>
        <w:gridCol w:w="6808"/>
        <w:gridCol w:w="9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评审</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内容</w:t>
            </w:r>
          </w:p>
        </w:tc>
        <w:tc>
          <w:tcPr>
            <w:tcW w:w="6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评分标准</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评分</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投入机械设备、车辆</w:t>
            </w:r>
          </w:p>
        </w:tc>
        <w:tc>
          <w:tcPr>
            <w:tcW w:w="6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1、清洗车（车辆总质量18吨及以上）1辆得3分，本项最高得6分；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2、多功能抑尘车(车辆总质量 18吨及以上）1辆的得3分，本项最高得3分；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3、多功能洗扫车（集洒、扫、吸三种功能为一体，车辆总质量5吨以下）的1辆得3分，多功能洗扫车（集洒、扫、吸三种功能为一体，车辆总质量18吨及以上）的1辆得3分，本项最高得6分；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4、扫地车（车辆总质量7吨及以上）1辆的得3分，本项最高得3分；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5、密闭型垃圾直运车(车辆总质量 12吨及以上）1辆的得3分，本项最高得3分；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上述车辆需提供投标单位自有车辆行驶证、车辆登记证、购车发票扫描件、车辆实物照片；以上车辆必须配备GPS设备（提供车辆GPS行程轨迹图证明材料）不提供的，该项不得分，车辆仅用于本保洁项目的书面承诺书（格式自拟）不提供的，该项不得分。）</w:t>
            </w:r>
          </w:p>
          <w:p>
            <w:pPr>
              <w:keepNext w:val="0"/>
              <w:keepLines w:val="0"/>
              <w:pageBreakBefore w:val="0"/>
              <w:widowControl w:val="0"/>
              <w:numPr>
                <w:ilvl w:val="0"/>
                <w:numId w:val="5"/>
              </w:numPr>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纯电动路面养护车(车辆总质量 4吨及以上）1辆得2分，本项最高得2分；</w:t>
            </w:r>
          </w:p>
          <w:p>
            <w:pPr>
              <w:keepNext w:val="0"/>
              <w:keepLines w:val="0"/>
              <w:pageBreakBefore w:val="0"/>
              <w:widowControl w:val="0"/>
              <w:numPr>
                <w:ilvl w:val="0"/>
                <w:numId w:val="5"/>
              </w:numPr>
              <w:kinsoku/>
              <w:wordWrap/>
              <w:overflowPunct/>
              <w:topLinePunct w:val="0"/>
              <w:autoSpaceDE/>
              <w:autoSpaceDN/>
              <w:bidi w:val="0"/>
              <w:adjustRightInd w:val="0"/>
              <w:snapToGrid/>
              <w:spacing w:line="340" w:lineRule="exact"/>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护栏清洗车（</w:t>
            </w:r>
            <w:r>
              <w:rPr>
                <w:rFonts w:hint="eastAsia" w:ascii="仿宋" w:hAnsi="仿宋" w:eastAsia="仿宋" w:cs="仿宋"/>
                <w:color w:val="auto"/>
                <w:sz w:val="24"/>
                <w:highlight w:val="none"/>
                <w:lang w:val="en-US" w:eastAsia="zh-CN"/>
              </w:rPr>
              <w:t>车辆总质量 8吨及以上</w:t>
            </w:r>
            <w:r>
              <w:rPr>
                <w:rFonts w:hint="eastAsia" w:ascii="仿宋" w:hAnsi="仿宋" w:eastAsia="仿宋" w:cs="仿宋"/>
                <w:color w:val="auto"/>
                <w:kern w:val="2"/>
                <w:sz w:val="24"/>
                <w:szCs w:val="24"/>
                <w:highlight w:val="none"/>
                <w:lang w:val="en-US" w:eastAsia="zh-CN" w:bidi="ar-SA"/>
              </w:rPr>
              <w:t>）1辆得</w:t>
            </w:r>
            <w:r>
              <w:rPr>
                <w:rFonts w:hint="eastAsia" w:ascii="仿宋" w:hAnsi="仿宋" w:eastAsia="仿宋" w:cs="仿宋"/>
                <w:color w:val="auto"/>
                <w:sz w:val="24"/>
                <w:highlight w:val="none"/>
                <w:lang w:val="en-US" w:eastAsia="zh-CN"/>
              </w:rPr>
              <w:t>2分，本项最高得2分；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8、管理用车：轻型载货汽车（总质量4吨及以上综合应急抢险车辆，且行驶证上标注的使用性质为工程救险及车辆安装警示灯）1辆得2分；本项最高得2分；</w:t>
            </w:r>
          </w:p>
          <w:p>
            <w:pPr>
              <w:pStyle w:val="82"/>
              <w:rPr>
                <w:rFonts w:hint="default"/>
                <w:lang w:val="en-US" w:eastAsia="zh-CN"/>
              </w:rPr>
            </w:pPr>
            <w:r>
              <w:rPr>
                <w:rFonts w:hint="eastAsia" w:ascii="仿宋" w:hAnsi="仿宋" w:eastAsia="仿宋" w:cs="仿宋"/>
                <w:color w:val="auto"/>
                <w:sz w:val="24"/>
                <w:highlight w:val="none"/>
                <w:lang w:val="en-US" w:eastAsia="zh-CN"/>
              </w:rPr>
              <w:t>9、自备电动</w:t>
            </w:r>
            <w:r>
              <w:rPr>
                <w:rFonts w:hint="eastAsia" w:ascii="仿宋" w:hAnsi="仿宋" w:eastAsia="仿宋" w:cs="仿宋"/>
                <w:color w:val="auto"/>
                <w:sz w:val="24"/>
                <w:highlight w:val="none"/>
              </w:rPr>
              <w:t>四轮巡逻车</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辆</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r>
              <w:rPr>
                <w:rFonts w:hint="eastAsia" w:ascii="仿宋" w:hAnsi="仿宋" w:eastAsia="仿宋"/>
                <w:color w:val="auto"/>
                <w:sz w:val="24"/>
                <w:szCs w:val="24"/>
                <w:highlight w:val="none"/>
              </w:rPr>
              <w:t>自备专用扫雪设备</w:t>
            </w:r>
            <w:r>
              <w:rPr>
                <w:rFonts w:hint="eastAsia" w:ascii="仿宋" w:hAnsi="仿宋" w:eastAsia="仿宋" w:cs="仿宋"/>
                <w:color w:val="auto"/>
                <w:sz w:val="24"/>
                <w:highlight w:val="none"/>
                <w:lang w:val="en-US" w:eastAsia="zh-CN"/>
              </w:rPr>
              <w:t>1台及以上</w:t>
            </w:r>
            <w:r>
              <w:rPr>
                <w:rFonts w:hint="eastAsia" w:ascii="仿宋" w:hAnsi="仿宋" w:eastAsia="仿宋"/>
                <w:color w:val="auto"/>
                <w:sz w:val="24"/>
                <w:szCs w:val="24"/>
                <w:highlight w:val="none"/>
              </w:rPr>
              <w:t>的得1分</w:t>
            </w:r>
            <w:r>
              <w:rPr>
                <w:rFonts w:hint="eastAsia" w:ascii="仿宋" w:hAnsi="仿宋" w:eastAsia="仿宋" w:cs="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11、自备高压冲洗或清洗车2辆及以上的得1分；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12、自备电动清运车2辆及以上的得1分；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13、自备垃圾清运挂桶车8辆及以上的得1分；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14、自备二桶垃圾分类车2辆及以上的得1分；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15、自备电动三轮六桶拉通车2辆及以上的得1分；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eastAsia="仿宋"/>
                <w:lang w:val="en-US" w:eastAsia="zh-CN"/>
              </w:rPr>
            </w:pPr>
            <w:r>
              <w:rPr>
                <w:rFonts w:hint="eastAsia" w:ascii="仿宋" w:hAnsi="仿宋" w:eastAsia="仿宋" w:cs="仿宋"/>
                <w:color w:val="auto"/>
                <w:sz w:val="24"/>
                <w:highlight w:val="none"/>
                <w:lang w:val="en-US" w:eastAsia="zh-CN"/>
              </w:rPr>
              <w:t>16、自备电动巡逻车5辆及以上的得1分；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17、自备同时具有绿化树枝粉碎机 1 台及以上、鼓风机 1台及以上、绿篱机 1 台及以上、园林高压喷药机 1 台及以上、割灌机1台及以上，得2分；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18、“1、2、3、4、5、6项中配备车辆是电动新能源环卫车的3辆及以上得3分，2辆及以下得1分，本项最高得3分.</w:t>
            </w:r>
          </w:p>
          <w:p>
            <w:pPr>
              <w:keepNext w:val="0"/>
              <w:keepLines w:val="0"/>
              <w:pageBreakBefore w:val="0"/>
              <w:widowControl w:val="0"/>
              <w:kinsoku/>
              <w:wordWrap/>
              <w:overflowPunct/>
              <w:topLinePunct w:val="0"/>
              <w:autoSpaceDE/>
              <w:autoSpaceDN/>
              <w:bidi w:val="0"/>
              <w:adjustRightInd w:val="0"/>
              <w:snapToGrid/>
              <w:spacing w:line="3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上述设备需提供投标单位自有车辆行驶证、车辆登记证、购车发票扫描件以及车辆实物照片，无行驶证的设备需提供发票扫描件和车辆实物照片；以上车辆仅用于本保洁项目的书面承诺书（格式自拟）不提供的，该项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color w:val="auto"/>
                <w:sz w:val="24"/>
                <w:szCs w:val="20"/>
                <w:highlight w:val="none"/>
                <w:lang w:val="en-US" w:eastAsia="zh-CN"/>
              </w:rPr>
            </w:pPr>
            <w:r>
              <w:rPr>
                <w:rFonts w:hint="eastAsia" w:ascii="仿宋" w:hAnsi="仿宋" w:eastAsia="仿宋" w:cs="仿宋"/>
                <w:b w:val="0"/>
                <w:bCs/>
                <w:color w:val="auto"/>
                <w:sz w:val="24"/>
                <w:szCs w:val="20"/>
                <w:highlight w:val="none"/>
                <w:lang w:val="en-US" w:eastAsia="zh-CN"/>
              </w:rPr>
              <w:t>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w:t>
            </w:r>
          </w:p>
        </w:tc>
        <w:tc>
          <w:tcPr>
            <w:tcW w:w="1065"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项目实施方案</w:t>
            </w: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根据投标人对现有保洁项目（道路保洁、公厕养护、农贸市场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保洁等）现状了解、存在问题的分析，提出克服难点和要点的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技术措施：现状了解全面、存在问题分析到位，符合实际，技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术措施对策科学性、合理性、可操作性强得 4 分，投标人对现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有综合养护现状了解较为全面、存在问题分析较为到位，符合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实际，技术措施对策，较为科学、合理、可操作性较好得 2分，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投标人对现有综合养护现状了解一般、存在问题分析一般，技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术措施对策科学性、合理性、可操作性一般得 1 分，方案不合 </w:t>
            </w:r>
          </w:p>
          <w:p>
            <w:pPr>
              <w:keepNext w:val="0"/>
              <w:keepLines w:val="0"/>
              <w:widowControl/>
              <w:suppressLineNumbers w:val="0"/>
              <w:jc w:val="left"/>
              <w:rPr>
                <w:rFonts w:hint="eastAsia" w:ascii="仿宋" w:hAnsi="仿宋" w:eastAsia="仿宋" w:cs="仿宋"/>
                <w:color w:val="auto"/>
                <w:highlight w:val="none"/>
                <w:lang w:eastAsia="zh-CN"/>
              </w:rPr>
            </w:pPr>
            <w:r>
              <w:rPr>
                <w:rFonts w:hint="eastAsia" w:ascii="仿宋" w:hAnsi="仿宋" w:eastAsia="仿宋" w:cs="仿宋"/>
                <w:color w:val="auto"/>
                <w:kern w:val="0"/>
                <w:sz w:val="24"/>
                <w:szCs w:val="24"/>
                <w:lang w:val="en-US" w:eastAsia="zh-CN" w:bidi="ar"/>
              </w:rPr>
              <w:t>理或未提供方案不得分。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4</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根据本项目提出合理的管理组织和制度方案（公司人事管理制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度方案、员工管理制度方案、考勤制度方案安全作业管理制度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方案等），提出管理组织和制度方案切合实际，合理可行的得 4</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分、一般的得 2 分、较差的得 1 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4</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根据本项目制定合理的保洁方案（道路保洁、公厕养护、农贸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市场保洁等）是否针对本项目，拟投入的清扫保洁人员组织、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机具设备、时间安排、不同类别道路的清扫解决方案等，合理 </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可行的得 4 分、一般的得 2 分、较差的得 1 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4</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根据本项目提出合理的质量保证措施，合理可行的得 </w:t>
            </w:r>
            <w:r>
              <w:rPr>
                <w:rFonts w:hint="eastAsia" w:ascii="仿宋" w:hAnsi="仿宋" w:eastAsia="仿宋" w:cs="仿宋"/>
                <w:color w:val="auto"/>
                <w:kern w:val="0"/>
                <w:sz w:val="24"/>
                <w:szCs w:val="24"/>
                <w:lang w:val="en-US" w:eastAsia="zh-CN" w:bidi="ar"/>
              </w:rPr>
              <w:t>4</w:t>
            </w:r>
            <w:r>
              <w:rPr>
                <w:rFonts w:ascii="仿宋" w:hAnsi="仿宋" w:eastAsia="仿宋" w:cs="仿宋"/>
                <w:color w:val="auto"/>
                <w:kern w:val="0"/>
                <w:sz w:val="24"/>
                <w:szCs w:val="24"/>
                <w:lang w:val="en-US" w:eastAsia="zh-CN" w:bidi="ar"/>
              </w:rPr>
              <w:t xml:space="preserve"> 分、一 </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般的得 2 分、较差的得 1 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4</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0"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根据本项目制定合理的文明安全保证体系和安全保证措施方 </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案，合理可行的得 4 分、一般的得 2 分、较差的得 1 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4</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0" w:hRule="atLeast"/>
          <w:jc w:val="center"/>
        </w:trPr>
        <w:tc>
          <w:tcPr>
            <w:tcW w:w="709"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p>
        </w:tc>
        <w:tc>
          <w:tcPr>
            <w:tcW w:w="106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p>
        </w:tc>
        <w:tc>
          <w:tcPr>
            <w:tcW w:w="6808"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color w:val="auto"/>
              </w:rPr>
            </w:pPr>
            <w:r>
              <w:rPr>
                <w:rFonts w:ascii="仿宋" w:hAnsi="仿宋" w:eastAsia="仿宋" w:cs="仿宋"/>
                <w:color w:val="auto"/>
                <w:kern w:val="0"/>
                <w:sz w:val="24"/>
                <w:szCs w:val="24"/>
                <w:lang w:val="en-US" w:eastAsia="zh-CN" w:bidi="ar"/>
              </w:rPr>
              <w:t xml:space="preserve">根据本项目提出合理的各项检查制度（现场管理制度、车辆管 </w:t>
            </w:r>
          </w:p>
          <w:p>
            <w:pPr>
              <w:keepNext w:val="0"/>
              <w:keepLines w:val="0"/>
              <w:widowControl/>
              <w:suppressLineNumbers w:val="0"/>
              <w:jc w:val="left"/>
              <w:rPr>
                <w:color w:val="auto"/>
              </w:rPr>
            </w:pPr>
            <w:r>
              <w:rPr>
                <w:rFonts w:hint="eastAsia" w:ascii="仿宋" w:hAnsi="仿宋" w:eastAsia="仿宋" w:cs="仿宋"/>
                <w:color w:val="auto"/>
                <w:kern w:val="0"/>
                <w:sz w:val="24"/>
                <w:szCs w:val="24"/>
                <w:lang w:val="en-US" w:eastAsia="zh-CN" w:bidi="ar"/>
              </w:rPr>
              <w:t xml:space="preserve">理制度等）以及台账管理，合理可行的得 3 分、一般的得 2 分、 </w:t>
            </w:r>
          </w:p>
          <w:p>
            <w:pPr>
              <w:keepNext w:val="0"/>
              <w:keepLines w:val="0"/>
              <w:widowControl/>
              <w:suppressLineNumbers w:val="0"/>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
              </w:rPr>
              <w:t>较差的得 1 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25" w:hRule="atLeast"/>
          <w:jc w:val="center"/>
        </w:trPr>
        <w:tc>
          <w:tcPr>
            <w:tcW w:w="709"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3</w:t>
            </w:r>
          </w:p>
        </w:tc>
        <w:tc>
          <w:tcPr>
            <w:tcW w:w="1065" w:type="dxa"/>
            <w:tcBorders>
              <w:top w:val="single" w:color="auto" w:sz="4" w:space="0"/>
              <w:left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应急</w:t>
            </w:r>
          </w:p>
          <w:p>
            <w:pPr>
              <w:numPr>
                <w:ilvl w:val="0"/>
                <w:numId w:val="0"/>
              </w:num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预案</w:t>
            </w:r>
          </w:p>
        </w:tc>
        <w:tc>
          <w:tcPr>
            <w:tcW w:w="6808" w:type="dxa"/>
            <w:tcBorders>
              <w:top w:val="single" w:color="auto" w:sz="4" w:space="0"/>
              <w:left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有完善的应急管理方案，能及时响应城市应急（气象灾害、防汛抗台、抗雪防冻）和项目实施过程中各类应急保障任务，有固定应急物资仓储及应急设施设备存放场地，具有丰富的应急管理经验情况，符合的得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分，部分符合的得1分，否则不得分。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06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重大活动保障方案</w:t>
            </w:r>
          </w:p>
        </w:tc>
        <w:tc>
          <w:tcPr>
            <w:tcW w:w="680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有完善的的重大活动保障方案，方案科学合理，具有针对性及可操作性，能圆满完成大型活动、节庆假日、创优评优等重大活动保障任务情况，符合的得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分，部分符合的得1分，否则不得分。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6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合理化建议</w:t>
            </w:r>
          </w:p>
        </w:tc>
        <w:tc>
          <w:tcPr>
            <w:tcW w:w="680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合理化建议：针对本项目提出合理化、优化建议。符合的得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分，部分符合得1分，否则不得分。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分</w:t>
            </w:r>
          </w:p>
        </w:tc>
      </w:tr>
    </w:tbl>
    <w:p>
      <w:pPr>
        <w:pStyle w:val="620"/>
        <w:snapToGrid w:val="0"/>
        <w:ind w:left="480" w:firstLine="0" w:firstLineChars="0"/>
        <w:rPr>
          <w:rFonts w:hint="eastAsia" w:ascii="仿宋" w:hAnsi="仿宋" w:eastAsia="仿宋" w:cs="仿宋"/>
          <w:b/>
          <w:color w:val="auto"/>
          <w:highlight w:val="none"/>
          <w:lang w:val="en-US" w:eastAsia="zh-CN"/>
        </w:rPr>
      </w:pPr>
    </w:p>
    <w:p>
      <w:pPr>
        <w:pStyle w:val="620"/>
        <w:snapToGrid w:val="0"/>
        <w:ind w:left="480" w:firstLine="0" w:firstLineChars="0"/>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3、价格部分</w:t>
      </w:r>
    </w:p>
    <w:tbl>
      <w:tblPr>
        <w:tblStyle w:val="64"/>
        <w:tblpPr w:leftFromText="180" w:rightFromText="180" w:vertAnchor="text" w:horzAnchor="page" w:tblpX="1288" w:tblpY="126"/>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926"/>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83" w:type="dxa"/>
            <w:vAlign w:val="center"/>
          </w:tcPr>
          <w:p>
            <w:pPr>
              <w:spacing w:line="360" w:lineRule="auto"/>
              <w:ind w:firstLine="240" w:firstLineChars="1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w:t>
            </w:r>
          </w:p>
        </w:tc>
        <w:tc>
          <w:tcPr>
            <w:tcW w:w="7926" w:type="dxa"/>
            <w:vAlign w:val="top"/>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pacing w:line="360" w:lineRule="auto"/>
              <w:ind w:firstLine="120" w:firstLineChars="50"/>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930" w:type="dxa"/>
            <w:vAlign w:val="center"/>
          </w:tcPr>
          <w:p>
            <w:pPr>
              <w:spacing w:line="360" w:lineRule="auto"/>
              <w:jc w:val="center"/>
              <w:outlineLvl w:val="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10分</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outlineLvl w:val="1"/>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90"/>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9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90"/>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spacing w:line="360" w:lineRule="auto"/>
        <w:ind w:firstLine="240" w:firstLineChars="100"/>
        <w:rPr>
          <w:rFonts w:ascii="仿宋_GB2312" w:hAnsi="仿宋" w:eastAsia="仿宋_GB2312" w:cs="Arial"/>
          <w:color w:val="auto"/>
          <w:kern w:val="0"/>
          <w:sz w:val="24"/>
          <w:highlight w:val="none"/>
          <w:lang w:val="en-US"/>
        </w:rPr>
      </w:pPr>
      <w:r>
        <w:rPr>
          <w:rFonts w:ascii="仿宋_GB2312" w:hAnsi="仿宋" w:eastAsia="仿宋_GB2312" w:cs="Arial"/>
          <w:color w:val="auto"/>
          <w:kern w:val="0"/>
          <w:sz w:val="24"/>
          <w:highlight w:val="none"/>
          <w:lang w:val="en-US"/>
        </w:rPr>
        <w:t xml:space="preserve">4.2.13 </w:t>
      </w:r>
      <w:r>
        <w:rPr>
          <w:rFonts w:hint="eastAsia" w:ascii="仿宋_GB2312" w:hAnsi="仿宋" w:eastAsia="仿宋_GB2312" w:cs="Arial"/>
          <w:color w:val="auto"/>
          <w:kern w:val="0"/>
          <w:sz w:val="24"/>
          <w:highlight w:val="none"/>
          <w:lang w:val="en-US"/>
        </w:rPr>
        <w:t>投标文件不满足招标文件的其它实质性要求的；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4"/>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4"/>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4"/>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9"/>
        <w:rPr>
          <w:rFonts w:ascii="仿宋_GB2312" w:hAnsi="仿宋" w:eastAsia="仿宋_GB2312" w:cs="仿宋_GB2312"/>
          <w:b/>
          <w:color w:val="auto"/>
          <w:sz w:val="36"/>
          <w:szCs w:val="36"/>
          <w:highlight w:val="none"/>
        </w:rPr>
      </w:pPr>
      <w:bookmarkStart w:id="392" w:name="第五部分"/>
      <w:bookmarkStart w:id="393" w:name="_Toc86217003"/>
    </w:p>
    <w:p>
      <w:pPr>
        <w:spacing w:line="360" w:lineRule="auto"/>
        <w:ind w:left="720" w:leftChars="343" w:firstLine="1084" w:firstLineChars="300"/>
        <w:outlineLvl w:val="9"/>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446" w:firstLineChars="4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widowControl/>
        <w:wordWrap/>
        <w:adjustRightInd/>
        <w:snapToGrid/>
        <w:spacing w:line="400" w:lineRule="atLeast"/>
        <w:ind w:left="0" w:leftChars="0" w:right="0" w:firstLine="0" w:firstLineChars="0"/>
        <w:jc w:val="left"/>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 xml:space="preserve">项目名称： </w:t>
      </w:r>
      <w:r>
        <w:rPr>
          <w:rStyle w:val="959"/>
          <w:rFonts w:hint="eastAsia" w:ascii="仿宋" w:hAnsi="仿宋" w:eastAsia="仿宋" w:cs="仿宋"/>
          <w:b w:val="0"/>
          <w:bCs/>
          <w:color w:val="auto"/>
          <w:sz w:val="24"/>
          <w:szCs w:val="24"/>
          <w:highlight w:val="none"/>
          <w:lang w:val="en-US" w:eastAsia="zh-CN"/>
        </w:rPr>
        <w:t xml:space="preserve">                              </w:t>
      </w:r>
      <w:r>
        <w:rPr>
          <w:rStyle w:val="959"/>
          <w:rFonts w:hint="eastAsia" w:ascii="仿宋" w:hAnsi="仿宋" w:eastAsia="仿宋" w:cs="仿宋"/>
          <w:b w:val="0"/>
          <w:bCs/>
          <w:color w:val="auto"/>
          <w:sz w:val="24"/>
          <w:szCs w:val="24"/>
          <w:highlight w:val="none"/>
        </w:rPr>
        <w:t>项目编号：</w:t>
      </w:r>
    </w:p>
    <w:p>
      <w:pPr>
        <w:widowControl/>
        <w:wordWrap/>
        <w:adjustRightInd/>
        <w:snapToGrid/>
        <w:spacing w:line="400" w:lineRule="atLeast"/>
        <w:ind w:left="0" w:leftChars="0" w:right="0" w:firstLine="0" w:firstLineChars="0"/>
        <w:jc w:val="left"/>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甲方：（买方）</w:t>
      </w:r>
    </w:p>
    <w:p>
      <w:pPr>
        <w:widowControl/>
        <w:wordWrap/>
        <w:adjustRightInd/>
        <w:snapToGrid/>
        <w:spacing w:line="400" w:lineRule="atLeast"/>
        <w:ind w:left="0" w:leftChars="0" w:right="0" w:firstLine="0" w:firstLineChars="0"/>
        <w:jc w:val="left"/>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乙方：（卖方）</w:t>
      </w:r>
    </w:p>
    <w:p>
      <w:pPr>
        <w:widowControl/>
        <w:wordWrap/>
        <w:adjustRightInd/>
        <w:snapToGrid/>
        <w:spacing w:line="400" w:lineRule="atLeast"/>
        <w:ind w:left="0" w:leftChars="0" w:right="0" w:firstLine="0" w:firstLineChars="0"/>
        <w:jc w:val="left"/>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甲、乙双方根据＿＿政府采购项目的采购结果，签署本合同。</w:t>
      </w:r>
    </w:p>
    <w:p>
      <w:pPr>
        <w:widowControl/>
        <w:wordWrap/>
        <w:adjustRightInd/>
        <w:snapToGrid/>
        <w:spacing w:line="400" w:lineRule="atLeast"/>
        <w:ind w:left="0" w:leftChars="0" w:right="0" w:firstLine="0" w:firstLineChars="0"/>
        <w:jc w:val="left"/>
        <w:textAlignment w:val="auto"/>
        <w:outlineLvl w:val="9"/>
        <w:rPr>
          <w:rStyle w:val="959"/>
          <w:rFonts w:hint="eastAsia" w:ascii="仿宋" w:hAnsi="仿宋" w:eastAsia="仿宋" w:cs="仿宋"/>
          <w:b w:val="0"/>
          <w:bCs/>
          <w:color w:val="auto"/>
          <w:sz w:val="24"/>
          <w:szCs w:val="24"/>
          <w:highlight w:val="none"/>
        </w:rPr>
      </w:pPr>
      <w:r>
        <w:rPr>
          <w:rStyle w:val="959"/>
          <w:rFonts w:hint="eastAsia" w:ascii="仿宋" w:hAnsi="仿宋" w:eastAsia="仿宋" w:cs="仿宋"/>
          <w:b w:val="0"/>
          <w:bCs/>
          <w:color w:val="auto"/>
          <w:sz w:val="24"/>
          <w:szCs w:val="24"/>
          <w:highlight w:val="none"/>
        </w:rPr>
        <w:t>一、服务内容：</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二、合同金额：</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val="en-US" w:eastAsia="zh-CN"/>
        </w:rPr>
      </w:pPr>
      <w:r>
        <w:rPr>
          <w:rStyle w:val="959"/>
          <w:rFonts w:hint="eastAsia" w:ascii="仿宋" w:hAnsi="仿宋" w:eastAsia="仿宋" w:cs="仿宋"/>
          <w:b w:val="0"/>
          <w:bCs/>
          <w:color w:val="auto"/>
          <w:sz w:val="24"/>
          <w:szCs w:val="24"/>
          <w:highlight w:val="none"/>
        </w:rPr>
        <w:t>2.1 本合同金额为（ 大 写 ）：</w:t>
      </w:r>
      <w:r>
        <w:rPr>
          <w:rStyle w:val="959"/>
          <w:rFonts w:hint="eastAsia" w:ascii="仿宋" w:hAnsi="仿宋" w:eastAsia="仿宋" w:cs="仿宋"/>
          <w:b w:val="0"/>
          <w:bCs/>
          <w:color w:val="auto"/>
          <w:sz w:val="24"/>
          <w:szCs w:val="24"/>
          <w:highlight w:val="none"/>
          <w:u w:val="single" w:color="auto"/>
          <w:lang w:val="en-US" w:eastAsia="zh-CN"/>
        </w:rPr>
        <w:t xml:space="preserve">              </w:t>
      </w:r>
      <w:r>
        <w:rPr>
          <w:rStyle w:val="959"/>
          <w:rFonts w:hint="eastAsia" w:ascii="仿宋" w:hAnsi="仿宋" w:eastAsia="仿宋" w:cs="仿宋"/>
          <w:b w:val="0"/>
          <w:bCs/>
          <w:color w:val="auto"/>
          <w:sz w:val="24"/>
          <w:szCs w:val="24"/>
          <w:highlight w:val="none"/>
        </w:rPr>
        <w:t>元（￥______元）人民币。</w:t>
      </w:r>
      <w:r>
        <w:rPr>
          <w:rStyle w:val="959"/>
          <w:rFonts w:hint="eastAsia" w:ascii="仿宋" w:hAnsi="仿宋" w:eastAsia="仿宋" w:cs="仿宋"/>
          <w:b w:val="0"/>
          <w:bCs/>
          <w:color w:val="auto"/>
          <w:sz w:val="24"/>
          <w:szCs w:val="24"/>
          <w:highlight w:val="none"/>
          <w:lang w:val="en-US" w:eastAsia="zh-CN"/>
        </w:rPr>
        <w:t>(含税）</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三、技术资料</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3.1 乙方应按</w:t>
      </w:r>
      <w:r>
        <w:rPr>
          <w:rStyle w:val="959"/>
          <w:rFonts w:hint="eastAsia" w:ascii="仿宋" w:hAnsi="仿宋" w:eastAsia="仿宋" w:cs="仿宋"/>
          <w:b w:val="0"/>
          <w:bCs/>
          <w:color w:val="auto"/>
          <w:sz w:val="24"/>
          <w:szCs w:val="24"/>
          <w:highlight w:val="none"/>
          <w:lang w:eastAsia="zh-CN"/>
        </w:rPr>
        <w:t>招标</w:t>
      </w:r>
      <w:r>
        <w:rPr>
          <w:rStyle w:val="959"/>
          <w:rFonts w:hint="eastAsia" w:ascii="仿宋" w:hAnsi="仿宋" w:eastAsia="仿宋" w:cs="仿宋"/>
          <w:b w:val="0"/>
          <w:bCs/>
          <w:color w:val="auto"/>
          <w:sz w:val="24"/>
          <w:szCs w:val="24"/>
          <w:highlight w:val="none"/>
        </w:rPr>
        <w:t>文件规定的时间向甲方提供有关技术资料。</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3.2 没有甲方事先书面同意，乙方不得将甲方提供的有关合同或任何合同条文、</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规格、计划、图纸、样品或资料提供给与履行本合同无关的任何其他人。即使向履行本合同有关的人员提供，也应注意保密并限于履行合同的必需范围。</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四、知识产权</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4.1 乙方应保证提供服务过程中不会侵犯任何第三方的知识产权。</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eastAsia="zh-CN"/>
        </w:rPr>
        <w:t>五</w:t>
      </w:r>
      <w:r>
        <w:rPr>
          <w:rStyle w:val="959"/>
          <w:rFonts w:hint="eastAsia" w:ascii="仿宋" w:hAnsi="仿宋" w:eastAsia="仿宋" w:cs="仿宋"/>
          <w:b w:val="0"/>
          <w:bCs/>
          <w:color w:val="auto"/>
          <w:sz w:val="24"/>
          <w:szCs w:val="24"/>
          <w:highlight w:val="none"/>
        </w:rPr>
        <w:t>、履约保证金</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rPr>
      </w:pPr>
      <w:r>
        <w:rPr>
          <w:rStyle w:val="959"/>
          <w:rFonts w:hint="eastAsia" w:ascii="仿宋" w:hAnsi="仿宋" w:eastAsia="仿宋" w:cs="仿宋"/>
          <w:b w:val="0"/>
          <w:bCs/>
          <w:color w:val="auto"/>
          <w:sz w:val="24"/>
          <w:szCs w:val="24"/>
          <w:highlight w:val="none"/>
          <w:lang w:val="en-US" w:eastAsia="zh-CN"/>
        </w:rPr>
        <w:t>5</w:t>
      </w:r>
      <w:r>
        <w:rPr>
          <w:rStyle w:val="959"/>
          <w:rFonts w:hint="eastAsia" w:ascii="仿宋" w:hAnsi="仿宋" w:eastAsia="仿宋" w:cs="仿宋"/>
          <w:b w:val="0"/>
          <w:bCs/>
          <w:color w:val="auto"/>
          <w:sz w:val="24"/>
          <w:szCs w:val="24"/>
          <w:highlight w:val="none"/>
        </w:rPr>
        <w:t>.1 中标单位在合同签订后支付中标总额</w:t>
      </w:r>
      <w:r>
        <w:rPr>
          <w:rStyle w:val="959"/>
          <w:rFonts w:hint="eastAsia" w:ascii="仿宋" w:hAnsi="仿宋" w:eastAsia="仿宋" w:cs="仿宋"/>
          <w:b w:val="0"/>
          <w:bCs/>
          <w:color w:val="auto"/>
          <w:sz w:val="24"/>
          <w:szCs w:val="24"/>
          <w:highlight w:val="none"/>
          <w:lang w:val="en-US" w:eastAsia="zh-CN"/>
        </w:rPr>
        <w:t>1</w:t>
      </w:r>
      <w:r>
        <w:rPr>
          <w:rStyle w:val="959"/>
          <w:rFonts w:hint="eastAsia" w:ascii="仿宋" w:hAnsi="仿宋" w:eastAsia="仿宋" w:cs="仿宋"/>
          <w:b w:val="0"/>
          <w:bCs/>
          <w:color w:val="auto"/>
          <w:sz w:val="24"/>
          <w:szCs w:val="24"/>
          <w:highlight w:val="none"/>
        </w:rPr>
        <w:t xml:space="preserve"> %的履约保证金（以支票、汇票、本票或者金融机构、担保机构出具的保函等非现金形式提交）</w:t>
      </w:r>
      <w:r>
        <w:rPr>
          <w:rStyle w:val="959"/>
          <w:rFonts w:hint="eastAsia" w:ascii="仿宋" w:hAnsi="仿宋" w:eastAsia="仿宋" w:cs="仿宋"/>
          <w:b w:val="0"/>
          <w:bCs/>
          <w:color w:val="auto"/>
          <w:sz w:val="24"/>
          <w:szCs w:val="24"/>
          <w:highlight w:val="none"/>
          <w:lang w:eastAsia="zh-CN"/>
        </w:rPr>
        <w:t>，</w:t>
      </w:r>
      <w:r>
        <w:rPr>
          <w:rStyle w:val="959"/>
          <w:rFonts w:hint="eastAsia" w:ascii="仿宋" w:hAnsi="仿宋" w:eastAsia="仿宋" w:cs="仿宋"/>
          <w:b w:val="0"/>
          <w:bCs/>
          <w:color w:val="auto"/>
          <w:sz w:val="24"/>
          <w:szCs w:val="24"/>
          <w:highlight w:val="none"/>
        </w:rPr>
        <w:t>履约保证金将在服务期满后无息退还。</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rPr>
        <w:t>。</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eastAsia="zh-CN"/>
        </w:rPr>
        <w:t>六</w:t>
      </w:r>
      <w:r>
        <w:rPr>
          <w:rStyle w:val="959"/>
          <w:rFonts w:hint="eastAsia" w:ascii="仿宋" w:hAnsi="仿宋" w:eastAsia="仿宋" w:cs="仿宋"/>
          <w:b w:val="0"/>
          <w:bCs/>
          <w:color w:val="auto"/>
          <w:sz w:val="24"/>
          <w:szCs w:val="24"/>
          <w:highlight w:val="none"/>
        </w:rPr>
        <w:t>.转包或分包</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val="en-US" w:eastAsia="zh-CN"/>
        </w:rPr>
        <w:t>6</w:t>
      </w:r>
      <w:r>
        <w:rPr>
          <w:rStyle w:val="959"/>
          <w:rFonts w:hint="eastAsia" w:ascii="仿宋" w:hAnsi="仿宋" w:eastAsia="仿宋" w:cs="仿宋"/>
          <w:b w:val="0"/>
          <w:bCs/>
          <w:color w:val="auto"/>
          <w:sz w:val="24"/>
          <w:szCs w:val="24"/>
          <w:highlight w:val="none"/>
        </w:rPr>
        <w:t>.1 本合同范围的</w:t>
      </w:r>
      <w:r>
        <w:rPr>
          <w:rStyle w:val="959"/>
          <w:rFonts w:hint="eastAsia" w:ascii="仿宋" w:hAnsi="仿宋" w:eastAsia="仿宋" w:cs="仿宋"/>
          <w:b w:val="0"/>
          <w:bCs/>
          <w:color w:val="auto"/>
          <w:sz w:val="24"/>
          <w:szCs w:val="24"/>
          <w:highlight w:val="none"/>
          <w:lang w:eastAsia="zh-CN"/>
        </w:rPr>
        <w:t>服务</w:t>
      </w:r>
      <w:r>
        <w:rPr>
          <w:rStyle w:val="959"/>
          <w:rFonts w:hint="eastAsia" w:ascii="仿宋" w:hAnsi="仿宋" w:eastAsia="仿宋" w:cs="仿宋"/>
          <w:b w:val="0"/>
          <w:bCs/>
          <w:color w:val="auto"/>
          <w:sz w:val="24"/>
          <w:szCs w:val="24"/>
          <w:highlight w:val="none"/>
        </w:rPr>
        <w:t>，应由供方直接供应，不得转让他人供应；</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val="en-US" w:eastAsia="zh-CN"/>
        </w:rPr>
        <w:t>6</w:t>
      </w:r>
      <w:r>
        <w:rPr>
          <w:rStyle w:val="959"/>
          <w:rFonts w:hint="eastAsia" w:ascii="仿宋" w:hAnsi="仿宋" w:eastAsia="仿宋" w:cs="仿宋"/>
          <w:b w:val="0"/>
          <w:bCs/>
          <w:color w:val="auto"/>
          <w:sz w:val="24"/>
          <w:szCs w:val="24"/>
          <w:highlight w:val="none"/>
        </w:rPr>
        <w:t>.2 除非得到需方的书面同意，供方不得部分分包给他人供应。需方有绝对权力</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rPr>
      </w:pPr>
      <w:r>
        <w:rPr>
          <w:rStyle w:val="959"/>
          <w:rFonts w:hint="eastAsia" w:ascii="仿宋" w:hAnsi="仿宋" w:eastAsia="仿宋" w:cs="仿宋"/>
          <w:b w:val="0"/>
          <w:bCs/>
          <w:color w:val="auto"/>
          <w:sz w:val="24"/>
          <w:szCs w:val="24"/>
          <w:highlight w:val="none"/>
        </w:rPr>
        <w:t>阻止分包。</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b w:val="0"/>
          <w:bCs/>
          <w:color w:val="auto"/>
          <w:sz w:val="24"/>
          <w:szCs w:val="24"/>
          <w:highlight w:val="none"/>
          <w:lang w:eastAsia="zh-CN"/>
        </w:rPr>
      </w:pPr>
      <w:r>
        <w:rPr>
          <w:rStyle w:val="959"/>
          <w:rFonts w:hint="eastAsia" w:ascii="仿宋" w:hAnsi="仿宋" w:eastAsia="仿宋" w:cs="仿宋"/>
          <w:b w:val="0"/>
          <w:bCs/>
          <w:color w:val="auto"/>
          <w:sz w:val="24"/>
          <w:szCs w:val="24"/>
          <w:highlight w:val="none"/>
          <w:lang w:val="en-US" w:eastAsia="zh-CN"/>
        </w:rPr>
        <w:t>6</w:t>
      </w:r>
      <w:r>
        <w:rPr>
          <w:rStyle w:val="959"/>
          <w:rFonts w:hint="eastAsia" w:ascii="仿宋" w:hAnsi="仿宋" w:eastAsia="仿宋" w:cs="仿宋"/>
          <w:b w:val="0"/>
          <w:bCs/>
          <w:color w:val="auto"/>
          <w:sz w:val="24"/>
          <w:szCs w:val="24"/>
          <w:highlight w:val="none"/>
        </w:rPr>
        <w:t>.3 如有转让和未经需方同意的分包行为，需方有权给予终止合同。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rPr>
      </w:pPr>
      <w:r>
        <w:rPr>
          <w:rFonts w:hint="eastAsia" w:ascii="仿宋" w:hAnsi="仿宋" w:eastAsia="仿宋" w:cs="仿宋"/>
          <w:b w:val="0"/>
          <w:i w:val="0"/>
          <w:color w:val="auto"/>
          <w:sz w:val="24"/>
          <w:szCs w:val="24"/>
          <w:highlight w:val="none"/>
          <w:lang w:eastAsia="zh-CN"/>
        </w:rPr>
        <w:t>七</w:t>
      </w:r>
      <w:r>
        <w:rPr>
          <w:rFonts w:hint="eastAsia" w:ascii="仿宋" w:hAnsi="仿宋" w:eastAsia="仿宋" w:cs="仿宋"/>
          <w:b w:val="0"/>
          <w:i w:val="0"/>
          <w:color w:val="auto"/>
          <w:sz w:val="24"/>
          <w:szCs w:val="24"/>
          <w:highlight w:val="none"/>
        </w:rPr>
        <w:t>、服务质量保证期和服务质量保证金</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7</w:t>
      </w:r>
      <w:r>
        <w:rPr>
          <w:rFonts w:hint="eastAsia" w:ascii="仿宋" w:hAnsi="仿宋" w:eastAsia="仿宋" w:cs="仿宋"/>
          <w:b w:val="0"/>
          <w:i w:val="0"/>
          <w:color w:val="auto"/>
          <w:sz w:val="24"/>
          <w:szCs w:val="24"/>
          <w:highlight w:val="none"/>
        </w:rPr>
        <w:t xml:space="preserve">.1 服务质量保证期 </w:t>
      </w:r>
      <w:r>
        <w:rPr>
          <w:rFonts w:hint="eastAsia" w:ascii="仿宋" w:hAnsi="仿宋" w:eastAsia="仿宋" w:cs="仿宋"/>
          <w:b w:val="0"/>
          <w:i w:val="0"/>
          <w:color w:val="auto"/>
          <w:sz w:val="24"/>
          <w:szCs w:val="24"/>
          <w:highlight w:val="none"/>
          <w:lang w:val="en-US" w:eastAsia="zh-CN"/>
        </w:rPr>
        <w:t xml:space="preserve"> </w:t>
      </w:r>
      <w:r>
        <w:rPr>
          <w:rFonts w:hint="eastAsia" w:ascii="仿宋" w:hAnsi="仿宋" w:eastAsia="仿宋" w:cs="仿宋"/>
          <w:b w:val="0"/>
          <w:i w:val="0"/>
          <w:color w:val="auto"/>
          <w:sz w:val="24"/>
          <w:szCs w:val="24"/>
          <w:highlight w:val="none"/>
        </w:rPr>
        <w:t>年。（自验收合格之日起计）</w:t>
      </w:r>
    </w:p>
    <w:p>
      <w:pPr>
        <w:widowControl/>
        <w:wordWrap/>
        <w:adjustRightInd/>
        <w:snapToGrid/>
        <w:spacing w:line="400" w:lineRule="atLeast"/>
        <w:ind w:left="0" w:leftChars="0" w:right="0" w:firstLine="0" w:firstLineChars="0"/>
        <w:jc w:val="both"/>
        <w:textAlignment w:val="auto"/>
        <w:outlineLvl w:val="9"/>
        <w:rPr>
          <w:rStyle w:val="959"/>
          <w:rFonts w:hint="eastAsia" w:ascii="仿宋" w:hAnsi="仿宋" w:eastAsia="仿宋" w:cs="仿宋"/>
          <w:color w:val="auto"/>
          <w:sz w:val="24"/>
          <w:szCs w:val="24"/>
          <w:highlight w:val="none"/>
        </w:rPr>
      </w:pPr>
      <w:r>
        <w:rPr>
          <w:rFonts w:hint="eastAsia" w:ascii="仿宋" w:hAnsi="仿宋" w:eastAsia="仿宋" w:cs="仿宋"/>
          <w:b w:val="0"/>
          <w:i w:val="0"/>
          <w:color w:val="auto"/>
          <w:sz w:val="24"/>
          <w:szCs w:val="24"/>
          <w:highlight w:val="none"/>
          <w:lang w:val="en-US" w:eastAsia="zh-CN"/>
        </w:rPr>
        <w:t>7</w:t>
      </w:r>
      <w:r>
        <w:rPr>
          <w:rFonts w:hint="eastAsia" w:ascii="仿宋" w:hAnsi="仿宋" w:eastAsia="仿宋" w:cs="仿宋"/>
          <w:b w:val="0"/>
          <w:i w:val="0"/>
          <w:color w:val="auto"/>
          <w:sz w:val="24"/>
          <w:szCs w:val="24"/>
          <w:highlight w:val="none"/>
        </w:rPr>
        <w:t>.2 服务质量保证金 元。（履约保证金在成交规划编制单位按合同约定验收合格后自行转为质保金）</w:t>
      </w:r>
      <w:r>
        <w:rPr>
          <w:rFonts w:hint="eastAsia" w:ascii="仿宋" w:hAnsi="仿宋" w:eastAsia="仿宋" w:cs="仿宋"/>
          <w:color w:val="auto"/>
          <w:sz w:val="24"/>
          <w:szCs w:val="24"/>
          <w:highlight w:val="none"/>
        </w:rPr>
        <w:t xml:space="preserve"> </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eastAsia="zh-CN"/>
        </w:rPr>
        <w:t>八</w:t>
      </w:r>
      <w:r>
        <w:rPr>
          <w:rFonts w:hint="eastAsia" w:ascii="仿宋" w:hAnsi="仿宋" w:eastAsia="仿宋" w:cs="仿宋"/>
          <w:b w:val="0"/>
          <w:i w:val="0"/>
          <w:color w:val="auto"/>
          <w:sz w:val="24"/>
          <w:szCs w:val="24"/>
          <w:highlight w:val="none"/>
        </w:rPr>
        <w:t>、合同履行时间、履行方式及履行地点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8</w:t>
      </w:r>
      <w:r>
        <w:rPr>
          <w:rFonts w:hint="eastAsia" w:ascii="仿宋" w:hAnsi="仿宋" w:eastAsia="仿宋" w:cs="仿宋"/>
          <w:b w:val="0"/>
          <w:i w:val="0"/>
          <w:color w:val="auto"/>
          <w:sz w:val="24"/>
          <w:szCs w:val="24"/>
          <w:highlight w:val="none"/>
        </w:rPr>
        <w:t>.1 履行时间：</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8</w:t>
      </w:r>
      <w:r>
        <w:rPr>
          <w:rFonts w:hint="eastAsia" w:ascii="仿宋" w:hAnsi="仿宋" w:eastAsia="仿宋" w:cs="仿宋"/>
          <w:b w:val="0"/>
          <w:i w:val="0"/>
          <w:color w:val="auto"/>
          <w:sz w:val="24"/>
          <w:szCs w:val="24"/>
          <w:highlight w:val="none"/>
        </w:rPr>
        <w:t>.2 履行方式：</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8</w:t>
      </w:r>
      <w:r>
        <w:rPr>
          <w:rFonts w:hint="eastAsia" w:ascii="仿宋" w:hAnsi="仿宋" w:eastAsia="仿宋" w:cs="仿宋"/>
          <w:b w:val="0"/>
          <w:i w:val="0"/>
          <w:color w:val="auto"/>
          <w:sz w:val="24"/>
          <w:szCs w:val="24"/>
          <w:highlight w:val="none"/>
        </w:rPr>
        <w:t>.3 履行地点：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eastAsia="zh-CN"/>
        </w:rPr>
        <w:t>九</w:t>
      </w:r>
      <w:r>
        <w:rPr>
          <w:rFonts w:hint="eastAsia" w:ascii="仿宋" w:hAnsi="仿宋" w:eastAsia="仿宋" w:cs="仿宋"/>
          <w:b w:val="0"/>
          <w:i w:val="0"/>
          <w:color w:val="auto"/>
          <w:sz w:val="24"/>
          <w:szCs w:val="24"/>
          <w:highlight w:val="none"/>
        </w:rPr>
        <w:t>、款项支付</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lang w:val="en-US" w:eastAsia="zh-CN"/>
        </w:rPr>
        <w:t>9</w:t>
      </w:r>
      <w:r>
        <w:rPr>
          <w:rFonts w:hint="eastAsia" w:ascii="仿宋" w:hAnsi="仿宋" w:eastAsia="仿宋" w:cs="仿宋"/>
          <w:b w:val="0"/>
          <w:i w:val="0"/>
          <w:color w:val="auto"/>
          <w:sz w:val="24"/>
          <w:szCs w:val="24"/>
          <w:highlight w:val="none"/>
        </w:rPr>
        <w:t>.1 付款方式：</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十、税费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0</w:t>
      </w:r>
      <w:r>
        <w:rPr>
          <w:rFonts w:hint="eastAsia" w:ascii="仿宋" w:hAnsi="仿宋" w:eastAsia="仿宋" w:cs="仿宋"/>
          <w:b w:val="0"/>
          <w:i w:val="0"/>
          <w:color w:val="auto"/>
          <w:sz w:val="24"/>
          <w:szCs w:val="24"/>
          <w:highlight w:val="none"/>
        </w:rPr>
        <w:t>.1 本合同执行中相关的一切税费均由供方负担。</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十</w:t>
      </w:r>
      <w:r>
        <w:rPr>
          <w:rFonts w:hint="eastAsia" w:ascii="仿宋" w:hAnsi="仿宋" w:eastAsia="仿宋" w:cs="仿宋"/>
          <w:b w:val="0"/>
          <w:i w:val="0"/>
          <w:color w:val="auto"/>
          <w:sz w:val="24"/>
          <w:szCs w:val="24"/>
          <w:highlight w:val="none"/>
          <w:lang w:eastAsia="zh-CN"/>
        </w:rPr>
        <w:t>一</w:t>
      </w:r>
      <w:r>
        <w:rPr>
          <w:rFonts w:hint="eastAsia" w:ascii="仿宋" w:hAnsi="仿宋" w:eastAsia="仿宋" w:cs="仿宋"/>
          <w:b w:val="0"/>
          <w:i w:val="0"/>
          <w:color w:val="auto"/>
          <w:sz w:val="24"/>
          <w:szCs w:val="24"/>
          <w:highlight w:val="none"/>
        </w:rPr>
        <w:t>、质量保证及后续服务</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.1 乙方应按谈判文件规定向甲方提供服务。</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.2 乙方提供的服务成果在服务质量保证期内发生故障，乙方应负责免费提供</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后续服务。对达不到要求的，根据实际情况，经双方协商，可按以下办法处理：</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⑴重做：由乙方承担所发生的全部费用。</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⑵贬值处理：由甲乙双方合议定价。</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⑶解除合同。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.3 如使用过程中发生问题，乙方在接到甲方通知后在</w:t>
      </w:r>
      <w:r>
        <w:rPr>
          <w:rFonts w:hint="eastAsia" w:ascii="仿宋" w:hAnsi="仿宋" w:eastAsia="仿宋" w:cs="仿宋"/>
          <w:b w:val="0"/>
          <w:i w:val="0"/>
          <w:color w:val="auto"/>
          <w:sz w:val="24"/>
          <w:szCs w:val="24"/>
          <w:highlight w:val="none"/>
          <w:lang w:val="en-US" w:eastAsia="zh-CN"/>
        </w:rPr>
        <w:t xml:space="preserve"> </w:t>
      </w:r>
      <w:r>
        <w:rPr>
          <w:rFonts w:hint="eastAsia" w:ascii="仿宋" w:hAnsi="仿宋" w:eastAsia="仿宋" w:cs="仿宋"/>
          <w:b w:val="0"/>
          <w:i w:val="0"/>
          <w:color w:val="auto"/>
          <w:sz w:val="24"/>
          <w:szCs w:val="24"/>
          <w:highlight w:val="none"/>
        </w:rPr>
        <w:t>小时内到达甲方现场。</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1</w:t>
      </w:r>
      <w:r>
        <w:rPr>
          <w:rFonts w:hint="eastAsia" w:ascii="仿宋" w:hAnsi="仿宋" w:eastAsia="仿宋" w:cs="仿宋"/>
          <w:b w:val="0"/>
          <w:i w:val="0"/>
          <w:color w:val="auto"/>
          <w:sz w:val="24"/>
          <w:szCs w:val="24"/>
          <w:highlight w:val="none"/>
        </w:rPr>
        <w:t>.4 在服务质量保证期内，乙方应对出现的质量及安全问题负责处理解决并承</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担一切费用。</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十</w:t>
      </w:r>
      <w:r>
        <w:rPr>
          <w:rFonts w:hint="eastAsia" w:ascii="仿宋" w:hAnsi="仿宋" w:eastAsia="仿宋" w:cs="仿宋"/>
          <w:b w:val="0"/>
          <w:i w:val="0"/>
          <w:color w:val="auto"/>
          <w:sz w:val="24"/>
          <w:szCs w:val="24"/>
          <w:highlight w:val="none"/>
          <w:lang w:eastAsia="zh-CN"/>
        </w:rPr>
        <w:t>二</w:t>
      </w:r>
      <w:r>
        <w:rPr>
          <w:rFonts w:hint="eastAsia" w:ascii="仿宋" w:hAnsi="仿宋" w:eastAsia="仿宋" w:cs="仿宋"/>
          <w:b w:val="0"/>
          <w:i w:val="0"/>
          <w:color w:val="auto"/>
          <w:sz w:val="24"/>
          <w:szCs w:val="24"/>
          <w:highlight w:val="none"/>
        </w:rPr>
        <w:t>、违约责任</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2</w:t>
      </w:r>
      <w:r>
        <w:rPr>
          <w:rFonts w:hint="eastAsia" w:ascii="仿宋" w:hAnsi="仿宋" w:eastAsia="仿宋" w:cs="仿宋"/>
          <w:b w:val="0"/>
          <w:i w:val="0"/>
          <w:color w:val="auto"/>
          <w:sz w:val="24"/>
          <w:szCs w:val="24"/>
          <w:highlight w:val="none"/>
        </w:rPr>
        <w:t>.1 甲方无正当理由拒绝接受服务的，甲方向乙方偿付合同款项百分之五的违</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约金。</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sz w:val="24"/>
          <w:szCs w:val="24"/>
          <w:highlight w:val="none"/>
          <w:lang w:eastAsia="zh-CN"/>
        </w:rPr>
      </w:pPr>
      <w:r>
        <w:rPr>
          <w:rFonts w:hint="eastAsia" w:ascii="仿宋" w:hAnsi="仿宋" w:eastAsia="仿宋" w:cs="仿宋"/>
          <w:b w:val="0"/>
          <w:i w:val="0"/>
          <w:color w:val="auto"/>
          <w:sz w:val="24"/>
          <w:szCs w:val="24"/>
          <w:highlight w:val="none"/>
        </w:rPr>
        <w:t>1</w:t>
      </w:r>
      <w:r>
        <w:rPr>
          <w:rFonts w:hint="eastAsia" w:ascii="仿宋" w:hAnsi="仿宋" w:eastAsia="仿宋" w:cs="仿宋"/>
          <w:b w:val="0"/>
          <w:i w:val="0"/>
          <w:color w:val="auto"/>
          <w:sz w:val="24"/>
          <w:szCs w:val="24"/>
          <w:highlight w:val="none"/>
          <w:lang w:val="en-US" w:eastAsia="zh-CN"/>
        </w:rPr>
        <w:t>2</w:t>
      </w:r>
      <w:r>
        <w:rPr>
          <w:rFonts w:hint="eastAsia" w:ascii="仿宋" w:hAnsi="仿宋" w:eastAsia="仿宋" w:cs="仿宋"/>
          <w:b w:val="0"/>
          <w:i w:val="0"/>
          <w:color w:val="auto"/>
          <w:sz w:val="24"/>
          <w:szCs w:val="24"/>
          <w:highlight w:val="none"/>
        </w:rPr>
        <w:t>.3 乙方逾期提供服务的，每日向甲方支付千分之六违约金。逾期超过约定日</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sz w:val="24"/>
          <w:szCs w:val="24"/>
          <w:highlight w:val="none"/>
        </w:rPr>
        <w:t xml:space="preserve">期 10 个工作日不能交货的，甲方可解除本合同。乙方因逾期交货或因其他违约行为导致甲方解除合同的，乙方应向甲方支付合同总值 </w:t>
      </w:r>
      <w:r>
        <w:rPr>
          <w:rFonts w:hint="eastAsia" w:ascii="仿宋" w:hAnsi="仿宋" w:eastAsia="仿宋" w:cs="仿宋"/>
          <w:b w:val="0"/>
          <w:i w:val="0"/>
          <w:color w:val="auto"/>
          <w:sz w:val="24"/>
          <w:szCs w:val="24"/>
          <w:highlight w:val="none"/>
          <w:lang w:eastAsia="zh-CN"/>
        </w:rPr>
        <w:t>1%</w:t>
      </w:r>
      <w:r>
        <w:rPr>
          <w:rFonts w:hint="eastAsia" w:ascii="仿宋" w:hAnsi="仿宋" w:eastAsia="仿宋" w:cs="仿宋"/>
          <w:b w:val="0"/>
          <w:i w:val="0"/>
          <w:color w:val="auto"/>
          <w:sz w:val="24"/>
          <w:szCs w:val="24"/>
          <w:highlight w:val="none"/>
        </w:rPr>
        <w:t>的违约金，如</w:t>
      </w:r>
      <w:r>
        <w:rPr>
          <w:rFonts w:hint="eastAsia" w:ascii="仿宋" w:hAnsi="仿宋" w:eastAsia="仿宋" w:cs="仿宋"/>
          <w:b w:val="0"/>
          <w:i w:val="0"/>
          <w:color w:val="auto"/>
          <w:kern w:val="0"/>
          <w:sz w:val="24"/>
          <w:szCs w:val="24"/>
          <w:highlight w:val="none"/>
          <w:lang w:val="en-US" w:eastAsia="zh-CN" w:bidi="ar-SA"/>
        </w:rPr>
        <w:t>造成甲方损失超过违约金的，超出部分由乙方继续承担赔偿责任。</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十三、不可抗力事件处理</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13.1 在合同有效期内，任何一方因不可抗力事件导致不能履行合同，则合同履</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行期可延长，其延长期与不可抗力影响期相同。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13.2 不可抗力事件发生后，应立即通知对方，并寄送有关权威机构出具的证明。</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13.3 不可抗力事件延续 120 天以上，双方应通过友好协商，确定是否继续履行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合同。</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十四、诉讼</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14.1 双方在执行合同中所发生的一切争议，应通过协商解决。如协商不成，可</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向杭州市临平区人民法院起诉，根据本合同规定提起的诉讼，败诉的一方应承担胜诉方因此而发生的合理的开支，包括律师费、调查费、鉴定费、公证费、差旅费及其他相关费用。</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十五、合同生效及其它</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15.1 合同经双方法定代表人或授权委托代理人签字并加盖单位公章后生效。</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15.2 合同执行中涉及采购资金和采购内容修改或补充的，须经财政部门审批，</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并签书面补充协议报政府采购监督管理部门备案，方可作为主合同不可分割的一</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部分。</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val="0"/>
          <w:i w:val="0"/>
          <w:color w:val="auto"/>
          <w:kern w:val="0"/>
          <w:sz w:val="24"/>
          <w:szCs w:val="24"/>
          <w:highlight w:val="none"/>
          <w:lang w:val="en-US" w:eastAsia="zh-CN" w:bidi="ar-SA"/>
        </w:rPr>
        <w:t>15.3 本合同未尽事宜，遵照《民法典》有关条文执行。双方也可另行签订补充协议，具有同等效力。</w:t>
      </w:r>
    </w:p>
    <w:p>
      <w:pPr>
        <w:widowControl/>
        <w:wordWrap/>
        <w:adjustRightInd/>
        <w:snapToGrid/>
        <w:spacing w:line="400" w:lineRule="atLeast"/>
        <w:ind w:left="0" w:leftChars="0" w:right="0" w:firstLine="0" w:firstLineChars="0"/>
        <w:jc w:val="both"/>
        <w:textAlignment w:val="auto"/>
        <w:outlineLvl w:val="9"/>
        <w:rPr>
          <w:rFonts w:hint="eastAsia" w:ascii="仿宋" w:hAnsi="仿宋" w:eastAsia="仿宋" w:cs="仿宋"/>
          <w:color w:val="auto"/>
          <w:highlight w:val="none"/>
        </w:rPr>
      </w:pPr>
      <w:r>
        <w:rPr>
          <w:rFonts w:hint="eastAsia" w:ascii="仿宋" w:hAnsi="仿宋" w:eastAsia="仿宋" w:cs="仿宋"/>
          <w:b w:val="0"/>
          <w:i w:val="0"/>
          <w:color w:val="auto"/>
          <w:kern w:val="0"/>
          <w:sz w:val="24"/>
          <w:szCs w:val="24"/>
          <w:highlight w:val="none"/>
          <w:lang w:val="en-US" w:eastAsia="zh-CN" w:bidi="ar-SA"/>
        </w:rPr>
        <w:t xml:space="preserve">15.4 </w:t>
      </w:r>
      <w:r>
        <w:rPr>
          <w:rFonts w:hint="eastAsia" w:ascii="仿宋" w:hAnsi="仿宋" w:eastAsia="仿宋" w:cs="仿宋"/>
          <w:color w:val="auto"/>
          <w:sz w:val="24"/>
          <w:szCs w:val="24"/>
          <w:highlight w:val="none"/>
        </w:rPr>
        <w:t>本合同一式多份，具有同等法律效力，甲乙双方、鉴证方、</w:t>
      </w:r>
      <w:r>
        <w:rPr>
          <w:rFonts w:hint="eastAsia" w:ascii="仿宋" w:hAnsi="仿宋" w:eastAsia="仿宋" w:cs="仿宋"/>
          <w:color w:val="auto"/>
          <w:sz w:val="24"/>
          <w:szCs w:val="24"/>
          <w:highlight w:val="none"/>
          <w:lang w:val="en-US" w:eastAsia="zh-CN"/>
        </w:rPr>
        <w:t>临平</w:t>
      </w:r>
      <w:r>
        <w:rPr>
          <w:rFonts w:hint="eastAsia" w:ascii="仿宋" w:hAnsi="仿宋" w:eastAsia="仿宋" w:cs="仿宋"/>
          <w:color w:val="auto"/>
          <w:sz w:val="24"/>
          <w:szCs w:val="24"/>
          <w:highlight w:val="none"/>
        </w:rPr>
        <w:t>区财政局采购监管科、验收单位，各执一份</w:t>
      </w:r>
      <w:r>
        <w:rPr>
          <w:rFonts w:hint="eastAsia" w:ascii="仿宋" w:hAnsi="仿宋" w:eastAsia="仿宋" w:cs="仿宋"/>
          <w:b w:val="0"/>
          <w:i w:val="0"/>
          <w:color w:val="auto"/>
          <w:kern w:val="0"/>
          <w:sz w:val="24"/>
          <w:szCs w:val="24"/>
          <w:highlight w:val="none"/>
          <w:lang w:val="en-US" w:eastAsia="zh-CN" w:bidi="ar-SA"/>
        </w:rPr>
        <w:t>。</w:t>
      </w:r>
    </w:p>
    <w:p>
      <w:pPr>
        <w:spacing w:line="360" w:lineRule="auto"/>
        <w:ind w:firstLine="360" w:firstLineChars="150"/>
        <w:jc w:val="left"/>
        <w:rPr>
          <w:rFonts w:hint="eastAsia" w:ascii="仿宋" w:hAnsi="仿宋" w:eastAsia="仿宋" w:cs="仿宋"/>
          <w:color w:val="auto"/>
          <w:sz w:val="24"/>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鉴证方（盖章）：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法定代表人或授权代表（签字）：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w:t>
      </w:r>
    </w:p>
    <w:p>
      <w:pPr>
        <w:spacing w:line="360" w:lineRule="auto"/>
        <w:ind w:right="1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签约时间：      年    月   日</w:t>
      </w:r>
    </w:p>
    <w:p>
      <w:pPr>
        <w:pStyle w:val="63"/>
        <w:ind w:firstLine="5280" w:firstLineChars="2200"/>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pacing w:line="360" w:lineRule="auto"/>
        <w:ind w:firstLine="630" w:firstLineChars="300"/>
        <w:rPr>
          <w:rFonts w:hint="eastAsia" w:ascii="仿宋" w:hAnsi="仿宋" w:eastAsia="仿宋" w:cs="仿宋"/>
          <w:b/>
          <w:color w:val="auto"/>
          <w:highlight w:val="none"/>
        </w:rPr>
      </w:pPr>
      <w:r>
        <w:rPr>
          <w:rFonts w:hint="eastAsia" w:ascii="仿宋" w:hAnsi="仿宋" w:eastAsia="仿宋" w:cs="仿宋"/>
          <w:color w:val="auto"/>
          <w:highlight w:val="none"/>
        </w:rPr>
        <w:tab/>
      </w:r>
      <w:r>
        <w:rPr>
          <w:rFonts w:hint="eastAsia" w:ascii="仿宋" w:hAnsi="仿宋" w:eastAsia="仿宋" w:cs="仿宋"/>
          <w:b/>
          <w:bCs/>
          <w:color w:val="auto"/>
          <w:sz w:val="24"/>
          <w:highlight w:val="none"/>
        </w:rPr>
        <w:t>★ 此仅为合同书样本，中标单位需根据实际情况和采购人签订相应的合同！</w:t>
      </w: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9"/>
        <w:rPr>
          <w:rFonts w:ascii="仿宋" w:hAnsi="仿宋" w:eastAsia="仿宋"/>
          <w:color w:val="auto"/>
          <w:sz w:val="24"/>
          <w:highlight w:val="none"/>
        </w:rPr>
      </w:pPr>
    </w:p>
    <w:p>
      <w:pPr>
        <w:spacing w:line="360" w:lineRule="auto"/>
        <w:ind w:left="-420" w:leftChars="-200" w:right="-420" w:rightChars="-200" w:firstLine="480" w:firstLineChars="200"/>
        <w:jc w:val="center"/>
        <w:outlineLvl w:val="9"/>
        <w:rPr>
          <w:rFonts w:ascii="仿宋" w:hAnsi="仿宋" w:eastAsia="仿宋"/>
          <w:color w:val="auto"/>
          <w:sz w:val="24"/>
          <w:highlight w:val="none"/>
        </w:rPr>
      </w:pPr>
    </w:p>
    <w:p>
      <w:pPr>
        <w:spacing w:line="360" w:lineRule="auto"/>
        <w:ind w:left="720" w:firstLine="1084" w:firstLineChars="300"/>
        <w:outlineLvl w:val="9"/>
        <w:rPr>
          <w:rFonts w:hint="eastAsia" w:ascii="仿宋" w:hAnsi="仿宋" w:eastAsia="仿宋" w:cs="仿宋_GB2312"/>
          <w:b/>
          <w:color w:val="auto"/>
          <w:sz w:val="36"/>
          <w:szCs w:val="20"/>
          <w:highlight w:val="none"/>
        </w:rPr>
      </w:pPr>
    </w:p>
    <w:p>
      <w:pPr>
        <w:spacing w:line="360" w:lineRule="auto"/>
        <w:ind w:left="720" w:firstLine="1084" w:firstLineChars="300"/>
        <w:outlineLvl w:val="9"/>
        <w:rPr>
          <w:rFonts w:hint="eastAsia" w:ascii="仿宋" w:hAnsi="仿宋" w:eastAsia="仿宋" w:cs="仿宋_GB2312"/>
          <w:b/>
          <w:color w:val="auto"/>
          <w:sz w:val="36"/>
          <w:szCs w:val="20"/>
          <w:highlight w:val="none"/>
        </w:rPr>
      </w:pPr>
    </w:p>
    <w:p>
      <w:pPr>
        <w:spacing w:line="360" w:lineRule="auto"/>
        <w:ind w:left="720" w:firstLine="1084" w:firstLineChars="300"/>
        <w:outlineLvl w:val="9"/>
        <w:rPr>
          <w:rFonts w:hint="eastAsia" w:ascii="仿宋" w:hAnsi="仿宋" w:eastAsia="仿宋" w:cs="仿宋_GB2312"/>
          <w:b/>
          <w:color w:val="auto"/>
          <w:sz w:val="36"/>
          <w:szCs w:val="20"/>
          <w:highlight w:val="none"/>
        </w:rPr>
      </w:pPr>
    </w:p>
    <w:p>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spacing w:line="360" w:lineRule="auto"/>
        <w:ind w:left="720" w:firstLine="1084" w:firstLineChars="3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r>
        <w:rPr>
          <w:rFonts w:ascii="仿宋" w:hAnsi="仿宋" w:eastAsia="仿宋" w:cs="仿宋_GB2312"/>
          <w:b/>
          <w:color w:val="auto"/>
          <w:sz w:val="36"/>
          <w:szCs w:val="20"/>
          <w:highlight w:val="none"/>
        </w:rPr>
        <w:t xml:space="preserve"> </w:t>
      </w:r>
      <w:bookmarkEnd w:id="393"/>
      <w:r>
        <w:rPr>
          <w:rFonts w:hint="eastAsia" w:ascii="仿宋" w:hAnsi="仿宋" w:eastAsia="仿宋" w:cs="仿宋_GB2312"/>
          <w:b/>
          <w:color w:val="auto"/>
          <w:sz w:val="36"/>
          <w:szCs w:val="20"/>
          <w:highlight w:val="none"/>
        </w:rPr>
        <w:t>应提交的有关格式范例</w:t>
      </w:r>
    </w:p>
    <w:p>
      <w:pPr>
        <w:spacing w:line="360" w:lineRule="auto"/>
        <w:jc w:val="center"/>
        <w:outlineLvl w:val="9"/>
        <w:rPr>
          <w:rFonts w:ascii="仿宋_GB2312" w:hAnsi="仿宋" w:eastAsia="仿宋_GB2312" w:cs="仿宋_GB2312"/>
          <w:b/>
          <w:color w:val="auto"/>
          <w:kern w:val="0"/>
          <w:sz w:val="36"/>
          <w:szCs w:val="36"/>
          <w:highlight w:val="none"/>
        </w:rPr>
      </w:pPr>
    </w:p>
    <w:p>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9"/>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9"/>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outlineLvl w:val="2"/>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浙江新诚信工程咨询有限公司</w:t>
      </w:r>
      <w:r>
        <w:rPr>
          <w:rFonts w:hint="eastAsia" w:ascii="仿宋" w:hAnsi="仿宋" w:eastAsia="仿宋" w:cs="仿宋"/>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u w:val="single"/>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tabs>
          <w:tab w:val="left" w:pos="432"/>
        </w:tabs>
        <w:ind w:left="664" w:leftChars="316" w:firstLine="228" w:firstLineChars="95"/>
        <w:outlineLvl w:val="9"/>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widowControl/>
        <w:spacing w:line="360" w:lineRule="auto"/>
        <w:ind w:left="150"/>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9"/>
        <w:rPr>
          <w:rFonts w:ascii="仿宋_GB2312" w:hAnsi="仿宋" w:eastAsia="仿宋_GB2312" w:cs="仿宋_GB2312"/>
          <w:b/>
          <w:color w:val="auto"/>
          <w:kern w:val="0"/>
          <w:sz w:val="36"/>
          <w:szCs w:val="36"/>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pacing w:line="360" w:lineRule="auto"/>
        <w:jc w:val="center"/>
        <w:outlineLvl w:val="9"/>
        <w:rPr>
          <w:rFonts w:ascii="仿宋_GB2312" w:hAnsi="仿宋" w:eastAsia="仿宋_GB2312" w:cs="仿宋_GB2312"/>
          <w:b/>
          <w:color w:val="auto"/>
          <w:kern w:val="0"/>
          <w:sz w:val="36"/>
          <w:szCs w:val="36"/>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pacing w:line="360" w:lineRule="auto"/>
        <w:jc w:val="center"/>
        <w:outlineLvl w:val="9"/>
        <w:rPr>
          <w:rFonts w:ascii="仿宋_GB2312" w:hAnsi="仿宋" w:eastAsia="仿宋_GB2312" w:cs="仿宋_GB2312"/>
          <w:b/>
          <w:color w:val="auto"/>
          <w:kern w:val="0"/>
          <w:sz w:val="36"/>
          <w:szCs w:val="36"/>
          <w:highlight w:val="none"/>
        </w:rPr>
      </w:pPr>
    </w:p>
    <w:p>
      <w:pP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ind w:right="420" w:firstLine="3614" w:firstLineChars="1000"/>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9"/>
        <w:rPr>
          <w:rFonts w:ascii="仿宋_GB2312" w:hAnsi="仿宋" w:eastAsia="仿宋_GB2312" w:cs="仿宋_GB2312"/>
          <w:b/>
          <w:color w:val="auto"/>
          <w:kern w:val="0"/>
          <w:sz w:val="24"/>
          <w:highlight w:val="none"/>
        </w:rPr>
      </w:pPr>
    </w:p>
    <w:p>
      <w:pPr>
        <w:spacing w:line="360" w:lineRule="auto"/>
        <w:jc w:val="center"/>
        <w:outlineLvl w:val="9"/>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outlineLvl w:val="9"/>
        <w:rPr>
          <w:rFonts w:ascii="仿宋_GB2312" w:hAnsi="仿宋" w:eastAsia="仿宋_GB2312" w:cs="仿宋_GB2312"/>
          <w:b/>
          <w:color w:val="auto"/>
          <w:kern w:val="0"/>
          <w:sz w:val="32"/>
          <w:szCs w:val="32"/>
          <w:highlight w:val="none"/>
          <w:lang w:val="zh-CN"/>
        </w:rPr>
      </w:pPr>
    </w:p>
    <w:p>
      <w:pPr>
        <w:snapToGrid w:val="0"/>
        <w:spacing w:line="360" w:lineRule="auto"/>
        <w:jc w:val="center"/>
        <w:outlineLvl w:val="9"/>
        <w:rPr>
          <w:rFonts w:ascii="仿宋_GB2312" w:hAnsi="仿宋" w:eastAsia="仿宋_GB2312" w:cs="仿宋_GB2312"/>
          <w:b/>
          <w:color w:val="auto"/>
          <w:kern w:val="0"/>
          <w:sz w:val="32"/>
          <w:szCs w:val="32"/>
          <w:highlight w:val="none"/>
          <w:lang w:val="zh-CN"/>
        </w:rPr>
      </w:pPr>
    </w:p>
    <w:p>
      <w:pPr>
        <w:snapToGrid w:val="0"/>
        <w:spacing w:line="360" w:lineRule="auto"/>
        <w:jc w:val="center"/>
        <w:outlineLvl w:val="9"/>
        <w:rPr>
          <w:rFonts w:ascii="仿宋_GB2312" w:hAnsi="仿宋" w:eastAsia="仿宋_GB2312" w:cs="仿宋_GB2312"/>
          <w:b/>
          <w:color w:val="auto"/>
          <w:kern w:val="0"/>
          <w:sz w:val="32"/>
          <w:szCs w:val="32"/>
          <w:highlight w:val="none"/>
          <w:lang w:val="zh-CN"/>
        </w:rPr>
      </w:pPr>
    </w:p>
    <w:p>
      <w:pPr>
        <w:snapToGrid w:val="0"/>
        <w:spacing w:line="360" w:lineRule="auto"/>
        <w:jc w:val="center"/>
        <w:outlineLvl w:val="9"/>
        <w:rPr>
          <w:rFonts w:ascii="仿宋_GB2312" w:hAnsi="仿宋" w:eastAsia="仿宋_GB2312" w:cs="仿宋_GB2312"/>
          <w:b/>
          <w:color w:val="auto"/>
          <w:kern w:val="0"/>
          <w:sz w:val="32"/>
          <w:szCs w:val="32"/>
          <w:highlight w:val="none"/>
          <w:lang w:val="zh-CN"/>
        </w:rPr>
      </w:pPr>
    </w:p>
    <w:p>
      <w:pPr>
        <w:snapToGrid w:val="0"/>
        <w:spacing w:line="360" w:lineRule="auto"/>
        <w:jc w:val="center"/>
        <w:outlineLvl w:val="9"/>
        <w:rPr>
          <w:rFonts w:ascii="仿宋_GB2312" w:hAnsi="仿宋" w:eastAsia="仿宋_GB2312" w:cs="仿宋_GB2312"/>
          <w:b/>
          <w:color w:val="auto"/>
          <w:kern w:val="0"/>
          <w:sz w:val="32"/>
          <w:szCs w:val="32"/>
          <w:highlight w:val="none"/>
          <w:lang w:val="zh-CN"/>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outlineLvl w:val="9"/>
        <w:rPr>
          <w:color w:val="auto"/>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9"/>
        <w:rPr>
          <w:rFonts w:ascii="仿宋_GB2312" w:hAnsi="仿宋" w:eastAsia="仿宋_GB2312" w:cs="仿宋_GB2312"/>
          <w:b/>
          <w:color w:val="auto"/>
          <w:kern w:val="0"/>
          <w:sz w:val="32"/>
          <w:szCs w:val="32"/>
          <w:highlight w:val="none"/>
        </w:rPr>
      </w:pPr>
    </w:p>
    <w:p>
      <w:pPr>
        <w:snapToGrid w:val="0"/>
        <w:spacing w:line="360" w:lineRule="auto"/>
        <w:jc w:val="center"/>
        <w:outlineLvl w:val="2"/>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浙江新诚信工程咨询有限公司</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u w:val="single"/>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outlineLvl w:val="2"/>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浙江新诚信工程咨询有限公司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浙江新诚信工程咨询有限公司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outlineLvl w:val="2"/>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92"/>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2"/>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92"/>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outlineLvl w:val="2"/>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tabs>
          <w:tab w:val="left" w:pos="432"/>
        </w:tabs>
        <w:ind w:left="664" w:leftChars="316" w:firstLine="228" w:firstLineChars="95"/>
        <w:outlineLvl w:val="9"/>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outlineLvl w:val="2"/>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3"/>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outlineLvl w:val="2"/>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outlineLvl w:val="3"/>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outlineLvl w:val="3"/>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浙江新诚信工程咨询有限公司</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9"/>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9"/>
        <w:rPr>
          <w:rFonts w:ascii="仿宋_GB2312" w:hAnsi="仿宋" w:eastAsia="仿宋_GB2312" w:cs="仿宋_GB2312"/>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pPr>
        <w:tabs>
          <w:tab w:val="left" w:pos="432"/>
        </w:tabs>
        <w:outlineLvl w:val="9"/>
        <w:rPr>
          <w:color w:val="auto"/>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snapToGrid w:val="0"/>
        <w:spacing w:line="360" w:lineRule="auto"/>
        <w:ind w:right="480"/>
        <w:jc w:val="center"/>
        <w:outlineLvl w:val="9"/>
        <w:rPr>
          <w:rFonts w:ascii="仿宋_GB2312" w:hAnsi="仿宋" w:eastAsia="仿宋_GB2312" w:cs="仿宋_GB2312"/>
          <w:b/>
          <w:color w:val="auto"/>
          <w:kern w:val="0"/>
          <w:sz w:val="32"/>
          <w:szCs w:val="32"/>
          <w:highlight w:val="none"/>
        </w:rPr>
      </w:pPr>
    </w:p>
    <w:p>
      <w:pPr>
        <w:pStyle w:val="38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80"/>
        <w:tabs>
          <w:tab w:val="clear" w:pos="720"/>
        </w:tabs>
        <w:snapToGrid w:val="0"/>
        <w:spacing w:before="120" w:after="120"/>
        <w:ind w:firstLine="643"/>
        <w:outlineLvl w:val="2"/>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w:t>
      </w:r>
    </w:p>
    <w:p>
      <w:pPr>
        <w:snapToGrid w:val="0"/>
        <w:spacing w:line="360" w:lineRule="auto"/>
        <w:rPr>
          <w:rFonts w:ascii="仿宋_GB2312" w:hAnsi="仿宋" w:eastAsia="仿宋_GB2312" w:cs="仿宋_GB2312"/>
          <w:color w:val="auto"/>
          <w:kern w:val="0"/>
          <w:sz w:val="24"/>
          <w:highlight w:val="none"/>
        </w:rPr>
      </w:pPr>
      <w:r>
        <w:rPr>
          <w:rFonts w:hint="eastAsia" w:ascii="仿宋" w:hAnsi="仿宋" w:eastAsia="仿宋" w:cs="仿宋"/>
          <w:bCs/>
          <w:color w:val="auto"/>
          <w:sz w:val="24"/>
          <w:highlight w:val="none"/>
          <w:lang w:val="en-US" w:eastAsia="zh-CN"/>
        </w:rPr>
        <w:t>杭州市临平区人民政府乔司街道办事处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浙江新诚信工程咨询有限公司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4"/>
        <w:tblW w:w="14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7"/>
        <w:gridCol w:w="2108"/>
        <w:gridCol w:w="2693"/>
        <w:gridCol w:w="2068"/>
        <w:gridCol w:w="1385"/>
        <w:gridCol w:w="2196"/>
        <w:gridCol w:w="2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4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服务期</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投标报价（元/年）</w:t>
            </w:r>
          </w:p>
        </w:tc>
        <w:tc>
          <w:tcPr>
            <w:tcW w:w="2196" w:type="dxa"/>
            <w:tcBorders>
              <w:top w:val="single" w:color="000000" w:sz="4" w:space="0"/>
              <w:left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eastAsia="zh-CN"/>
              </w:rPr>
              <w:t>投标</w:t>
            </w:r>
            <w:r>
              <w:rPr>
                <w:rFonts w:hint="eastAsia" w:ascii="仿宋" w:hAnsi="仿宋" w:eastAsia="仿宋" w:cs="仿宋"/>
                <w:color w:val="auto"/>
                <w:kern w:val="2"/>
                <w:sz w:val="21"/>
                <w:szCs w:val="21"/>
                <w:highlight w:val="none"/>
                <w:lang w:val="en-US" w:eastAsia="zh-CN"/>
              </w:rPr>
              <w:t>总</w:t>
            </w:r>
            <w:r>
              <w:rPr>
                <w:rFonts w:hint="eastAsia" w:ascii="仿宋" w:hAnsi="仿宋" w:eastAsia="仿宋" w:cs="仿宋"/>
                <w:color w:val="auto"/>
                <w:kern w:val="2"/>
                <w:sz w:val="21"/>
                <w:szCs w:val="21"/>
                <w:highlight w:val="none"/>
                <w:lang w:eastAsia="zh-CN"/>
              </w:rPr>
              <w:t>报价（</w:t>
            </w:r>
            <w:r>
              <w:rPr>
                <w:rFonts w:hint="eastAsia" w:ascii="仿宋" w:hAnsi="仿宋" w:eastAsia="仿宋" w:cs="仿宋"/>
                <w:color w:val="auto"/>
                <w:kern w:val="2"/>
                <w:sz w:val="21"/>
                <w:szCs w:val="21"/>
                <w:highlight w:val="none"/>
                <w:lang w:val="en-US" w:eastAsia="zh-CN"/>
              </w:rPr>
              <w:t>元）</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道路保洁费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日常保洁人员工资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2年</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auto"/>
                <w:kern w:val="2"/>
                <w:sz w:val="21"/>
                <w:szCs w:val="21"/>
                <w:highlight w:val="none"/>
                <w:lang w:val="zh-CN"/>
              </w:rPr>
              <w:t>人员不得少于</w:t>
            </w:r>
            <w:r>
              <w:rPr>
                <w:rFonts w:hint="eastAsia" w:ascii="仿宋" w:hAnsi="仿宋" w:eastAsia="仿宋" w:cs="仿宋"/>
                <w:b/>
                <w:bCs/>
                <w:color w:val="auto"/>
                <w:kern w:val="2"/>
                <w:sz w:val="21"/>
                <w:szCs w:val="21"/>
                <w:highlight w:val="none"/>
                <w:lang w:val="en-US" w:eastAsia="zh-CN"/>
              </w:rPr>
              <w:t>130</w:t>
            </w:r>
            <w:r>
              <w:rPr>
                <w:rFonts w:hint="eastAsia" w:ascii="仿宋" w:hAnsi="仿宋" w:eastAsia="仿宋" w:cs="仿宋"/>
                <w:b/>
                <w:bCs/>
                <w:color w:val="auto"/>
                <w:kern w:val="2"/>
                <w:sz w:val="21"/>
                <w:szCs w:val="21"/>
                <w:highlight w:val="none"/>
                <w:lang w:val="zh-CN"/>
              </w:rPr>
              <w:t xml:space="preserve">人，人员工资不得低于杭州市最低工资标，服务期 </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绿化养护</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日常保洁人员工资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2年</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auto"/>
                <w:kern w:val="2"/>
                <w:sz w:val="21"/>
                <w:szCs w:val="21"/>
                <w:highlight w:val="none"/>
                <w:lang w:val="zh-CN"/>
              </w:rPr>
              <w:t>人员不得少于</w:t>
            </w:r>
            <w:r>
              <w:rPr>
                <w:rFonts w:hint="eastAsia" w:ascii="仿宋" w:hAnsi="仿宋" w:eastAsia="仿宋" w:cs="仿宋"/>
                <w:b/>
                <w:bCs/>
                <w:color w:val="auto"/>
                <w:kern w:val="2"/>
                <w:sz w:val="21"/>
                <w:szCs w:val="21"/>
                <w:highlight w:val="none"/>
                <w:lang w:val="en-US" w:eastAsia="zh-CN"/>
              </w:rPr>
              <w:t>8</w:t>
            </w:r>
            <w:r>
              <w:rPr>
                <w:rFonts w:hint="eastAsia" w:ascii="仿宋" w:hAnsi="仿宋" w:eastAsia="仿宋" w:cs="仿宋"/>
                <w:b/>
                <w:bCs/>
                <w:color w:val="auto"/>
                <w:kern w:val="2"/>
                <w:sz w:val="21"/>
                <w:szCs w:val="21"/>
                <w:highlight w:val="none"/>
                <w:lang w:val="zh-CN"/>
              </w:rPr>
              <w:t xml:space="preserve">人，人员工资不得低于杭州市最低工资标，服务期 </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公厕保洁</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日常保洁人员工资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2年</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auto"/>
                <w:kern w:val="2"/>
                <w:sz w:val="21"/>
                <w:szCs w:val="21"/>
                <w:highlight w:val="none"/>
                <w:lang w:val="zh-CN"/>
              </w:rPr>
              <w:t>人员不得少于</w:t>
            </w:r>
            <w:r>
              <w:rPr>
                <w:rFonts w:hint="eastAsia" w:ascii="仿宋" w:hAnsi="仿宋" w:eastAsia="仿宋" w:cs="仿宋"/>
                <w:b/>
                <w:bCs/>
                <w:color w:val="auto"/>
                <w:kern w:val="2"/>
                <w:sz w:val="21"/>
                <w:szCs w:val="21"/>
                <w:highlight w:val="none"/>
                <w:lang w:val="en-US" w:eastAsia="zh-CN"/>
              </w:rPr>
              <w:t>15</w:t>
            </w:r>
            <w:r>
              <w:rPr>
                <w:rFonts w:hint="eastAsia" w:ascii="仿宋" w:hAnsi="仿宋" w:eastAsia="仿宋" w:cs="仿宋"/>
                <w:b/>
                <w:bCs/>
                <w:color w:val="auto"/>
                <w:kern w:val="2"/>
                <w:sz w:val="21"/>
                <w:szCs w:val="21"/>
                <w:highlight w:val="none"/>
                <w:lang w:val="zh-CN"/>
              </w:rPr>
              <w:t xml:space="preserve">人，人员工资不得低于杭州市最低工资标，服务期 </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商户垃圾运输（音乐线，含生鲜专运）</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日常保洁人员工资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2年</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auto"/>
                <w:kern w:val="2"/>
                <w:sz w:val="21"/>
                <w:szCs w:val="21"/>
                <w:highlight w:val="none"/>
                <w:lang w:val="zh-CN"/>
              </w:rPr>
              <w:t>人员不得少于</w:t>
            </w:r>
            <w:r>
              <w:rPr>
                <w:rFonts w:hint="eastAsia" w:ascii="仿宋" w:hAnsi="仿宋" w:eastAsia="仿宋" w:cs="仿宋"/>
                <w:b/>
                <w:bCs/>
                <w:color w:val="auto"/>
                <w:kern w:val="2"/>
                <w:sz w:val="21"/>
                <w:szCs w:val="21"/>
                <w:highlight w:val="none"/>
                <w:lang w:val="en-US" w:eastAsia="zh-CN"/>
              </w:rPr>
              <w:t>4</w:t>
            </w:r>
            <w:r>
              <w:rPr>
                <w:rFonts w:hint="eastAsia" w:ascii="仿宋" w:hAnsi="仿宋" w:eastAsia="仿宋" w:cs="仿宋"/>
                <w:b/>
                <w:bCs/>
                <w:color w:val="auto"/>
                <w:kern w:val="2"/>
                <w:sz w:val="21"/>
                <w:szCs w:val="21"/>
                <w:highlight w:val="none"/>
                <w:lang w:val="zh-CN"/>
              </w:rPr>
              <w:t xml:space="preserve">人，人员工资不得低于杭州市最低工资标，服务期 </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牛皮癣清理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日常保洁人员工资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2年</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auto"/>
                <w:kern w:val="2"/>
                <w:sz w:val="21"/>
                <w:szCs w:val="21"/>
                <w:highlight w:val="none"/>
                <w:lang w:val="zh-CN"/>
              </w:rPr>
              <w:t>人员不得少于</w:t>
            </w:r>
            <w:r>
              <w:rPr>
                <w:rFonts w:hint="eastAsia" w:ascii="仿宋" w:hAnsi="仿宋" w:eastAsia="仿宋" w:cs="仿宋"/>
                <w:b/>
                <w:bCs/>
                <w:color w:val="auto"/>
                <w:kern w:val="2"/>
                <w:sz w:val="21"/>
                <w:szCs w:val="21"/>
                <w:highlight w:val="none"/>
                <w:lang w:val="en-US" w:eastAsia="zh-CN"/>
              </w:rPr>
              <w:t>7</w:t>
            </w:r>
            <w:r>
              <w:rPr>
                <w:rFonts w:hint="eastAsia" w:ascii="仿宋" w:hAnsi="仿宋" w:eastAsia="仿宋" w:cs="仿宋"/>
                <w:b/>
                <w:bCs/>
                <w:color w:val="auto"/>
                <w:kern w:val="2"/>
                <w:sz w:val="21"/>
                <w:szCs w:val="21"/>
                <w:highlight w:val="none"/>
                <w:lang w:val="zh-CN"/>
              </w:rPr>
              <w:t xml:space="preserve">人，人员工资不得低于杭州市最低工资标，服务期 </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集镇生鲜</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日常保洁人员工资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2年</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auto"/>
                <w:kern w:val="2"/>
                <w:sz w:val="21"/>
                <w:szCs w:val="21"/>
                <w:highlight w:val="none"/>
                <w:lang w:val="zh-CN"/>
              </w:rPr>
              <w:t>人员不得少于</w:t>
            </w:r>
            <w:r>
              <w:rPr>
                <w:rFonts w:hint="eastAsia" w:ascii="仿宋" w:hAnsi="仿宋" w:eastAsia="仿宋" w:cs="仿宋"/>
                <w:b/>
                <w:bCs/>
                <w:color w:val="auto"/>
                <w:kern w:val="2"/>
                <w:sz w:val="21"/>
                <w:szCs w:val="21"/>
                <w:highlight w:val="none"/>
                <w:lang w:val="en-US" w:eastAsia="zh-CN"/>
              </w:rPr>
              <w:t>7</w:t>
            </w:r>
            <w:r>
              <w:rPr>
                <w:rFonts w:hint="eastAsia" w:ascii="仿宋" w:hAnsi="仿宋" w:eastAsia="仿宋" w:cs="仿宋"/>
                <w:b/>
                <w:bCs/>
                <w:color w:val="auto"/>
                <w:kern w:val="2"/>
                <w:sz w:val="21"/>
                <w:szCs w:val="21"/>
                <w:highlight w:val="none"/>
                <w:lang w:val="zh-CN"/>
              </w:rPr>
              <w:t xml:space="preserve">人，人员工资不得低于杭州市最低工资标，服务期 </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老旧小区</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日常保洁人员工资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2年</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color w:val="auto"/>
                <w:kern w:val="2"/>
                <w:sz w:val="21"/>
                <w:szCs w:val="21"/>
                <w:highlight w:val="none"/>
                <w:lang w:val="zh-CN"/>
              </w:rPr>
              <w:t>人员不得少于</w:t>
            </w:r>
            <w:r>
              <w:rPr>
                <w:rFonts w:hint="eastAsia" w:ascii="仿宋" w:hAnsi="仿宋" w:eastAsia="仿宋" w:cs="仿宋"/>
                <w:b/>
                <w:bCs/>
                <w:color w:val="auto"/>
                <w:kern w:val="2"/>
                <w:sz w:val="21"/>
                <w:szCs w:val="21"/>
                <w:highlight w:val="none"/>
                <w:lang w:val="en-US" w:eastAsia="zh-CN"/>
              </w:rPr>
              <w:t>5</w:t>
            </w:r>
            <w:r>
              <w:rPr>
                <w:rFonts w:hint="eastAsia" w:ascii="仿宋" w:hAnsi="仿宋" w:eastAsia="仿宋" w:cs="仿宋"/>
                <w:b/>
                <w:bCs/>
                <w:color w:val="auto"/>
                <w:kern w:val="2"/>
                <w:sz w:val="21"/>
                <w:szCs w:val="21"/>
                <w:highlight w:val="none"/>
                <w:lang w:val="zh-CN"/>
              </w:rPr>
              <w:t xml:space="preserve">人，人员工资不得低于杭州市最低工资标，服务期 </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疫苗接种点卫生、厕所保洁及垃圾清运</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日常保洁人员工资</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2年</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color w:val="auto"/>
                <w:kern w:val="2"/>
                <w:sz w:val="21"/>
                <w:szCs w:val="21"/>
                <w:highlight w:val="none"/>
                <w:lang w:val="zh-CN"/>
              </w:rPr>
            </w:pPr>
            <w:r>
              <w:rPr>
                <w:rFonts w:hint="eastAsia" w:ascii="仿宋" w:hAnsi="仿宋" w:eastAsia="仿宋" w:cs="仿宋"/>
                <w:b/>
                <w:bCs/>
                <w:color w:val="auto"/>
                <w:kern w:val="2"/>
                <w:sz w:val="21"/>
                <w:szCs w:val="21"/>
                <w:highlight w:val="none"/>
                <w:lang w:val="zh-CN"/>
              </w:rPr>
              <w:t>人员不得少于</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人，人员工资不得低于杭州市最低工资标，服务期 </w:t>
            </w:r>
            <w:r>
              <w:rPr>
                <w:rFonts w:hint="eastAsia" w:ascii="仿宋" w:hAnsi="仿宋" w:eastAsia="仿宋" w:cs="仿宋"/>
                <w:b/>
                <w:bCs/>
                <w:color w:val="auto"/>
                <w:kern w:val="2"/>
                <w:sz w:val="21"/>
                <w:szCs w:val="21"/>
                <w:highlight w:val="none"/>
                <w:lang w:val="en-US" w:eastAsia="zh-CN"/>
              </w:rPr>
              <w:t>2</w:t>
            </w:r>
            <w:r>
              <w:rPr>
                <w:rFonts w:hint="eastAsia" w:ascii="仿宋" w:hAnsi="仿宋" w:eastAsia="仿宋" w:cs="仿宋"/>
                <w:b/>
                <w:bCs/>
                <w:color w:val="auto"/>
                <w:kern w:val="2"/>
                <w:sz w:val="21"/>
                <w:szCs w:val="21"/>
                <w:highlight w:val="none"/>
                <w:lang w:val="zh-CN"/>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w:t>
            </w:r>
          </w:p>
        </w:tc>
        <w:tc>
          <w:tcPr>
            <w:tcW w:w="825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保洁合计（1+2+3+4+5+6+7+8）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highlight w:val="none"/>
                <w:u w:val="none"/>
                <w:lang w:val="en-US" w:eastAsia="zh-CN"/>
              </w:rPr>
            </w:pPr>
            <w:r>
              <w:rPr>
                <w:rFonts w:hint="eastAsia" w:ascii="仿宋" w:hAnsi="仿宋" w:eastAsia="仿宋" w:cs="仿宋"/>
                <w:b/>
                <w:bCs/>
                <w:i w:val="0"/>
                <w:iCs w:val="0"/>
                <w:color w:val="000000"/>
                <w:sz w:val="21"/>
                <w:szCs w:val="21"/>
                <w:highlight w:val="none"/>
                <w:u w:val="none"/>
                <w:lang w:val="en-US" w:eastAsia="zh-CN"/>
              </w:rPr>
              <w:t>两年保洁费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w:t>
            </w:r>
          </w:p>
        </w:tc>
        <w:tc>
          <w:tcPr>
            <w:tcW w:w="825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设备投入费用</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color w:val="auto"/>
                <w:sz w:val="21"/>
                <w:szCs w:val="21"/>
                <w:highlight w:val="none"/>
                <w:lang w:val="en-US" w:eastAsia="zh-CN"/>
              </w:rPr>
              <w:t>不</w:t>
            </w:r>
            <w:r>
              <w:rPr>
                <w:rFonts w:hint="eastAsia" w:ascii="仿宋" w:hAnsi="仿宋" w:eastAsia="仿宋" w:cs="仿宋"/>
                <w:b/>
                <w:bCs/>
                <w:color w:val="auto"/>
                <w:sz w:val="21"/>
                <w:szCs w:val="21"/>
                <w:highlight w:val="none"/>
              </w:rPr>
              <w:t>得低于保洁费</w:t>
            </w:r>
            <w:r>
              <w:rPr>
                <w:rFonts w:hint="eastAsia" w:ascii="仿宋" w:hAnsi="仿宋" w:eastAsia="仿宋" w:cs="仿宋"/>
                <w:b/>
                <w:bCs/>
                <w:color w:val="auto"/>
                <w:sz w:val="21"/>
                <w:szCs w:val="21"/>
                <w:highlight w:val="none"/>
                <w:lang w:val="en-US" w:eastAsia="zh-CN"/>
              </w:rPr>
              <w:t>的25%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合计总价(9+10)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 </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1"/>
                <w:szCs w:val="21"/>
                <w:highlight w:val="none"/>
                <w:u w:val="none"/>
                <w:lang w:val="en-US" w:eastAsia="zh-CN" w:bidi="ar"/>
              </w:rPr>
            </w:pPr>
          </w:p>
        </w:tc>
      </w:tr>
    </w:tbl>
    <w:p>
      <w:pPr>
        <w:snapToGrid w:val="0"/>
        <w:spacing w:line="360" w:lineRule="auto"/>
        <w:jc w:val="left"/>
        <w:rPr>
          <w:rFonts w:hint="eastAsia" w:ascii="仿宋_GB2312" w:hAnsi="仿宋" w:eastAsia="仿宋_GB2312" w:cs="仿宋_GB2312"/>
          <w:b/>
          <w:bCs/>
          <w:color w:val="auto"/>
          <w:kern w:val="0"/>
          <w:sz w:val="24"/>
          <w:highlight w:val="none"/>
          <w:lang w:val="en-US" w:eastAsia="zh-CN"/>
        </w:rPr>
      </w:pPr>
      <w:r>
        <w:rPr>
          <w:rFonts w:hint="eastAsia" w:ascii="仿宋_GB2312" w:hAnsi="仿宋" w:eastAsia="仿宋_GB2312" w:cs="仿宋_GB2312"/>
          <w:b/>
          <w:bCs/>
          <w:color w:val="auto"/>
          <w:kern w:val="0"/>
          <w:sz w:val="24"/>
          <w:highlight w:val="none"/>
          <w:lang w:val="zh-CN" w:eastAsia="zh-CN"/>
        </w:rPr>
        <w:t>注：1、▲本次招标最低人员工资不得低于47986.92元/年•人</w:t>
      </w:r>
      <w:r>
        <w:rPr>
          <w:rFonts w:hint="eastAsia" w:ascii="仿宋_GB2312" w:hAnsi="仿宋" w:eastAsia="仿宋_GB2312" w:cs="仿宋_GB2312"/>
          <w:b/>
          <w:bCs/>
          <w:color w:val="auto"/>
          <w:kern w:val="0"/>
          <w:sz w:val="24"/>
          <w:highlight w:val="none"/>
          <w:lang w:val="en-US" w:eastAsia="zh-CN"/>
        </w:rPr>
        <w:t>。</w:t>
      </w:r>
    </w:p>
    <w:p>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eastAsia="zh-CN"/>
        </w:rPr>
      </w:pPr>
      <w:r>
        <w:rPr>
          <w:rFonts w:hint="eastAsia" w:ascii="仿宋_GB2312" w:hAnsi="仿宋" w:eastAsia="仿宋_GB2312" w:cs="仿宋_GB2312"/>
          <w:color w:val="auto"/>
          <w:kern w:val="0"/>
          <w:sz w:val="24"/>
          <w:highlight w:val="none"/>
          <w:lang w:val="en-US" w:eastAsia="zh-CN"/>
        </w:rPr>
        <w:t>2</w:t>
      </w:r>
      <w:r>
        <w:rPr>
          <w:rFonts w:hint="eastAsia" w:ascii="仿宋_GB2312" w:hAnsi="仿宋" w:eastAsia="仿宋_GB2312" w:cs="仿宋_GB2312"/>
          <w:color w:val="auto"/>
          <w:kern w:val="0"/>
          <w:sz w:val="24"/>
          <w:highlight w:val="none"/>
          <w:lang w:val="zh-CN" w:eastAsia="zh-CN"/>
        </w:rPr>
        <w:t>、投标人需按本表格式填写，不得自行更改。</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3</w:t>
      </w:r>
      <w:r>
        <w:rPr>
          <w:rFonts w:hint="eastAsia" w:ascii="仿宋_GB2312" w:hAnsi="仿宋" w:eastAsia="仿宋_GB2312" w:cs="仿宋_GB2312"/>
          <w:color w:val="auto"/>
          <w:kern w:val="0"/>
          <w:sz w:val="24"/>
          <w:highlight w:val="none"/>
          <w:lang w:val="zh-CN" w:eastAsia="zh-CN"/>
        </w:rPr>
        <w:t>、有关本项目实施所涉及的一切费用均计入报价。采购人将以合同形式有偿取得货物或服务，不接受投标人给予的赠品、回扣或者</w:t>
      </w:r>
      <w:r>
        <w:rPr>
          <w:rFonts w:hint="eastAsia" w:ascii="仿宋_GB2312" w:hAnsi="仿宋" w:eastAsia="仿宋_GB2312" w:cs="仿宋_GB2312"/>
          <w:b/>
          <w:color w:val="auto"/>
          <w:kern w:val="0"/>
          <w:sz w:val="24"/>
          <w:highlight w:val="none"/>
          <w:lang w:val="zh-CN"/>
        </w:rPr>
        <w:t>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4</w:t>
      </w:r>
      <w:r>
        <w:rPr>
          <w:rFonts w:ascii="仿宋_GB2312" w:hAnsi="仿宋" w:eastAsia="仿宋_GB2312" w:cs="仿宋_GB2312"/>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5</w:t>
      </w:r>
      <w:r>
        <w:rPr>
          <w:rFonts w:ascii="仿宋_GB2312" w:hAnsi="仿宋" w:eastAsia="仿宋_GB2312" w:cs="仿宋_GB2312"/>
          <w:color w:val="auto"/>
          <w:kern w:val="0"/>
          <w:sz w:val="24"/>
          <w:highlight w:val="none"/>
          <w:lang w:val="zh-CN"/>
        </w:rPr>
        <w:t>、特别提示：采购机构将对项目名称和项目编号，中标供应商名称、地址和中标金额，主要中标标的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6</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right="960" w:firstLine="10440" w:firstLineChars="4350"/>
        <w:rPr>
          <w:rFonts w:hint="eastAsia" w:ascii="仿宋" w:hAnsi="仿宋" w:eastAsia="仿宋" w:cs="仿宋"/>
          <w:color w:val="auto"/>
          <w:sz w:val="24"/>
          <w:highlight w:val="none"/>
        </w:rPr>
      </w:pPr>
    </w:p>
    <w:p>
      <w:pPr>
        <w:spacing w:line="360" w:lineRule="auto"/>
        <w:ind w:right="960" w:firstLine="10440" w:firstLineChars="4350"/>
        <w:rPr>
          <w:rFonts w:hint="eastAsia" w:ascii="仿宋" w:hAnsi="仿宋" w:eastAsia="仿宋" w:cs="仿宋"/>
          <w:color w:val="auto"/>
          <w:sz w:val="24"/>
          <w:highlight w:val="none"/>
        </w:rPr>
      </w:pPr>
    </w:p>
    <w:p>
      <w:pPr>
        <w:spacing w:line="360" w:lineRule="auto"/>
        <w:ind w:right="960" w:firstLine="10440" w:firstLineChars="4350"/>
        <w:rPr>
          <w:rFonts w:hint="eastAsia" w:ascii="仿宋" w:hAnsi="仿宋" w:eastAsia="仿宋" w:cs="仿宋"/>
          <w:color w:val="auto"/>
          <w:sz w:val="24"/>
          <w:highlight w:val="none"/>
        </w:rPr>
      </w:pPr>
    </w:p>
    <w:p>
      <w:pPr>
        <w:spacing w:line="360" w:lineRule="auto"/>
        <w:ind w:right="960" w:firstLine="10440" w:firstLineChars="4350"/>
        <w:rPr>
          <w:rFonts w:hint="eastAsia" w:ascii="仿宋" w:hAnsi="仿宋" w:eastAsia="仿宋" w:cs="仿宋"/>
          <w:color w:val="auto"/>
          <w:sz w:val="24"/>
          <w:highlight w:val="none"/>
        </w:rPr>
      </w:pPr>
    </w:p>
    <w:p>
      <w:pPr>
        <w:spacing w:line="360" w:lineRule="auto"/>
        <w:ind w:right="960" w:firstLine="10440" w:firstLineChars="43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pStyle w:val="38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80"/>
        <w:tabs>
          <w:tab w:val="clear" w:pos="720"/>
        </w:tabs>
        <w:snapToGrid w:val="0"/>
        <w:spacing w:before="120" w:after="120"/>
        <w:ind w:firstLine="643"/>
        <w:outlineLvl w:val="2"/>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lang w:val="en-US" w:eastAsia="zh-CN"/>
        </w:rPr>
        <w:t>二</w:t>
      </w:r>
      <w:r>
        <w:rPr>
          <w:rFonts w:hint="eastAsia" w:ascii="仿宋_GB2312" w:hAnsi="仿宋" w:eastAsia="仿宋_GB2312" w:cs="仿宋_GB2312"/>
          <w:color w:val="auto"/>
          <w:kern w:val="2"/>
          <w:sz w:val="32"/>
          <w:szCs w:val="32"/>
          <w:highlight w:val="none"/>
        </w:rPr>
        <w:t>、</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　　</w:t>
      </w:r>
      <w:r>
        <w:rPr>
          <w:rFonts w:ascii="仿宋" w:hAnsi="仿宋" w:eastAsia="仿宋" w:cs="Times New Roman"/>
          <w:color w:val="auto"/>
          <w:sz w:val="24"/>
          <w:highlight w:val="none"/>
        </w:rPr>
        <w:t>4.审批通过后，合作银行应按照合作备忘录中约定的审批放款期限和优惠利率及时予以放款。</w:t>
      </w:r>
    </w:p>
    <w:p>
      <w:pPr>
        <w:spacing w:line="360" w:lineRule="auto"/>
        <w:ind w:firstLine="480" w:firstLineChars="200"/>
        <w:rPr>
          <w:rFonts w:ascii="仿宋" w:hAnsi="仿宋" w:eastAsia="仿宋" w:cs="Times New Roman"/>
          <w:color w:val="auto"/>
          <w:sz w:val="24"/>
          <w:highlight w:val="none"/>
          <w:lang w:val="en-US"/>
        </w:rPr>
      </w:pPr>
      <w:r>
        <w:rPr>
          <w:rFonts w:hint="eastAsia" w:ascii="仿宋" w:hAnsi="仿宋" w:eastAsia="仿宋" w:cs="Times New Roman"/>
          <w:color w:val="auto"/>
          <w:sz w:val="24"/>
          <w:highlight w:val="none"/>
          <w:lang w:val="en-US"/>
        </w:rPr>
        <w:t>（三）杭州e融平台申请融资</w:t>
      </w:r>
    </w:p>
    <w:p>
      <w:pPr>
        <w:spacing w:line="360" w:lineRule="auto"/>
        <w:ind w:firstLine="480" w:firstLineChars="200"/>
        <w:rPr>
          <w:rFonts w:ascii="仿宋" w:hAnsi="仿宋" w:eastAsia="仿宋" w:cs="Times New Roman"/>
          <w:color w:val="auto"/>
          <w:sz w:val="24"/>
          <w:highlight w:val="none"/>
          <w:lang w:val="en-US"/>
        </w:rPr>
      </w:pPr>
      <w:r>
        <w:rPr>
          <w:rFonts w:hint="eastAsia" w:ascii="仿宋" w:hAnsi="仿宋" w:eastAsia="仿宋" w:cs="Times New Roman"/>
          <w:color w:val="auto"/>
          <w:sz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4"/>
        <w:pageBreakBefore/>
        <w:widowControl/>
        <w:tabs>
          <w:tab w:val="left" w:pos="432"/>
          <w:tab w:val="clear" w:pos="900"/>
        </w:tabs>
        <w:spacing w:before="100" w:beforeAutospacing="1" w:after="100" w:afterAutospacing="1" w:line="360" w:lineRule="auto"/>
        <w:ind w:left="1290" w:firstLine="2249" w:firstLineChars="700"/>
        <w:outlineLvl w:val="2"/>
        <w:rPr>
          <w:rFonts w:ascii="仿宋_GB2312" w:hAnsi="仿宋" w:eastAsia="仿宋_GB2312"/>
          <w:color w:val="auto"/>
          <w:highlight w:val="none"/>
        </w:rPr>
      </w:pPr>
      <w:bookmarkStart w:id="394" w:name="_Toc465665161"/>
      <w:r>
        <w:rPr>
          <w:rFonts w:hint="eastAsia" w:ascii="仿宋_GB2312" w:hAnsi="仿宋" w:eastAsia="仿宋_GB2312"/>
          <w:color w:val="auto"/>
          <w:highlight w:val="none"/>
        </w:rPr>
        <w:t>附件</w:t>
      </w:r>
      <w:bookmarkEnd w:id="394"/>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5" w:name="OLE_LINK14"/>
      <w:bookmarkStart w:id="396" w:name="OLE_LINK13"/>
      <w:r>
        <w:rPr>
          <w:rFonts w:hint="eastAsia" w:ascii="仿宋_GB2312" w:hAnsi="仿宋" w:eastAsia="仿宋_GB2312"/>
          <w:b/>
          <w:color w:val="auto"/>
          <w:spacing w:val="6"/>
          <w:sz w:val="32"/>
          <w:szCs w:val="32"/>
          <w:highlight w:val="none"/>
        </w:rPr>
        <w:t>残疾人福利性单位声明函</w:t>
      </w:r>
    </w:p>
    <w:bookmarkEnd w:id="395"/>
    <w:bookmarkEnd w:id="396"/>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outlineLvl w:val="2"/>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4"/>
        <w:spacing w:line="360" w:lineRule="auto"/>
        <w:ind w:firstLine="0" w:firstLineChars="0"/>
        <w:jc w:val="center"/>
        <w:rPr>
          <w:rFonts w:hint="eastAsia"/>
          <w:b/>
          <w:color w:val="auto"/>
          <w:sz w:val="44"/>
          <w:szCs w:val="44"/>
          <w:highlight w:val="none"/>
        </w:rPr>
      </w:pPr>
    </w:p>
    <w:p>
      <w:pPr>
        <w:pStyle w:val="24"/>
        <w:spacing w:line="360" w:lineRule="auto"/>
        <w:ind w:firstLine="0" w:firstLineChars="0"/>
        <w:jc w:val="center"/>
        <w:rPr>
          <w:rFonts w:hint="eastAsia"/>
          <w:b/>
          <w:color w:val="auto"/>
          <w:sz w:val="44"/>
          <w:szCs w:val="44"/>
          <w:highlight w:val="none"/>
        </w:rPr>
      </w:pPr>
    </w:p>
    <w:p>
      <w:pPr>
        <w:pStyle w:val="24"/>
        <w:spacing w:line="360" w:lineRule="auto"/>
        <w:ind w:firstLine="0" w:firstLineChars="0"/>
        <w:jc w:val="both"/>
        <w:rPr>
          <w:rFonts w:hint="eastAsia"/>
          <w:b/>
          <w:color w:val="auto"/>
          <w:sz w:val="21"/>
          <w:szCs w:val="21"/>
          <w:highlight w:val="none"/>
          <w:lang w:val="en-US" w:eastAsia="zh-CN"/>
        </w:rPr>
      </w:pPr>
    </w:p>
    <w:p>
      <w:pPr>
        <w:pStyle w:val="24"/>
        <w:spacing w:line="360" w:lineRule="auto"/>
        <w:ind w:firstLine="0" w:firstLineChars="0"/>
        <w:jc w:val="center"/>
        <w:rPr>
          <w:b/>
          <w:color w:val="auto"/>
          <w:sz w:val="44"/>
          <w:szCs w:val="44"/>
          <w:highlight w:val="none"/>
        </w:rPr>
      </w:pPr>
      <w:r>
        <w:rPr>
          <w:rFonts w:hint="eastAsia"/>
          <w:b/>
          <w:color w:val="auto"/>
          <w:sz w:val="44"/>
          <w:szCs w:val="44"/>
          <w:highlight w:val="none"/>
        </w:rPr>
        <w:t>电子投标文件与纸质投标文件内容一致承诺书（投标时无需提供）</w:t>
      </w:r>
    </w:p>
    <w:p>
      <w:pPr>
        <w:spacing w:line="360" w:lineRule="auto"/>
        <w:rPr>
          <w:rFonts w:ascii="宋体" w:hAnsi="宋体" w:cs="宋体"/>
          <w:b/>
          <w:bCs/>
          <w:color w:val="auto"/>
          <w:sz w:val="24"/>
          <w:highlight w:val="none"/>
        </w:rPr>
      </w:pPr>
    </w:p>
    <w:p>
      <w:pPr>
        <w:snapToGrid w:val="0"/>
        <w:spacing w:line="360" w:lineRule="auto"/>
        <w:rPr>
          <w:rFonts w:hint="eastAsia" w:ascii="宋体" w:hAnsi="宋体" w:cs="宋体"/>
          <w:color w:val="auto"/>
          <w:sz w:val="28"/>
          <w:szCs w:val="28"/>
          <w:highlight w:val="none"/>
        </w:rPr>
      </w:pP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致:</w:t>
      </w:r>
      <w:r>
        <w:rPr>
          <w:rFonts w:hint="eastAsia" w:ascii="宋体" w:hAnsi="宋体" w:cs="宋体"/>
          <w:bCs/>
          <w:color w:val="auto"/>
          <w:sz w:val="28"/>
          <w:szCs w:val="28"/>
          <w:highlight w:val="none"/>
          <w:lang w:val="en-US" w:eastAsia="zh-CN"/>
        </w:rPr>
        <w:t>杭州市临平区人民政府乔司街道办事处</w:t>
      </w:r>
      <w:r>
        <w:rPr>
          <w:rFonts w:hint="eastAsia" w:ascii="宋体" w:hAnsi="宋体" w:cs="宋体"/>
          <w:color w:val="auto"/>
          <w:sz w:val="28"/>
          <w:szCs w:val="28"/>
          <w:highlight w:val="none"/>
        </w:rPr>
        <w:t>、</w:t>
      </w:r>
    </w:p>
    <w:p>
      <w:pPr>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浙江新诚信工程咨询有限公司</w:t>
      </w:r>
      <w:r>
        <w:rPr>
          <w:rFonts w:hint="eastAsia" w:ascii="宋体" w:hAnsi="宋体" w:cs="宋体"/>
          <w:color w:val="auto"/>
          <w:kern w:val="0"/>
          <w:sz w:val="28"/>
          <w:szCs w:val="28"/>
          <w:highlight w:val="none"/>
          <w:lang w:val="zh-CN"/>
        </w:rPr>
        <w:t>：</w:t>
      </w:r>
    </w:p>
    <w:p>
      <w:pPr>
        <w:pStyle w:val="24"/>
        <w:spacing w:line="360" w:lineRule="auto"/>
        <w:ind w:firstLine="420" w:firstLineChars="150"/>
        <w:rPr>
          <w:rFonts w:hint="eastAsia" w:cs="宋体"/>
          <w:color w:val="auto"/>
          <w:sz w:val="28"/>
          <w:szCs w:val="28"/>
          <w:highlight w:val="none"/>
        </w:rPr>
      </w:pPr>
      <w:r>
        <w:rPr>
          <w:rFonts w:hint="eastAsia" w:cs="宋体"/>
          <w:color w:val="auto"/>
          <w:sz w:val="28"/>
          <w:szCs w:val="28"/>
          <w:highlight w:val="none"/>
        </w:rPr>
        <w:t>兹有</w:t>
      </w:r>
      <w:r>
        <w:rPr>
          <w:rFonts w:hint="eastAsia" w:cs="宋体"/>
          <w:color w:val="auto"/>
          <w:sz w:val="28"/>
          <w:szCs w:val="28"/>
          <w:highlight w:val="none"/>
          <w:u w:val="single"/>
        </w:rPr>
        <w:t xml:space="preserve">                       项目</w:t>
      </w:r>
      <w:r>
        <w:rPr>
          <w:rFonts w:hint="eastAsia" w:cs="宋体"/>
          <w:color w:val="auto"/>
          <w:sz w:val="28"/>
          <w:szCs w:val="28"/>
          <w:highlight w:val="none"/>
        </w:rPr>
        <w:t>，我单位在政采云系统中上传的电子投标文件与本次提供的纸质投标文件内容一致。</w:t>
      </w:r>
    </w:p>
    <w:p>
      <w:pPr>
        <w:pStyle w:val="24"/>
        <w:spacing w:line="360" w:lineRule="auto"/>
        <w:ind w:firstLine="420" w:firstLineChars="150"/>
        <w:rPr>
          <w:rFonts w:hint="eastAsia" w:cs="宋体"/>
          <w:color w:val="auto"/>
          <w:sz w:val="28"/>
          <w:szCs w:val="28"/>
          <w:highlight w:val="none"/>
        </w:rPr>
      </w:pPr>
      <w:r>
        <w:rPr>
          <w:rFonts w:hint="eastAsia" w:cs="宋体"/>
          <w:color w:val="auto"/>
          <w:sz w:val="28"/>
          <w:szCs w:val="28"/>
          <w:highlight w:val="none"/>
        </w:rPr>
        <w:t>特此承诺！</w:t>
      </w:r>
    </w:p>
    <w:p>
      <w:pPr>
        <w:pStyle w:val="24"/>
        <w:spacing w:line="360" w:lineRule="auto"/>
        <w:ind w:firstLine="560"/>
        <w:rPr>
          <w:rFonts w:hint="eastAsia" w:cs="宋体"/>
          <w:color w:val="auto"/>
          <w:sz w:val="28"/>
          <w:szCs w:val="28"/>
          <w:highlight w:val="none"/>
        </w:rPr>
      </w:pPr>
    </w:p>
    <w:p>
      <w:pPr>
        <w:spacing w:line="360" w:lineRule="auto"/>
        <w:ind w:firstLine="5320" w:firstLineChars="1900"/>
        <w:rPr>
          <w:rFonts w:hint="eastAsia" w:ascii="宋体" w:hAnsi="宋体" w:cs="宋体"/>
          <w:color w:val="auto"/>
          <w:sz w:val="28"/>
          <w:szCs w:val="28"/>
          <w:highlight w:val="none"/>
        </w:rPr>
      </w:pPr>
      <w:r>
        <w:rPr>
          <w:rFonts w:hint="eastAsia" w:ascii="宋体" w:hAnsi="宋体" w:cs="宋体"/>
          <w:color w:val="auto"/>
          <w:sz w:val="28"/>
          <w:szCs w:val="28"/>
          <w:highlight w:val="none"/>
        </w:rPr>
        <w:t>投标人:(盖章)</w:t>
      </w:r>
    </w:p>
    <w:p>
      <w:pPr>
        <w:spacing w:line="360" w:lineRule="auto"/>
        <w:ind w:firstLine="560" w:firstLineChars="200"/>
        <w:rPr>
          <w:rFonts w:hint="eastAsia" w:ascii="宋体" w:hAnsi="宋体" w:cs="宋体"/>
          <w:color w:val="auto"/>
          <w:sz w:val="28"/>
          <w:szCs w:val="28"/>
          <w:highlight w:val="none"/>
        </w:rPr>
      </w:pP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法定代表人: (签字)</w:t>
      </w:r>
    </w:p>
    <w:p>
      <w:pPr>
        <w:spacing w:line="360" w:lineRule="auto"/>
        <w:ind w:firstLine="560" w:firstLineChars="200"/>
        <w:rPr>
          <w:rFonts w:hint="eastAsia" w:ascii="宋体" w:hAnsi="宋体" w:cs="宋体"/>
          <w:color w:val="auto"/>
          <w:sz w:val="28"/>
          <w:szCs w:val="28"/>
          <w:highlight w:val="none"/>
        </w:rPr>
      </w:pP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日期:20  年  月    日</w:t>
      </w:r>
    </w:p>
    <w:p>
      <w:pPr>
        <w:tabs>
          <w:tab w:val="left" w:pos="432"/>
        </w:tabs>
        <w:outlineLvl w:val="9"/>
        <w:rPr>
          <w:color w:val="auto"/>
          <w:highlight w:val="none"/>
        </w:rPr>
      </w:pPr>
    </w:p>
    <w:p>
      <w:pPr>
        <w:tabs>
          <w:tab w:val="left" w:pos="432"/>
        </w:tabs>
        <w:outlineLvl w:val="9"/>
        <w:rPr>
          <w:color w:val="auto"/>
          <w:highlight w:val="none"/>
          <w:lang w:val="en-US"/>
        </w:rPr>
      </w:pPr>
    </w:p>
    <w:p>
      <w:pPr>
        <w:spacing w:line="360" w:lineRule="auto"/>
        <w:ind w:right="420"/>
        <w:outlineLvl w:val="9"/>
        <w:rPr>
          <w:color w:val="auto"/>
          <w:highlight w:val="none"/>
        </w:rPr>
      </w:pPr>
    </w:p>
    <w:p>
      <w:pPr>
        <w:spacing w:line="360" w:lineRule="auto"/>
        <w:outlineLvl w:val="9"/>
        <w:rPr>
          <w:rFonts w:ascii="仿宋" w:hAnsi="仿宋" w:eastAsia="仿宋"/>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131845147"/>
    <w:bookmarkStart w:id="398" w:name="_Toc164085800"/>
    <w:bookmarkStart w:id="399" w:name="_Toc91899912"/>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eastAsia="宋体"/>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24</w:t>
                          </w:r>
                          <w:r>
                            <w:rPr>
                              <w:sz w:val="18"/>
                            </w:rPr>
                            <w:fldChar w:fldCharType="end"/>
                          </w:r>
                          <w:r>
                            <w:rPr>
                              <w:sz w:val="18"/>
                            </w:rPr>
                            <w:t xml:space="preserve"> 页</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xnF0C/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l/cmzcPw6RiJROaWJoyw02C6pKxuWqi0BU/z3PX4E2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sZxdAvwEAAIwDAAAOAAAAAAAAAAEAIAAAAB8BAABkcnMvZTJvRG9jLnhtbFBLBQYA&#10;AAAABgAGAFkBAABQ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24</w:t>
                    </w:r>
                    <w:r>
                      <w:rPr>
                        <w:sz w:val="18"/>
                      </w:rPr>
                      <w:fldChar w:fldCharType="end"/>
                    </w:r>
                    <w:r>
                      <w:rPr>
                        <w:sz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7F05"/>
    <w:multiLevelType w:val="singleLevel"/>
    <w:tmpl w:val="B9417F05"/>
    <w:lvl w:ilvl="0" w:tentative="0">
      <w:start w:val="2"/>
      <w:numFmt w:val="chineseCounting"/>
      <w:suff w:val="nothing"/>
      <w:lvlText w:val="%1、"/>
      <w:lvlJc w:val="left"/>
      <w:rPr>
        <w:rFonts w:hint="eastAsia"/>
      </w:rPr>
    </w:lvl>
  </w:abstractNum>
  <w:abstractNum w:abstractNumId="1">
    <w:nsid w:val="E24D7068"/>
    <w:multiLevelType w:val="singleLevel"/>
    <w:tmpl w:val="E24D7068"/>
    <w:lvl w:ilvl="0" w:tentative="0">
      <w:start w:val="6"/>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589AC06B"/>
    <w:multiLevelType w:val="singleLevel"/>
    <w:tmpl w:val="589AC06B"/>
    <w:lvl w:ilvl="0" w:tentative="0">
      <w:start w:val="1"/>
      <w:numFmt w:val="decimal"/>
      <w:suff w:val="nothing"/>
      <w:lvlText w:val="%1."/>
      <w:lvlJc w:val="left"/>
    </w:lvl>
  </w:abstractNum>
  <w:abstractNum w:abstractNumId="4">
    <w:nsid w:val="5E7C160A"/>
    <w:multiLevelType w:val="singleLevel"/>
    <w:tmpl w:val="5E7C160A"/>
    <w:lvl w:ilvl="0" w:tentative="0">
      <w:start w:val="1"/>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60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F07"/>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B182D"/>
    <w:rsid w:val="018F2EE2"/>
    <w:rsid w:val="019F7441"/>
    <w:rsid w:val="01B37585"/>
    <w:rsid w:val="01D55165"/>
    <w:rsid w:val="01DF6BF8"/>
    <w:rsid w:val="01EC2C57"/>
    <w:rsid w:val="020A2568"/>
    <w:rsid w:val="02217FDE"/>
    <w:rsid w:val="02427F54"/>
    <w:rsid w:val="026B2E25"/>
    <w:rsid w:val="026D3223"/>
    <w:rsid w:val="02824D4D"/>
    <w:rsid w:val="02A4476B"/>
    <w:rsid w:val="02DC4B10"/>
    <w:rsid w:val="02DD76CE"/>
    <w:rsid w:val="02E5725D"/>
    <w:rsid w:val="02F36323"/>
    <w:rsid w:val="02F5619C"/>
    <w:rsid w:val="03174F3D"/>
    <w:rsid w:val="0326446A"/>
    <w:rsid w:val="032D5555"/>
    <w:rsid w:val="034A70C0"/>
    <w:rsid w:val="036634D2"/>
    <w:rsid w:val="03920A67"/>
    <w:rsid w:val="03A8028B"/>
    <w:rsid w:val="03BE360A"/>
    <w:rsid w:val="03C94D9F"/>
    <w:rsid w:val="03DD35E4"/>
    <w:rsid w:val="03DD6186"/>
    <w:rsid w:val="03EA2651"/>
    <w:rsid w:val="04076900"/>
    <w:rsid w:val="041A5A3B"/>
    <w:rsid w:val="042311BA"/>
    <w:rsid w:val="042518DB"/>
    <w:rsid w:val="042B157A"/>
    <w:rsid w:val="044C6E68"/>
    <w:rsid w:val="04504BAA"/>
    <w:rsid w:val="046C3066"/>
    <w:rsid w:val="048F763B"/>
    <w:rsid w:val="049C1B9D"/>
    <w:rsid w:val="049F330E"/>
    <w:rsid w:val="04AA775C"/>
    <w:rsid w:val="04AF1889"/>
    <w:rsid w:val="04BE5FB8"/>
    <w:rsid w:val="04F66F48"/>
    <w:rsid w:val="051931EE"/>
    <w:rsid w:val="051E6A56"/>
    <w:rsid w:val="05251E14"/>
    <w:rsid w:val="0548762F"/>
    <w:rsid w:val="05571F68"/>
    <w:rsid w:val="056B2C48"/>
    <w:rsid w:val="056B77C2"/>
    <w:rsid w:val="057448C8"/>
    <w:rsid w:val="059B00A7"/>
    <w:rsid w:val="05A16594"/>
    <w:rsid w:val="05A7762D"/>
    <w:rsid w:val="05DB66F5"/>
    <w:rsid w:val="060E5941"/>
    <w:rsid w:val="06110FAF"/>
    <w:rsid w:val="06493CA7"/>
    <w:rsid w:val="065A6178"/>
    <w:rsid w:val="066F1CF3"/>
    <w:rsid w:val="06930BB8"/>
    <w:rsid w:val="06BC02D5"/>
    <w:rsid w:val="06CA7539"/>
    <w:rsid w:val="06D724C4"/>
    <w:rsid w:val="06E36237"/>
    <w:rsid w:val="07041C7C"/>
    <w:rsid w:val="07230354"/>
    <w:rsid w:val="07245D42"/>
    <w:rsid w:val="07264C62"/>
    <w:rsid w:val="075C5614"/>
    <w:rsid w:val="07742EA5"/>
    <w:rsid w:val="0779354C"/>
    <w:rsid w:val="07D7113E"/>
    <w:rsid w:val="08061376"/>
    <w:rsid w:val="083D5445"/>
    <w:rsid w:val="08452D77"/>
    <w:rsid w:val="08582A2C"/>
    <w:rsid w:val="086401F8"/>
    <w:rsid w:val="08751CAA"/>
    <w:rsid w:val="087E4C40"/>
    <w:rsid w:val="089963F4"/>
    <w:rsid w:val="08A70B11"/>
    <w:rsid w:val="08D66AD6"/>
    <w:rsid w:val="08DA33A3"/>
    <w:rsid w:val="08E80F13"/>
    <w:rsid w:val="09335624"/>
    <w:rsid w:val="0944690F"/>
    <w:rsid w:val="09535675"/>
    <w:rsid w:val="095F057D"/>
    <w:rsid w:val="09642282"/>
    <w:rsid w:val="09733572"/>
    <w:rsid w:val="09772C16"/>
    <w:rsid w:val="098353B5"/>
    <w:rsid w:val="0992356F"/>
    <w:rsid w:val="09A92330"/>
    <w:rsid w:val="09B06B87"/>
    <w:rsid w:val="09BE121B"/>
    <w:rsid w:val="09C06B05"/>
    <w:rsid w:val="09C13146"/>
    <w:rsid w:val="09CD0765"/>
    <w:rsid w:val="09DB4F16"/>
    <w:rsid w:val="09E04166"/>
    <w:rsid w:val="09ED69F7"/>
    <w:rsid w:val="0A12645E"/>
    <w:rsid w:val="0A1C0718"/>
    <w:rsid w:val="0A3E7710"/>
    <w:rsid w:val="0A4A3E4A"/>
    <w:rsid w:val="0A4F320E"/>
    <w:rsid w:val="0A5B7E63"/>
    <w:rsid w:val="0A9D041D"/>
    <w:rsid w:val="0AA374A5"/>
    <w:rsid w:val="0AAB7649"/>
    <w:rsid w:val="0ABC5606"/>
    <w:rsid w:val="0B2E376B"/>
    <w:rsid w:val="0B30404E"/>
    <w:rsid w:val="0B4C6C14"/>
    <w:rsid w:val="0B5331D2"/>
    <w:rsid w:val="0B57681E"/>
    <w:rsid w:val="0B631A88"/>
    <w:rsid w:val="0B683D45"/>
    <w:rsid w:val="0B7F3F11"/>
    <w:rsid w:val="0B884417"/>
    <w:rsid w:val="0BA8707A"/>
    <w:rsid w:val="0BB27EF8"/>
    <w:rsid w:val="0BF24799"/>
    <w:rsid w:val="0BF6188C"/>
    <w:rsid w:val="0BF73C91"/>
    <w:rsid w:val="0C170175"/>
    <w:rsid w:val="0C571A41"/>
    <w:rsid w:val="0C5C1171"/>
    <w:rsid w:val="0C5E1CBC"/>
    <w:rsid w:val="0C615B50"/>
    <w:rsid w:val="0C655C90"/>
    <w:rsid w:val="0C8445DA"/>
    <w:rsid w:val="0C87121B"/>
    <w:rsid w:val="0CC007F7"/>
    <w:rsid w:val="0CC7352F"/>
    <w:rsid w:val="0CF12CA2"/>
    <w:rsid w:val="0CFE707A"/>
    <w:rsid w:val="0D063BDA"/>
    <w:rsid w:val="0D08375F"/>
    <w:rsid w:val="0D184CFB"/>
    <w:rsid w:val="0D4A7419"/>
    <w:rsid w:val="0D6C2329"/>
    <w:rsid w:val="0D827401"/>
    <w:rsid w:val="0D84094E"/>
    <w:rsid w:val="0D8A00E9"/>
    <w:rsid w:val="0D8D589E"/>
    <w:rsid w:val="0DA01C73"/>
    <w:rsid w:val="0DA35174"/>
    <w:rsid w:val="0DB241E0"/>
    <w:rsid w:val="0DD63300"/>
    <w:rsid w:val="0DF50604"/>
    <w:rsid w:val="0DF702FE"/>
    <w:rsid w:val="0E060E51"/>
    <w:rsid w:val="0E5434E9"/>
    <w:rsid w:val="0E5604B2"/>
    <w:rsid w:val="0E617C94"/>
    <w:rsid w:val="0E6D5D79"/>
    <w:rsid w:val="0E7476E7"/>
    <w:rsid w:val="0E76345F"/>
    <w:rsid w:val="0E9D0089"/>
    <w:rsid w:val="0EB43F87"/>
    <w:rsid w:val="0EB803EE"/>
    <w:rsid w:val="0EE973A4"/>
    <w:rsid w:val="0EF34AB0"/>
    <w:rsid w:val="0EF94D4B"/>
    <w:rsid w:val="0F07055B"/>
    <w:rsid w:val="0F16254C"/>
    <w:rsid w:val="0F3155D8"/>
    <w:rsid w:val="0F362BEE"/>
    <w:rsid w:val="0F4958DC"/>
    <w:rsid w:val="0F502321"/>
    <w:rsid w:val="0F515DF7"/>
    <w:rsid w:val="0F596BA8"/>
    <w:rsid w:val="0F6248D2"/>
    <w:rsid w:val="0F693536"/>
    <w:rsid w:val="0F7B0511"/>
    <w:rsid w:val="0F7B76D9"/>
    <w:rsid w:val="0F816ACD"/>
    <w:rsid w:val="0F9832DB"/>
    <w:rsid w:val="0FBF3FD2"/>
    <w:rsid w:val="0FBF7FF3"/>
    <w:rsid w:val="0FF94348"/>
    <w:rsid w:val="10646583"/>
    <w:rsid w:val="107D4B15"/>
    <w:rsid w:val="10853E2D"/>
    <w:rsid w:val="108A3C80"/>
    <w:rsid w:val="109C2F25"/>
    <w:rsid w:val="10B22749"/>
    <w:rsid w:val="10B4201D"/>
    <w:rsid w:val="10C26171"/>
    <w:rsid w:val="10C55FD8"/>
    <w:rsid w:val="10ED3781"/>
    <w:rsid w:val="10EF12A7"/>
    <w:rsid w:val="10F33360"/>
    <w:rsid w:val="10FC16EA"/>
    <w:rsid w:val="10FD39C4"/>
    <w:rsid w:val="110F1D40"/>
    <w:rsid w:val="111156C1"/>
    <w:rsid w:val="11230F50"/>
    <w:rsid w:val="11266F33"/>
    <w:rsid w:val="11511F61"/>
    <w:rsid w:val="11681E32"/>
    <w:rsid w:val="118963A1"/>
    <w:rsid w:val="11C6522A"/>
    <w:rsid w:val="11D566EF"/>
    <w:rsid w:val="11D861DF"/>
    <w:rsid w:val="11E104CC"/>
    <w:rsid w:val="11E20309"/>
    <w:rsid w:val="121C1057"/>
    <w:rsid w:val="12255233"/>
    <w:rsid w:val="12530213"/>
    <w:rsid w:val="12753A2E"/>
    <w:rsid w:val="127723A9"/>
    <w:rsid w:val="12862074"/>
    <w:rsid w:val="12883966"/>
    <w:rsid w:val="129A3494"/>
    <w:rsid w:val="129E45B4"/>
    <w:rsid w:val="12A7620A"/>
    <w:rsid w:val="12C91E2D"/>
    <w:rsid w:val="12CD5618"/>
    <w:rsid w:val="12D81596"/>
    <w:rsid w:val="12EE333C"/>
    <w:rsid w:val="13072A44"/>
    <w:rsid w:val="134170F2"/>
    <w:rsid w:val="13464EA3"/>
    <w:rsid w:val="135F4BE2"/>
    <w:rsid w:val="1379754E"/>
    <w:rsid w:val="137F4B64"/>
    <w:rsid w:val="13954387"/>
    <w:rsid w:val="139B1A0A"/>
    <w:rsid w:val="139D25C7"/>
    <w:rsid w:val="13BA3DEE"/>
    <w:rsid w:val="13BF3CE4"/>
    <w:rsid w:val="13D03611"/>
    <w:rsid w:val="13D34EB0"/>
    <w:rsid w:val="13F84916"/>
    <w:rsid w:val="14027543"/>
    <w:rsid w:val="141008D8"/>
    <w:rsid w:val="14125FE6"/>
    <w:rsid w:val="14294AD0"/>
    <w:rsid w:val="143516C6"/>
    <w:rsid w:val="14423DE3"/>
    <w:rsid w:val="1457163D"/>
    <w:rsid w:val="146D271E"/>
    <w:rsid w:val="14720225"/>
    <w:rsid w:val="14926B19"/>
    <w:rsid w:val="149503B7"/>
    <w:rsid w:val="14982588"/>
    <w:rsid w:val="149A5AD9"/>
    <w:rsid w:val="14A7619D"/>
    <w:rsid w:val="14B940A6"/>
    <w:rsid w:val="14BD1E65"/>
    <w:rsid w:val="14EB1BED"/>
    <w:rsid w:val="150536C3"/>
    <w:rsid w:val="150C1963"/>
    <w:rsid w:val="151447A0"/>
    <w:rsid w:val="151C4634"/>
    <w:rsid w:val="154A6454"/>
    <w:rsid w:val="154C316C"/>
    <w:rsid w:val="155E2E9F"/>
    <w:rsid w:val="15762120"/>
    <w:rsid w:val="158E72E0"/>
    <w:rsid w:val="15B66837"/>
    <w:rsid w:val="15C01464"/>
    <w:rsid w:val="160475A2"/>
    <w:rsid w:val="162E2871"/>
    <w:rsid w:val="162E461F"/>
    <w:rsid w:val="163A7468"/>
    <w:rsid w:val="164976AB"/>
    <w:rsid w:val="165A18B8"/>
    <w:rsid w:val="166938A9"/>
    <w:rsid w:val="1681529F"/>
    <w:rsid w:val="16A10D7E"/>
    <w:rsid w:val="16A8729C"/>
    <w:rsid w:val="16AE07B1"/>
    <w:rsid w:val="16B234A2"/>
    <w:rsid w:val="16B33777"/>
    <w:rsid w:val="16BC70A7"/>
    <w:rsid w:val="16BE3BF5"/>
    <w:rsid w:val="16C6339E"/>
    <w:rsid w:val="16CF2352"/>
    <w:rsid w:val="16E20245"/>
    <w:rsid w:val="16F47617"/>
    <w:rsid w:val="170F61FF"/>
    <w:rsid w:val="171C091C"/>
    <w:rsid w:val="172F2D79"/>
    <w:rsid w:val="17321856"/>
    <w:rsid w:val="17557BEF"/>
    <w:rsid w:val="176F6C9D"/>
    <w:rsid w:val="17795D6E"/>
    <w:rsid w:val="17947575"/>
    <w:rsid w:val="179901BE"/>
    <w:rsid w:val="17AF79E2"/>
    <w:rsid w:val="17BB0135"/>
    <w:rsid w:val="17D349C1"/>
    <w:rsid w:val="17F11DA8"/>
    <w:rsid w:val="18023FB5"/>
    <w:rsid w:val="180A2E6A"/>
    <w:rsid w:val="181D494B"/>
    <w:rsid w:val="181E4074"/>
    <w:rsid w:val="1830729E"/>
    <w:rsid w:val="184C5231"/>
    <w:rsid w:val="1870062C"/>
    <w:rsid w:val="18817102"/>
    <w:rsid w:val="18830A15"/>
    <w:rsid w:val="18852B28"/>
    <w:rsid w:val="188B5321"/>
    <w:rsid w:val="188D1AD1"/>
    <w:rsid w:val="189270E7"/>
    <w:rsid w:val="18A4506D"/>
    <w:rsid w:val="19037FE5"/>
    <w:rsid w:val="19063631"/>
    <w:rsid w:val="19410B0E"/>
    <w:rsid w:val="19553B50"/>
    <w:rsid w:val="19597C05"/>
    <w:rsid w:val="195B397D"/>
    <w:rsid w:val="196D36B1"/>
    <w:rsid w:val="19836A30"/>
    <w:rsid w:val="198C7FDB"/>
    <w:rsid w:val="19932372"/>
    <w:rsid w:val="19A03A86"/>
    <w:rsid w:val="19A20DD5"/>
    <w:rsid w:val="19AE03F1"/>
    <w:rsid w:val="19CA0B03"/>
    <w:rsid w:val="19DB686C"/>
    <w:rsid w:val="19F93196"/>
    <w:rsid w:val="1A071A03"/>
    <w:rsid w:val="1A1F16AE"/>
    <w:rsid w:val="1A27385F"/>
    <w:rsid w:val="1A3B5C77"/>
    <w:rsid w:val="1A400DC5"/>
    <w:rsid w:val="1A815666"/>
    <w:rsid w:val="1A984BAD"/>
    <w:rsid w:val="1AA11864"/>
    <w:rsid w:val="1AA17AB6"/>
    <w:rsid w:val="1AB8220E"/>
    <w:rsid w:val="1AD803E9"/>
    <w:rsid w:val="1ADF05DE"/>
    <w:rsid w:val="1AE4166C"/>
    <w:rsid w:val="1AF06CFB"/>
    <w:rsid w:val="1AF11B8D"/>
    <w:rsid w:val="1AFE6CB6"/>
    <w:rsid w:val="1B11359C"/>
    <w:rsid w:val="1B2A271F"/>
    <w:rsid w:val="1B414DF5"/>
    <w:rsid w:val="1B522B5E"/>
    <w:rsid w:val="1B530544"/>
    <w:rsid w:val="1B60171F"/>
    <w:rsid w:val="1B713184"/>
    <w:rsid w:val="1B724FAE"/>
    <w:rsid w:val="1B813443"/>
    <w:rsid w:val="1B9E3FF5"/>
    <w:rsid w:val="1BA209CF"/>
    <w:rsid w:val="1BB11F7A"/>
    <w:rsid w:val="1BB4777D"/>
    <w:rsid w:val="1BD75AB8"/>
    <w:rsid w:val="1BE340FE"/>
    <w:rsid w:val="1BEF4851"/>
    <w:rsid w:val="1C0459C2"/>
    <w:rsid w:val="1C1B3B4A"/>
    <w:rsid w:val="1C202C5C"/>
    <w:rsid w:val="1C314E69"/>
    <w:rsid w:val="1C35495A"/>
    <w:rsid w:val="1C760ACE"/>
    <w:rsid w:val="1C7D00AF"/>
    <w:rsid w:val="1C876837"/>
    <w:rsid w:val="1C88086E"/>
    <w:rsid w:val="1C980A44"/>
    <w:rsid w:val="1CF758EF"/>
    <w:rsid w:val="1D061E52"/>
    <w:rsid w:val="1D1C1676"/>
    <w:rsid w:val="1D266CE1"/>
    <w:rsid w:val="1D3963AF"/>
    <w:rsid w:val="1D4330A6"/>
    <w:rsid w:val="1D570900"/>
    <w:rsid w:val="1D5A219E"/>
    <w:rsid w:val="1D6A673C"/>
    <w:rsid w:val="1D9247AE"/>
    <w:rsid w:val="1DAC0C4B"/>
    <w:rsid w:val="1DB567EC"/>
    <w:rsid w:val="1DE657E0"/>
    <w:rsid w:val="1DE877AA"/>
    <w:rsid w:val="1DF51A98"/>
    <w:rsid w:val="1E312EFF"/>
    <w:rsid w:val="1E3D060F"/>
    <w:rsid w:val="1E3F7D2E"/>
    <w:rsid w:val="1E4134E4"/>
    <w:rsid w:val="1E5062B3"/>
    <w:rsid w:val="1E523514"/>
    <w:rsid w:val="1E641526"/>
    <w:rsid w:val="1E714A66"/>
    <w:rsid w:val="1E802593"/>
    <w:rsid w:val="1E8A0861"/>
    <w:rsid w:val="1EA703CC"/>
    <w:rsid w:val="1EAE09F3"/>
    <w:rsid w:val="1EB7330C"/>
    <w:rsid w:val="1F0A0FF3"/>
    <w:rsid w:val="1F100D66"/>
    <w:rsid w:val="1F1F71FB"/>
    <w:rsid w:val="1F42113B"/>
    <w:rsid w:val="1F444EB4"/>
    <w:rsid w:val="1F5771FF"/>
    <w:rsid w:val="1F9C084C"/>
    <w:rsid w:val="1FB07A6C"/>
    <w:rsid w:val="1FB21F74"/>
    <w:rsid w:val="1FBC4A4A"/>
    <w:rsid w:val="1FCB2EDF"/>
    <w:rsid w:val="1FE868A9"/>
    <w:rsid w:val="1FED554B"/>
    <w:rsid w:val="1FED72F9"/>
    <w:rsid w:val="20034907"/>
    <w:rsid w:val="20173E4B"/>
    <w:rsid w:val="202F16C0"/>
    <w:rsid w:val="203D202F"/>
    <w:rsid w:val="204E48BC"/>
    <w:rsid w:val="20827A42"/>
    <w:rsid w:val="20887022"/>
    <w:rsid w:val="208921B3"/>
    <w:rsid w:val="20973DEB"/>
    <w:rsid w:val="20AA343C"/>
    <w:rsid w:val="20B26522"/>
    <w:rsid w:val="20B44310"/>
    <w:rsid w:val="20B6593D"/>
    <w:rsid w:val="20CC6F0F"/>
    <w:rsid w:val="20E56222"/>
    <w:rsid w:val="210C1A01"/>
    <w:rsid w:val="211116EB"/>
    <w:rsid w:val="21231A15"/>
    <w:rsid w:val="213C22E6"/>
    <w:rsid w:val="21505D92"/>
    <w:rsid w:val="216133FC"/>
    <w:rsid w:val="218912A4"/>
    <w:rsid w:val="21CD2F3E"/>
    <w:rsid w:val="21D00C81"/>
    <w:rsid w:val="21D20555"/>
    <w:rsid w:val="21D56769"/>
    <w:rsid w:val="21E52EF3"/>
    <w:rsid w:val="21F7445F"/>
    <w:rsid w:val="21FB5D7B"/>
    <w:rsid w:val="220B1C3D"/>
    <w:rsid w:val="221D1D20"/>
    <w:rsid w:val="22334A87"/>
    <w:rsid w:val="22394A78"/>
    <w:rsid w:val="224D22D1"/>
    <w:rsid w:val="224E3AA0"/>
    <w:rsid w:val="22574EFE"/>
    <w:rsid w:val="226A2E83"/>
    <w:rsid w:val="226D64CF"/>
    <w:rsid w:val="22916662"/>
    <w:rsid w:val="229E110F"/>
    <w:rsid w:val="22A53EBB"/>
    <w:rsid w:val="22B56F98"/>
    <w:rsid w:val="22B63F6F"/>
    <w:rsid w:val="22BE6801"/>
    <w:rsid w:val="22CC31F6"/>
    <w:rsid w:val="22CD6F6E"/>
    <w:rsid w:val="22D60519"/>
    <w:rsid w:val="22EE5862"/>
    <w:rsid w:val="230010F2"/>
    <w:rsid w:val="233500BF"/>
    <w:rsid w:val="23377FF7"/>
    <w:rsid w:val="236B425F"/>
    <w:rsid w:val="23836192"/>
    <w:rsid w:val="238E0DF3"/>
    <w:rsid w:val="23901F29"/>
    <w:rsid w:val="239C0061"/>
    <w:rsid w:val="23A37038"/>
    <w:rsid w:val="23B048C6"/>
    <w:rsid w:val="23B908A4"/>
    <w:rsid w:val="23CB1357"/>
    <w:rsid w:val="23E95BEF"/>
    <w:rsid w:val="23FD0064"/>
    <w:rsid w:val="2409047A"/>
    <w:rsid w:val="245375B0"/>
    <w:rsid w:val="24642C0A"/>
    <w:rsid w:val="247C0C4C"/>
    <w:rsid w:val="24864B8F"/>
    <w:rsid w:val="24B22173"/>
    <w:rsid w:val="24B95AD9"/>
    <w:rsid w:val="24BE24DA"/>
    <w:rsid w:val="24CF5825"/>
    <w:rsid w:val="24D34D10"/>
    <w:rsid w:val="24D663E6"/>
    <w:rsid w:val="24D77F2B"/>
    <w:rsid w:val="24E76A0D"/>
    <w:rsid w:val="24FD7FDE"/>
    <w:rsid w:val="250208DE"/>
    <w:rsid w:val="25205A7B"/>
    <w:rsid w:val="253F4153"/>
    <w:rsid w:val="25583467"/>
    <w:rsid w:val="256516E0"/>
    <w:rsid w:val="258B00E2"/>
    <w:rsid w:val="25A917A6"/>
    <w:rsid w:val="25B52667"/>
    <w:rsid w:val="25BE27CC"/>
    <w:rsid w:val="25E60A73"/>
    <w:rsid w:val="25F74A5C"/>
    <w:rsid w:val="26127ABA"/>
    <w:rsid w:val="2628662C"/>
    <w:rsid w:val="262D45DE"/>
    <w:rsid w:val="263537A8"/>
    <w:rsid w:val="2657371E"/>
    <w:rsid w:val="2661634B"/>
    <w:rsid w:val="2685748B"/>
    <w:rsid w:val="26A53EF9"/>
    <w:rsid w:val="26A94201"/>
    <w:rsid w:val="26AC274F"/>
    <w:rsid w:val="26E66850"/>
    <w:rsid w:val="27044A29"/>
    <w:rsid w:val="27135897"/>
    <w:rsid w:val="271635D9"/>
    <w:rsid w:val="271D34C8"/>
    <w:rsid w:val="27602AA7"/>
    <w:rsid w:val="276142BF"/>
    <w:rsid w:val="276F6846"/>
    <w:rsid w:val="27783712"/>
    <w:rsid w:val="27907362"/>
    <w:rsid w:val="27AB1F74"/>
    <w:rsid w:val="27EB0DC5"/>
    <w:rsid w:val="27F154AD"/>
    <w:rsid w:val="28333E1D"/>
    <w:rsid w:val="283A32F8"/>
    <w:rsid w:val="28454BD6"/>
    <w:rsid w:val="28455253"/>
    <w:rsid w:val="28551971"/>
    <w:rsid w:val="285B1C53"/>
    <w:rsid w:val="289F7086"/>
    <w:rsid w:val="28A560D5"/>
    <w:rsid w:val="28C32028"/>
    <w:rsid w:val="28CC490F"/>
    <w:rsid w:val="28DE40AA"/>
    <w:rsid w:val="291458F7"/>
    <w:rsid w:val="29345E77"/>
    <w:rsid w:val="293470A9"/>
    <w:rsid w:val="294361DC"/>
    <w:rsid w:val="294C65AD"/>
    <w:rsid w:val="29806583"/>
    <w:rsid w:val="298B3C4C"/>
    <w:rsid w:val="29973066"/>
    <w:rsid w:val="29D82DC8"/>
    <w:rsid w:val="29E277A3"/>
    <w:rsid w:val="29E4176D"/>
    <w:rsid w:val="29F26D24"/>
    <w:rsid w:val="2A15033F"/>
    <w:rsid w:val="2A1662C1"/>
    <w:rsid w:val="2A1C7367"/>
    <w:rsid w:val="2A2815FA"/>
    <w:rsid w:val="2A6D6092"/>
    <w:rsid w:val="2A7D76B4"/>
    <w:rsid w:val="2A8E16D9"/>
    <w:rsid w:val="2A9A6937"/>
    <w:rsid w:val="2AB4113F"/>
    <w:rsid w:val="2AE01F34"/>
    <w:rsid w:val="2AE8703B"/>
    <w:rsid w:val="2B2C5A27"/>
    <w:rsid w:val="2B400C25"/>
    <w:rsid w:val="2B437463"/>
    <w:rsid w:val="2B4F3221"/>
    <w:rsid w:val="2B7807EE"/>
    <w:rsid w:val="2BBF00EC"/>
    <w:rsid w:val="2BC37CFD"/>
    <w:rsid w:val="2BD5237F"/>
    <w:rsid w:val="2BDB26FC"/>
    <w:rsid w:val="2BE536CE"/>
    <w:rsid w:val="2BE758D9"/>
    <w:rsid w:val="2BF612E4"/>
    <w:rsid w:val="2C09049E"/>
    <w:rsid w:val="2C0A653C"/>
    <w:rsid w:val="2C161986"/>
    <w:rsid w:val="2C191F85"/>
    <w:rsid w:val="2C257460"/>
    <w:rsid w:val="2C4E7372"/>
    <w:rsid w:val="2C66290D"/>
    <w:rsid w:val="2CA01AF4"/>
    <w:rsid w:val="2CA24B61"/>
    <w:rsid w:val="2CD605AC"/>
    <w:rsid w:val="2CDF7FCA"/>
    <w:rsid w:val="2CE82D6F"/>
    <w:rsid w:val="2D2F5434"/>
    <w:rsid w:val="2D343236"/>
    <w:rsid w:val="2D6B7AAF"/>
    <w:rsid w:val="2D7746A6"/>
    <w:rsid w:val="2DA3549B"/>
    <w:rsid w:val="2DD15014"/>
    <w:rsid w:val="2DF72DE4"/>
    <w:rsid w:val="2E0220AF"/>
    <w:rsid w:val="2E3D31FA"/>
    <w:rsid w:val="2E4B082A"/>
    <w:rsid w:val="2E5D4E86"/>
    <w:rsid w:val="2E5D790B"/>
    <w:rsid w:val="2E8B665B"/>
    <w:rsid w:val="2E960B5C"/>
    <w:rsid w:val="2E9A3C18"/>
    <w:rsid w:val="2EA414CB"/>
    <w:rsid w:val="2EBB0FEE"/>
    <w:rsid w:val="2EC35DF5"/>
    <w:rsid w:val="2EC63002"/>
    <w:rsid w:val="2EE30245"/>
    <w:rsid w:val="2EF73CF0"/>
    <w:rsid w:val="2F034C03"/>
    <w:rsid w:val="2F0A6B38"/>
    <w:rsid w:val="2F176141"/>
    <w:rsid w:val="2F5527C5"/>
    <w:rsid w:val="2F946CCB"/>
    <w:rsid w:val="2F963509"/>
    <w:rsid w:val="2FA63021"/>
    <w:rsid w:val="2FA84FEB"/>
    <w:rsid w:val="2FD25781"/>
    <w:rsid w:val="2FE06533"/>
    <w:rsid w:val="2FF26266"/>
    <w:rsid w:val="2FFD7934"/>
    <w:rsid w:val="3034062C"/>
    <w:rsid w:val="303636D2"/>
    <w:rsid w:val="303D5733"/>
    <w:rsid w:val="30550CCF"/>
    <w:rsid w:val="30733ACD"/>
    <w:rsid w:val="3075311F"/>
    <w:rsid w:val="30760C45"/>
    <w:rsid w:val="307D1FD3"/>
    <w:rsid w:val="308C3862"/>
    <w:rsid w:val="309379D8"/>
    <w:rsid w:val="30A270F7"/>
    <w:rsid w:val="30D047F9"/>
    <w:rsid w:val="30D140CD"/>
    <w:rsid w:val="30D836AE"/>
    <w:rsid w:val="30DF1478"/>
    <w:rsid w:val="30EC586F"/>
    <w:rsid w:val="310B5831"/>
    <w:rsid w:val="314F1BC2"/>
    <w:rsid w:val="315076E8"/>
    <w:rsid w:val="3163741B"/>
    <w:rsid w:val="31662A68"/>
    <w:rsid w:val="31723B02"/>
    <w:rsid w:val="317C04DD"/>
    <w:rsid w:val="31905D36"/>
    <w:rsid w:val="319C6071"/>
    <w:rsid w:val="31A11CF2"/>
    <w:rsid w:val="31AC537E"/>
    <w:rsid w:val="31E3679B"/>
    <w:rsid w:val="31E732FD"/>
    <w:rsid w:val="31FA213D"/>
    <w:rsid w:val="32517576"/>
    <w:rsid w:val="327F0285"/>
    <w:rsid w:val="32BC3287"/>
    <w:rsid w:val="32BD0DAD"/>
    <w:rsid w:val="32BE5C2C"/>
    <w:rsid w:val="32C5465E"/>
    <w:rsid w:val="32D14858"/>
    <w:rsid w:val="32E20814"/>
    <w:rsid w:val="32E71EAB"/>
    <w:rsid w:val="32FB6478"/>
    <w:rsid w:val="33263B3F"/>
    <w:rsid w:val="33266952"/>
    <w:rsid w:val="332E5807"/>
    <w:rsid w:val="33354DE7"/>
    <w:rsid w:val="335E433E"/>
    <w:rsid w:val="33653315"/>
    <w:rsid w:val="336963EB"/>
    <w:rsid w:val="337376BE"/>
    <w:rsid w:val="33816EEB"/>
    <w:rsid w:val="338D69D1"/>
    <w:rsid w:val="33B95A18"/>
    <w:rsid w:val="33D97E69"/>
    <w:rsid w:val="33DC34B5"/>
    <w:rsid w:val="33DE547F"/>
    <w:rsid w:val="33EB55CD"/>
    <w:rsid w:val="33EC4C02"/>
    <w:rsid w:val="33EC7B9C"/>
    <w:rsid w:val="340D2360"/>
    <w:rsid w:val="3410665D"/>
    <w:rsid w:val="34211214"/>
    <w:rsid w:val="342E63AB"/>
    <w:rsid w:val="346C2A8B"/>
    <w:rsid w:val="34853EAB"/>
    <w:rsid w:val="34950E68"/>
    <w:rsid w:val="34986E94"/>
    <w:rsid w:val="349D2C44"/>
    <w:rsid w:val="34AF62C9"/>
    <w:rsid w:val="34CB4388"/>
    <w:rsid w:val="34FA6E12"/>
    <w:rsid w:val="3502519D"/>
    <w:rsid w:val="350607E9"/>
    <w:rsid w:val="35153C60"/>
    <w:rsid w:val="351F7AFD"/>
    <w:rsid w:val="3558300F"/>
    <w:rsid w:val="356B4464"/>
    <w:rsid w:val="358B0CEF"/>
    <w:rsid w:val="358D5588"/>
    <w:rsid w:val="35F965A0"/>
    <w:rsid w:val="361A58E1"/>
    <w:rsid w:val="363A3B40"/>
    <w:rsid w:val="363C648D"/>
    <w:rsid w:val="365302AE"/>
    <w:rsid w:val="36607A0A"/>
    <w:rsid w:val="366E227C"/>
    <w:rsid w:val="366F2E0D"/>
    <w:rsid w:val="367B6A5C"/>
    <w:rsid w:val="36857E34"/>
    <w:rsid w:val="36911A0F"/>
    <w:rsid w:val="36A74ADA"/>
    <w:rsid w:val="36AD60D5"/>
    <w:rsid w:val="36B224F9"/>
    <w:rsid w:val="36B773E0"/>
    <w:rsid w:val="36E903C3"/>
    <w:rsid w:val="36EC0CC9"/>
    <w:rsid w:val="37052D23"/>
    <w:rsid w:val="372633C5"/>
    <w:rsid w:val="373F410B"/>
    <w:rsid w:val="3757357E"/>
    <w:rsid w:val="375D66BB"/>
    <w:rsid w:val="37D7646D"/>
    <w:rsid w:val="37EE7094"/>
    <w:rsid w:val="3805122C"/>
    <w:rsid w:val="381C675D"/>
    <w:rsid w:val="38217669"/>
    <w:rsid w:val="38296C89"/>
    <w:rsid w:val="383002EB"/>
    <w:rsid w:val="38327B47"/>
    <w:rsid w:val="384C6E5B"/>
    <w:rsid w:val="38586797"/>
    <w:rsid w:val="389D76B7"/>
    <w:rsid w:val="38AC5B4C"/>
    <w:rsid w:val="38BC0149"/>
    <w:rsid w:val="38D87D1C"/>
    <w:rsid w:val="38DE45A4"/>
    <w:rsid w:val="38E47094"/>
    <w:rsid w:val="38E928FC"/>
    <w:rsid w:val="38FB43DD"/>
    <w:rsid w:val="39131727"/>
    <w:rsid w:val="39182B96"/>
    <w:rsid w:val="39227BBC"/>
    <w:rsid w:val="39276F80"/>
    <w:rsid w:val="393022D9"/>
    <w:rsid w:val="39636459"/>
    <w:rsid w:val="396B7F6C"/>
    <w:rsid w:val="398762A8"/>
    <w:rsid w:val="39AB7BB1"/>
    <w:rsid w:val="39B417A9"/>
    <w:rsid w:val="39BD78E5"/>
    <w:rsid w:val="39C96289"/>
    <w:rsid w:val="39D07618"/>
    <w:rsid w:val="39D92970"/>
    <w:rsid w:val="39F23A32"/>
    <w:rsid w:val="39F5707E"/>
    <w:rsid w:val="39FC5695"/>
    <w:rsid w:val="3A006D8E"/>
    <w:rsid w:val="3A217E73"/>
    <w:rsid w:val="3A3651E5"/>
    <w:rsid w:val="3A744481"/>
    <w:rsid w:val="3A8C7BEF"/>
    <w:rsid w:val="3A906246"/>
    <w:rsid w:val="3AA52853"/>
    <w:rsid w:val="3ABB3E24"/>
    <w:rsid w:val="3AE25855"/>
    <w:rsid w:val="3AEE244B"/>
    <w:rsid w:val="3AF61300"/>
    <w:rsid w:val="3AF70BD4"/>
    <w:rsid w:val="3B0357CB"/>
    <w:rsid w:val="3B2349B7"/>
    <w:rsid w:val="3B3B4F65"/>
    <w:rsid w:val="3B6049CB"/>
    <w:rsid w:val="3B616CFF"/>
    <w:rsid w:val="3B6259F6"/>
    <w:rsid w:val="3B6A75F8"/>
    <w:rsid w:val="3B7010B2"/>
    <w:rsid w:val="3B820DE6"/>
    <w:rsid w:val="3B893F22"/>
    <w:rsid w:val="3B9052B1"/>
    <w:rsid w:val="3B976654"/>
    <w:rsid w:val="3BBD1E1E"/>
    <w:rsid w:val="3BC01EFC"/>
    <w:rsid w:val="3BC62A80"/>
    <w:rsid w:val="3BCA786A"/>
    <w:rsid w:val="3BD056AD"/>
    <w:rsid w:val="3BD31E2F"/>
    <w:rsid w:val="3BF15831"/>
    <w:rsid w:val="3C105946"/>
    <w:rsid w:val="3C28373B"/>
    <w:rsid w:val="3C406CD7"/>
    <w:rsid w:val="3C471448"/>
    <w:rsid w:val="3C5938F5"/>
    <w:rsid w:val="3C5F759A"/>
    <w:rsid w:val="3C65673D"/>
    <w:rsid w:val="3C6A3D54"/>
    <w:rsid w:val="3C6C525A"/>
    <w:rsid w:val="3C7E15AD"/>
    <w:rsid w:val="3CA8662A"/>
    <w:rsid w:val="3CB13731"/>
    <w:rsid w:val="3CBE4D47"/>
    <w:rsid w:val="3CCE23CB"/>
    <w:rsid w:val="3CD17D17"/>
    <w:rsid w:val="3CD411CD"/>
    <w:rsid w:val="3CE60F00"/>
    <w:rsid w:val="3CE77152"/>
    <w:rsid w:val="3CFE449C"/>
    <w:rsid w:val="3D255ECD"/>
    <w:rsid w:val="3D3C7F39"/>
    <w:rsid w:val="3D3E0D3C"/>
    <w:rsid w:val="3D3F6F8E"/>
    <w:rsid w:val="3D404AB5"/>
    <w:rsid w:val="3D440F09"/>
    <w:rsid w:val="3D4504A0"/>
    <w:rsid w:val="3D532A3A"/>
    <w:rsid w:val="3D695DB9"/>
    <w:rsid w:val="3D8734BB"/>
    <w:rsid w:val="3D9A11D4"/>
    <w:rsid w:val="3DA16D89"/>
    <w:rsid w:val="3DA364BE"/>
    <w:rsid w:val="3DA52B6A"/>
    <w:rsid w:val="3DBA4867"/>
    <w:rsid w:val="3DE041CB"/>
    <w:rsid w:val="3E0D48F6"/>
    <w:rsid w:val="3E1868B4"/>
    <w:rsid w:val="3E1A5306"/>
    <w:rsid w:val="3E2D5039"/>
    <w:rsid w:val="3E377251"/>
    <w:rsid w:val="3E3C527C"/>
    <w:rsid w:val="3E42664B"/>
    <w:rsid w:val="3E483C21"/>
    <w:rsid w:val="3E515CA9"/>
    <w:rsid w:val="3E5527E2"/>
    <w:rsid w:val="3E5A7334"/>
    <w:rsid w:val="3E611186"/>
    <w:rsid w:val="3E79027E"/>
    <w:rsid w:val="3E7B5D6B"/>
    <w:rsid w:val="3E843E66"/>
    <w:rsid w:val="3E8F51FE"/>
    <w:rsid w:val="3E926F87"/>
    <w:rsid w:val="3E9450B8"/>
    <w:rsid w:val="3E9A59DE"/>
    <w:rsid w:val="3EAF4836"/>
    <w:rsid w:val="3EB43064"/>
    <w:rsid w:val="3EBD7BD9"/>
    <w:rsid w:val="3EC33DFA"/>
    <w:rsid w:val="3ECF60F0"/>
    <w:rsid w:val="3F060E16"/>
    <w:rsid w:val="3F0D6C18"/>
    <w:rsid w:val="3F185CE9"/>
    <w:rsid w:val="3F1D1096"/>
    <w:rsid w:val="3F2F0234"/>
    <w:rsid w:val="3F375A43"/>
    <w:rsid w:val="3F43088C"/>
    <w:rsid w:val="3F544847"/>
    <w:rsid w:val="3F6031EC"/>
    <w:rsid w:val="3F6363FE"/>
    <w:rsid w:val="3F756B8F"/>
    <w:rsid w:val="3F80563C"/>
    <w:rsid w:val="3F95482B"/>
    <w:rsid w:val="3FA806EF"/>
    <w:rsid w:val="3FDA11F0"/>
    <w:rsid w:val="3FEC4A80"/>
    <w:rsid w:val="40026051"/>
    <w:rsid w:val="40030C42"/>
    <w:rsid w:val="40091AAF"/>
    <w:rsid w:val="40093884"/>
    <w:rsid w:val="4019356B"/>
    <w:rsid w:val="40324B88"/>
    <w:rsid w:val="40396881"/>
    <w:rsid w:val="40592157"/>
    <w:rsid w:val="40662A84"/>
    <w:rsid w:val="40672358"/>
    <w:rsid w:val="406E1CAE"/>
    <w:rsid w:val="407E2422"/>
    <w:rsid w:val="40874B77"/>
    <w:rsid w:val="40A0133A"/>
    <w:rsid w:val="40C31A53"/>
    <w:rsid w:val="40ED32DF"/>
    <w:rsid w:val="40FF545D"/>
    <w:rsid w:val="410067C8"/>
    <w:rsid w:val="412D0F69"/>
    <w:rsid w:val="41807B75"/>
    <w:rsid w:val="418F0D2A"/>
    <w:rsid w:val="419B050B"/>
    <w:rsid w:val="41AE6491"/>
    <w:rsid w:val="41C537DA"/>
    <w:rsid w:val="41D01505"/>
    <w:rsid w:val="41E974C9"/>
    <w:rsid w:val="41EC3710"/>
    <w:rsid w:val="41FB71FC"/>
    <w:rsid w:val="420C1409"/>
    <w:rsid w:val="420E6F2F"/>
    <w:rsid w:val="423544BC"/>
    <w:rsid w:val="42474939"/>
    <w:rsid w:val="424C3C57"/>
    <w:rsid w:val="42613FF3"/>
    <w:rsid w:val="42660D96"/>
    <w:rsid w:val="428667D2"/>
    <w:rsid w:val="428C60A6"/>
    <w:rsid w:val="42BA2C13"/>
    <w:rsid w:val="42C10446"/>
    <w:rsid w:val="42CD1CE0"/>
    <w:rsid w:val="42E1381E"/>
    <w:rsid w:val="42ED6459"/>
    <w:rsid w:val="42FE58DD"/>
    <w:rsid w:val="43174B3D"/>
    <w:rsid w:val="43397FDC"/>
    <w:rsid w:val="434B790E"/>
    <w:rsid w:val="4360274F"/>
    <w:rsid w:val="436D5ED7"/>
    <w:rsid w:val="43911BC6"/>
    <w:rsid w:val="43917E18"/>
    <w:rsid w:val="43923B90"/>
    <w:rsid w:val="43977AB6"/>
    <w:rsid w:val="43A3342B"/>
    <w:rsid w:val="43C77C27"/>
    <w:rsid w:val="43D321DE"/>
    <w:rsid w:val="43DE09EE"/>
    <w:rsid w:val="43E4263E"/>
    <w:rsid w:val="43E837B0"/>
    <w:rsid w:val="44002FAD"/>
    <w:rsid w:val="442E38B9"/>
    <w:rsid w:val="44745E39"/>
    <w:rsid w:val="448654A3"/>
    <w:rsid w:val="449101DD"/>
    <w:rsid w:val="4496320C"/>
    <w:rsid w:val="44BA514C"/>
    <w:rsid w:val="44DC3315"/>
    <w:rsid w:val="44DE1391"/>
    <w:rsid w:val="44E65F41"/>
    <w:rsid w:val="451B225C"/>
    <w:rsid w:val="452410C9"/>
    <w:rsid w:val="45246A6A"/>
    <w:rsid w:val="452D1DC2"/>
    <w:rsid w:val="452D3B70"/>
    <w:rsid w:val="452F78E8"/>
    <w:rsid w:val="45317DFB"/>
    <w:rsid w:val="456D3CE4"/>
    <w:rsid w:val="4579042C"/>
    <w:rsid w:val="457A48DC"/>
    <w:rsid w:val="457F0571"/>
    <w:rsid w:val="45851176"/>
    <w:rsid w:val="459D1ED8"/>
    <w:rsid w:val="45A100BA"/>
    <w:rsid w:val="45BA31A1"/>
    <w:rsid w:val="45C63B94"/>
    <w:rsid w:val="45DB7954"/>
    <w:rsid w:val="460E7DA5"/>
    <w:rsid w:val="462C207A"/>
    <w:rsid w:val="46422483"/>
    <w:rsid w:val="4659254A"/>
    <w:rsid w:val="465B0637"/>
    <w:rsid w:val="465E3F0D"/>
    <w:rsid w:val="466A16E6"/>
    <w:rsid w:val="466C691A"/>
    <w:rsid w:val="46753A21"/>
    <w:rsid w:val="46893F2B"/>
    <w:rsid w:val="468C2B19"/>
    <w:rsid w:val="46C4686E"/>
    <w:rsid w:val="4714323A"/>
    <w:rsid w:val="47341AA2"/>
    <w:rsid w:val="477B778F"/>
    <w:rsid w:val="478203EC"/>
    <w:rsid w:val="47863A0C"/>
    <w:rsid w:val="4793052E"/>
    <w:rsid w:val="47975C19"/>
    <w:rsid w:val="47A86B82"/>
    <w:rsid w:val="47B025FA"/>
    <w:rsid w:val="47C36A0E"/>
    <w:rsid w:val="47CA1B4A"/>
    <w:rsid w:val="47D0517F"/>
    <w:rsid w:val="47D227AD"/>
    <w:rsid w:val="47DC362C"/>
    <w:rsid w:val="47ED6C89"/>
    <w:rsid w:val="4809698F"/>
    <w:rsid w:val="4811697D"/>
    <w:rsid w:val="48266A01"/>
    <w:rsid w:val="485D41B8"/>
    <w:rsid w:val="487A3E25"/>
    <w:rsid w:val="4888456B"/>
    <w:rsid w:val="488B5503"/>
    <w:rsid w:val="48937E21"/>
    <w:rsid w:val="489A0361"/>
    <w:rsid w:val="489D725F"/>
    <w:rsid w:val="48B94FF3"/>
    <w:rsid w:val="48C20A74"/>
    <w:rsid w:val="48E37AAB"/>
    <w:rsid w:val="48F14EB5"/>
    <w:rsid w:val="48FD4B4C"/>
    <w:rsid w:val="490A68E0"/>
    <w:rsid w:val="491055FE"/>
    <w:rsid w:val="491F7C74"/>
    <w:rsid w:val="492E6109"/>
    <w:rsid w:val="4933371F"/>
    <w:rsid w:val="495F5B3E"/>
    <w:rsid w:val="496F77D7"/>
    <w:rsid w:val="49757894"/>
    <w:rsid w:val="497654FD"/>
    <w:rsid w:val="499E503D"/>
    <w:rsid w:val="49B05850"/>
    <w:rsid w:val="49B64211"/>
    <w:rsid w:val="49CD0194"/>
    <w:rsid w:val="49F6167F"/>
    <w:rsid w:val="4A064FA0"/>
    <w:rsid w:val="4A16615C"/>
    <w:rsid w:val="4A2A4B22"/>
    <w:rsid w:val="4A4424D7"/>
    <w:rsid w:val="4A55426B"/>
    <w:rsid w:val="4AB82D0F"/>
    <w:rsid w:val="4ABD5996"/>
    <w:rsid w:val="4AD131F0"/>
    <w:rsid w:val="4AEB7664"/>
    <w:rsid w:val="4AFD7C19"/>
    <w:rsid w:val="4B0567D1"/>
    <w:rsid w:val="4B0B6702"/>
    <w:rsid w:val="4B133808"/>
    <w:rsid w:val="4B236AAE"/>
    <w:rsid w:val="4B3774F7"/>
    <w:rsid w:val="4B707271"/>
    <w:rsid w:val="4B9739F7"/>
    <w:rsid w:val="4BEE2503"/>
    <w:rsid w:val="4C245A30"/>
    <w:rsid w:val="4C910E89"/>
    <w:rsid w:val="4CB6685F"/>
    <w:rsid w:val="4CC367FE"/>
    <w:rsid w:val="4CD11285"/>
    <w:rsid w:val="4CE25674"/>
    <w:rsid w:val="4D077F3C"/>
    <w:rsid w:val="4D123355"/>
    <w:rsid w:val="4D2A3B31"/>
    <w:rsid w:val="4D312C52"/>
    <w:rsid w:val="4D905305"/>
    <w:rsid w:val="4D964A72"/>
    <w:rsid w:val="4D9C1254"/>
    <w:rsid w:val="4D9F75D5"/>
    <w:rsid w:val="4DCB03CA"/>
    <w:rsid w:val="4E0F475B"/>
    <w:rsid w:val="4E2D4BE1"/>
    <w:rsid w:val="4E4361B3"/>
    <w:rsid w:val="4E4A7541"/>
    <w:rsid w:val="4E691E66"/>
    <w:rsid w:val="4E793892"/>
    <w:rsid w:val="4E800872"/>
    <w:rsid w:val="4E9B1B4B"/>
    <w:rsid w:val="4EC569ED"/>
    <w:rsid w:val="4ED212E5"/>
    <w:rsid w:val="4ED50EA1"/>
    <w:rsid w:val="4EEC050C"/>
    <w:rsid w:val="4EFA0F67"/>
    <w:rsid w:val="4F104EC3"/>
    <w:rsid w:val="4F1D07B2"/>
    <w:rsid w:val="4F2D4448"/>
    <w:rsid w:val="4F47354A"/>
    <w:rsid w:val="4F846A83"/>
    <w:rsid w:val="4F911C54"/>
    <w:rsid w:val="4FA17635"/>
    <w:rsid w:val="4FD572DE"/>
    <w:rsid w:val="4FE625E0"/>
    <w:rsid w:val="4FFE6835"/>
    <w:rsid w:val="500478DE"/>
    <w:rsid w:val="5021480F"/>
    <w:rsid w:val="503A5994"/>
    <w:rsid w:val="50827760"/>
    <w:rsid w:val="508F3931"/>
    <w:rsid w:val="50962ECB"/>
    <w:rsid w:val="50A42E38"/>
    <w:rsid w:val="50A4577F"/>
    <w:rsid w:val="50B73D1F"/>
    <w:rsid w:val="50BD5BC9"/>
    <w:rsid w:val="50C11EEE"/>
    <w:rsid w:val="50D77086"/>
    <w:rsid w:val="50D92DFE"/>
    <w:rsid w:val="50E97CFC"/>
    <w:rsid w:val="50F934A0"/>
    <w:rsid w:val="50FA4028"/>
    <w:rsid w:val="510D65B7"/>
    <w:rsid w:val="51100A1F"/>
    <w:rsid w:val="511157AB"/>
    <w:rsid w:val="513242BC"/>
    <w:rsid w:val="5142540C"/>
    <w:rsid w:val="516E3547"/>
    <w:rsid w:val="518832C8"/>
    <w:rsid w:val="519B6306"/>
    <w:rsid w:val="51A0432A"/>
    <w:rsid w:val="51A86090"/>
    <w:rsid w:val="51B7396D"/>
    <w:rsid w:val="522E4CC3"/>
    <w:rsid w:val="52302EF2"/>
    <w:rsid w:val="52397FF8"/>
    <w:rsid w:val="5244713B"/>
    <w:rsid w:val="524B7D2C"/>
    <w:rsid w:val="52615633"/>
    <w:rsid w:val="52636E23"/>
    <w:rsid w:val="527A5E46"/>
    <w:rsid w:val="52943481"/>
    <w:rsid w:val="52977FD4"/>
    <w:rsid w:val="52A25790"/>
    <w:rsid w:val="52A96B6F"/>
    <w:rsid w:val="52B45975"/>
    <w:rsid w:val="52B4767F"/>
    <w:rsid w:val="52BB0A0D"/>
    <w:rsid w:val="52D41ACF"/>
    <w:rsid w:val="52D752CA"/>
    <w:rsid w:val="52D94AA4"/>
    <w:rsid w:val="52E837CD"/>
    <w:rsid w:val="52EA3A62"/>
    <w:rsid w:val="52F50BB8"/>
    <w:rsid w:val="52FB1EAD"/>
    <w:rsid w:val="530302C4"/>
    <w:rsid w:val="53097272"/>
    <w:rsid w:val="53231825"/>
    <w:rsid w:val="53544462"/>
    <w:rsid w:val="535D1AC5"/>
    <w:rsid w:val="536253DF"/>
    <w:rsid w:val="538E1C7E"/>
    <w:rsid w:val="5397158E"/>
    <w:rsid w:val="53B536AF"/>
    <w:rsid w:val="53B84F4D"/>
    <w:rsid w:val="53DB0C3B"/>
    <w:rsid w:val="54013861"/>
    <w:rsid w:val="5402266C"/>
    <w:rsid w:val="54136627"/>
    <w:rsid w:val="542720D3"/>
    <w:rsid w:val="542E3461"/>
    <w:rsid w:val="5438608E"/>
    <w:rsid w:val="54487265"/>
    <w:rsid w:val="544D6070"/>
    <w:rsid w:val="5452714F"/>
    <w:rsid w:val="54605E1E"/>
    <w:rsid w:val="54B3506A"/>
    <w:rsid w:val="54CA0D16"/>
    <w:rsid w:val="54DD4057"/>
    <w:rsid w:val="54E7490F"/>
    <w:rsid w:val="54F226E1"/>
    <w:rsid w:val="55004DFD"/>
    <w:rsid w:val="550764A4"/>
    <w:rsid w:val="550B2BF6"/>
    <w:rsid w:val="55142657"/>
    <w:rsid w:val="55214EB5"/>
    <w:rsid w:val="55364EFD"/>
    <w:rsid w:val="553700F3"/>
    <w:rsid w:val="554A6079"/>
    <w:rsid w:val="554C0043"/>
    <w:rsid w:val="555B64D8"/>
    <w:rsid w:val="555D4828"/>
    <w:rsid w:val="55610808"/>
    <w:rsid w:val="557A4C8B"/>
    <w:rsid w:val="558931E1"/>
    <w:rsid w:val="55923347"/>
    <w:rsid w:val="55925180"/>
    <w:rsid w:val="55983B1B"/>
    <w:rsid w:val="55A8376B"/>
    <w:rsid w:val="55BF0815"/>
    <w:rsid w:val="55DC29B6"/>
    <w:rsid w:val="55DD4241"/>
    <w:rsid w:val="55FC3817"/>
    <w:rsid w:val="561B17C3"/>
    <w:rsid w:val="565C42B5"/>
    <w:rsid w:val="56665134"/>
    <w:rsid w:val="566B6D1E"/>
    <w:rsid w:val="569C2904"/>
    <w:rsid w:val="56BA5480"/>
    <w:rsid w:val="56E83918"/>
    <w:rsid w:val="57032A2C"/>
    <w:rsid w:val="570F5219"/>
    <w:rsid w:val="57357EFC"/>
    <w:rsid w:val="57362D58"/>
    <w:rsid w:val="574F3C5A"/>
    <w:rsid w:val="575D12B5"/>
    <w:rsid w:val="57610A87"/>
    <w:rsid w:val="577B1140"/>
    <w:rsid w:val="577B7F21"/>
    <w:rsid w:val="577F181B"/>
    <w:rsid w:val="57882E88"/>
    <w:rsid w:val="57921984"/>
    <w:rsid w:val="579737F0"/>
    <w:rsid w:val="57AB7B30"/>
    <w:rsid w:val="57AF5251"/>
    <w:rsid w:val="57B26373"/>
    <w:rsid w:val="57B63F04"/>
    <w:rsid w:val="57CD20C2"/>
    <w:rsid w:val="57D32355"/>
    <w:rsid w:val="57D675AB"/>
    <w:rsid w:val="57D95FDD"/>
    <w:rsid w:val="57DA7B88"/>
    <w:rsid w:val="580746F5"/>
    <w:rsid w:val="58240E03"/>
    <w:rsid w:val="58917D2F"/>
    <w:rsid w:val="5894085C"/>
    <w:rsid w:val="58953AAF"/>
    <w:rsid w:val="58AE4F0C"/>
    <w:rsid w:val="58B85899"/>
    <w:rsid w:val="58BF0B2C"/>
    <w:rsid w:val="58DC16DE"/>
    <w:rsid w:val="58E363A9"/>
    <w:rsid w:val="5900361E"/>
    <w:rsid w:val="591A3FB4"/>
    <w:rsid w:val="592B4413"/>
    <w:rsid w:val="594A6647"/>
    <w:rsid w:val="59592D2E"/>
    <w:rsid w:val="595E1678"/>
    <w:rsid w:val="596D5BD4"/>
    <w:rsid w:val="597933D0"/>
    <w:rsid w:val="597E3DD8"/>
    <w:rsid w:val="59A3044D"/>
    <w:rsid w:val="59B91A1F"/>
    <w:rsid w:val="59C81C62"/>
    <w:rsid w:val="59DD570D"/>
    <w:rsid w:val="59F80043"/>
    <w:rsid w:val="59FD5DAF"/>
    <w:rsid w:val="5A09252F"/>
    <w:rsid w:val="5A0B2778"/>
    <w:rsid w:val="5A1D3D5C"/>
    <w:rsid w:val="5A2A7C7B"/>
    <w:rsid w:val="5A3E2560"/>
    <w:rsid w:val="5A5D3B6E"/>
    <w:rsid w:val="5A637A76"/>
    <w:rsid w:val="5A6978F4"/>
    <w:rsid w:val="5A6D33BA"/>
    <w:rsid w:val="5A792B1F"/>
    <w:rsid w:val="5A874767"/>
    <w:rsid w:val="5A8913F1"/>
    <w:rsid w:val="5AAD6F28"/>
    <w:rsid w:val="5ACB7C5C"/>
    <w:rsid w:val="5AD63A24"/>
    <w:rsid w:val="5AF56A87"/>
    <w:rsid w:val="5B0867BA"/>
    <w:rsid w:val="5B172EA1"/>
    <w:rsid w:val="5B231846"/>
    <w:rsid w:val="5B2E1A1D"/>
    <w:rsid w:val="5B3C46B5"/>
    <w:rsid w:val="5B5248A0"/>
    <w:rsid w:val="5B5F03A4"/>
    <w:rsid w:val="5B623723"/>
    <w:rsid w:val="5B6A7475"/>
    <w:rsid w:val="5B843A1C"/>
    <w:rsid w:val="5B873E3F"/>
    <w:rsid w:val="5B8F6EDB"/>
    <w:rsid w:val="5B9E711E"/>
    <w:rsid w:val="5BAC183B"/>
    <w:rsid w:val="5BB52415"/>
    <w:rsid w:val="5BBE156E"/>
    <w:rsid w:val="5BE2525D"/>
    <w:rsid w:val="5C02690E"/>
    <w:rsid w:val="5C0276AD"/>
    <w:rsid w:val="5C196DA7"/>
    <w:rsid w:val="5C2A048C"/>
    <w:rsid w:val="5C2C472A"/>
    <w:rsid w:val="5C433A95"/>
    <w:rsid w:val="5C69772C"/>
    <w:rsid w:val="5C6F7AEE"/>
    <w:rsid w:val="5C7E0331"/>
    <w:rsid w:val="5C80234E"/>
    <w:rsid w:val="5C8A680C"/>
    <w:rsid w:val="5CD8040E"/>
    <w:rsid w:val="5CDD3C76"/>
    <w:rsid w:val="5D041203"/>
    <w:rsid w:val="5D064F7B"/>
    <w:rsid w:val="5D066D29"/>
    <w:rsid w:val="5D0C4701"/>
    <w:rsid w:val="5D0F0395"/>
    <w:rsid w:val="5D177188"/>
    <w:rsid w:val="5D221076"/>
    <w:rsid w:val="5D375134"/>
    <w:rsid w:val="5D397964"/>
    <w:rsid w:val="5D595B2D"/>
    <w:rsid w:val="5D5A391C"/>
    <w:rsid w:val="5D5F10C0"/>
    <w:rsid w:val="5D891B7B"/>
    <w:rsid w:val="5DA402F0"/>
    <w:rsid w:val="5DA6050C"/>
    <w:rsid w:val="5DAD3649"/>
    <w:rsid w:val="5DAD38EE"/>
    <w:rsid w:val="5DCB1D21"/>
    <w:rsid w:val="5DF179D9"/>
    <w:rsid w:val="5DF41277"/>
    <w:rsid w:val="5DF52328"/>
    <w:rsid w:val="5E006862"/>
    <w:rsid w:val="5E0207B9"/>
    <w:rsid w:val="5E1834A1"/>
    <w:rsid w:val="5E261785"/>
    <w:rsid w:val="5E4A7017"/>
    <w:rsid w:val="5E552BBA"/>
    <w:rsid w:val="5E611C10"/>
    <w:rsid w:val="5E6E01B6"/>
    <w:rsid w:val="5E800D5D"/>
    <w:rsid w:val="5E88169C"/>
    <w:rsid w:val="5E8F0FA0"/>
    <w:rsid w:val="5E9B7945"/>
    <w:rsid w:val="5EC46E9C"/>
    <w:rsid w:val="5EF62DCD"/>
    <w:rsid w:val="5EF86B45"/>
    <w:rsid w:val="5EFC7377"/>
    <w:rsid w:val="5F06174D"/>
    <w:rsid w:val="5F3A3602"/>
    <w:rsid w:val="5F4E49B7"/>
    <w:rsid w:val="5F6277C6"/>
    <w:rsid w:val="5F6D0B1D"/>
    <w:rsid w:val="5F8D0B82"/>
    <w:rsid w:val="5FBB029F"/>
    <w:rsid w:val="5FC03B07"/>
    <w:rsid w:val="5FCC5339"/>
    <w:rsid w:val="5FCD3B2E"/>
    <w:rsid w:val="5FD17AC2"/>
    <w:rsid w:val="5FE34A5B"/>
    <w:rsid w:val="5FE86BBA"/>
    <w:rsid w:val="5FFE1E36"/>
    <w:rsid w:val="5FFE462F"/>
    <w:rsid w:val="60232584"/>
    <w:rsid w:val="602D0A71"/>
    <w:rsid w:val="604858AA"/>
    <w:rsid w:val="607330CE"/>
    <w:rsid w:val="607E751E"/>
    <w:rsid w:val="60822B6A"/>
    <w:rsid w:val="60825176"/>
    <w:rsid w:val="6085265B"/>
    <w:rsid w:val="608B19B5"/>
    <w:rsid w:val="609329CD"/>
    <w:rsid w:val="609D79A4"/>
    <w:rsid w:val="609F2AC4"/>
    <w:rsid w:val="60F4333C"/>
    <w:rsid w:val="60FA2EE8"/>
    <w:rsid w:val="60FB0B6F"/>
    <w:rsid w:val="61054A27"/>
    <w:rsid w:val="610A52BC"/>
    <w:rsid w:val="61171478"/>
    <w:rsid w:val="611D2366"/>
    <w:rsid w:val="612260FC"/>
    <w:rsid w:val="61421856"/>
    <w:rsid w:val="615227C4"/>
    <w:rsid w:val="61654E3F"/>
    <w:rsid w:val="6182292A"/>
    <w:rsid w:val="618648DC"/>
    <w:rsid w:val="619F7F92"/>
    <w:rsid w:val="61A66D2D"/>
    <w:rsid w:val="61A91D7E"/>
    <w:rsid w:val="61AB60F1"/>
    <w:rsid w:val="61DE64C6"/>
    <w:rsid w:val="61F94C26"/>
    <w:rsid w:val="61FE02CD"/>
    <w:rsid w:val="62000E56"/>
    <w:rsid w:val="622814F0"/>
    <w:rsid w:val="62375BD7"/>
    <w:rsid w:val="624F3E49"/>
    <w:rsid w:val="62632286"/>
    <w:rsid w:val="626A2548"/>
    <w:rsid w:val="62885958"/>
    <w:rsid w:val="62E573E1"/>
    <w:rsid w:val="62F40B65"/>
    <w:rsid w:val="62F45876"/>
    <w:rsid w:val="62FC2CFE"/>
    <w:rsid w:val="63024505"/>
    <w:rsid w:val="63472497"/>
    <w:rsid w:val="635B1DB5"/>
    <w:rsid w:val="63711FED"/>
    <w:rsid w:val="638766EA"/>
    <w:rsid w:val="63880DDC"/>
    <w:rsid w:val="638D750D"/>
    <w:rsid w:val="63911317"/>
    <w:rsid w:val="63AC6CC0"/>
    <w:rsid w:val="63BC2837"/>
    <w:rsid w:val="63C055FF"/>
    <w:rsid w:val="63C60FC0"/>
    <w:rsid w:val="63DC07E4"/>
    <w:rsid w:val="64055776"/>
    <w:rsid w:val="640970FF"/>
    <w:rsid w:val="64240056"/>
    <w:rsid w:val="642D103F"/>
    <w:rsid w:val="643E143A"/>
    <w:rsid w:val="644B7717"/>
    <w:rsid w:val="64610CE9"/>
    <w:rsid w:val="6465789C"/>
    <w:rsid w:val="647749B0"/>
    <w:rsid w:val="6488096B"/>
    <w:rsid w:val="648B6EEF"/>
    <w:rsid w:val="64B11C70"/>
    <w:rsid w:val="64C158BF"/>
    <w:rsid w:val="64CE2EAA"/>
    <w:rsid w:val="64D771FD"/>
    <w:rsid w:val="64F46001"/>
    <w:rsid w:val="653C3090"/>
    <w:rsid w:val="65717652"/>
    <w:rsid w:val="657D7DA4"/>
    <w:rsid w:val="65854376"/>
    <w:rsid w:val="658767BE"/>
    <w:rsid w:val="65892531"/>
    <w:rsid w:val="65CC6636"/>
    <w:rsid w:val="66154481"/>
    <w:rsid w:val="66195831"/>
    <w:rsid w:val="662E75B1"/>
    <w:rsid w:val="66342B59"/>
    <w:rsid w:val="66342C2E"/>
    <w:rsid w:val="663E784C"/>
    <w:rsid w:val="664D3C1B"/>
    <w:rsid w:val="665723A3"/>
    <w:rsid w:val="666D7E19"/>
    <w:rsid w:val="668B6A45"/>
    <w:rsid w:val="66A31A8D"/>
    <w:rsid w:val="66A575B3"/>
    <w:rsid w:val="66B141AA"/>
    <w:rsid w:val="66D165FA"/>
    <w:rsid w:val="66E3632D"/>
    <w:rsid w:val="66F033E8"/>
    <w:rsid w:val="670D5158"/>
    <w:rsid w:val="672F3F24"/>
    <w:rsid w:val="673E055F"/>
    <w:rsid w:val="67430B7A"/>
    <w:rsid w:val="67551CE3"/>
    <w:rsid w:val="67584625"/>
    <w:rsid w:val="67753429"/>
    <w:rsid w:val="679B09B6"/>
    <w:rsid w:val="67A05FCC"/>
    <w:rsid w:val="67A22552"/>
    <w:rsid w:val="67B22DCC"/>
    <w:rsid w:val="67BE71AA"/>
    <w:rsid w:val="67D90273"/>
    <w:rsid w:val="67DE5875"/>
    <w:rsid w:val="67E1286C"/>
    <w:rsid w:val="67E55852"/>
    <w:rsid w:val="67EB1AB4"/>
    <w:rsid w:val="67F73E3E"/>
    <w:rsid w:val="67F87BB6"/>
    <w:rsid w:val="67FA1285"/>
    <w:rsid w:val="68541290"/>
    <w:rsid w:val="68551F4F"/>
    <w:rsid w:val="685F3791"/>
    <w:rsid w:val="687C10C9"/>
    <w:rsid w:val="68840C16"/>
    <w:rsid w:val="68876EFB"/>
    <w:rsid w:val="68884654"/>
    <w:rsid w:val="688D02FE"/>
    <w:rsid w:val="689F444F"/>
    <w:rsid w:val="68AD6BF3"/>
    <w:rsid w:val="68B96DBB"/>
    <w:rsid w:val="68CA2805"/>
    <w:rsid w:val="68E937A3"/>
    <w:rsid w:val="690D143F"/>
    <w:rsid w:val="6918664C"/>
    <w:rsid w:val="691E4967"/>
    <w:rsid w:val="69270753"/>
    <w:rsid w:val="692D1AE1"/>
    <w:rsid w:val="693E15D3"/>
    <w:rsid w:val="69531548"/>
    <w:rsid w:val="695D1E46"/>
    <w:rsid w:val="69627681"/>
    <w:rsid w:val="6977531D"/>
    <w:rsid w:val="69992CD3"/>
    <w:rsid w:val="69C752EC"/>
    <w:rsid w:val="69CC2BFF"/>
    <w:rsid w:val="69DB32EB"/>
    <w:rsid w:val="69FD55B8"/>
    <w:rsid w:val="6A002D52"/>
    <w:rsid w:val="6A0B1C62"/>
    <w:rsid w:val="6A2406C8"/>
    <w:rsid w:val="6A2B6021"/>
    <w:rsid w:val="6AA118C4"/>
    <w:rsid w:val="6AAB7162"/>
    <w:rsid w:val="6AC50223"/>
    <w:rsid w:val="6ADE0BD1"/>
    <w:rsid w:val="6AE96859"/>
    <w:rsid w:val="6B0625EA"/>
    <w:rsid w:val="6B147746"/>
    <w:rsid w:val="6B24787C"/>
    <w:rsid w:val="6B573233"/>
    <w:rsid w:val="6B5B6274"/>
    <w:rsid w:val="6B5E41D4"/>
    <w:rsid w:val="6B685053"/>
    <w:rsid w:val="6B7D6789"/>
    <w:rsid w:val="6B935D53"/>
    <w:rsid w:val="6BF30DC0"/>
    <w:rsid w:val="6C196F71"/>
    <w:rsid w:val="6C226FCB"/>
    <w:rsid w:val="6C31226F"/>
    <w:rsid w:val="6C3A079D"/>
    <w:rsid w:val="6C552F0B"/>
    <w:rsid w:val="6C7255C7"/>
    <w:rsid w:val="6C8C67B7"/>
    <w:rsid w:val="6C8E6D3B"/>
    <w:rsid w:val="6C9D744C"/>
    <w:rsid w:val="6CCB17B2"/>
    <w:rsid w:val="6D0D4104"/>
    <w:rsid w:val="6D167928"/>
    <w:rsid w:val="6D1F1741"/>
    <w:rsid w:val="6D26299B"/>
    <w:rsid w:val="6D4772EC"/>
    <w:rsid w:val="6D543AE1"/>
    <w:rsid w:val="6D577CE7"/>
    <w:rsid w:val="6D667370"/>
    <w:rsid w:val="6D9078AF"/>
    <w:rsid w:val="6D9503B7"/>
    <w:rsid w:val="6DA305C4"/>
    <w:rsid w:val="6DAA3FEF"/>
    <w:rsid w:val="6DC0172B"/>
    <w:rsid w:val="6DCB690C"/>
    <w:rsid w:val="6DCF760B"/>
    <w:rsid w:val="6DD41A5B"/>
    <w:rsid w:val="6DF43C2E"/>
    <w:rsid w:val="6DF51CA3"/>
    <w:rsid w:val="6E511DCE"/>
    <w:rsid w:val="6E5D69C5"/>
    <w:rsid w:val="6E8335BD"/>
    <w:rsid w:val="6E8E12EF"/>
    <w:rsid w:val="6E972936"/>
    <w:rsid w:val="6EA2087C"/>
    <w:rsid w:val="6EB8009F"/>
    <w:rsid w:val="6EBD1212"/>
    <w:rsid w:val="6EC6456A"/>
    <w:rsid w:val="6ED446C5"/>
    <w:rsid w:val="6EEA46FD"/>
    <w:rsid w:val="6F046E40"/>
    <w:rsid w:val="6F2A7D94"/>
    <w:rsid w:val="6F2B0871"/>
    <w:rsid w:val="6F472BFF"/>
    <w:rsid w:val="6F8331F1"/>
    <w:rsid w:val="6FAE1A09"/>
    <w:rsid w:val="6FCD6331"/>
    <w:rsid w:val="6FD75BF8"/>
    <w:rsid w:val="6FE0165C"/>
    <w:rsid w:val="700C2451"/>
    <w:rsid w:val="70335C2F"/>
    <w:rsid w:val="7041405E"/>
    <w:rsid w:val="707723D0"/>
    <w:rsid w:val="70814BED"/>
    <w:rsid w:val="70B34FC2"/>
    <w:rsid w:val="70F03B20"/>
    <w:rsid w:val="70F12908"/>
    <w:rsid w:val="70F5661B"/>
    <w:rsid w:val="710B44B6"/>
    <w:rsid w:val="710E21F8"/>
    <w:rsid w:val="712D08D1"/>
    <w:rsid w:val="71360107"/>
    <w:rsid w:val="713B688E"/>
    <w:rsid w:val="715451C6"/>
    <w:rsid w:val="715F6C37"/>
    <w:rsid w:val="71946BA2"/>
    <w:rsid w:val="71A60683"/>
    <w:rsid w:val="71AD37BF"/>
    <w:rsid w:val="71D43752"/>
    <w:rsid w:val="71E80C9B"/>
    <w:rsid w:val="71EB4541"/>
    <w:rsid w:val="71F1796A"/>
    <w:rsid w:val="7205184D"/>
    <w:rsid w:val="72154626"/>
    <w:rsid w:val="72262B5D"/>
    <w:rsid w:val="72283FF7"/>
    <w:rsid w:val="722E7212"/>
    <w:rsid w:val="723A0474"/>
    <w:rsid w:val="725620A9"/>
    <w:rsid w:val="725923E4"/>
    <w:rsid w:val="7265409A"/>
    <w:rsid w:val="726A16B0"/>
    <w:rsid w:val="726F4F19"/>
    <w:rsid w:val="72864BF7"/>
    <w:rsid w:val="729023FC"/>
    <w:rsid w:val="72A050D2"/>
    <w:rsid w:val="72AE77EF"/>
    <w:rsid w:val="72DD6326"/>
    <w:rsid w:val="72EB4614"/>
    <w:rsid w:val="73092C77"/>
    <w:rsid w:val="733610D9"/>
    <w:rsid w:val="7361426F"/>
    <w:rsid w:val="73682094"/>
    <w:rsid w:val="737A5923"/>
    <w:rsid w:val="737E0A93"/>
    <w:rsid w:val="739509AF"/>
    <w:rsid w:val="73995CF9"/>
    <w:rsid w:val="73A3131E"/>
    <w:rsid w:val="73BC23E0"/>
    <w:rsid w:val="73C0646E"/>
    <w:rsid w:val="73E07E7C"/>
    <w:rsid w:val="74177616"/>
    <w:rsid w:val="742222F5"/>
    <w:rsid w:val="742C30C1"/>
    <w:rsid w:val="742F2BB2"/>
    <w:rsid w:val="74363F40"/>
    <w:rsid w:val="74476126"/>
    <w:rsid w:val="74640AAD"/>
    <w:rsid w:val="74687E72"/>
    <w:rsid w:val="746960C4"/>
    <w:rsid w:val="74706664"/>
    <w:rsid w:val="747F3682"/>
    <w:rsid w:val="749869A9"/>
    <w:rsid w:val="749C4185"/>
    <w:rsid w:val="74BA06CD"/>
    <w:rsid w:val="74C23A26"/>
    <w:rsid w:val="74EE65C9"/>
    <w:rsid w:val="75061B64"/>
    <w:rsid w:val="75067759"/>
    <w:rsid w:val="75120509"/>
    <w:rsid w:val="751F1BAF"/>
    <w:rsid w:val="75241FEA"/>
    <w:rsid w:val="752E6DCD"/>
    <w:rsid w:val="7551380D"/>
    <w:rsid w:val="755328D0"/>
    <w:rsid w:val="75600BE5"/>
    <w:rsid w:val="7564475C"/>
    <w:rsid w:val="7571179E"/>
    <w:rsid w:val="7583797F"/>
    <w:rsid w:val="75BC0475"/>
    <w:rsid w:val="75D20F1D"/>
    <w:rsid w:val="75DA2C18"/>
    <w:rsid w:val="75DB4D9F"/>
    <w:rsid w:val="75E874BC"/>
    <w:rsid w:val="75F54412"/>
    <w:rsid w:val="75F776FF"/>
    <w:rsid w:val="76116A13"/>
    <w:rsid w:val="761D08E0"/>
    <w:rsid w:val="76320737"/>
    <w:rsid w:val="76326989"/>
    <w:rsid w:val="76366479"/>
    <w:rsid w:val="76397D18"/>
    <w:rsid w:val="764352BD"/>
    <w:rsid w:val="764861AD"/>
    <w:rsid w:val="765D347C"/>
    <w:rsid w:val="767E572A"/>
    <w:rsid w:val="76826699"/>
    <w:rsid w:val="76C87133"/>
    <w:rsid w:val="76CD08D5"/>
    <w:rsid w:val="76D40F1D"/>
    <w:rsid w:val="76D96E05"/>
    <w:rsid w:val="76DB4B92"/>
    <w:rsid w:val="76FF686B"/>
    <w:rsid w:val="77052AA4"/>
    <w:rsid w:val="77136511"/>
    <w:rsid w:val="77340A39"/>
    <w:rsid w:val="77351FD0"/>
    <w:rsid w:val="77472422"/>
    <w:rsid w:val="774E5F67"/>
    <w:rsid w:val="77560455"/>
    <w:rsid w:val="77756B2D"/>
    <w:rsid w:val="77770AF7"/>
    <w:rsid w:val="777F31F2"/>
    <w:rsid w:val="77C41863"/>
    <w:rsid w:val="77D1700D"/>
    <w:rsid w:val="77D862D4"/>
    <w:rsid w:val="77E868D0"/>
    <w:rsid w:val="77EC04CC"/>
    <w:rsid w:val="782567A5"/>
    <w:rsid w:val="78491F11"/>
    <w:rsid w:val="7872306D"/>
    <w:rsid w:val="78775729"/>
    <w:rsid w:val="788323D4"/>
    <w:rsid w:val="78874D6A"/>
    <w:rsid w:val="788A2AAC"/>
    <w:rsid w:val="788D7EA7"/>
    <w:rsid w:val="789C633C"/>
    <w:rsid w:val="78A42DB0"/>
    <w:rsid w:val="78A656AB"/>
    <w:rsid w:val="78A91184"/>
    <w:rsid w:val="78B2245C"/>
    <w:rsid w:val="78C95383"/>
    <w:rsid w:val="78E172CC"/>
    <w:rsid w:val="78EA1D1F"/>
    <w:rsid w:val="7904172F"/>
    <w:rsid w:val="790F7E27"/>
    <w:rsid w:val="791800B8"/>
    <w:rsid w:val="792A231A"/>
    <w:rsid w:val="79316829"/>
    <w:rsid w:val="79404D6B"/>
    <w:rsid w:val="797E66A9"/>
    <w:rsid w:val="7988750B"/>
    <w:rsid w:val="7993773F"/>
    <w:rsid w:val="799E5223"/>
    <w:rsid w:val="79A97383"/>
    <w:rsid w:val="79E24222"/>
    <w:rsid w:val="79E27E8B"/>
    <w:rsid w:val="79F850CE"/>
    <w:rsid w:val="79FD443C"/>
    <w:rsid w:val="7A0643B5"/>
    <w:rsid w:val="7A0A5C53"/>
    <w:rsid w:val="7A0F14BB"/>
    <w:rsid w:val="7A102B3D"/>
    <w:rsid w:val="7A1D1975"/>
    <w:rsid w:val="7A291E51"/>
    <w:rsid w:val="7A37456E"/>
    <w:rsid w:val="7A3B22B0"/>
    <w:rsid w:val="7A3E5150"/>
    <w:rsid w:val="7A4670D6"/>
    <w:rsid w:val="7A4F7B0A"/>
    <w:rsid w:val="7A534B63"/>
    <w:rsid w:val="7A615382"/>
    <w:rsid w:val="7A67303B"/>
    <w:rsid w:val="7A8377B3"/>
    <w:rsid w:val="7A9B4AFD"/>
    <w:rsid w:val="7AAB1D04"/>
    <w:rsid w:val="7ABA4368"/>
    <w:rsid w:val="7AC73B44"/>
    <w:rsid w:val="7AD05746"/>
    <w:rsid w:val="7B0B57C8"/>
    <w:rsid w:val="7B220D7A"/>
    <w:rsid w:val="7B257FFD"/>
    <w:rsid w:val="7B343476"/>
    <w:rsid w:val="7B452CBB"/>
    <w:rsid w:val="7B4C229B"/>
    <w:rsid w:val="7B5A2978"/>
    <w:rsid w:val="7B5A7E4C"/>
    <w:rsid w:val="7B667AF9"/>
    <w:rsid w:val="7B7468F8"/>
    <w:rsid w:val="7B803CF3"/>
    <w:rsid w:val="7B9F4C48"/>
    <w:rsid w:val="7BB0282A"/>
    <w:rsid w:val="7BCE0F02"/>
    <w:rsid w:val="7BD83B2F"/>
    <w:rsid w:val="7BEE0103"/>
    <w:rsid w:val="7C0A0FE4"/>
    <w:rsid w:val="7C134B67"/>
    <w:rsid w:val="7C254906"/>
    <w:rsid w:val="7C55517F"/>
    <w:rsid w:val="7C590818"/>
    <w:rsid w:val="7C604430"/>
    <w:rsid w:val="7C7C10F6"/>
    <w:rsid w:val="7C853BEA"/>
    <w:rsid w:val="7C881368"/>
    <w:rsid w:val="7CB00608"/>
    <w:rsid w:val="7CE27788"/>
    <w:rsid w:val="7D006E99"/>
    <w:rsid w:val="7D0C32F1"/>
    <w:rsid w:val="7D0C7F34"/>
    <w:rsid w:val="7D0F408D"/>
    <w:rsid w:val="7D1C3715"/>
    <w:rsid w:val="7D221505"/>
    <w:rsid w:val="7D2D1C58"/>
    <w:rsid w:val="7D2F777E"/>
    <w:rsid w:val="7D3D00ED"/>
    <w:rsid w:val="7D491C6C"/>
    <w:rsid w:val="7D496A92"/>
    <w:rsid w:val="7D52090D"/>
    <w:rsid w:val="7D5429C0"/>
    <w:rsid w:val="7D6E6D43"/>
    <w:rsid w:val="7D7519F1"/>
    <w:rsid w:val="7D755AD9"/>
    <w:rsid w:val="7D851A94"/>
    <w:rsid w:val="7D8555F0"/>
    <w:rsid w:val="7D9B7217"/>
    <w:rsid w:val="7D9F4904"/>
    <w:rsid w:val="7DB57A34"/>
    <w:rsid w:val="7DC73E5B"/>
    <w:rsid w:val="7DCB0D9E"/>
    <w:rsid w:val="7DE467BB"/>
    <w:rsid w:val="7DE60973"/>
    <w:rsid w:val="7DEF0916"/>
    <w:rsid w:val="7DF10ED8"/>
    <w:rsid w:val="7E105802"/>
    <w:rsid w:val="7E1E5218"/>
    <w:rsid w:val="7E235535"/>
    <w:rsid w:val="7E5665C8"/>
    <w:rsid w:val="7E695800"/>
    <w:rsid w:val="7E7F1D06"/>
    <w:rsid w:val="7E9975A5"/>
    <w:rsid w:val="7E9A4E1F"/>
    <w:rsid w:val="7EA7723A"/>
    <w:rsid w:val="7EAB019B"/>
    <w:rsid w:val="7EAF0B77"/>
    <w:rsid w:val="7EC860DC"/>
    <w:rsid w:val="7ECF2FC7"/>
    <w:rsid w:val="7ED95BF4"/>
    <w:rsid w:val="7EE051D4"/>
    <w:rsid w:val="7EE66563"/>
    <w:rsid w:val="7EF56FBB"/>
    <w:rsid w:val="7F0768EB"/>
    <w:rsid w:val="7F0D1D41"/>
    <w:rsid w:val="7F143BEC"/>
    <w:rsid w:val="7F220BCE"/>
    <w:rsid w:val="7F4A6AF1"/>
    <w:rsid w:val="7F4C286A"/>
    <w:rsid w:val="7F625BE9"/>
    <w:rsid w:val="7F715AF2"/>
    <w:rsid w:val="7F7678E7"/>
    <w:rsid w:val="7F7B2C88"/>
    <w:rsid w:val="7F886E69"/>
    <w:rsid w:val="7F9B559F"/>
    <w:rsid w:val="7FC95C6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659"/>
    <w:qFormat/>
    <w:uiPriority w:val="0"/>
    <w:rPr>
      <w:rFonts w:ascii="宋体" w:hAnsi="Courier New" w:cs="Arial"/>
      <w:snapToGrid w:val="0"/>
      <w:szCs w:val="21"/>
    </w:rPr>
  </w:style>
  <w:style w:type="paragraph" w:customStyle="1" w:styleId="33">
    <w:name w:val="正文1"/>
    <w:basedOn w:val="31"/>
    <w:next w:val="34"/>
    <w:qFormat/>
    <w:uiPriority w:val="0"/>
    <w:pPr>
      <w:ind w:left="0" w:leftChars="0" w:firstLine="480" w:firstLineChars="200"/>
    </w:pPr>
    <w:rPr>
      <w:rFonts w:ascii="仿宋_GB2312" w:hAnsi="Courier New" w:eastAsia="仿宋_GB2312"/>
      <w:kern w:val="28"/>
      <w:sz w:val="24"/>
    </w:rPr>
  </w:style>
  <w:style w:type="paragraph" w:customStyle="1" w:styleId="34">
    <w:name w:val="标题 21"/>
    <w:basedOn w:val="33"/>
    <w:next w:val="33"/>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2"/>
    <w:qFormat/>
    <w:uiPriority w:val="0"/>
    <w:rPr>
      <w:b/>
      <w:bCs/>
    </w:rPr>
  </w:style>
  <w:style w:type="paragraph" w:styleId="62">
    <w:name w:val="Body Text First Indent"/>
    <w:basedOn w:val="23"/>
    <w:next w:val="63"/>
    <w:link w:val="834"/>
    <w:qFormat/>
    <w:uiPriority w:val="0"/>
    <w:pPr>
      <w:ind w:firstLine="420"/>
    </w:pPr>
    <w:rPr>
      <w:rFonts w:hAnsi="Calibri" w:cs="Times New Roman"/>
      <w:szCs w:val="20"/>
    </w:rPr>
  </w:style>
  <w:style w:type="paragraph" w:styleId="63">
    <w:name w:val="Body Text First Indent 2"/>
    <w:basedOn w:val="24"/>
    <w:next w:val="62"/>
    <w:link w:val="65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qFormat/>
    <w:uiPriority w:val="0"/>
    <w:rPr>
      <w:rFonts w:ascii="Courier New" w:hAnsi="Courier New"/>
    </w:rPr>
  </w:style>
  <w:style w:type="paragraph" w:customStyle="1" w:styleId="82">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正文文本首行缩进 2"/>
    <w:basedOn w:val="84"/>
    <w:qFormat/>
    <w:uiPriority w:val="99"/>
    <w:pPr>
      <w:tabs>
        <w:tab w:val="right" w:leader="dot" w:pos="8268"/>
      </w:tabs>
      <w:spacing w:line="200" w:lineRule="atLeast"/>
      <w:ind w:firstLine="420"/>
    </w:pPr>
    <w:rPr>
      <w:rFonts w:ascii="宋体" w:hAnsi="Courier New"/>
      <w:spacing w:val="-4"/>
      <w:sz w:val="18"/>
    </w:rPr>
  </w:style>
  <w:style w:type="paragraph" w:customStyle="1" w:styleId="84">
    <w:name w:val="正文缩进1"/>
    <w:basedOn w:val="33"/>
    <w:next w:val="8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5">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4"/>
    <w:qFormat/>
    <w:uiPriority w:val="0"/>
    <w:pPr>
      <w:spacing w:before="156" w:line="360" w:lineRule="auto"/>
      <w:ind w:firstLine="510" w:firstLineChars="200"/>
    </w:pPr>
    <w:rPr>
      <w:sz w:val="24"/>
      <w:szCs w:val="20"/>
    </w:rPr>
  </w:style>
  <w:style w:type="paragraph" w:customStyle="1" w:styleId="91">
    <w:name w:val="无间隔1"/>
    <w:link w:val="672"/>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0"/>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5"/>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82"/>
    <w:next w:val="82"/>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82"/>
    <w:next w:val="82"/>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2"/>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621">
    <w:name w:val="表格非标题文字 Char"/>
    <w:link w:val="85"/>
    <w:qFormat/>
    <w:uiPriority w:val="0"/>
    <w:rPr>
      <w:rFonts w:ascii="Futura Bk" w:hAnsi="Futura Bk"/>
      <w:kern w:val="2"/>
      <w:sz w:val="18"/>
      <w:szCs w:val="21"/>
      <w:lang w:val="en-US" w:eastAsia="zh-CN" w:bidi="ar-SA"/>
    </w:rPr>
  </w:style>
  <w:style w:type="character" w:customStyle="1" w:styleId="622">
    <w:name w:val="*正文 Char"/>
    <w:link w:val="86"/>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7"/>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8"/>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9"/>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1"/>
    <w:qFormat/>
    <w:uiPriority w:val="0"/>
    <w:rPr>
      <w:rFonts w:ascii="Arial" w:hAnsi="Arial" w:eastAsia="黑体" w:cs="Arial"/>
      <w:snapToGrid w:val="0"/>
      <w:kern w:val="0"/>
      <w:szCs w:val="21"/>
    </w:rPr>
  </w:style>
  <w:style w:type="character" w:customStyle="1" w:styleId="65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90"/>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8"/>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1"/>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92"/>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4"/>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5"/>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7"/>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6"/>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7"/>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1"/>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29"/>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9"/>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100"/>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82"/>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4"/>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8"/>
    <w:qFormat/>
    <w:uiPriority w:val="0"/>
    <w:rPr>
      <w:rFonts w:ascii="黑体" w:hAnsi="Courier New" w:eastAsia="黑体"/>
    </w:rPr>
  </w:style>
  <w:style w:type="character" w:customStyle="1" w:styleId="819">
    <w:name w:val="正文文本 2 Char1"/>
    <w:link w:val="57"/>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1"/>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首行缩进 Char"/>
    <w:link w:val="62"/>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0"/>
    <w:rPr>
      <w:kern w:val="2"/>
      <w:sz w:val="21"/>
      <w:szCs w:val="24"/>
    </w:rPr>
  </w:style>
  <w:style w:type="character" w:customStyle="1" w:styleId="856">
    <w:name w:val="签名 Char"/>
    <w:link w:val="43"/>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2"/>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1"/>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71"/>
    <w:qFormat/>
    <w:uiPriority w:val="0"/>
    <w:rPr>
      <w:rFonts w:ascii="Arial" w:hAnsi="Arial" w:eastAsia="黑体" w:cs="Arial"/>
      <w:snapToGrid w:val="0"/>
      <w:kern w:val="0"/>
      <w:szCs w:val="21"/>
    </w:rPr>
  </w:style>
  <w:style w:type="character" w:customStyle="1" w:styleId="934">
    <w:name w:val="hui"/>
    <w:basedOn w:val="71"/>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9"/>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1"/>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fontstyle01"/>
    <w:basedOn w:val="71"/>
    <w:qFormat/>
    <w:uiPriority w:val="0"/>
    <w:rPr>
      <w:rFonts w:hint="eastAsia" w:ascii="宋体" w:hAnsi="宋体" w:eastAsia="宋体" w:cs="宋体"/>
      <w:color w:val="000000"/>
      <w:sz w:val="36"/>
      <w:szCs w:val="36"/>
    </w:rPr>
  </w:style>
  <w:style w:type="table" w:customStyle="1" w:styleId="96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95</Pages>
  <Words>49532</Words>
  <Characters>52881</Characters>
  <Lines>287</Lines>
  <Paragraphs>81</Paragraphs>
  <TotalTime>43</TotalTime>
  <ScaleCrop>false</ScaleCrop>
  <LinksUpToDate>false</LinksUpToDate>
  <CharactersWithSpaces>59195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Mr.Z</cp:lastModifiedBy>
  <cp:lastPrinted>2023-01-12T05:33:00Z</cp:lastPrinted>
  <dcterms:modified xsi:type="dcterms:W3CDTF">2023-02-22T02:46:31Z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CD6A248C84214148B44EF49D8B5E01E4</vt:lpwstr>
  </property>
</Properties>
</file>