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val="0"/>
          <w:color w:val="auto"/>
          <w:sz w:val="52"/>
          <w:szCs w:val="52"/>
          <w:highlight w:val="none"/>
        </w:rPr>
      </w:pPr>
    </w:p>
    <w:p>
      <w:pPr>
        <w:adjustRightInd/>
        <w:spacing w:line="360" w:lineRule="auto"/>
        <w:jc w:val="center"/>
        <w:rPr>
          <w:rFonts w:hint="eastAsia" w:ascii="宋体" w:hAnsi="宋体" w:eastAsia="宋体" w:cs="宋体"/>
          <w:b/>
          <w:bCs w:val="0"/>
          <w:color w:val="auto"/>
          <w:sz w:val="44"/>
          <w:szCs w:val="44"/>
          <w:highlight w:val="none"/>
          <w:lang w:eastAsia="zh-CN"/>
        </w:rPr>
      </w:pPr>
      <w:r>
        <w:rPr>
          <w:rFonts w:hint="eastAsia" w:ascii="宋体" w:hAnsi="宋体" w:cs="宋体"/>
          <w:b/>
          <w:bCs w:val="0"/>
          <w:color w:val="auto"/>
          <w:sz w:val="44"/>
          <w:szCs w:val="44"/>
          <w:highlight w:val="none"/>
          <w:lang w:eastAsia="zh-CN"/>
        </w:rPr>
        <w:t>乔司街道集镇一体化养护项目</w:t>
      </w:r>
    </w:p>
    <w:p>
      <w:pPr>
        <w:adjustRightInd/>
        <w:spacing w:line="360" w:lineRule="auto"/>
        <w:jc w:val="center"/>
        <w:rPr>
          <w:rFonts w:hint="eastAsia" w:ascii="宋体" w:hAnsi="宋体" w:eastAsia="宋体" w:cs="宋体"/>
          <w:b/>
          <w:bCs w:val="0"/>
          <w:color w:val="auto"/>
          <w:sz w:val="52"/>
          <w:szCs w:val="52"/>
          <w:highlight w:val="none"/>
        </w:rPr>
      </w:pPr>
      <w:r>
        <w:rPr>
          <w:rFonts w:hint="eastAsia" w:ascii="宋体" w:hAnsi="宋体" w:eastAsia="宋体" w:cs="宋体"/>
          <w:b/>
          <w:bCs w:val="0"/>
          <w:color w:val="auto"/>
          <w:sz w:val="52"/>
          <w:szCs w:val="52"/>
          <w:highlight w:val="none"/>
        </w:rPr>
        <w:t>招标文件</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widowControl/>
        <w:spacing w:line="360" w:lineRule="auto"/>
        <w:ind w:right="-2"/>
        <w:jc w:val="center"/>
        <w:rPr>
          <w:rFonts w:hint="eastAsia" w:ascii="宋体" w:hAnsi="宋体" w:eastAsia="宋体" w:cs="宋体"/>
          <w:b/>
          <w:bCs/>
          <w:color w:val="auto"/>
          <w:sz w:val="36"/>
          <w:szCs w:val="36"/>
          <w:highlight w:val="none"/>
          <w:lang w:eastAsia="zh-CN"/>
        </w:rPr>
      </w:pPr>
      <w:r>
        <w:rPr>
          <w:rFonts w:hint="eastAsia" w:ascii="宋体" w:hAnsi="宋体" w:cs="宋体"/>
          <w:b/>
          <w:bCs/>
          <w:color w:val="auto"/>
          <w:sz w:val="36"/>
          <w:szCs w:val="36"/>
          <w:highlight w:val="none"/>
        </w:rPr>
        <w:t>招标编号：</w:t>
      </w:r>
      <w:r>
        <w:rPr>
          <w:rFonts w:hint="eastAsia" w:ascii="仿宋" w:hAnsi="仿宋" w:eastAsia="仿宋" w:cs="仿宋"/>
          <w:b/>
          <w:bCs/>
          <w:color w:val="auto"/>
          <w:sz w:val="36"/>
          <w:szCs w:val="36"/>
          <w:highlight w:val="none"/>
          <w:lang w:eastAsia="zh-CN"/>
        </w:rPr>
        <w:t>XCXCG-2023-008</w:t>
      </w:r>
    </w:p>
    <w:p>
      <w:pPr>
        <w:snapToGrid w:val="0"/>
        <w:spacing w:line="360" w:lineRule="auto"/>
        <w:jc w:val="center"/>
        <w:rPr>
          <w:rFonts w:ascii="仿宋" w:hAnsi="仿宋" w:eastAsia="仿宋" w:cs="仿宋_GB2312"/>
          <w:color w:val="auto"/>
          <w:sz w:val="30"/>
          <w:szCs w:val="30"/>
          <w:highlight w:val="none"/>
        </w:rPr>
      </w:pPr>
      <w:r>
        <w:rPr>
          <w:rFonts w:hint="eastAsia" w:ascii="宋体" w:hAnsi="宋体" w:eastAsia="宋体" w:cs="宋体"/>
          <w:color w:val="auto"/>
          <w:sz w:val="30"/>
          <w:szCs w:val="30"/>
          <w:highlight w:val="none"/>
          <w:lang w:val="en-US" w:eastAsia="zh-CN"/>
        </w:rPr>
        <w:t xml:space="preserve"> </w:t>
      </w:r>
      <w:r>
        <w:rPr>
          <w:rFonts w:hint="eastAsia" w:ascii="仿宋" w:hAnsi="仿宋" w:eastAsia="仿宋" w:cs="仿宋_GB2312"/>
          <w:color w:val="auto"/>
          <w:sz w:val="30"/>
          <w:szCs w:val="30"/>
          <w:highlight w:val="none"/>
          <w:lang w:val="en-US" w:eastAsia="zh-CN"/>
        </w:rPr>
        <w:t xml:space="preserve"> </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pStyle w:val="2"/>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pStyle w:val="23"/>
        <w:rPr>
          <w:rFonts w:ascii="仿宋" w:hAnsi="仿宋" w:eastAsia="仿宋" w:cs="仿宋_GB2312"/>
          <w:color w:val="auto"/>
          <w:sz w:val="24"/>
          <w:highlight w:val="none"/>
        </w:rPr>
      </w:pPr>
    </w:p>
    <w:p>
      <w:pPr>
        <w:pStyle w:val="62"/>
        <w:rPr>
          <w:rFonts w:ascii="仿宋" w:hAnsi="仿宋" w:eastAsia="仿宋" w:cs="仿宋_GB2312"/>
          <w:color w:val="auto"/>
          <w:sz w:val="24"/>
          <w:highlight w:val="none"/>
        </w:rPr>
      </w:pPr>
    </w:p>
    <w:p>
      <w:pPr>
        <w:pStyle w:val="52"/>
        <w:rPr>
          <w:rFonts w:ascii="仿宋" w:hAnsi="仿宋" w:eastAsia="仿宋" w:cs="仿宋_GB2312"/>
          <w:color w:val="auto"/>
          <w:sz w:val="24"/>
          <w:highlight w:val="none"/>
        </w:rPr>
      </w:pPr>
    </w:p>
    <w:p>
      <w:pPr>
        <w:rPr>
          <w:color w:val="auto"/>
          <w:highlight w:val="none"/>
        </w:rPr>
      </w:pPr>
    </w:p>
    <w:p>
      <w:pPr>
        <w:rPr>
          <w:rFonts w:ascii="仿宋" w:hAnsi="仿宋" w:eastAsia="仿宋" w:cs="仿宋_GB2312"/>
          <w:color w:val="auto"/>
          <w:sz w:val="24"/>
          <w:highlight w:val="none"/>
        </w:rPr>
      </w:pPr>
    </w:p>
    <w:p>
      <w:pPr>
        <w:shd w:val="clear" w:color="auto" w:fill="FFFFFF"/>
        <w:snapToGrid w:val="0"/>
        <w:spacing w:line="360" w:lineRule="auto"/>
        <w:ind w:firstLine="425"/>
        <w:jc w:val="center"/>
        <w:textAlignment w:val="bottom"/>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 xml:space="preserve"> 招标人：</w:t>
      </w:r>
      <w:r>
        <w:rPr>
          <w:rFonts w:hint="eastAsia" w:ascii="宋体" w:hAnsi="宋体" w:cs="宋体"/>
          <w:b/>
          <w:bCs/>
          <w:color w:val="auto"/>
          <w:sz w:val="32"/>
          <w:szCs w:val="32"/>
          <w:highlight w:val="none"/>
          <w:lang w:eastAsia="zh-CN"/>
        </w:rPr>
        <w:t>杭州市临平区人民政府乔司街道办事处</w:t>
      </w:r>
    </w:p>
    <w:p>
      <w:pPr>
        <w:shd w:val="clear" w:color="auto" w:fill="FFFFFF"/>
        <w:snapToGrid w:val="0"/>
        <w:spacing w:line="360" w:lineRule="auto"/>
        <w:ind w:firstLine="425"/>
        <w:jc w:val="center"/>
        <w:textAlignment w:val="bottom"/>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招标代理机构：</w:t>
      </w:r>
      <w:r>
        <w:rPr>
          <w:rFonts w:hint="eastAsia" w:ascii="宋体" w:hAnsi="宋体" w:cs="宋体"/>
          <w:b/>
          <w:bCs/>
          <w:color w:val="auto"/>
          <w:sz w:val="32"/>
          <w:szCs w:val="32"/>
          <w:highlight w:val="none"/>
          <w:lang w:eastAsia="zh-CN"/>
        </w:rPr>
        <w:t>浙江新诚信工程咨询有限公司</w:t>
      </w:r>
    </w:p>
    <w:p>
      <w:pPr>
        <w:snapToGrid w:val="0"/>
        <w:spacing w:line="360" w:lineRule="auto"/>
        <w:jc w:val="center"/>
        <w:rPr>
          <w:rFonts w:hint="eastAsia" w:ascii="宋体" w:hAnsi="宋体" w:cs="宋体"/>
          <w:b/>
          <w:bCs/>
          <w:color w:val="auto"/>
          <w:sz w:val="32"/>
          <w:szCs w:val="32"/>
          <w:highlight w:val="none"/>
        </w:rPr>
      </w:pPr>
    </w:p>
    <w:p>
      <w:pPr>
        <w:snapToGrid w:val="0"/>
        <w:spacing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二〇二</w:t>
      </w:r>
      <w:r>
        <w:rPr>
          <w:rFonts w:hint="eastAsia" w:ascii="宋体" w:hAnsi="宋体" w:cs="宋体"/>
          <w:b/>
          <w:bCs/>
          <w:color w:val="auto"/>
          <w:sz w:val="32"/>
          <w:szCs w:val="32"/>
          <w:highlight w:val="none"/>
          <w:lang w:val="en-US" w:eastAsia="zh-CN"/>
        </w:rPr>
        <w:t>三</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val="en-US" w:eastAsia="zh-CN"/>
        </w:rPr>
        <w:t>二月</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乔司街道集镇一体化养护项目</w:t>
      </w:r>
      <w:r>
        <w:rPr>
          <w:rFonts w:hint="eastAsia" w:ascii="仿宋" w:hAnsi="仿宋" w:eastAsia="仿宋" w:cs="仿宋"/>
          <w:color w:val="auto"/>
          <w:sz w:val="24"/>
          <w:szCs w:val="24"/>
          <w:highlight w:val="none"/>
        </w:rPr>
        <w:t>的潜在投标人应在政采云平台（</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"https://www.zcygov.cn/）获取（下载）招标文件，并于2021年" </w:instrText>
      </w:r>
      <w:r>
        <w:rPr>
          <w:rFonts w:hint="eastAsia" w:ascii="仿宋" w:hAnsi="仿宋" w:eastAsia="仿宋" w:cs="仿宋"/>
          <w:color w:val="auto"/>
          <w:sz w:val="24"/>
          <w:szCs w:val="24"/>
          <w:highlight w:val="none"/>
        </w:rPr>
        <w:fldChar w:fldCharType="separate"/>
      </w:r>
      <w:r>
        <w:rPr>
          <w:rStyle w:val="78"/>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color w:val="auto"/>
          <w:sz w:val="24"/>
          <w:szCs w:val="24"/>
          <w:highlight w:val="none"/>
          <w:u w:val="single"/>
          <w:lang w:eastAsia="zh-CN"/>
        </w:rPr>
        <w:t>2023年</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14</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9</w:t>
      </w:r>
      <w:r>
        <w:rPr>
          <w:rFonts w:hint="eastAsia" w:ascii="仿宋" w:hAnsi="仿宋" w:eastAsia="仿宋" w:cs="仿宋"/>
          <w:color w:val="auto"/>
          <w:sz w:val="24"/>
          <w:szCs w:val="24"/>
          <w:highlight w:val="none"/>
          <w:u w:val="single"/>
          <w:lang w:eastAsia="zh-CN"/>
        </w:rPr>
        <w:t>点</w:t>
      </w:r>
      <w:r>
        <w:rPr>
          <w:rFonts w:hint="eastAsia" w:ascii="仿宋" w:hAnsi="仿宋" w:eastAsia="仿宋" w:cs="仿宋"/>
          <w:color w:val="auto"/>
          <w:sz w:val="24"/>
          <w:szCs w:val="24"/>
          <w:highlight w:val="none"/>
          <w:u w:val="single"/>
          <w:lang w:val="en-US" w:eastAsia="zh-CN"/>
        </w:rPr>
        <w:t>00</w:t>
      </w:r>
      <w:r>
        <w:rPr>
          <w:rFonts w:hint="eastAsia" w:ascii="仿宋" w:hAnsi="仿宋" w:eastAsia="仿宋" w:cs="仿宋"/>
          <w:color w:val="auto"/>
          <w:sz w:val="24"/>
          <w:szCs w:val="24"/>
          <w:highlight w:val="none"/>
          <w:u w:val="single"/>
          <w:lang w:eastAsia="zh-CN"/>
        </w:rPr>
        <w:t>分00秒</w:t>
      </w:r>
      <w:r>
        <w:rPr>
          <w:rFonts w:hint="eastAsia" w:ascii="仿宋" w:hAnsi="仿宋" w:eastAsia="仿宋" w:cs="仿宋"/>
          <w:bCs/>
          <w:color w:val="auto"/>
          <w:sz w:val="24"/>
          <w:szCs w:val="24"/>
          <w:highlight w:val="none"/>
          <w:u w:val="single"/>
        </w:rPr>
        <w:fldChar w:fldCharType="end"/>
      </w:r>
      <w:r>
        <w:rPr>
          <w:rFonts w:hint="eastAsia" w:ascii="仿宋" w:hAnsi="仿宋" w:eastAsia="仿宋" w:cs="仿宋"/>
          <w:bCs/>
          <w:color w:val="auto"/>
          <w:sz w:val="24"/>
          <w:szCs w:val="24"/>
          <w:highlight w:val="none"/>
        </w:rPr>
        <w:t>（北京时间）前</w:t>
      </w:r>
      <w:r>
        <w:rPr>
          <w:rFonts w:hint="eastAsia" w:ascii="仿宋" w:hAnsi="仿宋" w:eastAsia="仿宋" w:cs="仿宋"/>
          <w:color w:val="auto"/>
          <w:sz w:val="24"/>
          <w:szCs w:val="24"/>
          <w:highlight w:val="none"/>
        </w:rPr>
        <w:t>递交（上传）投标文件。</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一、项目基本情况                                            </w:t>
      </w:r>
    </w:p>
    <w:p>
      <w:pPr>
        <w:spacing w:line="360" w:lineRule="auto"/>
        <w:rPr>
          <w:rFonts w:hint="eastAsia" w:ascii="仿宋_GB2312" w:hAnsi="仿宋" w:eastAsia="仿宋_GB2312"/>
          <w:color w:val="auto"/>
          <w:sz w:val="24"/>
          <w:szCs w:val="24"/>
          <w:highlight w:val="none"/>
          <w:lang w:eastAsia="zh-CN"/>
        </w:rPr>
      </w:pPr>
      <w:r>
        <w:rPr>
          <w:rFonts w:hint="eastAsia" w:ascii="仿宋" w:hAnsi="仿宋" w:eastAsia="仿宋" w:cs="仿宋"/>
          <w:color w:val="auto"/>
          <w:sz w:val="24"/>
          <w:szCs w:val="24"/>
          <w:highlight w:val="none"/>
        </w:rPr>
        <w:t xml:space="preserve">   </w:t>
      </w:r>
      <w:r>
        <w:rPr>
          <w:rFonts w:ascii="仿宋_GB2312" w:hAnsi="仿宋" w:eastAsia="仿宋_GB2312" w:cs="仿宋_GB2312"/>
          <w:color w:val="auto"/>
          <w:sz w:val="24"/>
          <w:szCs w:val="24"/>
          <w:highlight w:val="none"/>
        </w:rPr>
        <w:t xml:space="preserve"> </w:t>
      </w:r>
      <w:r>
        <w:rPr>
          <w:rFonts w:hint="eastAsia" w:ascii="仿宋_GB2312" w:hAnsi="仿宋" w:eastAsia="仿宋_GB2312" w:cs="仿宋_GB2312"/>
          <w:b/>
          <w:bCs/>
          <w:color w:val="auto"/>
          <w:sz w:val="24"/>
          <w:szCs w:val="24"/>
          <w:highlight w:val="none"/>
        </w:rPr>
        <w:t>项目编号：</w:t>
      </w:r>
      <w:r>
        <w:rPr>
          <w:rFonts w:hint="eastAsia" w:ascii="仿宋_GB2312" w:hAnsi="仿宋" w:eastAsia="仿宋_GB2312" w:cs="仿宋_GB2312"/>
          <w:b/>
          <w:bCs/>
          <w:color w:val="auto"/>
          <w:sz w:val="24"/>
          <w:szCs w:val="24"/>
          <w:highlight w:val="none"/>
          <w:lang w:eastAsia="zh-CN"/>
        </w:rPr>
        <w:t>XCXCG-2023-008</w:t>
      </w:r>
    </w:p>
    <w:p>
      <w:pPr>
        <w:spacing w:line="360" w:lineRule="auto"/>
        <w:rPr>
          <w:rFonts w:hint="eastAsia" w:ascii="仿宋_GB2312" w:hAnsi="仿宋" w:eastAsia="仿宋_GB2312"/>
          <w:color w:val="auto"/>
          <w:sz w:val="24"/>
          <w:szCs w:val="24"/>
          <w:highlight w:val="none"/>
          <w:lang w:eastAsia="zh-CN"/>
        </w:rPr>
      </w:pPr>
      <w:r>
        <w:rPr>
          <w:rFonts w:ascii="仿宋_GB2312" w:hAnsi="仿宋" w:eastAsia="仿宋_GB2312" w:cs="仿宋_GB2312"/>
          <w:color w:val="auto"/>
          <w:sz w:val="24"/>
          <w:szCs w:val="24"/>
          <w:highlight w:val="none"/>
        </w:rPr>
        <w:t xml:space="preserve">   </w:t>
      </w:r>
      <w:r>
        <w:rPr>
          <w:rFonts w:ascii="仿宋_GB2312" w:hAnsi="仿宋" w:eastAsia="仿宋_GB2312" w:cs="仿宋_GB2312"/>
          <w:b/>
          <w:bCs/>
          <w:color w:val="auto"/>
          <w:sz w:val="24"/>
          <w:szCs w:val="24"/>
          <w:highlight w:val="none"/>
        </w:rPr>
        <w:t xml:space="preserve"> </w:t>
      </w:r>
      <w:r>
        <w:rPr>
          <w:rFonts w:hint="eastAsia" w:ascii="仿宋_GB2312" w:hAnsi="仿宋" w:eastAsia="仿宋_GB2312" w:cs="仿宋_GB2312"/>
          <w:b/>
          <w:bCs/>
          <w:color w:val="auto"/>
          <w:sz w:val="24"/>
          <w:szCs w:val="24"/>
          <w:highlight w:val="none"/>
        </w:rPr>
        <w:t>项目名称：</w:t>
      </w:r>
      <w:r>
        <w:rPr>
          <w:rFonts w:hint="eastAsia" w:ascii="仿宋_GB2312" w:hAnsi="仿宋" w:eastAsia="仿宋_GB2312" w:cs="仿宋_GB2312"/>
          <w:b/>
          <w:bCs/>
          <w:color w:val="auto"/>
          <w:sz w:val="24"/>
          <w:szCs w:val="24"/>
          <w:highlight w:val="none"/>
          <w:lang w:eastAsia="zh-CN"/>
        </w:rPr>
        <w:t>乔司街道集镇一体化养护项目</w:t>
      </w:r>
    </w:p>
    <w:p>
      <w:pPr>
        <w:spacing w:line="360" w:lineRule="auto"/>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   </w:t>
      </w:r>
      <w:r>
        <w:rPr>
          <w:rFonts w:ascii="仿宋_GB2312" w:hAnsi="仿宋" w:eastAsia="仿宋_GB2312" w:cs="仿宋_GB2312"/>
          <w:b/>
          <w:bCs/>
          <w:color w:val="auto"/>
          <w:sz w:val="24"/>
          <w:szCs w:val="24"/>
          <w:highlight w:val="none"/>
        </w:rPr>
        <w:t xml:space="preserve"> </w:t>
      </w:r>
      <w:r>
        <w:rPr>
          <w:rFonts w:hint="eastAsia" w:ascii="仿宋_GB2312" w:hAnsi="仿宋" w:eastAsia="仿宋_GB2312" w:cs="仿宋_GB2312"/>
          <w:b/>
          <w:bCs/>
          <w:color w:val="auto"/>
          <w:sz w:val="24"/>
          <w:szCs w:val="24"/>
          <w:highlight w:val="none"/>
        </w:rPr>
        <w:t>预算金额（元）：</w:t>
      </w:r>
      <w:r>
        <w:rPr>
          <w:rFonts w:hint="eastAsia" w:ascii="仿宋_GB2312" w:hAnsi="仿宋" w:eastAsia="仿宋_GB2312" w:cs="仿宋_GB2312"/>
          <w:b/>
          <w:bCs/>
          <w:color w:val="auto"/>
          <w:sz w:val="24"/>
          <w:szCs w:val="24"/>
          <w:highlight w:val="none"/>
          <w:lang w:val="en-US" w:eastAsia="zh-CN"/>
        </w:rPr>
        <w:t xml:space="preserve">25274200 </w:t>
      </w:r>
      <w:r>
        <w:rPr>
          <w:rFonts w:ascii="仿宋_GB2312" w:hAnsi="仿宋" w:eastAsia="仿宋_GB2312" w:cs="仿宋_GB2312"/>
          <w:color w:val="auto"/>
          <w:sz w:val="24"/>
          <w:szCs w:val="24"/>
          <w:highlight w:val="none"/>
        </w:rPr>
        <w:t xml:space="preserve"> </w:t>
      </w:r>
    </w:p>
    <w:p>
      <w:pPr>
        <w:spacing w:line="360" w:lineRule="auto"/>
        <w:ind w:firstLine="480"/>
        <w:rPr>
          <w:rFonts w:hint="eastAsia" w:ascii="仿宋_GB2312" w:hAnsi="仿宋" w:eastAsia="仿宋_GB2312" w:cs="仿宋_GB2312"/>
          <w:color w:val="auto"/>
          <w:sz w:val="24"/>
          <w:szCs w:val="24"/>
          <w:highlight w:val="none"/>
          <w:lang w:eastAsia="zh-CN"/>
        </w:rPr>
      </w:pPr>
      <w:r>
        <w:rPr>
          <w:rFonts w:hint="eastAsia" w:ascii="仿宋_GB2312" w:hAnsi="仿宋" w:eastAsia="仿宋_GB2312" w:cs="仿宋_GB2312"/>
          <w:b/>
          <w:bCs/>
          <w:color w:val="auto"/>
          <w:sz w:val="24"/>
          <w:szCs w:val="24"/>
          <w:highlight w:val="none"/>
        </w:rPr>
        <w:t>最高限价（元）：</w:t>
      </w:r>
      <w:r>
        <w:rPr>
          <w:rFonts w:hint="eastAsia" w:ascii="仿宋_GB2312" w:hAnsi="仿宋" w:eastAsia="仿宋_GB2312" w:cs="仿宋_GB2312"/>
          <w:b/>
          <w:bCs/>
          <w:color w:val="auto"/>
          <w:sz w:val="24"/>
          <w:szCs w:val="24"/>
          <w:highlight w:val="none"/>
          <w:lang w:val="en-US" w:eastAsia="zh-CN"/>
        </w:rPr>
        <w:t xml:space="preserve">25274200 </w:t>
      </w:r>
    </w:p>
    <w:p>
      <w:pPr>
        <w:pStyle w:val="5"/>
        <w:spacing w:line="360" w:lineRule="auto"/>
        <w:ind w:firstLine="480"/>
        <w:rPr>
          <w:rFonts w:ascii="仿宋_GB2312" w:hAnsi="仿宋" w:eastAsia="仿宋_GB2312" w:cs="Times New Roman"/>
          <w:color w:val="auto"/>
          <w:kern w:val="2"/>
          <w:sz w:val="24"/>
          <w:szCs w:val="24"/>
          <w:highlight w:val="none"/>
        </w:rPr>
      </w:pPr>
      <w:r>
        <w:rPr>
          <w:rFonts w:hint="eastAsia" w:ascii="仿宋_GB2312" w:hAnsi="仿宋" w:eastAsia="仿宋_GB2312" w:cs="仿宋_GB2312"/>
          <w:b/>
          <w:bCs/>
          <w:color w:val="auto"/>
          <w:sz w:val="24"/>
          <w:szCs w:val="24"/>
          <w:highlight w:val="none"/>
        </w:rPr>
        <w:t>采购需求：</w:t>
      </w:r>
      <w:r>
        <w:rPr>
          <w:rFonts w:hint="eastAsia" w:ascii="仿宋_GB2312" w:hAnsi="仿宋" w:eastAsia="仿宋_GB2312" w:cs="仿宋_GB2312"/>
          <w:b/>
          <w:bCs/>
          <w:color w:val="auto"/>
          <w:sz w:val="24"/>
          <w:szCs w:val="24"/>
          <w:highlight w:val="none"/>
          <w:lang w:eastAsia="zh-CN"/>
        </w:rPr>
        <w:t>乔司街道集镇一体化养护项目</w:t>
      </w:r>
      <w:r>
        <w:rPr>
          <w:rFonts w:hint="eastAsia" w:ascii="仿宋_GB2312" w:hAnsi="仿宋" w:eastAsia="仿宋_GB2312" w:cs="仿宋_GB2312"/>
          <w:b/>
          <w:bCs/>
          <w:color w:val="auto"/>
          <w:sz w:val="24"/>
          <w:szCs w:val="24"/>
          <w:highlight w:val="none"/>
        </w:rPr>
        <w:t>，</w:t>
      </w:r>
      <w:r>
        <w:rPr>
          <w:rFonts w:hint="eastAsia" w:ascii="仿宋_GB2312" w:hAnsi="仿宋" w:eastAsia="仿宋_GB2312" w:cs="仿宋_GB2312"/>
          <w:color w:val="auto"/>
          <w:kern w:val="2"/>
          <w:sz w:val="24"/>
          <w:szCs w:val="24"/>
          <w:highlight w:val="none"/>
        </w:rPr>
        <w:t>主要内容：本项目为乔司街道综合养护，采购内容主要包括道路保洁、绿化养护、公厕保洁、商户垃圾运输（音乐线，含生鲜专运）、牛皮癣清理、</w:t>
      </w:r>
      <w:r>
        <w:rPr>
          <w:rFonts w:hint="eastAsia" w:ascii="仿宋_GB2312" w:hAnsi="仿宋" w:eastAsia="仿宋_GB2312" w:cs="仿宋_GB2312"/>
          <w:color w:val="auto"/>
          <w:kern w:val="2"/>
          <w:sz w:val="24"/>
          <w:szCs w:val="24"/>
          <w:highlight w:val="none"/>
          <w:lang w:val="en-US" w:eastAsia="zh-CN"/>
        </w:rPr>
        <w:t>疫苗接种点卫生、厕所保洁及垃圾清运</w:t>
      </w:r>
      <w:r>
        <w:rPr>
          <w:rFonts w:hint="eastAsia" w:ascii="仿宋_GB2312" w:hAnsi="仿宋" w:eastAsia="仿宋_GB2312" w:cs="仿宋_GB2312"/>
          <w:color w:val="auto"/>
          <w:kern w:val="2"/>
          <w:sz w:val="24"/>
          <w:szCs w:val="24"/>
          <w:highlight w:val="none"/>
        </w:rPr>
        <w:t>等其他养护工作。详见招标文件第三部分采购需求。</w:t>
      </w:r>
    </w:p>
    <w:p>
      <w:pPr>
        <w:pStyle w:val="90"/>
        <w:ind w:firstLine="31680"/>
        <w:outlineLvl w:val="2"/>
        <w:rPr>
          <w:rFonts w:hint="eastAsia" w:ascii="仿宋_GB2312" w:hAnsi="仿宋" w:eastAsia="仿宋_GB2312"/>
          <w:color w:val="auto"/>
          <w:highlight w:val="none"/>
          <w:lang w:eastAsia="zh-CN"/>
        </w:rPr>
      </w:pPr>
      <w:r>
        <w:rPr>
          <w:rFonts w:hint="eastAsia" w:ascii="仿宋_GB2312" w:hAnsi="仿宋" w:eastAsia="仿宋_GB2312" w:cs="仿宋_GB2312"/>
          <w:b/>
          <w:bCs/>
          <w:color w:val="auto"/>
          <w:highlight w:val="none"/>
        </w:rPr>
        <w:t>合同履约期限：</w:t>
      </w:r>
      <w:r>
        <w:rPr>
          <w:rFonts w:hint="eastAsia" w:ascii="仿宋_GB2312" w:hAnsi="仿宋" w:eastAsia="仿宋_GB2312" w:cs="仿宋_GB2312"/>
          <w:b/>
          <w:bCs/>
          <w:color w:val="auto"/>
          <w:highlight w:val="none"/>
          <w:lang w:val="en-US" w:eastAsia="zh-CN"/>
        </w:rPr>
        <w:t>贰年</w:t>
      </w:r>
    </w:p>
    <w:p>
      <w:pPr>
        <w:pStyle w:val="5"/>
        <w:spacing w:line="360" w:lineRule="auto"/>
        <w:ind w:firstLine="480"/>
        <w:rPr>
          <w:rFonts w:ascii="仿宋_GB2312" w:hAnsi="仿宋" w:eastAsia="仿宋_GB2312" w:cs="Times New Roman"/>
          <w:b/>
          <w:bCs/>
          <w:color w:val="auto"/>
          <w:sz w:val="24"/>
          <w:szCs w:val="24"/>
          <w:highlight w:val="none"/>
        </w:rPr>
      </w:pPr>
      <w:r>
        <w:rPr>
          <w:rFonts w:hint="eastAsia" w:ascii="仿宋_GB2312" w:hAnsi="仿宋" w:eastAsia="仿宋_GB2312" w:cs="仿宋_GB2312"/>
          <w:b/>
          <w:bCs/>
          <w:color w:val="auto"/>
          <w:sz w:val="24"/>
          <w:szCs w:val="24"/>
          <w:highlight w:val="none"/>
        </w:rPr>
        <w:t>本项目接受联合体投标：</w:t>
      </w:r>
      <w:r>
        <w:rPr>
          <w:rFonts w:hint="eastAsia" w:ascii="MS Gothic" w:hAnsi="Wingdings" w:eastAsia="MS Gothic" w:cs="Times New Roman"/>
          <w:color w:val="auto"/>
          <w:kern w:val="0"/>
          <w:sz w:val="24"/>
          <w:szCs w:val="24"/>
          <w:highlight w:val="none"/>
        </w:rPr>
        <w:sym w:font="Wingdings" w:char="00FE"/>
      </w:r>
      <w:r>
        <w:rPr>
          <w:rFonts w:hint="eastAsia" w:ascii="仿宋_GB2312" w:hAnsi="仿宋" w:eastAsia="仿宋_GB2312" w:cs="仿宋_GB2312"/>
          <w:b/>
          <w:bCs/>
          <w:color w:val="auto"/>
          <w:sz w:val="24"/>
          <w:szCs w:val="24"/>
          <w:highlight w:val="none"/>
        </w:rPr>
        <w:t>是，</w:t>
      </w:r>
      <w:r>
        <w:rPr>
          <w:rFonts w:hint="eastAsia" w:ascii="MS Gothic" w:hAnsi="Wingdings" w:eastAsia="MS Gothic" w:cs="Times New Roman"/>
          <w:color w:val="auto"/>
          <w:kern w:val="0"/>
          <w:sz w:val="24"/>
          <w:szCs w:val="24"/>
          <w:highlight w:val="none"/>
        </w:rPr>
        <w:sym w:font="Wingdings" w:char="00A8"/>
      </w:r>
      <w:r>
        <w:rPr>
          <w:rFonts w:hint="eastAsia" w:ascii="仿宋_GB2312" w:hAnsi="仿宋" w:eastAsia="仿宋_GB2312" w:cs="仿宋_GB2312"/>
          <w:b/>
          <w:bCs/>
          <w:color w:val="auto"/>
          <w:sz w:val="24"/>
          <w:szCs w:val="24"/>
          <w:highlight w:val="none"/>
        </w:rPr>
        <w:t>否</w:t>
      </w:r>
      <w:r>
        <w:rPr>
          <w:rFonts w:hint="eastAsia" w:hAnsi="宋体"/>
          <w:color w:val="auto"/>
          <w:kern w:val="0"/>
          <w:sz w:val="24"/>
          <w:szCs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w:t>
      </w:r>
      <w:r>
        <w:rPr>
          <w:rFonts w:hint="eastAsia" w:ascii="仿宋" w:hAnsi="仿宋" w:eastAsia="仿宋" w:cs="仿宋"/>
          <w:snapToGrid w:val="0"/>
          <w:color w:val="auto"/>
          <w:kern w:val="28"/>
          <w:sz w:val="24"/>
          <w:szCs w:val="20"/>
          <w:highlight w:val="none"/>
          <w:lang w:val="en-US" w:eastAsia="zh-CN"/>
        </w:rPr>
        <w:tab/>
      </w:r>
      <w:r>
        <w:rPr>
          <w:rFonts w:hint="eastAsia" w:ascii="仿宋" w:hAnsi="仿宋" w:eastAsia="仿宋" w:cs="仿宋"/>
          <w:snapToGrid w:val="0"/>
          <w:color w:val="auto"/>
          <w:kern w:val="28"/>
          <w:sz w:val="24"/>
          <w:szCs w:val="20"/>
          <w:highlight w:val="none"/>
        </w:rPr>
        <w:t>定；未被“信用中国”（www.creditchina.gov.cn)、中国政府采购网（www.ccgp.gov.cn）列入失信被执行人、重大税收违法案件当事人名</w:t>
      </w:r>
      <w:r>
        <w:rPr>
          <w:rFonts w:hint="eastAsia" w:ascii="仿宋" w:hAnsi="仿宋" w:eastAsia="仿宋" w:cs="仿宋"/>
          <w:snapToGrid w:val="0"/>
          <w:color w:val="auto"/>
          <w:kern w:val="28"/>
          <w:sz w:val="24"/>
          <w:szCs w:val="20"/>
          <w:highlight w:val="none"/>
          <w:lang w:val="en-US" w:eastAsia="zh-CN"/>
        </w:rPr>
        <w:tab/>
      </w:r>
      <w:r>
        <w:rPr>
          <w:rFonts w:hint="eastAsia" w:ascii="仿宋" w:hAnsi="仿宋" w:eastAsia="仿宋" w:cs="仿宋"/>
          <w:snapToGrid w:val="0"/>
          <w:color w:val="auto"/>
          <w:kern w:val="28"/>
          <w:sz w:val="24"/>
          <w:szCs w:val="20"/>
          <w:highlight w:val="none"/>
        </w:rPr>
        <w:t>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0" w:firstLineChars="200"/>
        <w:rPr>
          <w:rFonts w:ascii="仿宋_GB2312" w:hAnsi="仿宋" w:eastAsia="仿宋_GB2312"/>
          <w:color w:val="auto"/>
          <w:sz w:val="24"/>
          <w:szCs w:val="24"/>
          <w:highlight w:val="none"/>
        </w:rPr>
      </w:pPr>
      <w:r>
        <w:rPr>
          <w:rFonts w:hint="eastAsia" w:ascii="MS Gothic" w:hAnsi="Wingdings" w:eastAsia="MS Gothic"/>
          <w:color w:val="auto"/>
          <w:kern w:val="0"/>
          <w:sz w:val="24"/>
          <w:szCs w:val="24"/>
          <w:highlight w:val="none"/>
        </w:rPr>
        <w:sym w:font="Wingdings" w:char="00A8"/>
      </w:r>
      <w:r>
        <w:rPr>
          <w:rFonts w:hint="eastAsia" w:ascii="仿宋_GB2312" w:hAnsi="仿宋" w:eastAsia="仿宋_GB2312" w:cs="仿宋_GB2312"/>
          <w:color w:val="auto"/>
          <w:sz w:val="24"/>
          <w:szCs w:val="24"/>
          <w:highlight w:val="none"/>
        </w:rPr>
        <w:t>无；</w:t>
      </w:r>
    </w:p>
    <w:p>
      <w:pPr>
        <w:spacing w:line="360" w:lineRule="auto"/>
        <w:ind w:firstLine="480" w:firstLineChars="200"/>
        <w:rPr>
          <w:rFonts w:hint="eastAsia" w:ascii="仿宋" w:hAnsi="仿宋" w:eastAsia="仿宋" w:cs="仿宋"/>
          <w:color w:val="auto"/>
          <w:sz w:val="24"/>
          <w:highlight w:val="none"/>
        </w:rPr>
      </w:pPr>
      <w:r>
        <w:rPr>
          <w:rFonts w:hint="eastAsia" w:ascii="MS Gothic" w:hAnsi="Wingdings" w:eastAsia="MS Gothic"/>
          <w:color w:val="auto"/>
          <w:kern w:val="0"/>
          <w:sz w:val="24"/>
          <w:szCs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szCs w:val="24"/>
          <w:highlight w:val="none"/>
          <w:lang w:val="en-US" w:eastAsia="zh-CN" w:bidi="ar-SA"/>
        </w:rPr>
        <w:t>☐</w:t>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MS Gothic" w:hAnsi="Wingdings" w:eastAsia="MS Gothic"/>
          <w:color w:val="auto"/>
          <w:kern w:val="0"/>
          <w:sz w:val="24"/>
          <w:szCs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MS Gothic" w:hAnsi="Wingdings" w:eastAsia="MS Gothic"/>
          <w:color w:val="auto"/>
          <w:kern w:val="0"/>
          <w:sz w:val="24"/>
          <w:szCs w:val="24"/>
          <w:highlight w:val="none"/>
        </w:rPr>
        <w:sym w:font="Wingdings" w:char="00A8"/>
      </w:r>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lang w:val="en-US" w:eastAsia="zh-CN"/>
        </w:rPr>
        <w:t>2023</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szCs w:val="24"/>
          <w:highlight w:val="none"/>
          <w:u w:val="single"/>
          <w:lang w:eastAsia="zh-CN"/>
        </w:rPr>
        <w:t>2023年</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14</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9</w:t>
      </w:r>
      <w:r>
        <w:rPr>
          <w:rFonts w:hint="eastAsia" w:ascii="仿宋" w:hAnsi="仿宋" w:eastAsia="仿宋" w:cs="仿宋"/>
          <w:color w:val="auto"/>
          <w:sz w:val="24"/>
          <w:szCs w:val="24"/>
          <w:highlight w:val="none"/>
          <w:u w:val="single"/>
          <w:lang w:eastAsia="zh-CN"/>
        </w:rPr>
        <w:t>点</w:t>
      </w:r>
      <w:r>
        <w:rPr>
          <w:rFonts w:hint="eastAsia" w:ascii="仿宋" w:hAnsi="仿宋" w:eastAsia="仿宋" w:cs="仿宋"/>
          <w:color w:val="auto"/>
          <w:sz w:val="24"/>
          <w:szCs w:val="24"/>
          <w:highlight w:val="none"/>
          <w:u w:val="single"/>
          <w:lang w:val="en-US" w:eastAsia="zh-CN"/>
        </w:rPr>
        <w:t>00</w:t>
      </w:r>
      <w:r>
        <w:rPr>
          <w:rFonts w:hint="eastAsia" w:ascii="仿宋" w:hAnsi="仿宋" w:eastAsia="仿宋" w:cs="仿宋"/>
          <w:color w:val="auto"/>
          <w:sz w:val="24"/>
          <w:szCs w:val="24"/>
          <w:highlight w:val="none"/>
          <w:u w:val="single"/>
          <w:lang w:eastAsia="zh-CN"/>
        </w:rPr>
        <w:t>分00秒</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szCs w:val="24"/>
          <w:highlight w:val="none"/>
          <w:u w:val="single"/>
          <w:lang w:eastAsia="zh-CN"/>
        </w:rPr>
      </w:pPr>
      <w:r>
        <w:rPr>
          <w:rFonts w:hint="eastAsia" w:ascii="仿宋" w:hAnsi="仿宋" w:eastAsia="仿宋" w:cs="仿宋"/>
          <w:b/>
          <w:color w:val="auto"/>
          <w:sz w:val="24"/>
          <w:highlight w:val="none"/>
        </w:rPr>
        <w:t>开标时间：</w:t>
      </w:r>
      <w:r>
        <w:rPr>
          <w:rFonts w:hint="eastAsia" w:ascii="仿宋" w:hAnsi="仿宋" w:eastAsia="仿宋" w:cs="仿宋"/>
          <w:color w:val="auto"/>
          <w:sz w:val="24"/>
          <w:szCs w:val="24"/>
          <w:highlight w:val="none"/>
          <w:u w:val="single"/>
          <w:lang w:eastAsia="zh-CN"/>
        </w:rPr>
        <w:t>2023年3月</w:t>
      </w:r>
      <w:r>
        <w:rPr>
          <w:rFonts w:hint="eastAsia" w:ascii="仿宋" w:hAnsi="仿宋" w:eastAsia="仿宋" w:cs="仿宋"/>
          <w:color w:val="auto"/>
          <w:sz w:val="24"/>
          <w:szCs w:val="24"/>
          <w:highlight w:val="none"/>
          <w:u w:val="single"/>
          <w:lang w:val="en-US" w:eastAsia="zh-CN"/>
        </w:rPr>
        <w:t>14</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9</w:t>
      </w:r>
      <w:r>
        <w:rPr>
          <w:rFonts w:hint="eastAsia" w:ascii="仿宋" w:hAnsi="仿宋" w:eastAsia="仿宋" w:cs="仿宋"/>
          <w:color w:val="auto"/>
          <w:sz w:val="24"/>
          <w:szCs w:val="24"/>
          <w:highlight w:val="none"/>
          <w:u w:val="single"/>
          <w:lang w:eastAsia="zh-CN"/>
        </w:rPr>
        <w:t>点</w:t>
      </w:r>
      <w:r>
        <w:rPr>
          <w:rFonts w:hint="eastAsia" w:ascii="仿宋" w:hAnsi="仿宋" w:eastAsia="仿宋" w:cs="仿宋"/>
          <w:color w:val="auto"/>
          <w:sz w:val="24"/>
          <w:szCs w:val="24"/>
          <w:highlight w:val="none"/>
          <w:u w:val="single"/>
          <w:lang w:val="en-US" w:eastAsia="zh-CN"/>
        </w:rPr>
        <w:t>00</w:t>
      </w:r>
      <w:r>
        <w:rPr>
          <w:rFonts w:hint="eastAsia" w:ascii="仿宋" w:hAnsi="仿宋" w:eastAsia="仿宋" w:cs="仿宋"/>
          <w:color w:val="auto"/>
          <w:sz w:val="24"/>
          <w:szCs w:val="24"/>
          <w:highlight w:val="none"/>
          <w:u w:val="single"/>
          <w:lang w:eastAsia="zh-CN"/>
        </w:rPr>
        <w:t>分00秒</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t>
      </w:r>
      <w:bookmarkStart w:id="401" w:name="_GoBack"/>
      <w:bookmarkEnd w:id="401"/>
      <w:r>
        <w:rPr>
          <w:rFonts w:hint="eastAsia" w:ascii="仿宋" w:hAnsi="仿宋" w:eastAsia="仿宋" w:cs="仿宋"/>
          <w:color w:val="auto"/>
          <w:sz w:val="24"/>
          <w:highlight w:val="none"/>
        </w:rPr>
        <w:t>://www.zcygov.cn/）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rPr>
      </w:pPr>
      <w:r>
        <w:rPr>
          <w:rFonts w:hint="eastAsia" w:ascii="仿宋_GB2312" w:hAnsi="仿宋" w:eastAsia="仿宋_GB2312"/>
          <w:color w:val="auto"/>
          <w:sz w:val="24"/>
        </w:rPr>
        <w:t>4.其他事项：（1）需要落实的政府采购政策：包括节约资源、保护环境、支持创新、促进中小企业发展等。详见招标文件的第二部分总则。（2）</w:t>
      </w:r>
      <w:r>
        <w:rPr>
          <w:rFonts w:ascii="仿宋_GB2312" w:hAnsi="仿宋" w:eastAsia="仿宋_GB2312"/>
          <w:color w:val="auto"/>
          <w:sz w:val="24"/>
        </w:rPr>
        <w:t>电子招投标的说明：</w:t>
      </w:r>
      <w:r>
        <w:rPr>
          <w:rFonts w:hint="eastAsia" w:ascii="仿宋_GB2312" w:hAnsi="仿宋" w:eastAsia="仿宋_GB2312" w:cs="仿宋_GB2312"/>
          <w:color w:val="auto"/>
          <w:sz w:val="24"/>
        </w:rPr>
        <w:t>①</w:t>
      </w:r>
      <w:r>
        <w:rPr>
          <w:rFonts w:ascii="仿宋_GB2312" w:hAnsi="仿宋" w:eastAsia="仿宋_GB2312" w:cs="仿宋_GB2312"/>
          <w:color w:val="auto"/>
          <w:sz w:val="24"/>
        </w:rPr>
        <w:t>电子招投标：本项目以数据电文形式，依托“政府采购云平台（www.zcygov.cn）”进行招投标活动，不接受纸质投标文件</w:t>
      </w:r>
      <w:r>
        <w:rPr>
          <w:rFonts w:hint="eastAsia" w:ascii="仿宋_GB2312" w:hAnsi="仿宋" w:eastAsia="仿宋_GB2312" w:cs="仿宋_GB2312"/>
          <w:color w:val="auto"/>
          <w:sz w:val="24"/>
        </w:rPr>
        <w:t>；②</w:t>
      </w:r>
      <w:r>
        <w:rPr>
          <w:rFonts w:ascii="仿宋_GB2312" w:hAnsi="仿宋" w:eastAsia="仿宋_GB2312" w:cs="仿宋_GB2312"/>
          <w:color w:val="auto"/>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rPr>
        <w:t>采云电子交易客户端”</w:t>
      </w:r>
      <w:r>
        <w:rPr>
          <w:rFonts w:ascii="仿宋_GB2312" w:hAnsi="仿宋" w:eastAsia="仿宋_GB2312" w:cs="仿宋_GB2312"/>
          <w:color w:val="auto"/>
          <w:sz w:val="24"/>
        </w:rPr>
        <w:t>----前往“浙江政府采购网-下载专区-电子交易客户端”进行下载并安装</w:t>
      </w:r>
      <w:r>
        <w:rPr>
          <w:rFonts w:hint="eastAsia" w:ascii="仿宋_GB2312" w:hAnsi="仿宋" w:eastAsia="仿宋_GB2312" w:cs="仿宋_GB2312"/>
          <w:color w:val="auto"/>
          <w:sz w:val="24"/>
        </w:rPr>
        <w:t>；③</w:t>
      </w:r>
      <w:r>
        <w:rPr>
          <w:rFonts w:ascii="仿宋_GB2312" w:hAnsi="仿宋" w:eastAsia="仿宋_GB2312" w:cs="仿宋_GB2312"/>
          <w:color w:val="auto"/>
          <w:sz w:val="24"/>
        </w:rPr>
        <w:t>招标文件的获取：使用账号登录或者使用CA登录政</w:t>
      </w:r>
      <w:r>
        <w:rPr>
          <w:rFonts w:hint="eastAsia" w:ascii="仿宋_GB2312" w:hAnsi="仿宋" w:eastAsia="仿宋_GB2312" w:cs="仿宋_GB2312"/>
          <w:color w:val="auto"/>
          <w:sz w:val="24"/>
        </w:rPr>
        <w:t>采云平台；进入“项目采购”应用，在获取采购文件菜单中选择项目，获取招标文件；④</w:t>
      </w:r>
      <w:r>
        <w:rPr>
          <w:rFonts w:ascii="仿宋_GB2312" w:hAnsi="仿宋" w:eastAsia="仿宋_GB2312" w:cs="仿宋_GB2312"/>
          <w:color w:val="auto"/>
          <w:sz w:val="24"/>
        </w:rPr>
        <w:t>投标文件的制作：在“政</w:t>
      </w:r>
      <w:r>
        <w:rPr>
          <w:rFonts w:hint="eastAsia" w:ascii="仿宋_GB2312" w:hAnsi="仿宋" w:eastAsia="仿宋_GB2312" w:cs="仿宋_GB2312"/>
          <w:color w:val="auto"/>
          <w:sz w:val="24"/>
        </w:rPr>
        <w:t>采云电子交易客户端”中完成“填写基本信息”、“导入投标文件”、“标书关联”、“标书检查”、“电子签名”、“生成电子标书”等操作；</w:t>
      </w:r>
      <w:r>
        <w:rPr>
          <w:rFonts w:hint="eastAsia" w:ascii="仿宋_GB2312" w:hAnsi="仿宋" w:eastAsia="仿宋_GB2312"/>
          <w:color w:val="auto"/>
          <w:sz w:val="24"/>
        </w:rPr>
        <w:t>⑤</w:t>
      </w:r>
      <w:r>
        <w:rPr>
          <w:rFonts w:ascii="仿宋_GB2312" w:hAnsi="仿宋" w:eastAsia="仿宋_GB2312"/>
          <w:color w:val="auto"/>
          <w:sz w:val="24"/>
        </w:rPr>
        <w:t>采购人、采购机构将依托政</w:t>
      </w:r>
      <w:r>
        <w:rPr>
          <w:rFonts w:hint="eastAsia" w:ascii="仿宋_GB2312" w:hAnsi="仿宋" w:eastAsia="仿宋_GB2312"/>
          <w:color w:val="auto"/>
          <w:sz w:val="24"/>
        </w:rPr>
        <w:t>采云平台完成本项目的电子交易活动，平台不接受未按上述方式获取招标文件的供应商进行投标活动；⑥</w:t>
      </w:r>
      <w:r>
        <w:rPr>
          <w:rFonts w:ascii="仿宋_GB2312" w:hAnsi="仿宋" w:eastAsia="仿宋_GB2312"/>
          <w:color w:val="auto"/>
          <w:sz w:val="24"/>
        </w:rPr>
        <w:t>对未按上述方式获取招标文件的供应商对该文件提出的质疑，采购人或采购代理机构将</w:t>
      </w:r>
      <w:r>
        <w:rPr>
          <w:rFonts w:hint="eastAsia" w:ascii="仿宋_GB2312" w:hAnsi="仿宋" w:eastAsia="仿宋_GB2312"/>
          <w:color w:val="auto"/>
          <w:sz w:val="24"/>
        </w:rPr>
        <w:t>不予处理；⑦</w:t>
      </w:r>
      <w:r>
        <w:rPr>
          <w:rFonts w:ascii="仿宋_GB2312" w:hAnsi="仿宋" w:eastAsia="仿宋_GB2312"/>
          <w:color w:val="auto"/>
          <w:sz w:val="24"/>
        </w:rPr>
        <w:t>不提供招标文件纸质版</w:t>
      </w:r>
      <w:r>
        <w:rPr>
          <w:rFonts w:hint="eastAsia" w:ascii="仿宋_GB2312" w:hAnsi="仿宋" w:eastAsia="仿宋_GB2312"/>
          <w:color w:val="auto"/>
          <w:sz w:val="24"/>
        </w:rPr>
        <w:t>；</w:t>
      </w:r>
      <w:r>
        <w:rPr>
          <w:rFonts w:hint="eastAsia" w:ascii="仿宋_GB2312" w:hAnsi="仿宋" w:eastAsia="仿宋_GB2312" w:cs="仿宋_GB2312"/>
          <w:color w:val="auto"/>
          <w:sz w:val="24"/>
        </w:rPr>
        <w:t>⑧</w:t>
      </w:r>
      <w:r>
        <w:rPr>
          <w:rFonts w:ascii="仿宋_GB2312" w:hAnsi="仿宋" w:eastAsia="仿宋_GB2312" w:cs="仿宋_GB2312"/>
          <w:color w:val="auto"/>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rPr>
        <w:t>；</w:t>
      </w:r>
      <w:r>
        <w:rPr>
          <w:rFonts w:hint="eastAsia" w:ascii="仿宋_GB2312" w:hAnsi="仿宋" w:eastAsia="仿宋_GB2312"/>
          <w:color w:val="auto"/>
          <w:sz w:val="24"/>
        </w:rPr>
        <w:t>⑨</w:t>
      </w:r>
      <w:r>
        <w:rPr>
          <w:rFonts w:hint="eastAsia" w:ascii="仿宋_GB2312" w:hAnsi="仿宋" w:eastAsia="仿宋_GB2312" w:cs="仿宋_GB2312"/>
          <w:color w:val="auto"/>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rPr>
        <w:t>具体操作指南：详见政</w:t>
      </w:r>
      <w:r>
        <w:rPr>
          <w:rFonts w:hint="eastAsia" w:ascii="仿宋_GB2312" w:hAnsi="仿宋" w:eastAsia="仿宋_GB2312" w:cs="仿宋_GB2312"/>
          <w:color w:val="auto"/>
          <w:sz w:val="24"/>
        </w:rPr>
        <w:t>采云平台“服务中心</w:t>
      </w:r>
      <w:r>
        <w:rPr>
          <w:rFonts w:ascii="仿宋_GB2312" w:hAnsi="仿宋" w:eastAsia="仿宋_GB2312" w:cs="仿宋_GB2312"/>
          <w:color w:val="auto"/>
          <w:sz w:val="24"/>
        </w:rPr>
        <w:t>-帮助文档-项目采购-操作流程-电子招投标-政府采购项目电子交易管理操作指南-供应商”。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eastAsia="zh-CN"/>
        </w:rPr>
        <w:t>杭州市临平区人民政府乔司街道办事处</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w:t>
      </w:r>
      <w:r>
        <w:rPr>
          <w:rFonts w:hint="eastAsia" w:ascii="仿宋" w:hAnsi="仿宋" w:eastAsia="仿宋" w:cs="仿宋"/>
          <w:color w:val="auto"/>
          <w:sz w:val="24"/>
          <w:highlight w:val="none"/>
          <w:lang w:val="en-US" w:eastAsia="zh-CN"/>
        </w:rPr>
        <w:t>浙江省杭州市临平区乔井路268号</w:t>
      </w:r>
      <w:r>
        <w:rPr>
          <w:rFonts w:hint="eastAsia" w:ascii="仿宋" w:hAnsi="仿宋" w:eastAsia="仿宋" w:cs="仿宋"/>
          <w:color w:val="auto"/>
          <w:sz w:val="24"/>
          <w:highlight w:val="none"/>
          <w:lang w:eastAsia="zh-CN"/>
        </w:rPr>
        <w:t> </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val="en-US" w:eastAsia="zh-CN"/>
        </w:rPr>
        <w:t xml:space="preserve">王涛  </w:t>
      </w:r>
      <w:r>
        <w:rPr>
          <w:rFonts w:hint="eastAsia" w:ascii="仿宋" w:hAnsi="仿宋" w:eastAsia="仿宋" w:cs="仿宋"/>
          <w:color w:val="auto"/>
          <w:sz w:val="24"/>
          <w:highlight w:val="none"/>
        </w:rPr>
        <w:t xml:space="preserve">  </w:t>
      </w:r>
    </w:p>
    <w:p>
      <w:pPr>
        <w:spacing w:line="360" w:lineRule="auto"/>
        <w:ind w:firstLine="48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项目联系方式（询问）：</w:t>
      </w:r>
      <w:r>
        <w:rPr>
          <w:rFonts w:hint="eastAsia" w:ascii="仿宋" w:hAnsi="仿宋" w:eastAsia="仿宋" w:cs="仿宋"/>
          <w:color w:val="auto"/>
          <w:sz w:val="24"/>
          <w:highlight w:val="none"/>
          <w:lang w:val="en-US" w:eastAsia="zh-CN"/>
        </w:rPr>
        <w:t>17767167034</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质疑联系人：翁振泉</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w:t>
      </w:r>
    </w:p>
    <w:p>
      <w:pPr>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质疑联系方式：0571-86296891</w:t>
      </w:r>
      <w:r>
        <w:rPr>
          <w:rFonts w:hint="eastAsia" w:ascii="仿宋" w:hAnsi="仿宋" w:eastAsia="仿宋" w:cs="仿宋"/>
          <w:color w:val="auto"/>
          <w:sz w:val="24"/>
          <w:highlight w:val="none"/>
          <w:lang w:val="en-US" w:eastAsia="zh-CN"/>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val="en-US" w:eastAsia="zh-CN"/>
        </w:rPr>
        <w:t>浙江新诚信工程咨询有限公司</w:t>
      </w:r>
    </w:p>
    <w:p>
      <w:pPr>
        <w:spacing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地    址：杭州市临平区南苑街道香雪路38号香雪铭座7F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传    真：/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项目联系人（询问）：张喆      </w:t>
      </w:r>
    </w:p>
    <w:p>
      <w:pPr>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项目联系方式（询问）：18989891985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质疑联系人：戚东升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质疑联系方式：0571-</w:t>
      </w:r>
      <w:r>
        <w:rPr>
          <w:rFonts w:hint="eastAsia" w:ascii="仿宋" w:hAnsi="仿宋" w:eastAsia="仿宋" w:cs="仿宋"/>
          <w:color w:val="auto"/>
          <w:sz w:val="24"/>
          <w:highlight w:val="none"/>
          <w:lang w:val="en-US" w:eastAsia="zh-CN"/>
        </w:rPr>
        <w:t>89183725</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 杭州市</w:t>
      </w:r>
      <w:r>
        <w:rPr>
          <w:rFonts w:hint="eastAsia" w:ascii="仿宋" w:hAnsi="仿宋" w:eastAsia="仿宋" w:cs="仿宋"/>
          <w:b w:val="0"/>
          <w:bCs/>
          <w:color w:val="auto"/>
          <w:kern w:val="0"/>
          <w:sz w:val="24"/>
          <w:highlight w:val="none"/>
          <w:lang w:val="en-US" w:eastAsia="zh-CN"/>
        </w:rPr>
        <w:t>临平区政府采购办公室</w:t>
      </w:r>
      <w:r>
        <w:rPr>
          <w:rFonts w:hint="eastAsia" w:ascii="仿宋" w:hAnsi="仿宋" w:eastAsia="仿宋" w:cs="仿宋"/>
          <w:color w:val="auto"/>
          <w:sz w:val="24"/>
          <w:highlight w:val="none"/>
        </w:rPr>
        <w:t>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w:t>
      </w:r>
      <w:r>
        <w:rPr>
          <w:rFonts w:hint="eastAsia" w:ascii="仿宋" w:hAnsi="仿宋" w:eastAsia="仿宋" w:cs="仿宋"/>
          <w:color w:val="auto"/>
          <w:sz w:val="24"/>
          <w:highlight w:val="none"/>
          <w:lang w:val="en-US" w:eastAsia="zh-CN"/>
        </w:rPr>
        <w:t>临平</w:t>
      </w:r>
      <w:r>
        <w:rPr>
          <w:rFonts w:hint="eastAsia" w:ascii="仿宋" w:hAnsi="仿宋" w:eastAsia="仿宋" w:cs="仿宋"/>
          <w:color w:val="auto"/>
          <w:sz w:val="24"/>
          <w:highlight w:val="none"/>
          <w:lang w:eastAsia="zh-CN"/>
        </w:rPr>
        <w:t>区</w:t>
      </w:r>
      <w:r>
        <w:rPr>
          <w:rFonts w:hint="eastAsia" w:ascii="仿宋" w:hAnsi="仿宋" w:eastAsia="仿宋" w:cs="仿宋"/>
          <w:color w:val="auto"/>
          <w:sz w:val="24"/>
          <w:highlight w:val="none"/>
        </w:rPr>
        <w:t xml:space="preserve">临平东湖中路236号余杭财税大楼 </w:t>
      </w:r>
    </w:p>
    <w:p>
      <w:pPr>
        <w:spacing w:line="360" w:lineRule="auto"/>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传    真： </w:t>
      </w:r>
      <w:r>
        <w:rPr>
          <w:rFonts w:hint="eastAsia" w:ascii="仿宋" w:hAnsi="仿宋" w:eastAsia="仿宋" w:cs="仿宋"/>
          <w:color w:val="auto"/>
          <w:sz w:val="24"/>
          <w:highlight w:val="none"/>
          <w:lang w:val="en-US" w:eastAsia="zh-CN"/>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联系人 ： </w:t>
      </w:r>
      <w:r>
        <w:rPr>
          <w:rFonts w:hint="eastAsia" w:ascii="仿宋" w:hAnsi="仿宋" w:eastAsia="仿宋" w:cs="仿宋"/>
          <w:color w:val="auto"/>
          <w:sz w:val="24"/>
          <w:highlight w:val="none"/>
          <w:lang w:val="en-US" w:eastAsia="zh-CN"/>
        </w:rPr>
        <w:t>俞征</w:t>
      </w:r>
      <w:r>
        <w:rPr>
          <w:rFonts w:hint="eastAsia" w:ascii="仿宋" w:hAnsi="仿宋" w:eastAsia="仿宋" w:cs="仿宋"/>
          <w:color w:val="auto"/>
          <w:sz w:val="24"/>
          <w:highlight w:val="none"/>
        </w:rPr>
        <w:t xml:space="preserve">   </w:t>
      </w:r>
    </w:p>
    <w:p>
      <w:pPr>
        <w:widowControl w:val="0"/>
        <w:wordWrap/>
        <w:adjustRightInd w:val="0"/>
        <w:snapToGrid/>
        <w:spacing w:line="360" w:lineRule="auto"/>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监督投诉电话：0571-89185312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2"/>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highlight w:val="none"/>
        </w:rPr>
        <w:t xml:space="preserve">                              </w:t>
      </w: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4"/>
        <w:tblpPr w:leftFromText="180" w:rightFromText="180" w:vertAnchor="text" w:tblpX="108" w:tblpY="1"/>
        <w:tblOverlap w:val="never"/>
        <w:tblW w:w="91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9"/>
        <w:gridCol w:w="1962"/>
        <w:gridCol w:w="64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trPr>
        <w:tc>
          <w:tcPr>
            <w:tcW w:w="669"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400" w:lineRule="exact"/>
              <w:jc w:val="center"/>
              <w:textAlignment w:val="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trPr>
        <w:tc>
          <w:tcPr>
            <w:tcW w:w="669"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491"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240" w:lineRule="auto"/>
              <w:ind w:firstLine="241" w:firstLineChars="100"/>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240" w:lineRule="auto"/>
              <w:ind w:firstLine="241" w:firstLineChars="100"/>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pacing w:line="240" w:lineRule="auto"/>
              <w:ind w:firstLine="241" w:firstLineChars="100"/>
              <w:textAlignment w:val="auto"/>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宋体"/>
                <w:color w:val="auto"/>
                <w:sz w:val="24"/>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r>
              <w:rPr>
                <w:rFonts w:hint="eastAsia" w:ascii="华文仿宋" w:hAnsi="华文仿宋" w:eastAsia="华文仿宋" w:cs="宋体"/>
                <w:color w:val="auto"/>
                <w:sz w:val="24"/>
              </w:rPr>
              <w:t>1、投标报价上限：报价不得高于项目总预算且不得高于各标项预算。</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color w:val="auto"/>
              </w:rPr>
            </w:pPr>
            <w:r>
              <w:rPr>
                <w:rFonts w:hint="eastAsia" w:ascii="华文仿宋" w:hAnsi="华文仿宋" w:eastAsia="华文仿宋" w:cs="宋体"/>
                <w:b/>
                <w:color w:val="auto"/>
                <w:sz w:val="24"/>
              </w:rPr>
              <w:t>▲</w:t>
            </w:r>
            <w:r>
              <w:rPr>
                <w:rFonts w:hint="eastAsia" w:ascii="华文仿宋" w:hAnsi="华文仿宋" w:eastAsia="华文仿宋" w:cs="宋体"/>
                <w:color w:val="auto"/>
                <w:sz w:val="24"/>
              </w:rPr>
              <w:t>2、</w:t>
            </w:r>
            <w:r>
              <w:rPr>
                <w:rFonts w:hint="eastAsia" w:ascii="华文仿宋" w:hAnsi="华文仿宋" w:eastAsia="华文仿宋" w:cs="仿宋_GB2312"/>
                <w:b/>
                <w:color w:val="auto"/>
                <w:kern w:val="0"/>
                <w:sz w:val="24"/>
              </w:rPr>
              <w:t>最低人员工资：</w:t>
            </w:r>
            <w:r>
              <w:rPr>
                <w:rFonts w:hint="eastAsia" w:ascii="华文仿宋" w:hAnsi="华文仿宋" w:eastAsia="华文仿宋" w:cs="仿宋_GB2312"/>
                <w:color w:val="auto"/>
                <w:kern w:val="0"/>
                <w:sz w:val="24"/>
              </w:rPr>
              <w:t>根据杭政办〔2008〕14号、浙政办发〔2009〕190号、</w:t>
            </w:r>
            <w:r>
              <w:rPr>
                <w:rFonts w:hint="eastAsia" w:ascii="华文仿宋" w:hAnsi="华文仿宋" w:eastAsia="华文仿宋" w:cs="仿宋_GB2312"/>
                <w:color w:val="auto"/>
                <w:kern w:val="0"/>
                <w:sz w:val="24"/>
                <w:lang w:val="zh-CN"/>
              </w:rPr>
              <w:t>《浙江省人民政府关于调整全省最低工资标准的通知》（浙政发[2021]22号）、</w:t>
            </w:r>
            <w:r>
              <w:rPr>
                <w:rFonts w:hint="eastAsia" w:ascii="华文仿宋" w:hAnsi="华文仿宋" w:eastAsia="华文仿宋" w:cs="仿宋_GB2312"/>
                <w:color w:val="auto"/>
                <w:kern w:val="0"/>
                <w:sz w:val="24"/>
              </w:rPr>
              <w:t>《杭州市人民政府关于调整市区最低工资标准的通知》（杭政函[2021]69号），项目保洁人员工资不得低于杭州市最低工资标准的110%和定额内人员相关工资要求，日常加班工资按劳动法相关要求另行计算。必须为本项目人员缴纳五险、住房公积金及杭政办〔2008〕14号和浙政办发〔2009〕190号文件规定的其它经费，须在杭州本地缴纳“五险一金”。</w:t>
            </w:r>
            <w:r>
              <w:rPr>
                <w:rFonts w:hint="eastAsia" w:ascii="华文仿宋" w:hAnsi="华文仿宋" w:eastAsia="华文仿宋" w:cs="仿宋_GB2312"/>
                <w:b/>
                <w:color w:val="auto"/>
                <w:kern w:val="0"/>
                <w:sz w:val="24"/>
              </w:rPr>
              <w:t>投标单位根据道路保洁作业定额，结合作业难易程度，确定投标合理报价。</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宋体"/>
                <w:color w:val="auto"/>
                <w:sz w:val="24"/>
              </w:rPr>
            </w:pPr>
            <w:r>
              <w:rPr>
                <w:rFonts w:hint="eastAsia" w:ascii="华文仿宋" w:hAnsi="华文仿宋" w:eastAsia="华文仿宋" w:cs="宋体"/>
                <w:color w:val="auto"/>
                <w:sz w:val="24"/>
              </w:rPr>
              <w:t>3、设施设备费报价：拟投入本项目中的设施设备的备品备件、车辆设备保险、日常维修保养，燃油、应急物资、日常服务易耗品，如扫把（含机扫车扫把）等，以及服务过程中所产生的水费、电费、开户安装等相关费用，结合企业成本列报。</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仿宋" w:hAnsi="仿宋" w:eastAsia="仿宋" w:cs="仿宋"/>
                <w:color w:val="auto"/>
                <w:kern w:val="2"/>
                <w:sz w:val="24"/>
                <w:szCs w:val="24"/>
                <w:highlight w:val="none"/>
                <w:lang w:val="en-US" w:eastAsia="zh-CN" w:bidi="ar-SA"/>
              </w:rPr>
            </w:pPr>
            <w:r>
              <w:rPr>
                <w:rFonts w:hint="eastAsia" w:ascii="华文仿宋" w:hAnsi="华文仿宋" w:eastAsia="华文仿宋" w:cs="宋体"/>
                <w:color w:val="auto"/>
                <w:sz w:val="24"/>
              </w:rPr>
              <w:t>4、如评标委员会认为供应商的上述报价明显低于其他通过符合性审查供应商的报价，有可能影响产品质量或者不能诚信履约的，应当要求其在合理的时间内提供书面说明，必要时提交相关证明材料。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3364"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ind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491" w:type="dxa"/>
            <w:tcBorders>
              <w:top w:val="single" w:color="000000" w:sz="8" w:space="0"/>
              <w:left w:val="single" w:color="000000" w:sz="2" w:space="0"/>
              <w:bottom w:val="single" w:color="000000" w:sz="8" w:space="0"/>
              <w:right w:val="single" w:color="000000" w:sz="8" w:space="0"/>
            </w:tcBorders>
            <w:vAlign w:val="center"/>
          </w:tcPr>
          <w:tbl>
            <w:tblPr>
              <w:tblStyle w:val="64"/>
              <w:tblpPr w:leftFromText="180" w:rightFromText="180" w:vertAnchor="text" w:tblpXSpec="left" w:tblpY="1"/>
              <w:tblOverlap w:val="never"/>
              <w:tblW w:w="6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754"/>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基本工资</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2280元/月，即27360元/年</w:t>
                  </w:r>
                </w:p>
              </w:tc>
              <w:tc>
                <w:tcPr>
                  <w:tcW w:w="3058"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杭政函[2021]69号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上浮10%</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228元/月，即2736元/年</w:t>
                  </w:r>
                </w:p>
              </w:tc>
              <w:tc>
                <w:tcPr>
                  <w:tcW w:w="3058"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特殊岗位津贴</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300元/月，即3600元/年</w:t>
                  </w:r>
                </w:p>
              </w:tc>
              <w:tc>
                <w:tcPr>
                  <w:tcW w:w="3058"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浙政办发〔2009〕190号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夏季高温津贴</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1200元/年</w:t>
                  </w:r>
                </w:p>
              </w:tc>
              <w:tc>
                <w:tcPr>
                  <w:tcW w:w="3058"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浙人社发〔2018〕65号300元/月，按4个月计算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住房公积金</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125.4元/月，即1504.8元/年</w:t>
                  </w:r>
                </w:p>
              </w:tc>
              <w:tc>
                <w:tcPr>
                  <w:tcW w:w="3058"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ascii="华文仿宋" w:hAnsi="华文仿宋" w:eastAsia="华文仿宋" w:cs="仿宋_GB2312"/>
                      <w:color w:val="auto"/>
                      <w:kern w:val="0"/>
                      <w:sz w:val="24"/>
                    </w:rPr>
                    <w:t>企业职工基本养老保险</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r>
                    <w:rPr>
                      <w:rFonts w:ascii="华文仿宋" w:hAnsi="华文仿宋" w:eastAsia="华文仿宋" w:cs="仿宋_GB2312"/>
                      <w:color w:val="auto"/>
                      <w:kern w:val="0"/>
                      <w:sz w:val="24"/>
                    </w:rPr>
                    <w:t>（</w:t>
                  </w:r>
                  <w:r>
                    <w:rPr>
                      <w:rFonts w:hint="eastAsia" w:ascii="华文仿宋" w:hAnsi="华文仿宋" w:eastAsia="华文仿宋" w:cs="仿宋_GB2312"/>
                      <w:color w:val="auto"/>
                      <w:kern w:val="0"/>
                      <w:sz w:val="24"/>
                    </w:rPr>
                    <w:t>单位</w:t>
                  </w:r>
                  <w:r>
                    <w:rPr>
                      <w:rFonts w:ascii="华文仿宋" w:hAnsi="华文仿宋" w:eastAsia="华文仿宋" w:cs="仿宋_GB2312"/>
                      <w:color w:val="auto"/>
                      <w:kern w:val="0"/>
                      <w:sz w:val="24"/>
                    </w:rPr>
                    <w:t>缴纳比例按</w:t>
                  </w:r>
                  <w:r>
                    <w:rPr>
                      <w:rFonts w:hint="eastAsia" w:ascii="华文仿宋" w:hAnsi="华文仿宋" w:eastAsia="华文仿宋" w:cs="仿宋_GB2312"/>
                      <w:color w:val="auto"/>
                      <w:kern w:val="0"/>
                      <w:sz w:val="24"/>
                    </w:rPr>
                    <w:t>14%</w:t>
                  </w:r>
                  <w:r>
                    <w:rPr>
                      <w:rFonts w:ascii="华文仿宋" w:hAnsi="华文仿宋" w:eastAsia="华文仿宋" w:cs="仿宋_GB2312"/>
                      <w:color w:val="auto"/>
                      <w:kern w:val="0"/>
                      <w:sz w:val="24"/>
                    </w:rPr>
                    <w:t>）</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r>
                    <w:rPr>
                      <w:rFonts w:hint="eastAsia" w:ascii="华文仿宋" w:hAnsi="华文仿宋" w:eastAsia="华文仿宋" w:cs="仿宋_GB2312"/>
                      <w:color w:val="auto"/>
                      <w:kern w:val="0"/>
                      <w:sz w:val="24"/>
                    </w:rPr>
                    <w:t>553.98元/月，即6647.76元/年</w:t>
                  </w:r>
                </w:p>
              </w:tc>
              <w:tc>
                <w:tcPr>
                  <w:tcW w:w="3058" w:type="dxa"/>
                  <w:vMerge w:val="restart"/>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r>
                    <w:rPr>
                      <w:rFonts w:ascii="华文仿宋" w:hAnsi="华文仿宋" w:eastAsia="华文仿宋" w:cs="仿宋_GB2312"/>
                      <w:color w:val="auto"/>
                      <w:kern w:val="0"/>
                      <w:sz w:val="24"/>
                    </w:rPr>
                    <w:t>关于启动</w:t>
                  </w:r>
                  <w:r>
                    <w:rPr>
                      <w:rFonts w:hint="eastAsia" w:ascii="华文仿宋" w:hAnsi="华文仿宋" w:eastAsia="华文仿宋" w:cs="仿宋_GB2312"/>
                      <w:color w:val="auto"/>
                      <w:kern w:val="0"/>
                      <w:sz w:val="24"/>
                    </w:rPr>
                    <w:t>2021年度社会保险缴费基数的通知、浙人社发[2021]54号，基数保底值按3957元计算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ascii="华文仿宋" w:hAnsi="华文仿宋" w:eastAsia="华文仿宋" w:cs="仿宋_GB2312"/>
                      <w:color w:val="auto"/>
                      <w:kern w:val="0"/>
                      <w:sz w:val="24"/>
                    </w:rPr>
                    <w:t>失业保险</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ascii="华文仿宋" w:hAnsi="华文仿宋" w:eastAsia="华文仿宋" w:cs="仿宋_GB2312"/>
                      <w:color w:val="auto"/>
                      <w:kern w:val="0"/>
                      <w:sz w:val="24"/>
                    </w:rPr>
                    <w:t>（按</w:t>
                  </w:r>
                  <w:r>
                    <w:rPr>
                      <w:rFonts w:hint="eastAsia" w:ascii="华文仿宋" w:hAnsi="华文仿宋" w:eastAsia="华文仿宋" w:cs="仿宋_GB2312"/>
                      <w:color w:val="auto"/>
                      <w:kern w:val="0"/>
                      <w:sz w:val="24"/>
                    </w:rPr>
                    <w:t>0.</w:t>
                  </w:r>
                  <w:r>
                    <w:rPr>
                      <w:rFonts w:hint="eastAsia" w:ascii="华文仿宋" w:hAnsi="华文仿宋" w:eastAsia="华文仿宋" w:cs="仿宋_GB2312"/>
                      <w:color w:val="auto"/>
                      <w:kern w:val="0"/>
                      <w:sz w:val="24"/>
                      <w:lang w:eastAsia="zh-CN"/>
                    </w:rPr>
                    <w:t>1%</w:t>
                  </w:r>
                  <w:r>
                    <w:rPr>
                      <w:rFonts w:hint="eastAsia" w:ascii="华文仿宋" w:hAnsi="华文仿宋" w:eastAsia="华文仿宋" w:cs="仿宋_GB2312"/>
                      <w:color w:val="auto"/>
                      <w:kern w:val="0"/>
                      <w:sz w:val="24"/>
                    </w:rPr>
                    <w:t>计取</w:t>
                  </w:r>
                  <w:r>
                    <w:rPr>
                      <w:rFonts w:ascii="华文仿宋" w:hAnsi="华文仿宋" w:eastAsia="华文仿宋" w:cs="仿宋_GB2312"/>
                      <w:color w:val="auto"/>
                      <w:kern w:val="0"/>
                      <w:sz w:val="24"/>
                    </w:rPr>
                    <w:t>）</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19.79元/月，即237.48元/年</w:t>
                  </w:r>
                </w:p>
              </w:tc>
              <w:tc>
                <w:tcPr>
                  <w:tcW w:w="3058" w:type="dxa"/>
                  <w:vMerge w:val="continue"/>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医疗保险</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ascii="华文仿宋" w:hAnsi="华文仿宋" w:eastAsia="华文仿宋" w:cs="仿宋_GB2312"/>
                      <w:color w:val="auto"/>
                      <w:kern w:val="0"/>
                      <w:sz w:val="24"/>
                    </w:rPr>
                    <w:t>（</w:t>
                  </w:r>
                  <w:r>
                    <w:rPr>
                      <w:rFonts w:hint="eastAsia" w:ascii="华文仿宋" w:hAnsi="华文仿宋" w:eastAsia="华文仿宋" w:cs="仿宋_GB2312"/>
                      <w:color w:val="auto"/>
                      <w:kern w:val="0"/>
                      <w:sz w:val="24"/>
                    </w:rPr>
                    <w:t>单位</w:t>
                  </w:r>
                  <w:r>
                    <w:rPr>
                      <w:rFonts w:ascii="华文仿宋" w:hAnsi="华文仿宋" w:eastAsia="华文仿宋" w:cs="仿宋_GB2312"/>
                      <w:color w:val="auto"/>
                      <w:kern w:val="0"/>
                      <w:sz w:val="24"/>
                    </w:rPr>
                    <w:t>缴纳比例按</w:t>
                  </w:r>
                  <w:r>
                    <w:rPr>
                      <w:rFonts w:hint="eastAsia" w:ascii="华文仿宋" w:hAnsi="华文仿宋" w:eastAsia="华文仿宋" w:cs="仿宋_GB2312"/>
                      <w:color w:val="auto"/>
                      <w:kern w:val="0"/>
                      <w:sz w:val="24"/>
                    </w:rPr>
                    <w:t>9.9%</w:t>
                  </w:r>
                  <w:r>
                    <w:rPr>
                      <w:rFonts w:ascii="华文仿宋" w:hAnsi="华文仿宋" w:eastAsia="华文仿宋" w:cs="仿宋_GB2312"/>
                      <w:color w:val="auto"/>
                      <w:kern w:val="0"/>
                      <w:sz w:val="24"/>
                    </w:rPr>
                    <w:t>）</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color w:val="auto"/>
                      <w:kern w:val="0"/>
                      <w:sz w:val="24"/>
                    </w:rPr>
                  </w:pPr>
                  <w:r>
                    <w:rPr>
                      <w:rFonts w:hint="eastAsia" w:ascii="华文仿宋" w:hAnsi="华文仿宋" w:eastAsia="华文仿宋" w:cs="仿宋_GB2312"/>
                      <w:color w:val="auto"/>
                      <w:kern w:val="0"/>
                      <w:sz w:val="24"/>
                    </w:rPr>
                    <w:t>391.74元/月，即4700.88元/年</w:t>
                  </w:r>
                </w:p>
              </w:tc>
              <w:tc>
                <w:tcPr>
                  <w:tcW w:w="3058" w:type="dxa"/>
                  <w:vMerge w:val="continue"/>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613"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r>
                    <w:rPr>
                      <w:rFonts w:hint="eastAsia" w:ascii="华文仿宋" w:hAnsi="华文仿宋" w:eastAsia="华文仿宋" w:cs="宋体"/>
                      <w:b/>
                      <w:color w:val="auto"/>
                      <w:sz w:val="24"/>
                    </w:rPr>
                    <w:t>▲</w:t>
                  </w:r>
                  <w:r>
                    <w:rPr>
                      <w:rFonts w:hint="eastAsia" w:ascii="华文仿宋" w:hAnsi="华文仿宋" w:eastAsia="华文仿宋" w:cs="仿宋_GB2312"/>
                      <w:b/>
                      <w:color w:val="auto"/>
                      <w:kern w:val="0"/>
                      <w:sz w:val="24"/>
                    </w:rPr>
                    <w:t>本次招标最低人员工资</w:t>
                  </w:r>
                </w:p>
              </w:tc>
              <w:tc>
                <w:tcPr>
                  <w:tcW w:w="1754"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r>
                    <w:rPr>
                      <w:rFonts w:hint="eastAsia" w:ascii="华文仿宋" w:hAnsi="华文仿宋" w:eastAsia="华文仿宋" w:cs="仿宋_GB2312"/>
                      <w:b/>
                      <w:color w:val="auto"/>
                      <w:kern w:val="0"/>
                      <w:sz w:val="24"/>
                    </w:rPr>
                    <w:t>47986.92元/年•人</w:t>
                  </w:r>
                </w:p>
              </w:tc>
              <w:tc>
                <w:tcPr>
                  <w:tcW w:w="3058" w:type="dxa"/>
                  <w:vAlign w:val="top"/>
                </w:tcPr>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ascii="华文仿宋" w:hAnsi="华文仿宋" w:eastAsia="华文仿宋" w:cs="仿宋_GB2312"/>
                      <w:b/>
                      <w:color w:val="auto"/>
                      <w:kern w:val="0"/>
                      <w:sz w:val="24"/>
                    </w:rPr>
                  </w:pPr>
                </w:p>
              </w:tc>
            </w:tr>
          </w:tbl>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hint="eastAsia" w:ascii="华文仿宋" w:hAnsi="华文仿宋" w:eastAsia="华文仿宋" w:cs="宋体"/>
                <w:color w:val="auto"/>
                <w:sz w:val="24"/>
              </w:rPr>
            </w:pPr>
            <w:r>
              <w:rPr>
                <w:rFonts w:hint="eastAsia" w:ascii="华文仿宋" w:hAnsi="华文仿宋" w:eastAsia="华文仿宋" w:cs="仿宋_GB2312"/>
                <w:kern w:val="0"/>
                <w:sz w:val="24"/>
                <w:lang w:val="en-US" w:eastAsia="zh-CN"/>
              </w:rPr>
              <w:t>5</w:t>
            </w:r>
            <w:r>
              <w:rPr>
                <w:rFonts w:hint="eastAsia" w:ascii="华文仿宋" w:hAnsi="华文仿宋" w:eastAsia="华文仿宋" w:cs="宋体"/>
                <w:color w:val="auto"/>
                <w:sz w:val="24"/>
                <w:lang w:val="en-US" w:eastAsia="zh-CN"/>
              </w:rPr>
              <w:t>、</w:t>
            </w:r>
            <w:r>
              <w:rPr>
                <w:rFonts w:hint="eastAsia" w:ascii="华文仿宋" w:hAnsi="华文仿宋" w:eastAsia="华文仿宋" w:cs="宋体"/>
                <w:color w:val="auto"/>
                <w:sz w:val="24"/>
              </w:rPr>
              <w:t>根据中华人民共和国招标投标法第三十三条规定“投标人不得以低于成本的报价竞标”。</w:t>
            </w:r>
          </w:p>
          <w:p>
            <w:pPr>
              <w:keepNext w:val="0"/>
              <w:keepLines w:val="0"/>
              <w:pageBreakBefore w:val="0"/>
              <w:widowControl w:val="0"/>
              <w:tabs>
                <w:tab w:val="left" w:pos="851"/>
                <w:tab w:val="left" w:pos="993"/>
              </w:tabs>
              <w:kinsoku/>
              <w:wordWrap/>
              <w:overflowPunct/>
              <w:topLinePunct w:val="0"/>
              <w:autoSpaceDE/>
              <w:autoSpaceDN/>
              <w:bidi w:val="0"/>
              <w:adjustRightInd w:val="0"/>
              <w:spacing w:line="240" w:lineRule="auto"/>
              <w:jc w:val="left"/>
              <w:textAlignment w:val="auto"/>
              <w:rPr>
                <w:rFonts w:hint="eastAsia" w:ascii="仿宋" w:hAnsi="仿宋" w:eastAsia="仿宋" w:cs="仿宋"/>
                <w:color w:val="auto"/>
                <w:kern w:val="0"/>
                <w:sz w:val="24"/>
                <w:szCs w:val="24"/>
                <w:highlight w:val="none"/>
                <w:lang w:val="en-US" w:eastAsia="zh-CN" w:bidi="ar-SA"/>
              </w:rPr>
            </w:pPr>
            <w:r>
              <w:rPr>
                <w:rFonts w:hint="eastAsia" w:ascii="华文仿宋" w:hAnsi="华文仿宋" w:eastAsia="华文仿宋" w:cs="宋体"/>
                <w:color w:val="auto"/>
                <w:sz w:val="24"/>
                <w:lang w:val="en-US" w:eastAsia="zh-CN"/>
              </w:rPr>
              <w:t>6</w:t>
            </w:r>
            <w:r>
              <w:rPr>
                <w:rFonts w:hint="eastAsia" w:ascii="华文仿宋" w:hAnsi="华文仿宋" w:eastAsia="华文仿宋" w:cs="宋体"/>
                <w:color w:val="auto"/>
                <w:sz w:val="24"/>
              </w:rPr>
              <w:t>、根据中华人民共和国财政部令第87号中的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710" w:hRule="atLeast"/>
        </w:trPr>
        <w:tc>
          <w:tcPr>
            <w:tcW w:w="669" w:type="dxa"/>
            <w:vMerge w:val="restart"/>
            <w:tcBorders>
              <w:top w:val="single" w:color="auto" w:sz="4" w:space="0"/>
              <w:left w:val="single" w:color="auto" w:sz="4" w:space="0"/>
              <w:right w:val="single" w:color="auto" w:sz="4" w:space="0"/>
            </w:tcBorders>
            <w:vAlign w:val="top"/>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962" w:type="dxa"/>
            <w:vMerge w:val="restart"/>
            <w:tcBorders>
              <w:top w:val="single" w:color="000000" w:sz="8" w:space="0"/>
              <w:left w:val="single" w:color="auto" w:sz="4"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491" w:type="dxa"/>
            <w:tcBorders>
              <w:top w:val="single" w:color="000000" w:sz="8" w:space="0"/>
              <w:left w:val="single" w:color="000000" w:sz="2" w:space="0"/>
              <w:bottom w:val="single" w:color="auto" w:sz="4"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widowControl w:val="0"/>
              <w:wordWrap/>
              <w:adjustRightInd w:val="0"/>
              <w:spacing w:line="400" w:lineRule="exact"/>
              <w:textAlignment w:val="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0" w:hRule="atLeast"/>
        </w:trPr>
        <w:tc>
          <w:tcPr>
            <w:tcW w:w="669" w:type="dxa"/>
            <w:vMerge w:val="continue"/>
            <w:tcBorders>
              <w:left w:val="single" w:color="auto" w:sz="4" w:space="0"/>
              <w:bottom w:val="single" w:color="auto" w:sz="4" w:space="0"/>
              <w:right w:val="single" w:color="auto" w:sz="4" w:space="0"/>
            </w:tcBorders>
            <w:vAlign w:val="top"/>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tc>
        <w:tc>
          <w:tcPr>
            <w:tcW w:w="1962" w:type="dxa"/>
            <w:vMerge w:val="continue"/>
            <w:tcBorders>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p>
        </w:tc>
        <w:tc>
          <w:tcPr>
            <w:tcW w:w="6491" w:type="dxa"/>
            <w:tcBorders>
              <w:top w:val="single" w:color="auto" w:sz="4"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845"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widowControl w:val="0"/>
              <w:wordWrap/>
              <w:adjustRightInd w:val="0"/>
              <w:spacing w:line="400" w:lineRule="exact"/>
              <w:textAlignment w:val="auto"/>
              <w:rPr>
                <w:rFonts w:hint="eastAsia" w:ascii="仿宋" w:hAnsi="仿宋" w:eastAsia="仿宋" w:cs="仿宋"/>
                <w:color w:val="auto"/>
                <w:sz w:val="24"/>
                <w:szCs w:val="20"/>
                <w:highlight w:val="none"/>
              </w:rPr>
            </w:pP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970" w:hRule="atLeast"/>
        </w:trPr>
        <w:tc>
          <w:tcPr>
            <w:tcW w:w="66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962"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MS Gothic" w:hAnsi="Wingdings" w:eastAsia="MS Gothic"/>
                <w:color w:val="auto"/>
                <w:kern w:val="0"/>
                <w:sz w:val="24"/>
                <w:szCs w:val="24"/>
                <w:highlight w:val="none"/>
              </w:rPr>
              <w:sym w:font="Wingdings" w:char="00FE"/>
            </w:r>
            <w:r>
              <w:rPr>
                <w:rFonts w:ascii="仿宋_GB2312" w:hAnsi="仿宋" w:eastAsia="仿宋_GB2312" w:cs="仿宋_GB2312"/>
                <w:color w:val="auto"/>
                <w:kern w:val="0"/>
                <w:sz w:val="24"/>
                <w:szCs w:val="24"/>
                <w:highlight w:val="none"/>
              </w:rPr>
              <w:t>A</w:t>
            </w:r>
            <w:r>
              <w:rPr>
                <w:rFonts w:hint="eastAsia" w:ascii="仿宋_GB2312" w:hAnsi="仿宋" w:eastAsia="仿宋_GB2312" w:cs="仿宋_GB2312"/>
                <w:color w:val="auto"/>
                <w:sz w:val="24"/>
                <w:szCs w:val="24"/>
                <w:highlight w:val="none"/>
              </w:rPr>
              <w:t>不要求提供。</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szCs w:val="24"/>
                <w:highlight w:val="none"/>
                <w:lang w:val="en-US" w:eastAsia="zh-CN" w:bidi="ar-SA"/>
              </w:rPr>
              <w:t>☐</w:t>
            </w:r>
            <w:r>
              <w:rPr>
                <w:rFonts w:hint="eastAsia" w:ascii="仿宋" w:hAnsi="仿宋" w:eastAsia="仿宋" w:cs="仿宋"/>
                <w:color w:val="auto"/>
                <w:kern w:val="0"/>
                <w:sz w:val="24"/>
                <w:highlight w:val="none"/>
              </w:rPr>
              <w:t>B要求提供，</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否；☐是，检测机构的要求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widowControl w:val="0"/>
              <w:wordWrap/>
              <w:adjustRightInd w:val="0"/>
              <w:spacing w:line="400" w:lineRule="exact"/>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Wingdings" w:hAnsi="Wingdings" w:eastAsia="仿宋_GB2312"/>
                <w:color w:val="auto"/>
                <w:kern w:val="0"/>
                <w:sz w:val="24"/>
                <w:szCs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☐B组织。</w:t>
            </w:r>
          </w:p>
          <w:p>
            <w:pPr>
              <w:widowControl w:val="0"/>
              <w:wordWrap/>
              <w:adjustRightInd w:val="0"/>
              <w:snapToGri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widowControl w:val="0"/>
              <w:wordWrap/>
              <w:adjustRightInd w:val="0"/>
              <w:snapToGri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widowControl w:val="0"/>
              <w:wordWrap/>
              <w:adjustRightInd w:val="0"/>
              <w:snapToGri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widowControl w:val="0"/>
              <w:wordWrap/>
              <w:adjustRightInd w:val="0"/>
              <w:snapToGri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方式二：交易中心现场讲解演示。现场讲解地点为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，讲解演示所用电脑等设备由投标人自备。现场讲解演示人员进场时提供讲解人员名单（加盖公章）及身份证明，否则不得讲解演示。</w:t>
            </w:r>
          </w:p>
          <w:p>
            <w:pPr>
              <w:widowControl w:val="0"/>
              <w:wordWrap/>
              <w:adjustRightInd w:val="0"/>
              <w:snapToGrid w:val="0"/>
              <w:spacing w:line="400" w:lineRule="exact"/>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本项目不允许采购进口产品。</w:t>
            </w:r>
          </w:p>
          <w:p>
            <w:pPr>
              <w:widowControl w:val="0"/>
              <w:wordWrap/>
              <w:adjustRightInd w:val="0"/>
              <w:spacing w:line="400" w:lineRule="exact"/>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68"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szCs w:val="24"/>
                <w:highlight w:val="none"/>
                <w:lang w:val="en-US" w:eastAsia="zh-CN" w:bidi="ar-SA"/>
              </w:rPr>
              <w:t>☐</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widowControl w:val="0"/>
              <w:wordWrap/>
              <w:adjustRightInd w:val="0"/>
              <w:spacing w:line="400" w:lineRule="exact"/>
              <w:textAlignment w:val="auto"/>
              <w:rPr>
                <w:rFonts w:hint="eastAsia" w:ascii="仿宋" w:hAnsi="仿宋" w:eastAsia="仿宋" w:cs="仿宋"/>
                <w:color w:val="auto"/>
                <w:sz w:val="24"/>
                <w:highlight w:val="none"/>
              </w:rPr>
            </w:pPr>
            <w:r>
              <w:rPr>
                <w:rFonts w:hint="eastAsia" w:ascii="Wingdings" w:hAnsi="Wingdings" w:eastAsia="仿宋" w:cs="仿宋"/>
                <w:color w:val="auto"/>
                <w:kern w:val="0"/>
                <w:sz w:val="24"/>
                <w:szCs w:val="24"/>
                <w:highlight w:val="none"/>
                <w:lang w:val="en-US" w:eastAsia="zh-CN" w:bidi="ar-SA"/>
              </w:rPr>
              <w:t>þ</w:t>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textAlignment w:val="auto"/>
              <w:rPr>
                <w:rFonts w:hint="eastAsia" w:ascii="仿宋" w:hAnsi="仿宋" w:eastAsia="仿宋" w:cs="仿宋"/>
                <w:color w:val="auto"/>
                <w:highlight w:val="none"/>
                <w:lang w:val="en-US" w:eastAsia="zh-CN"/>
              </w:rPr>
            </w:pPr>
            <w:r>
              <w:rPr>
                <w:rFonts w:hint="eastAsia" w:ascii="仿宋" w:hAnsi="仿宋" w:eastAsia="仿宋" w:cs="仿宋"/>
                <w:color w:val="auto"/>
                <w:kern w:val="0"/>
                <w:sz w:val="24"/>
                <w:highlight w:val="none"/>
              </w:rPr>
              <w:t>（1）标的：</w:t>
            </w:r>
            <w:r>
              <w:rPr>
                <w:rFonts w:hint="eastAsia" w:ascii="仿宋" w:hAnsi="仿宋" w:eastAsia="仿宋" w:cs="仿宋"/>
                <w:color w:val="auto"/>
                <w:kern w:val="0"/>
                <w:sz w:val="24"/>
                <w:highlight w:val="none"/>
                <w:u w:val="single"/>
                <w:lang w:val="en-US" w:eastAsia="zh-CN"/>
              </w:rPr>
              <w:t>保洁服务</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，属于</w:t>
            </w:r>
            <w:r>
              <w:rPr>
                <w:rFonts w:hint="eastAsia" w:ascii="仿宋" w:hAnsi="仿宋" w:eastAsia="仿宋" w:cs="仿宋"/>
                <w:b w:val="0"/>
                <w:bCs/>
                <w:color w:val="auto"/>
                <w:sz w:val="24"/>
                <w:szCs w:val="24"/>
                <w:highlight w:val="none"/>
                <w:u w:val="single"/>
              </w:rPr>
              <w:t>其他未列明行业</w:t>
            </w:r>
            <w:r>
              <w:rPr>
                <w:rFonts w:hint="eastAsia" w:ascii="仿宋" w:hAnsi="仿宋" w:eastAsia="仿宋" w:cs="仿宋"/>
                <w:b w:val="0"/>
                <w:bCs/>
                <w:color w:val="auto"/>
                <w:sz w:val="24"/>
                <w:szCs w:val="24"/>
                <w:highlight w:val="none"/>
                <w:u w:val="singl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44" w:hRule="atLeast"/>
        </w:trPr>
        <w:tc>
          <w:tcPr>
            <w:tcW w:w="669" w:type="dxa"/>
            <w:vMerge w:val="restart"/>
            <w:tcBorders>
              <w:top w:val="single" w:color="auto" w:sz="4" w:space="0"/>
              <w:left w:val="single" w:color="000000" w:sz="8"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962" w:type="dxa"/>
            <w:vMerge w:val="restart"/>
            <w:tcBorders>
              <w:top w:val="single" w:color="000000" w:sz="8" w:space="0"/>
              <w:left w:val="single" w:color="000000" w:sz="2"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44" w:hRule="atLeast"/>
        </w:trPr>
        <w:tc>
          <w:tcPr>
            <w:tcW w:w="669" w:type="dxa"/>
            <w:vMerge w:val="continue"/>
            <w:tcBorders>
              <w:left w:val="single" w:color="000000" w:sz="8" w:space="0"/>
              <w:right w:val="single" w:color="000000" w:sz="2" w:space="0"/>
            </w:tcBorders>
            <w:vAlign w:val="center"/>
          </w:tcPr>
          <w:p>
            <w:pPr>
              <w:widowControl w:val="0"/>
              <w:wordWrap/>
              <w:adjustRightInd w:val="0"/>
              <w:spacing w:line="400" w:lineRule="exact"/>
              <w:ind w:firstLine="420" w:firstLineChars="200"/>
              <w:jc w:val="center"/>
              <w:textAlignment w:val="auto"/>
              <w:rPr>
                <w:rFonts w:hint="eastAsia" w:ascii="仿宋" w:hAnsi="仿宋" w:eastAsia="仿宋" w:cs="仿宋"/>
                <w:color w:val="auto"/>
                <w:highlight w:val="none"/>
              </w:rPr>
            </w:pPr>
          </w:p>
        </w:tc>
        <w:tc>
          <w:tcPr>
            <w:tcW w:w="1962" w:type="dxa"/>
            <w:vMerge w:val="continue"/>
            <w:tcBorders>
              <w:left w:val="single" w:color="000000" w:sz="2" w:space="0"/>
              <w:right w:val="single" w:color="000000" w:sz="8" w:space="0"/>
            </w:tcBorders>
            <w:vAlign w:val="center"/>
          </w:tcPr>
          <w:p>
            <w:pPr>
              <w:widowControl w:val="0"/>
              <w:wordWrap/>
              <w:adjustRightInd w:val="0"/>
              <w:spacing w:line="400" w:lineRule="exact"/>
              <w:ind w:firstLine="420" w:firstLineChars="200"/>
              <w:textAlignment w:val="auto"/>
              <w:rPr>
                <w:rFonts w:hint="eastAsia" w:ascii="仿宋" w:hAnsi="仿宋" w:eastAsia="仿宋" w:cs="仿宋"/>
                <w:color w:val="auto"/>
                <w:highlight w:val="none"/>
              </w:rPr>
            </w:pP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400" w:lineRule="exact"/>
              <w:ind w:firstLine="480" w:firstLineChars="200"/>
              <w:textAlignment w:val="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87" w:hRule="atLeast"/>
        </w:trPr>
        <w:tc>
          <w:tcPr>
            <w:tcW w:w="66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962"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491" w:type="dxa"/>
            <w:tcBorders>
              <w:top w:val="single" w:color="000000" w:sz="8" w:space="0"/>
              <w:left w:val="single" w:color="000000" w:sz="2" w:space="0"/>
              <w:bottom w:val="single" w:color="000000" w:sz="8" w:space="0"/>
              <w:right w:val="single" w:color="000000" w:sz="8" w:space="0"/>
            </w:tcBorders>
            <w:vAlign w:val="center"/>
          </w:tcPr>
          <w:p>
            <w:pPr>
              <w:pStyle w:val="32"/>
              <w:widowControl w:val="0"/>
              <w:wordWrap/>
              <w:adjustRightInd w:val="0"/>
              <w:spacing w:line="400" w:lineRule="exact"/>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备份投标文件送达地点：</w:t>
            </w:r>
          </w:p>
          <w:p>
            <w:pPr>
              <w:pStyle w:val="32"/>
              <w:widowControl w:val="0"/>
              <w:wordWrap/>
              <w:adjustRightInd w:val="0"/>
              <w:spacing w:line="400" w:lineRule="exact"/>
              <w:textAlignment w:val="auto"/>
              <w:rPr>
                <w:rFonts w:hint="eastAsia" w:ascii="仿宋" w:hAnsi="仿宋" w:eastAsia="仿宋" w:cs="仿宋"/>
                <w:color w:val="auto"/>
                <w:kern w:val="28"/>
                <w:sz w:val="24"/>
                <w:szCs w:val="24"/>
                <w:highlight w:val="none"/>
                <w:lang w:eastAsia="zh-CN"/>
              </w:rPr>
            </w:pPr>
            <w:r>
              <w:rPr>
                <w:rFonts w:hint="eastAsia" w:ascii="仿宋" w:hAnsi="仿宋" w:eastAsia="仿宋" w:cs="仿宋"/>
                <w:color w:val="auto"/>
                <w:kern w:val="28"/>
                <w:sz w:val="24"/>
                <w:szCs w:val="24"/>
                <w:highlight w:val="none"/>
              </w:rPr>
              <w:t>备份投标文件签收人员</w:t>
            </w:r>
            <w:r>
              <w:rPr>
                <w:rFonts w:hint="eastAsia" w:ascii="仿宋" w:hAnsi="仿宋" w:eastAsia="仿宋" w:cs="仿宋"/>
                <w:color w:val="auto"/>
                <w:kern w:val="28"/>
                <w:sz w:val="24"/>
                <w:szCs w:val="24"/>
                <w:highlight w:val="none"/>
                <w:lang w:eastAsia="zh-CN"/>
              </w:rPr>
              <w:t>：</w:t>
            </w:r>
          </w:p>
          <w:p>
            <w:pPr>
              <w:pStyle w:val="32"/>
              <w:widowControl w:val="0"/>
              <w:wordWrap/>
              <w:adjustRightInd w:val="0"/>
              <w:spacing w:line="400" w:lineRule="exact"/>
              <w:textAlignment w:val="auto"/>
              <w:rPr>
                <w:rFonts w:hint="eastAsia" w:ascii="仿宋" w:hAnsi="仿宋" w:eastAsia="仿宋" w:cs="仿宋"/>
                <w:color w:val="auto"/>
                <w:kern w:val="28"/>
                <w:sz w:val="24"/>
                <w:highlight w:val="none"/>
              </w:rPr>
            </w:pP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vMerge w:val="restart"/>
            <w:tcBorders>
              <w:top w:val="single" w:color="auto" w:sz="4" w:space="0"/>
              <w:left w:val="single" w:color="000000" w:sz="8" w:space="0"/>
              <w:right w:val="single" w:color="000000" w:sz="2" w:space="0"/>
            </w:tcBorders>
            <w:vAlign w:val="center"/>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962" w:type="dxa"/>
            <w:vMerge w:val="restart"/>
            <w:tcBorders>
              <w:top w:val="single" w:color="000000" w:sz="8" w:space="0"/>
              <w:left w:val="single" w:color="000000" w:sz="2"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spacing w:line="400" w:lineRule="exact"/>
              <w:textAlignment w:val="auto"/>
              <w:rPr>
                <w:rFonts w:hint="eastAsia" w:ascii="仿宋" w:hAnsi="仿宋" w:eastAsia="仿宋" w:cs="仿宋"/>
                <w:color w:val="auto"/>
                <w:sz w:val="24"/>
                <w:highlight w:val="none"/>
              </w:rPr>
            </w:pPr>
            <w:r>
              <w:rPr>
                <w:rFonts w:hint="eastAsia" w:ascii="仿宋" w:hAnsi="仿宋" w:eastAsia="仿宋" w:cs="仿宋"/>
                <w:b/>
                <w:bCs/>
                <w:color w:val="auto"/>
                <w:highlight w:val="none"/>
              </w:rPr>
              <w:t>招标服务费：</w:t>
            </w:r>
            <w:r>
              <w:rPr>
                <w:rFonts w:hint="eastAsia" w:ascii="仿宋" w:hAnsi="仿宋" w:eastAsia="仿宋" w:cs="仿宋"/>
                <w:color w:val="auto"/>
                <w:sz w:val="24"/>
                <w:highlight w:val="none"/>
              </w:rPr>
              <w:t>本次招标代理服务费由中标人支付，招标代理服务费按照国家计委印发的《招标代理服务收费管理暂行办法》计价格[2002]1980号、发改办价格[2003]857号规定收费</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招标代理服务费由中标人在领取中标通知书前支付给招标代理机构，各投标人应在投标报价中予以考虑。</w:t>
            </w:r>
          </w:p>
          <w:p>
            <w:pPr>
              <w:widowControl w:val="0"/>
              <w:wordWrap/>
              <w:adjustRightInd w:val="0"/>
              <w:snapToGrid/>
              <w:spacing w:line="400" w:lineRule="exact"/>
              <w:textAlignment w:val="auto"/>
              <w:rPr>
                <w:rFonts w:hint="eastAsia" w:ascii="仿宋" w:hAnsi="仿宋" w:eastAsia="仿宋" w:cs="仿宋"/>
                <w:snapToGrid w:val="0"/>
                <w:color w:val="auto"/>
                <w:kern w:val="28"/>
                <w:sz w:val="24"/>
                <w:highlight w:val="none"/>
              </w:rPr>
            </w:pPr>
            <w:r>
              <w:rPr>
                <w:rFonts w:hint="eastAsia" w:ascii="宋体" w:hAnsi="宋体" w:cs="宋体"/>
                <w:b/>
                <w:bCs/>
                <w:color w:val="auto"/>
                <w:highlight w:val="none"/>
              </w:rPr>
              <w:t>中标服务费的交纳方式：以转帐或支票的形式支付</w:t>
            </w:r>
            <w:r>
              <w:rPr>
                <w:rFonts w:hint="eastAsia" w:ascii="宋体" w:hAnsi="宋体" w:cs="宋体"/>
                <w:b/>
                <w:bCs/>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69" w:type="dxa"/>
            <w:vMerge w:val="continue"/>
            <w:tcBorders>
              <w:left w:val="single" w:color="000000" w:sz="8" w:space="0"/>
              <w:right w:val="single" w:color="000000" w:sz="2" w:space="0"/>
            </w:tcBorders>
            <w:vAlign w:val="top"/>
          </w:tcPr>
          <w:p>
            <w:pPr>
              <w:widowControl w:val="0"/>
              <w:wordWrap/>
              <w:adjustRightInd w:val="0"/>
              <w:snapToGrid w:val="0"/>
              <w:spacing w:line="400" w:lineRule="exact"/>
              <w:jc w:val="center"/>
              <w:textAlignment w:val="auto"/>
              <w:rPr>
                <w:rFonts w:hint="eastAsia" w:ascii="仿宋" w:hAnsi="仿宋" w:eastAsia="仿宋" w:cs="仿宋"/>
                <w:color w:val="auto"/>
                <w:sz w:val="24"/>
                <w:highlight w:val="none"/>
              </w:rPr>
            </w:pPr>
          </w:p>
        </w:tc>
        <w:tc>
          <w:tcPr>
            <w:tcW w:w="1962" w:type="dxa"/>
            <w:vMerge w:val="continue"/>
            <w:tcBorders>
              <w:left w:val="single" w:color="000000" w:sz="2" w:space="0"/>
              <w:right w:val="single" w:color="000000" w:sz="8" w:space="0"/>
            </w:tcBorders>
            <w:vAlign w:val="center"/>
          </w:tcPr>
          <w:p>
            <w:pPr>
              <w:widowControl w:val="0"/>
              <w:wordWrap/>
              <w:adjustRightInd w:val="0"/>
              <w:snapToGrid w:val="0"/>
              <w:spacing w:line="400" w:lineRule="exact"/>
              <w:jc w:val="center"/>
              <w:textAlignment w:val="auto"/>
              <w:rPr>
                <w:rFonts w:hint="eastAsia" w:ascii="仿宋" w:hAnsi="仿宋" w:eastAsia="仿宋" w:cs="仿宋"/>
                <w:b/>
                <w:color w:val="auto"/>
                <w:sz w:val="24"/>
                <w:highlight w:val="none"/>
              </w:rPr>
            </w:pPr>
          </w:p>
        </w:tc>
        <w:tc>
          <w:tcPr>
            <w:tcW w:w="6491"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spacing w:line="40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中标单位需在领取中标通知书时，提供本项目纸质投标文件（资格文件”、“报价文件”和“商务技术文件”）</w:t>
            </w:r>
            <w:r>
              <w:rPr>
                <w:rFonts w:hint="eastAsia" w:ascii="仿宋" w:hAnsi="仿宋" w:eastAsia="仿宋" w:cs="仿宋"/>
                <w:color w:val="auto"/>
                <w:sz w:val="24"/>
                <w:highlight w:val="none"/>
                <w:lang w:val="en-US" w:eastAsia="zh-CN"/>
              </w:rPr>
              <w:t>三</w:t>
            </w:r>
            <w:r>
              <w:rPr>
                <w:rFonts w:hint="eastAsia" w:ascii="仿宋" w:hAnsi="仿宋" w:eastAsia="仿宋" w:cs="仿宋"/>
                <w:color w:val="auto"/>
                <w:sz w:val="24"/>
                <w:highlight w:val="none"/>
              </w:rPr>
              <w:t>份（正本一份，副本</w:t>
            </w:r>
            <w:r>
              <w:rPr>
                <w:rFonts w:hint="eastAsia" w:ascii="仿宋" w:hAnsi="仿宋" w:eastAsia="仿宋" w:cs="仿宋"/>
                <w:color w:val="auto"/>
                <w:sz w:val="24"/>
                <w:highlight w:val="none"/>
                <w:lang w:val="en-US" w:eastAsia="zh-CN"/>
              </w:rPr>
              <w:t>二</w:t>
            </w:r>
            <w:r>
              <w:rPr>
                <w:rFonts w:hint="eastAsia" w:ascii="仿宋" w:hAnsi="仿宋" w:eastAsia="仿宋" w:cs="仿宋"/>
                <w:color w:val="auto"/>
                <w:sz w:val="24"/>
                <w:highlight w:val="none"/>
              </w:rPr>
              <w:t>份）并提供电子投标文件与纸质投标文件内容一致承诺书</w:t>
            </w:r>
            <w:r>
              <w:rPr>
                <w:rFonts w:hint="eastAsia" w:ascii="仿宋" w:hAnsi="仿宋" w:eastAsia="仿宋" w:cs="仿宋"/>
                <w:color w:val="auto"/>
                <w:sz w:val="24"/>
                <w:highlight w:val="none"/>
                <w:lang w:val="en-US" w:eastAsia="zh-CN"/>
              </w:rPr>
              <w:t>三</w:t>
            </w:r>
            <w:r>
              <w:rPr>
                <w:rFonts w:hint="eastAsia" w:ascii="仿宋" w:hAnsi="仿宋" w:eastAsia="仿宋" w:cs="仿宋"/>
                <w:color w:val="auto"/>
                <w:sz w:val="24"/>
                <w:highlight w:val="none"/>
              </w:rPr>
              <w:t>份（格式详见采购文件）。</w:t>
            </w:r>
          </w:p>
        </w:tc>
      </w:tr>
    </w:tbl>
    <w:p>
      <w:pPr>
        <w:snapToGrid w:val="0"/>
        <w:spacing w:line="360" w:lineRule="auto"/>
        <w:jc w:val="center"/>
        <w:outlineLvl w:val="9"/>
        <w:rPr>
          <w:rFonts w:ascii="仿宋" w:hAnsi="仿宋" w:eastAsia="仿宋" w:cs="仿宋_GB2312"/>
          <w:b/>
          <w:color w:val="auto"/>
          <w:sz w:val="32"/>
          <w:szCs w:val="20"/>
          <w:highlight w:val="none"/>
        </w:rPr>
      </w:pPr>
    </w:p>
    <w:p>
      <w:pPr>
        <w:tabs>
          <w:tab w:val="left" w:pos="432"/>
        </w:tabs>
        <w:outlineLvl w:val="9"/>
        <w:rPr>
          <w:rFonts w:ascii="仿宋" w:hAnsi="仿宋" w:eastAsia="仿宋" w:cs="仿宋_GB2312"/>
          <w:b/>
          <w:color w:val="auto"/>
          <w:sz w:val="32"/>
          <w:szCs w:val="20"/>
          <w:highlight w:val="none"/>
        </w:rPr>
      </w:pPr>
    </w:p>
    <w:p>
      <w:pPr>
        <w:outlineLvl w:val="9"/>
        <w:rPr>
          <w:rFonts w:ascii="仿宋" w:hAnsi="仿宋" w:eastAsia="仿宋" w:cs="仿宋_GB2312"/>
          <w:b/>
          <w:color w:val="auto"/>
          <w:sz w:val="32"/>
          <w:szCs w:val="20"/>
          <w:highlight w:val="none"/>
        </w:rPr>
      </w:pPr>
    </w:p>
    <w:p>
      <w:pPr>
        <w:tabs>
          <w:tab w:val="left" w:pos="432"/>
        </w:tabs>
        <w:outlineLvl w:val="9"/>
        <w:rPr>
          <w:color w:val="auto"/>
        </w:rPr>
      </w:pPr>
    </w:p>
    <w:bookmarkEnd w:id="10"/>
    <w:p>
      <w:pPr>
        <w:adjustRightInd/>
        <w:spacing w:line="360" w:lineRule="auto"/>
        <w:ind w:firstLine="3845" w:firstLineChars="1197"/>
        <w:outlineLvl w:val="9"/>
        <w:rPr>
          <w:rFonts w:hint="eastAsia" w:ascii="仿宋_GB2312" w:hAnsi="仿宋" w:eastAsia="仿宋_GB2312" w:cs="仿宋_GB2312"/>
          <w:b/>
          <w:color w:val="auto"/>
          <w:sz w:val="32"/>
          <w:szCs w:val="20"/>
          <w:highlight w:val="none"/>
        </w:rPr>
      </w:pPr>
      <w:bookmarkStart w:id="11" w:name="_Toc164416483"/>
      <w:bookmarkStart w:id="12" w:name="第三部分"/>
    </w:p>
    <w:p>
      <w:pPr>
        <w:pStyle w:val="82"/>
        <w:rPr>
          <w:rFonts w:hint="eastAsia" w:ascii="仿宋_GB2312" w:hAnsi="仿宋" w:eastAsia="仿宋_GB2312" w:cs="仿宋_GB2312"/>
          <w:b/>
          <w:color w:val="auto"/>
          <w:sz w:val="32"/>
          <w:szCs w:val="20"/>
          <w:highlight w:val="none"/>
        </w:rPr>
      </w:pPr>
    </w:p>
    <w:p>
      <w:pPr>
        <w:pStyle w:val="82"/>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9"/>
        <w:rPr>
          <w:rFonts w:hint="eastAsia" w:ascii="仿宋_GB2312" w:hAnsi="仿宋" w:eastAsia="仿宋_GB2312" w:cs="仿宋_GB2312"/>
          <w:b/>
          <w:color w:val="auto"/>
          <w:sz w:val="32"/>
          <w:szCs w:val="20"/>
          <w:highlight w:val="none"/>
        </w:rPr>
      </w:pPr>
    </w:p>
    <w:p>
      <w:pPr>
        <w:adjustRightInd/>
        <w:spacing w:line="360" w:lineRule="auto"/>
        <w:ind w:firstLine="3845" w:firstLineChars="1197"/>
        <w:outlineLvl w:val="1"/>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2"/>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1"/>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r>
        <w:rPr>
          <w:rFonts w:ascii="Wingdings" w:hAnsi="Wingdings" w:eastAsia="仿宋_GB2312"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r>
        <w:rPr>
          <w:rFonts w:ascii="MS Gothic" w:hAnsi="MS Gothic" w:eastAsia="MS Gothic"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highlight w:val="none"/>
          <w:lang w:val="en-US" w:eastAsia="zh-CN"/>
        </w:rPr>
        <w:t>2</w:t>
      </w:r>
      <w:r>
        <w:rPr>
          <w:rFonts w:ascii="仿宋_GB2312" w:hAnsi="仿宋" w:eastAsia="仿宋_GB2312"/>
          <w:color w:val="auto"/>
          <w:sz w:val="24"/>
          <w:highlight w:val="none"/>
        </w:rPr>
        <w:t>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2"/>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2"/>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574"/>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90"/>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1"/>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二、招标文件的构成、澄清、修改</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2"/>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90"/>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1"/>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2"/>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5"/>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11.2.7商务技术偏离表；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hint="eastAsia" w:ascii="仿宋_GB2312" w:hAnsi="仿宋" w:eastAsia="仿宋"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11.3.2</w:t>
      </w:r>
      <w:r>
        <w:rPr>
          <w:rFonts w:ascii="仿宋_GB2312" w:hAnsi="仿宋" w:eastAsia="仿宋_GB2312" w:cs="仿宋_GB2312"/>
          <w:color w:val="auto"/>
          <w:sz w:val="24"/>
          <w:highlight w:val="none"/>
        </w:rPr>
        <w:t>中小企业声明函</w:t>
      </w:r>
      <w:r>
        <w:rPr>
          <w:rFonts w:hint="eastAsia" w:ascii="仿宋" w:hAnsi="仿宋" w:eastAsia="仿宋" w:cs="仿宋"/>
          <w:color w:val="auto"/>
          <w:kern w:val="0"/>
          <w:sz w:val="24"/>
          <w:highlight w:val="none"/>
          <w:lang w:eastAsia="zh-CN"/>
        </w:rPr>
        <w:t>；</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90"/>
        <w:snapToGrid w:val="0"/>
        <w:spacing w:before="0"/>
        <w:ind w:firstLine="0" w:firstLineChars="0"/>
        <w:outlineLvl w:val="9"/>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90"/>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90"/>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9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2"/>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2"/>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2"/>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highlight w:val="none"/>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24"/>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ascii="仿宋_GB2312" w:hAnsi="仿宋" w:eastAsia="仿宋_GB2312"/>
          <w:color w:val="auto"/>
          <w:highlight w:val="none"/>
        </w:rPr>
        <w:t>13项规定</w:t>
      </w:r>
      <w:r>
        <w:rPr>
          <w:rFonts w:hint="eastAsia" w:ascii="仿宋_GB2312" w:hAnsi="仿宋" w:eastAsia="仿宋_GB2312" w:cs="仿宋_GB2312"/>
          <w:color w:val="auto"/>
          <w:szCs w:val="21"/>
          <w:highlight w:val="none"/>
        </w:rPr>
        <w:t>的情形之一的，投标无效：</w:t>
      </w:r>
    </w:p>
    <w:p>
      <w:pPr>
        <w:pStyle w:val="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9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9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90"/>
        <w:spacing w:before="0"/>
        <w:ind w:firstLine="643"/>
        <w:rPr>
          <w:rFonts w:ascii="仿宋_GB2312" w:hAnsi="仿宋" w:eastAsia="仿宋_GB2312" w:cs="仿宋_GB2312"/>
          <w:b/>
          <w:color w:val="auto"/>
          <w:sz w:val="32"/>
          <w:highlight w:val="none"/>
        </w:rPr>
      </w:pPr>
    </w:p>
    <w:p>
      <w:pPr>
        <w:pStyle w:val="90"/>
        <w:spacing w:before="0"/>
        <w:ind w:firstLine="1928" w:firstLineChars="600"/>
        <w:outlineLvl w:val="1"/>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244"/>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244"/>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90"/>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9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9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9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90"/>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1"/>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3"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1"/>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24"/>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90"/>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90"/>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outlineLvl w:val="1"/>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4"/>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4"/>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90"/>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90"/>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4"/>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tabs>
          <w:tab w:val="left" w:pos="0"/>
        </w:tabs>
        <w:spacing w:line="360" w:lineRule="auto"/>
        <w:ind w:firstLine="482"/>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auto"/>
          <w:sz w:val="24"/>
          <w:szCs w:val="20"/>
          <w:highlight w:val="none"/>
          <w:lang w:val="en-US" w:eastAsia="zh-CN"/>
        </w:rPr>
        <w:t>1</w:t>
      </w:r>
      <w:r>
        <w:rPr>
          <w:rFonts w:hint="eastAsia" w:ascii="仿宋_GB2312" w:hAnsi="仿宋" w:eastAsia="仿宋_GB2312" w:cs="仿宋_GB2312"/>
          <w:color w:val="auto"/>
          <w:sz w:val="24"/>
          <w:szCs w:val="20"/>
          <w:highlight w:val="none"/>
        </w:rPr>
        <w:t>%；评价总分在90分以下或者暂无评分的，收取履约保证金不得高于合同金额</w:t>
      </w:r>
      <w:r>
        <w:rPr>
          <w:rFonts w:hint="eastAsia" w:ascii="仿宋_GB2312" w:hAnsi="仿宋" w:eastAsia="仿宋_GB2312" w:cs="仿宋_GB2312"/>
          <w:color w:val="auto"/>
          <w:sz w:val="24"/>
          <w:szCs w:val="20"/>
          <w:highlight w:val="none"/>
          <w:lang w:val="en-US" w:eastAsia="zh-CN"/>
        </w:rPr>
        <w:t>1</w:t>
      </w:r>
      <w:r>
        <w:rPr>
          <w:rFonts w:hint="eastAsia" w:ascii="仿宋_GB2312" w:hAnsi="仿宋" w:eastAsia="仿宋_GB2312" w:cs="仿宋_GB2312"/>
          <w:color w:val="auto"/>
          <w:sz w:val="24"/>
          <w:szCs w:val="20"/>
          <w:highlight w:val="none"/>
        </w:rPr>
        <w:t>%。</w:t>
      </w:r>
    </w:p>
    <w:p>
      <w:pPr>
        <w:tabs>
          <w:tab w:val="left" w:pos="0"/>
        </w:tabs>
        <w:spacing w:line="360" w:lineRule="auto"/>
        <w:ind w:firstLine="482"/>
        <w:rPr>
          <w:rFonts w:hint="eastAsia" w:ascii="仿宋_GB2312" w:hAnsi="仿宋" w:eastAsia="仿宋_GB2312" w:cs="仿宋_GB2312"/>
          <w:color w:val="auto"/>
          <w:sz w:val="24"/>
          <w:szCs w:val="20"/>
          <w:highlight w:val="none"/>
          <w:lang w:val="en-US"/>
        </w:rPr>
      </w:pPr>
      <w:r>
        <w:rPr>
          <w:rFonts w:hint="eastAsia" w:ascii="仿宋_GB2312" w:hAnsi="仿宋" w:eastAsia="仿宋_GB2312" w:cs="仿宋_GB2312"/>
          <w:color w:val="auto"/>
          <w:sz w:val="24"/>
          <w:szCs w:val="20"/>
          <w:highlight w:val="none"/>
        </w:rPr>
        <w:t>供应商</w:t>
      </w:r>
      <w:r>
        <w:rPr>
          <w:rFonts w:hint="eastAsia" w:ascii="仿宋_GB2312" w:hAnsi="仿宋" w:eastAsia="仿宋_GB2312" w:cs="仿宋_GB2312"/>
          <w:color w:val="auto"/>
          <w:sz w:val="24"/>
          <w:szCs w:val="20"/>
          <w:highlight w:val="none"/>
          <w:lang w:val="en-US"/>
        </w:rPr>
        <w:t>可</w:t>
      </w:r>
      <w:r>
        <w:rPr>
          <w:rFonts w:hint="eastAsia" w:ascii="仿宋_GB2312" w:hAnsi="仿宋" w:eastAsia="仿宋_GB2312" w:cs="仿宋_GB2312"/>
          <w:color w:val="auto"/>
          <w:sz w:val="24"/>
          <w:szCs w:val="20"/>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highlight w:val="none"/>
        </w:rPr>
      </w:pPr>
    </w:p>
    <w:p>
      <w:pPr>
        <w:snapToGrid w:val="0"/>
        <w:spacing w:line="360" w:lineRule="auto"/>
        <w:ind w:firstLine="3357" w:firstLineChars="1045"/>
        <w:outlineLvl w:val="1"/>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90"/>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90"/>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outlineLvl w:val="1"/>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4"/>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68403820"/>
      <w:bookmarkEnd w:id="14"/>
      <w:bookmarkStart w:id="15" w:name="_Hlt75236101"/>
      <w:bookmarkEnd w:id="15"/>
      <w:bookmarkStart w:id="16" w:name="_Hlt74707468"/>
      <w:bookmarkEnd w:id="16"/>
      <w:bookmarkStart w:id="17" w:name="_Hlt68073093"/>
      <w:bookmarkEnd w:id="17"/>
      <w:bookmarkStart w:id="18" w:name="_Hlt74714665"/>
      <w:bookmarkEnd w:id="18"/>
      <w:bookmarkStart w:id="19" w:name="_Hlt68072990"/>
      <w:bookmarkEnd w:id="19"/>
      <w:bookmarkStart w:id="20" w:name="_Hlt75236290"/>
      <w:bookmarkEnd w:id="20"/>
      <w:bookmarkStart w:id="21" w:name="_Hlt75236011"/>
      <w:bookmarkEnd w:id="21"/>
      <w:bookmarkStart w:id="22" w:name="_Hlt68057669"/>
      <w:bookmarkEnd w:id="22"/>
      <w:bookmarkStart w:id="23" w:name="_Hlt74730295"/>
      <w:bookmarkEnd w:id="23"/>
      <w:bookmarkStart w:id="24" w:name="_Hlt74729768"/>
      <w:bookmarkEnd w:id="24"/>
      <w:bookmarkStart w:id="25" w:name="_Hlt68072998"/>
      <w:bookmarkEnd w:id="25"/>
    </w:p>
    <w:bookmarkEnd w:id="11"/>
    <w:bookmarkEnd w:id="12"/>
    <w:p>
      <w:pPr>
        <w:spacing w:line="360" w:lineRule="auto"/>
        <w:jc w:val="center"/>
        <w:outlineLvl w:val="0"/>
        <w:rPr>
          <w:rFonts w:ascii="仿宋" w:hAnsi="仿宋" w:eastAsia="仿宋" w:cs="仿宋_GB2312"/>
          <w:b/>
          <w:color w:val="auto"/>
          <w:sz w:val="36"/>
          <w:szCs w:val="36"/>
          <w:highlight w:val="none"/>
        </w:rPr>
      </w:pPr>
      <w:bookmarkStart w:id="26" w:name="第四部分"/>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spacing w:line="600" w:lineRule="exact"/>
        <w:rPr>
          <w:rFonts w:hint="eastAsia" w:ascii="仿宋" w:hAnsi="仿宋" w:eastAsia="仿宋" w:cs="仿宋"/>
          <w:b/>
          <w:sz w:val="24"/>
          <w:szCs w:val="24"/>
        </w:rPr>
      </w:pPr>
      <w:r>
        <w:rPr>
          <w:rFonts w:hint="eastAsia" w:ascii="仿宋" w:hAnsi="仿宋" w:eastAsia="仿宋" w:cs="仿宋"/>
          <w:b/>
          <w:color w:val="000000"/>
          <w:sz w:val="24"/>
          <w:szCs w:val="24"/>
          <w:lang w:bidi="ar"/>
        </w:rPr>
        <w:t>一、</w:t>
      </w:r>
      <w:r>
        <w:rPr>
          <w:rFonts w:hint="eastAsia" w:ascii="仿宋" w:hAnsi="仿宋" w:eastAsia="仿宋" w:cs="仿宋"/>
          <w:b/>
          <w:sz w:val="24"/>
          <w:szCs w:val="24"/>
        </w:rPr>
        <w:t>采购项目概述：</w:t>
      </w:r>
    </w:p>
    <w:p>
      <w:pPr>
        <w:adjustRightInd w:val="0"/>
        <w:snapToGrid w:val="0"/>
        <w:spacing w:line="600" w:lineRule="exact"/>
        <w:ind w:firstLine="472" w:firstLineChars="197"/>
        <w:rPr>
          <w:rFonts w:hint="eastAsia" w:ascii="仿宋" w:hAnsi="仿宋" w:eastAsia="仿宋" w:cs="仿宋"/>
          <w:bCs/>
          <w:color w:val="000000"/>
          <w:sz w:val="24"/>
          <w:szCs w:val="24"/>
        </w:rPr>
      </w:pPr>
      <w:r>
        <w:rPr>
          <w:rFonts w:hint="eastAsia" w:ascii="仿宋" w:hAnsi="仿宋" w:eastAsia="仿宋" w:cs="仿宋"/>
          <w:bCs/>
          <w:color w:val="000000"/>
          <w:sz w:val="24"/>
          <w:szCs w:val="24"/>
        </w:rPr>
        <w:t>本项目为乔司街道综合养护，采购内容主要包括道路保洁、绿化养护、公厕保洁、商户垃圾运输（</w:t>
      </w:r>
      <w:r>
        <w:rPr>
          <w:rFonts w:hint="eastAsia" w:ascii="仿宋" w:hAnsi="仿宋" w:eastAsia="仿宋" w:cs="仿宋"/>
          <w:bCs/>
          <w:color w:val="000000"/>
          <w:sz w:val="24"/>
          <w:szCs w:val="24"/>
          <w:highlight w:val="none"/>
        </w:rPr>
        <w:t>音乐线，含生鲜专运）、牛皮癣清理、</w:t>
      </w:r>
      <w:r>
        <w:rPr>
          <w:rFonts w:hint="eastAsia" w:ascii="仿宋" w:hAnsi="仿宋" w:eastAsia="仿宋" w:cs="仿宋"/>
          <w:bCs/>
          <w:color w:val="000000"/>
          <w:sz w:val="24"/>
          <w:szCs w:val="24"/>
          <w:highlight w:val="none"/>
          <w:lang w:val="en-US" w:eastAsia="zh-CN"/>
        </w:rPr>
        <w:t>疫苗接种点卫生、厕所保洁及垃圾清运</w:t>
      </w:r>
      <w:r>
        <w:rPr>
          <w:rFonts w:hint="eastAsia" w:ascii="仿宋" w:hAnsi="仿宋" w:eastAsia="仿宋" w:cs="仿宋"/>
          <w:color w:val="000000"/>
          <w:sz w:val="24"/>
          <w:szCs w:val="24"/>
          <w:highlight w:val="none"/>
        </w:rPr>
        <w:t>等其他养护</w:t>
      </w:r>
      <w:r>
        <w:rPr>
          <w:rFonts w:hint="eastAsia" w:ascii="仿宋" w:hAnsi="仿宋" w:eastAsia="仿宋" w:cs="仿宋"/>
          <w:color w:val="000000"/>
          <w:kern w:val="0"/>
          <w:sz w:val="24"/>
          <w:szCs w:val="24"/>
        </w:rPr>
        <w:t>工作</w:t>
      </w:r>
      <w:r>
        <w:rPr>
          <w:rFonts w:hint="eastAsia" w:ascii="仿宋" w:hAnsi="仿宋" w:eastAsia="仿宋" w:cs="仿宋"/>
          <w:bCs/>
          <w:color w:val="000000"/>
          <w:sz w:val="24"/>
          <w:szCs w:val="24"/>
        </w:rPr>
        <w:t>。</w:t>
      </w:r>
    </w:p>
    <w:p>
      <w:pPr>
        <w:numPr>
          <w:ilvl w:val="0"/>
          <w:numId w:val="1"/>
        </w:numPr>
        <w:spacing w:line="600" w:lineRule="exact"/>
        <w:rPr>
          <w:rFonts w:hint="eastAsia" w:ascii="仿宋" w:hAnsi="仿宋" w:eastAsia="仿宋" w:cs="仿宋"/>
          <w:b/>
          <w:bCs/>
          <w:sz w:val="24"/>
          <w:szCs w:val="24"/>
        </w:rPr>
      </w:pPr>
      <w:r>
        <w:rPr>
          <w:rFonts w:hint="eastAsia" w:ascii="仿宋" w:hAnsi="仿宋" w:eastAsia="仿宋" w:cs="仿宋"/>
          <w:b/>
          <w:bCs/>
          <w:sz w:val="24"/>
          <w:szCs w:val="24"/>
        </w:rPr>
        <w:t>采购清单：</w:t>
      </w:r>
    </w:p>
    <w:p>
      <w:pPr>
        <w:spacing w:before="120" w:after="120"/>
        <w:rPr>
          <w:rFonts w:hint="eastAsia" w:ascii="仿宋" w:hAnsi="仿宋" w:eastAsia="仿宋" w:cs="仿宋"/>
          <w:b/>
          <w:bCs/>
          <w:sz w:val="24"/>
          <w:szCs w:val="24"/>
        </w:rPr>
      </w:pPr>
      <w:r>
        <w:rPr>
          <w:rFonts w:hint="eastAsia" w:ascii="仿宋" w:hAnsi="仿宋" w:eastAsia="仿宋" w:cs="仿宋"/>
          <w:b/>
          <w:bCs/>
          <w:sz w:val="24"/>
          <w:szCs w:val="24"/>
        </w:rPr>
        <w:t>①乔司街道集镇保洁面积表：</w:t>
      </w:r>
    </w:p>
    <w:tbl>
      <w:tblPr>
        <w:tblStyle w:val="64"/>
        <w:tblpPr w:leftFromText="180" w:rightFromText="180" w:vertAnchor="text" w:tblpY="1"/>
        <w:tblOverlap w:val="never"/>
        <w:tblW w:w="0" w:type="auto"/>
        <w:tblInd w:w="0" w:type="dxa"/>
        <w:tblLayout w:type="fixed"/>
        <w:tblCellMar>
          <w:top w:w="15" w:type="dxa"/>
          <w:left w:w="15" w:type="dxa"/>
          <w:bottom w:w="15" w:type="dxa"/>
          <w:right w:w="15" w:type="dxa"/>
        </w:tblCellMar>
      </w:tblPr>
      <w:tblGrid>
        <w:gridCol w:w="988"/>
        <w:gridCol w:w="999"/>
        <w:gridCol w:w="2550"/>
        <w:gridCol w:w="1200"/>
        <w:gridCol w:w="1313"/>
        <w:gridCol w:w="1363"/>
      </w:tblGrid>
      <w:tr>
        <w:tblPrEx>
          <w:tblCellMar>
            <w:top w:w="15" w:type="dxa"/>
            <w:left w:w="15" w:type="dxa"/>
            <w:bottom w:w="15" w:type="dxa"/>
            <w:right w:w="15" w:type="dxa"/>
          </w:tblCellMar>
        </w:tblPrEx>
        <w:trPr>
          <w:trHeight w:val="285" w:hRule="atLeast"/>
        </w:trPr>
        <w:tc>
          <w:tcPr>
            <w:tcW w:w="988"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区域</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编号</w:t>
            </w:r>
          </w:p>
        </w:tc>
        <w:tc>
          <w:tcPr>
            <w:tcW w:w="255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名称</w:t>
            </w:r>
          </w:p>
        </w:tc>
        <w:tc>
          <w:tcPr>
            <w:tcW w:w="120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一类道路</w:t>
            </w:r>
          </w:p>
        </w:tc>
        <w:tc>
          <w:tcPr>
            <w:tcW w:w="1313"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二类道路</w:t>
            </w:r>
          </w:p>
        </w:tc>
        <w:tc>
          <w:tcPr>
            <w:tcW w:w="1363"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其他道路</w:t>
            </w:r>
          </w:p>
        </w:tc>
      </w:tr>
      <w:tr>
        <w:tblPrEx>
          <w:tblCellMar>
            <w:top w:w="15" w:type="dxa"/>
            <w:left w:w="15" w:type="dxa"/>
            <w:bottom w:w="15" w:type="dxa"/>
            <w:right w:w="15" w:type="dxa"/>
          </w:tblCellMar>
        </w:tblPrEx>
        <w:trPr>
          <w:trHeight w:val="285" w:hRule="atLeast"/>
        </w:trPr>
        <w:tc>
          <w:tcPr>
            <w:tcW w:w="98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东区</w:t>
            </w: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永玄路1</w:t>
            </w:r>
          </w:p>
        </w:tc>
        <w:tc>
          <w:tcPr>
            <w:tcW w:w="120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13689.5</w:t>
            </w: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永玄路2</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8154</w:t>
            </w: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永玄路北1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2728.8</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永玄路北2</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755.7</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869.8</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永玄路南健身点</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803</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丰惠嘉园东</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696.1</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城隍中路1</w:t>
            </w:r>
          </w:p>
        </w:tc>
        <w:tc>
          <w:tcPr>
            <w:tcW w:w="120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6703.4</w:t>
            </w: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城隍中路东1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1766</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永乔路</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11836.8</w:t>
            </w: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永乔路南1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2429.8</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永乔路南2</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1257.2</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城隍中路2</w:t>
            </w:r>
          </w:p>
        </w:tc>
        <w:tc>
          <w:tcPr>
            <w:tcW w:w="120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5138.6</w:t>
            </w: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城隍中路西1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1296.3</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城隍中路东2</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1346.3</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宝庆街1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6307.4</w:t>
            </w: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宝庆街2</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4370.2</w:t>
            </w: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宝庆街3</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4808.6</w:t>
            </w: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宝庆街北1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1350.1</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宝庆街北2</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1275.9</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宝庆街北3</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1171.5</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宝庆街南1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803.5</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宝庆街南2</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2109.1</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宝庆街南3</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1385.4</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城隍中路3</w:t>
            </w:r>
          </w:p>
        </w:tc>
        <w:tc>
          <w:tcPr>
            <w:tcW w:w="120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4378.9</w:t>
            </w: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城隍中路4</w:t>
            </w:r>
          </w:p>
        </w:tc>
        <w:tc>
          <w:tcPr>
            <w:tcW w:w="120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681.6</w:t>
            </w: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27</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城隍中路5</w:t>
            </w:r>
          </w:p>
        </w:tc>
        <w:tc>
          <w:tcPr>
            <w:tcW w:w="120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2475.4</w:t>
            </w: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城隍中路6</w:t>
            </w:r>
          </w:p>
        </w:tc>
        <w:tc>
          <w:tcPr>
            <w:tcW w:w="120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2996.9</w:t>
            </w: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城隍中路7</w:t>
            </w:r>
          </w:p>
        </w:tc>
        <w:tc>
          <w:tcPr>
            <w:tcW w:w="120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7414.5</w:t>
            </w: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乔莫东路</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24112.5</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31</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杭海路1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26375</w:t>
            </w: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杭海路2</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17064</w:t>
            </w: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33</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博卡路</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6203</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乔安路1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2669.1</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35</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乔安路2</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1544.2</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乔井路1</w:t>
            </w:r>
          </w:p>
        </w:tc>
        <w:tc>
          <w:tcPr>
            <w:tcW w:w="120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16838.6</w:t>
            </w: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37</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乔井路2</w:t>
            </w:r>
          </w:p>
        </w:tc>
        <w:tc>
          <w:tcPr>
            <w:tcW w:w="120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384.4</w:t>
            </w: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38</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乔井路北1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1664.9</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39</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乔井路南1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1167.2</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乔井路南绿化</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10556.6</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41</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南街1</w:t>
            </w:r>
          </w:p>
        </w:tc>
        <w:tc>
          <w:tcPr>
            <w:tcW w:w="120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14589.4</w:t>
            </w: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42</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南街2</w:t>
            </w:r>
          </w:p>
        </w:tc>
        <w:tc>
          <w:tcPr>
            <w:tcW w:w="120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15005.6</w:t>
            </w: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43</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南街北1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740.4</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44</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南街北2</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856</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南街北3</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529.1</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46</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南街北4</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831.4</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47</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3964.1</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48</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兴寺路1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1424.6</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49</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兴寺路2</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3522.5</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50</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桃安路1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1712.4</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51</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桃安路2</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4652.3</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52</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毛桃西街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3982</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53</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毛桃西街北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1978.3</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54</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毛桃西街南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2147.8</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55</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仙塘西街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3872</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56</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仙塘西街南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2286.3</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57</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毛桃东街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2303.2</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58</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毛桃东街北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2649.5</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59</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毛桃东街南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1408</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仙塘东街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2150.6</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61</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仙塘东街南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858.2</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62</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永和小区北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1500.3</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63</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永和小区南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693.5</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64</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临时停车场1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10818.6</w:t>
            </w:r>
          </w:p>
        </w:tc>
      </w:tr>
      <w:tr>
        <w:tblPrEx>
          <w:tblCellMar>
            <w:top w:w="15" w:type="dxa"/>
            <w:left w:w="15" w:type="dxa"/>
            <w:bottom w:w="15" w:type="dxa"/>
            <w:right w:w="15" w:type="dxa"/>
          </w:tblCellMar>
        </w:tblPrEx>
        <w:trPr>
          <w:trHeight w:val="90"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65</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临时停车场2(原农贸市场）</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5972.2</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66</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镇政府宿舍1</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1114.9</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67</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政府东停车场</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9824.7</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68</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乔司卫生院南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1493.3</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69</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方家弄</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2677.8</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70</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北李家弄</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3112.8</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71</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北城隍弄</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1886.3</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石板弄</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991.5</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73</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棉纺厂弄</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862.1</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74</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井弄</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3651</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75</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王家弄</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5266.9</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76</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乔司工商所</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1344.7</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77</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南城隍弄</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3073.9</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78</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南李家弄</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12062.8</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79</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临时停车场3</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238</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80</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中国银行南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529.6</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81</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乔司港健身苑</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12715.8</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82</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南洪桥</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1378.8</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83</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建设银行北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161.2</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84</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农贸市场北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1883.2</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85</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商贸苑小区北</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873.9</w:t>
            </w:r>
          </w:p>
        </w:tc>
      </w:tr>
      <w:tr>
        <w:tblPrEx>
          <w:tblCellMar>
            <w:top w:w="15" w:type="dxa"/>
            <w:left w:w="15" w:type="dxa"/>
            <w:bottom w:w="15" w:type="dxa"/>
            <w:right w:w="15" w:type="dxa"/>
          </w:tblCellMar>
        </w:tblPrEx>
        <w:trPr>
          <w:trHeight w:val="570"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86</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棉纺厂弄北停车场</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5739</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87</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和平公园</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16222.3</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88</w:t>
            </w:r>
          </w:p>
        </w:tc>
        <w:tc>
          <w:tcPr>
            <w:tcW w:w="2550"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乔莫东路东</w:t>
            </w:r>
          </w:p>
        </w:tc>
        <w:tc>
          <w:tcPr>
            <w:tcW w:w="1200"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1533.2</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89</w:t>
            </w:r>
          </w:p>
        </w:tc>
        <w:tc>
          <w:tcPr>
            <w:tcW w:w="2550" w:type="dxa"/>
            <w:tcBorders>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镇东路</w:t>
            </w:r>
          </w:p>
        </w:tc>
        <w:tc>
          <w:tcPr>
            <w:tcW w:w="1200" w:type="dxa"/>
            <w:tcBorders>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5715</w:t>
            </w:r>
          </w:p>
        </w:tc>
      </w:tr>
      <w:tr>
        <w:tblPrEx>
          <w:tblCellMar>
            <w:top w:w="15" w:type="dxa"/>
            <w:left w:w="15" w:type="dxa"/>
            <w:bottom w:w="15" w:type="dxa"/>
            <w:right w:w="15" w:type="dxa"/>
          </w:tblCellMar>
        </w:tblPrEx>
        <w:trPr>
          <w:trHeight w:val="372"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90</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永玄路（乔莫东路-东湖路）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51009</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91</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乔莫东路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4147.9</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92</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乔司小学西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812.5</w:t>
            </w: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93</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外翁线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16298.5</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西区</w:t>
            </w: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94</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乔中路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53140.2</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95</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和平路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11068.2</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96</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乔农路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21459.4</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97</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博卡路（包含0+960-1+360）</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42550.4</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98</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乔安路</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10712.9</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5" w:hRule="atLeast"/>
        </w:trPr>
        <w:tc>
          <w:tcPr>
            <w:tcW w:w="9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红线外新增</w:t>
            </w: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99</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农贸市场周边</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2498.1</w:t>
            </w:r>
          </w:p>
        </w:tc>
      </w:tr>
      <w:tr>
        <w:tblPrEx>
          <w:tblCellMar>
            <w:top w:w="15" w:type="dxa"/>
            <w:left w:w="15" w:type="dxa"/>
            <w:bottom w:w="15" w:type="dxa"/>
            <w:right w:w="15" w:type="dxa"/>
          </w:tblCellMar>
        </w:tblPrEx>
        <w:trPr>
          <w:trHeight w:val="285" w:hRule="atLeast"/>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100</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逸家花苑门口</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898.6</w:t>
            </w:r>
          </w:p>
        </w:tc>
      </w:tr>
      <w:tr>
        <w:tblPrEx>
          <w:tblCellMar>
            <w:top w:w="15" w:type="dxa"/>
            <w:left w:w="15" w:type="dxa"/>
            <w:bottom w:w="15" w:type="dxa"/>
            <w:right w:w="15" w:type="dxa"/>
          </w:tblCellMar>
        </w:tblPrEx>
        <w:trPr>
          <w:trHeight w:val="298" w:hRule="atLeast"/>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101</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农副产品交易中心门口</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4472</w:t>
            </w:r>
          </w:p>
        </w:tc>
      </w:tr>
      <w:tr>
        <w:tblPrEx>
          <w:tblCellMar>
            <w:top w:w="15" w:type="dxa"/>
            <w:left w:w="15" w:type="dxa"/>
            <w:bottom w:w="15" w:type="dxa"/>
            <w:right w:w="15" w:type="dxa"/>
          </w:tblCellMar>
        </w:tblPrEx>
        <w:trPr>
          <w:trHeight w:val="297" w:hRule="atLeast"/>
        </w:trPr>
        <w:tc>
          <w:tcPr>
            <w:tcW w:w="9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02</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东冠逸景花苑门口</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0"/>
                <w:sz w:val="24"/>
                <w:szCs w:val="24"/>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2998</w:t>
            </w:r>
          </w:p>
        </w:tc>
      </w:tr>
      <w:tr>
        <w:tblPrEx>
          <w:tblCellMar>
            <w:top w:w="15" w:type="dxa"/>
            <w:left w:w="15" w:type="dxa"/>
            <w:bottom w:w="15" w:type="dxa"/>
            <w:right w:w="15" w:type="dxa"/>
          </w:tblCellMar>
        </w:tblPrEx>
        <w:trPr>
          <w:trHeight w:val="359" w:hRule="atLeast"/>
        </w:trPr>
        <w:tc>
          <w:tcPr>
            <w:tcW w:w="988"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999"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03</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面积合计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215538.4</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159913</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240995.1</w:t>
            </w:r>
          </w:p>
        </w:tc>
      </w:tr>
    </w:tbl>
    <w:p>
      <w:pPr>
        <w:spacing w:before="120" w:after="120"/>
        <w:rPr>
          <w:rFonts w:hint="eastAsia" w:ascii="仿宋" w:hAnsi="仿宋" w:eastAsia="仿宋" w:cs="仿宋"/>
          <w:b/>
          <w:bCs/>
          <w:color w:val="auto"/>
          <w:sz w:val="24"/>
          <w:szCs w:val="24"/>
        </w:rPr>
      </w:pPr>
      <w:r>
        <w:rPr>
          <w:rFonts w:hint="eastAsia" w:ascii="仿宋" w:hAnsi="仿宋" w:eastAsia="仿宋" w:cs="仿宋"/>
          <w:b/>
          <w:bCs/>
          <w:color w:val="auto"/>
          <w:sz w:val="24"/>
          <w:szCs w:val="24"/>
        </w:rPr>
        <w:t>注：包含但不限于以上路段及路段涉及公共区域，</w:t>
      </w:r>
    </w:p>
    <w:p>
      <w:pPr>
        <w:adjustRightInd w:val="0"/>
        <w:snapToGrid w:val="0"/>
        <w:spacing w:line="600" w:lineRule="exact"/>
        <w:rPr>
          <w:rFonts w:hint="eastAsia" w:ascii="仿宋" w:hAnsi="仿宋" w:eastAsia="仿宋" w:cs="仿宋"/>
          <w:b/>
          <w:bCs/>
          <w:sz w:val="24"/>
          <w:szCs w:val="24"/>
        </w:rPr>
      </w:pPr>
      <w:r>
        <w:rPr>
          <w:rFonts w:hint="eastAsia" w:ascii="仿宋" w:hAnsi="仿宋" w:eastAsia="仿宋" w:cs="仿宋"/>
          <w:b/>
          <w:bCs/>
          <w:sz w:val="24"/>
          <w:szCs w:val="24"/>
        </w:rPr>
        <w:t>②乔司街道绿化面积计算统计表：</w:t>
      </w:r>
    </w:p>
    <w:tbl>
      <w:tblPr>
        <w:tblStyle w:val="64"/>
        <w:tblW w:w="0" w:type="auto"/>
        <w:tblInd w:w="0" w:type="dxa"/>
        <w:tblLayout w:type="fixed"/>
        <w:tblCellMar>
          <w:top w:w="15" w:type="dxa"/>
          <w:left w:w="15" w:type="dxa"/>
          <w:bottom w:w="15" w:type="dxa"/>
          <w:right w:w="15" w:type="dxa"/>
        </w:tblCellMar>
      </w:tblPr>
      <w:tblGrid>
        <w:gridCol w:w="1455"/>
        <w:gridCol w:w="3780"/>
        <w:gridCol w:w="2520"/>
      </w:tblGrid>
      <w:tr>
        <w:tblPrEx>
          <w:tblCellMar>
            <w:top w:w="15" w:type="dxa"/>
            <w:left w:w="15" w:type="dxa"/>
            <w:bottom w:w="15" w:type="dxa"/>
            <w:right w:w="15" w:type="dxa"/>
          </w:tblCellMar>
        </w:tblPrEx>
        <w:trPr>
          <w:trHeight w:val="283" w:hRule="atLeast"/>
        </w:trPr>
        <w:tc>
          <w:tcPr>
            <w:tcW w:w="145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道路类别</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路名</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面积（㎡）</w:t>
            </w:r>
          </w:p>
        </w:tc>
      </w:tr>
      <w:tr>
        <w:tblPrEx>
          <w:tblCellMar>
            <w:top w:w="15" w:type="dxa"/>
            <w:left w:w="15" w:type="dxa"/>
            <w:bottom w:w="15" w:type="dxa"/>
            <w:right w:w="15" w:type="dxa"/>
          </w:tblCellMar>
        </w:tblPrEx>
        <w:trPr>
          <w:trHeight w:val="283" w:hRule="atLeast"/>
        </w:trPr>
        <w:tc>
          <w:tcPr>
            <w:tcW w:w="1455"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一类道路</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496</w:t>
            </w:r>
          </w:p>
        </w:tc>
      </w:tr>
      <w:tr>
        <w:tblPrEx>
          <w:tblCellMar>
            <w:top w:w="15" w:type="dxa"/>
            <w:left w:w="15" w:type="dxa"/>
            <w:bottom w:w="15" w:type="dxa"/>
            <w:right w:w="15"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529</w:t>
            </w:r>
          </w:p>
        </w:tc>
      </w:tr>
      <w:tr>
        <w:tblPrEx>
          <w:tblCellMar>
            <w:top w:w="15" w:type="dxa"/>
            <w:left w:w="15" w:type="dxa"/>
            <w:bottom w:w="15" w:type="dxa"/>
            <w:right w:w="15"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乔井路</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720.96</w:t>
            </w:r>
          </w:p>
        </w:tc>
      </w:tr>
      <w:tr>
        <w:tblPrEx>
          <w:tblCellMar>
            <w:top w:w="15" w:type="dxa"/>
            <w:left w:w="15" w:type="dxa"/>
            <w:bottom w:w="15" w:type="dxa"/>
            <w:right w:w="15"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中心公园</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6719.37</w:t>
            </w:r>
          </w:p>
        </w:tc>
      </w:tr>
      <w:tr>
        <w:tblPrEx>
          <w:tblCellMar>
            <w:top w:w="15" w:type="dxa"/>
            <w:left w:w="15" w:type="dxa"/>
            <w:bottom w:w="15" w:type="dxa"/>
            <w:right w:w="15"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和平公园</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7958.19</w:t>
            </w:r>
          </w:p>
        </w:tc>
      </w:tr>
      <w:tr>
        <w:tblPrEx>
          <w:tblCellMar>
            <w:top w:w="15" w:type="dxa"/>
            <w:left w:w="15" w:type="dxa"/>
            <w:bottom w:w="15" w:type="dxa"/>
            <w:right w:w="15"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综治中心</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4515.71</w:t>
            </w:r>
          </w:p>
        </w:tc>
      </w:tr>
      <w:tr>
        <w:tblPrEx>
          <w:tblCellMar>
            <w:top w:w="15" w:type="dxa"/>
            <w:left w:w="15" w:type="dxa"/>
            <w:bottom w:w="15" w:type="dxa"/>
            <w:right w:w="15"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政府东停车场</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4479.57</w:t>
            </w:r>
          </w:p>
        </w:tc>
      </w:tr>
      <w:tr>
        <w:tblPrEx>
          <w:tblCellMar>
            <w:top w:w="15" w:type="dxa"/>
            <w:left w:w="15" w:type="dxa"/>
            <w:bottom w:w="15" w:type="dxa"/>
            <w:right w:w="15"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花箱</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291.38</w:t>
            </w:r>
          </w:p>
        </w:tc>
      </w:tr>
      <w:tr>
        <w:tblPrEx>
          <w:tblCellMar>
            <w:top w:w="15" w:type="dxa"/>
            <w:left w:w="15" w:type="dxa"/>
            <w:bottom w:w="15" w:type="dxa"/>
            <w:right w:w="15"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面积</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25710.18</w:t>
            </w:r>
          </w:p>
        </w:tc>
      </w:tr>
      <w:tr>
        <w:tblPrEx>
          <w:tblCellMar>
            <w:top w:w="15" w:type="dxa"/>
            <w:left w:w="15" w:type="dxa"/>
            <w:bottom w:w="15" w:type="dxa"/>
            <w:right w:w="15" w:type="dxa"/>
          </w:tblCellMar>
        </w:tblPrEx>
        <w:trPr>
          <w:trHeight w:val="95" w:hRule="atLeast"/>
        </w:trPr>
        <w:tc>
          <w:tcPr>
            <w:tcW w:w="14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二类道路</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永乔路</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244</w:t>
            </w:r>
          </w:p>
        </w:tc>
      </w:tr>
      <w:tr>
        <w:tblPrEx>
          <w:tblCellMar>
            <w:top w:w="15" w:type="dxa"/>
            <w:left w:w="15" w:type="dxa"/>
            <w:bottom w:w="15" w:type="dxa"/>
            <w:right w:w="15"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宝庆街</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200</w:t>
            </w:r>
          </w:p>
        </w:tc>
      </w:tr>
      <w:tr>
        <w:tblPrEx>
          <w:tblCellMar>
            <w:top w:w="15" w:type="dxa"/>
            <w:left w:w="15" w:type="dxa"/>
            <w:bottom w:w="15" w:type="dxa"/>
            <w:right w:w="15"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1564.24</w:t>
            </w:r>
          </w:p>
        </w:tc>
      </w:tr>
      <w:tr>
        <w:tblPrEx>
          <w:tblCellMar>
            <w:top w:w="15" w:type="dxa"/>
            <w:left w:w="15" w:type="dxa"/>
            <w:bottom w:w="15" w:type="dxa"/>
            <w:right w:w="15"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面积</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2008.24</w:t>
            </w:r>
          </w:p>
        </w:tc>
      </w:tr>
      <w:tr>
        <w:tblPrEx>
          <w:tblCellMar>
            <w:top w:w="15" w:type="dxa"/>
            <w:left w:w="15" w:type="dxa"/>
            <w:bottom w:w="15" w:type="dxa"/>
            <w:right w:w="15" w:type="dxa"/>
          </w:tblCellMar>
        </w:tblPrEx>
        <w:trPr>
          <w:trHeight w:val="285" w:hRule="atLeast"/>
        </w:trPr>
        <w:tc>
          <w:tcPr>
            <w:tcW w:w="1455"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其他道路</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永玄路南健身点</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629.44</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南街1北</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93.07</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桃安</w:t>
            </w:r>
            <w:r>
              <w:rPr>
                <w:rFonts w:hint="eastAsia" w:ascii="仿宋" w:hAnsi="仿宋" w:eastAsia="仿宋" w:cs="仿宋"/>
                <w:kern w:val="0"/>
                <w:sz w:val="24"/>
                <w:szCs w:val="24"/>
                <w:lang w:val="en-US" w:eastAsia="zh-CN"/>
              </w:rPr>
              <w:t>路</w:t>
            </w:r>
            <w:r>
              <w:rPr>
                <w:rFonts w:hint="eastAsia" w:ascii="仿宋" w:hAnsi="仿宋" w:eastAsia="仿宋" w:cs="仿宋"/>
                <w:kern w:val="0"/>
                <w:sz w:val="24"/>
                <w:szCs w:val="24"/>
              </w:rPr>
              <w:t>1</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68</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新市路1</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32</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老菜场停车场</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941.34</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乔司港健身点</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5275.24</w:t>
            </w:r>
          </w:p>
        </w:tc>
      </w:tr>
      <w:tr>
        <w:tblPrEx>
          <w:tblCellMar>
            <w:top w:w="15" w:type="dxa"/>
            <w:left w:w="15" w:type="dxa"/>
            <w:bottom w:w="15" w:type="dxa"/>
            <w:right w:w="15" w:type="dxa"/>
          </w:tblCellMar>
        </w:tblPrEx>
        <w:trPr>
          <w:trHeight w:val="90"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博卡路</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363.65</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毛桃东街北</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296.98</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乔莫东路</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1870.76</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永玄路（北）</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147.27</w:t>
            </w:r>
          </w:p>
        </w:tc>
      </w:tr>
      <w:tr>
        <w:tblPrEx>
          <w:tblCellMar>
            <w:top w:w="15" w:type="dxa"/>
            <w:left w:w="15" w:type="dxa"/>
            <w:bottom w:w="15" w:type="dxa"/>
            <w:right w:w="15" w:type="dxa"/>
          </w:tblCellMar>
        </w:tblPrEx>
        <w:trPr>
          <w:trHeight w:val="19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乔司</w:t>
            </w:r>
            <w:r>
              <w:rPr>
                <w:rFonts w:hint="eastAsia" w:ascii="仿宋" w:hAnsi="仿宋" w:eastAsia="仿宋" w:cs="仿宋"/>
                <w:kern w:val="0"/>
                <w:sz w:val="24"/>
                <w:szCs w:val="24"/>
                <w:lang w:val="en-US" w:eastAsia="zh-CN"/>
              </w:rPr>
              <w:t>街道</w:t>
            </w:r>
            <w:r>
              <w:rPr>
                <w:rFonts w:hint="eastAsia" w:ascii="仿宋" w:hAnsi="仿宋" w:eastAsia="仿宋" w:cs="仿宋"/>
                <w:kern w:val="0"/>
                <w:sz w:val="24"/>
                <w:szCs w:val="24"/>
              </w:rPr>
              <w:t>中心幼儿园</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362.86</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宝庆街南</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1645.69</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宝庆街北</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236.32</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兴寺路2</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31.45</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桃安路2</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67.39</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乔司小学西</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99.25</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鑫业路</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923.84</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南街1南</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1032.12</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吴稼村委门口</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283.2</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乔莫东路与外翁线交叉口西南角</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192</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博卡路与外翁线交叉口</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431.75</w:t>
            </w:r>
          </w:p>
        </w:tc>
      </w:tr>
      <w:tr>
        <w:tblPrEx>
          <w:tblCellMar>
            <w:top w:w="15" w:type="dxa"/>
            <w:left w:w="15" w:type="dxa"/>
            <w:bottom w:w="15" w:type="dxa"/>
            <w:right w:w="15" w:type="dxa"/>
          </w:tblCellMar>
        </w:tblPrEx>
        <w:trPr>
          <w:trHeight w:val="285" w:hRule="atLeast"/>
        </w:trPr>
        <w:tc>
          <w:tcPr>
            <w:tcW w:w="14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面积</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15023.62</w:t>
            </w:r>
          </w:p>
        </w:tc>
      </w:tr>
    </w:tbl>
    <w:p>
      <w:pPr>
        <w:spacing w:line="440" w:lineRule="exact"/>
        <w:rPr>
          <w:rFonts w:hint="eastAsia" w:ascii="仿宋" w:hAnsi="仿宋" w:eastAsia="仿宋" w:cs="仿宋"/>
          <w:b/>
          <w:bCs/>
          <w:sz w:val="24"/>
          <w:szCs w:val="24"/>
        </w:rPr>
      </w:pPr>
      <w:r>
        <w:rPr>
          <w:rFonts w:hint="eastAsia" w:ascii="仿宋" w:hAnsi="仿宋" w:eastAsia="仿宋" w:cs="仿宋"/>
          <w:b/>
          <w:kern w:val="0"/>
          <w:sz w:val="24"/>
          <w:szCs w:val="24"/>
        </w:rPr>
        <w:t>③</w:t>
      </w:r>
      <w:r>
        <w:rPr>
          <w:rFonts w:hint="eastAsia" w:ascii="仿宋" w:hAnsi="仿宋" w:eastAsia="仿宋" w:cs="仿宋"/>
          <w:b/>
          <w:bCs/>
          <w:sz w:val="24"/>
          <w:szCs w:val="24"/>
        </w:rPr>
        <w:t>乔司街道集镇公厕统计表：</w:t>
      </w:r>
    </w:p>
    <w:tbl>
      <w:tblPr>
        <w:tblStyle w:val="64"/>
        <w:tblW w:w="0" w:type="auto"/>
        <w:tblInd w:w="0" w:type="dxa"/>
        <w:tblLayout w:type="fixed"/>
        <w:tblCellMar>
          <w:top w:w="15" w:type="dxa"/>
          <w:left w:w="15" w:type="dxa"/>
          <w:bottom w:w="15" w:type="dxa"/>
          <w:right w:w="15" w:type="dxa"/>
        </w:tblCellMar>
      </w:tblPr>
      <w:tblGrid>
        <w:gridCol w:w="1451"/>
        <w:gridCol w:w="3782"/>
        <w:gridCol w:w="2518"/>
      </w:tblGrid>
      <w:tr>
        <w:tblPrEx>
          <w:tblCellMar>
            <w:top w:w="15" w:type="dxa"/>
            <w:left w:w="15" w:type="dxa"/>
            <w:bottom w:w="15" w:type="dxa"/>
            <w:right w:w="15" w:type="dxa"/>
          </w:tblCellMar>
        </w:tblPrEx>
        <w:trPr>
          <w:trHeight w:val="300" w:hRule="atLeast"/>
        </w:trPr>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3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公厕名称</w:t>
            </w:r>
          </w:p>
        </w:tc>
        <w:tc>
          <w:tcPr>
            <w:tcW w:w="2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数量</w:t>
            </w:r>
          </w:p>
        </w:tc>
      </w:tr>
      <w:tr>
        <w:tblPrEx>
          <w:tblCellMar>
            <w:top w:w="15" w:type="dxa"/>
            <w:left w:w="15" w:type="dxa"/>
            <w:bottom w:w="15" w:type="dxa"/>
            <w:right w:w="15" w:type="dxa"/>
          </w:tblCellMar>
        </w:tblPrEx>
        <w:trPr>
          <w:trHeight w:val="300" w:hRule="atLeast"/>
        </w:trPr>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3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电商园公厕</w:t>
            </w:r>
          </w:p>
        </w:tc>
        <w:tc>
          <w:tcPr>
            <w:tcW w:w="2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CellMar>
            <w:top w:w="15" w:type="dxa"/>
            <w:left w:w="15" w:type="dxa"/>
            <w:bottom w:w="15" w:type="dxa"/>
            <w:right w:w="15" w:type="dxa"/>
          </w:tblCellMar>
        </w:tblPrEx>
        <w:trPr>
          <w:trHeight w:val="300" w:hRule="atLeast"/>
        </w:trPr>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3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街心公园公厕</w:t>
            </w:r>
          </w:p>
        </w:tc>
        <w:tc>
          <w:tcPr>
            <w:tcW w:w="251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sz w:val="24"/>
                <w:szCs w:val="24"/>
              </w:rPr>
            </w:pPr>
            <w:r>
              <w:rPr>
                <w:rFonts w:hint="eastAsia" w:ascii="仿宋" w:hAnsi="仿宋" w:eastAsia="仿宋" w:cs="仿宋"/>
                <w:kern w:val="0"/>
                <w:sz w:val="24"/>
                <w:szCs w:val="24"/>
              </w:rPr>
              <w:t>1</w:t>
            </w:r>
          </w:p>
        </w:tc>
      </w:tr>
      <w:tr>
        <w:tblPrEx>
          <w:tblCellMar>
            <w:top w:w="15" w:type="dxa"/>
            <w:left w:w="15" w:type="dxa"/>
            <w:bottom w:w="15" w:type="dxa"/>
            <w:right w:w="15" w:type="dxa"/>
          </w:tblCellMar>
        </w:tblPrEx>
        <w:trPr>
          <w:trHeight w:val="339" w:hRule="atLeast"/>
        </w:trPr>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3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乔司港公厕</w:t>
            </w:r>
          </w:p>
        </w:tc>
        <w:tc>
          <w:tcPr>
            <w:tcW w:w="251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sz w:val="24"/>
                <w:szCs w:val="24"/>
              </w:rPr>
            </w:pPr>
            <w:r>
              <w:rPr>
                <w:rFonts w:hint="eastAsia" w:ascii="仿宋" w:hAnsi="仿宋" w:eastAsia="仿宋" w:cs="仿宋"/>
                <w:kern w:val="0"/>
                <w:sz w:val="24"/>
                <w:szCs w:val="24"/>
              </w:rPr>
              <w:t>1</w:t>
            </w:r>
          </w:p>
        </w:tc>
      </w:tr>
      <w:tr>
        <w:tblPrEx>
          <w:tblCellMar>
            <w:top w:w="15" w:type="dxa"/>
            <w:left w:w="15" w:type="dxa"/>
            <w:bottom w:w="15" w:type="dxa"/>
            <w:right w:w="15" w:type="dxa"/>
          </w:tblCellMar>
        </w:tblPrEx>
        <w:trPr>
          <w:trHeight w:val="271" w:hRule="atLeast"/>
        </w:trPr>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3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乔莫东路公厕</w:t>
            </w:r>
          </w:p>
        </w:tc>
        <w:tc>
          <w:tcPr>
            <w:tcW w:w="251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sz w:val="24"/>
                <w:szCs w:val="24"/>
              </w:rPr>
            </w:pPr>
            <w:r>
              <w:rPr>
                <w:rFonts w:hint="eastAsia" w:ascii="仿宋" w:hAnsi="仿宋" w:eastAsia="仿宋" w:cs="仿宋"/>
                <w:kern w:val="0"/>
                <w:sz w:val="24"/>
                <w:szCs w:val="24"/>
              </w:rPr>
              <w:t>1</w:t>
            </w:r>
          </w:p>
        </w:tc>
      </w:tr>
      <w:tr>
        <w:tblPrEx>
          <w:tblCellMar>
            <w:top w:w="15" w:type="dxa"/>
            <w:left w:w="15" w:type="dxa"/>
            <w:bottom w:w="15" w:type="dxa"/>
            <w:right w:w="15" w:type="dxa"/>
          </w:tblCellMar>
        </w:tblPrEx>
        <w:trPr>
          <w:trHeight w:val="310" w:hRule="atLeast"/>
        </w:trPr>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3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和平公园公厕</w:t>
            </w:r>
          </w:p>
        </w:tc>
        <w:tc>
          <w:tcPr>
            <w:tcW w:w="251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sz w:val="24"/>
                <w:szCs w:val="24"/>
              </w:rPr>
            </w:pPr>
            <w:r>
              <w:rPr>
                <w:rFonts w:hint="eastAsia" w:ascii="仿宋" w:hAnsi="仿宋" w:eastAsia="仿宋" w:cs="仿宋"/>
                <w:kern w:val="0"/>
                <w:sz w:val="24"/>
                <w:szCs w:val="24"/>
              </w:rPr>
              <w:t>1</w:t>
            </w:r>
          </w:p>
        </w:tc>
      </w:tr>
      <w:tr>
        <w:tblPrEx>
          <w:tblCellMar>
            <w:top w:w="15" w:type="dxa"/>
            <w:left w:w="15" w:type="dxa"/>
            <w:bottom w:w="15" w:type="dxa"/>
            <w:right w:w="15" w:type="dxa"/>
          </w:tblCellMar>
        </w:tblPrEx>
        <w:trPr>
          <w:trHeight w:val="300" w:hRule="atLeast"/>
        </w:trPr>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3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城管中队公厕</w:t>
            </w:r>
          </w:p>
        </w:tc>
        <w:tc>
          <w:tcPr>
            <w:tcW w:w="251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sz w:val="24"/>
                <w:szCs w:val="24"/>
              </w:rPr>
            </w:pPr>
            <w:r>
              <w:rPr>
                <w:rFonts w:hint="eastAsia" w:ascii="仿宋" w:hAnsi="仿宋" w:eastAsia="仿宋" w:cs="仿宋"/>
                <w:kern w:val="0"/>
                <w:sz w:val="24"/>
                <w:szCs w:val="24"/>
              </w:rPr>
              <w:t>1</w:t>
            </w:r>
          </w:p>
        </w:tc>
      </w:tr>
      <w:tr>
        <w:tblPrEx>
          <w:tblCellMar>
            <w:top w:w="15" w:type="dxa"/>
            <w:left w:w="15" w:type="dxa"/>
            <w:bottom w:w="15" w:type="dxa"/>
            <w:right w:w="15" w:type="dxa"/>
          </w:tblCellMar>
        </w:tblPrEx>
        <w:trPr>
          <w:trHeight w:val="359" w:hRule="atLeast"/>
        </w:trPr>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3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乔井路公厕</w:t>
            </w:r>
          </w:p>
        </w:tc>
        <w:tc>
          <w:tcPr>
            <w:tcW w:w="251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sz w:val="24"/>
                <w:szCs w:val="24"/>
              </w:rPr>
            </w:pPr>
            <w:r>
              <w:rPr>
                <w:rFonts w:hint="eastAsia" w:ascii="仿宋" w:hAnsi="仿宋" w:eastAsia="仿宋" w:cs="仿宋"/>
                <w:kern w:val="0"/>
                <w:sz w:val="24"/>
                <w:szCs w:val="24"/>
              </w:rPr>
              <w:t>1</w:t>
            </w:r>
          </w:p>
        </w:tc>
      </w:tr>
      <w:tr>
        <w:tblPrEx>
          <w:tblCellMar>
            <w:top w:w="15" w:type="dxa"/>
            <w:left w:w="15" w:type="dxa"/>
            <w:bottom w:w="15" w:type="dxa"/>
            <w:right w:w="15" w:type="dxa"/>
          </w:tblCellMar>
        </w:tblPrEx>
        <w:trPr>
          <w:trHeight w:val="320" w:hRule="atLeast"/>
        </w:trPr>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3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王家弄公厕</w:t>
            </w:r>
          </w:p>
        </w:tc>
        <w:tc>
          <w:tcPr>
            <w:tcW w:w="251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sz w:val="24"/>
                <w:szCs w:val="24"/>
              </w:rPr>
            </w:pPr>
            <w:r>
              <w:rPr>
                <w:rFonts w:hint="eastAsia" w:ascii="仿宋" w:hAnsi="仿宋" w:eastAsia="仿宋" w:cs="仿宋"/>
                <w:kern w:val="0"/>
                <w:sz w:val="24"/>
                <w:szCs w:val="24"/>
              </w:rPr>
              <w:t>1</w:t>
            </w:r>
          </w:p>
        </w:tc>
      </w:tr>
      <w:tr>
        <w:tblPrEx>
          <w:tblCellMar>
            <w:top w:w="15" w:type="dxa"/>
            <w:left w:w="15" w:type="dxa"/>
            <w:bottom w:w="15" w:type="dxa"/>
            <w:right w:w="15" w:type="dxa"/>
          </w:tblCellMar>
        </w:tblPrEx>
        <w:trPr>
          <w:trHeight w:val="310" w:hRule="atLeast"/>
        </w:trPr>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3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永玄路公厕</w:t>
            </w:r>
          </w:p>
        </w:tc>
        <w:tc>
          <w:tcPr>
            <w:tcW w:w="251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sz w:val="24"/>
                <w:szCs w:val="24"/>
              </w:rPr>
            </w:pPr>
            <w:r>
              <w:rPr>
                <w:rFonts w:hint="eastAsia" w:ascii="仿宋" w:hAnsi="仿宋" w:eastAsia="仿宋" w:cs="仿宋"/>
                <w:kern w:val="0"/>
                <w:sz w:val="24"/>
                <w:szCs w:val="24"/>
              </w:rPr>
              <w:t>1</w:t>
            </w:r>
          </w:p>
        </w:tc>
      </w:tr>
      <w:tr>
        <w:tblPrEx>
          <w:tblCellMar>
            <w:top w:w="15" w:type="dxa"/>
            <w:left w:w="15" w:type="dxa"/>
            <w:bottom w:w="15" w:type="dxa"/>
            <w:right w:w="15" w:type="dxa"/>
          </w:tblCellMar>
        </w:tblPrEx>
        <w:trPr>
          <w:trHeight w:val="320" w:hRule="atLeast"/>
        </w:trPr>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3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方家弄公厕</w:t>
            </w:r>
          </w:p>
        </w:tc>
        <w:tc>
          <w:tcPr>
            <w:tcW w:w="251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sz w:val="24"/>
                <w:szCs w:val="24"/>
              </w:rPr>
            </w:pPr>
            <w:r>
              <w:rPr>
                <w:rFonts w:hint="eastAsia" w:ascii="仿宋" w:hAnsi="仿宋" w:eastAsia="仿宋" w:cs="仿宋"/>
                <w:kern w:val="0"/>
                <w:sz w:val="24"/>
                <w:szCs w:val="24"/>
              </w:rPr>
              <w:t>1</w:t>
            </w:r>
          </w:p>
        </w:tc>
      </w:tr>
      <w:tr>
        <w:tblPrEx>
          <w:tblCellMar>
            <w:top w:w="15" w:type="dxa"/>
            <w:left w:w="15" w:type="dxa"/>
            <w:bottom w:w="15" w:type="dxa"/>
            <w:right w:w="15" w:type="dxa"/>
          </w:tblCellMar>
        </w:tblPrEx>
        <w:trPr>
          <w:trHeight w:val="320" w:hRule="atLeast"/>
        </w:trPr>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3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施家桥公厕</w:t>
            </w:r>
          </w:p>
        </w:tc>
        <w:tc>
          <w:tcPr>
            <w:tcW w:w="251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sz w:val="24"/>
                <w:szCs w:val="24"/>
              </w:rPr>
            </w:pPr>
            <w:r>
              <w:rPr>
                <w:rFonts w:hint="eastAsia" w:ascii="仿宋" w:hAnsi="仿宋" w:eastAsia="仿宋" w:cs="仿宋"/>
                <w:kern w:val="0"/>
                <w:sz w:val="24"/>
                <w:szCs w:val="24"/>
              </w:rPr>
              <w:t>1</w:t>
            </w:r>
          </w:p>
        </w:tc>
      </w:tr>
      <w:tr>
        <w:tblPrEx>
          <w:tblCellMar>
            <w:top w:w="15" w:type="dxa"/>
            <w:left w:w="15" w:type="dxa"/>
            <w:bottom w:w="15" w:type="dxa"/>
            <w:right w:w="15" w:type="dxa"/>
          </w:tblCellMar>
        </w:tblPrEx>
        <w:trPr>
          <w:trHeight w:val="230" w:hRule="atLeast"/>
        </w:trPr>
        <w:tc>
          <w:tcPr>
            <w:tcW w:w="1451"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3782"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乔司中学公厕</w:t>
            </w:r>
          </w:p>
        </w:tc>
        <w:tc>
          <w:tcPr>
            <w:tcW w:w="2518" w:type="dxa"/>
            <w:tcBorders>
              <w:top w:val="single" w:color="000000" w:sz="4" w:space="0"/>
              <w:left w:val="single" w:color="000000" w:sz="4" w:space="0"/>
              <w:right w:val="single" w:color="000000" w:sz="4" w:space="0"/>
            </w:tcBorders>
            <w:noWrap w:val="0"/>
            <w:vAlign w:val="top"/>
          </w:tcPr>
          <w:p>
            <w:pPr>
              <w:jc w:val="center"/>
              <w:rPr>
                <w:rFonts w:hint="eastAsia" w:ascii="仿宋" w:hAnsi="仿宋" w:eastAsia="仿宋" w:cs="仿宋"/>
                <w:sz w:val="24"/>
                <w:szCs w:val="24"/>
              </w:rPr>
            </w:pPr>
            <w:r>
              <w:rPr>
                <w:rFonts w:hint="eastAsia" w:ascii="仿宋" w:hAnsi="仿宋" w:eastAsia="仿宋" w:cs="仿宋"/>
                <w:kern w:val="0"/>
                <w:sz w:val="24"/>
                <w:szCs w:val="24"/>
              </w:rPr>
              <w:t>1</w:t>
            </w:r>
          </w:p>
        </w:tc>
      </w:tr>
      <w:tr>
        <w:tblPrEx>
          <w:tblCellMar>
            <w:top w:w="15" w:type="dxa"/>
            <w:left w:w="15" w:type="dxa"/>
            <w:bottom w:w="15" w:type="dxa"/>
            <w:right w:w="15" w:type="dxa"/>
          </w:tblCellMar>
        </w:tblPrEx>
        <w:trPr>
          <w:trHeight w:val="230" w:hRule="atLeast"/>
        </w:trPr>
        <w:tc>
          <w:tcPr>
            <w:tcW w:w="1451"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3782"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井弄公厕</w:t>
            </w:r>
          </w:p>
        </w:tc>
        <w:tc>
          <w:tcPr>
            <w:tcW w:w="2518" w:type="dxa"/>
            <w:tcBorders>
              <w:top w:val="single" w:color="000000" w:sz="4" w:space="0"/>
              <w:left w:val="single" w:color="000000" w:sz="4" w:space="0"/>
              <w:right w:val="single" w:color="000000" w:sz="4" w:space="0"/>
            </w:tcBorders>
            <w:noWrap w:val="0"/>
            <w:vAlign w:val="top"/>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CellMar>
            <w:top w:w="15" w:type="dxa"/>
            <w:left w:w="15" w:type="dxa"/>
            <w:bottom w:w="15" w:type="dxa"/>
            <w:right w:w="15" w:type="dxa"/>
          </w:tblCellMar>
        </w:tblPrEx>
        <w:trPr>
          <w:trHeight w:val="300" w:hRule="atLeast"/>
        </w:trPr>
        <w:tc>
          <w:tcPr>
            <w:tcW w:w="523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总计</w:t>
            </w:r>
          </w:p>
        </w:tc>
        <w:tc>
          <w:tcPr>
            <w:tcW w:w="2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w:t>
            </w:r>
          </w:p>
        </w:tc>
      </w:tr>
    </w:tbl>
    <w:p>
      <w:pPr>
        <w:widowControl/>
        <w:spacing w:line="260" w:lineRule="exact"/>
        <w:jc w:val="left"/>
        <w:rPr>
          <w:rFonts w:hint="eastAsia" w:ascii="仿宋" w:hAnsi="仿宋" w:eastAsia="仿宋" w:cs="仿宋"/>
          <w:b/>
          <w:bCs/>
          <w:color w:val="auto"/>
          <w:sz w:val="24"/>
          <w:szCs w:val="24"/>
        </w:rPr>
      </w:pPr>
    </w:p>
    <w:p>
      <w:pPr>
        <w:widowControl/>
        <w:spacing w:line="260" w:lineRule="exact"/>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④乔司街道集镇商户垃圾运输（音乐线，</w:t>
      </w:r>
      <w:r>
        <w:rPr>
          <w:rFonts w:hint="eastAsia" w:ascii="仿宋" w:hAnsi="仿宋" w:eastAsia="仿宋" w:cs="仿宋"/>
          <w:color w:val="auto"/>
          <w:sz w:val="24"/>
          <w:szCs w:val="24"/>
        </w:rPr>
        <w:t>含生鲜专运</w:t>
      </w:r>
      <w:r>
        <w:rPr>
          <w:rFonts w:hint="eastAsia" w:ascii="仿宋" w:hAnsi="仿宋" w:eastAsia="仿宋" w:cs="仿宋"/>
          <w:b/>
          <w:bCs/>
          <w:color w:val="auto"/>
          <w:sz w:val="24"/>
          <w:szCs w:val="24"/>
        </w:rPr>
        <w:t>）</w:t>
      </w:r>
    </w:p>
    <w:p>
      <w:pPr>
        <w:adjustRightInd w:val="0"/>
        <w:snapToGrid w:val="0"/>
        <w:spacing w:line="6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服务内容：一体化服务范围内的所有商户垃圾运输（音乐线）</w:t>
      </w:r>
    </w:p>
    <w:p>
      <w:pPr>
        <w:adjustRightInd w:val="0"/>
        <w:snapToGrid w:val="0"/>
        <w:spacing w:line="6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招聘人员和购置设施设备，按照约定提供服务。</w:t>
      </w:r>
    </w:p>
    <w:p>
      <w:pPr>
        <w:adjustRightInd w:val="0"/>
        <w:snapToGrid w:val="0"/>
        <w:spacing w:line="6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负责商户垃圾运输的合法运营，过程中产生的成本由乙方承担。</w:t>
      </w:r>
    </w:p>
    <w:p>
      <w:pPr>
        <w:spacing w:line="440" w:lineRule="exact"/>
        <w:rPr>
          <w:rFonts w:hint="eastAsia" w:ascii="仿宋" w:hAnsi="仿宋" w:eastAsia="仿宋" w:cs="仿宋"/>
          <w:sz w:val="24"/>
          <w:szCs w:val="24"/>
        </w:rPr>
      </w:pPr>
      <w:r>
        <w:rPr>
          <w:rFonts w:hint="eastAsia" w:ascii="仿宋" w:hAnsi="仿宋" w:eastAsia="仿宋" w:cs="仿宋"/>
          <w:b/>
          <w:bCs/>
          <w:sz w:val="24"/>
          <w:szCs w:val="24"/>
        </w:rPr>
        <w:t>生鲜垃圾专运路段</w:t>
      </w:r>
    </w:p>
    <w:tbl>
      <w:tblPr>
        <w:tblStyle w:val="64"/>
        <w:tblW w:w="0" w:type="auto"/>
        <w:tblInd w:w="0" w:type="dxa"/>
        <w:tblLayout w:type="fixed"/>
        <w:tblCellMar>
          <w:top w:w="15" w:type="dxa"/>
          <w:left w:w="15" w:type="dxa"/>
          <w:bottom w:w="15" w:type="dxa"/>
          <w:right w:w="15" w:type="dxa"/>
        </w:tblCellMar>
      </w:tblPr>
      <w:tblGrid>
        <w:gridCol w:w="1112"/>
        <w:gridCol w:w="7038"/>
      </w:tblGrid>
      <w:tr>
        <w:tblPrEx>
          <w:tblCellMar>
            <w:top w:w="15" w:type="dxa"/>
            <w:left w:w="15" w:type="dxa"/>
            <w:bottom w:w="15" w:type="dxa"/>
            <w:right w:w="15" w:type="dxa"/>
          </w:tblCellMar>
        </w:tblPrEx>
        <w:trPr>
          <w:trHeight w:val="495" w:hRule="atLeast"/>
        </w:trPr>
        <w:tc>
          <w:tcPr>
            <w:tcW w:w="11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线路路段</w:t>
            </w:r>
          </w:p>
        </w:tc>
      </w:tr>
      <w:tr>
        <w:tblPrEx>
          <w:tblCellMar>
            <w:top w:w="15" w:type="dxa"/>
            <w:left w:w="15" w:type="dxa"/>
            <w:bottom w:w="15" w:type="dxa"/>
            <w:right w:w="15" w:type="dxa"/>
          </w:tblCellMar>
        </w:tblPrEx>
        <w:trPr>
          <w:trHeight w:val="495" w:hRule="atLeast"/>
        </w:trPr>
        <w:tc>
          <w:tcPr>
            <w:tcW w:w="11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毛桃东街，毛桃西街，仙塘东街，仙塘西街</w:t>
            </w:r>
          </w:p>
        </w:tc>
      </w:tr>
      <w:tr>
        <w:tblPrEx>
          <w:tblCellMar>
            <w:top w:w="15" w:type="dxa"/>
            <w:left w:w="15" w:type="dxa"/>
            <w:bottom w:w="15" w:type="dxa"/>
            <w:right w:w="15" w:type="dxa"/>
          </w:tblCellMar>
        </w:tblPrEx>
        <w:trPr>
          <w:trHeight w:val="495" w:hRule="atLeast"/>
        </w:trPr>
        <w:tc>
          <w:tcPr>
            <w:tcW w:w="11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w:t>
            </w:r>
          </w:p>
        </w:tc>
      </w:tr>
      <w:tr>
        <w:tblPrEx>
          <w:tblCellMar>
            <w:top w:w="15" w:type="dxa"/>
            <w:left w:w="15" w:type="dxa"/>
            <w:bottom w:w="15" w:type="dxa"/>
            <w:right w:w="15" w:type="dxa"/>
          </w:tblCellMar>
        </w:tblPrEx>
        <w:trPr>
          <w:trHeight w:val="495" w:hRule="atLeast"/>
        </w:trPr>
        <w:tc>
          <w:tcPr>
            <w:tcW w:w="11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城隍中路（南街以南），杭海路</w:t>
            </w:r>
          </w:p>
        </w:tc>
      </w:tr>
      <w:tr>
        <w:tblPrEx>
          <w:tblCellMar>
            <w:top w:w="15" w:type="dxa"/>
            <w:left w:w="15" w:type="dxa"/>
            <w:bottom w:w="15" w:type="dxa"/>
            <w:right w:w="15" w:type="dxa"/>
          </w:tblCellMar>
        </w:tblPrEx>
        <w:trPr>
          <w:trHeight w:val="495" w:hRule="atLeast"/>
        </w:trPr>
        <w:tc>
          <w:tcPr>
            <w:tcW w:w="11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乔井路，城隍中路（中段）</w:t>
            </w:r>
          </w:p>
        </w:tc>
      </w:tr>
      <w:tr>
        <w:tblPrEx>
          <w:tblCellMar>
            <w:top w:w="15" w:type="dxa"/>
            <w:left w:w="15" w:type="dxa"/>
            <w:bottom w:w="15" w:type="dxa"/>
            <w:right w:w="15" w:type="dxa"/>
          </w:tblCellMar>
        </w:tblPrEx>
        <w:trPr>
          <w:trHeight w:val="495" w:hRule="atLeast"/>
        </w:trPr>
        <w:tc>
          <w:tcPr>
            <w:tcW w:w="11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保庆街，乔莫东路北段</w:t>
            </w:r>
          </w:p>
        </w:tc>
      </w:tr>
      <w:tr>
        <w:tblPrEx>
          <w:tblCellMar>
            <w:top w:w="15" w:type="dxa"/>
            <w:left w:w="15" w:type="dxa"/>
            <w:bottom w:w="15" w:type="dxa"/>
            <w:right w:w="15" w:type="dxa"/>
          </w:tblCellMar>
        </w:tblPrEx>
        <w:trPr>
          <w:trHeight w:val="495" w:hRule="atLeast"/>
        </w:trPr>
        <w:tc>
          <w:tcPr>
            <w:tcW w:w="11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永乔路，永玄路</w:t>
            </w:r>
          </w:p>
        </w:tc>
      </w:tr>
      <w:tr>
        <w:tblPrEx>
          <w:tblCellMar>
            <w:top w:w="15" w:type="dxa"/>
            <w:left w:w="15" w:type="dxa"/>
            <w:bottom w:w="15" w:type="dxa"/>
            <w:right w:w="15" w:type="dxa"/>
          </w:tblCellMar>
        </w:tblPrEx>
        <w:trPr>
          <w:trHeight w:val="495" w:hRule="atLeast"/>
        </w:trPr>
        <w:tc>
          <w:tcPr>
            <w:tcW w:w="11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70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乔莫东路南段，桃安路，兴市路</w:t>
            </w:r>
          </w:p>
        </w:tc>
      </w:tr>
    </w:tbl>
    <w:p>
      <w:pPr>
        <w:adjustRightInd w:val="0"/>
        <w:snapToGrid w:val="0"/>
        <w:spacing w:line="6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1）、结合道路实际情况，遵循定时定线定人定车的“四定”原则，采取播放音乐告知，对沿街商铺的生活垃圾实行定时定点分类收集的模式。</w:t>
      </w:r>
    </w:p>
    <w:p>
      <w:pPr>
        <w:adjustRightInd w:val="0"/>
        <w:snapToGrid w:val="0"/>
        <w:spacing w:line="6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2)、垃圾清运质量标准</w:t>
      </w:r>
    </w:p>
    <w:p>
      <w:pPr>
        <w:adjustRightInd w:val="0"/>
        <w:snapToGrid w:val="0"/>
        <w:spacing w:line="6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1、垃圾桶清洗每星期不少于二次，垃圾清运每天三次。</w:t>
      </w:r>
    </w:p>
    <w:p>
      <w:pPr>
        <w:adjustRightInd w:val="0"/>
        <w:snapToGrid w:val="0"/>
        <w:spacing w:line="6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2、垃圾点要求日产日清，垃圾桶周边清洁无散落，严禁焚烧。</w:t>
      </w:r>
    </w:p>
    <w:p>
      <w:pPr>
        <w:adjustRightInd w:val="0"/>
        <w:snapToGrid w:val="0"/>
        <w:spacing w:line="6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3、垃圾收集点必须做到每日清洗。</w:t>
      </w:r>
    </w:p>
    <w:p>
      <w:pPr>
        <w:adjustRightInd w:val="0"/>
        <w:snapToGrid w:val="0"/>
        <w:spacing w:line="6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4、分类垃圾需分类清运。</w:t>
      </w:r>
    </w:p>
    <w:p>
      <w:pPr>
        <w:spacing w:line="440" w:lineRule="exact"/>
        <w:rPr>
          <w:rFonts w:hint="eastAsia" w:ascii="仿宋" w:hAnsi="仿宋" w:eastAsia="仿宋" w:cs="仿宋"/>
          <w:b/>
          <w:kern w:val="0"/>
          <w:sz w:val="24"/>
          <w:szCs w:val="24"/>
          <w:highlight w:val="none"/>
        </w:rPr>
      </w:pPr>
      <w:r>
        <w:rPr>
          <w:rFonts w:hint="eastAsia" w:ascii="仿宋" w:hAnsi="仿宋" w:eastAsia="仿宋" w:cs="仿宋"/>
          <w:b/>
          <w:bCs/>
          <w:color w:val="000000"/>
          <w:sz w:val="24"/>
          <w:szCs w:val="24"/>
          <w:highlight w:val="none"/>
        </w:rPr>
        <w:t>⑤</w:t>
      </w:r>
      <w:r>
        <w:rPr>
          <w:rFonts w:hint="eastAsia" w:ascii="仿宋" w:hAnsi="仿宋" w:eastAsia="仿宋" w:cs="仿宋"/>
          <w:b/>
          <w:kern w:val="0"/>
          <w:sz w:val="24"/>
          <w:szCs w:val="24"/>
          <w:highlight w:val="none"/>
        </w:rPr>
        <w:t>乔司街道集镇牛皮癣清除范围统计表</w:t>
      </w:r>
    </w:p>
    <w:tbl>
      <w:tblPr>
        <w:tblStyle w:val="64"/>
        <w:tblW w:w="0" w:type="auto"/>
        <w:tblInd w:w="175" w:type="dxa"/>
        <w:tblLayout w:type="fixed"/>
        <w:tblCellMar>
          <w:top w:w="15" w:type="dxa"/>
          <w:left w:w="15" w:type="dxa"/>
          <w:bottom w:w="15" w:type="dxa"/>
          <w:right w:w="15" w:type="dxa"/>
        </w:tblCellMar>
      </w:tblPr>
      <w:tblGrid>
        <w:gridCol w:w="905"/>
        <w:gridCol w:w="4644"/>
        <w:gridCol w:w="1155"/>
        <w:gridCol w:w="1980"/>
      </w:tblGrid>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序号</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道路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单位</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数量</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乔井路 （乔莫东路-乔莫西路）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845</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永玄路（乔莫东路-乔莫西路）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399</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 （乔莫东路-乔莫西路）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871</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乔安路 （乔莫东路-乔莫西路）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682</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保庆街 （乔司港-乔莫西路）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765</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永乔路 （乔莫东路-乔莫西路）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493</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乔莫东路 乔莫西路-杭海路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1486</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乔莫西路（01省道） 方桥港-三角村13组</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2807</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 杭海路-永玄路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1050</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毛桃路 乔莫东路-城隍中路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263.74</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仙塘路 乔莫东路-城隍中路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248.5</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兴市路 杭海路-乔井路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403.8</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桃安路 杭海路-乔井路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393.7</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博卡路 （杭海路-乔莫西路）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360</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杭海路 （外乔司-三角村13组）</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1261</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永玄路北1</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272</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永玄路北2</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56</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永玄路南1</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279</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永乔路南1</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420</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永乔路南2</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418</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保庆街南1</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104</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保庆街南2</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238</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保庆街南3</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159</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保庆街北</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326</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乔井路北1</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20</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乔井路北2</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159</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27</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南街北1</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339</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南街北2</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152</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南街北3</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58</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南街北4</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64</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31</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南街北5</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43.7</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南街南</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437</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33</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城隍中路北</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33.6</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城隍中路东1</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47.4</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35</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东冠逸景花苑北</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156</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毛桃西街北</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212</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37</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毛桃东街北</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149</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38</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毛桃西街南</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169</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39</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毛桃东街南</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91</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仙塘西街南</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166</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41</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仙塘东街南</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56</w:t>
            </w:r>
          </w:p>
        </w:tc>
      </w:tr>
      <w:tr>
        <w:tblPrEx>
          <w:tblCellMar>
            <w:top w:w="15" w:type="dxa"/>
            <w:left w:w="15" w:type="dxa"/>
            <w:bottom w:w="15" w:type="dxa"/>
            <w:right w:w="15" w:type="dxa"/>
          </w:tblCellMar>
        </w:tblPrEx>
        <w:trPr>
          <w:trHeight w:val="344"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42</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乔井路（乔农路-庙港）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359</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43</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永玄路（迎宾路-乔中路）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315</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44</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博卡路 杭海路-永玄路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1807</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乔中路 绕城-永玄路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1581</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46</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和平路 乔莫西路-博卡路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461</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47</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永玄路北</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227</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48</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乔农路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580</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49</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乔安西路 乔莫西路-博卡路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466</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50</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乔司港健身苑</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430</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51</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乔井路东 乔莫东路-水厂</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87</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52</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镇东路</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115</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53</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农贸市场北</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121</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54</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商贸苑小区</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81</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55</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丰惠嘉园东</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106</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56</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永玄路东</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1200</w:t>
            </w:r>
          </w:p>
        </w:tc>
      </w:tr>
      <w:tr>
        <w:tblPrEx>
          <w:tblCellMar>
            <w:top w:w="15" w:type="dxa"/>
            <w:left w:w="15" w:type="dxa"/>
            <w:bottom w:w="15" w:type="dxa"/>
            <w:right w:w="15" w:type="dxa"/>
          </w:tblCellMar>
        </w:tblPrEx>
        <w:trPr>
          <w:trHeight w:val="28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57</w:t>
            </w:r>
          </w:p>
        </w:tc>
        <w:tc>
          <w:tcPr>
            <w:tcW w:w="4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长度</w:t>
            </w:r>
            <w:r>
              <w:rPr>
                <w:rFonts w:hint="eastAsia" w:ascii="仿宋" w:hAnsi="仿宋" w:eastAsia="仿宋" w:cs="仿宋"/>
                <w:kern w:val="0"/>
                <w:sz w:val="24"/>
                <w:szCs w:val="24"/>
              </w:rPr>
              <w:t>总计</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48</w:t>
            </w:r>
            <w:r>
              <w:rPr>
                <w:rFonts w:hint="eastAsia" w:ascii="仿宋" w:hAnsi="仿宋" w:eastAsia="仿宋" w:cs="仿宋"/>
                <w:kern w:val="0"/>
                <w:sz w:val="24"/>
                <w:szCs w:val="24"/>
              </w:rPr>
              <w:t>89.44</w:t>
            </w:r>
          </w:p>
        </w:tc>
      </w:tr>
    </w:tbl>
    <w:p>
      <w:pPr>
        <w:spacing w:line="440" w:lineRule="exact"/>
        <w:rPr>
          <w:rFonts w:hint="eastAsia" w:ascii="仿宋" w:hAnsi="仿宋" w:eastAsia="仿宋" w:cs="仿宋"/>
          <w:b/>
          <w:kern w:val="0"/>
          <w:sz w:val="24"/>
          <w:szCs w:val="24"/>
        </w:rPr>
      </w:pPr>
      <w:r>
        <w:rPr>
          <w:rFonts w:hint="eastAsia" w:ascii="仿宋" w:hAnsi="仿宋" w:eastAsia="仿宋" w:cs="仿宋"/>
          <w:b/>
          <w:kern w:val="0"/>
          <w:sz w:val="24"/>
          <w:szCs w:val="24"/>
        </w:rPr>
        <w:t>无责任方的公共区域内所有牛皮癣清除。</w:t>
      </w:r>
    </w:p>
    <w:p>
      <w:pPr>
        <w:spacing w:line="360" w:lineRule="auto"/>
        <w:rPr>
          <w:rFonts w:hint="eastAsia" w:ascii="仿宋" w:hAnsi="仿宋" w:eastAsia="仿宋" w:cs="仿宋"/>
          <w:bCs/>
          <w:sz w:val="24"/>
          <w:szCs w:val="24"/>
        </w:rPr>
      </w:pPr>
      <w:r>
        <w:rPr>
          <w:rFonts w:hint="eastAsia" w:ascii="仿宋" w:hAnsi="仿宋" w:eastAsia="仿宋" w:cs="仿宋"/>
          <w:b/>
          <w:bCs/>
          <w:sz w:val="24"/>
          <w:szCs w:val="24"/>
        </w:rPr>
        <w:t>标准：</w:t>
      </w:r>
      <w:r>
        <w:rPr>
          <w:rFonts w:hint="eastAsia" w:ascii="仿宋" w:hAnsi="仿宋" w:eastAsia="仿宋" w:cs="仿宋"/>
          <w:bCs/>
          <w:sz w:val="24"/>
          <w:szCs w:val="24"/>
        </w:rPr>
        <w:t>主要对石材、瓷砖等建筑物表面喷洒广告先用醇酸稀料进行浸泡，再用晴纶棉纱进行擦洗、冲洗即可；对于涂料水泥墙面上的喷漆广告可先用醇酸稀料进行浸泡，再用刮刀刮掉后，按照上涂料的工序涂刷即可；对于档土墙、桥梁等设施上的涂料广告可用清单清理后，用与涂抹部分的涂料覆盖即可；对于张贴性广告先用清水喷浸泡后，再用刷子或抹布擦掉即可；对于实在清除不掉的附有乔贴乱画的设施，在许可的范围内尽可能实施拆除新建。</w:t>
      </w:r>
    </w:p>
    <w:p>
      <w:pPr>
        <w:widowControl/>
        <w:spacing w:line="360" w:lineRule="auto"/>
        <w:ind w:firstLine="361" w:firstLineChars="150"/>
        <w:jc w:val="left"/>
        <w:rPr>
          <w:rFonts w:hint="eastAsia" w:ascii="仿宋" w:hAnsi="仿宋" w:eastAsia="仿宋" w:cs="仿宋"/>
          <w:sz w:val="24"/>
          <w:szCs w:val="24"/>
        </w:rPr>
      </w:pPr>
      <w:r>
        <w:rPr>
          <w:rFonts w:hint="eastAsia" w:ascii="仿宋" w:hAnsi="仿宋" w:eastAsia="仿宋" w:cs="仿宋"/>
          <w:b/>
          <w:sz w:val="24"/>
          <w:szCs w:val="24"/>
        </w:rPr>
        <w:t>要求：</w:t>
      </w:r>
      <w:r>
        <w:rPr>
          <w:rFonts w:hint="eastAsia" w:ascii="仿宋" w:hAnsi="仿宋" w:eastAsia="仿宋" w:cs="仿宋"/>
          <w:bCs/>
          <w:sz w:val="24"/>
          <w:szCs w:val="24"/>
        </w:rPr>
        <w:t xml:space="preserve">（1）清理“牛皮癣”要求使用专业的清洁剂、专业的清洗工具、无毒无味的调色剂，不得含有损害人体健康的物质成分。 </w:t>
      </w:r>
    </w:p>
    <w:p>
      <w:pPr>
        <w:pStyle w:val="32"/>
        <w:snapToGrid w:val="0"/>
        <w:spacing w:line="340" w:lineRule="exact"/>
        <w:ind w:firstLine="240" w:firstLineChars="100"/>
        <w:rPr>
          <w:rFonts w:hint="eastAsia" w:ascii="仿宋" w:hAnsi="仿宋" w:eastAsia="仿宋" w:cs="仿宋"/>
          <w:bCs/>
          <w:sz w:val="24"/>
          <w:szCs w:val="24"/>
        </w:rPr>
      </w:pPr>
      <w:r>
        <w:rPr>
          <w:rFonts w:hint="eastAsia" w:ascii="仿宋" w:hAnsi="仿宋" w:eastAsia="仿宋" w:cs="仿宋"/>
          <w:bCs/>
          <w:sz w:val="24"/>
          <w:szCs w:val="24"/>
        </w:rPr>
        <w:t>（2）以不留痕迹、不留残胶和字胶、不损坏物体表面、保持原物体外观、尽量与墙体或公共设施的色调一致、清理后无明显色差、看不出覆盖痕迹为标准，并做到美观。</w:t>
      </w:r>
    </w:p>
    <w:p>
      <w:pPr>
        <w:pStyle w:val="32"/>
        <w:snapToGrid w:val="0"/>
        <w:spacing w:line="340" w:lineRule="exact"/>
        <w:ind w:firstLine="240" w:firstLineChars="100"/>
        <w:rPr>
          <w:rFonts w:hint="eastAsia" w:ascii="仿宋" w:hAnsi="仿宋" w:eastAsia="仿宋" w:cs="仿宋"/>
          <w:bCs/>
          <w:sz w:val="24"/>
          <w:szCs w:val="24"/>
        </w:rPr>
      </w:pPr>
      <w:r>
        <w:rPr>
          <w:rFonts w:hint="eastAsia" w:ascii="仿宋" w:hAnsi="仿宋" w:eastAsia="仿宋" w:cs="仿宋"/>
          <w:bCs/>
          <w:sz w:val="24"/>
          <w:szCs w:val="24"/>
        </w:rPr>
        <w:t>（3）涂写印画类采取清洗作业的，须清洗至无明显痕迹；采取遮盖层涂刷的，遮盖要求与墙体基本同色，无明显色差，涂刷须规则（正方形或长方形）；采取磨砂的，不得损坏物体表面，保持原物体外观。</w:t>
      </w:r>
    </w:p>
    <w:p>
      <w:pPr>
        <w:pStyle w:val="32"/>
        <w:snapToGrid w:val="0"/>
        <w:spacing w:line="340" w:lineRule="exact"/>
        <w:ind w:firstLine="240" w:firstLineChars="100"/>
        <w:rPr>
          <w:rFonts w:hint="eastAsia" w:ascii="仿宋" w:hAnsi="仿宋" w:eastAsia="仿宋" w:cs="仿宋"/>
          <w:bCs/>
          <w:sz w:val="24"/>
          <w:szCs w:val="24"/>
        </w:rPr>
      </w:pPr>
      <w:r>
        <w:rPr>
          <w:rFonts w:hint="eastAsia" w:ascii="仿宋" w:hAnsi="仿宋" w:eastAsia="仿宋" w:cs="仿宋"/>
          <w:bCs/>
          <w:sz w:val="24"/>
          <w:szCs w:val="24"/>
        </w:rPr>
        <w:t>（4）张贴张挂类（包含店面外侧的招工等各类小广告）要求全部清除干净，不得留有纸屑、碎片。</w:t>
      </w:r>
    </w:p>
    <w:p>
      <w:pPr>
        <w:pStyle w:val="32"/>
        <w:snapToGrid w:val="0"/>
        <w:spacing w:line="340" w:lineRule="exact"/>
        <w:ind w:firstLine="240" w:firstLineChars="100"/>
        <w:rPr>
          <w:rFonts w:hint="eastAsia" w:ascii="仿宋" w:hAnsi="仿宋" w:eastAsia="仿宋" w:cs="仿宋"/>
          <w:bCs/>
          <w:sz w:val="24"/>
          <w:szCs w:val="24"/>
        </w:rPr>
      </w:pPr>
      <w:r>
        <w:rPr>
          <w:rFonts w:hint="eastAsia" w:ascii="仿宋" w:hAnsi="仿宋" w:eastAsia="仿宋" w:cs="仿宋"/>
          <w:bCs/>
          <w:sz w:val="24"/>
          <w:szCs w:val="24"/>
        </w:rPr>
        <w:t>（5）“牛皮癣”清理过程中产生的垃圾要及时清理和回收，保证清理现场的整洁。</w:t>
      </w:r>
    </w:p>
    <w:p>
      <w:pPr>
        <w:pStyle w:val="32"/>
        <w:snapToGrid w:val="0"/>
        <w:spacing w:line="340" w:lineRule="exact"/>
        <w:ind w:firstLine="240" w:firstLineChars="100"/>
        <w:rPr>
          <w:rFonts w:hint="eastAsia" w:ascii="仿宋" w:hAnsi="仿宋" w:eastAsia="仿宋" w:cs="仿宋"/>
          <w:bCs/>
          <w:sz w:val="24"/>
          <w:szCs w:val="24"/>
        </w:rPr>
      </w:pPr>
      <w:r>
        <w:rPr>
          <w:rFonts w:hint="eastAsia" w:ascii="仿宋" w:hAnsi="仿宋" w:eastAsia="仿宋" w:cs="仿宋"/>
          <w:bCs/>
          <w:sz w:val="24"/>
          <w:szCs w:val="24"/>
        </w:rPr>
        <w:t>（6）“牛皮癣”清理工作过程中，承包方必须做好相应的安全工作，切实采取措施确保作业人员的人身、工作安全及周边环境、群众的生命财产安全，由此引发的安全事故等一切法律经济责任由承包方自行承担，与发包方无关。</w:t>
      </w:r>
    </w:p>
    <w:p>
      <w:pPr>
        <w:spacing w:before="120" w:after="120"/>
        <w:rPr>
          <w:rFonts w:hint="eastAsia" w:ascii="仿宋" w:hAnsi="仿宋" w:eastAsia="仿宋" w:cs="仿宋"/>
          <w:bCs/>
          <w:sz w:val="24"/>
          <w:szCs w:val="24"/>
        </w:rPr>
      </w:pPr>
      <w:r>
        <w:rPr>
          <w:rFonts w:hint="eastAsia" w:ascii="仿宋" w:hAnsi="仿宋" w:eastAsia="仿宋" w:cs="仿宋"/>
          <w:bCs/>
          <w:sz w:val="24"/>
          <w:szCs w:val="24"/>
        </w:rPr>
        <w:t>（7）“牛皮癣”清理工作过程中，因清理操作对“牛皮癣”附着物有损坏的，由承包方承担赔偿等相关责任。</w:t>
      </w:r>
    </w:p>
    <w:p>
      <w:pPr>
        <w:spacing w:before="120" w:after="120"/>
        <w:rPr>
          <w:rFonts w:hint="eastAsia" w:ascii="仿宋" w:hAnsi="仿宋" w:eastAsia="仿宋" w:cs="仿宋"/>
          <w:sz w:val="24"/>
          <w:szCs w:val="24"/>
        </w:rPr>
      </w:pPr>
      <w:r>
        <w:rPr>
          <w:rFonts w:hint="eastAsia" w:ascii="仿宋" w:hAnsi="仿宋" w:eastAsia="仿宋" w:cs="仿宋"/>
          <w:b/>
          <w:kern w:val="0"/>
          <w:sz w:val="24"/>
          <w:szCs w:val="24"/>
        </w:rPr>
        <w:t>⑥乔司集镇东区新街社区无物业小区</w:t>
      </w:r>
    </w:p>
    <w:tbl>
      <w:tblPr>
        <w:tblStyle w:val="64"/>
        <w:tblW w:w="9025" w:type="dxa"/>
        <w:tblInd w:w="0" w:type="dxa"/>
        <w:tblLayout w:type="fixed"/>
        <w:tblCellMar>
          <w:top w:w="15" w:type="dxa"/>
          <w:left w:w="15" w:type="dxa"/>
          <w:bottom w:w="15" w:type="dxa"/>
          <w:right w:w="15" w:type="dxa"/>
        </w:tblCellMar>
      </w:tblPr>
      <w:tblGrid>
        <w:gridCol w:w="1080"/>
        <w:gridCol w:w="1410"/>
        <w:gridCol w:w="1980"/>
        <w:gridCol w:w="2380"/>
        <w:gridCol w:w="1062"/>
        <w:gridCol w:w="1113"/>
      </w:tblGrid>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rPr>
              <w:t>编号</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rPr>
              <w:t>区域编号</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rPr>
              <w:t>房屋俗称</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rPr>
              <w:t>坐落位置</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rPr>
              <w:t>单元数</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rPr>
              <w:t>户数</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四区</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信用社宿舍</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农村商业银行楼上</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16</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六区1幢</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电影院宿舍</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乔莫东路42号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30</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六区2幢</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电影院宿舍</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乔莫东路44号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20</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八区1幢</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教师宿舍</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兴市路5号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16</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八区2幢</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高洋房</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兴市路7号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30</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八区3幢</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高洋房</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兴市路9号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30</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八区4幢</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高洋房</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兴市路11号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八区5幢</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高洋房</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兴市路13号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8</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九区</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邱老师所住宿舍</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乔井路27-31</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16</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十区</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原菜场边宿舍</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乔井路20-30号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24</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十一区</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司法所宿舍</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乔井路46-56号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19</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十二区</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税务所</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井弄2-1号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十三区</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镇政府宿舍</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乔井路40-1号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25</w:t>
            </w:r>
          </w:p>
        </w:tc>
      </w:tr>
      <w:tr>
        <w:tblPrEx>
          <w:tblCellMar>
            <w:top w:w="15" w:type="dxa"/>
            <w:left w:w="15" w:type="dxa"/>
            <w:bottom w:w="15" w:type="dxa"/>
            <w:right w:w="15" w:type="dxa"/>
          </w:tblCellMar>
        </w:tblPrEx>
        <w:trPr>
          <w:trHeight w:val="655"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14</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十四区</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私人集资房</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乔井路60-68号</w:t>
            </w:r>
          </w:p>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（小胖子土菜馆旁）</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16</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15</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十五区1幢</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丁建农宿舍</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乔井路70-1号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p>
        </w:tc>
        <w:tc>
          <w:tcPr>
            <w:tcW w:w="111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28</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16</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十五区2幢</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丁建农宿舍</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乔井路70-2号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p>
        </w:tc>
        <w:tc>
          <w:tcPr>
            <w:tcW w:w="111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17</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十六区</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原苏阳大面</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乔井路88号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16</w:t>
            </w:r>
          </w:p>
        </w:tc>
      </w:tr>
      <w:tr>
        <w:tblPrEx>
          <w:tblCellMar>
            <w:top w:w="15" w:type="dxa"/>
            <w:left w:w="15" w:type="dxa"/>
            <w:bottom w:w="15" w:type="dxa"/>
            <w:right w:w="15" w:type="dxa"/>
          </w:tblCellMar>
        </w:tblPrEx>
        <w:trPr>
          <w:trHeight w:val="283" w:hRule="exac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18</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十七区</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沈利华所住宿舍</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城隍中路52-1号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10</w:t>
            </w:r>
          </w:p>
        </w:tc>
      </w:tr>
    </w:tbl>
    <w:p>
      <w:pPr>
        <w:adjustRightInd w:val="0"/>
        <w:snapToGrid w:val="0"/>
        <w:spacing w:line="600" w:lineRule="exac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整体养护范围，采购人有权进行调整，按时结算。</w:t>
      </w:r>
    </w:p>
    <w:p>
      <w:pPr>
        <w:pStyle w:val="82"/>
        <w:rPr>
          <w:rFonts w:hint="eastAsia" w:ascii="仿宋" w:hAnsi="仿宋" w:eastAsia="仿宋" w:cs="仿宋"/>
          <w:b/>
          <w:color w:val="auto"/>
          <w:kern w:val="0"/>
          <w:sz w:val="24"/>
          <w:szCs w:val="24"/>
          <w:highlight w:val="none"/>
          <w:lang w:val="en-US" w:eastAsia="zh-CN" w:bidi="ar-SA"/>
        </w:rPr>
      </w:pPr>
      <w:r>
        <w:rPr>
          <w:rFonts w:hint="eastAsia" w:ascii="仿宋" w:hAnsi="仿宋" w:eastAsia="仿宋" w:cs="仿宋"/>
          <w:b/>
          <w:color w:val="auto"/>
          <w:kern w:val="0"/>
          <w:sz w:val="24"/>
          <w:szCs w:val="24"/>
          <w:highlight w:val="none"/>
          <w:lang w:val="en-US" w:eastAsia="zh-CN" w:bidi="ar-SA"/>
        </w:rPr>
        <w:t>⑦疫苗接种点卫生、厕所保洁及垃圾清运</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1、</w:t>
      </w:r>
      <w:r>
        <w:rPr>
          <w:rFonts w:hint="eastAsia" w:ascii="Times New Roman" w:hAnsi="Times New Roman" w:eastAsia="宋体" w:cs="Times New Roman"/>
          <w:color w:val="auto"/>
          <w:kern w:val="2"/>
          <w:sz w:val="24"/>
          <w:szCs w:val="24"/>
          <w:highlight w:val="none"/>
          <w:lang w:val="en-US" w:eastAsia="zh-CN" w:bidi="ar-SA"/>
        </w:rPr>
        <w:t>安排专职人员2名，做到接种区域场地每天两次消毒（按照医疗场所消毒液配比），物品表每天擦拭两次，卫生长效循环保洁，负责医疗废弃物转移交接。</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2</w:t>
      </w:r>
      <w:r>
        <w:rPr>
          <w:rFonts w:hint="eastAsia" w:ascii="Times New Roman" w:hAnsi="Times New Roman" w:eastAsia="宋体" w:cs="Times New Roman"/>
          <w:color w:val="auto"/>
          <w:kern w:val="2"/>
          <w:sz w:val="24"/>
          <w:szCs w:val="24"/>
          <w:highlight w:val="none"/>
          <w:lang w:val="en-US" w:eastAsia="zh-CN" w:bidi="ar-SA"/>
        </w:rPr>
        <w:t>、地面保持清洁、干燥，无果壳瓜皮等杂物，地面杂物须及时清洁干净，医疗废弃物统一规范堆置。</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3</w:t>
      </w:r>
      <w:r>
        <w:rPr>
          <w:rFonts w:hint="eastAsia" w:ascii="Times New Roman" w:hAnsi="Times New Roman" w:eastAsia="宋体" w:cs="Times New Roman"/>
          <w:color w:val="auto"/>
          <w:kern w:val="2"/>
          <w:sz w:val="24"/>
          <w:szCs w:val="24"/>
          <w:highlight w:val="none"/>
          <w:lang w:val="en-US" w:eastAsia="zh-CN" w:bidi="ar-SA"/>
        </w:rPr>
        <w:t>、做好疫苗接种点外围（包括排队区域）的垃圾清洁，做到有垃圾随时清理，做到地面干净无垃圾。</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4</w:t>
      </w:r>
      <w:r>
        <w:rPr>
          <w:rFonts w:hint="eastAsia" w:ascii="Times New Roman" w:hAnsi="Times New Roman" w:eastAsia="宋体" w:cs="Times New Roman"/>
          <w:color w:val="auto"/>
          <w:kern w:val="2"/>
          <w:sz w:val="24"/>
          <w:szCs w:val="24"/>
          <w:highlight w:val="none"/>
          <w:lang w:val="en-US" w:eastAsia="zh-CN" w:bidi="ar-SA"/>
        </w:rPr>
        <w:t>、医疗废弃物、垃圾等日产日清，垃圾箱外观整洁，周围无污垢，无积水，无漏拣垃圾。清运后及时冲洗，周围无蚊虫卵孳生，医疗废弃物统一处理。</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5</w:t>
      </w:r>
      <w:r>
        <w:rPr>
          <w:rFonts w:hint="eastAsia" w:ascii="Times New Roman" w:hAnsi="Times New Roman" w:eastAsia="宋体" w:cs="Times New Roman"/>
          <w:color w:val="auto"/>
          <w:kern w:val="2"/>
          <w:sz w:val="24"/>
          <w:szCs w:val="24"/>
          <w:highlight w:val="none"/>
          <w:lang w:val="en-US" w:eastAsia="zh-CN" w:bidi="ar-SA"/>
        </w:rPr>
        <w:t>、厕所内需确保无污渍、无积水、无死角、无异味、无垃圾，保洁每日不少于3次化粪池进出畅通，无污水外溢池满后需及时清理（相关费用由保洁公司自行承担），养护期内，必须投入相应的保洁工具、厕纸、洗手液、灭蚊蝇药物、现有除臭器的除臭液等消耗品，确保正常使用。</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6</w:t>
      </w:r>
      <w:r>
        <w:rPr>
          <w:rFonts w:hint="eastAsia" w:ascii="Times New Roman" w:hAnsi="Times New Roman" w:eastAsia="宋体" w:cs="Times New Roman"/>
          <w:color w:val="auto"/>
          <w:kern w:val="2"/>
          <w:sz w:val="24"/>
          <w:szCs w:val="24"/>
          <w:highlight w:val="none"/>
          <w:lang w:val="en-US" w:eastAsia="zh-CN" w:bidi="ar-SA"/>
        </w:rPr>
        <w:t>、厕所地面保洁无污物，清洗冲刷地面时应设置国家规定的防滑标志，墙壁、门窗、隔断板等整洁无乱涂乱画等污迹物，厕所便器及时冲刷，无粪迹、尿迹和其他污物。</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7</w:t>
      </w:r>
      <w:r>
        <w:rPr>
          <w:rFonts w:hint="eastAsia" w:ascii="Times New Roman" w:hAnsi="Times New Roman" w:eastAsia="宋体" w:cs="Times New Roman"/>
          <w:color w:val="auto"/>
          <w:kern w:val="2"/>
          <w:sz w:val="24"/>
          <w:szCs w:val="24"/>
          <w:highlight w:val="none"/>
          <w:lang w:val="en-US" w:eastAsia="zh-CN" w:bidi="ar-SA"/>
        </w:rPr>
        <w:t>、中标单位须无偿提供厕纸，并保证每个卫生间内厕纸不断。</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8</w:t>
      </w:r>
      <w:r>
        <w:rPr>
          <w:rFonts w:hint="eastAsia" w:ascii="Times New Roman" w:hAnsi="Times New Roman" w:eastAsia="宋体" w:cs="Times New Roman"/>
          <w:color w:val="auto"/>
          <w:kern w:val="2"/>
          <w:sz w:val="24"/>
          <w:szCs w:val="24"/>
          <w:highlight w:val="none"/>
          <w:lang w:val="en-US" w:eastAsia="zh-CN" w:bidi="ar-SA"/>
        </w:rPr>
        <w:t>、定时喷洒灭蚊蝇药物，做到随有随灭。纸篓无污迹、无隔夜垃圾。空气流通无臭味。</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9</w:t>
      </w:r>
      <w:r>
        <w:rPr>
          <w:rFonts w:hint="eastAsia" w:ascii="Times New Roman" w:hAnsi="Times New Roman" w:eastAsia="宋体" w:cs="Times New Roman"/>
          <w:color w:val="auto"/>
          <w:kern w:val="2"/>
          <w:sz w:val="24"/>
          <w:szCs w:val="24"/>
          <w:highlight w:val="none"/>
          <w:lang w:val="en-US" w:eastAsia="zh-CN" w:bidi="ar-SA"/>
        </w:rPr>
        <w:t>、厕所设施和工具摆放有序，干净整洁。按照规定时间、地点和方式倾倒废物。外墙屋顶及卫生负责区内环境整洁无杂物。</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10</w:t>
      </w:r>
      <w:r>
        <w:rPr>
          <w:rFonts w:hint="eastAsia" w:ascii="Times New Roman" w:hAnsi="Times New Roman" w:eastAsia="宋体" w:cs="Times New Roman"/>
          <w:color w:val="auto"/>
          <w:kern w:val="2"/>
          <w:sz w:val="24"/>
          <w:szCs w:val="24"/>
          <w:highlight w:val="none"/>
          <w:lang w:val="en-US" w:eastAsia="zh-CN" w:bidi="ar-SA"/>
        </w:rPr>
        <w:t>、休息区、接种室卫生清洁每天结束后进行全面检查清扫拖地，凳子摆放整齐，及时清理垃圾桶医疗废弃物。</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r>
        <w:rPr>
          <w:rFonts w:hint="eastAsia" w:ascii="Times New Roman" w:eastAsia="宋体" w:cs="Times New Roman"/>
          <w:color w:val="auto"/>
          <w:kern w:val="2"/>
          <w:sz w:val="24"/>
          <w:szCs w:val="24"/>
          <w:highlight w:val="none"/>
          <w:lang w:val="en-US" w:eastAsia="zh-CN" w:bidi="ar-SA"/>
        </w:rPr>
        <w:t>1</w:t>
      </w:r>
      <w:r>
        <w:rPr>
          <w:rFonts w:hint="eastAsia" w:ascii="Times New Roman" w:hAnsi="Times New Roman" w:eastAsia="宋体" w:cs="Times New Roman"/>
          <w:color w:val="auto"/>
          <w:kern w:val="2"/>
          <w:sz w:val="24"/>
          <w:szCs w:val="24"/>
          <w:highlight w:val="none"/>
          <w:lang w:val="en-US" w:eastAsia="zh-CN" w:bidi="ar-SA"/>
        </w:rPr>
        <w:t>、饮水区域滴水漏水及时清理，保证饮水区域的干净整洁。</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r>
        <w:rPr>
          <w:rFonts w:hint="eastAsia" w:ascii="Times New Roman" w:eastAsia="宋体" w:cs="Times New Roman"/>
          <w:color w:val="auto"/>
          <w:kern w:val="2"/>
          <w:sz w:val="24"/>
          <w:szCs w:val="24"/>
          <w:highlight w:val="none"/>
          <w:lang w:val="en-US" w:eastAsia="zh-CN" w:bidi="ar-SA"/>
        </w:rPr>
        <w:t>2</w:t>
      </w:r>
      <w:r>
        <w:rPr>
          <w:rFonts w:hint="eastAsia" w:ascii="Times New Roman" w:hAnsi="Times New Roman" w:eastAsia="宋体" w:cs="Times New Roman"/>
          <w:color w:val="auto"/>
          <w:kern w:val="2"/>
          <w:sz w:val="24"/>
          <w:szCs w:val="24"/>
          <w:highlight w:val="none"/>
          <w:lang w:val="en-US" w:eastAsia="zh-CN" w:bidi="ar-SA"/>
        </w:rPr>
        <w:t>、疫苗接种区域所有范围每天消毒2次，物品表每天擦拭2次。</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r>
        <w:rPr>
          <w:rFonts w:hint="eastAsia" w:ascii="Times New Roman" w:eastAsia="宋体" w:cs="Times New Roman"/>
          <w:color w:val="auto"/>
          <w:kern w:val="2"/>
          <w:sz w:val="24"/>
          <w:szCs w:val="24"/>
          <w:highlight w:val="none"/>
          <w:lang w:val="en-US" w:eastAsia="zh-CN" w:bidi="ar-SA"/>
        </w:rPr>
        <w:t>3</w:t>
      </w:r>
      <w:r>
        <w:rPr>
          <w:rFonts w:hint="eastAsia" w:ascii="Times New Roman" w:hAnsi="Times New Roman" w:eastAsia="宋体" w:cs="Times New Roman"/>
          <w:color w:val="auto"/>
          <w:kern w:val="2"/>
          <w:sz w:val="24"/>
          <w:szCs w:val="24"/>
          <w:highlight w:val="none"/>
          <w:lang w:val="en-US" w:eastAsia="zh-CN" w:bidi="ar-SA"/>
        </w:rPr>
        <w:t>、遇到上级检查、创建模等活动时，应加强巡查和保洁密度，并服从安排调度。</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r>
        <w:rPr>
          <w:rFonts w:hint="eastAsia" w:ascii="Times New Roman" w:eastAsia="宋体" w:cs="Times New Roman"/>
          <w:color w:val="auto"/>
          <w:kern w:val="2"/>
          <w:sz w:val="24"/>
          <w:szCs w:val="24"/>
          <w:highlight w:val="none"/>
          <w:lang w:val="en-US" w:eastAsia="zh-CN" w:bidi="ar-SA"/>
        </w:rPr>
        <w:t>4</w:t>
      </w:r>
      <w:r>
        <w:rPr>
          <w:rFonts w:hint="eastAsia" w:ascii="Times New Roman" w:hAnsi="Times New Roman" w:eastAsia="宋体" w:cs="Times New Roman"/>
          <w:color w:val="auto"/>
          <w:kern w:val="2"/>
          <w:sz w:val="24"/>
          <w:szCs w:val="24"/>
          <w:highlight w:val="none"/>
          <w:lang w:val="en-US" w:eastAsia="zh-CN" w:bidi="ar-SA"/>
        </w:rPr>
        <w:t>、按照街道要求做好其他保洁工作。</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r>
        <w:rPr>
          <w:rFonts w:hint="eastAsia" w:ascii="Times New Roman" w:eastAsia="宋体" w:cs="Times New Roman"/>
          <w:color w:val="auto"/>
          <w:kern w:val="2"/>
          <w:sz w:val="24"/>
          <w:szCs w:val="24"/>
          <w:highlight w:val="none"/>
          <w:lang w:val="en-US" w:eastAsia="zh-CN" w:bidi="ar-SA"/>
        </w:rPr>
        <w:t>5</w:t>
      </w:r>
      <w:r>
        <w:rPr>
          <w:rFonts w:hint="eastAsia" w:ascii="Times New Roman" w:hAnsi="Times New Roman" w:eastAsia="宋体" w:cs="Times New Roman"/>
          <w:color w:val="auto"/>
          <w:kern w:val="2"/>
          <w:sz w:val="24"/>
          <w:szCs w:val="24"/>
          <w:highlight w:val="none"/>
          <w:lang w:val="en-US" w:eastAsia="zh-CN" w:bidi="ar-SA"/>
        </w:rPr>
        <w:t>、疫苗接种点产生的垃圾每天清运。</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r>
        <w:rPr>
          <w:rFonts w:hint="eastAsia" w:ascii="Times New Roman" w:eastAsia="宋体" w:cs="Times New Roman"/>
          <w:color w:val="auto"/>
          <w:kern w:val="2"/>
          <w:sz w:val="24"/>
          <w:szCs w:val="24"/>
          <w:highlight w:val="none"/>
          <w:lang w:val="en-US" w:eastAsia="zh-CN" w:bidi="ar-SA"/>
        </w:rPr>
        <w:t>6</w:t>
      </w:r>
      <w:r>
        <w:rPr>
          <w:rFonts w:hint="eastAsia" w:ascii="Times New Roman" w:hAnsi="Times New Roman" w:eastAsia="宋体" w:cs="Times New Roman"/>
          <w:color w:val="auto"/>
          <w:kern w:val="2"/>
          <w:sz w:val="24"/>
          <w:szCs w:val="24"/>
          <w:highlight w:val="none"/>
          <w:lang w:val="en-US" w:eastAsia="zh-CN" w:bidi="ar-SA"/>
        </w:rPr>
        <w:t>、所有保洁人员必须遵守街道方的一切规章制度，认真配合好街道方管理人员的各项工作，街道方对承包方不合理作业程序可以提出修改意见，承包方需无条件服从街道方；如街道方有预料外的迎检任务，承包方必须无偿服从并配合其工作。</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17</w:t>
      </w:r>
      <w:r>
        <w:rPr>
          <w:rFonts w:hint="eastAsia" w:ascii="Times New Roman" w:hAnsi="Times New Roman" w:eastAsia="宋体" w:cs="Times New Roman"/>
          <w:color w:val="auto"/>
          <w:kern w:val="2"/>
          <w:sz w:val="24"/>
          <w:szCs w:val="24"/>
          <w:highlight w:val="none"/>
          <w:lang w:val="en-US" w:eastAsia="zh-CN" w:bidi="ar-SA"/>
        </w:rPr>
        <w:t>、承包方需爱护街道方公共设施，如因承包方人员的失误造成设施损坏的由承包方承担赔偿责任。场所内由于承包方人员造成的设施出现破坏的，中标单位要组织维修人员在2日内完成修复或更换。供水、供电、排水、通风等设备完好，有效保证使用，简单问题的必须12小时以内修复。墙壁、地面、隔断板、洗手台、门窗、便器、开关、手柄、门锁、挂衣钩等设施损坏的必须要在两天内修复或更换。场所内设置的标志保持清洁、完整、规范，如出现破损的，必须在12小时内修复或更换。</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18</w:t>
      </w:r>
      <w:r>
        <w:rPr>
          <w:rFonts w:hint="eastAsia" w:ascii="Times New Roman" w:hAnsi="Times New Roman" w:eastAsia="宋体" w:cs="Times New Roman"/>
          <w:color w:val="auto"/>
          <w:kern w:val="2"/>
          <w:sz w:val="24"/>
          <w:szCs w:val="24"/>
          <w:highlight w:val="none"/>
          <w:lang w:val="en-US" w:eastAsia="zh-CN" w:bidi="ar-SA"/>
        </w:rPr>
        <w:t>、医疗废弃物需要统一收集统一处理。</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19</w:t>
      </w:r>
      <w:r>
        <w:rPr>
          <w:rFonts w:hint="eastAsia" w:ascii="Times New Roman" w:hAnsi="Times New Roman" w:eastAsia="宋体" w:cs="Times New Roman"/>
          <w:color w:val="auto"/>
          <w:kern w:val="2"/>
          <w:sz w:val="24"/>
          <w:szCs w:val="24"/>
          <w:highlight w:val="none"/>
          <w:lang w:val="en-US" w:eastAsia="zh-CN" w:bidi="ar-SA"/>
        </w:rPr>
        <w:t>、若保洁人员发生人生伤害等安全事故与承包方服务内容有直接关联的，相关赔偿责任由承包方承担。（第三方责任事故发生，按国家相关法律法规执行）</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20</w:t>
      </w:r>
      <w:r>
        <w:rPr>
          <w:rFonts w:hint="eastAsia" w:ascii="Times New Roman" w:hAnsi="Times New Roman" w:eastAsia="宋体" w:cs="Times New Roman"/>
          <w:color w:val="auto"/>
          <w:kern w:val="2"/>
          <w:sz w:val="24"/>
          <w:szCs w:val="24"/>
          <w:highlight w:val="none"/>
          <w:lang w:val="en-US" w:eastAsia="zh-CN" w:bidi="ar-SA"/>
        </w:rPr>
        <w:t>、所有与保洁有关的工具购买及其维修均由承包方自行负责，与街道方无关。</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21</w:t>
      </w:r>
      <w:r>
        <w:rPr>
          <w:rFonts w:hint="eastAsia" w:ascii="Times New Roman" w:hAnsi="Times New Roman" w:eastAsia="宋体" w:cs="Times New Roman"/>
          <w:color w:val="auto"/>
          <w:kern w:val="2"/>
          <w:sz w:val="24"/>
          <w:szCs w:val="24"/>
          <w:highlight w:val="none"/>
          <w:lang w:val="en-US" w:eastAsia="zh-CN" w:bidi="ar-SA"/>
        </w:rPr>
        <w:t>、消毒液由中标单位准备，防护用品由疫苗接种点提供。</w:t>
      </w:r>
    </w:p>
    <w:p>
      <w:pPr>
        <w:pStyle w:val="82"/>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22</w:t>
      </w:r>
      <w:r>
        <w:rPr>
          <w:rFonts w:hint="eastAsia" w:ascii="Times New Roman" w:hAnsi="Times New Roman" w:eastAsia="宋体" w:cs="Times New Roman"/>
          <w:color w:val="auto"/>
          <w:kern w:val="2"/>
          <w:sz w:val="24"/>
          <w:szCs w:val="24"/>
          <w:highlight w:val="none"/>
          <w:lang w:val="en-US" w:eastAsia="zh-CN" w:bidi="ar-SA"/>
        </w:rPr>
        <w:t>、承包方中途擅自放弃清扫的，街道有权不支付剩余承包款项。</w:t>
      </w:r>
    </w:p>
    <w:p>
      <w:pPr>
        <w:pStyle w:val="82"/>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eastAsia="宋体" w:cs="Times New Roman"/>
          <w:color w:val="auto"/>
          <w:kern w:val="2"/>
          <w:sz w:val="24"/>
          <w:szCs w:val="24"/>
          <w:highlight w:val="none"/>
          <w:lang w:val="en-US" w:eastAsia="zh-CN" w:bidi="ar-SA"/>
        </w:rPr>
        <w:t>23、具体服务期限按招标人要求执行，按实结算。</w:t>
      </w:r>
    </w:p>
    <w:p>
      <w:pPr>
        <w:pStyle w:val="82"/>
        <w:ind w:firstLine="482" w:firstLineChars="200"/>
        <w:rPr>
          <w:rFonts w:hint="eastAsia" w:ascii="仿宋" w:hAnsi="仿宋" w:eastAsia="仿宋" w:cs="仿宋"/>
          <w:b/>
          <w:color w:val="auto"/>
          <w:kern w:val="0"/>
          <w:sz w:val="24"/>
          <w:szCs w:val="24"/>
          <w:highlight w:val="none"/>
          <w:lang w:val="en-US" w:eastAsia="zh-CN" w:bidi="ar-SA"/>
        </w:rPr>
      </w:pPr>
    </w:p>
    <w:p>
      <w:pPr>
        <w:adjustRightInd w:val="0"/>
        <w:snapToGrid w:val="0"/>
        <w:spacing w:line="600" w:lineRule="exac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四、投标报价说明：</w:t>
      </w:r>
    </w:p>
    <w:p>
      <w:pPr>
        <w:adjustRightInd w:val="0"/>
        <w:snapToGrid w:val="0"/>
        <w:spacing w:line="600" w:lineRule="exac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投标报价包括一年的综合养护费，</w:t>
      </w:r>
      <w:r>
        <w:rPr>
          <w:rFonts w:hint="eastAsia" w:ascii="仿宋" w:hAnsi="仿宋" w:eastAsia="仿宋" w:cs="仿宋"/>
          <w:b/>
          <w:bCs/>
          <w:color w:val="000000"/>
          <w:sz w:val="24"/>
          <w:szCs w:val="24"/>
          <w:highlight w:val="none"/>
        </w:rPr>
        <w:t>人员配备要求：不少于</w:t>
      </w:r>
      <w:r>
        <w:rPr>
          <w:rFonts w:hint="eastAsia" w:ascii="仿宋" w:hAnsi="仿宋" w:eastAsia="仿宋" w:cs="仿宋"/>
          <w:b/>
          <w:bCs/>
          <w:color w:val="000000"/>
          <w:sz w:val="24"/>
          <w:szCs w:val="24"/>
          <w:highlight w:val="none"/>
          <w:lang w:val="en-US" w:eastAsia="zh-CN"/>
        </w:rPr>
        <w:t>178</w:t>
      </w:r>
      <w:r>
        <w:rPr>
          <w:rFonts w:hint="eastAsia" w:ascii="仿宋" w:hAnsi="仿宋" w:eastAsia="仿宋" w:cs="仿宋"/>
          <w:b/>
          <w:bCs/>
          <w:color w:val="000000"/>
          <w:sz w:val="24"/>
          <w:szCs w:val="24"/>
          <w:highlight w:val="none"/>
        </w:rPr>
        <w:t>人。</w:t>
      </w:r>
    </w:p>
    <w:p>
      <w:pPr>
        <w:adjustRightInd w:val="0"/>
        <w:snapToGrid w:val="0"/>
        <w:spacing w:line="400" w:lineRule="atLeas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五、服务标准、考核方式和内容</w:t>
      </w:r>
    </w:p>
    <w:p>
      <w:pPr>
        <w:pStyle w:val="22"/>
        <w:bidi w:val="0"/>
        <w:ind w:left="0" w:leftChars="0" w:firstLine="480" w:firstLineChars="20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1、服务标准主要依据《浙江省城市市容和环境卫生管理条例》（浙江省第十一届人民代表大会常务委员会第五次会议修订）、《杭州市城市市容和环境卫生管理条例》（市人大常委会公告〔2005〕第49号）、《杭州市市政设施管理条例》（市人大常委会公告〔2005〕第52号）、《杭州市环卫保洁单位诚信评价办法》、《关于印发《关于优化完善镇街平台财政体制进一步加强财权事权管理的实施意见》的通知 》（临平政发〔2021〕48号）、关于印发《临平区市政绿化亮灯保洁设施养护标准》的通知（临平城组办〔2022〕9号）、关于印发《临平区城市管理范围内洁化、市政亮化、绿化、序化分级分类及考核办法》的通知（临平城组办〔2022〕7号）执行，如上级主管有新文件的，按新文件执行，（详见附件，以上文件要求不一致时，以标准高的为准）。</w:t>
      </w:r>
    </w:p>
    <w:p>
      <w:pPr>
        <w:adjustRightInd w:val="0"/>
        <w:snapToGrid w:val="0"/>
        <w:spacing w:line="400" w:lineRule="atLeast"/>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各项服务内容运营服务费划分为服务保障费及服务考核费，其中服务保障费占各项服务费的70%，不纳入考核；服务考核费占各项服务费的30%，服务考核费支付与考核结果挂钩，根据各项服务的考核得分进行折算。具体考核办法详见附件。</w:t>
      </w:r>
    </w:p>
    <w:p>
      <w:pPr>
        <w:adjustRightInd w:val="0"/>
        <w:snapToGrid w:val="0"/>
        <w:spacing w:line="400" w:lineRule="atLeast"/>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3、甲方根据考核办法每月组织人员对乙方各项服务内容进行现场单项检查考核，次月5日前未反馈考核情况的视作考核满分。</w:t>
      </w:r>
    </w:p>
    <w:p>
      <w:pPr>
        <w:adjustRightInd w:val="0"/>
        <w:snapToGrid w:val="0"/>
        <w:spacing w:line="400" w:lineRule="atLeast"/>
        <w:rPr>
          <w:rFonts w:hint="eastAsia" w:ascii="仿宋" w:hAnsi="仿宋" w:eastAsia="仿宋" w:cs="仿宋"/>
          <w:bCs/>
          <w:color w:val="000000"/>
          <w:sz w:val="24"/>
          <w:szCs w:val="24"/>
        </w:rPr>
      </w:pPr>
      <w:r>
        <w:rPr>
          <w:rFonts w:hint="eastAsia" w:ascii="仿宋" w:hAnsi="仿宋" w:eastAsia="仿宋" w:cs="仿宋"/>
          <w:bCs/>
          <w:color w:val="000000"/>
          <w:sz w:val="24"/>
          <w:szCs w:val="24"/>
        </w:rPr>
        <w:t>为了鼓励先进，针对区内通报的红榜或优秀提名，在区奖励的基础上，甲方给予同等的加倍奖励。</w:t>
      </w:r>
    </w:p>
    <w:p>
      <w:pPr>
        <w:pStyle w:val="24"/>
        <w:rPr>
          <w:rFonts w:hint="eastAsia" w:ascii="仿宋" w:hAnsi="仿宋" w:eastAsia="仿宋" w:cs="仿宋"/>
          <w:bCs/>
          <w:color w:val="auto"/>
          <w:sz w:val="24"/>
          <w:szCs w:val="24"/>
        </w:rPr>
      </w:pPr>
      <w:r>
        <w:rPr>
          <w:rFonts w:hint="eastAsia" w:ascii="仿宋" w:hAnsi="仿宋" w:eastAsia="仿宋" w:cs="仿宋"/>
          <w:bCs/>
          <w:color w:val="auto"/>
          <w:sz w:val="24"/>
          <w:szCs w:val="24"/>
        </w:rPr>
        <w:t>4、洒水车、扫路车、三位一体车、抑尘车需确保能安装GPS且养护期间GPS轨迹只能显示在标项区域内。</w:t>
      </w:r>
    </w:p>
    <w:p>
      <w:pPr>
        <w:adjustRightInd w:val="0"/>
        <w:snapToGrid w:val="0"/>
        <w:spacing w:line="400" w:lineRule="atLeas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六、资金结算和支付</w:t>
      </w:r>
    </w:p>
    <w:p>
      <w:pPr>
        <w:adjustRightInd w:val="0"/>
        <w:snapToGrid w:val="0"/>
        <w:spacing w:line="400" w:lineRule="atLeast"/>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为确保运营工作正常开展，服务费以季度为结算周期，对每月平均分进行汇总，每个季度期满后的第一个月10日前完成支付。甲方逾期支付服务费用的，按应付费用的日万分之五向乙方支付违约金直至逾期费用付清为止。如遇延期2个月未支付的，乙方有权停止服务。</w:t>
      </w:r>
    </w:p>
    <w:p>
      <w:pPr>
        <w:pStyle w:val="60"/>
        <w:jc w:val="left"/>
        <w:rPr>
          <w:rFonts w:hint="eastAsia" w:ascii="仿宋" w:hAnsi="仿宋" w:eastAsia="仿宋" w:cs="仿宋"/>
          <w:sz w:val="24"/>
          <w:szCs w:val="24"/>
          <w:lang w:val="zh-CN"/>
        </w:rPr>
      </w:pPr>
    </w:p>
    <w:p>
      <w:pPr>
        <w:pStyle w:val="60"/>
        <w:jc w:val="left"/>
        <w:rPr>
          <w:rFonts w:hint="eastAsia" w:ascii="仿宋" w:hAnsi="仿宋" w:eastAsia="仿宋" w:cs="仿宋"/>
          <w:sz w:val="24"/>
          <w:szCs w:val="24"/>
          <w:lang w:val="zh-CN"/>
        </w:rPr>
      </w:pPr>
    </w:p>
    <w:p>
      <w:pPr>
        <w:pStyle w:val="60"/>
        <w:jc w:val="left"/>
        <w:rPr>
          <w:rFonts w:hint="eastAsia" w:ascii="仿宋" w:hAnsi="仿宋" w:eastAsia="仿宋" w:cs="仿宋"/>
          <w:sz w:val="24"/>
          <w:szCs w:val="24"/>
          <w:lang w:val="zh-CN"/>
        </w:rPr>
      </w:pPr>
    </w:p>
    <w:p>
      <w:pPr>
        <w:pStyle w:val="60"/>
        <w:jc w:val="left"/>
        <w:rPr>
          <w:rFonts w:hint="eastAsia" w:ascii="仿宋" w:hAnsi="仿宋" w:eastAsia="仿宋" w:cs="仿宋"/>
          <w:sz w:val="24"/>
          <w:szCs w:val="24"/>
          <w:lang w:val="zh-CN"/>
        </w:rPr>
      </w:pPr>
      <w:r>
        <w:rPr>
          <w:rFonts w:hint="eastAsia" w:ascii="仿宋" w:hAnsi="仿宋" w:eastAsia="仿宋" w:cs="仿宋"/>
          <w:sz w:val="24"/>
          <w:szCs w:val="24"/>
          <w:lang w:val="zh-CN"/>
        </w:rPr>
        <w:t>附件：各项考核标准：（如有新</w:t>
      </w:r>
      <w:r>
        <w:rPr>
          <w:rFonts w:hint="eastAsia" w:ascii="仿宋" w:hAnsi="仿宋" w:eastAsia="仿宋" w:cs="仿宋"/>
          <w:sz w:val="24"/>
          <w:szCs w:val="24"/>
          <w:lang w:val="en-US" w:eastAsia="zh-CN"/>
        </w:rPr>
        <w:t>考核标准</w:t>
      </w:r>
      <w:r>
        <w:rPr>
          <w:rFonts w:hint="eastAsia" w:ascii="仿宋" w:hAnsi="仿宋" w:eastAsia="仿宋" w:cs="仿宋"/>
          <w:sz w:val="24"/>
          <w:szCs w:val="24"/>
          <w:lang w:val="zh-CN"/>
        </w:rPr>
        <w:t>的，按新</w:t>
      </w:r>
      <w:r>
        <w:rPr>
          <w:rFonts w:hint="eastAsia" w:ascii="仿宋" w:hAnsi="仿宋" w:eastAsia="仿宋" w:cs="仿宋"/>
          <w:sz w:val="24"/>
          <w:szCs w:val="24"/>
          <w:lang w:val="en-US" w:eastAsia="zh-CN"/>
        </w:rPr>
        <w:t>考核标准</w:t>
      </w:r>
      <w:r>
        <w:rPr>
          <w:rFonts w:hint="eastAsia" w:ascii="仿宋" w:hAnsi="仿宋" w:eastAsia="仿宋" w:cs="仿宋"/>
          <w:sz w:val="24"/>
          <w:szCs w:val="24"/>
          <w:lang w:val="zh-CN"/>
        </w:rPr>
        <w:t>执行）</w:t>
      </w:r>
    </w:p>
    <w:p>
      <w:pPr>
        <w:pStyle w:val="60"/>
        <w:jc w:val="left"/>
        <w:rPr>
          <w:rFonts w:hint="eastAsia" w:ascii="仿宋" w:hAnsi="仿宋" w:eastAsia="仿宋" w:cs="仿宋"/>
          <w:sz w:val="24"/>
          <w:szCs w:val="24"/>
        </w:rPr>
      </w:pPr>
      <w:r>
        <w:rPr>
          <w:rFonts w:hint="eastAsia" w:ascii="仿宋" w:hAnsi="仿宋" w:eastAsia="仿宋" w:cs="仿宋"/>
          <w:sz w:val="24"/>
          <w:szCs w:val="24"/>
        </w:rPr>
        <w:t>（1）环卫道路清扫考核标准</w:t>
      </w:r>
    </w:p>
    <w:p>
      <w:pPr>
        <w:rPr>
          <w:rFonts w:hint="eastAsia" w:ascii="仿宋" w:hAnsi="仿宋" w:eastAsia="仿宋" w:cs="仿宋"/>
          <w:b/>
          <w:bCs/>
          <w:sz w:val="24"/>
          <w:szCs w:val="24"/>
        </w:rPr>
      </w:pPr>
      <w:r>
        <w:rPr>
          <w:rFonts w:hint="eastAsia" w:ascii="仿宋" w:hAnsi="仿宋" w:eastAsia="仿宋" w:cs="仿宋"/>
          <w:b/>
          <w:bCs/>
          <w:sz w:val="24"/>
          <w:szCs w:val="24"/>
        </w:rPr>
        <w:t>考核要求及方式：</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为促进乔司街道城市管理提升，加强各管养单位的工作能力，现对乔司街道下属管养单位制定考核方案。</w:t>
      </w:r>
    </w:p>
    <w:p>
      <w:pPr>
        <w:rPr>
          <w:rFonts w:hint="eastAsia" w:ascii="仿宋" w:hAnsi="仿宋" w:eastAsia="仿宋" w:cs="仿宋"/>
          <w:sz w:val="24"/>
          <w:szCs w:val="24"/>
        </w:rPr>
      </w:pPr>
      <w:r>
        <w:rPr>
          <w:rFonts w:hint="eastAsia" w:ascii="仿宋" w:hAnsi="仿宋" w:eastAsia="仿宋" w:cs="仿宋"/>
          <w:b/>
          <w:bCs/>
          <w:sz w:val="24"/>
          <w:szCs w:val="24"/>
        </w:rPr>
        <w:t xml:space="preserve">    1.考核成绩计算</w:t>
      </w:r>
    </w:p>
    <w:p>
      <w:pPr>
        <w:ind w:firstLine="482" w:firstLineChars="200"/>
        <w:rPr>
          <w:rFonts w:hint="eastAsia" w:ascii="仿宋" w:hAnsi="仿宋" w:eastAsia="仿宋" w:cs="仿宋"/>
          <w:sz w:val="24"/>
          <w:szCs w:val="24"/>
        </w:rPr>
      </w:pPr>
      <w:r>
        <w:rPr>
          <w:rFonts w:hint="eastAsia" w:ascii="仿宋" w:hAnsi="仿宋" w:eastAsia="仿宋" w:cs="仿宋"/>
          <w:b/>
          <w:bCs/>
          <w:sz w:val="24"/>
          <w:szCs w:val="24"/>
        </w:rPr>
        <w:t>城市化区域内</w:t>
      </w:r>
      <w:r>
        <w:rPr>
          <w:rFonts w:hint="eastAsia" w:ascii="仿宋" w:hAnsi="仿宋" w:eastAsia="仿宋" w:cs="仿宋"/>
          <w:sz w:val="24"/>
          <w:szCs w:val="24"/>
        </w:rPr>
        <w:t>管养单位（市政、绿化、保洁单位）月度成绩=街道巡查队伍自查成绩（占50%）+社区评价成绩（10%）+区级综合普查件成绩（占40%）</w:t>
      </w:r>
    </w:p>
    <w:p>
      <w:pPr>
        <w:ind w:firstLine="482" w:firstLineChars="200"/>
        <w:rPr>
          <w:rFonts w:hint="eastAsia" w:ascii="仿宋" w:hAnsi="仿宋" w:eastAsia="仿宋" w:cs="仿宋"/>
          <w:sz w:val="24"/>
          <w:szCs w:val="24"/>
        </w:rPr>
      </w:pPr>
      <w:r>
        <w:rPr>
          <w:rFonts w:hint="eastAsia" w:ascii="仿宋" w:hAnsi="仿宋" w:eastAsia="仿宋" w:cs="仿宋"/>
          <w:b/>
          <w:bCs/>
          <w:sz w:val="24"/>
          <w:szCs w:val="24"/>
        </w:rPr>
        <w:t>城市化区域外</w:t>
      </w:r>
      <w:r>
        <w:rPr>
          <w:rFonts w:hint="eastAsia" w:ascii="仿宋" w:hAnsi="仿宋" w:eastAsia="仿宋" w:cs="仿宋"/>
          <w:sz w:val="24"/>
          <w:szCs w:val="24"/>
        </w:rPr>
        <w:t>管养单位（市政、绿化、保洁单位）道路考核月度成绩=街道巡查队伍自查成绩（占60%）+区级综合普查件成绩（占40%）</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街道巡查队伍自查问题扣分细则详见附件二，区级综合普查件问题按照A、B、C问题进行扣分，A类问题扣1分，B类问题扣2分，C类问题扣3分。</w:t>
      </w:r>
    </w:p>
    <w:p>
      <w:pPr>
        <w:ind w:left="420" w:leftChars="200"/>
        <w:rPr>
          <w:rFonts w:hint="eastAsia" w:ascii="仿宋" w:hAnsi="仿宋" w:eastAsia="仿宋" w:cs="仿宋"/>
          <w:b/>
          <w:bCs/>
          <w:sz w:val="24"/>
          <w:szCs w:val="24"/>
        </w:rPr>
      </w:pPr>
      <w:r>
        <w:rPr>
          <w:rFonts w:hint="eastAsia" w:ascii="仿宋" w:hAnsi="仿宋" w:eastAsia="仿宋" w:cs="仿宋"/>
          <w:b/>
          <w:bCs/>
          <w:sz w:val="24"/>
          <w:szCs w:val="24"/>
        </w:rPr>
        <w:t xml:space="preserve"> 2.成绩排名奖惩机制：</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经街道部门会议决定，将管养单位（绿化、保洁单位）招标费用的30%作为考核费用。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考核奖=管养单位考核成绩*1%*考核费用</w:t>
      </w:r>
    </w:p>
    <w:p>
      <w:pPr>
        <w:rPr>
          <w:rFonts w:hint="eastAsia" w:ascii="仿宋" w:hAnsi="仿宋" w:eastAsia="仿宋" w:cs="仿宋"/>
          <w:sz w:val="24"/>
          <w:szCs w:val="24"/>
        </w:rPr>
      </w:pPr>
      <w:r>
        <w:rPr>
          <w:rFonts w:hint="eastAsia" w:ascii="仿宋" w:hAnsi="仿宋" w:eastAsia="仿宋" w:cs="仿宋"/>
          <w:sz w:val="24"/>
          <w:szCs w:val="24"/>
        </w:rPr>
        <w:t xml:space="preserve">    每月城市管理考核成绩出来后，对各单项考核成绩进行排名，在扣分奖罚机制上，排名第一可免除扣分，排名第二加2分后乘0.4系数，排名第三加1分后乘0.8系数，排名第四正常扣分不加分不减分，排名第五再扣1分后乘1.2系数，排名第六再扣2分后乘1.4系数，排名第七再扣3分后乘1.8系数，排名第八再扣4分后乘2.0系数。</w:t>
      </w:r>
    </w:p>
    <w:p>
      <w:pPr>
        <w:ind w:left="420" w:leftChars="200"/>
        <w:rPr>
          <w:rFonts w:hint="eastAsia" w:ascii="仿宋" w:hAnsi="仿宋" w:eastAsia="仿宋" w:cs="仿宋"/>
          <w:b/>
          <w:bCs/>
          <w:sz w:val="24"/>
          <w:szCs w:val="24"/>
        </w:rPr>
      </w:pPr>
      <w:r>
        <w:rPr>
          <w:rFonts w:hint="eastAsia" w:ascii="仿宋" w:hAnsi="仿宋" w:eastAsia="仿宋" w:cs="仿宋"/>
          <w:b/>
          <w:bCs/>
          <w:sz w:val="24"/>
          <w:szCs w:val="24"/>
        </w:rPr>
        <w:t xml:space="preserve">  3.直接奖罚机制：</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市政单位月度考核成绩出来后，95分-90分扣1000元，90分-85分扣2000元，85分-75分扣3500元，75分-60分扣5000元，60分以下扣10000元</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牛皮癣月度成绩出来后，95分-90分扣1000元，90分-85分扣2000元，85分-75分扣3500元，75分-60分扣5000元，60分以下扣10000元</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领导交办件：街道交办一个点位问题扣2000元，区级交办一个点位问题扣4000元，市级交办一个点位问题扣6000元。</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市级抄告单：市级抄告单问题每扣一分罚款1000元</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区、市级红黑榜：管养单位区级红榜奖励10000元，市级红榜奖励20000元；区级黑榜罚款20000元，市级黑榜罚款40000元。</w:t>
      </w:r>
    </w:p>
    <w:p>
      <w:pPr>
        <w:pStyle w:val="60"/>
        <w:jc w:val="left"/>
        <w:rPr>
          <w:rFonts w:hint="eastAsia" w:ascii="仿宋" w:hAnsi="仿宋" w:eastAsia="仿宋" w:cs="仿宋"/>
          <w:sz w:val="24"/>
          <w:szCs w:val="24"/>
        </w:rPr>
      </w:pPr>
      <w:r>
        <w:rPr>
          <w:rFonts w:hint="eastAsia" w:ascii="仿宋" w:hAnsi="仿宋" w:eastAsia="仿宋" w:cs="仿宋"/>
          <w:b w:val="0"/>
          <w:sz w:val="24"/>
          <w:szCs w:val="24"/>
        </w:rPr>
        <w:t>问题点位媒体曝光：媒体平台(区城管局、市城管局微信公众号，新闻媒体）区级问题曝光扣20000元，市级问题曝光扣30000元，省级问题曝光扣40000元。</w:t>
      </w:r>
    </w:p>
    <w:p>
      <w:pPr>
        <w:jc w:val="left"/>
        <w:rPr>
          <w:rFonts w:hint="eastAsia" w:ascii="仿宋" w:hAnsi="仿宋" w:eastAsia="仿宋" w:cs="仿宋"/>
          <w:sz w:val="24"/>
          <w:szCs w:val="24"/>
        </w:rPr>
      </w:pPr>
      <w:r>
        <w:rPr>
          <w:rFonts w:hint="eastAsia" w:ascii="仿宋" w:hAnsi="仿宋" w:eastAsia="仿宋" w:cs="仿宋"/>
          <w:b/>
          <w:bCs/>
          <w:sz w:val="24"/>
          <w:szCs w:val="24"/>
        </w:rPr>
        <w:t xml:space="preserve">  </w:t>
      </w:r>
      <w:r>
        <w:rPr>
          <w:rFonts w:hint="eastAsia" w:ascii="仿宋" w:hAnsi="仿宋" w:eastAsia="仿宋" w:cs="仿宋"/>
          <w:b/>
          <w:sz w:val="24"/>
          <w:szCs w:val="24"/>
        </w:rPr>
        <w:t>保洁单位考核评分细则</w:t>
      </w:r>
      <w:r>
        <w:rPr>
          <w:rFonts w:hint="eastAsia" w:ascii="仿宋" w:hAnsi="仿宋" w:eastAsia="仿宋" w:cs="仿宋"/>
          <w:b/>
          <w:bCs/>
          <w:sz w:val="24"/>
          <w:szCs w:val="24"/>
        </w:rPr>
        <w:t xml:space="preserve">            </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40"/>
        <w:gridCol w:w="703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60"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考核项目</w:t>
            </w:r>
          </w:p>
        </w:tc>
        <w:tc>
          <w:tcPr>
            <w:tcW w:w="740"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项目  内容</w:t>
            </w:r>
          </w:p>
        </w:tc>
        <w:tc>
          <w:tcPr>
            <w:tcW w:w="7030"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788"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考核</w:t>
            </w:r>
          </w:p>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060" w:type="dxa"/>
            <w:vMerge w:val="restart"/>
            <w:shd w:val="clear" w:color="auto" w:fill="auto"/>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道路清扫保洁（70分）</w:t>
            </w:r>
          </w:p>
        </w:tc>
        <w:tc>
          <w:tcPr>
            <w:tcW w:w="740" w:type="dxa"/>
            <w:shd w:val="clear" w:color="auto" w:fill="auto"/>
            <w:noWrap w:val="0"/>
            <w:vAlign w:val="center"/>
          </w:tcPr>
          <w:p>
            <w:pPr>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日常 保洁</w:t>
            </w:r>
          </w:p>
        </w:tc>
        <w:tc>
          <w:tcPr>
            <w:tcW w:w="7030" w:type="dxa"/>
            <w:shd w:val="clear" w:color="auto" w:fill="FFFFFF"/>
            <w:noWrap w:val="0"/>
            <w:vAlign w:val="center"/>
          </w:tcPr>
          <w:p>
            <w:pPr>
              <w:numPr>
                <w:ilvl w:val="0"/>
                <w:numId w:val="2"/>
              </w:numPr>
              <w:spacing w:line="260" w:lineRule="exact"/>
              <w:rPr>
                <w:rFonts w:hint="eastAsia" w:ascii="仿宋" w:hAnsi="仿宋" w:eastAsia="仿宋" w:cs="仿宋"/>
                <w:sz w:val="24"/>
                <w:szCs w:val="24"/>
              </w:rPr>
            </w:pPr>
            <w:r>
              <w:rPr>
                <w:rFonts w:hint="eastAsia" w:ascii="仿宋" w:hAnsi="仿宋" w:eastAsia="仿宋" w:cs="仿宋"/>
                <w:sz w:val="24"/>
                <w:szCs w:val="24"/>
              </w:rPr>
              <w:t>未在规定时间内普扫的每条扣5分，未全路段普扫的每条扣3分，机扫路面后垃圾未吸净而形成条或小堆的或清扫时将垃圾扫入窨井、雨水井、绿地等，扣3分；恶劣天气下，应急保障不力的扣3分。2.</w:t>
            </w:r>
            <w:r>
              <w:rPr>
                <w:rFonts w:hint="eastAsia" w:ascii="仿宋" w:hAnsi="仿宋" w:eastAsia="仿宋" w:cs="仿宋"/>
                <w:kern w:val="0"/>
                <w:sz w:val="24"/>
                <w:szCs w:val="24"/>
              </w:rPr>
              <w:t>日常保洁及道路红线外3米范围内</w:t>
            </w:r>
            <w:r>
              <w:rPr>
                <w:rFonts w:hint="eastAsia" w:ascii="仿宋" w:hAnsi="仿宋" w:eastAsia="仿宋" w:cs="仿宋"/>
                <w:sz w:val="24"/>
                <w:szCs w:val="24"/>
              </w:rPr>
              <w:t>不符合环卫保洁要求每处扣1-5分，其中，道路路面、绿化带、树圈等有有色垃圾、烟蒂的，5处以上的（含）扣2分，5处以下3处以上的扣1.5分，3处以下的（含）扣1分；有卫生死角、道路外成堆暴露垃圾（0.5平方米以上）未清理每处扣5分；路面积泥（砂石）长度超过20米（含）的每处扣5分，10米以上（含）扣3分；道路侧石积尘0.5厘米（含）以上扣5分，0.2厘米（含）以上扣3分，0.1厘米（含）以上扣2分，路面污渍、污水（2平方米以内）每处扣1.5分，2平方米以上（含）扣3分；晴天道路明显积水、路面雨水井沟眼堵塞、有积泥（嵌石）每处扣2分；清扫保洁作业不规范导致路面扬尘的扣5分；道路两侧有乱涂写、乱张贴的每处扣1分。</w:t>
            </w:r>
          </w:p>
        </w:tc>
        <w:tc>
          <w:tcPr>
            <w:tcW w:w="788" w:type="dxa"/>
            <w:vMerge w:val="restart"/>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060" w:type="dxa"/>
            <w:vMerge w:val="continue"/>
            <w:shd w:val="clear" w:color="auto" w:fill="auto"/>
            <w:noWrap w:val="0"/>
            <w:vAlign w:val="center"/>
          </w:tcPr>
          <w:p>
            <w:pPr>
              <w:spacing w:line="300" w:lineRule="exact"/>
              <w:jc w:val="center"/>
              <w:rPr>
                <w:rFonts w:hint="eastAsia" w:ascii="仿宋" w:hAnsi="仿宋" w:eastAsia="仿宋" w:cs="仿宋"/>
                <w:sz w:val="24"/>
                <w:szCs w:val="24"/>
              </w:rPr>
            </w:pPr>
          </w:p>
        </w:tc>
        <w:tc>
          <w:tcPr>
            <w:tcW w:w="740" w:type="dxa"/>
            <w:shd w:val="clear" w:color="auto" w:fill="auto"/>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车辆 管理</w:t>
            </w:r>
          </w:p>
        </w:tc>
        <w:tc>
          <w:tcPr>
            <w:tcW w:w="7030" w:type="dxa"/>
            <w:shd w:val="clear" w:color="auto" w:fill="FFFFFF"/>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未按照规定进行洒水、机扫、清洗的每次扣2分；机扫车、洒水车未按规定使用警示灯、提示音每次扣2分。</w:t>
            </w:r>
          </w:p>
        </w:tc>
        <w:tc>
          <w:tcPr>
            <w:tcW w:w="788" w:type="dxa"/>
            <w:vMerge w:val="continue"/>
            <w:noWrap w:val="0"/>
            <w:vAlign w:val="center"/>
          </w:tcPr>
          <w:p>
            <w:pPr>
              <w:spacing w:line="3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1060" w:type="dxa"/>
            <w:vMerge w:val="restart"/>
            <w:shd w:val="clear" w:color="auto" w:fill="auto"/>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垃圾收集清运处置（10分）</w:t>
            </w:r>
          </w:p>
        </w:tc>
        <w:tc>
          <w:tcPr>
            <w:tcW w:w="740" w:type="dxa"/>
            <w:shd w:val="clear" w:color="auto" w:fill="auto"/>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收运 处置</w:t>
            </w:r>
          </w:p>
        </w:tc>
        <w:tc>
          <w:tcPr>
            <w:tcW w:w="7030" w:type="dxa"/>
            <w:shd w:val="clear" w:color="auto" w:fill="FFFFFF"/>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发现垃圾不按规定时间处置一处扣5分，如垃圾未倒入指定地点、焚烧垃圾等。</w:t>
            </w:r>
          </w:p>
        </w:tc>
        <w:tc>
          <w:tcPr>
            <w:tcW w:w="788"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060" w:type="dxa"/>
            <w:vMerge w:val="continue"/>
            <w:shd w:val="clear" w:color="auto" w:fill="auto"/>
            <w:noWrap w:val="0"/>
            <w:vAlign w:val="center"/>
          </w:tcPr>
          <w:p>
            <w:pPr>
              <w:spacing w:line="300" w:lineRule="exact"/>
              <w:jc w:val="center"/>
              <w:rPr>
                <w:rFonts w:hint="eastAsia" w:ascii="仿宋" w:hAnsi="仿宋" w:eastAsia="仿宋" w:cs="仿宋"/>
                <w:sz w:val="24"/>
                <w:szCs w:val="24"/>
              </w:rPr>
            </w:pPr>
          </w:p>
        </w:tc>
        <w:tc>
          <w:tcPr>
            <w:tcW w:w="740" w:type="dxa"/>
            <w:shd w:val="clear" w:color="auto" w:fill="auto"/>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车辆 管理</w:t>
            </w:r>
          </w:p>
        </w:tc>
        <w:tc>
          <w:tcPr>
            <w:tcW w:w="7030" w:type="dxa"/>
            <w:shd w:val="clear" w:color="auto" w:fill="FFFFFF"/>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环卫专用车辆维护不到位每次扣2分；垃圾清运车发生抛洒滴漏、垃圾吊挂等每次扣5分。</w:t>
            </w:r>
          </w:p>
        </w:tc>
        <w:tc>
          <w:tcPr>
            <w:tcW w:w="788"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60" w:type="dxa"/>
            <w:vMerge w:val="restart"/>
            <w:shd w:val="clear" w:color="auto" w:fill="auto"/>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环卫</w:t>
            </w:r>
          </w:p>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设施</w:t>
            </w:r>
          </w:p>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（10分）</w:t>
            </w:r>
          </w:p>
        </w:tc>
        <w:tc>
          <w:tcPr>
            <w:tcW w:w="740" w:type="dxa"/>
            <w:shd w:val="clear" w:color="auto" w:fill="auto"/>
            <w:noWrap w:val="0"/>
            <w:vAlign w:val="center"/>
          </w:tcPr>
          <w:p>
            <w:pPr>
              <w:spacing w:line="300" w:lineRule="exact"/>
              <w:jc w:val="center"/>
              <w:rPr>
                <w:rFonts w:hint="eastAsia" w:ascii="仿宋" w:hAnsi="仿宋" w:eastAsia="仿宋" w:cs="仿宋"/>
                <w:spacing w:val="-4"/>
                <w:sz w:val="24"/>
                <w:szCs w:val="24"/>
              </w:rPr>
            </w:pPr>
            <w:r>
              <w:rPr>
                <w:rFonts w:hint="eastAsia" w:ascii="仿宋" w:hAnsi="仿宋" w:eastAsia="仿宋" w:cs="仿宋"/>
                <w:spacing w:val="-4"/>
                <w:sz w:val="24"/>
                <w:szCs w:val="24"/>
              </w:rPr>
              <w:t>垃圾收集设施</w:t>
            </w:r>
          </w:p>
        </w:tc>
        <w:tc>
          <w:tcPr>
            <w:tcW w:w="7030" w:type="dxa"/>
            <w:tcBorders>
              <w:bottom w:val="single" w:color="auto" w:sz="4" w:space="0"/>
            </w:tcBorders>
            <w:shd w:val="clear" w:color="auto" w:fill="FFFFFF"/>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垃圾收集设施设置不规范每处扣2分。垃圾收集设施出现内外不洁、满溢等每处扣1.5分；垃圾收集设施破损每处扣2分。</w:t>
            </w:r>
          </w:p>
        </w:tc>
        <w:tc>
          <w:tcPr>
            <w:tcW w:w="788" w:type="dxa"/>
            <w:tcBorders>
              <w:bottom w:val="single" w:color="auto" w:sz="4" w:space="0"/>
            </w:tcBorders>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1060" w:type="dxa"/>
            <w:vMerge w:val="continue"/>
            <w:shd w:val="clear" w:color="auto" w:fill="auto"/>
            <w:noWrap w:val="0"/>
            <w:vAlign w:val="center"/>
          </w:tcPr>
          <w:p>
            <w:pPr>
              <w:spacing w:line="300" w:lineRule="exact"/>
              <w:jc w:val="center"/>
              <w:rPr>
                <w:rFonts w:hint="eastAsia" w:ascii="仿宋" w:hAnsi="仿宋" w:eastAsia="仿宋" w:cs="仿宋"/>
                <w:sz w:val="24"/>
                <w:szCs w:val="24"/>
              </w:rPr>
            </w:pPr>
          </w:p>
        </w:tc>
        <w:tc>
          <w:tcPr>
            <w:tcW w:w="740" w:type="dxa"/>
            <w:shd w:val="clear" w:color="auto" w:fill="auto"/>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垃圾中转站管理</w:t>
            </w:r>
          </w:p>
        </w:tc>
        <w:tc>
          <w:tcPr>
            <w:tcW w:w="7030" w:type="dxa"/>
            <w:shd w:val="clear" w:color="auto" w:fill="FFFFFF"/>
            <w:noWrap w:val="0"/>
            <w:vAlign w:val="center"/>
          </w:tcPr>
          <w:p>
            <w:pPr>
              <w:spacing w:line="300" w:lineRule="exact"/>
              <w:rPr>
                <w:rFonts w:hint="eastAsia" w:ascii="仿宋" w:hAnsi="仿宋" w:eastAsia="仿宋" w:cs="仿宋"/>
                <w:sz w:val="24"/>
                <w:szCs w:val="24"/>
              </w:rPr>
            </w:pPr>
            <w:r>
              <w:rPr>
                <w:rFonts w:hint="eastAsia" w:ascii="仿宋" w:hAnsi="仿宋" w:eastAsia="仿宋" w:cs="仿宋"/>
                <w:kern w:val="0"/>
                <w:sz w:val="24"/>
                <w:szCs w:val="24"/>
              </w:rPr>
              <w:t>管理制度、操作制度缺失，设施设备缺损每处扣2分。日常保洁不到位每处扣2分，如垃圾未日产日清、内外环境不洁、堆放杂物等。</w:t>
            </w:r>
          </w:p>
        </w:tc>
        <w:tc>
          <w:tcPr>
            <w:tcW w:w="788"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60" w:type="dxa"/>
            <w:vMerge w:val="restart"/>
            <w:shd w:val="clear" w:color="auto" w:fill="auto"/>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安全监督及抄告单处置</w:t>
            </w:r>
          </w:p>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（10分）</w:t>
            </w:r>
          </w:p>
        </w:tc>
        <w:tc>
          <w:tcPr>
            <w:tcW w:w="740" w:type="dxa"/>
            <w:shd w:val="clear" w:color="auto" w:fill="auto"/>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kern w:val="0"/>
                <w:sz w:val="24"/>
                <w:szCs w:val="24"/>
              </w:rPr>
              <w:t>安全 管理</w:t>
            </w:r>
          </w:p>
        </w:tc>
        <w:tc>
          <w:tcPr>
            <w:tcW w:w="7030" w:type="dxa"/>
            <w:shd w:val="clear" w:color="auto" w:fill="FFFFFF"/>
            <w:noWrap w:val="0"/>
            <w:vAlign w:val="center"/>
          </w:tcPr>
          <w:p>
            <w:pPr>
              <w:spacing w:line="300" w:lineRule="exact"/>
              <w:rPr>
                <w:rFonts w:hint="eastAsia" w:ascii="仿宋" w:hAnsi="仿宋" w:eastAsia="仿宋" w:cs="仿宋"/>
                <w:sz w:val="24"/>
                <w:szCs w:val="24"/>
              </w:rPr>
            </w:pPr>
            <w:r>
              <w:rPr>
                <w:rFonts w:hint="eastAsia" w:ascii="仿宋" w:hAnsi="仿宋" w:eastAsia="仿宋" w:cs="仿宋"/>
                <w:kern w:val="0"/>
                <w:sz w:val="24"/>
                <w:szCs w:val="24"/>
              </w:rPr>
              <w:t>环卫工人未按规定着装、不遵守交通规则、未文明规范作业，环卫车辆未设置反光标识每处</w:t>
            </w:r>
            <w:r>
              <w:rPr>
                <w:rFonts w:hint="eastAsia" w:ascii="仿宋" w:hAnsi="仿宋" w:eastAsia="仿宋" w:cs="仿宋"/>
                <w:sz w:val="24"/>
                <w:szCs w:val="24"/>
              </w:rPr>
              <w:t>扣2分</w:t>
            </w:r>
            <w:r>
              <w:rPr>
                <w:rFonts w:hint="eastAsia" w:ascii="仿宋" w:hAnsi="仿宋" w:eastAsia="仿宋" w:cs="仿宋"/>
                <w:kern w:val="0"/>
                <w:sz w:val="24"/>
                <w:szCs w:val="24"/>
              </w:rPr>
              <w:t>。</w:t>
            </w:r>
            <w:r>
              <w:rPr>
                <w:rFonts w:hint="eastAsia" w:ascii="仿宋" w:hAnsi="仿宋" w:eastAsia="仿宋" w:cs="仿宋"/>
                <w:sz w:val="24"/>
                <w:szCs w:val="24"/>
              </w:rPr>
              <w:t>因上述原因造成安全事故未上报扣2分。</w:t>
            </w:r>
          </w:p>
        </w:tc>
        <w:tc>
          <w:tcPr>
            <w:tcW w:w="788"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1060" w:type="dxa"/>
            <w:vMerge w:val="continue"/>
            <w:shd w:val="clear" w:color="auto" w:fill="auto"/>
            <w:noWrap w:val="0"/>
            <w:vAlign w:val="center"/>
          </w:tcPr>
          <w:p>
            <w:pPr>
              <w:spacing w:line="300" w:lineRule="exact"/>
              <w:rPr>
                <w:rFonts w:hint="eastAsia" w:ascii="仿宋" w:hAnsi="仿宋" w:eastAsia="仿宋" w:cs="仿宋"/>
                <w:sz w:val="24"/>
                <w:szCs w:val="24"/>
              </w:rPr>
            </w:pPr>
          </w:p>
        </w:tc>
        <w:tc>
          <w:tcPr>
            <w:tcW w:w="740" w:type="dxa"/>
            <w:shd w:val="clear" w:color="auto" w:fill="auto"/>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kern w:val="0"/>
                <w:sz w:val="24"/>
                <w:szCs w:val="24"/>
              </w:rPr>
              <w:t>公众 监督</w:t>
            </w:r>
          </w:p>
        </w:tc>
        <w:tc>
          <w:tcPr>
            <w:tcW w:w="7030" w:type="dxa"/>
            <w:shd w:val="clear" w:color="auto" w:fill="FFFFFF"/>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区级媒体曝光、信访处置不力等扣2分。</w:t>
            </w:r>
          </w:p>
        </w:tc>
        <w:tc>
          <w:tcPr>
            <w:tcW w:w="788"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1060" w:type="dxa"/>
            <w:vMerge w:val="continue"/>
            <w:noWrap w:val="0"/>
            <w:vAlign w:val="center"/>
          </w:tcPr>
          <w:p>
            <w:pPr>
              <w:spacing w:line="300" w:lineRule="exact"/>
              <w:rPr>
                <w:rFonts w:hint="eastAsia" w:ascii="仿宋" w:hAnsi="仿宋" w:eastAsia="仿宋" w:cs="仿宋"/>
                <w:sz w:val="24"/>
                <w:szCs w:val="24"/>
              </w:rPr>
            </w:pPr>
          </w:p>
        </w:tc>
        <w:tc>
          <w:tcPr>
            <w:tcW w:w="740"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kern w:val="0"/>
                <w:sz w:val="24"/>
                <w:szCs w:val="24"/>
              </w:rPr>
              <w:t>检查 监督</w:t>
            </w:r>
          </w:p>
        </w:tc>
        <w:tc>
          <w:tcPr>
            <w:tcW w:w="7030" w:type="dxa"/>
            <w:noWrap w:val="0"/>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市查、区查</w:t>
            </w:r>
            <w:r>
              <w:rPr>
                <w:rFonts w:hint="eastAsia" w:ascii="仿宋" w:hAnsi="仿宋" w:eastAsia="仿宋" w:cs="仿宋"/>
                <w:kern w:val="0"/>
                <w:sz w:val="24"/>
                <w:szCs w:val="24"/>
              </w:rPr>
              <w:t>的</w:t>
            </w:r>
            <w:r>
              <w:rPr>
                <w:rFonts w:hint="eastAsia" w:ascii="仿宋" w:hAnsi="仿宋" w:eastAsia="仿宋" w:cs="仿宋"/>
                <w:spacing w:val="-8"/>
                <w:sz w:val="24"/>
                <w:szCs w:val="24"/>
              </w:rPr>
              <w:t>涉及属地管辖内所有市容的</w:t>
            </w:r>
            <w:r>
              <w:rPr>
                <w:rFonts w:hint="eastAsia" w:ascii="仿宋" w:hAnsi="仿宋" w:eastAsia="仿宋" w:cs="仿宋"/>
                <w:kern w:val="0"/>
                <w:sz w:val="24"/>
                <w:szCs w:val="24"/>
              </w:rPr>
              <w:t>有责抄告及信访问题，</w:t>
            </w:r>
            <w:r>
              <w:rPr>
                <w:rFonts w:hint="eastAsia" w:ascii="仿宋" w:hAnsi="仿宋" w:eastAsia="仿宋" w:cs="仿宋"/>
                <w:sz w:val="24"/>
                <w:szCs w:val="24"/>
              </w:rPr>
              <w:t>每发生1件扣扣1分，整改不到位扣2分，二次抄告扣2.5分，整改不到位扣5分，三次抄告扣5分。</w:t>
            </w:r>
          </w:p>
        </w:tc>
        <w:tc>
          <w:tcPr>
            <w:tcW w:w="788" w:type="dxa"/>
            <w:noWrap w:val="0"/>
            <w:vAlign w:val="center"/>
          </w:tcPr>
          <w:p>
            <w:pPr>
              <w:spacing w:line="3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7" w:hRule="atLeast"/>
          <w:jc w:val="center"/>
        </w:trPr>
        <w:tc>
          <w:tcPr>
            <w:tcW w:w="1800" w:type="dxa"/>
            <w:gridSpan w:val="2"/>
            <w:noWrap w:val="0"/>
            <w:vAlign w:val="center"/>
          </w:tcPr>
          <w:p>
            <w:pPr>
              <w:widowControl/>
              <w:spacing w:line="300" w:lineRule="exact"/>
              <w:jc w:val="center"/>
              <w:rPr>
                <w:rFonts w:hint="eastAsia" w:ascii="仿宋" w:hAnsi="仿宋" w:eastAsia="仿宋" w:cs="仿宋"/>
                <w:sz w:val="24"/>
                <w:szCs w:val="24"/>
              </w:rPr>
            </w:pPr>
            <w:r>
              <w:rPr>
                <w:rFonts w:hint="eastAsia" w:ascii="仿宋" w:hAnsi="仿宋" w:eastAsia="仿宋" w:cs="仿宋"/>
                <w:sz w:val="24"/>
                <w:szCs w:val="24"/>
              </w:rPr>
              <w:t>备注</w:t>
            </w:r>
          </w:p>
        </w:tc>
        <w:tc>
          <w:tcPr>
            <w:tcW w:w="7030" w:type="dxa"/>
            <w:noWrap w:val="0"/>
            <w:vAlign w:val="center"/>
          </w:tcPr>
          <w:p>
            <w:pPr>
              <w:widowControl/>
              <w:spacing w:line="300" w:lineRule="exact"/>
              <w:rPr>
                <w:rFonts w:hint="eastAsia" w:ascii="仿宋" w:hAnsi="仿宋" w:eastAsia="仿宋" w:cs="仿宋"/>
                <w:sz w:val="24"/>
                <w:szCs w:val="24"/>
              </w:rPr>
            </w:pPr>
            <w:r>
              <w:rPr>
                <w:rFonts w:hint="eastAsia" w:ascii="仿宋" w:hAnsi="仿宋" w:eastAsia="仿宋" w:cs="仿宋"/>
                <w:sz w:val="24"/>
                <w:szCs w:val="24"/>
              </w:rPr>
              <w:t>1.未尽事宜，当月可视情况酌情</w:t>
            </w:r>
            <w:r>
              <w:rPr>
                <w:rFonts w:hint="eastAsia" w:ascii="仿宋" w:hAnsi="仿宋" w:eastAsia="仿宋" w:cs="仿宋"/>
                <w:kern w:val="0"/>
                <w:sz w:val="24"/>
                <w:szCs w:val="24"/>
              </w:rPr>
              <w:t>加、扣1-5分。</w:t>
            </w:r>
          </w:p>
          <w:p>
            <w:pPr>
              <w:widowControl/>
              <w:spacing w:line="300" w:lineRule="exact"/>
              <w:rPr>
                <w:rFonts w:hint="eastAsia" w:ascii="仿宋" w:hAnsi="仿宋" w:eastAsia="仿宋" w:cs="仿宋"/>
                <w:sz w:val="24"/>
                <w:szCs w:val="24"/>
              </w:rPr>
            </w:pPr>
            <w:r>
              <w:rPr>
                <w:rFonts w:hint="eastAsia" w:ascii="仿宋" w:hAnsi="仿宋" w:eastAsia="仿宋" w:cs="仿宋"/>
                <w:sz w:val="24"/>
                <w:szCs w:val="24"/>
              </w:rPr>
              <w:t>2.道路清扫保洁考核扣分比重按照一类道路100%，二类道路90%，三类道路80%，其他道路70%予以扣分。</w:t>
            </w:r>
          </w:p>
          <w:p>
            <w:pPr>
              <w:widowControl/>
              <w:spacing w:line="300" w:lineRule="exact"/>
              <w:rPr>
                <w:rFonts w:hint="eastAsia" w:ascii="仿宋" w:hAnsi="仿宋" w:eastAsia="仿宋" w:cs="仿宋"/>
                <w:sz w:val="24"/>
                <w:szCs w:val="24"/>
              </w:rPr>
            </w:pPr>
            <w:r>
              <w:rPr>
                <w:rFonts w:hint="eastAsia" w:ascii="仿宋" w:hAnsi="仿宋" w:eastAsia="仿宋" w:cs="仿宋"/>
                <w:sz w:val="24"/>
                <w:szCs w:val="24"/>
              </w:rPr>
              <w:t>3.对额定抽查区块以外的区域</w:t>
            </w:r>
            <w:r>
              <w:rPr>
                <w:rFonts w:hint="eastAsia" w:ascii="仿宋" w:hAnsi="仿宋" w:eastAsia="仿宋" w:cs="仿宋"/>
                <w:spacing w:val="-8"/>
                <w:sz w:val="24"/>
                <w:szCs w:val="24"/>
              </w:rPr>
              <w:t>（包括区直部门管养护面积）</w:t>
            </w:r>
            <w:r>
              <w:rPr>
                <w:rFonts w:hint="eastAsia" w:ascii="仿宋" w:hAnsi="仿宋" w:eastAsia="仿宋" w:cs="仿宋"/>
                <w:sz w:val="24"/>
                <w:szCs w:val="24"/>
              </w:rPr>
              <w:t>实行问题抄告制。</w:t>
            </w:r>
          </w:p>
          <w:p>
            <w:pPr>
              <w:spacing w:line="320" w:lineRule="exact"/>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pacing w:val="-8"/>
                <w:sz w:val="24"/>
                <w:szCs w:val="24"/>
              </w:rPr>
              <w:t>根据难易度系数拆算最终得分。</w:t>
            </w:r>
          </w:p>
          <w:p>
            <w:pPr>
              <w:widowControl/>
              <w:spacing w:line="300" w:lineRule="exact"/>
              <w:rPr>
                <w:rFonts w:hint="eastAsia" w:ascii="仿宋" w:hAnsi="仿宋" w:eastAsia="仿宋" w:cs="仿宋"/>
                <w:sz w:val="24"/>
                <w:szCs w:val="24"/>
              </w:rPr>
            </w:pPr>
            <w:r>
              <w:rPr>
                <w:rFonts w:hint="eastAsia" w:ascii="仿宋" w:hAnsi="仿宋" w:eastAsia="仿宋" w:cs="仿宋"/>
                <w:sz w:val="24"/>
                <w:szCs w:val="24"/>
              </w:rPr>
              <w:t>5.考核总分为100分，每项扣分不超过项目的分值，分数扣完为止。</w:t>
            </w:r>
          </w:p>
        </w:tc>
        <w:tc>
          <w:tcPr>
            <w:tcW w:w="788" w:type="dxa"/>
            <w:noWrap w:val="0"/>
            <w:vAlign w:val="center"/>
          </w:tcPr>
          <w:p>
            <w:pPr>
              <w:spacing w:line="300" w:lineRule="exact"/>
              <w:rPr>
                <w:rFonts w:hint="eastAsia" w:ascii="仿宋" w:hAnsi="仿宋" w:eastAsia="仿宋" w:cs="仿宋"/>
                <w:sz w:val="24"/>
                <w:szCs w:val="24"/>
              </w:rPr>
            </w:pPr>
          </w:p>
        </w:tc>
      </w:tr>
    </w:tbl>
    <w:p>
      <w:pPr>
        <w:pStyle w:val="60"/>
        <w:jc w:val="left"/>
        <w:rPr>
          <w:rFonts w:hint="eastAsia" w:ascii="仿宋" w:hAnsi="仿宋" w:eastAsia="仿宋" w:cs="仿宋"/>
          <w:sz w:val="24"/>
          <w:szCs w:val="24"/>
        </w:rPr>
      </w:pPr>
      <w:r>
        <w:rPr>
          <w:rFonts w:hint="eastAsia" w:ascii="仿宋" w:hAnsi="仿宋" w:eastAsia="仿宋" w:cs="仿宋"/>
          <w:sz w:val="24"/>
          <w:szCs w:val="24"/>
        </w:rPr>
        <w:t>（2）绿化养护考核标准</w:t>
      </w:r>
    </w:p>
    <w:p>
      <w:pPr>
        <w:rPr>
          <w:rFonts w:hint="eastAsia" w:ascii="仿宋" w:hAnsi="仿宋" w:eastAsia="仿宋" w:cs="仿宋"/>
          <w:b/>
          <w:bCs/>
          <w:sz w:val="24"/>
          <w:szCs w:val="24"/>
        </w:rPr>
      </w:pPr>
      <w:r>
        <w:rPr>
          <w:rFonts w:hint="eastAsia" w:ascii="仿宋" w:hAnsi="仿宋" w:eastAsia="仿宋" w:cs="仿宋"/>
          <w:b/>
          <w:bCs/>
          <w:sz w:val="24"/>
          <w:szCs w:val="24"/>
        </w:rPr>
        <w:t>考核要求及方式</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1.考核成绩计算</w:t>
      </w:r>
    </w:p>
    <w:p>
      <w:pPr>
        <w:ind w:firstLine="482" w:firstLineChars="200"/>
        <w:rPr>
          <w:rFonts w:hint="eastAsia" w:ascii="仿宋" w:hAnsi="仿宋" w:eastAsia="仿宋" w:cs="仿宋"/>
          <w:sz w:val="24"/>
          <w:szCs w:val="24"/>
        </w:rPr>
      </w:pPr>
      <w:r>
        <w:rPr>
          <w:rFonts w:hint="eastAsia" w:ascii="仿宋" w:hAnsi="仿宋" w:eastAsia="仿宋" w:cs="仿宋"/>
          <w:b/>
          <w:bCs/>
          <w:sz w:val="24"/>
          <w:szCs w:val="24"/>
        </w:rPr>
        <w:t>城市化区域内</w:t>
      </w:r>
      <w:r>
        <w:rPr>
          <w:rFonts w:hint="eastAsia" w:ascii="仿宋" w:hAnsi="仿宋" w:eastAsia="仿宋" w:cs="仿宋"/>
          <w:sz w:val="24"/>
          <w:szCs w:val="24"/>
        </w:rPr>
        <w:t>管养单位（市政、绿化、保洁单位）月度成绩=街道巡查队伍自查成绩（占50%）+社区评价成绩（10%）+区级综合普查件成绩（占40%）</w:t>
      </w:r>
    </w:p>
    <w:p>
      <w:pPr>
        <w:ind w:firstLine="482" w:firstLineChars="200"/>
        <w:rPr>
          <w:rFonts w:hint="eastAsia" w:ascii="仿宋" w:hAnsi="仿宋" w:eastAsia="仿宋" w:cs="仿宋"/>
          <w:sz w:val="24"/>
          <w:szCs w:val="24"/>
        </w:rPr>
      </w:pPr>
      <w:r>
        <w:rPr>
          <w:rFonts w:hint="eastAsia" w:ascii="仿宋" w:hAnsi="仿宋" w:eastAsia="仿宋" w:cs="仿宋"/>
          <w:b/>
          <w:bCs/>
          <w:sz w:val="24"/>
          <w:szCs w:val="24"/>
        </w:rPr>
        <w:t>城市化区域外</w:t>
      </w:r>
      <w:r>
        <w:rPr>
          <w:rFonts w:hint="eastAsia" w:ascii="仿宋" w:hAnsi="仿宋" w:eastAsia="仿宋" w:cs="仿宋"/>
          <w:sz w:val="24"/>
          <w:szCs w:val="24"/>
        </w:rPr>
        <w:t>管养单位（市政、绿化、保洁单位）道路考核月度成绩=街道巡查队伍自查成绩（占60%）+区级综合普查件成绩（占40%）</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街道巡查队伍自查问题扣分细则详见附件二，区级综合普查件问题按照A、B、C问题进行扣分，A类问题扣1分，B类问题扣2分，C类问题扣3分。</w:t>
      </w:r>
    </w:p>
    <w:p>
      <w:pPr>
        <w:ind w:left="420" w:leftChars="200"/>
        <w:rPr>
          <w:rFonts w:hint="eastAsia" w:ascii="仿宋" w:hAnsi="仿宋" w:eastAsia="仿宋" w:cs="仿宋"/>
          <w:b/>
          <w:bCs/>
          <w:sz w:val="24"/>
          <w:szCs w:val="24"/>
        </w:rPr>
      </w:pPr>
      <w:r>
        <w:rPr>
          <w:rFonts w:hint="eastAsia" w:ascii="仿宋" w:hAnsi="仿宋" w:eastAsia="仿宋" w:cs="仿宋"/>
          <w:b/>
          <w:bCs/>
          <w:sz w:val="24"/>
          <w:szCs w:val="24"/>
        </w:rPr>
        <w:t xml:space="preserve"> 2.成绩排名奖惩机制：</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经街道部门会议决定，将管养单位（绿化、保洁单位）招标费用的30%作为考核费用。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考核奖=管养单位考核成绩*1%*考核费用</w:t>
      </w:r>
    </w:p>
    <w:p>
      <w:pPr>
        <w:rPr>
          <w:rFonts w:hint="eastAsia" w:ascii="仿宋" w:hAnsi="仿宋" w:eastAsia="仿宋" w:cs="仿宋"/>
          <w:sz w:val="24"/>
          <w:szCs w:val="24"/>
        </w:rPr>
      </w:pPr>
      <w:r>
        <w:rPr>
          <w:rFonts w:hint="eastAsia" w:ascii="仿宋" w:hAnsi="仿宋" w:eastAsia="仿宋" w:cs="仿宋"/>
          <w:sz w:val="24"/>
          <w:szCs w:val="24"/>
        </w:rPr>
        <w:t xml:space="preserve">    每月城市管理考核成绩出来后，对各单项考核成绩进行排名，在扣分奖罚机制上，排名第一可免除扣分，排名第二加2分后乘0.4系数，排名第三加1分后乘0.8系数，排名第四正常扣分不加分不减分，排名第五再扣1分后乘1.2系数，排名第六再扣2分后乘1.4系数，排名第七再扣3分后乘1.8系数，排名第八再扣4分后乘2.0系数。</w:t>
      </w:r>
    </w:p>
    <w:p>
      <w:pPr>
        <w:ind w:left="420" w:leftChars="200"/>
        <w:rPr>
          <w:rFonts w:hint="eastAsia" w:ascii="仿宋" w:hAnsi="仿宋" w:eastAsia="仿宋" w:cs="仿宋"/>
          <w:b/>
          <w:bCs/>
          <w:sz w:val="24"/>
          <w:szCs w:val="24"/>
        </w:rPr>
      </w:pPr>
      <w:r>
        <w:rPr>
          <w:rFonts w:hint="eastAsia" w:ascii="仿宋" w:hAnsi="仿宋" w:eastAsia="仿宋" w:cs="仿宋"/>
          <w:b/>
          <w:bCs/>
          <w:sz w:val="24"/>
          <w:szCs w:val="24"/>
        </w:rPr>
        <w:t xml:space="preserve">  3.直接奖罚机制：</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市政单位月度考核成绩出来后，95分-90分扣1000元，90分-85分扣2000元，85分-75分扣3500元，75分-60分扣5000元，60分以下扣10000元</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牛皮癣月度成绩出来后，95分-90分扣1000元，90分-85分扣2000元，85分-75分扣3500元，75分-60分扣5000元，60分以下扣10000元</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领导交办件：街道交办一个点位问题扣2000元，区级交办一个点位问题扣4000元，市级交办一个点位问题扣6000元。</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市级抄告单：市级抄告单问题每扣一分罚款1000元</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区、市级红黑榜：管养单位区级红榜奖励10000元，市级红榜奖励20000元；区级黑榜罚款20000元，市级黑榜罚款40000元。</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问题点位媒体曝光：媒体平台(区城管局、市城管局微信公众号，新闻媒体）区级问题曝光扣20000元，市级问题曝光扣30000元，省级问题曝光扣40000元</w:t>
      </w:r>
    </w:p>
    <w:p>
      <w:pPr>
        <w:spacing w:line="590" w:lineRule="exact"/>
        <w:jc w:val="center"/>
        <w:rPr>
          <w:rFonts w:hint="eastAsia" w:ascii="仿宋" w:hAnsi="仿宋" w:eastAsia="仿宋" w:cs="仿宋"/>
          <w:b/>
          <w:bCs/>
          <w:sz w:val="24"/>
          <w:szCs w:val="24"/>
        </w:rPr>
      </w:pPr>
      <w:r>
        <w:rPr>
          <w:rFonts w:hint="eastAsia" w:ascii="仿宋" w:hAnsi="仿宋" w:eastAsia="仿宋" w:cs="仿宋"/>
          <w:b/>
          <w:bCs/>
          <w:sz w:val="24"/>
          <w:szCs w:val="24"/>
        </w:rPr>
        <w:t>绿化单位考核评分细则</w:t>
      </w:r>
    </w:p>
    <w:p>
      <w:pPr>
        <w:rPr>
          <w:rFonts w:hint="eastAsia" w:ascii="仿宋" w:hAnsi="仿宋" w:eastAsia="仿宋" w:cs="仿宋"/>
          <w:b/>
          <w:sz w:val="24"/>
          <w:szCs w:val="24"/>
        </w:rPr>
      </w:pPr>
      <w:r>
        <w:rPr>
          <w:rFonts w:hint="eastAsia" w:ascii="仿宋" w:hAnsi="仿宋" w:eastAsia="仿宋" w:cs="仿宋"/>
          <w:b/>
          <w:sz w:val="24"/>
          <w:szCs w:val="24"/>
        </w:rPr>
        <w:t xml:space="preserve">         </w:t>
      </w:r>
    </w:p>
    <w:tbl>
      <w:tblPr>
        <w:tblStyle w:val="64"/>
        <w:tblW w:w="0" w:type="auto"/>
        <w:tblInd w:w="93" w:type="dxa"/>
        <w:tblLayout w:type="fixed"/>
        <w:tblCellMar>
          <w:top w:w="0" w:type="dxa"/>
          <w:left w:w="108" w:type="dxa"/>
          <w:bottom w:w="0" w:type="dxa"/>
          <w:right w:w="108" w:type="dxa"/>
        </w:tblCellMar>
      </w:tblPr>
      <w:tblGrid>
        <w:gridCol w:w="900"/>
        <w:gridCol w:w="7538"/>
        <w:gridCol w:w="834"/>
      </w:tblGrid>
      <w:tr>
        <w:tblPrEx>
          <w:tblCellMar>
            <w:top w:w="0" w:type="dxa"/>
            <w:left w:w="108" w:type="dxa"/>
            <w:bottom w:w="0" w:type="dxa"/>
            <w:right w:w="108" w:type="dxa"/>
          </w:tblCellMar>
        </w:tblPrEx>
        <w:trPr>
          <w:trHeight w:val="57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考核</w:t>
            </w:r>
          </w:p>
          <w:p>
            <w:pPr>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项目</w:t>
            </w:r>
          </w:p>
        </w:tc>
        <w:tc>
          <w:tcPr>
            <w:tcW w:w="753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评分细则</w:t>
            </w:r>
          </w:p>
        </w:tc>
        <w:tc>
          <w:tcPr>
            <w:tcW w:w="8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考核</w:t>
            </w:r>
          </w:p>
          <w:p>
            <w:pPr>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分值</w:t>
            </w: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植</w:t>
            </w:r>
          </w:p>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物</w:t>
            </w:r>
          </w:p>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基</w:t>
            </w:r>
          </w:p>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本</w:t>
            </w:r>
          </w:p>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养</w:t>
            </w:r>
          </w:p>
          <w:p>
            <w:pPr>
              <w:spacing w:line="320" w:lineRule="exact"/>
              <w:jc w:val="center"/>
              <w:rPr>
                <w:rFonts w:hint="eastAsia" w:ascii="仿宋" w:hAnsi="仿宋" w:eastAsia="仿宋" w:cs="仿宋"/>
                <w:strike/>
                <w:kern w:val="0"/>
                <w:sz w:val="24"/>
                <w:szCs w:val="24"/>
              </w:rPr>
            </w:pPr>
            <w:r>
              <w:rPr>
                <w:rFonts w:hint="eastAsia" w:ascii="仿宋" w:hAnsi="仿宋" w:eastAsia="仿宋" w:cs="仿宋"/>
                <w:kern w:val="0"/>
                <w:sz w:val="24"/>
                <w:szCs w:val="24"/>
              </w:rPr>
              <w:t>护</w:t>
            </w:r>
          </w:p>
          <w:p>
            <w:pPr>
              <w:spacing w:line="320" w:lineRule="exact"/>
              <w:jc w:val="center"/>
              <w:rPr>
                <w:rFonts w:hint="eastAsia" w:ascii="仿宋" w:hAnsi="仿宋" w:eastAsia="仿宋" w:cs="仿宋"/>
                <w:strike/>
                <w:kern w:val="0"/>
                <w:sz w:val="24"/>
                <w:szCs w:val="24"/>
              </w:rPr>
            </w:pPr>
            <w:r>
              <w:rPr>
                <w:rFonts w:hint="eastAsia" w:ascii="仿宋" w:hAnsi="仿宋" w:eastAsia="仿宋" w:cs="仿宋"/>
                <w:kern w:val="0"/>
                <w:sz w:val="24"/>
                <w:szCs w:val="24"/>
              </w:rPr>
              <w:t>60分</w:t>
            </w: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行道树和乔木死株、缺株，每处扣3-5分。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行道树和乔木支撑不规范、支撑架倒塌、断桩、坏桩、树木倾斜严重，每处扣2分。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行道树和乔木病虫枝、枯枝、伤损枝、徒长枝超过养护标准的，未疏枝、树皮开裂、孔洞未及时填补，每处扣2分；修剪不规范造成树木严重受损的，每处扣3分，沿线出现严重修剪问题每次扣5-10分。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行道树和乔木长势不佳、偏冠严重、无冠幅，每处扣2分；树木长势较弱，黄叶、焦叶、落叶株数较多，每处扣2分。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树穴土壤高于侧石、板结、填充物缺失，每处扣2分；0.5平方米以内树穴裸露扣2分，超出0.5平方米每处扣3分。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绿篱和灌木出现死株、缺株、混种、小道、杂株返祖的、绿植倒伏，每处2分；0.5平方米以内黄土裸露每处扣2分，超出0.5平方米每处扣3分。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绿篱和灌木修剪不规范、不平整、窜条、高度影响交通视线的，每处扣2-3分。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草坪高度超出养护标准、草坪边缘不清淅、草坪空秃、草坪覆盖率低的，每处扣1分，0.5平方米以内黄土裸露的，每处扣2分，超出0.5平方米每处扣3分。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绿地内杂草超过养护标准的，每处扣2分。 </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花坛花箱内时花缺株、倒伏、枯枝残花、杂草垃圾等每处扣2分。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000000"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绿化补种不规范、以及绿地养护出现其他问题的每处扣2分;管养区域内绿地失管每处扣5-10分。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病</w:t>
            </w:r>
          </w:p>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虫</w:t>
            </w:r>
          </w:p>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害</w:t>
            </w:r>
          </w:p>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防</w:t>
            </w:r>
          </w:p>
          <w:p>
            <w:pPr>
              <w:spacing w:line="320" w:lineRule="exact"/>
              <w:jc w:val="center"/>
              <w:rPr>
                <w:rFonts w:hint="eastAsia" w:ascii="仿宋" w:hAnsi="仿宋" w:eastAsia="仿宋" w:cs="仿宋"/>
                <w:strike/>
                <w:kern w:val="0"/>
                <w:sz w:val="24"/>
                <w:szCs w:val="24"/>
              </w:rPr>
            </w:pPr>
            <w:r>
              <w:rPr>
                <w:rFonts w:hint="eastAsia" w:ascii="仿宋" w:hAnsi="仿宋" w:eastAsia="仿宋" w:cs="仿宋"/>
                <w:kern w:val="0"/>
                <w:sz w:val="24"/>
                <w:szCs w:val="24"/>
              </w:rPr>
              <w:t>治</w:t>
            </w:r>
          </w:p>
          <w:p>
            <w:pPr>
              <w:spacing w:line="320" w:lineRule="exact"/>
              <w:jc w:val="center"/>
              <w:rPr>
                <w:rFonts w:hint="eastAsia" w:ascii="仿宋" w:hAnsi="仿宋" w:eastAsia="仿宋" w:cs="仿宋"/>
                <w:strike/>
                <w:kern w:val="0"/>
                <w:sz w:val="24"/>
                <w:szCs w:val="24"/>
              </w:rPr>
            </w:pPr>
            <w:r>
              <w:rPr>
                <w:rFonts w:hint="eastAsia" w:ascii="仿宋" w:hAnsi="仿宋" w:eastAsia="仿宋" w:cs="仿宋"/>
                <w:kern w:val="0"/>
                <w:sz w:val="24"/>
                <w:szCs w:val="24"/>
              </w:rPr>
              <w:t>10分</w:t>
            </w: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发生病虫害每处扣2分</w:t>
            </w:r>
            <w:r>
              <w:rPr>
                <w:rFonts w:hint="eastAsia" w:ascii="仿宋" w:hAnsi="仿宋" w:eastAsia="仿宋" w:cs="仿宋"/>
                <w:b/>
                <w:bCs/>
                <w:kern w:val="0"/>
                <w:sz w:val="24"/>
                <w:szCs w:val="24"/>
              </w:rPr>
              <w:t>，</w:t>
            </w:r>
            <w:r>
              <w:rPr>
                <w:rFonts w:hint="eastAsia" w:ascii="仿宋" w:hAnsi="仿宋" w:eastAsia="仿宋" w:cs="仿宋"/>
                <w:kern w:val="0"/>
                <w:sz w:val="24"/>
                <w:szCs w:val="24"/>
              </w:rPr>
              <w:t>大面积爆发扣5分</w:t>
            </w:r>
            <w:r>
              <w:rPr>
                <w:rFonts w:hint="eastAsia" w:ascii="仿宋" w:hAnsi="仿宋" w:eastAsia="仿宋" w:cs="仿宋"/>
                <w:b/>
                <w:bCs/>
                <w:kern w:val="0"/>
                <w:sz w:val="24"/>
                <w:szCs w:val="24"/>
              </w:rPr>
              <w:t>。</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发现病虫害未及时进行防治措施的每处扣3分。病虫害防治措施不到位的每处扣3分。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食叶性害虫危害树木，每处扣2分。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发现活蛀虫和活卵，每处扣2分。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绿化</w:t>
            </w:r>
          </w:p>
          <w:p>
            <w:pPr>
              <w:spacing w:line="320" w:lineRule="exact"/>
              <w:jc w:val="center"/>
              <w:rPr>
                <w:rFonts w:hint="eastAsia" w:ascii="仿宋" w:hAnsi="仿宋" w:eastAsia="仿宋" w:cs="仿宋"/>
                <w:strike/>
                <w:kern w:val="0"/>
                <w:sz w:val="24"/>
                <w:szCs w:val="24"/>
              </w:rPr>
            </w:pPr>
            <w:r>
              <w:rPr>
                <w:rFonts w:hint="eastAsia" w:ascii="仿宋" w:hAnsi="仿宋" w:eastAsia="仿宋" w:cs="仿宋"/>
                <w:kern w:val="0"/>
                <w:sz w:val="24"/>
                <w:szCs w:val="24"/>
              </w:rPr>
              <w:t>设施</w:t>
            </w:r>
          </w:p>
          <w:p>
            <w:pPr>
              <w:spacing w:line="320" w:lineRule="exact"/>
              <w:jc w:val="center"/>
              <w:rPr>
                <w:rFonts w:hint="eastAsia" w:ascii="仿宋" w:hAnsi="仿宋" w:eastAsia="仿宋" w:cs="仿宋"/>
                <w:strike/>
                <w:kern w:val="0"/>
                <w:sz w:val="24"/>
                <w:szCs w:val="24"/>
              </w:rPr>
            </w:pPr>
            <w:r>
              <w:rPr>
                <w:rFonts w:hint="eastAsia" w:ascii="仿宋" w:hAnsi="仿宋" w:eastAsia="仿宋" w:cs="仿宋"/>
                <w:kern w:val="0"/>
                <w:sz w:val="24"/>
                <w:szCs w:val="24"/>
              </w:rPr>
              <w:t>10分</w:t>
            </w: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花箱、花坛、树穴破损、缺失扣2分，其他设施缺失扣2分。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公园及绿地内果壳箱有污迹、破损，箱内垃圾未日产日清的，每处扣2分。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设施有污迹、破损，金属构件设施有锈斑，油漆剥落等现象的每处扣2分，公园设施存在明显安全隐患，未采取安全措施的，每处扣5分。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p>
            <w:pPr>
              <w:spacing w:line="320" w:lineRule="exact"/>
              <w:jc w:val="center"/>
              <w:rPr>
                <w:rFonts w:hint="eastAsia" w:ascii="仿宋" w:hAnsi="仿宋" w:eastAsia="仿宋" w:cs="仿宋"/>
                <w:kern w:val="0"/>
                <w:sz w:val="24"/>
                <w:szCs w:val="24"/>
              </w:rPr>
            </w:pPr>
          </w:p>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卫生及</w:t>
            </w:r>
          </w:p>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管理</w:t>
            </w:r>
          </w:p>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p>
            <w:pPr>
              <w:spacing w:line="320" w:lineRule="exact"/>
              <w:jc w:val="center"/>
              <w:rPr>
                <w:rFonts w:hint="eastAsia" w:ascii="仿宋" w:hAnsi="仿宋" w:eastAsia="仿宋" w:cs="仿宋"/>
                <w:kern w:val="0"/>
                <w:sz w:val="24"/>
                <w:szCs w:val="24"/>
              </w:rPr>
            </w:pPr>
          </w:p>
        </w:tc>
        <w:tc>
          <w:tcPr>
            <w:tcW w:w="75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树上及绿带内有垃圾袋、零乱草绳、钉子、扎缚铁丝、电线、挂晾晒衣物、堆物、渣土积泥等，每处扣2分。</w:t>
            </w:r>
          </w:p>
        </w:tc>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绿地内有明显枯叶堆积、白色垃圾、石块、果壳等杂物的每处扣2分。</w:t>
            </w:r>
          </w:p>
        </w:tc>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乔木及绿带积尘明显每处扣2分，沿线绿带色块叶面积灰严重的每处扣3-5分。</w:t>
            </w:r>
          </w:p>
        </w:tc>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管养人员不到位，养护人员上路作业不穿工作服，不文明作业的，每发现1次扣3分；应急结束，因应急设施、设备未拆除影响道路通行安全的，每处扣2分，</w:t>
            </w:r>
            <w:r>
              <w:rPr>
                <w:rFonts w:hint="eastAsia" w:ascii="仿宋" w:hAnsi="仿宋" w:eastAsia="仿宋" w:cs="仿宋"/>
                <w:sz w:val="24"/>
                <w:szCs w:val="24"/>
              </w:rPr>
              <w:t>不文明施工，无围护扣5分、围护不到位扣3分</w:t>
            </w:r>
            <w:r>
              <w:rPr>
                <w:rFonts w:hint="eastAsia" w:ascii="仿宋" w:hAnsi="仿宋" w:eastAsia="仿宋" w:cs="仿宋"/>
                <w:kern w:val="0"/>
                <w:sz w:val="24"/>
                <w:szCs w:val="24"/>
              </w:rPr>
              <w:t>。</w:t>
            </w:r>
          </w:p>
        </w:tc>
        <w:tc>
          <w:tcPr>
            <w:tcW w:w="8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抗雪防冻、防寒保暖、抗旱保绿、防高温等应急工作不到位的每处扣5-10分。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sz w:val="24"/>
                <w:szCs w:val="24"/>
              </w:rPr>
              <w:t>未经审批私自开挖绿地或未按绿化养护规范要求恢复等每处扣3分。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540" w:hRule="atLeast"/>
        </w:trPr>
        <w:tc>
          <w:tcPr>
            <w:tcW w:w="900" w:type="dxa"/>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整体</w:t>
            </w:r>
          </w:p>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景观</w:t>
            </w:r>
          </w:p>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5分</w:t>
            </w:r>
          </w:p>
        </w:tc>
        <w:tc>
          <w:tcPr>
            <w:tcW w:w="7538"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养护不当造成植物季相不分明，色彩不丰富，生长不茂盛，植物群落不完整、无绿带布置等影响整体景观效果的扣5分。</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336" w:hRule="atLeast"/>
        </w:trPr>
        <w:tc>
          <w:tcPr>
            <w:tcW w:w="900"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抄告</w:t>
            </w:r>
          </w:p>
          <w:p>
            <w:pPr>
              <w:spacing w:line="320" w:lineRule="exact"/>
              <w:jc w:val="center"/>
              <w:rPr>
                <w:rFonts w:hint="eastAsia" w:ascii="仿宋" w:hAnsi="仿宋" w:eastAsia="仿宋" w:cs="仿宋"/>
                <w:strike/>
                <w:kern w:val="0"/>
                <w:sz w:val="24"/>
                <w:szCs w:val="24"/>
              </w:rPr>
            </w:pPr>
            <w:r>
              <w:rPr>
                <w:rFonts w:hint="eastAsia" w:ascii="仿宋" w:hAnsi="仿宋" w:eastAsia="仿宋" w:cs="仿宋"/>
                <w:kern w:val="0"/>
                <w:sz w:val="24"/>
                <w:szCs w:val="24"/>
              </w:rPr>
              <w:t>单处理情况及专项台帐检查</w:t>
            </w:r>
          </w:p>
          <w:p>
            <w:pPr>
              <w:spacing w:line="320" w:lineRule="exact"/>
              <w:jc w:val="center"/>
              <w:rPr>
                <w:rFonts w:hint="eastAsia" w:ascii="仿宋" w:hAnsi="仿宋" w:eastAsia="仿宋" w:cs="仿宋"/>
                <w:strike/>
                <w:kern w:val="0"/>
                <w:sz w:val="24"/>
                <w:szCs w:val="24"/>
              </w:rPr>
            </w:pPr>
            <w:r>
              <w:rPr>
                <w:rFonts w:hint="eastAsia" w:ascii="仿宋" w:hAnsi="仿宋" w:eastAsia="仿宋" w:cs="仿宋"/>
                <w:kern w:val="0"/>
                <w:sz w:val="24"/>
                <w:szCs w:val="24"/>
              </w:rPr>
              <w:t>5分</w:t>
            </w:r>
          </w:p>
        </w:tc>
        <w:tc>
          <w:tcPr>
            <w:tcW w:w="7538" w:type="dxa"/>
            <w:tcBorders>
              <w:top w:val="nil"/>
              <w:left w:val="nil"/>
              <w:bottom w:val="single" w:color="auto" w:sz="4" w:space="0"/>
              <w:right w:val="single" w:color="auto" w:sz="4" w:space="0"/>
            </w:tcBorders>
            <w:noWrap w:val="0"/>
            <w:vAlign w:val="center"/>
          </w:tcPr>
          <w:p>
            <w:pPr>
              <w:widowControl/>
              <w:numPr>
                <w:ilvl w:val="0"/>
                <w:numId w:val="3"/>
              </w:numPr>
              <w:jc w:val="left"/>
              <w:rPr>
                <w:rFonts w:hint="eastAsia" w:ascii="仿宋" w:hAnsi="仿宋" w:eastAsia="仿宋" w:cs="仿宋"/>
                <w:kern w:val="0"/>
                <w:sz w:val="24"/>
                <w:szCs w:val="24"/>
              </w:rPr>
            </w:pPr>
            <w:r>
              <w:rPr>
                <w:rFonts w:hint="eastAsia" w:ascii="仿宋" w:hAnsi="仿宋" w:eastAsia="仿宋" w:cs="仿宋"/>
                <w:kern w:val="0"/>
                <w:sz w:val="24"/>
                <w:szCs w:val="24"/>
              </w:rPr>
              <w:t>市查、区查的</w:t>
            </w:r>
            <w:r>
              <w:rPr>
                <w:rFonts w:hint="eastAsia" w:ascii="仿宋" w:hAnsi="仿宋" w:eastAsia="仿宋" w:cs="仿宋"/>
                <w:spacing w:val="-8"/>
                <w:sz w:val="24"/>
                <w:szCs w:val="24"/>
              </w:rPr>
              <w:t>涉及属地管辖内（包括区直部门管养护面积）的</w:t>
            </w:r>
            <w:r>
              <w:rPr>
                <w:rFonts w:hint="eastAsia" w:ascii="仿宋" w:hAnsi="仿宋" w:eastAsia="仿宋" w:cs="仿宋"/>
                <w:kern w:val="0"/>
                <w:sz w:val="24"/>
                <w:szCs w:val="24"/>
              </w:rPr>
              <w:t>有责抄告及信访问题二</w:t>
            </w:r>
            <w:r>
              <w:rPr>
                <w:rFonts w:hint="eastAsia" w:ascii="仿宋" w:hAnsi="仿宋" w:eastAsia="仿宋" w:cs="仿宋"/>
                <w:spacing w:val="-8"/>
                <w:sz w:val="24"/>
                <w:szCs w:val="24"/>
              </w:rPr>
              <w:t>次抄告每件扣</w:t>
            </w:r>
            <w:r>
              <w:rPr>
                <w:rFonts w:hint="eastAsia" w:ascii="仿宋" w:hAnsi="仿宋" w:eastAsia="仿宋" w:cs="仿宋"/>
                <w:sz w:val="24"/>
                <w:szCs w:val="24"/>
              </w:rPr>
              <w:t xml:space="preserve">3分 </w:t>
            </w:r>
            <w:r>
              <w:rPr>
                <w:rFonts w:hint="eastAsia" w:ascii="仿宋" w:hAnsi="仿宋" w:eastAsia="仿宋" w:cs="仿宋"/>
                <w:spacing w:val="-8"/>
                <w:sz w:val="24"/>
                <w:szCs w:val="24"/>
              </w:rPr>
              <w:t>，三次及以上抄告扣</w:t>
            </w:r>
            <w:r>
              <w:rPr>
                <w:rFonts w:hint="eastAsia" w:ascii="仿宋" w:hAnsi="仿宋" w:eastAsia="仿宋" w:cs="仿宋"/>
                <w:sz w:val="24"/>
                <w:szCs w:val="24"/>
              </w:rPr>
              <w:t>5分</w:t>
            </w:r>
            <w:r>
              <w:rPr>
                <w:rFonts w:hint="eastAsia" w:ascii="仿宋" w:hAnsi="仿宋" w:eastAsia="仿宋" w:cs="仿宋"/>
                <w:spacing w:val="-8"/>
                <w:sz w:val="24"/>
                <w:szCs w:val="24"/>
              </w:rPr>
              <w:t>；</w:t>
            </w:r>
            <w:r>
              <w:rPr>
                <w:rFonts w:hint="eastAsia" w:ascii="仿宋" w:hAnsi="仿宋" w:eastAsia="仿宋" w:cs="仿宋"/>
                <w:kern w:val="0"/>
                <w:sz w:val="24"/>
                <w:szCs w:val="24"/>
              </w:rPr>
              <w:t>发生区级媒体曝光每件扣</w:t>
            </w:r>
            <w:r>
              <w:rPr>
                <w:rFonts w:hint="eastAsia" w:ascii="仿宋" w:hAnsi="仿宋" w:eastAsia="仿宋" w:cs="仿宋"/>
                <w:sz w:val="24"/>
                <w:szCs w:val="24"/>
              </w:rPr>
              <w:t>2分</w:t>
            </w:r>
            <w:r>
              <w:rPr>
                <w:rFonts w:hint="eastAsia" w:ascii="仿宋" w:hAnsi="仿宋" w:eastAsia="仿宋" w:cs="仿宋"/>
                <w:kern w:val="0"/>
                <w:sz w:val="24"/>
                <w:szCs w:val="24"/>
              </w:rPr>
              <w:t>，被区级以上领导批示批评的每件</w:t>
            </w:r>
            <w:r>
              <w:rPr>
                <w:rFonts w:hint="eastAsia" w:ascii="仿宋" w:hAnsi="仿宋" w:eastAsia="仿宋" w:cs="仿宋"/>
                <w:sz w:val="24"/>
                <w:szCs w:val="24"/>
              </w:rPr>
              <w:t>5分；联系函、抄告单等超时回复或不回复的每次扣3-5分</w:t>
            </w:r>
            <w:r>
              <w:rPr>
                <w:rFonts w:hint="eastAsia" w:ascii="仿宋" w:hAnsi="仿宋" w:eastAsia="仿宋" w:cs="仿宋"/>
                <w:kern w:val="0"/>
                <w:sz w:val="24"/>
                <w:szCs w:val="24"/>
              </w:rPr>
              <w:t>。</w:t>
            </w:r>
          </w:p>
          <w:p>
            <w:pPr>
              <w:widowControl/>
              <w:numPr>
                <w:ilvl w:val="0"/>
                <w:numId w:val="4"/>
              </w:numPr>
              <w:jc w:val="left"/>
              <w:rPr>
                <w:rFonts w:hint="eastAsia" w:ascii="仿宋" w:hAnsi="仿宋" w:eastAsia="仿宋" w:cs="仿宋"/>
                <w:kern w:val="0"/>
                <w:sz w:val="24"/>
                <w:szCs w:val="24"/>
              </w:rPr>
            </w:pPr>
            <w:r>
              <w:rPr>
                <w:rFonts w:hint="eastAsia" w:ascii="仿宋" w:hAnsi="仿宋" w:eastAsia="仿宋" w:cs="仿宋"/>
                <w:kern w:val="0"/>
                <w:sz w:val="24"/>
                <w:szCs w:val="24"/>
              </w:rPr>
              <w:t>绿化巡查台帐及绿化施肥、病虫害防治、植物修剪等专项养护台帐检查</w:t>
            </w:r>
            <w:r>
              <w:rPr>
                <w:rFonts w:hint="eastAsia" w:ascii="仿宋" w:hAnsi="仿宋" w:eastAsia="仿宋" w:cs="仿宋"/>
                <w:spacing w:val="-8"/>
                <w:sz w:val="24"/>
                <w:szCs w:val="24"/>
              </w:rPr>
              <w:t>未完成、弄虚作假扣5分。</w:t>
            </w:r>
          </w:p>
        </w:tc>
        <w:tc>
          <w:tcPr>
            <w:tcW w:w="834"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495" w:hRule="atLeast"/>
        </w:trPr>
        <w:tc>
          <w:tcPr>
            <w:tcW w:w="8438"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sz w:val="24"/>
                <w:szCs w:val="24"/>
              </w:rPr>
              <w:t>评分合计</w:t>
            </w:r>
          </w:p>
        </w:tc>
        <w:tc>
          <w:tcPr>
            <w:tcW w:w="83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4"/>
                <w:szCs w:val="24"/>
              </w:rPr>
            </w:pPr>
          </w:p>
        </w:tc>
      </w:tr>
      <w:tr>
        <w:tblPrEx>
          <w:tblCellMar>
            <w:top w:w="0" w:type="dxa"/>
            <w:left w:w="108" w:type="dxa"/>
            <w:bottom w:w="0" w:type="dxa"/>
            <w:right w:w="108" w:type="dxa"/>
          </w:tblCellMar>
        </w:tblPrEx>
        <w:trPr>
          <w:trHeight w:val="855" w:hRule="atLeast"/>
        </w:trPr>
        <w:tc>
          <w:tcPr>
            <w:tcW w:w="900"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备注</w:t>
            </w:r>
          </w:p>
        </w:tc>
        <w:tc>
          <w:tcPr>
            <w:tcW w:w="8372" w:type="dxa"/>
            <w:gridSpan w:val="2"/>
            <w:tcBorders>
              <w:top w:val="single" w:color="auto" w:sz="4" w:space="0"/>
              <w:left w:val="nil"/>
              <w:bottom w:val="single" w:color="auto" w:sz="4" w:space="0"/>
              <w:right w:val="single" w:color="000000" w:sz="4" w:space="0"/>
            </w:tcBorders>
            <w:noWrap w:val="0"/>
            <w:vAlign w:val="center"/>
          </w:tcPr>
          <w:p>
            <w:pPr>
              <w:spacing w:line="320" w:lineRule="exact"/>
              <w:rPr>
                <w:rFonts w:hint="eastAsia" w:ascii="仿宋" w:hAnsi="仿宋" w:eastAsia="仿宋" w:cs="仿宋"/>
                <w:spacing w:val="-8"/>
                <w:sz w:val="24"/>
                <w:szCs w:val="24"/>
              </w:rPr>
            </w:pPr>
            <w:r>
              <w:rPr>
                <w:rFonts w:hint="eastAsia" w:ascii="仿宋" w:hAnsi="仿宋" w:eastAsia="仿宋" w:cs="仿宋"/>
                <w:spacing w:val="-8"/>
                <w:sz w:val="24"/>
                <w:szCs w:val="24"/>
              </w:rPr>
              <w:t>1、未尽事宜（如市“绿化双最”评比等市、区相关绿化工作），考核视情况加或扣1-5分。</w:t>
            </w:r>
          </w:p>
          <w:p>
            <w:pPr>
              <w:widowControl/>
              <w:jc w:val="left"/>
              <w:rPr>
                <w:rFonts w:hint="eastAsia" w:ascii="仿宋" w:hAnsi="仿宋" w:eastAsia="仿宋" w:cs="仿宋"/>
                <w:spacing w:val="-8"/>
                <w:sz w:val="24"/>
                <w:szCs w:val="24"/>
              </w:rPr>
            </w:pPr>
            <w:r>
              <w:rPr>
                <w:rFonts w:hint="eastAsia" w:ascii="仿宋" w:hAnsi="仿宋" w:eastAsia="仿宋" w:cs="仿宋"/>
                <w:spacing w:val="-8"/>
                <w:sz w:val="24"/>
                <w:szCs w:val="24"/>
              </w:rPr>
              <w:t>2、公共绿地管养考核扣分比重按照一类道路100%，二类道路90%，三类道路80%，其它道路70%予以扣分。</w:t>
            </w:r>
          </w:p>
          <w:p>
            <w:pPr>
              <w:widowControl/>
              <w:jc w:val="left"/>
              <w:rPr>
                <w:rFonts w:hint="eastAsia" w:ascii="仿宋" w:hAnsi="仿宋" w:eastAsia="仿宋" w:cs="仿宋"/>
                <w:spacing w:val="-8"/>
                <w:sz w:val="24"/>
                <w:szCs w:val="24"/>
              </w:rPr>
            </w:pPr>
            <w:r>
              <w:rPr>
                <w:rFonts w:hint="eastAsia" w:ascii="仿宋" w:hAnsi="仿宋" w:eastAsia="仿宋" w:cs="仿宋"/>
                <w:spacing w:val="-8"/>
                <w:sz w:val="24"/>
                <w:szCs w:val="24"/>
              </w:rPr>
              <w:t>3、根据难易度系数拆算最终得分。</w:t>
            </w:r>
          </w:p>
          <w:p>
            <w:pPr>
              <w:widowControl/>
              <w:jc w:val="left"/>
              <w:rPr>
                <w:rFonts w:hint="eastAsia" w:ascii="仿宋" w:hAnsi="仿宋" w:eastAsia="仿宋" w:cs="仿宋"/>
                <w:spacing w:val="-8"/>
                <w:sz w:val="24"/>
                <w:szCs w:val="24"/>
              </w:rPr>
            </w:pPr>
            <w:r>
              <w:rPr>
                <w:rFonts w:hint="eastAsia" w:ascii="仿宋" w:hAnsi="仿宋" w:eastAsia="仿宋" w:cs="仿宋"/>
                <w:spacing w:val="-8"/>
                <w:sz w:val="24"/>
                <w:szCs w:val="24"/>
              </w:rPr>
              <w:t>4、</w:t>
            </w:r>
            <w:r>
              <w:rPr>
                <w:rFonts w:hint="eastAsia" w:ascii="仿宋" w:hAnsi="仿宋" w:eastAsia="仿宋" w:cs="仿宋"/>
                <w:sz w:val="24"/>
                <w:szCs w:val="24"/>
              </w:rPr>
              <w:t>考核总分为100分，每项扣分不超过项目的分值，分数扣完为止。</w:t>
            </w:r>
          </w:p>
        </w:tc>
      </w:tr>
    </w:tbl>
    <w:p>
      <w:pPr>
        <w:pStyle w:val="60"/>
        <w:jc w:val="left"/>
        <w:rPr>
          <w:rFonts w:hint="eastAsia" w:ascii="仿宋" w:hAnsi="仿宋" w:eastAsia="仿宋" w:cs="仿宋"/>
          <w:sz w:val="24"/>
          <w:szCs w:val="24"/>
        </w:rPr>
      </w:pPr>
    </w:p>
    <w:p>
      <w:pPr>
        <w:pStyle w:val="60"/>
        <w:jc w:val="left"/>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（3）公厕保洁考核标准</w:t>
      </w:r>
    </w:p>
    <w:p>
      <w:pPr>
        <w:rPr>
          <w:rFonts w:hint="eastAsia" w:ascii="仿宋" w:hAnsi="仿宋" w:eastAsia="仿宋" w:cs="仿宋"/>
          <w:b/>
          <w:bCs/>
          <w:sz w:val="24"/>
          <w:szCs w:val="24"/>
        </w:rPr>
      </w:pPr>
      <w:r>
        <w:rPr>
          <w:rFonts w:hint="eastAsia" w:ascii="仿宋" w:hAnsi="仿宋" w:eastAsia="仿宋" w:cs="仿宋"/>
          <w:b/>
          <w:bCs/>
          <w:sz w:val="24"/>
          <w:szCs w:val="24"/>
        </w:rPr>
        <w:t>考核要求及方式</w:t>
      </w:r>
    </w:p>
    <w:p>
      <w:pPr>
        <w:rPr>
          <w:rFonts w:hint="eastAsia" w:ascii="仿宋" w:hAnsi="仿宋" w:eastAsia="仿宋" w:cs="仿宋"/>
          <w:sz w:val="24"/>
          <w:szCs w:val="24"/>
        </w:rPr>
      </w:pPr>
      <w:r>
        <w:rPr>
          <w:rFonts w:hint="eastAsia" w:ascii="仿宋" w:hAnsi="仿宋" w:eastAsia="仿宋" w:cs="仿宋"/>
          <w:sz w:val="24"/>
          <w:szCs w:val="24"/>
        </w:rPr>
        <w:t xml:space="preserve">    甲方根据考核办法每季度月末前组织人员对乙方保洁情况进行现场检查考核。考核结果与服务金额支付挂钩。考核结果分为一档、二档、三档、四档。考核得分在90分以上（含）为一档，80分（含）至90分为二档，70分（含）至80分为三档，70分以下为四档。考核为一档，100%支付服务考核费用。考核为二档，按照90%支付服务考核费用。考核为三档，按照80%支付服务考核费用。考核为四档，按照70%支付服务考核费用。保洁费以季度为结算周期，每个季度期满后的第一个月内完成支付。如遇连续两季度费用未支付，乙方有权停止服务。  </w:t>
      </w:r>
    </w:p>
    <w:p>
      <w:pPr>
        <w:rPr>
          <w:rFonts w:hint="eastAsia" w:ascii="仿宋" w:hAnsi="仿宋" w:eastAsia="仿宋" w:cs="仿宋"/>
          <w:sz w:val="24"/>
          <w:szCs w:val="24"/>
        </w:rPr>
      </w:pPr>
      <w:r>
        <w:rPr>
          <w:rFonts w:hint="eastAsia" w:ascii="仿宋" w:hAnsi="仿宋" w:eastAsia="仿宋" w:cs="仿宋"/>
          <w:sz w:val="24"/>
          <w:szCs w:val="24"/>
        </w:rPr>
        <w:t xml:space="preserve">    甲方对乙方的管理项目实施日常监管及考核,考核不合格,甲方有权扣付部分经费,如多次考核不合格甲方有权单方面终止合同。</w:t>
      </w: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临平区</w:t>
      </w:r>
      <w:r>
        <w:rPr>
          <w:rFonts w:hint="eastAsia" w:ascii="仿宋" w:hAnsi="仿宋" w:eastAsia="仿宋" w:cs="仿宋"/>
          <w:sz w:val="24"/>
          <w:szCs w:val="24"/>
        </w:rPr>
        <w:t>城市化管理范围内公厕分类管理现场评分标准</w:t>
      </w:r>
    </w:p>
    <w:p>
      <w:pPr>
        <w:spacing w:line="360" w:lineRule="auto"/>
        <w:jc w:val="left"/>
        <w:rPr>
          <w:rFonts w:hint="eastAsia" w:ascii="仿宋" w:hAnsi="仿宋" w:eastAsia="仿宋" w:cs="仿宋"/>
          <w:sz w:val="24"/>
          <w:szCs w:val="24"/>
        </w:rPr>
      </w:pPr>
      <w:r>
        <w:rPr>
          <w:rFonts w:hint="eastAsia" w:ascii="仿宋" w:hAnsi="仿宋" w:eastAsia="仿宋" w:cs="仿宋"/>
          <w:b/>
          <w:sz w:val="24"/>
          <w:szCs w:val="24"/>
        </w:rPr>
        <w:t>考核对象：                             考核时间：</w:t>
      </w:r>
    </w:p>
    <w:tbl>
      <w:tblPr>
        <w:tblStyle w:val="64"/>
        <w:tblW w:w="0" w:type="auto"/>
        <w:jc w:val="center"/>
        <w:tblLayout w:type="fixed"/>
        <w:tblCellMar>
          <w:top w:w="0" w:type="dxa"/>
          <w:left w:w="108" w:type="dxa"/>
          <w:bottom w:w="0" w:type="dxa"/>
          <w:right w:w="108" w:type="dxa"/>
        </w:tblCellMar>
      </w:tblPr>
      <w:tblGrid>
        <w:gridCol w:w="375"/>
        <w:gridCol w:w="1011"/>
        <w:gridCol w:w="3794"/>
        <w:gridCol w:w="3672"/>
        <w:gridCol w:w="577"/>
      </w:tblGrid>
      <w:tr>
        <w:tblPrEx>
          <w:tblCellMar>
            <w:top w:w="0" w:type="dxa"/>
            <w:left w:w="108" w:type="dxa"/>
            <w:bottom w:w="0" w:type="dxa"/>
            <w:right w:w="108" w:type="dxa"/>
          </w:tblCellMar>
        </w:tblPrEx>
        <w:trPr>
          <w:trHeight w:val="540" w:hRule="atLeast"/>
          <w:jc w:val="center"/>
        </w:trPr>
        <w:tc>
          <w:tcPr>
            <w:tcW w:w="3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011"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检查</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项目</w:t>
            </w:r>
          </w:p>
        </w:tc>
        <w:tc>
          <w:tcPr>
            <w:tcW w:w="379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管理作业标准</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评分标准</w:t>
            </w:r>
          </w:p>
        </w:tc>
        <w:tc>
          <w:tcPr>
            <w:tcW w:w="57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扣分</w:t>
            </w:r>
          </w:p>
        </w:tc>
      </w:tr>
      <w:tr>
        <w:tblPrEx>
          <w:tblCellMar>
            <w:top w:w="0" w:type="dxa"/>
            <w:left w:w="108" w:type="dxa"/>
            <w:bottom w:w="0" w:type="dxa"/>
            <w:right w:w="108" w:type="dxa"/>
          </w:tblCellMar>
        </w:tblPrEx>
        <w:trPr>
          <w:trHeight w:val="1058" w:hRule="atLeast"/>
          <w:jc w:val="center"/>
        </w:trPr>
        <w:tc>
          <w:tcPr>
            <w:tcW w:w="375"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011" w:type="dxa"/>
            <w:vMerge w:val="restart"/>
            <w:tcBorders>
              <w:top w:val="single" w:color="auto" w:sz="4" w:space="0"/>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管理</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制度（10分）</w:t>
            </w:r>
          </w:p>
        </w:tc>
        <w:tc>
          <w:tcPr>
            <w:tcW w:w="3794" w:type="dxa"/>
            <w:tcBorders>
              <w:top w:val="single" w:color="auto" w:sz="4" w:space="0"/>
              <w:left w:val="nil"/>
              <w:bottom w:val="single" w:color="auto" w:sz="4" w:space="0"/>
              <w:right w:val="single" w:color="auto" w:sz="4" w:space="0"/>
            </w:tcBorders>
            <w:noWrap w:val="0"/>
            <w:vAlign w:val="top"/>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按照统一要求设置公厕管理制度牌,做到制度上墙。</w:t>
            </w:r>
          </w:p>
        </w:tc>
        <w:tc>
          <w:tcPr>
            <w:tcW w:w="3672" w:type="dxa"/>
            <w:tcBorders>
              <w:top w:val="single" w:color="auto" w:sz="4" w:space="0"/>
              <w:left w:val="nil"/>
              <w:bottom w:val="single" w:color="auto" w:sz="4" w:space="0"/>
              <w:right w:val="single" w:color="auto" w:sz="4" w:space="0"/>
            </w:tcBorders>
            <w:noWrap w:val="0"/>
            <w:vAlign w:val="top"/>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未设置公厕管理制度牌的扣5分/次，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制度牌破损、字体不清晰、公示的信息缺项及不准确的扣3分/次。</w:t>
            </w:r>
          </w:p>
        </w:tc>
        <w:tc>
          <w:tcPr>
            <w:tcW w:w="577" w:type="dxa"/>
            <w:tcBorders>
              <w:top w:val="single" w:color="auto" w:sz="4" w:space="0"/>
              <w:left w:val="nil"/>
              <w:bottom w:val="single" w:color="auto" w:sz="4" w:space="0"/>
              <w:right w:val="single" w:color="auto" w:sz="4" w:space="0"/>
            </w:tcBorders>
            <w:noWrap w:val="0"/>
            <w:vAlign w:val="top"/>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1895" w:hRule="atLeast"/>
          <w:jc w:val="center"/>
        </w:trPr>
        <w:tc>
          <w:tcPr>
            <w:tcW w:w="375"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1011" w:type="dxa"/>
            <w:vMerge w:val="continue"/>
            <w:tcBorders>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nil"/>
              <w:bottom w:val="single" w:color="auto" w:sz="4" w:space="0"/>
              <w:right w:val="single" w:color="auto" w:sz="4" w:space="0"/>
            </w:tcBorders>
            <w:noWrap w:val="0"/>
            <w:vAlign w:val="top"/>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24小时免费开放公厕，无障碍间、厕位正常开放使用，并在保洁时段内落实专人管理。16小时免费开放公厕（6:00—22:00），18小时免费开放公厕（5:00—23:00），按人均保洁厕位的定额要求，落实专职保洁人员。四星级（含）以上公厕实行男、女分设保洁管理。</w:t>
            </w:r>
          </w:p>
        </w:tc>
        <w:tc>
          <w:tcPr>
            <w:tcW w:w="3672" w:type="dxa"/>
            <w:tcBorders>
              <w:top w:val="single" w:color="auto" w:sz="4" w:space="0"/>
              <w:left w:val="nil"/>
              <w:bottom w:val="single" w:color="auto" w:sz="4" w:space="0"/>
              <w:right w:val="single" w:color="auto" w:sz="4" w:space="0"/>
            </w:tcBorders>
            <w:noWrap w:val="0"/>
            <w:vAlign w:val="top"/>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未经审核同意，无故关闭公厕的扣10分/次，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无故关闭无障碍间、男女厕位的扣2分/次。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未落实专职保洁员的扣1分/次，保洁员脱岗的2分/次。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四星级以上公厕未实行男、女分设保洁管理的，扣2分/次。</w:t>
            </w:r>
          </w:p>
        </w:tc>
        <w:tc>
          <w:tcPr>
            <w:tcW w:w="577" w:type="dxa"/>
            <w:tcBorders>
              <w:top w:val="single" w:color="auto" w:sz="4" w:space="0"/>
              <w:left w:val="nil"/>
              <w:bottom w:val="single" w:color="auto" w:sz="4" w:space="0"/>
              <w:right w:val="single" w:color="auto" w:sz="4" w:space="0"/>
            </w:tcBorders>
            <w:noWrap w:val="0"/>
            <w:vAlign w:val="top"/>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1835" w:hRule="atLeast"/>
          <w:jc w:val="center"/>
        </w:trPr>
        <w:tc>
          <w:tcPr>
            <w:tcW w:w="375"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011" w:type="dxa"/>
            <w:vMerge w:val="restart"/>
            <w:tcBorders>
              <w:top w:val="single" w:color="auto" w:sz="4" w:space="0"/>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作业规范（30分）</w:t>
            </w:r>
          </w:p>
        </w:tc>
        <w:tc>
          <w:tcPr>
            <w:tcW w:w="379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强化作业规范，不发生有责安全事故事件。一旦发生环卫工人伤亡的事故应立即逐级上报，发生环卫工人群体性事件的，严格做到在2小时内上报。</w:t>
            </w:r>
          </w:p>
          <w:p>
            <w:pPr>
              <w:spacing w:line="280" w:lineRule="exact"/>
              <w:jc w:val="center"/>
              <w:rPr>
                <w:rFonts w:hint="eastAsia" w:ascii="仿宋" w:hAnsi="仿宋" w:eastAsia="仿宋" w:cs="仿宋"/>
                <w:kern w:val="0"/>
                <w:sz w:val="24"/>
                <w:szCs w:val="24"/>
              </w:rPr>
            </w:pP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1.发生有责死亡安全事故或直接经济损失30万以上的，每起扣1环扣养护得分3分;有责伤人事故或直接经济损失在20万以上的，每发生一次扣2分；有责事故扣养护得分1分。</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2.事故未上报的扣2分，未在2小时内及时上报的扣1分。</w:t>
            </w:r>
          </w:p>
        </w:tc>
        <w:tc>
          <w:tcPr>
            <w:tcW w:w="577" w:type="dxa"/>
            <w:tcBorders>
              <w:top w:val="single" w:color="auto" w:sz="4" w:space="0"/>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3391" w:hRule="atLeast"/>
          <w:jc w:val="center"/>
        </w:trPr>
        <w:tc>
          <w:tcPr>
            <w:tcW w:w="375" w:type="dxa"/>
            <w:vMerge w:val="continue"/>
            <w:tcBorders>
              <w:left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1011" w:type="dxa"/>
            <w:vMerge w:val="continue"/>
            <w:tcBorders>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强化公厕管理房安全，公厕管理房安全设置100%。</w:t>
            </w:r>
          </w:p>
          <w:p>
            <w:pPr>
              <w:spacing w:line="280" w:lineRule="exact"/>
              <w:jc w:val="center"/>
              <w:rPr>
                <w:rFonts w:hint="eastAsia" w:ascii="仿宋" w:hAnsi="仿宋" w:eastAsia="仿宋" w:cs="仿宋"/>
                <w:kern w:val="0"/>
                <w:sz w:val="24"/>
                <w:szCs w:val="24"/>
              </w:rPr>
            </w:pP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管理房内、外私拉电线、乱接插头插座、裸露接线现象每处扣2分；</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使用电热毯、电暖炉、热的快等大功率电器设备每处扣2分；</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使用蜡烛、煤油炉等明火设施每处扣2分；</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存放汽油、酒精等易燃、易爆物品每处扣2分。</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在灯具上拴挂蚊帐、晾晒衣物、节日装饰物每处扣2分。</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无消防器材配备每座扣3分，保洁员不会使用扣2分。</w:t>
            </w:r>
          </w:p>
        </w:tc>
        <w:tc>
          <w:tcPr>
            <w:tcW w:w="577" w:type="dxa"/>
            <w:tcBorders>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2353" w:hRule="atLeast"/>
          <w:jc w:val="center"/>
        </w:trPr>
        <w:tc>
          <w:tcPr>
            <w:tcW w:w="375" w:type="dxa"/>
            <w:vMerge w:val="continue"/>
            <w:tcBorders>
              <w:left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1011" w:type="dxa"/>
            <w:vMerge w:val="continue"/>
            <w:tcBorders>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保洁员应着统一的工作服并佩带上岗证。免费向公众提供洗手液和手纸服务，保持足够用量。保洁作业时需设置警示牌，冲洗厕所地面和雨雪冰冻天气时需铺设防滑垫。保洁作业时主动避让如厕人员。</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保洁员工作时间未统一着装或未佩戴上岗证的每项扣3分/次；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未免费向公众提供洗手液和手纸服务的，每发现一次扣2分/次；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作业时未设置警示牌的扣3分/次；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冲洗厕所地面和雨雪冰冻天气时未铺设防滑垫的扣3/次；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保洁作业时未主动避让如厕人员，遇到有责投诉的的扣2分/次。</w:t>
            </w:r>
          </w:p>
        </w:tc>
        <w:tc>
          <w:tcPr>
            <w:tcW w:w="577" w:type="dxa"/>
            <w:tcBorders>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3391" w:hRule="atLeast"/>
          <w:jc w:val="center"/>
        </w:trPr>
        <w:tc>
          <w:tcPr>
            <w:tcW w:w="375" w:type="dxa"/>
            <w:vMerge w:val="continue"/>
            <w:tcBorders>
              <w:left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1011" w:type="dxa"/>
            <w:vMerge w:val="continue"/>
            <w:tcBorders>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内外不得乱接水管。公厕管理员上班期间不得在公厕公共区域从事洗衣及洗碗等事情。公厕管理间只能用于公厕保洁管理人员使用，上班时间不得在管理间内干杂活、睡觉，闲杂人员不得随意在管理间内休息等。必须保持管理间内整洁有序，必要物品摆放整齐。不得在管理间内饮酒、吸烟。不得利用公厕从事销售商品（自动售纸机除外）、废品回收等经营性活动。公厕内不得饲养宠物。公厕无障碍间不得容留社会闲杂人员。</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公厕内外乱接水管的每项扣2/次；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管理间居住与公厕保洁管理无关人员及逗留与公厕保洁管理无关人员的扣2分/次；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上班时间在管理间内干与公厕保洁管理无关的杂活或睡觉的扣2分/次；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管理间物品摆放杂乱、不洁的扣1分/次；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在管理间内饮酒、吸烟的扣2分/次；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利用公厕从事销售商品、废品回收等经营性活动的扣5分/次；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公厕内饲养宠物的扣2分/次。</w:t>
            </w:r>
          </w:p>
        </w:tc>
        <w:tc>
          <w:tcPr>
            <w:tcW w:w="57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2353" w:hRule="atLeast"/>
          <w:jc w:val="center"/>
        </w:trPr>
        <w:tc>
          <w:tcPr>
            <w:tcW w:w="375"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1011" w:type="dxa"/>
            <w:vMerge w:val="continue"/>
            <w:tcBorders>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粪污水应排入市政污水管网或经吸粪车转运至粪便处理场所处置，公厕化粪池每半年清理、疏通不少于1次，贮粪池内的粪污水应及时转运。化粪池、贮粪池周围场地应保持整洁，地面无粪迹、垃圾、污水、恶臭、蝇蛆。化粪池、贮粪池无满溢问题，若发生满溢问题应在2小时内予以解决。</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粪污水未按照规定达到规范化处置排放要求的扣10分/次，粪污水、粪便污染周边水体等环境的扣10分/次。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化粪池、贮粪池臭气外溢的扣5分/次，周围地面有粪迹、垃圾、污水、恶臭、蝇蛆的每项扣2分/次，满溢的扣5分/次，发生满溢问题未在规定时间内妥善处理的扣5分/次。</w:t>
            </w:r>
          </w:p>
        </w:tc>
        <w:tc>
          <w:tcPr>
            <w:tcW w:w="57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3391" w:hRule="atLeast"/>
          <w:jc w:val="center"/>
        </w:trPr>
        <w:tc>
          <w:tcPr>
            <w:tcW w:w="375"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011" w:type="dxa"/>
            <w:vMerge w:val="restart"/>
            <w:tcBorders>
              <w:top w:val="single" w:color="auto" w:sz="4" w:space="0"/>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保洁管理（30分）</w:t>
            </w:r>
          </w:p>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天花板、内外墙面、门窗、洗手池及台面、拖把池、大小便厕位隔断、搁物台、上下水管、镜子等无积尘、无污迹、无蛛网、无乱涂乱画。公厕内的垃圾桶或厕位纸篓，应及时清理，保持设施完好干净整洁，无满溢现象。公厕内无杂物堆放。公厕及厕位地面清洁无垃圾、污迹、积水。公厕内通风良好，无臭味。三星以上公厕异味0度以上。</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公厕天花板、内外墙面、门窗、洗手池及台面、拖把池、大小便厕位隔断、搁物台、上下水管、镜子等不洁的每项扣1分/次。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垃圾桶或纸篓破损不洁的，以及垃圾量超过容量2/3的扣1分/次，满溢的扣2分/次。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公厕内堆放杂物、厕位内乱堆放作业工具的扣2分/次。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公厕及厕位地面不洁、湿滑积水的每项扣1分/次。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工具间环境不整洁的扣1分/次。公厕有明显臭味的扣2分/次。</w:t>
            </w:r>
          </w:p>
        </w:tc>
        <w:tc>
          <w:tcPr>
            <w:tcW w:w="57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798" w:hRule="atLeast"/>
          <w:jc w:val="center"/>
        </w:trPr>
        <w:tc>
          <w:tcPr>
            <w:tcW w:w="375" w:type="dxa"/>
            <w:vMerge w:val="continue"/>
            <w:tcBorders>
              <w:left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1011" w:type="dxa"/>
            <w:vMerge w:val="continue"/>
            <w:tcBorders>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倒粪处以及大便器、大便槽清洁，无粪便污垢、无积粪、无堵塞、洁净见底。</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倒粪处以及大便器、大便槽污垢不洁的每处扣1分/次，有积粪的扣2分/次，堵塞的扣5分/次。</w:t>
            </w:r>
          </w:p>
        </w:tc>
        <w:tc>
          <w:tcPr>
            <w:tcW w:w="57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798" w:hRule="atLeast"/>
          <w:jc w:val="center"/>
        </w:trPr>
        <w:tc>
          <w:tcPr>
            <w:tcW w:w="375" w:type="dxa"/>
            <w:vMerge w:val="continue"/>
            <w:tcBorders>
              <w:left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1011" w:type="dxa"/>
            <w:vMerge w:val="continue"/>
            <w:tcBorders>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小便器（槽）清洁无水锈、尿垢、垃圾，沟眼、管道保持畅通。</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小便器（槽）有水锈、尿垢、垃圾等不洁的每项扣1分/次，沟眼、管道流水不畅通的每项扣2分/次。</w:t>
            </w:r>
          </w:p>
        </w:tc>
        <w:tc>
          <w:tcPr>
            <w:tcW w:w="57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1058" w:hRule="atLeast"/>
          <w:jc w:val="center"/>
        </w:trPr>
        <w:tc>
          <w:tcPr>
            <w:tcW w:w="375"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1011" w:type="dxa"/>
            <w:vMerge w:val="continue"/>
            <w:tcBorders>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公厕外环境（有绿化带的以绿化带外围为界限，无绿化带的外墙起4米范围内）整洁有序，无垃圾、无粪便、无晾晒衣物、无杂物堆放吊挂、无落叶积留。</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公厕外环境不洁，有作业工具乱放，垃圾、粪便、杂物堆放吊挂、晾晒衣物现象的每项扣1分/次。落叶积留不清扫的扣1分/次。</w:t>
            </w:r>
          </w:p>
        </w:tc>
        <w:tc>
          <w:tcPr>
            <w:tcW w:w="57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2095" w:hRule="atLeast"/>
          <w:jc w:val="center"/>
        </w:trPr>
        <w:tc>
          <w:tcPr>
            <w:tcW w:w="375"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011" w:type="dxa"/>
            <w:vMerge w:val="restart"/>
            <w:tcBorders>
              <w:top w:val="single" w:color="auto" w:sz="4" w:space="0"/>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设施管理（30分）</w:t>
            </w:r>
          </w:p>
        </w:tc>
        <w:tc>
          <w:tcPr>
            <w:tcW w:w="379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按要求设置公厕指向牌（各路口方向至少两块）、公厕标识牌、夜间灯光指示牌、厕门男女标识牌、无障碍标识牌、管理间标识牌、工具间标识牌、坐厕位标识牌等。厕所各类标识、标牌设置规范、醒目，无破损、遮挡、残缺、歪斜现象。</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公厕指向牌、公厕标识牌、夜间灯光指示牌、厕门男女标识牌、无障碍标识牌、管理间标识牌、工具间标识牌、坐厕位标识牌每缺失一块扣2分/次。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公厕各类标牌不规范设置的每项扣1分/次，破损、遮挡、残缺、歪斜的扣1分/次。</w:t>
            </w:r>
          </w:p>
        </w:tc>
        <w:tc>
          <w:tcPr>
            <w:tcW w:w="57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2873" w:hRule="atLeast"/>
          <w:jc w:val="center"/>
        </w:trPr>
        <w:tc>
          <w:tcPr>
            <w:tcW w:w="375" w:type="dxa"/>
            <w:vMerge w:val="continue"/>
            <w:tcBorders>
              <w:left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1011" w:type="dxa"/>
            <w:vMerge w:val="continue"/>
            <w:tcBorders>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保持公厕设施完好，功能正常。公厕内外墙面无渗漏、破损，地面平整无破损。天花板、门窗及锁、窗栅、大小便厕位隔断、搁物台及金属扣件、镜子、挂衣钩、洗手池台面及水池、大小便器、水龙头、拖把池、水箱、水阀、上下水管无缺失、破损及生锈。公厕倒粪处门、瓷砖等设施完好。</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公厕内外墙面渗漏、墙面破损、乳胶漆脱落的每处扣2分/次，地面不平整、破损的每项扣2分/次。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天花板、门窗及锁、窗栅、大小便厕位隔断、搁物台及金属扣件、镜子、挂衣钩、洗手池台面及水池、大小便器、水龙头、拖把池、上下水管、水箱、水阀缺失、破损、生锈或不能正常使用的每项扣1分/次。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公厕倒粪处设施破损、上锁的扣1分/次。</w:t>
            </w:r>
          </w:p>
        </w:tc>
        <w:tc>
          <w:tcPr>
            <w:tcW w:w="57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2873" w:hRule="atLeast"/>
          <w:jc w:val="center"/>
        </w:trPr>
        <w:tc>
          <w:tcPr>
            <w:tcW w:w="375" w:type="dxa"/>
            <w:vMerge w:val="continue"/>
            <w:tcBorders>
              <w:left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1011" w:type="dxa"/>
            <w:vMerge w:val="continue"/>
            <w:tcBorders>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供水、供电系统运行正常，无安全隐患。公厕照明、除臭设备应正常使用。按不同星级公厕的要求维护管理洗手液分配器、干手器、手纸架、空调器，保持设施完好，功能正常。干手器应正常使用，空调器在气温30℃以上，5℃以下启用（特殊情况除外）。除臭设施运行良好，通风无臭味。</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公厕洗手供水过小，造成无法正常洗手的扣1分/次；存在用电安全隐患的扣2分/次；夜间时段公厕照明光线不足的扣1分/次，照明不亮的每处扣5分/次。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灯具、洗手液分配器、干手器、手纸架、空调器、除臭设备破损或不能正常使用的每项扣1分/次，缺失的扣2分/次。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灯具、除臭设备、夜间灯光指示牌、空调未按照规定启用的扣1分/次。</w:t>
            </w:r>
          </w:p>
        </w:tc>
        <w:tc>
          <w:tcPr>
            <w:tcW w:w="57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1317" w:hRule="atLeast"/>
          <w:jc w:val="center"/>
        </w:trPr>
        <w:tc>
          <w:tcPr>
            <w:tcW w:w="375" w:type="dxa"/>
            <w:vMerge w:val="continue"/>
            <w:tcBorders>
              <w:left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1011" w:type="dxa"/>
            <w:vMerge w:val="continue"/>
            <w:tcBorders>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无障碍通道畅通，扶手（含靠墙厕位扶手）完好、牢固。无障碍间卫生洁具及辅助设施完好。</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无障碍通道不能正常使用的扣2分/次，扶手（含靠墙厕位扶手）缺失破损、松动不牢固的每项扣1分/次。</w:t>
            </w:r>
          </w:p>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无障碍间卫生洁具及辅助设施缺失、破损的扣1分/次。</w:t>
            </w:r>
          </w:p>
        </w:tc>
        <w:tc>
          <w:tcPr>
            <w:tcW w:w="57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540" w:hRule="atLeast"/>
          <w:jc w:val="center"/>
        </w:trPr>
        <w:tc>
          <w:tcPr>
            <w:tcW w:w="375" w:type="dxa"/>
            <w:vMerge w:val="continue"/>
            <w:tcBorders>
              <w:left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1011" w:type="dxa"/>
            <w:vMerge w:val="continue"/>
            <w:tcBorders>
              <w:left w:val="nil"/>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给水和排污管道完好，保持畅通，闸阀严密，无破损。</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给水、排污管道堵塞、破损的扣2分/次。</w:t>
            </w:r>
          </w:p>
        </w:tc>
        <w:tc>
          <w:tcPr>
            <w:tcW w:w="57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613" w:hRule="atLeast"/>
          <w:jc w:val="center"/>
        </w:trPr>
        <w:tc>
          <w:tcPr>
            <w:tcW w:w="375" w:type="dxa"/>
            <w:vMerge w:val="continue"/>
            <w:tcBorders>
              <w:left w:val="single" w:color="auto" w:sz="4" w:space="0"/>
              <w:bottom w:val="single" w:color="000000"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1011" w:type="dxa"/>
            <w:vMerge w:val="continue"/>
            <w:tcBorders>
              <w:left w:val="nil"/>
              <w:bottom w:val="single" w:color="000000"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c>
          <w:tcPr>
            <w:tcW w:w="379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化粪池、贮粪池密闭性能良好，粪池盖密闭，无缺失、破损、松动现象。</w:t>
            </w:r>
          </w:p>
        </w:tc>
        <w:tc>
          <w:tcPr>
            <w:tcW w:w="367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化粪池、贮粪池、公厕粪池盖不密闭、缺失、破损、松动的扣2分/次。</w:t>
            </w:r>
          </w:p>
        </w:tc>
        <w:tc>
          <w:tcPr>
            <w:tcW w:w="57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500" w:hRule="atLeast"/>
          <w:jc w:val="center"/>
        </w:trPr>
        <w:tc>
          <w:tcPr>
            <w:tcW w:w="5180" w:type="dxa"/>
            <w:gridSpan w:val="3"/>
            <w:tcBorders>
              <w:top w:val="single" w:color="auto" w:sz="4" w:space="0"/>
              <w:left w:val="single" w:color="auto" w:sz="4" w:space="0"/>
              <w:bottom w:val="single" w:color="000000"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总分</w:t>
            </w:r>
          </w:p>
        </w:tc>
        <w:tc>
          <w:tcPr>
            <w:tcW w:w="4249"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kern w:val="0"/>
                <w:sz w:val="24"/>
                <w:szCs w:val="24"/>
              </w:rPr>
            </w:pPr>
          </w:p>
        </w:tc>
      </w:tr>
    </w:tbl>
    <w:p>
      <w:pPr>
        <w:pStyle w:val="60"/>
        <w:jc w:val="left"/>
        <w:rPr>
          <w:rFonts w:hint="eastAsia" w:ascii="仿宋" w:hAnsi="仿宋" w:eastAsia="仿宋" w:cs="仿宋"/>
          <w:sz w:val="24"/>
          <w:szCs w:val="24"/>
        </w:rPr>
      </w:pPr>
    </w:p>
    <w:p>
      <w:pPr>
        <w:pStyle w:val="60"/>
        <w:jc w:val="left"/>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（4）商户垃圾运输（音乐线，含生鲜专运）考核标准</w:t>
      </w:r>
    </w:p>
    <w:p>
      <w:pPr>
        <w:rPr>
          <w:rFonts w:hint="eastAsia" w:ascii="仿宋" w:hAnsi="仿宋" w:eastAsia="仿宋" w:cs="仿宋"/>
          <w:b/>
          <w:bCs/>
          <w:sz w:val="24"/>
          <w:szCs w:val="24"/>
        </w:rPr>
      </w:pPr>
    </w:p>
    <w:p>
      <w:pPr>
        <w:rPr>
          <w:rFonts w:hint="eastAsia" w:ascii="仿宋" w:hAnsi="仿宋" w:eastAsia="仿宋" w:cs="仿宋"/>
          <w:b/>
          <w:bCs/>
          <w:sz w:val="24"/>
          <w:szCs w:val="24"/>
        </w:rPr>
      </w:pPr>
      <w:r>
        <w:rPr>
          <w:rFonts w:hint="eastAsia" w:ascii="仿宋" w:hAnsi="仿宋" w:eastAsia="仿宋" w:cs="仿宋"/>
          <w:b/>
          <w:bCs/>
          <w:sz w:val="24"/>
          <w:szCs w:val="24"/>
        </w:rPr>
        <w:t>音乐线考核要求及方式</w:t>
      </w:r>
    </w:p>
    <w:p>
      <w:pPr>
        <w:rPr>
          <w:rFonts w:hint="eastAsia" w:ascii="仿宋" w:hAnsi="仿宋" w:eastAsia="仿宋" w:cs="仿宋"/>
          <w:sz w:val="24"/>
          <w:szCs w:val="24"/>
        </w:rPr>
      </w:pPr>
      <w:r>
        <w:rPr>
          <w:rFonts w:hint="eastAsia" w:ascii="仿宋" w:hAnsi="仿宋" w:eastAsia="仿宋" w:cs="仿宋"/>
          <w:sz w:val="24"/>
          <w:szCs w:val="24"/>
        </w:rPr>
        <w:t xml:space="preserve">    保洁期内，在迎检和各类创建活动中，乙方单位应无条件服从甲方的安排，圆满完成各项任务，由于乙方单位的原因失分或造成不良影响的，甲方有权进行处罚和清退乙方单位。</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保洁期内所发生的任何安全事故一律由乙方单位负责，甲方不承担任何责任。</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甲方根据考核办法每季度月末前组织人员对乙方运营情况进行现场检查考核。如发现乙方不按规定（上午和下午各收运两次）作业的，一次扣除金额1500元。</w:t>
      </w:r>
    </w:p>
    <w:p>
      <w:pPr>
        <w:adjustRightInd w:val="0"/>
        <w:snapToGrid w:val="0"/>
        <w:spacing w:line="520" w:lineRule="exact"/>
        <w:jc w:val="center"/>
        <w:rPr>
          <w:rFonts w:hint="eastAsia" w:ascii="仿宋" w:hAnsi="仿宋" w:eastAsia="仿宋" w:cs="仿宋"/>
          <w:b/>
          <w:sz w:val="24"/>
          <w:szCs w:val="24"/>
        </w:rPr>
      </w:pPr>
      <w:r>
        <w:rPr>
          <w:rFonts w:hint="eastAsia" w:ascii="仿宋" w:hAnsi="仿宋" w:eastAsia="仿宋" w:cs="仿宋"/>
          <w:b/>
          <w:sz w:val="24"/>
          <w:szCs w:val="24"/>
        </w:rPr>
        <w:t>垃圾不落地音乐线考核评分细则</w:t>
      </w:r>
    </w:p>
    <w:tbl>
      <w:tblPr>
        <w:tblStyle w:val="64"/>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875"/>
        <w:gridCol w:w="5055"/>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仿宋" w:hAnsi="仿宋" w:eastAsia="仿宋" w:cs="仿宋"/>
                <w:b/>
                <w:sz w:val="24"/>
                <w:szCs w:val="24"/>
              </w:rPr>
            </w:pPr>
            <w:r>
              <w:rPr>
                <w:rFonts w:hint="eastAsia" w:ascii="仿宋" w:hAnsi="仿宋" w:eastAsia="仿宋" w:cs="仿宋"/>
                <w:b/>
                <w:sz w:val="24"/>
                <w:szCs w:val="24"/>
              </w:rPr>
              <w:t>考核</w:t>
            </w:r>
          </w:p>
          <w:p>
            <w:pPr>
              <w:adjustRightInd w:val="0"/>
              <w:snapToGrid w:val="0"/>
              <w:spacing w:line="520" w:lineRule="exact"/>
              <w:ind w:left="1"/>
              <w:jc w:val="center"/>
              <w:rPr>
                <w:rFonts w:hint="eastAsia" w:ascii="仿宋" w:hAnsi="仿宋" w:eastAsia="仿宋" w:cs="仿宋"/>
                <w:b/>
                <w:sz w:val="24"/>
                <w:szCs w:val="24"/>
              </w:rPr>
            </w:pPr>
            <w:r>
              <w:rPr>
                <w:rFonts w:hint="eastAsia" w:ascii="仿宋" w:hAnsi="仿宋" w:eastAsia="仿宋" w:cs="仿宋"/>
                <w:b/>
                <w:sz w:val="24"/>
                <w:szCs w:val="24"/>
              </w:rPr>
              <w:t>项目</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仿宋" w:hAnsi="仿宋" w:eastAsia="仿宋" w:cs="仿宋"/>
                <w:b/>
                <w:sz w:val="24"/>
                <w:szCs w:val="24"/>
              </w:rPr>
            </w:pPr>
            <w:r>
              <w:rPr>
                <w:rFonts w:hint="eastAsia" w:ascii="仿宋" w:hAnsi="仿宋" w:eastAsia="仿宋" w:cs="仿宋"/>
                <w:b/>
                <w:sz w:val="24"/>
                <w:szCs w:val="24"/>
              </w:rPr>
              <w:t>考核内容</w:t>
            </w:r>
          </w:p>
        </w:tc>
        <w:tc>
          <w:tcPr>
            <w:tcW w:w="50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仿宋" w:hAnsi="仿宋" w:eastAsia="仿宋" w:cs="仿宋"/>
                <w:b/>
                <w:sz w:val="24"/>
                <w:szCs w:val="24"/>
              </w:rPr>
            </w:pPr>
            <w:r>
              <w:rPr>
                <w:rFonts w:hint="eastAsia" w:ascii="仿宋" w:hAnsi="仿宋" w:eastAsia="仿宋" w:cs="仿宋"/>
                <w:b/>
                <w:sz w:val="24"/>
                <w:szCs w:val="24"/>
              </w:rPr>
              <w:t>考核  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955"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制度规范（15分）</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制度建立</w:t>
            </w:r>
          </w:p>
        </w:tc>
        <w:tc>
          <w:tcPr>
            <w:tcW w:w="50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r>
              <w:rPr>
                <w:rFonts w:hint="eastAsia" w:ascii="仿宋" w:hAnsi="仿宋" w:eastAsia="仿宋" w:cs="仿宋"/>
                <w:sz w:val="24"/>
                <w:szCs w:val="24"/>
              </w:rPr>
              <w:t>按照《2018年度余杭区垃圾不落地音乐线创建方案》结合实际情况制定方案，作业单位制定作业制度，确保作业规范。未建立方案扣3分，未签订考核制度3分。</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955" w:type="dxa"/>
            <w:vMerge w:val="continue"/>
            <w:tcBorders>
              <w:left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投放模式</w:t>
            </w:r>
          </w:p>
        </w:tc>
        <w:tc>
          <w:tcPr>
            <w:tcW w:w="50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r>
              <w:rPr>
                <w:rFonts w:hint="eastAsia" w:ascii="仿宋" w:hAnsi="仿宋" w:eastAsia="仿宋" w:cs="仿宋"/>
                <w:sz w:val="24"/>
                <w:szCs w:val="24"/>
              </w:rPr>
              <w:t>按照三化四分工作要求，实施干垃圾与湿垃圾分类投放。未设置分类投放模式的扣6分</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955"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执证上岗</w:t>
            </w:r>
          </w:p>
        </w:tc>
        <w:tc>
          <w:tcPr>
            <w:tcW w:w="50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r>
              <w:rPr>
                <w:rFonts w:hint="eastAsia" w:ascii="仿宋" w:hAnsi="仿宋" w:eastAsia="仿宋" w:cs="仿宋"/>
                <w:sz w:val="24"/>
                <w:szCs w:val="24"/>
              </w:rPr>
              <w:t>按照交警部门要求，电动车驾驶员需执证上岗。如安排无证人员驾驶，扣3分。</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95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日常管理（60）</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履行情况</w:t>
            </w:r>
          </w:p>
        </w:tc>
        <w:tc>
          <w:tcPr>
            <w:tcW w:w="50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r>
              <w:rPr>
                <w:rFonts w:hint="eastAsia" w:ascii="仿宋" w:hAnsi="仿宋" w:eastAsia="仿宋" w:cs="仿宋"/>
                <w:sz w:val="24"/>
                <w:szCs w:val="24"/>
              </w:rPr>
              <w:t>根据现场情况考核。未按规定时间清运的扣4分，未播放统一告知音乐的扣3分，未按定时定点停靠或未等候商铺投放垃圾扣3分。</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9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“撤路入巷”</w:t>
            </w:r>
          </w:p>
          <w:p>
            <w:pPr>
              <w:adjustRightInd w:val="0"/>
              <w:snapToGrid w:val="0"/>
              <w:spacing w:line="400" w:lineRule="exact"/>
              <w:ind w:left="1"/>
              <w:jc w:val="center"/>
              <w:rPr>
                <w:rFonts w:hint="eastAsia" w:ascii="仿宋" w:hAnsi="仿宋" w:eastAsia="仿宋" w:cs="仿宋"/>
                <w:sz w:val="24"/>
                <w:szCs w:val="24"/>
                <w:highlight w:val="yellow"/>
              </w:rPr>
            </w:pPr>
            <w:r>
              <w:rPr>
                <w:rFonts w:hint="eastAsia" w:ascii="仿宋" w:hAnsi="仿宋" w:eastAsia="仿宋" w:cs="仿宋"/>
                <w:sz w:val="24"/>
                <w:szCs w:val="24"/>
              </w:rPr>
              <w:t>“撤路入店”</w:t>
            </w:r>
          </w:p>
        </w:tc>
        <w:tc>
          <w:tcPr>
            <w:tcW w:w="50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highlight w:val="yellow"/>
              </w:rPr>
            </w:pPr>
            <w:r>
              <w:rPr>
                <w:rFonts w:hint="eastAsia" w:ascii="仿宋" w:hAnsi="仿宋" w:eastAsia="仿宋" w:cs="仿宋"/>
                <w:sz w:val="24"/>
                <w:szCs w:val="24"/>
              </w:rPr>
              <w:t>根据现场情况考核。未执行垃圾桶“撤路入巷”、“撤路入店”的，每发现一处扣5分。</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9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highlight w:val="yellow"/>
              </w:rPr>
            </w:pPr>
            <w:r>
              <w:rPr>
                <w:rFonts w:hint="eastAsia" w:ascii="仿宋" w:hAnsi="仿宋" w:eastAsia="仿宋" w:cs="仿宋"/>
                <w:sz w:val="24"/>
                <w:szCs w:val="24"/>
              </w:rPr>
              <w:t>车辆使用情况</w:t>
            </w:r>
          </w:p>
        </w:tc>
        <w:tc>
          <w:tcPr>
            <w:tcW w:w="50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highlight w:val="yellow"/>
              </w:rPr>
            </w:pPr>
            <w:r>
              <w:rPr>
                <w:rFonts w:hint="eastAsia" w:ascii="仿宋" w:hAnsi="仿宋" w:eastAsia="仿宋" w:cs="仿宋"/>
                <w:sz w:val="24"/>
                <w:szCs w:val="24"/>
              </w:rPr>
              <w:t>保持车身整洁，确保车辆专车专用，无意外机械伤亡事故。如有车身不洁的扣5分，如沿用2016、2017年已创建的垃圾不落地音乐线车辆或混用其他道路车辆扣10分，如发现机械伤亡事故的扣10分。</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9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台账管理</w:t>
            </w:r>
          </w:p>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（5分）</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highlight w:val="yellow"/>
              </w:rPr>
            </w:pPr>
            <w:r>
              <w:rPr>
                <w:rFonts w:hint="eastAsia" w:ascii="仿宋" w:hAnsi="仿宋" w:eastAsia="仿宋" w:cs="仿宋"/>
                <w:sz w:val="24"/>
                <w:szCs w:val="24"/>
              </w:rPr>
              <w:t>方案、合同、收运照片、清运数据、总结等材料整理归档</w:t>
            </w:r>
          </w:p>
        </w:tc>
        <w:tc>
          <w:tcPr>
            <w:tcW w:w="50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highlight w:val="yellow"/>
              </w:rPr>
            </w:pPr>
            <w:r>
              <w:rPr>
                <w:rFonts w:hint="eastAsia" w:ascii="仿宋" w:hAnsi="仿宋" w:eastAsia="仿宋" w:cs="仿宋"/>
                <w:sz w:val="24"/>
                <w:szCs w:val="24"/>
              </w:rPr>
              <w:t>未对方案、合同、收运照片、清运数据、总结等材料进行整理的，每缺一处扣1分。</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55"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宣传    （20分）</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开展入户宣传</w:t>
            </w:r>
          </w:p>
        </w:tc>
        <w:tc>
          <w:tcPr>
            <w:tcW w:w="50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开展入户宣传工作，未提供宣传工作照片扣3分</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955" w:type="dxa"/>
            <w:vMerge w:val="continue"/>
            <w:tcBorders>
              <w:left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确保参与率与知晓率达75%以上</w:t>
            </w:r>
          </w:p>
        </w:tc>
        <w:tc>
          <w:tcPr>
            <w:tcW w:w="50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以沿街商铺、店家对音乐线的知晓度、参与率等指标作为考核依据。知晓率低于75%扣7分，参与率低于75%扣7分。</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955" w:type="dxa"/>
            <w:vMerge w:val="continue"/>
            <w:tcBorders>
              <w:left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仿宋" w:hAnsi="仿宋" w:eastAsia="仿宋" w:cs="仿宋"/>
                <w:sz w:val="24"/>
                <w:szCs w:val="24"/>
              </w:rPr>
            </w:pPr>
            <w:r>
              <w:rPr>
                <w:rFonts w:hint="eastAsia" w:ascii="仿宋" w:hAnsi="仿宋" w:eastAsia="仿宋" w:cs="仿宋"/>
                <w:sz w:val="24"/>
                <w:szCs w:val="24"/>
              </w:rPr>
              <w:t>配套湿垃圾处置</w:t>
            </w:r>
          </w:p>
        </w:tc>
        <w:tc>
          <w:tcPr>
            <w:tcW w:w="50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r>
              <w:rPr>
                <w:rFonts w:hint="eastAsia" w:ascii="仿宋" w:hAnsi="仿宋" w:eastAsia="仿宋" w:cs="仿宋"/>
                <w:sz w:val="24"/>
                <w:szCs w:val="24"/>
              </w:rPr>
              <w:t>根据现有的湿垃圾就地处置设备，通过垃圾不落地清运专线实施湿垃圾分类投放后的收集、处置。</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885" w:type="dxa"/>
            <w:gridSpan w:val="3"/>
            <w:tcBorders>
              <w:left w:val="single" w:color="auto" w:sz="4" w:space="0"/>
              <w:bottom w:val="single" w:color="auto" w:sz="4" w:space="0"/>
              <w:right w:val="single" w:color="auto" w:sz="4" w:space="0"/>
            </w:tcBorders>
            <w:noWrap w:val="0"/>
            <w:vAlign w:val="center"/>
          </w:tcPr>
          <w:p>
            <w:pPr>
              <w:adjustRightInd w:val="0"/>
              <w:snapToGrid w:val="0"/>
              <w:spacing w:line="400" w:lineRule="exact"/>
              <w:ind w:left="1"/>
              <w:rPr>
                <w:rFonts w:hint="eastAsia" w:ascii="仿宋" w:hAnsi="仿宋" w:eastAsia="仿宋" w:cs="仿宋"/>
                <w:sz w:val="24"/>
                <w:szCs w:val="24"/>
              </w:rPr>
            </w:pPr>
            <w:r>
              <w:rPr>
                <w:rFonts w:hint="eastAsia" w:ascii="仿宋" w:hAnsi="仿宋" w:eastAsia="仿宋" w:cs="仿宋"/>
                <w:sz w:val="24"/>
                <w:szCs w:val="24"/>
              </w:rPr>
              <w:t>考核对象：                               考核分数：</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仿宋" w:hAnsi="仿宋" w:eastAsia="仿宋" w:cs="仿宋"/>
                <w:sz w:val="24"/>
                <w:szCs w:val="24"/>
              </w:rPr>
            </w:pPr>
          </w:p>
        </w:tc>
      </w:tr>
    </w:tbl>
    <w:p>
      <w:pPr>
        <w:pBdr>
          <w:top w:val="single" w:color="auto" w:sz="6" w:space="1"/>
          <w:bottom w:val="single" w:color="auto" w:sz="6" w:space="1"/>
        </w:pBdr>
        <w:spacing w:line="600" w:lineRule="exact"/>
        <w:rPr>
          <w:rFonts w:hint="eastAsia" w:ascii="仿宋" w:hAnsi="仿宋" w:eastAsia="仿宋" w:cs="仿宋"/>
          <w:b/>
          <w:bCs/>
          <w:sz w:val="24"/>
          <w:szCs w:val="24"/>
        </w:rPr>
      </w:pPr>
      <w:r>
        <w:rPr>
          <w:rFonts w:hint="eastAsia" w:ascii="仿宋" w:hAnsi="仿宋" w:eastAsia="仿宋" w:cs="仿宋"/>
          <w:sz w:val="24"/>
          <w:szCs w:val="24"/>
        </w:rPr>
        <w:t xml:space="preserve">考核日期：                                考核人员：                </w:t>
      </w:r>
    </w:p>
    <w:p>
      <w:pPr>
        <w:pStyle w:val="60"/>
        <w:jc w:val="left"/>
        <w:rPr>
          <w:rFonts w:hint="eastAsia" w:ascii="仿宋" w:hAnsi="仿宋" w:eastAsia="仿宋" w:cs="仿宋"/>
          <w:sz w:val="24"/>
          <w:szCs w:val="24"/>
        </w:rPr>
      </w:pPr>
    </w:p>
    <w:p>
      <w:pPr>
        <w:spacing w:line="570" w:lineRule="exact"/>
        <w:jc w:val="both"/>
        <w:rPr>
          <w:rFonts w:hint="eastAsia" w:ascii="仿宋" w:hAnsi="仿宋" w:eastAsia="仿宋" w:cs="仿宋"/>
          <w:b/>
          <w:bCs/>
          <w:sz w:val="24"/>
          <w:szCs w:val="24"/>
        </w:rPr>
      </w:pPr>
      <w:r>
        <w:rPr>
          <w:rFonts w:hint="eastAsia" w:ascii="仿宋" w:hAnsi="仿宋" w:eastAsia="仿宋" w:cs="仿宋"/>
          <w:b/>
          <w:bCs/>
          <w:sz w:val="24"/>
          <w:szCs w:val="24"/>
        </w:rPr>
        <w:t>生鲜专运考核要求及方式</w:t>
      </w:r>
    </w:p>
    <w:p>
      <w:pPr>
        <w:spacing w:line="570" w:lineRule="exact"/>
        <w:jc w:val="center"/>
        <w:rPr>
          <w:rFonts w:hint="eastAsia" w:ascii="仿宋" w:hAnsi="仿宋" w:eastAsia="仿宋" w:cs="仿宋"/>
          <w:b/>
          <w:bCs/>
          <w:sz w:val="24"/>
          <w:szCs w:val="24"/>
          <w:lang w:val="zh-TW"/>
        </w:rPr>
      </w:pPr>
      <w:r>
        <w:rPr>
          <w:rFonts w:hint="eastAsia" w:ascii="仿宋" w:hAnsi="仿宋" w:eastAsia="仿宋" w:cs="仿宋"/>
          <w:b/>
          <w:bCs/>
          <w:sz w:val="24"/>
          <w:szCs w:val="24"/>
          <w:lang w:val="zh-TW"/>
        </w:rPr>
        <w:t>乔司生鲜运输专线考核评分细则</w:t>
      </w:r>
    </w:p>
    <w:p>
      <w:pPr>
        <w:spacing w:line="57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考核对象：                                         考核时间：</w:t>
      </w:r>
    </w:p>
    <w:tbl>
      <w:tblPr>
        <w:tblStyle w:val="64"/>
        <w:tblW w:w="0" w:type="auto"/>
        <w:jc w:val="center"/>
        <w:tblLayout w:type="fixed"/>
        <w:tblCellMar>
          <w:top w:w="0" w:type="dxa"/>
          <w:left w:w="108" w:type="dxa"/>
          <w:bottom w:w="0" w:type="dxa"/>
          <w:right w:w="108" w:type="dxa"/>
        </w:tblCellMar>
      </w:tblPr>
      <w:tblGrid>
        <w:gridCol w:w="1252"/>
        <w:gridCol w:w="7202"/>
        <w:gridCol w:w="603"/>
      </w:tblGrid>
      <w:tr>
        <w:tblPrEx>
          <w:tblCellMar>
            <w:top w:w="0" w:type="dxa"/>
            <w:left w:w="108" w:type="dxa"/>
            <w:bottom w:w="0" w:type="dxa"/>
            <w:right w:w="108" w:type="dxa"/>
          </w:tblCellMar>
        </w:tblPrEx>
        <w:trPr>
          <w:trHeight w:val="890"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考核项目</w:t>
            </w:r>
          </w:p>
        </w:tc>
        <w:tc>
          <w:tcPr>
            <w:tcW w:w="720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color w:val="000000"/>
                <w:sz w:val="24"/>
                <w:szCs w:val="24"/>
              </w:rPr>
            </w:pPr>
          </w:p>
          <w:p>
            <w:pPr>
              <w:spacing w:line="32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考核内容</w:t>
            </w:r>
          </w:p>
          <w:p>
            <w:pPr>
              <w:spacing w:line="320" w:lineRule="exact"/>
              <w:jc w:val="center"/>
              <w:rPr>
                <w:rFonts w:hint="eastAsia" w:ascii="仿宋" w:hAnsi="仿宋" w:eastAsia="仿宋" w:cs="仿宋"/>
                <w:b/>
                <w:color w:val="000000"/>
                <w:sz w:val="24"/>
                <w:szCs w:val="24"/>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得分</w:t>
            </w:r>
          </w:p>
        </w:tc>
      </w:tr>
      <w:tr>
        <w:tblPrEx>
          <w:tblCellMar>
            <w:top w:w="0" w:type="dxa"/>
            <w:left w:w="108" w:type="dxa"/>
            <w:bottom w:w="0" w:type="dxa"/>
            <w:right w:w="108" w:type="dxa"/>
          </w:tblCellMar>
        </w:tblPrEx>
        <w:trPr>
          <w:trHeight w:val="90" w:hRule="atLeast"/>
          <w:jc w:val="center"/>
        </w:trPr>
        <w:tc>
          <w:tcPr>
            <w:tcW w:w="125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组织管理</w:t>
            </w:r>
          </w:p>
          <w:p>
            <w:pPr>
              <w:spacing w:line="30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10分</w:t>
            </w:r>
          </w:p>
        </w:tc>
        <w:tc>
          <w:tcPr>
            <w:tcW w:w="720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人员配备：按照合同约定配备人员，保证运营正常进行，做到商户生鲜垃圾及时清运。</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166" w:hRule="atLeast"/>
          <w:jc w:val="center"/>
        </w:trPr>
        <w:tc>
          <w:tcPr>
            <w:tcW w:w="125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b/>
                <w:bCs/>
                <w:color w:val="000000"/>
                <w:kern w:val="0"/>
                <w:sz w:val="24"/>
                <w:szCs w:val="24"/>
              </w:rPr>
            </w:pPr>
          </w:p>
        </w:tc>
        <w:tc>
          <w:tcPr>
            <w:tcW w:w="720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工作人员应着装规范，文明用语，不得与商户发生争执。</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420" w:hRule="atLeast"/>
          <w:jc w:val="center"/>
        </w:trPr>
        <w:tc>
          <w:tcPr>
            <w:tcW w:w="125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b/>
                <w:bCs/>
                <w:color w:val="000000"/>
                <w:kern w:val="0"/>
                <w:sz w:val="24"/>
                <w:szCs w:val="24"/>
              </w:rPr>
            </w:pPr>
          </w:p>
        </w:tc>
        <w:tc>
          <w:tcPr>
            <w:tcW w:w="720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组织培训:当月工作总结、运输台账记录、清单等资料清晰、齐全、完整；</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cantSplit/>
          <w:trHeight w:val="242" w:hRule="atLeast"/>
          <w:jc w:val="center"/>
        </w:trPr>
        <w:tc>
          <w:tcPr>
            <w:tcW w:w="125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xml:space="preserve">运输设施设备 </w:t>
            </w:r>
          </w:p>
          <w:p>
            <w:pPr>
              <w:spacing w:line="30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60分</w:t>
            </w:r>
          </w:p>
        </w:tc>
        <w:tc>
          <w:tcPr>
            <w:tcW w:w="720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车辆配置：按照合同约定配备车辆，保证每条生鲜运输专线运营正常，做到商户生鲜垃圾及时清运。</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cantSplit/>
          <w:trHeight w:val="442" w:hRule="atLeast"/>
          <w:jc w:val="center"/>
        </w:trPr>
        <w:tc>
          <w:tcPr>
            <w:tcW w:w="125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b/>
                <w:bCs/>
                <w:color w:val="000000"/>
                <w:kern w:val="0"/>
                <w:sz w:val="24"/>
                <w:szCs w:val="24"/>
              </w:rPr>
            </w:pPr>
          </w:p>
        </w:tc>
        <w:tc>
          <w:tcPr>
            <w:tcW w:w="720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外观干净整洁，车辆各项功能正常运行；</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cantSplit/>
          <w:trHeight w:val="296" w:hRule="atLeast"/>
          <w:jc w:val="center"/>
        </w:trPr>
        <w:tc>
          <w:tcPr>
            <w:tcW w:w="125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b/>
                <w:bCs/>
                <w:color w:val="000000"/>
                <w:kern w:val="0"/>
                <w:sz w:val="24"/>
                <w:szCs w:val="24"/>
              </w:rPr>
            </w:pPr>
          </w:p>
        </w:tc>
        <w:tc>
          <w:tcPr>
            <w:tcW w:w="720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如遇车辆发生故障，维修时间不超过5天，乙方应保证该条生鲜运输专线正常运行。</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16"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保障迎检10分</w:t>
            </w:r>
          </w:p>
        </w:tc>
        <w:tc>
          <w:tcPr>
            <w:tcW w:w="720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乙方单位应无条件的服从甲方的安排，圆满完成各项任务，由乙方单位的原因失分失分或造成不良影响的，甲方根据情况进行考核。</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73"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安全文明运输</w:t>
            </w:r>
          </w:p>
          <w:p>
            <w:pPr>
              <w:spacing w:line="30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10分</w:t>
            </w:r>
          </w:p>
        </w:tc>
        <w:tc>
          <w:tcPr>
            <w:tcW w:w="720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保洁期间内所发生的的任何安全事故一律由乙方单位负责，甲方根据事故所造成的影响进行相应考核。</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cantSplit/>
          <w:trHeight w:val="930"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相关部门抄告10分</w:t>
            </w:r>
          </w:p>
        </w:tc>
        <w:tc>
          <w:tcPr>
            <w:tcW w:w="720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1.造成市级暗访、媒体扣分的，每次扣1分，扣款200元。</w:t>
            </w:r>
          </w:p>
          <w:p>
            <w:pPr>
              <w:spacing w:line="3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2.重大活动保障、防汛抗台、防冻抗雪等应急情况未及时处理造成恶劣后果的每次扣5分，扣款500元。</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856"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附加分值</w:t>
            </w:r>
          </w:p>
          <w:p>
            <w:pPr>
              <w:spacing w:line="30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10分</w:t>
            </w:r>
          </w:p>
        </w:tc>
        <w:tc>
          <w:tcPr>
            <w:tcW w:w="720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rPr>
              <w:t>根据以下情况酌情加分：</w:t>
            </w:r>
            <w:r>
              <w:rPr>
                <w:rFonts w:hint="eastAsia" w:ascii="仿宋" w:hAnsi="仿宋" w:eastAsia="仿宋" w:cs="仿宋"/>
                <w:color w:val="000000"/>
                <w:kern w:val="0"/>
                <w:sz w:val="24"/>
                <w:szCs w:val="24"/>
              </w:rPr>
              <w:t>圆满完成正常工作范围以外的领导交办任务的；采用先进管理办法或机械设备，切实提高工作成效，受到相关部门肯定的；先进事迹受到相关部门表彰的；在重大活动中作出突出贡献的。</w:t>
            </w:r>
          </w:p>
        </w:tc>
        <w:tc>
          <w:tcPr>
            <w:tcW w:w="6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color w:val="000000"/>
                <w:kern w:val="0"/>
                <w:sz w:val="24"/>
                <w:szCs w:val="24"/>
              </w:rPr>
            </w:pPr>
          </w:p>
        </w:tc>
      </w:tr>
    </w:tbl>
    <w:p>
      <w:pPr>
        <w:spacing w:line="570" w:lineRule="exact"/>
        <w:rPr>
          <w:rFonts w:hint="eastAsia" w:ascii="仿宋" w:hAnsi="仿宋" w:eastAsia="仿宋" w:cs="仿宋"/>
          <w:b/>
          <w:bCs/>
          <w:caps/>
          <w:kern w:val="0"/>
          <w:sz w:val="24"/>
          <w:szCs w:val="24"/>
          <w:u w:val="single"/>
        </w:rPr>
      </w:pPr>
      <w:r>
        <w:rPr>
          <w:rFonts w:hint="eastAsia" w:ascii="仿宋" w:hAnsi="仿宋" w:eastAsia="仿宋" w:cs="仿宋"/>
          <w:b/>
          <w:color w:val="000000"/>
          <w:sz w:val="24"/>
          <w:szCs w:val="24"/>
        </w:rPr>
        <w:t xml:space="preserve"> 考评人员：                                          分数：</w:t>
      </w:r>
    </w:p>
    <w:p>
      <w:pPr>
        <w:spacing w:line="57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备注：每项扣分不超过考核项目的总分值，分数扣完为止。</w:t>
      </w:r>
    </w:p>
    <w:p>
      <w:pPr>
        <w:rPr>
          <w:rFonts w:hint="eastAsia" w:ascii="仿宋" w:hAnsi="仿宋" w:eastAsia="仿宋" w:cs="仿宋"/>
          <w:sz w:val="24"/>
          <w:szCs w:val="24"/>
        </w:rPr>
      </w:pPr>
    </w:p>
    <w:p>
      <w:pPr>
        <w:spacing w:line="56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sz w:val="24"/>
          <w:szCs w:val="24"/>
        </w:rPr>
        <w:t xml:space="preserve"> </w:t>
      </w:r>
      <w:r>
        <w:rPr>
          <w:rFonts w:hint="eastAsia" w:ascii="仿宋" w:hAnsi="仿宋" w:eastAsia="仿宋" w:cs="仿宋"/>
          <w:color w:val="000000"/>
          <w:kern w:val="0"/>
          <w:sz w:val="24"/>
          <w:szCs w:val="24"/>
        </w:rPr>
        <w:t>1.考核以现场打分为主，严格按照考评细则进行，并提供相应照片留存作为扣分依据，须被考核负责人签字确认，每月底进行本月成绩公布，考核每月不少于一次，优秀考核分为90分以上，考核分数80分（含）以上，100%支付服务考核费用；合格考核分数为80分（含）至90分（不含），</w:t>
      </w:r>
      <w:r>
        <w:rPr>
          <w:rFonts w:hint="eastAsia" w:ascii="仿宋" w:hAnsi="仿宋" w:eastAsia="仿宋" w:cs="仿宋"/>
          <w:sz w:val="24"/>
          <w:szCs w:val="24"/>
        </w:rPr>
        <w:t>每扣1分，扣款1000元。考核分数80分以下（不含80分）为不合格。</w:t>
      </w:r>
    </w:p>
    <w:p>
      <w:pPr>
        <w:pStyle w:val="60"/>
        <w:jc w:val="left"/>
        <w:rPr>
          <w:rFonts w:hint="eastAsia" w:ascii="仿宋" w:hAnsi="仿宋" w:eastAsia="仿宋" w:cs="仿宋"/>
          <w:sz w:val="24"/>
          <w:szCs w:val="24"/>
        </w:rPr>
      </w:pPr>
      <w:r>
        <w:rPr>
          <w:rFonts w:hint="eastAsia" w:ascii="仿宋" w:hAnsi="仿宋" w:eastAsia="仿宋" w:cs="仿宋"/>
          <w:color w:val="000000"/>
          <w:sz w:val="24"/>
          <w:szCs w:val="24"/>
        </w:rPr>
        <w:t>2.合同款按季支付，合同签署生效后，经季度考核，甲方应在次月20日前向乙方支付上月服务费用，最后一月费用在合同期满验收合格后十五日内支付；考核应扣款项及其他应扣款项在每月支付经费或年终支付经费时扣除，并提供扣款凭证。</w:t>
      </w:r>
    </w:p>
    <w:p>
      <w:pPr>
        <w:pStyle w:val="60"/>
        <w:jc w:val="left"/>
        <w:rPr>
          <w:rFonts w:hint="eastAsia" w:ascii="仿宋" w:hAnsi="仿宋" w:eastAsia="仿宋" w:cs="仿宋"/>
          <w:sz w:val="24"/>
          <w:szCs w:val="24"/>
        </w:rPr>
      </w:pPr>
    </w:p>
    <w:p>
      <w:pPr>
        <w:pStyle w:val="60"/>
        <w:jc w:val="left"/>
        <w:rPr>
          <w:rFonts w:hint="eastAsia" w:ascii="仿宋" w:hAnsi="仿宋" w:eastAsia="仿宋" w:cs="仿宋"/>
          <w:sz w:val="24"/>
          <w:szCs w:val="24"/>
        </w:rPr>
      </w:pPr>
      <w:r>
        <w:rPr>
          <w:rFonts w:hint="eastAsia" w:ascii="仿宋" w:hAnsi="仿宋" w:eastAsia="仿宋" w:cs="仿宋"/>
          <w:sz w:val="24"/>
          <w:szCs w:val="24"/>
        </w:rPr>
        <w:br w:type="page"/>
      </w:r>
    </w:p>
    <w:p>
      <w:pPr>
        <w:pStyle w:val="6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）牛皮癣清理考核标准</w:t>
      </w:r>
    </w:p>
    <w:p>
      <w:pPr>
        <w:rPr>
          <w:rFonts w:hint="eastAsia" w:ascii="仿宋" w:hAnsi="仿宋" w:eastAsia="仿宋" w:cs="仿宋"/>
          <w:b/>
          <w:bCs/>
          <w:sz w:val="24"/>
          <w:szCs w:val="24"/>
        </w:rPr>
      </w:pPr>
      <w:r>
        <w:rPr>
          <w:rFonts w:hint="eastAsia" w:ascii="仿宋" w:hAnsi="仿宋" w:eastAsia="仿宋" w:cs="仿宋"/>
          <w:b/>
          <w:bCs/>
          <w:sz w:val="24"/>
          <w:szCs w:val="24"/>
        </w:rPr>
        <w:t>考核要求及方式</w:t>
      </w:r>
    </w:p>
    <w:p>
      <w:pPr>
        <w:rPr>
          <w:rFonts w:hint="eastAsia" w:ascii="仿宋" w:hAnsi="仿宋" w:eastAsia="仿宋" w:cs="仿宋"/>
          <w:sz w:val="24"/>
          <w:szCs w:val="24"/>
        </w:rPr>
      </w:pPr>
      <w:r>
        <w:rPr>
          <w:rFonts w:hint="eastAsia" w:ascii="仿宋" w:hAnsi="仿宋" w:eastAsia="仿宋" w:cs="仿宋"/>
          <w:sz w:val="24"/>
          <w:szCs w:val="24"/>
        </w:rPr>
        <w:t xml:space="preserve">    日常清洗保洁质量(工作)考核采用随机抽查的方式进行。</w:t>
      </w:r>
    </w:p>
    <w:p>
      <w:pPr>
        <w:rPr>
          <w:rFonts w:hint="eastAsia" w:ascii="仿宋" w:hAnsi="仿宋" w:eastAsia="仿宋" w:cs="仿宋"/>
          <w:sz w:val="24"/>
          <w:szCs w:val="24"/>
        </w:rPr>
      </w:pPr>
      <w:r>
        <w:rPr>
          <w:rFonts w:hint="eastAsia" w:ascii="仿宋" w:hAnsi="仿宋" w:eastAsia="仿宋" w:cs="仿宋"/>
          <w:sz w:val="24"/>
          <w:szCs w:val="24"/>
        </w:rPr>
        <w:t xml:space="preserve">    规定执行和其他情况考核采用随机抽查与定期检查的方式进行。</w:t>
      </w:r>
    </w:p>
    <w:p>
      <w:pPr>
        <w:rPr>
          <w:rFonts w:hint="eastAsia" w:ascii="仿宋" w:hAnsi="仿宋" w:eastAsia="仿宋" w:cs="仿宋"/>
          <w:sz w:val="24"/>
          <w:szCs w:val="24"/>
        </w:rPr>
      </w:pPr>
      <w:r>
        <w:rPr>
          <w:rFonts w:hint="eastAsia" w:ascii="仿宋" w:hAnsi="仿宋" w:eastAsia="仿宋" w:cs="仿宋"/>
          <w:sz w:val="24"/>
          <w:szCs w:val="24"/>
        </w:rPr>
        <w:t xml:space="preserve">    月度考核得分以当月实际考核得分计。年度综合考评由城管乔司中队根据月度考核分的平均得分，作为年度考核最终得分。</w:t>
      </w:r>
    </w:p>
    <w:p>
      <w:pPr>
        <w:rPr>
          <w:rFonts w:hint="eastAsia" w:ascii="仿宋" w:hAnsi="仿宋" w:eastAsia="仿宋" w:cs="仿宋"/>
          <w:sz w:val="24"/>
          <w:szCs w:val="24"/>
        </w:rPr>
      </w:pPr>
      <w:r>
        <w:rPr>
          <w:rFonts w:hint="eastAsia" w:ascii="仿宋" w:hAnsi="仿宋" w:eastAsia="仿宋" w:cs="仿宋"/>
          <w:sz w:val="24"/>
          <w:szCs w:val="24"/>
        </w:rPr>
        <w:t xml:space="preserve">    甲方根据月度考核的实际得分计算兑现作业考核经费，以按协议考核金额量化到月，按月考核分数再折算考核金额给予支付。</w:t>
      </w:r>
    </w:p>
    <w:p>
      <w:pPr>
        <w:rPr>
          <w:rFonts w:hint="eastAsia" w:ascii="仿宋" w:hAnsi="仿宋" w:eastAsia="仿宋" w:cs="仿宋"/>
          <w:sz w:val="24"/>
          <w:szCs w:val="24"/>
        </w:rPr>
      </w:pPr>
      <w:r>
        <w:rPr>
          <w:rFonts w:hint="eastAsia" w:ascii="仿宋" w:hAnsi="仿宋" w:eastAsia="仿宋" w:cs="仿宋"/>
          <w:sz w:val="24"/>
          <w:szCs w:val="24"/>
        </w:rPr>
        <w:t xml:space="preserve">    月度考核得分在95分以上(含)至100分(含)的为优秀，给予通报表扬。</w:t>
      </w:r>
    </w:p>
    <w:p>
      <w:pPr>
        <w:rPr>
          <w:rFonts w:hint="eastAsia" w:ascii="仿宋" w:hAnsi="仿宋" w:eastAsia="仿宋" w:cs="仿宋"/>
          <w:sz w:val="24"/>
          <w:szCs w:val="24"/>
        </w:rPr>
      </w:pPr>
      <w:r>
        <w:rPr>
          <w:rFonts w:hint="eastAsia" w:ascii="仿宋" w:hAnsi="仿宋" w:eastAsia="仿宋" w:cs="仿宋"/>
          <w:sz w:val="24"/>
          <w:szCs w:val="24"/>
        </w:rPr>
        <w:t xml:space="preserve">    月度考核得分在90分以上(含)至94分(含)的为合格，不奖不惩。</w:t>
      </w:r>
    </w:p>
    <w:p>
      <w:pPr>
        <w:rPr>
          <w:rFonts w:hint="eastAsia" w:ascii="仿宋" w:hAnsi="仿宋" w:eastAsia="仿宋" w:cs="仿宋"/>
          <w:sz w:val="24"/>
          <w:szCs w:val="24"/>
        </w:rPr>
      </w:pPr>
      <w:r>
        <w:rPr>
          <w:rFonts w:hint="eastAsia" w:ascii="仿宋" w:hAnsi="仿宋" w:eastAsia="仿宋" w:cs="仿宋"/>
          <w:sz w:val="24"/>
          <w:szCs w:val="24"/>
        </w:rPr>
        <w:t xml:space="preserve">    月度考核得分不满90分(不含)的为不合格，按比例扣除相关保洁考核费用，具体如下：</w:t>
      </w:r>
    </w:p>
    <w:p>
      <w:pPr>
        <w:rPr>
          <w:rFonts w:hint="eastAsia" w:ascii="仿宋" w:hAnsi="仿宋" w:eastAsia="仿宋" w:cs="仿宋"/>
          <w:sz w:val="24"/>
          <w:szCs w:val="24"/>
        </w:rPr>
      </w:pPr>
      <w:r>
        <w:rPr>
          <w:rFonts w:hint="eastAsia" w:ascii="仿宋" w:hAnsi="仿宋" w:eastAsia="仿宋" w:cs="仿宋"/>
          <w:sz w:val="24"/>
          <w:szCs w:val="24"/>
        </w:rPr>
        <w:t xml:space="preserve">        89分--85分，扣除当月保洁考核经费的10%；</w:t>
      </w:r>
    </w:p>
    <w:p>
      <w:pPr>
        <w:rPr>
          <w:rFonts w:hint="eastAsia" w:ascii="仿宋" w:hAnsi="仿宋" w:eastAsia="仿宋" w:cs="仿宋"/>
          <w:sz w:val="24"/>
          <w:szCs w:val="24"/>
        </w:rPr>
      </w:pPr>
      <w:r>
        <w:rPr>
          <w:rFonts w:hint="eastAsia" w:ascii="仿宋" w:hAnsi="仿宋" w:eastAsia="仿宋" w:cs="仿宋"/>
          <w:sz w:val="24"/>
          <w:szCs w:val="24"/>
        </w:rPr>
        <w:t xml:space="preserve">        84分--80分，扣除当月保洁考核经费的20%；</w:t>
      </w:r>
    </w:p>
    <w:p>
      <w:pPr>
        <w:rPr>
          <w:rFonts w:hint="eastAsia" w:ascii="仿宋" w:hAnsi="仿宋" w:eastAsia="仿宋" w:cs="仿宋"/>
          <w:sz w:val="24"/>
          <w:szCs w:val="24"/>
        </w:rPr>
      </w:pPr>
      <w:r>
        <w:rPr>
          <w:rFonts w:hint="eastAsia" w:ascii="仿宋" w:hAnsi="仿宋" w:eastAsia="仿宋" w:cs="仿宋"/>
          <w:sz w:val="24"/>
          <w:szCs w:val="24"/>
        </w:rPr>
        <w:t xml:space="preserve">        79分--75分，扣除当月保洁考核经费的30%；</w:t>
      </w:r>
    </w:p>
    <w:p>
      <w:pPr>
        <w:rPr>
          <w:rFonts w:hint="eastAsia" w:ascii="仿宋" w:hAnsi="仿宋" w:eastAsia="仿宋" w:cs="仿宋"/>
          <w:sz w:val="24"/>
          <w:szCs w:val="24"/>
        </w:rPr>
      </w:pPr>
      <w:r>
        <w:rPr>
          <w:rFonts w:hint="eastAsia" w:ascii="仿宋" w:hAnsi="仿宋" w:eastAsia="仿宋" w:cs="仿宋"/>
          <w:sz w:val="24"/>
          <w:szCs w:val="24"/>
        </w:rPr>
        <w:t xml:space="preserve">        74分--70分，扣除当月保洁考核经费的40%；</w:t>
      </w:r>
    </w:p>
    <w:p>
      <w:pPr>
        <w:rPr>
          <w:rFonts w:hint="eastAsia" w:ascii="仿宋" w:hAnsi="仿宋" w:eastAsia="仿宋" w:cs="仿宋"/>
          <w:sz w:val="24"/>
          <w:szCs w:val="24"/>
        </w:rPr>
      </w:pPr>
      <w:r>
        <w:rPr>
          <w:rFonts w:hint="eastAsia" w:ascii="仿宋" w:hAnsi="仿宋" w:eastAsia="仿宋" w:cs="仿宋"/>
          <w:sz w:val="24"/>
          <w:szCs w:val="24"/>
        </w:rPr>
        <w:t xml:space="preserve">        69分--65分，扣除当月保洁考核经费的50%；</w:t>
      </w:r>
    </w:p>
    <w:p>
      <w:pPr>
        <w:rPr>
          <w:rFonts w:hint="eastAsia" w:ascii="仿宋" w:hAnsi="仿宋" w:eastAsia="仿宋" w:cs="仿宋"/>
          <w:sz w:val="24"/>
          <w:szCs w:val="24"/>
        </w:rPr>
      </w:pPr>
      <w:r>
        <w:rPr>
          <w:rFonts w:hint="eastAsia" w:ascii="仿宋" w:hAnsi="仿宋" w:eastAsia="仿宋" w:cs="仿宋"/>
          <w:sz w:val="24"/>
          <w:szCs w:val="24"/>
        </w:rPr>
        <w:t xml:space="preserve">        64分--60分，扣除当月保洁考核经费的60%；</w:t>
      </w:r>
    </w:p>
    <w:p>
      <w:pPr>
        <w:rPr>
          <w:rFonts w:hint="eastAsia" w:ascii="仿宋" w:hAnsi="仿宋" w:eastAsia="仿宋" w:cs="仿宋"/>
          <w:sz w:val="24"/>
          <w:szCs w:val="24"/>
        </w:rPr>
      </w:pPr>
      <w:r>
        <w:rPr>
          <w:rFonts w:hint="eastAsia" w:ascii="仿宋" w:hAnsi="仿宋" w:eastAsia="仿宋" w:cs="仿宋"/>
          <w:sz w:val="24"/>
          <w:szCs w:val="24"/>
        </w:rPr>
        <w:t xml:space="preserve">        60分以下不予支付当月保洁考核经费，同时通报批评。</w:t>
      </w:r>
    </w:p>
    <w:p>
      <w:pPr>
        <w:spacing w:line="460" w:lineRule="exact"/>
        <w:jc w:val="center"/>
        <w:rPr>
          <w:rFonts w:hint="eastAsia" w:ascii="仿宋" w:hAnsi="仿宋" w:eastAsia="仿宋" w:cs="仿宋"/>
          <w:b/>
          <w:bCs/>
          <w:sz w:val="24"/>
          <w:szCs w:val="24"/>
        </w:rPr>
      </w:pPr>
    </w:p>
    <w:p>
      <w:pPr>
        <w:spacing w:line="460" w:lineRule="exact"/>
        <w:jc w:val="center"/>
        <w:rPr>
          <w:rFonts w:hint="eastAsia" w:ascii="仿宋" w:hAnsi="仿宋" w:eastAsia="仿宋" w:cs="仿宋"/>
          <w:sz w:val="24"/>
          <w:szCs w:val="24"/>
        </w:rPr>
      </w:pPr>
      <w:r>
        <w:rPr>
          <w:rFonts w:hint="eastAsia" w:ascii="仿宋" w:hAnsi="仿宋" w:eastAsia="仿宋" w:cs="仿宋"/>
          <w:b/>
          <w:bCs/>
          <w:sz w:val="24"/>
          <w:szCs w:val="24"/>
        </w:rPr>
        <w:t>乔司街道牛皮癣考核细则</w:t>
      </w:r>
    </w:p>
    <w:p>
      <w:pPr>
        <w:spacing w:line="460" w:lineRule="exact"/>
        <w:jc w:val="left"/>
        <w:rPr>
          <w:rFonts w:hint="eastAsia" w:ascii="仿宋" w:hAnsi="仿宋" w:eastAsia="仿宋" w:cs="仿宋"/>
          <w:sz w:val="24"/>
          <w:szCs w:val="24"/>
        </w:rPr>
      </w:pPr>
      <w:r>
        <w:rPr>
          <w:rFonts w:hint="eastAsia" w:ascii="仿宋" w:hAnsi="仿宋" w:eastAsia="仿宋" w:cs="仿宋"/>
          <w:sz w:val="24"/>
          <w:szCs w:val="24"/>
        </w:rPr>
        <w:t>考核对象：                               考核时间：</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4"/>
        <w:gridCol w:w="8096"/>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68" w:type="dxa"/>
            <w:noWrap w:val="0"/>
            <w:vAlign w:val="center"/>
          </w:tcPr>
          <w:p>
            <w:pPr>
              <w:spacing w:line="280" w:lineRule="exact"/>
              <w:ind w:left="-105" w:leftChars="-50" w:right="-105" w:rightChars="-50"/>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084" w:type="dxa"/>
            <w:noWrap w:val="0"/>
            <w:vAlign w:val="center"/>
          </w:tcPr>
          <w:p>
            <w:pPr>
              <w:spacing w:line="280" w:lineRule="exact"/>
              <w:ind w:left="-105" w:leftChars="-50" w:right="-105" w:rightChars="-50"/>
              <w:jc w:val="center"/>
              <w:rPr>
                <w:rFonts w:hint="eastAsia" w:ascii="仿宋" w:hAnsi="仿宋" w:eastAsia="仿宋" w:cs="仿宋"/>
                <w:b/>
                <w:sz w:val="24"/>
                <w:szCs w:val="24"/>
              </w:rPr>
            </w:pPr>
            <w:r>
              <w:rPr>
                <w:rFonts w:hint="eastAsia" w:ascii="仿宋" w:hAnsi="仿宋" w:eastAsia="仿宋" w:cs="仿宋"/>
                <w:b/>
                <w:sz w:val="24"/>
                <w:szCs w:val="24"/>
              </w:rPr>
              <w:t>考评内容</w:t>
            </w:r>
          </w:p>
        </w:tc>
        <w:tc>
          <w:tcPr>
            <w:tcW w:w="8096" w:type="dxa"/>
            <w:noWrap w:val="0"/>
            <w:vAlign w:val="center"/>
          </w:tcPr>
          <w:p>
            <w:pPr>
              <w:spacing w:line="280" w:lineRule="exact"/>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722" w:type="dxa"/>
            <w:noWrap w:val="0"/>
            <w:vAlign w:val="center"/>
          </w:tcPr>
          <w:p>
            <w:pPr>
              <w:spacing w:line="280" w:lineRule="exact"/>
              <w:jc w:val="center"/>
              <w:rPr>
                <w:rFonts w:hint="eastAsia" w:ascii="仿宋" w:hAnsi="仿宋" w:eastAsia="仿宋" w:cs="仿宋"/>
                <w:b/>
                <w:sz w:val="24"/>
                <w:szCs w:val="24"/>
              </w:rPr>
            </w:pPr>
            <w:r>
              <w:rPr>
                <w:rFonts w:hint="eastAsia" w:ascii="仿宋" w:hAnsi="仿宋" w:eastAsia="仿宋" w:cs="仿宋"/>
                <w:b/>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468" w:type="dxa"/>
            <w:vMerge w:val="restart"/>
            <w:noWrap w:val="0"/>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084" w:type="dxa"/>
            <w:vMerge w:val="restart"/>
            <w:noWrap w:val="0"/>
            <w:vAlign w:val="center"/>
          </w:tcPr>
          <w:p>
            <w:pPr>
              <w:spacing w:line="280" w:lineRule="exact"/>
              <w:ind w:left="-105" w:leftChars="-50" w:right="-105" w:rightChars="-50"/>
              <w:jc w:val="center"/>
              <w:rPr>
                <w:rFonts w:hint="eastAsia" w:ascii="仿宋" w:hAnsi="仿宋" w:eastAsia="仿宋" w:cs="仿宋"/>
                <w:sz w:val="24"/>
                <w:szCs w:val="24"/>
              </w:rPr>
            </w:pPr>
            <w:r>
              <w:rPr>
                <w:rFonts w:hint="eastAsia" w:ascii="仿宋" w:hAnsi="仿宋" w:eastAsia="仿宋" w:cs="仿宋"/>
                <w:sz w:val="24"/>
                <w:szCs w:val="24"/>
              </w:rPr>
              <w:t>日常清洗保洁质量（50分）</w:t>
            </w:r>
          </w:p>
        </w:tc>
        <w:tc>
          <w:tcPr>
            <w:tcW w:w="8096" w:type="dxa"/>
            <w:noWrap w:val="0"/>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在日常检查中发现并通知整改后未及时清洗的“牛皮癣”每处扣0.3分</w:t>
            </w:r>
          </w:p>
        </w:tc>
        <w:tc>
          <w:tcPr>
            <w:tcW w:w="722" w:type="dxa"/>
            <w:noWrap w:val="0"/>
            <w:vAlign w:val="top"/>
          </w:tcPr>
          <w:p>
            <w:pPr>
              <w:spacing w:line="280" w:lineRule="exact"/>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exact"/>
          <w:jc w:val="center"/>
        </w:trPr>
        <w:tc>
          <w:tcPr>
            <w:tcW w:w="468" w:type="dxa"/>
            <w:vMerge w:val="continue"/>
            <w:noWrap w:val="0"/>
            <w:vAlign w:val="center"/>
          </w:tcPr>
          <w:p>
            <w:pPr>
              <w:spacing w:line="280" w:lineRule="exact"/>
              <w:jc w:val="center"/>
              <w:rPr>
                <w:rFonts w:hint="eastAsia" w:ascii="仿宋" w:hAnsi="仿宋" w:eastAsia="仿宋" w:cs="仿宋"/>
                <w:sz w:val="24"/>
                <w:szCs w:val="24"/>
              </w:rPr>
            </w:pPr>
          </w:p>
        </w:tc>
        <w:tc>
          <w:tcPr>
            <w:tcW w:w="1084" w:type="dxa"/>
            <w:vMerge w:val="continue"/>
            <w:noWrap w:val="0"/>
            <w:vAlign w:val="center"/>
          </w:tcPr>
          <w:p>
            <w:pPr>
              <w:spacing w:line="280" w:lineRule="exact"/>
              <w:ind w:left="-105" w:leftChars="-50" w:right="-105" w:rightChars="-50"/>
              <w:jc w:val="center"/>
              <w:rPr>
                <w:rFonts w:hint="eastAsia" w:ascii="仿宋" w:hAnsi="仿宋" w:eastAsia="仿宋" w:cs="仿宋"/>
                <w:sz w:val="24"/>
                <w:szCs w:val="24"/>
              </w:rPr>
            </w:pPr>
          </w:p>
        </w:tc>
        <w:tc>
          <w:tcPr>
            <w:tcW w:w="8096" w:type="dxa"/>
            <w:noWrap w:val="0"/>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日常检查程序采用“双控”机制，每月在检查中发现的未清理牛皮癣应低于基准300处，每超出100处扣3分，即多出的每一处扣除0.03分。每月超出基准300处以外的牛皮癣如未整改完毕，以十倍分数进行扣分，即每处扣除0.3分</w:t>
            </w:r>
          </w:p>
        </w:tc>
        <w:tc>
          <w:tcPr>
            <w:tcW w:w="722" w:type="dxa"/>
            <w:noWrap w:val="0"/>
            <w:vAlign w:val="top"/>
          </w:tcPr>
          <w:p>
            <w:pPr>
              <w:spacing w:line="280" w:lineRule="exact"/>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468" w:type="dxa"/>
            <w:vMerge w:val="continue"/>
            <w:noWrap w:val="0"/>
            <w:vAlign w:val="center"/>
          </w:tcPr>
          <w:p>
            <w:pPr>
              <w:spacing w:line="280" w:lineRule="exact"/>
              <w:jc w:val="center"/>
              <w:rPr>
                <w:rFonts w:hint="eastAsia" w:ascii="仿宋" w:hAnsi="仿宋" w:eastAsia="仿宋" w:cs="仿宋"/>
                <w:sz w:val="24"/>
                <w:szCs w:val="24"/>
              </w:rPr>
            </w:pPr>
          </w:p>
        </w:tc>
        <w:tc>
          <w:tcPr>
            <w:tcW w:w="1084" w:type="dxa"/>
            <w:vMerge w:val="continue"/>
            <w:noWrap w:val="0"/>
            <w:vAlign w:val="center"/>
          </w:tcPr>
          <w:p>
            <w:pPr>
              <w:spacing w:line="280" w:lineRule="exact"/>
              <w:ind w:left="-105" w:leftChars="-50" w:right="-105" w:rightChars="-50"/>
              <w:jc w:val="center"/>
              <w:rPr>
                <w:rFonts w:hint="eastAsia" w:ascii="仿宋" w:hAnsi="仿宋" w:eastAsia="仿宋" w:cs="仿宋"/>
                <w:sz w:val="24"/>
                <w:szCs w:val="24"/>
              </w:rPr>
            </w:pPr>
          </w:p>
        </w:tc>
        <w:tc>
          <w:tcPr>
            <w:tcW w:w="8096" w:type="dxa"/>
            <w:noWrap w:val="0"/>
            <w:vAlign w:val="center"/>
          </w:tcPr>
          <w:p>
            <w:pPr>
              <w:spacing w:line="280" w:lineRule="exact"/>
              <w:rPr>
                <w:rFonts w:hint="eastAsia" w:ascii="仿宋" w:hAnsi="仿宋" w:eastAsia="仿宋" w:cs="仿宋"/>
                <w:sz w:val="24"/>
                <w:szCs w:val="24"/>
              </w:rPr>
            </w:pPr>
            <w:r>
              <w:rPr>
                <w:rFonts w:hint="eastAsia" w:ascii="仿宋" w:hAnsi="仿宋" w:eastAsia="仿宋" w:cs="仿宋"/>
                <w:sz w:val="24"/>
                <w:szCs w:val="24"/>
              </w:rPr>
              <w:t>在清理“牛皮癣”作业时造成路面污染未及时清扫的每处扣0.2分</w:t>
            </w:r>
          </w:p>
        </w:tc>
        <w:tc>
          <w:tcPr>
            <w:tcW w:w="722" w:type="dxa"/>
            <w:noWrap w:val="0"/>
            <w:vAlign w:val="top"/>
          </w:tcPr>
          <w:p>
            <w:pPr>
              <w:spacing w:line="28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468" w:type="dxa"/>
            <w:vMerge w:val="continue"/>
            <w:noWrap w:val="0"/>
            <w:vAlign w:val="center"/>
          </w:tcPr>
          <w:p>
            <w:pPr>
              <w:spacing w:line="280" w:lineRule="exact"/>
              <w:jc w:val="center"/>
              <w:rPr>
                <w:rFonts w:hint="eastAsia" w:ascii="仿宋" w:hAnsi="仿宋" w:eastAsia="仿宋" w:cs="仿宋"/>
                <w:sz w:val="24"/>
                <w:szCs w:val="24"/>
              </w:rPr>
            </w:pPr>
          </w:p>
        </w:tc>
        <w:tc>
          <w:tcPr>
            <w:tcW w:w="1084" w:type="dxa"/>
            <w:vMerge w:val="continue"/>
            <w:noWrap w:val="0"/>
            <w:vAlign w:val="center"/>
          </w:tcPr>
          <w:p>
            <w:pPr>
              <w:spacing w:line="280" w:lineRule="exact"/>
              <w:ind w:left="-105" w:leftChars="-50" w:right="-105" w:rightChars="-50"/>
              <w:jc w:val="center"/>
              <w:rPr>
                <w:rFonts w:hint="eastAsia" w:ascii="仿宋" w:hAnsi="仿宋" w:eastAsia="仿宋" w:cs="仿宋"/>
                <w:sz w:val="24"/>
                <w:szCs w:val="24"/>
              </w:rPr>
            </w:pPr>
          </w:p>
        </w:tc>
        <w:tc>
          <w:tcPr>
            <w:tcW w:w="8096" w:type="dxa"/>
            <w:noWrap w:val="0"/>
            <w:vAlign w:val="center"/>
          </w:tcPr>
          <w:p>
            <w:pPr>
              <w:spacing w:line="280" w:lineRule="exact"/>
              <w:rPr>
                <w:rFonts w:hint="eastAsia" w:ascii="仿宋" w:hAnsi="仿宋" w:eastAsia="仿宋" w:cs="仿宋"/>
                <w:sz w:val="24"/>
                <w:szCs w:val="24"/>
              </w:rPr>
            </w:pPr>
            <w:r>
              <w:rPr>
                <w:rFonts w:hint="eastAsia" w:ascii="仿宋" w:hAnsi="仿宋" w:eastAsia="仿宋" w:cs="仿宋"/>
                <w:sz w:val="24"/>
                <w:szCs w:val="24"/>
              </w:rPr>
              <w:t>对表面为光滑板材上的“牛皮癣”未按规定使用化学物品全面清洗，或使用不当涂料的每处扣0.2分</w:t>
            </w:r>
          </w:p>
        </w:tc>
        <w:tc>
          <w:tcPr>
            <w:tcW w:w="722" w:type="dxa"/>
            <w:noWrap w:val="0"/>
            <w:vAlign w:val="top"/>
          </w:tcPr>
          <w:p>
            <w:pPr>
              <w:widowControl/>
              <w:spacing w:line="28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468" w:type="dxa"/>
            <w:vMerge w:val="continue"/>
            <w:noWrap w:val="0"/>
            <w:vAlign w:val="center"/>
          </w:tcPr>
          <w:p>
            <w:pPr>
              <w:spacing w:line="280" w:lineRule="exact"/>
              <w:jc w:val="center"/>
              <w:rPr>
                <w:rFonts w:hint="eastAsia" w:ascii="仿宋" w:hAnsi="仿宋" w:eastAsia="仿宋" w:cs="仿宋"/>
                <w:sz w:val="24"/>
                <w:szCs w:val="24"/>
              </w:rPr>
            </w:pPr>
          </w:p>
        </w:tc>
        <w:tc>
          <w:tcPr>
            <w:tcW w:w="1084" w:type="dxa"/>
            <w:vMerge w:val="continue"/>
            <w:noWrap w:val="0"/>
            <w:vAlign w:val="center"/>
          </w:tcPr>
          <w:p>
            <w:pPr>
              <w:spacing w:line="280" w:lineRule="exact"/>
              <w:ind w:left="-105" w:leftChars="-50" w:right="-105" w:rightChars="-50"/>
              <w:jc w:val="center"/>
              <w:rPr>
                <w:rFonts w:hint="eastAsia" w:ascii="仿宋" w:hAnsi="仿宋" w:eastAsia="仿宋" w:cs="仿宋"/>
                <w:sz w:val="24"/>
                <w:szCs w:val="24"/>
              </w:rPr>
            </w:pPr>
          </w:p>
        </w:tc>
        <w:tc>
          <w:tcPr>
            <w:tcW w:w="8096" w:type="dxa"/>
            <w:noWrap w:val="0"/>
            <w:vAlign w:val="center"/>
          </w:tcPr>
          <w:p>
            <w:pPr>
              <w:spacing w:line="280" w:lineRule="exact"/>
              <w:rPr>
                <w:rFonts w:hint="eastAsia" w:ascii="仿宋" w:hAnsi="仿宋" w:eastAsia="仿宋" w:cs="仿宋"/>
                <w:sz w:val="24"/>
                <w:szCs w:val="24"/>
              </w:rPr>
            </w:pPr>
            <w:r>
              <w:rPr>
                <w:rFonts w:hint="eastAsia" w:ascii="仿宋" w:hAnsi="仿宋" w:eastAsia="仿宋" w:cs="仿宋"/>
                <w:sz w:val="24"/>
                <w:szCs w:val="24"/>
              </w:rPr>
              <w:t>对表面为不同颜色的涂料或水泥墙面上“牛皮癣”未按照“色差一致、形状统一、干净整洁、协调美观”的要求，使用相近颜色进行复原的或者影响美观整洁的每处扣0.2分</w:t>
            </w:r>
          </w:p>
        </w:tc>
        <w:tc>
          <w:tcPr>
            <w:tcW w:w="722" w:type="dxa"/>
            <w:noWrap w:val="0"/>
            <w:vAlign w:val="top"/>
          </w:tcPr>
          <w:p>
            <w:pPr>
              <w:widowControl/>
              <w:spacing w:line="28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468" w:type="dxa"/>
            <w:vMerge w:val="continue"/>
            <w:noWrap w:val="0"/>
            <w:vAlign w:val="center"/>
          </w:tcPr>
          <w:p>
            <w:pPr>
              <w:spacing w:line="280" w:lineRule="exact"/>
              <w:jc w:val="center"/>
              <w:rPr>
                <w:rFonts w:hint="eastAsia" w:ascii="仿宋" w:hAnsi="仿宋" w:eastAsia="仿宋" w:cs="仿宋"/>
                <w:sz w:val="24"/>
                <w:szCs w:val="24"/>
              </w:rPr>
            </w:pPr>
          </w:p>
        </w:tc>
        <w:tc>
          <w:tcPr>
            <w:tcW w:w="1084" w:type="dxa"/>
            <w:vMerge w:val="continue"/>
            <w:noWrap w:val="0"/>
            <w:vAlign w:val="center"/>
          </w:tcPr>
          <w:p>
            <w:pPr>
              <w:spacing w:line="280" w:lineRule="exact"/>
              <w:ind w:left="-105" w:leftChars="-50" w:right="-105" w:rightChars="-50"/>
              <w:jc w:val="center"/>
              <w:rPr>
                <w:rFonts w:hint="eastAsia" w:ascii="仿宋" w:hAnsi="仿宋" w:eastAsia="仿宋" w:cs="仿宋"/>
                <w:sz w:val="24"/>
                <w:szCs w:val="24"/>
              </w:rPr>
            </w:pPr>
          </w:p>
        </w:tc>
        <w:tc>
          <w:tcPr>
            <w:tcW w:w="8096" w:type="dxa"/>
            <w:noWrap w:val="0"/>
            <w:vAlign w:val="center"/>
          </w:tcPr>
          <w:p>
            <w:pPr>
              <w:spacing w:line="280" w:lineRule="exact"/>
              <w:rPr>
                <w:rFonts w:hint="eastAsia" w:ascii="仿宋" w:hAnsi="仿宋" w:eastAsia="仿宋" w:cs="仿宋"/>
                <w:sz w:val="24"/>
                <w:szCs w:val="24"/>
              </w:rPr>
            </w:pPr>
            <w:r>
              <w:rPr>
                <w:rFonts w:hint="eastAsia" w:ascii="仿宋" w:hAnsi="仿宋" w:eastAsia="仿宋" w:cs="仿宋"/>
                <w:sz w:val="24"/>
                <w:szCs w:val="24"/>
              </w:rPr>
              <w:t>对表面为不同颜色的涂料或水泥墙面上“牛皮癣”，虽然按照“色差一致、形状统一、干净整洁、协调美观”的要求，使用相近颜色进行复原，但复原效果差，显影明显印迹的每处扣0.1分</w:t>
            </w:r>
          </w:p>
        </w:tc>
        <w:tc>
          <w:tcPr>
            <w:tcW w:w="722" w:type="dxa"/>
            <w:noWrap w:val="0"/>
            <w:vAlign w:val="top"/>
          </w:tcPr>
          <w:p>
            <w:pPr>
              <w:spacing w:line="28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68" w:type="dxa"/>
            <w:vMerge w:val="continue"/>
            <w:noWrap w:val="0"/>
            <w:vAlign w:val="center"/>
          </w:tcPr>
          <w:p>
            <w:pPr>
              <w:spacing w:line="280" w:lineRule="exact"/>
              <w:jc w:val="center"/>
              <w:rPr>
                <w:rFonts w:hint="eastAsia" w:ascii="仿宋" w:hAnsi="仿宋" w:eastAsia="仿宋" w:cs="仿宋"/>
                <w:sz w:val="24"/>
                <w:szCs w:val="24"/>
              </w:rPr>
            </w:pPr>
          </w:p>
        </w:tc>
        <w:tc>
          <w:tcPr>
            <w:tcW w:w="1084" w:type="dxa"/>
            <w:vMerge w:val="continue"/>
            <w:noWrap w:val="0"/>
            <w:vAlign w:val="center"/>
          </w:tcPr>
          <w:p>
            <w:pPr>
              <w:spacing w:line="280" w:lineRule="exact"/>
              <w:ind w:left="-105" w:leftChars="-50" w:right="-105" w:rightChars="-50"/>
              <w:jc w:val="center"/>
              <w:rPr>
                <w:rFonts w:hint="eastAsia" w:ascii="仿宋" w:hAnsi="仿宋" w:eastAsia="仿宋" w:cs="仿宋"/>
                <w:sz w:val="24"/>
                <w:szCs w:val="24"/>
              </w:rPr>
            </w:pPr>
          </w:p>
        </w:tc>
        <w:tc>
          <w:tcPr>
            <w:tcW w:w="8096" w:type="dxa"/>
            <w:noWrap w:val="0"/>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采用涂料进行粉刷覆盖的“牛皮癣”经清除覆盖后，因雨水冲刷、涂料过稀滴落、结块脱落等原因造成涂料脱落，“牛皮癣”重新泛出的每处扣0.3分</w:t>
            </w:r>
          </w:p>
        </w:tc>
        <w:tc>
          <w:tcPr>
            <w:tcW w:w="722" w:type="dxa"/>
            <w:noWrap w:val="0"/>
            <w:vAlign w:val="top"/>
          </w:tcPr>
          <w:p>
            <w:pPr>
              <w:spacing w:line="28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68" w:type="dxa"/>
            <w:vMerge w:val="continue"/>
            <w:noWrap w:val="0"/>
            <w:vAlign w:val="center"/>
          </w:tcPr>
          <w:p>
            <w:pPr>
              <w:spacing w:line="280" w:lineRule="exact"/>
              <w:jc w:val="center"/>
              <w:rPr>
                <w:rFonts w:hint="eastAsia" w:ascii="仿宋" w:hAnsi="仿宋" w:eastAsia="仿宋" w:cs="仿宋"/>
                <w:sz w:val="24"/>
                <w:szCs w:val="24"/>
              </w:rPr>
            </w:pPr>
          </w:p>
        </w:tc>
        <w:tc>
          <w:tcPr>
            <w:tcW w:w="1084" w:type="dxa"/>
            <w:vMerge w:val="continue"/>
            <w:noWrap w:val="0"/>
            <w:vAlign w:val="center"/>
          </w:tcPr>
          <w:p>
            <w:pPr>
              <w:spacing w:line="280" w:lineRule="exact"/>
              <w:ind w:left="-105" w:leftChars="-50" w:right="-105" w:rightChars="-50"/>
              <w:jc w:val="center"/>
              <w:rPr>
                <w:rFonts w:hint="eastAsia" w:ascii="仿宋" w:hAnsi="仿宋" w:eastAsia="仿宋" w:cs="仿宋"/>
                <w:sz w:val="24"/>
                <w:szCs w:val="24"/>
              </w:rPr>
            </w:pPr>
          </w:p>
        </w:tc>
        <w:tc>
          <w:tcPr>
            <w:tcW w:w="8096" w:type="dxa"/>
            <w:noWrap w:val="0"/>
            <w:vAlign w:val="center"/>
          </w:tcPr>
          <w:p>
            <w:pPr>
              <w:spacing w:line="280" w:lineRule="exact"/>
              <w:rPr>
                <w:rFonts w:hint="eastAsia" w:ascii="仿宋" w:hAnsi="仿宋" w:eastAsia="仿宋" w:cs="仿宋"/>
                <w:sz w:val="24"/>
                <w:szCs w:val="24"/>
              </w:rPr>
            </w:pPr>
            <w:r>
              <w:rPr>
                <w:rFonts w:hint="eastAsia" w:ascii="仿宋" w:hAnsi="仿宋" w:eastAsia="仿宋" w:cs="仿宋"/>
                <w:sz w:val="24"/>
                <w:szCs w:val="24"/>
              </w:rPr>
              <w:t>对张贴式的“牛皮癣”清理后遗留明显遗留20%的张贴痕迹的每处扣0.1分</w:t>
            </w:r>
          </w:p>
        </w:tc>
        <w:tc>
          <w:tcPr>
            <w:tcW w:w="722" w:type="dxa"/>
            <w:noWrap w:val="0"/>
            <w:vAlign w:val="top"/>
          </w:tcPr>
          <w:p>
            <w:pPr>
              <w:spacing w:line="28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468" w:type="dxa"/>
            <w:vMerge w:val="continue"/>
            <w:noWrap w:val="0"/>
            <w:vAlign w:val="center"/>
          </w:tcPr>
          <w:p>
            <w:pPr>
              <w:spacing w:line="280" w:lineRule="exact"/>
              <w:jc w:val="center"/>
              <w:rPr>
                <w:rFonts w:hint="eastAsia" w:ascii="仿宋" w:hAnsi="仿宋" w:eastAsia="仿宋" w:cs="仿宋"/>
                <w:sz w:val="24"/>
                <w:szCs w:val="24"/>
              </w:rPr>
            </w:pPr>
          </w:p>
        </w:tc>
        <w:tc>
          <w:tcPr>
            <w:tcW w:w="1084" w:type="dxa"/>
            <w:vMerge w:val="continue"/>
            <w:noWrap w:val="0"/>
            <w:vAlign w:val="center"/>
          </w:tcPr>
          <w:p>
            <w:pPr>
              <w:spacing w:line="280" w:lineRule="exact"/>
              <w:ind w:left="-105" w:leftChars="-50" w:right="-105" w:rightChars="-50"/>
              <w:jc w:val="center"/>
              <w:rPr>
                <w:rFonts w:hint="eastAsia" w:ascii="仿宋" w:hAnsi="仿宋" w:eastAsia="仿宋" w:cs="仿宋"/>
                <w:sz w:val="24"/>
                <w:szCs w:val="24"/>
              </w:rPr>
            </w:pPr>
          </w:p>
        </w:tc>
        <w:tc>
          <w:tcPr>
            <w:tcW w:w="8096" w:type="dxa"/>
            <w:noWrap w:val="0"/>
            <w:vAlign w:val="center"/>
          </w:tcPr>
          <w:p>
            <w:pPr>
              <w:spacing w:line="280" w:lineRule="exact"/>
              <w:rPr>
                <w:rFonts w:hint="eastAsia" w:ascii="仿宋" w:hAnsi="仿宋" w:eastAsia="仿宋" w:cs="仿宋"/>
                <w:sz w:val="24"/>
                <w:szCs w:val="24"/>
              </w:rPr>
            </w:pPr>
            <w:r>
              <w:rPr>
                <w:rFonts w:hint="eastAsia" w:ascii="仿宋" w:hAnsi="仿宋" w:eastAsia="仿宋" w:cs="仿宋"/>
                <w:sz w:val="24"/>
                <w:szCs w:val="24"/>
              </w:rPr>
              <w:t>在清理“牛皮癣”作业时，造成建筑物、构筑物、树木、管线及其他市政公用设施损坏，未及时采取相应补救措施恢复原样视情扣0.3分</w:t>
            </w:r>
          </w:p>
        </w:tc>
        <w:tc>
          <w:tcPr>
            <w:tcW w:w="722" w:type="dxa"/>
            <w:noWrap w:val="0"/>
            <w:vAlign w:val="top"/>
          </w:tcPr>
          <w:p>
            <w:pPr>
              <w:spacing w:line="28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68" w:type="dxa"/>
            <w:vMerge w:val="continue"/>
            <w:noWrap w:val="0"/>
            <w:vAlign w:val="center"/>
          </w:tcPr>
          <w:p>
            <w:pPr>
              <w:spacing w:line="280" w:lineRule="exact"/>
              <w:jc w:val="center"/>
              <w:rPr>
                <w:rFonts w:hint="eastAsia" w:ascii="仿宋" w:hAnsi="仿宋" w:eastAsia="仿宋" w:cs="仿宋"/>
                <w:sz w:val="24"/>
                <w:szCs w:val="24"/>
              </w:rPr>
            </w:pPr>
          </w:p>
        </w:tc>
        <w:tc>
          <w:tcPr>
            <w:tcW w:w="1084" w:type="dxa"/>
            <w:vMerge w:val="continue"/>
            <w:noWrap w:val="0"/>
            <w:vAlign w:val="center"/>
          </w:tcPr>
          <w:p>
            <w:pPr>
              <w:spacing w:line="280" w:lineRule="exact"/>
              <w:ind w:left="-105" w:leftChars="-50" w:right="-105" w:rightChars="-50"/>
              <w:jc w:val="center"/>
              <w:rPr>
                <w:rFonts w:hint="eastAsia" w:ascii="仿宋" w:hAnsi="仿宋" w:eastAsia="仿宋" w:cs="仿宋"/>
                <w:sz w:val="24"/>
                <w:szCs w:val="24"/>
              </w:rPr>
            </w:pPr>
          </w:p>
        </w:tc>
        <w:tc>
          <w:tcPr>
            <w:tcW w:w="8096" w:type="dxa"/>
            <w:noWrap w:val="0"/>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接到承包区域反映“牛皮癣”问题的投诉或新闻舆论批评后，未在规定时限内及时处理完毕并反馈信息每起扣2分</w:t>
            </w:r>
          </w:p>
        </w:tc>
        <w:tc>
          <w:tcPr>
            <w:tcW w:w="722" w:type="dxa"/>
            <w:noWrap w:val="0"/>
            <w:vAlign w:val="top"/>
          </w:tcPr>
          <w:p>
            <w:pPr>
              <w:spacing w:line="28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68" w:type="dxa"/>
            <w:vMerge w:val="restart"/>
            <w:noWrap w:val="0"/>
            <w:vAlign w:val="center"/>
          </w:tcPr>
          <w:p>
            <w:pPr>
              <w:spacing w:line="280" w:lineRule="exact"/>
              <w:ind w:left="-210" w:leftChars="-100" w:right="-210" w:rightChars="-100"/>
              <w:jc w:val="center"/>
              <w:rPr>
                <w:rFonts w:hint="eastAsia" w:ascii="仿宋" w:hAnsi="仿宋" w:eastAsia="仿宋" w:cs="仿宋"/>
                <w:sz w:val="24"/>
                <w:szCs w:val="24"/>
              </w:rPr>
            </w:pPr>
            <w:r>
              <w:rPr>
                <w:rFonts w:hint="eastAsia" w:ascii="仿宋" w:hAnsi="仿宋" w:eastAsia="仿宋" w:cs="仿宋"/>
                <w:sz w:val="24"/>
                <w:szCs w:val="24"/>
              </w:rPr>
              <w:t>2</w:t>
            </w:r>
          </w:p>
        </w:tc>
        <w:tc>
          <w:tcPr>
            <w:tcW w:w="1084" w:type="dxa"/>
            <w:vMerge w:val="restart"/>
            <w:noWrap w:val="0"/>
            <w:vAlign w:val="center"/>
          </w:tcPr>
          <w:p>
            <w:pPr>
              <w:widowControl/>
              <w:spacing w:line="280" w:lineRule="exact"/>
              <w:ind w:left="-105" w:leftChars="-50" w:right="-105" w:rightChars="-50"/>
              <w:jc w:val="center"/>
              <w:rPr>
                <w:rFonts w:hint="eastAsia" w:ascii="仿宋" w:hAnsi="仿宋" w:eastAsia="仿宋" w:cs="仿宋"/>
                <w:kern w:val="0"/>
                <w:sz w:val="24"/>
                <w:szCs w:val="24"/>
              </w:rPr>
            </w:pPr>
            <w:r>
              <w:rPr>
                <w:rFonts w:hint="eastAsia" w:ascii="仿宋" w:hAnsi="仿宋" w:eastAsia="仿宋" w:cs="仿宋"/>
                <w:kern w:val="0"/>
                <w:sz w:val="24"/>
                <w:szCs w:val="24"/>
              </w:rPr>
              <w:t>规定执行和其他情况（50分）</w:t>
            </w:r>
          </w:p>
        </w:tc>
        <w:tc>
          <w:tcPr>
            <w:tcW w:w="8096" w:type="dxa"/>
            <w:noWrap w:val="0"/>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各类管理人员未及时按要求到位，清洗保洁人员未按要求配备充足的视情扣分0.1－0.5分</w:t>
            </w:r>
          </w:p>
        </w:tc>
        <w:tc>
          <w:tcPr>
            <w:tcW w:w="722" w:type="dxa"/>
            <w:noWrap w:val="0"/>
            <w:vAlign w:val="top"/>
          </w:tcPr>
          <w:p>
            <w:pPr>
              <w:widowControl/>
              <w:spacing w:line="280" w:lineRule="exact"/>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68" w:type="dxa"/>
            <w:vMerge w:val="continue"/>
            <w:noWrap w:val="0"/>
            <w:vAlign w:val="top"/>
          </w:tcPr>
          <w:p>
            <w:pPr>
              <w:spacing w:line="280" w:lineRule="exact"/>
              <w:ind w:left="-210" w:leftChars="-100" w:right="-210" w:rightChars="-100"/>
              <w:rPr>
                <w:rFonts w:hint="eastAsia" w:ascii="仿宋" w:hAnsi="仿宋" w:eastAsia="仿宋" w:cs="仿宋"/>
                <w:sz w:val="24"/>
                <w:szCs w:val="24"/>
              </w:rPr>
            </w:pPr>
          </w:p>
        </w:tc>
        <w:tc>
          <w:tcPr>
            <w:tcW w:w="1084" w:type="dxa"/>
            <w:vMerge w:val="continue"/>
            <w:noWrap w:val="0"/>
            <w:vAlign w:val="top"/>
          </w:tcPr>
          <w:p>
            <w:pPr>
              <w:widowControl/>
              <w:spacing w:line="280" w:lineRule="exact"/>
              <w:ind w:left="-105" w:leftChars="-50" w:right="-105" w:rightChars="-50"/>
              <w:rPr>
                <w:rFonts w:hint="eastAsia" w:ascii="仿宋" w:hAnsi="仿宋" w:eastAsia="仿宋" w:cs="仿宋"/>
                <w:kern w:val="0"/>
                <w:sz w:val="24"/>
                <w:szCs w:val="24"/>
              </w:rPr>
            </w:pPr>
          </w:p>
        </w:tc>
        <w:tc>
          <w:tcPr>
            <w:tcW w:w="8096" w:type="dxa"/>
            <w:noWrap w:val="0"/>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清洗保洁作业人员未按照“定人员、定路段、定责任”的要求实行“三定”管理的每发现一起扣1分</w:t>
            </w:r>
          </w:p>
        </w:tc>
        <w:tc>
          <w:tcPr>
            <w:tcW w:w="722" w:type="dxa"/>
            <w:noWrap w:val="0"/>
            <w:vAlign w:val="top"/>
          </w:tcPr>
          <w:p>
            <w:pPr>
              <w:widowControl/>
              <w:spacing w:line="280" w:lineRule="exact"/>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68" w:type="dxa"/>
            <w:vMerge w:val="continue"/>
            <w:noWrap w:val="0"/>
            <w:vAlign w:val="top"/>
          </w:tcPr>
          <w:p>
            <w:pPr>
              <w:spacing w:line="280" w:lineRule="exact"/>
              <w:ind w:left="-210" w:leftChars="-100" w:right="-210" w:rightChars="-100"/>
              <w:rPr>
                <w:rFonts w:hint="eastAsia" w:ascii="仿宋" w:hAnsi="仿宋" w:eastAsia="仿宋" w:cs="仿宋"/>
                <w:sz w:val="24"/>
                <w:szCs w:val="24"/>
              </w:rPr>
            </w:pPr>
          </w:p>
        </w:tc>
        <w:tc>
          <w:tcPr>
            <w:tcW w:w="1084" w:type="dxa"/>
            <w:vMerge w:val="continue"/>
            <w:noWrap w:val="0"/>
            <w:vAlign w:val="top"/>
          </w:tcPr>
          <w:p>
            <w:pPr>
              <w:widowControl/>
              <w:spacing w:line="280" w:lineRule="exact"/>
              <w:ind w:left="-105" w:leftChars="-50" w:right="-105" w:rightChars="-50"/>
              <w:rPr>
                <w:rFonts w:hint="eastAsia" w:ascii="仿宋" w:hAnsi="仿宋" w:eastAsia="仿宋" w:cs="仿宋"/>
                <w:kern w:val="0"/>
                <w:sz w:val="24"/>
                <w:szCs w:val="24"/>
              </w:rPr>
            </w:pPr>
          </w:p>
        </w:tc>
        <w:tc>
          <w:tcPr>
            <w:tcW w:w="8096" w:type="dxa"/>
            <w:noWrap w:val="0"/>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清洗保洁人员作业时不遵章守纪，不按规定程序操作，违章蛮干，每发现一人次扣1分，情节严重的建议承包人予以解聘</w:t>
            </w:r>
          </w:p>
        </w:tc>
        <w:tc>
          <w:tcPr>
            <w:tcW w:w="722" w:type="dxa"/>
            <w:noWrap w:val="0"/>
            <w:vAlign w:val="top"/>
          </w:tcPr>
          <w:p>
            <w:pPr>
              <w:widowControl/>
              <w:spacing w:line="280" w:lineRule="exact"/>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468" w:type="dxa"/>
            <w:vMerge w:val="continue"/>
            <w:noWrap w:val="0"/>
            <w:vAlign w:val="top"/>
          </w:tcPr>
          <w:p>
            <w:pPr>
              <w:spacing w:line="280" w:lineRule="exact"/>
              <w:ind w:left="-210" w:leftChars="-100" w:right="-210" w:rightChars="-100"/>
              <w:rPr>
                <w:rFonts w:hint="eastAsia" w:ascii="仿宋" w:hAnsi="仿宋" w:eastAsia="仿宋" w:cs="仿宋"/>
                <w:sz w:val="24"/>
                <w:szCs w:val="24"/>
              </w:rPr>
            </w:pPr>
          </w:p>
        </w:tc>
        <w:tc>
          <w:tcPr>
            <w:tcW w:w="1084" w:type="dxa"/>
            <w:vMerge w:val="continue"/>
            <w:noWrap w:val="0"/>
            <w:vAlign w:val="top"/>
          </w:tcPr>
          <w:p>
            <w:pPr>
              <w:widowControl/>
              <w:spacing w:line="280" w:lineRule="exact"/>
              <w:ind w:left="-105" w:leftChars="-50" w:right="-105" w:rightChars="-50"/>
              <w:rPr>
                <w:rFonts w:hint="eastAsia" w:ascii="仿宋" w:hAnsi="仿宋" w:eastAsia="仿宋" w:cs="仿宋"/>
                <w:kern w:val="0"/>
                <w:sz w:val="24"/>
                <w:szCs w:val="24"/>
              </w:rPr>
            </w:pPr>
          </w:p>
        </w:tc>
        <w:tc>
          <w:tcPr>
            <w:tcW w:w="8096" w:type="dxa"/>
            <w:noWrap w:val="0"/>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群众举报、新闻媒体曝光、政府公开电话交办或受到政府公开电话通报批评（扣分），经查实因承包人主观原因引起的，每次视情扣1至5分</w:t>
            </w:r>
          </w:p>
        </w:tc>
        <w:tc>
          <w:tcPr>
            <w:tcW w:w="722" w:type="dxa"/>
            <w:noWrap w:val="0"/>
            <w:vAlign w:val="top"/>
          </w:tcPr>
          <w:p>
            <w:pPr>
              <w:widowControl/>
              <w:spacing w:line="280" w:lineRule="exact"/>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68" w:type="dxa"/>
            <w:vMerge w:val="continue"/>
            <w:noWrap w:val="0"/>
            <w:vAlign w:val="top"/>
          </w:tcPr>
          <w:p>
            <w:pPr>
              <w:spacing w:line="280" w:lineRule="exact"/>
              <w:ind w:left="-210" w:leftChars="-100" w:right="-210" w:rightChars="-100"/>
              <w:rPr>
                <w:rFonts w:hint="eastAsia" w:ascii="仿宋" w:hAnsi="仿宋" w:eastAsia="仿宋" w:cs="仿宋"/>
                <w:sz w:val="24"/>
                <w:szCs w:val="24"/>
              </w:rPr>
            </w:pPr>
          </w:p>
        </w:tc>
        <w:tc>
          <w:tcPr>
            <w:tcW w:w="1084" w:type="dxa"/>
            <w:vMerge w:val="continue"/>
            <w:noWrap w:val="0"/>
            <w:vAlign w:val="top"/>
          </w:tcPr>
          <w:p>
            <w:pPr>
              <w:widowControl/>
              <w:spacing w:line="280" w:lineRule="exact"/>
              <w:ind w:left="-105" w:leftChars="-50" w:right="-105" w:rightChars="-50"/>
              <w:rPr>
                <w:rFonts w:hint="eastAsia" w:ascii="仿宋" w:hAnsi="仿宋" w:eastAsia="仿宋" w:cs="仿宋"/>
                <w:kern w:val="0"/>
                <w:sz w:val="24"/>
                <w:szCs w:val="24"/>
              </w:rPr>
            </w:pPr>
          </w:p>
        </w:tc>
        <w:tc>
          <w:tcPr>
            <w:tcW w:w="8096" w:type="dxa"/>
            <w:noWrap w:val="0"/>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在上级各项检查时发现不符合清洗保洁或未及时对“牛皮癣”进行清洗保洁要求的每次扣5分</w:t>
            </w:r>
          </w:p>
        </w:tc>
        <w:tc>
          <w:tcPr>
            <w:tcW w:w="722" w:type="dxa"/>
            <w:noWrap w:val="0"/>
            <w:vAlign w:val="top"/>
          </w:tcPr>
          <w:p>
            <w:pPr>
              <w:widowControl/>
              <w:spacing w:line="280" w:lineRule="exact"/>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648" w:type="dxa"/>
            <w:gridSpan w:val="3"/>
            <w:noWrap w:val="0"/>
            <w:vAlign w:val="center"/>
          </w:tcPr>
          <w:p>
            <w:pPr>
              <w:widowControl/>
              <w:spacing w:line="28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合计得分</w:t>
            </w:r>
          </w:p>
        </w:tc>
        <w:tc>
          <w:tcPr>
            <w:tcW w:w="722" w:type="dxa"/>
            <w:noWrap w:val="0"/>
            <w:vAlign w:val="top"/>
          </w:tcPr>
          <w:p>
            <w:pPr>
              <w:widowControl/>
              <w:spacing w:line="280" w:lineRule="exact"/>
              <w:rPr>
                <w:rFonts w:hint="eastAsia" w:ascii="仿宋" w:hAnsi="仿宋" w:eastAsia="仿宋" w:cs="仿宋"/>
                <w:kern w:val="0"/>
                <w:sz w:val="24"/>
                <w:szCs w:val="24"/>
              </w:rPr>
            </w:pPr>
          </w:p>
        </w:tc>
      </w:tr>
    </w:tbl>
    <w:p>
      <w:pPr>
        <w:spacing w:line="440" w:lineRule="exact"/>
        <w:rPr>
          <w:rFonts w:hint="eastAsia" w:ascii="仿宋" w:hAnsi="仿宋" w:eastAsia="仿宋" w:cs="仿宋"/>
          <w:b/>
          <w:bCs/>
          <w:sz w:val="24"/>
          <w:szCs w:val="24"/>
        </w:rPr>
      </w:pPr>
    </w:p>
    <w:p>
      <w:pPr>
        <w:pStyle w:val="60"/>
        <w:jc w:val="left"/>
        <w:rPr>
          <w:rFonts w:hint="eastAsia" w:ascii="仿宋" w:hAnsi="仿宋" w:eastAsia="仿宋" w:cs="仿宋"/>
          <w:sz w:val="24"/>
          <w:szCs w:val="24"/>
        </w:rPr>
      </w:pPr>
      <w:r>
        <w:rPr>
          <w:rFonts w:hint="eastAsia" w:ascii="仿宋" w:hAnsi="仿宋" w:eastAsia="仿宋" w:cs="仿宋"/>
          <w:sz w:val="24"/>
          <w:szCs w:val="24"/>
        </w:rPr>
        <w:br w:type="page"/>
      </w:r>
    </w:p>
    <w:p>
      <w:pPr>
        <w:spacing w:line="560" w:lineRule="exact"/>
        <w:ind w:firstLine="480" w:firstLineChars="200"/>
        <w:rPr>
          <w:rFonts w:hint="eastAsia" w:ascii="仿宋" w:hAnsi="仿宋" w:eastAsia="仿宋" w:cs="仿宋"/>
          <w:color w:val="000000"/>
          <w:kern w:val="0"/>
          <w:sz w:val="24"/>
          <w:szCs w:val="24"/>
        </w:rPr>
        <w:sectPr>
          <w:footerReference r:id="rId8" w:type="default"/>
          <w:pgSz w:w="11906" w:h="16838"/>
          <w:pgMar w:top="2098" w:right="1474" w:bottom="1984" w:left="1587" w:header="851" w:footer="1417" w:gutter="0"/>
          <w:pgNumType w:fmt="decimal"/>
          <w:cols w:space="720" w:num="1"/>
          <w:docGrid w:linePitch="319" w:charSpace="0"/>
        </w:sectPr>
      </w:pPr>
    </w:p>
    <w:p>
      <w:pPr>
        <w:pStyle w:val="60"/>
        <w:jc w:val="left"/>
        <w:rPr>
          <w:rFonts w:hint="eastAsia" w:ascii="仿宋" w:hAnsi="仿宋" w:eastAsia="仿宋" w:cs="仿宋"/>
          <w:sz w:val="24"/>
          <w:szCs w:val="24"/>
        </w:rPr>
      </w:pPr>
    </w:p>
    <w:p>
      <w:pPr>
        <w:pStyle w:val="6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）新街社区无物业小区保洁考核标准</w:t>
      </w:r>
    </w:p>
    <w:p>
      <w:pPr>
        <w:rPr>
          <w:rFonts w:hint="eastAsia" w:ascii="仿宋" w:hAnsi="仿宋" w:eastAsia="仿宋" w:cs="仿宋"/>
          <w:b/>
          <w:bCs/>
          <w:sz w:val="24"/>
          <w:szCs w:val="24"/>
        </w:rPr>
      </w:pPr>
      <w:r>
        <w:rPr>
          <w:rFonts w:hint="eastAsia" w:ascii="仿宋" w:hAnsi="仿宋" w:eastAsia="仿宋" w:cs="仿宋"/>
          <w:b/>
          <w:bCs/>
          <w:sz w:val="24"/>
          <w:szCs w:val="24"/>
        </w:rPr>
        <w:t>考核要求及方式</w:t>
      </w:r>
    </w:p>
    <w:p>
      <w:pPr>
        <w:spacing w:line="56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sz w:val="24"/>
          <w:szCs w:val="24"/>
        </w:rPr>
        <w:t xml:space="preserve">   </w:t>
      </w:r>
      <w:r>
        <w:rPr>
          <w:rFonts w:hint="eastAsia" w:ascii="仿宋" w:hAnsi="仿宋" w:eastAsia="仿宋" w:cs="仿宋"/>
          <w:color w:val="000000"/>
          <w:kern w:val="0"/>
          <w:sz w:val="24"/>
          <w:szCs w:val="24"/>
        </w:rPr>
        <w:t>乔司街道无物业小区保洁、日常运营、甲方其他任务安排等工作（考核评分细则详见附表）。</w:t>
      </w:r>
    </w:p>
    <w:p>
      <w:pPr>
        <w:spacing w:line="460" w:lineRule="exact"/>
        <w:ind w:firstLine="561"/>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color w:val="000000"/>
          <w:kern w:val="0"/>
          <w:sz w:val="24"/>
          <w:szCs w:val="24"/>
        </w:rPr>
        <w:t>1.</w:t>
      </w:r>
      <w:r>
        <w:rPr>
          <w:rFonts w:hint="eastAsia" w:ascii="仿宋" w:hAnsi="仿宋" w:eastAsia="仿宋" w:cs="仿宋"/>
          <w:sz w:val="24"/>
          <w:szCs w:val="24"/>
        </w:rPr>
        <w:t>无物业保洁服务费划分为服务保障费及服务考核费，其中服务保障费占总服务费的70%，不纳入考核；服务考核费占总服务费的30%，服务考核费支付与考核结果挂钩。</w:t>
      </w:r>
    </w:p>
    <w:p>
      <w:pPr>
        <w:spacing w:line="460" w:lineRule="exact"/>
        <w:ind w:firstLine="561"/>
        <w:rPr>
          <w:rFonts w:hint="eastAsia" w:ascii="仿宋" w:hAnsi="仿宋" w:eastAsia="仿宋" w:cs="仿宋"/>
          <w:sz w:val="24"/>
          <w:szCs w:val="24"/>
        </w:rPr>
      </w:pPr>
      <w:r>
        <w:rPr>
          <w:rFonts w:hint="eastAsia" w:ascii="仿宋" w:hAnsi="仿宋" w:eastAsia="仿宋" w:cs="仿宋"/>
          <w:sz w:val="24"/>
          <w:szCs w:val="24"/>
        </w:rPr>
        <w:t>由甲方根据考核办法每月末前组织人员对乙方运营情况进行现场检查考核。</w:t>
      </w:r>
      <w:r>
        <w:rPr>
          <w:rFonts w:hint="eastAsia" w:ascii="仿宋" w:hAnsi="仿宋" w:eastAsia="仿宋" w:cs="仿宋"/>
          <w:color w:val="000000"/>
          <w:kern w:val="0"/>
          <w:sz w:val="24"/>
          <w:szCs w:val="24"/>
        </w:rPr>
        <w:t>考核以现场打分为主，严格按照考评细则进行，并提供相应照片留存作为扣分依据，须被考核片区负责人签字确认，每月底进行本月检查成绩公布。</w:t>
      </w:r>
      <w:r>
        <w:rPr>
          <w:rFonts w:hint="eastAsia" w:ascii="仿宋" w:hAnsi="仿宋" w:eastAsia="仿宋" w:cs="仿宋"/>
          <w:sz w:val="24"/>
          <w:szCs w:val="24"/>
        </w:rPr>
        <w:t>具体考核办法详见附件。考核结果分为一档、二档、三档、四档。考核得分在90分以上（含）为一档，80分（含）至90分为二档，70分（含）至80分为三档，70分以下为四档。</w:t>
      </w:r>
    </w:p>
    <w:p>
      <w:pPr>
        <w:spacing w:line="460" w:lineRule="exact"/>
        <w:ind w:firstLine="561"/>
        <w:rPr>
          <w:rFonts w:hint="eastAsia" w:ascii="仿宋" w:hAnsi="仿宋" w:eastAsia="仿宋" w:cs="仿宋"/>
          <w:sz w:val="24"/>
          <w:szCs w:val="24"/>
        </w:rPr>
      </w:pPr>
      <w:r>
        <w:rPr>
          <w:rFonts w:hint="eastAsia" w:ascii="仿宋" w:hAnsi="仿宋" w:eastAsia="仿宋" w:cs="仿宋"/>
          <w:color w:val="000000"/>
          <w:kern w:val="0"/>
          <w:sz w:val="24"/>
          <w:szCs w:val="24"/>
        </w:rPr>
        <w:t>2.</w:t>
      </w:r>
      <w:r>
        <w:rPr>
          <w:rFonts w:hint="eastAsia" w:ascii="仿宋" w:hAnsi="仿宋" w:eastAsia="仿宋" w:cs="仿宋"/>
          <w:sz w:val="24"/>
          <w:szCs w:val="24"/>
        </w:rPr>
        <w:t>考核为一档，100%支付服务费用。考核为二档，按照90%支付服务考核费用。考核为三档，按照80%支付服务考核费用。考核为四档，按照70%支付服务考核费用。</w:t>
      </w:r>
    </w:p>
    <w:p>
      <w:pPr>
        <w:spacing w:line="56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款按季支付，合同签署生效后，经季度考核，甲方应在次月20日前向乙方支付上季度服务费用，最后一季度费用在合同期满验收合格后十五日内支付；考核应扣款项及其他应扣款项在每季度支付经费或年终支付经费时扣除，并提供扣款凭证。</w:t>
      </w:r>
    </w:p>
    <w:p>
      <w:pPr>
        <w:spacing w:line="560" w:lineRule="exact"/>
        <w:rPr>
          <w:rFonts w:hint="eastAsia" w:ascii="仿宋" w:hAnsi="仿宋" w:eastAsia="仿宋" w:cs="仿宋"/>
          <w:color w:val="000000"/>
          <w:kern w:val="0"/>
          <w:sz w:val="24"/>
          <w:szCs w:val="24"/>
        </w:rPr>
      </w:pPr>
    </w:p>
    <w:p>
      <w:pPr>
        <w:spacing w:line="560" w:lineRule="exact"/>
        <w:rPr>
          <w:rFonts w:hint="eastAsia" w:ascii="仿宋" w:hAnsi="仿宋" w:eastAsia="仿宋" w:cs="仿宋"/>
          <w:color w:val="auto"/>
          <w:sz w:val="24"/>
          <w:szCs w:val="24"/>
          <w:highlight w:val="none"/>
        </w:rPr>
      </w:pPr>
      <w:r>
        <w:rPr>
          <w:rFonts w:hint="eastAsia" w:ascii="仿宋" w:hAnsi="仿宋" w:eastAsia="仿宋" w:cs="仿宋"/>
          <w:b w:val="0"/>
          <w:bCs/>
          <w:color w:val="auto"/>
          <w:sz w:val="24"/>
          <w:szCs w:val="24"/>
        </w:rPr>
        <w:t>（11）环卫保洁管理要求:(1)按《杭州市人民政府办公厅转发市城管委关于杭州城区整洁度检查考核试行办法的通知》(杭政办函(2012)177号)、《关于印发2020年度各区、县(市)政府(管委会)城市管理目标考核办法的通知》(杭城管局(2020)42号)、《关于进一步明确城市各类保洁相关要求的通知》(杭城管局(2020)49号)和《关于印发(杭州市环卫作业人员着装与作业行为规范〉及(杭州市环卫作业车辆标识与作业管理规范〉的通知》(杭城管委(2016)130号)中明确的相关要求执行，如市、区相应规范标准有更新，按照最新版本执行。(2)按照以人为本原则关心职工，严格遵守《劳动法》、《劳动合同法》等劳动法规，保障职工合法权益。认真贯彻杭政办《浙江省人民政府办公厅关于进一步改善环卫工人工作生活条件促进环卫事业持续健康发展的若干意见》(浙政办发(2009)190号)和《杭州市人民政府办公厅关于进一步解决环卫工人实际困难 保障其合法权益的意见》((2008)14号)文件精神，环卫工人工资不得低于文件规定的工资标准，落实职工劳保福利待遇。(3)环卫职工的工资、岗位津贴、加班工资等必须确保按月发放。本次招标项目要求作业期间同一时段内道路保洁作业人数不</w:t>
      </w:r>
      <w:r>
        <w:rPr>
          <w:rFonts w:hint="eastAsia" w:ascii="仿宋" w:hAnsi="仿宋" w:eastAsia="仿宋" w:cs="仿宋"/>
          <w:b w:val="0"/>
          <w:bCs/>
          <w:color w:val="auto"/>
          <w:sz w:val="24"/>
          <w:szCs w:val="24"/>
          <w:highlight w:val="none"/>
        </w:rPr>
        <w:t>得少于</w:t>
      </w:r>
      <w:r>
        <w:rPr>
          <w:rFonts w:hint="eastAsia" w:ascii="仿宋" w:hAnsi="仿宋" w:eastAsia="仿宋" w:cs="仿宋"/>
          <w:b w:val="0"/>
          <w:bCs/>
          <w:color w:val="auto"/>
          <w:sz w:val="24"/>
          <w:szCs w:val="24"/>
          <w:highlight w:val="none"/>
          <w:lang w:val="en-US" w:eastAsia="zh-CN"/>
        </w:rPr>
        <w:t>89</w:t>
      </w:r>
      <w:r>
        <w:rPr>
          <w:rFonts w:hint="eastAsia" w:ascii="仿宋" w:hAnsi="仿宋" w:eastAsia="仿宋" w:cs="仿宋"/>
          <w:b w:val="0"/>
          <w:bCs/>
          <w:color w:val="auto"/>
          <w:sz w:val="24"/>
          <w:szCs w:val="24"/>
          <w:highlight w:val="none"/>
        </w:rPr>
        <w:t>人，一线清扫保洁作业人员(含保洁项目现场管理人员)总人数不得少于</w:t>
      </w:r>
      <w:r>
        <w:rPr>
          <w:rFonts w:hint="eastAsia" w:ascii="仿宋" w:hAnsi="仿宋" w:eastAsia="仿宋" w:cs="仿宋"/>
          <w:b w:val="0"/>
          <w:bCs/>
          <w:color w:val="auto"/>
          <w:sz w:val="24"/>
          <w:szCs w:val="24"/>
          <w:highlight w:val="none"/>
          <w:lang w:val="en-US" w:eastAsia="zh-CN"/>
        </w:rPr>
        <w:t>178</w:t>
      </w:r>
      <w:r>
        <w:rPr>
          <w:rFonts w:hint="eastAsia" w:ascii="仿宋" w:hAnsi="仿宋" w:eastAsia="仿宋" w:cs="仿宋"/>
          <w:b w:val="0"/>
          <w:bCs/>
          <w:color w:val="auto"/>
          <w:sz w:val="24"/>
          <w:szCs w:val="24"/>
          <w:highlight w:val="none"/>
        </w:rPr>
        <w:t>人</w:t>
      </w:r>
      <w:r>
        <w:rPr>
          <w:rFonts w:hint="eastAsia" w:ascii="仿宋" w:hAnsi="仿宋" w:eastAsia="仿宋" w:cs="仿宋"/>
          <w:b w:val="0"/>
          <w:bCs/>
          <w:color w:val="auto"/>
          <w:sz w:val="24"/>
          <w:szCs w:val="24"/>
        </w:rPr>
        <w:t>。本次招标要求的班组人员、机具设备固定用于本项目，不能与其它标段重复。如发有作业人员、机具在其它道路标段兼职或使用的，采购人有权解除合同。</w:t>
      </w:r>
    </w:p>
    <w:p>
      <w:pPr>
        <w:numPr>
          <w:ilvl w:val="0"/>
          <w:numId w:val="1"/>
        </w:numPr>
        <w:spacing w:line="600" w:lineRule="exact"/>
        <w:rPr>
          <w:rFonts w:hint="eastAsia" w:ascii="仿宋" w:hAnsi="仿宋" w:eastAsia="仿宋" w:cs="仿宋"/>
          <w:b/>
          <w:bCs/>
          <w:sz w:val="24"/>
          <w:szCs w:val="24"/>
        </w:rPr>
      </w:pPr>
      <w:r>
        <w:rPr>
          <w:rFonts w:hint="eastAsia" w:ascii="仿宋" w:hAnsi="仿宋" w:eastAsia="仿宋" w:cs="仿宋"/>
          <w:b/>
          <w:bCs/>
          <w:sz w:val="24"/>
          <w:szCs w:val="24"/>
        </w:rPr>
        <w:t>本工程有关的特殊条款</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w:t>
      </w:r>
      <w:r>
        <w:rPr>
          <w:rFonts w:hint="eastAsia" w:ascii="仿宋" w:hAnsi="仿宋" w:eastAsia="仿宋" w:cs="仿宋"/>
          <w:b/>
          <w:bCs/>
          <w:sz w:val="24"/>
          <w:lang w:val="en-US" w:eastAsia="zh-CN"/>
        </w:rPr>
        <w:t>服务</w:t>
      </w:r>
      <w:r>
        <w:rPr>
          <w:rFonts w:hint="eastAsia" w:ascii="仿宋" w:hAnsi="仿宋" w:eastAsia="仿宋" w:cs="仿宋"/>
          <w:b/>
          <w:bCs/>
          <w:sz w:val="24"/>
        </w:rPr>
        <w:t>期内,必须投入相应的机械等设备，符合杭州市环卫行业标准化管理的要求。</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（2）</w:t>
      </w:r>
      <w:r>
        <w:rPr>
          <w:rFonts w:hint="eastAsia" w:ascii="仿宋" w:hAnsi="仿宋" w:eastAsia="仿宋" w:cs="仿宋"/>
          <w:b/>
          <w:bCs/>
          <w:sz w:val="24"/>
          <w:lang w:val="en-US" w:eastAsia="zh-CN"/>
        </w:rPr>
        <w:t>服务</w:t>
      </w:r>
      <w:r>
        <w:rPr>
          <w:rFonts w:hint="eastAsia" w:ascii="仿宋" w:hAnsi="仿宋" w:eastAsia="仿宋" w:cs="仿宋"/>
          <w:b/>
          <w:bCs/>
          <w:sz w:val="24"/>
        </w:rPr>
        <w:t>期内，在迎检和各类创建活动中，中标单位应无条件服从招标人的安排，圆满完成各项任务，由于中标单位的原因失分或造成不良影响的，招标人有权进行处罚和清退中标单位，在迎检过程中，由于中标单位组织不力，由招标人组织人力、物力进行整治所涉及的费用，由中标单位双倍偿还招标人，招标人有权直接在养护费中扣除。</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（3）</w:t>
      </w:r>
      <w:r>
        <w:rPr>
          <w:rFonts w:hint="eastAsia" w:ascii="仿宋" w:hAnsi="仿宋" w:eastAsia="仿宋" w:cs="仿宋"/>
          <w:b/>
          <w:bCs/>
          <w:sz w:val="24"/>
          <w:lang w:val="en-US" w:eastAsia="zh-CN"/>
        </w:rPr>
        <w:t>服务</w:t>
      </w:r>
      <w:r>
        <w:rPr>
          <w:rFonts w:hint="eastAsia" w:ascii="仿宋" w:hAnsi="仿宋" w:eastAsia="仿宋" w:cs="仿宋"/>
          <w:b/>
          <w:bCs/>
          <w:sz w:val="24"/>
        </w:rPr>
        <w:t>期限内，采购人有权直接委托中标单位养护管理本标段</w:t>
      </w:r>
      <w:r>
        <w:rPr>
          <w:rFonts w:hint="eastAsia" w:ascii="仿宋" w:hAnsi="仿宋" w:eastAsia="仿宋" w:cs="仿宋"/>
          <w:b/>
          <w:bCs/>
          <w:sz w:val="24"/>
          <w:lang w:val="en-US" w:eastAsia="zh-CN"/>
        </w:rPr>
        <w:t>10</w:t>
      </w:r>
      <w:r>
        <w:rPr>
          <w:rFonts w:hint="eastAsia" w:ascii="仿宋" w:hAnsi="仿宋" w:eastAsia="仿宋" w:cs="仿宋"/>
          <w:b/>
          <w:bCs/>
          <w:sz w:val="24"/>
        </w:rPr>
        <w:t>%以下工程量的保洁面积</w:t>
      </w:r>
      <w:r>
        <w:rPr>
          <w:rFonts w:hint="eastAsia" w:ascii="仿宋" w:hAnsi="仿宋" w:eastAsia="仿宋" w:cs="仿宋"/>
          <w:b/>
          <w:bCs/>
          <w:sz w:val="24"/>
          <w:lang w:val="en-US" w:eastAsia="zh-CN"/>
        </w:rPr>
        <w:t>或养护时间不超6个月的保洁任务</w:t>
      </w:r>
      <w:r>
        <w:rPr>
          <w:rFonts w:hint="eastAsia" w:ascii="仿宋" w:hAnsi="仿宋" w:eastAsia="仿宋" w:cs="仿宋"/>
          <w:b/>
          <w:bCs/>
          <w:sz w:val="24"/>
        </w:rPr>
        <w:t>，采购人不额外增加养护费。</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（4）</w:t>
      </w:r>
      <w:r>
        <w:rPr>
          <w:rFonts w:hint="eastAsia" w:ascii="仿宋" w:hAnsi="仿宋" w:eastAsia="仿宋" w:cs="仿宋"/>
          <w:b/>
          <w:bCs/>
          <w:sz w:val="24"/>
          <w:lang w:val="en-US" w:eastAsia="zh-CN"/>
        </w:rPr>
        <w:t>服务</w:t>
      </w:r>
      <w:r>
        <w:rPr>
          <w:rFonts w:hint="eastAsia" w:ascii="仿宋" w:hAnsi="仿宋" w:eastAsia="仿宋" w:cs="仿宋"/>
          <w:b/>
          <w:bCs/>
          <w:sz w:val="24"/>
        </w:rPr>
        <w:t>期内所发生的任何安全事故一律由中标单位负责，招标人不承担任何责任。</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（5）</w:t>
      </w:r>
      <w:r>
        <w:rPr>
          <w:rFonts w:hint="eastAsia" w:ascii="仿宋" w:hAnsi="仿宋" w:eastAsia="仿宋" w:cs="仿宋"/>
          <w:b/>
          <w:bCs/>
          <w:sz w:val="24"/>
          <w:lang w:val="en-US" w:eastAsia="zh-CN"/>
        </w:rPr>
        <w:t>服务</w:t>
      </w:r>
      <w:r>
        <w:rPr>
          <w:rFonts w:hint="eastAsia" w:ascii="仿宋" w:hAnsi="仿宋" w:eastAsia="仿宋" w:cs="仿宋"/>
          <w:b/>
          <w:bCs/>
          <w:sz w:val="24"/>
        </w:rPr>
        <w:t>期内，中标单位所产生的各项费用（迎检保障工作、防台抗洪、防雪抗冻、突击整治等各类应急工作），由中标单位负责列入报价，招标人不再追加费用。</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（6）</w:t>
      </w:r>
      <w:r>
        <w:rPr>
          <w:rFonts w:hint="eastAsia" w:ascii="仿宋" w:hAnsi="仿宋" w:eastAsia="仿宋" w:cs="仿宋"/>
          <w:b/>
          <w:sz w:val="24"/>
        </w:rPr>
        <w:t>中标单位不得向沿街单位和个人收取任何费用（包括门前三包）。</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（7）中标单位不得将本项目分包或转包，否则招标人有权责令其停止作业并中止承包合同，所造成的损失由中标单位负责。</w:t>
      </w:r>
    </w:p>
    <w:p>
      <w:pPr>
        <w:autoSpaceDE w:val="0"/>
        <w:autoSpaceDN w:val="0"/>
        <w:adjustRightInd w:val="0"/>
        <w:spacing w:line="360" w:lineRule="auto"/>
        <w:ind w:firstLine="479" w:firstLineChars="199"/>
        <w:jc w:val="left"/>
        <w:rPr>
          <w:rFonts w:hint="eastAsia" w:ascii="仿宋" w:hAnsi="仿宋" w:eastAsia="仿宋" w:cs="仿宋"/>
          <w:b/>
          <w:bCs/>
          <w:sz w:val="24"/>
        </w:rPr>
      </w:pPr>
      <w:r>
        <w:rPr>
          <w:rFonts w:hint="eastAsia" w:ascii="仿宋" w:hAnsi="仿宋" w:eastAsia="仿宋" w:cs="仿宋"/>
          <w:b/>
          <w:bCs/>
          <w:sz w:val="24"/>
        </w:rPr>
        <w:t>（8）招标人有权采用数字管理平台对保洁车辆、保洁人员进行作业监管，修改完善考核标准，投标人应无条件接受。</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9）公厕内的公共设施必须细心看管，认真维护，如遇丢失或损坏均由中标单位负责购置或维修，所需费用也由中标单位承担。公厕保洁过程中，如遇粪坑倒溢，粪管堵塞等情况，中标单位需及时采取措施，处理好类似情况。（处置类似情况费用由中标人承担）</w:t>
      </w:r>
    </w:p>
    <w:p>
      <w:pPr>
        <w:pStyle w:val="24"/>
        <w:spacing w:line="360" w:lineRule="auto"/>
        <w:ind w:firstLine="482" w:firstLineChars="200"/>
        <w:rPr>
          <w:rFonts w:hint="eastAsia" w:ascii="仿宋" w:hAnsi="仿宋" w:eastAsia="仿宋" w:cs="仿宋"/>
          <w:lang w:eastAsia="zh-CN"/>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10</w:t>
      </w:r>
      <w:r>
        <w:rPr>
          <w:rFonts w:hint="eastAsia" w:ascii="仿宋" w:hAnsi="仿宋" w:eastAsia="仿宋" w:cs="仿宋"/>
          <w:b/>
          <w:bCs/>
          <w:sz w:val="24"/>
          <w:lang w:eastAsia="zh-CN"/>
        </w:rPr>
        <w:t>）</w:t>
      </w:r>
      <w:r>
        <w:rPr>
          <w:rFonts w:hint="eastAsia" w:ascii="仿宋" w:hAnsi="仿宋" w:eastAsia="仿宋" w:cs="仿宋"/>
          <w:b/>
          <w:bCs/>
          <w:color w:val="auto"/>
          <w:sz w:val="24"/>
        </w:rPr>
        <w:t>投标单位需承诺中标后一周内由甲方验收投标承诺车辆，喷绘</w:t>
      </w:r>
      <w:r>
        <w:rPr>
          <w:rFonts w:hint="eastAsia" w:ascii="仿宋" w:hAnsi="仿宋" w:eastAsia="仿宋" w:cs="仿宋"/>
          <w:b/>
          <w:bCs/>
          <w:color w:val="auto"/>
          <w:sz w:val="24"/>
          <w:lang w:val="en-US" w:eastAsia="zh-CN"/>
        </w:rPr>
        <w:t>统一</w:t>
      </w:r>
      <w:r>
        <w:rPr>
          <w:rFonts w:hint="eastAsia" w:ascii="仿宋" w:hAnsi="仿宋" w:eastAsia="仿宋" w:cs="仿宋"/>
          <w:b/>
          <w:bCs/>
          <w:color w:val="auto"/>
          <w:sz w:val="24"/>
        </w:rPr>
        <w:t>标识，并在所有车辆上安装GPS定位系统，如中标单位不能按时提供，招标人将取消中标单位资格，并报备区交易中心及城管局</w:t>
      </w:r>
      <w:r>
        <w:rPr>
          <w:rFonts w:hint="eastAsia" w:ascii="仿宋" w:hAnsi="仿宋" w:eastAsia="仿宋" w:cs="仿宋"/>
          <w:b/>
          <w:bCs/>
          <w:color w:val="auto"/>
          <w:sz w:val="24"/>
          <w:lang w:eastAsia="zh-CN"/>
        </w:rPr>
        <w:t>。</w:t>
      </w:r>
    </w:p>
    <w:p>
      <w:pPr>
        <w:pStyle w:val="24"/>
        <w:spacing w:line="360" w:lineRule="auto"/>
        <w:ind w:firstLine="482" w:firstLineChars="200"/>
        <w:rPr>
          <w:rFonts w:hint="eastAsia" w:ascii="仿宋" w:hAnsi="仿宋" w:eastAsia="仿宋" w:cs="仿宋"/>
          <w:b/>
          <w:bCs/>
          <w:sz w:val="24"/>
          <w:lang w:val="en-US" w:eastAsia="zh-CN"/>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11</w:t>
      </w:r>
      <w:r>
        <w:rPr>
          <w:rFonts w:hint="eastAsia" w:ascii="仿宋" w:hAnsi="仿宋" w:eastAsia="仿宋" w:cs="仿宋"/>
          <w:b/>
          <w:bCs/>
          <w:sz w:val="24"/>
          <w:lang w:eastAsia="zh-CN"/>
        </w:rPr>
        <w:t>）</w:t>
      </w:r>
      <w:r>
        <w:rPr>
          <w:rFonts w:hint="eastAsia" w:ascii="仿宋" w:hAnsi="仿宋" w:eastAsia="仿宋" w:cs="仿宋"/>
          <w:b/>
          <w:bCs/>
          <w:sz w:val="24"/>
          <w:lang w:val="en-US" w:eastAsia="zh-CN"/>
        </w:rPr>
        <w:t>实际保洁服务期限为签订合同之日起两年，合同一年一签，根据考核结果是否合格，招标人有权是否续签或提前终止合同。</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（12）</w:t>
      </w:r>
      <w:r>
        <w:rPr>
          <w:rFonts w:hint="eastAsia" w:ascii="仿宋" w:hAnsi="仿宋" w:eastAsia="仿宋" w:cs="仿宋"/>
          <w:b/>
          <w:bCs/>
          <w:sz w:val="24"/>
        </w:rPr>
        <w:t>本项目投标报价超过最高限价的（即投标报价&gt;最高限价），其投标视为无效。</w:t>
      </w:r>
    </w:p>
    <w:p>
      <w:pPr>
        <w:pStyle w:val="24"/>
        <w:rPr>
          <w:rFonts w:hint="eastAsia" w:eastAsia="仿宋"/>
          <w:lang w:eastAsia="zh-CN"/>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13</w:t>
      </w:r>
      <w:r>
        <w:rPr>
          <w:rFonts w:hint="eastAsia" w:ascii="仿宋" w:hAnsi="仿宋" w:eastAsia="仿宋" w:cs="仿宋"/>
          <w:b/>
          <w:bCs/>
          <w:sz w:val="24"/>
          <w:lang w:eastAsia="zh-CN"/>
        </w:rPr>
        <w:t>）投标人</w:t>
      </w:r>
      <w:r>
        <w:rPr>
          <w:rFonts w:hint="eastAsia" w:ascii="仿宋" w:hAnsi="仿宋" w:eastAsia="仿宋" w:cs="仿宋"/>
          <w:b/>
          <w:bCs/>
          <w:sz w:val="24"/>
          <w:lang w:val="en-US" w:eastAsia="zh-CN"/>
        </w:rPr>
        <w:t>应</w:t>
      </w:r>
      <w:r>
        <w:rPr>
          <w:rFonts w:hint="eastAsia" w:ascii="仿宋" w:hAnsi="仿宋" w:eastAsia="仿宋" w:cs="仿宋"/>
          <w:b/>
          <w:bCs/>
          <w:sz w:val="24"/>
          <w:lang w:eastAsia="zh-CN"/>
        </w:rPr>
        <w:t>在中标后</w:t>
      </w:r>
      <w:r>
        <w:rPr>
          <w:rFonts w:hint="eastAsia" w:ascii="仿宋" w:hAnsi="仿宋" w:eastAsia="仿宋" w:cs="仿宋"/>
          <w:b/>
          <w:bCs/>
          <w:sz w:val="24"/>
          <w:lang w:val="en-US" w:eastAsia="zh-CN"/>
        </w:rPr>
        <w:t>10日历天内</w:t>
      </w:r>
      <w:r>
        <w:rPr>
          <w:rFonts w:hint="eastAsia" w:ascii="仿宋" w:hAnsi="仿宋" w:eastAsia="仿宋" w:cs="仿宋"/>
          <w:b/>
          <w:bCs/>
          <w:sz w:val="24"/>
          <w:lang w:eastAsia="zh-CN"/>
        </w:rPr>
        <w:t>正式进场前，在服务所在镇街范围内设立工作场所（含办公、仓库等）。</w:t>
      </w:r>
    </w:p>
    <w:p>
      <w:pPr>
        <w:rPr>
          <w:rFonts w:hint="eastAsia"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br w:type="page"/>
      </w:r>
    </w:p>
    <w:p>
      <w:pPr>
        <w:snapToGrid w:val="0"/>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27" w:name="_Toc184308094"/>
      <w:bookmarkEnd w:id="27"/>
      <w:bookmarkStart w:id="28" w:name="_Toc184310276"/>
      <w:bookmarkEnd w:id="28"/>
      <w:bookmarkStart w:id="29" w:name="_Toc184312101"/>
      <w:bookmarkEnd w:id="29"/>
      <w:bookmarkStart w:id="30" w:name="_Toc184314410"/>
      <w:bookmarkEnd w:id="30"/>
      <w:bookmarkStart w:id="31" w:name="_Toc184312086"/>
      <w:bookmarkEnd w:id="31"/>
      <w:bookmarkStart w:id="32" w:name="_Toc184310325"/>
      <w:bookmarkEnd w:id="32"/>
      <w:bookmarkStart w:id="33" w:name="_Toc184314447"/>
      <w:bookmarkEnd w:id="33"/>
      <w:bookmarkStart w:id="34" w:name="_Toc184310310"/>
      <w:bookmarkEnd w:id="34"/>
      <w:bookmarkStart w:id="35" w:name="_Toc184310294"/>
      <w:bookmarkEnd w:id="35"/>
      <w:bookmarkStart w:id="36" w:name="_Toc184308100"/>
      <w:bookmarkEnd w:id="36"/>
      <w:bookmarkStart w:id="37" w:name="_Toc184310284"/>
      <w:bookmarkEnd w:id="37"/>
      <w:bookmarkStart w:id="38" w:name="_Toc184313251"/>
      <w:bookmarkEnd w:id="38"/>
      <w:bookmarkStart w:id="39" w:name="_Toc184313254"/>
      <w:bookmarkEnd w:id="39"/>
      <w:bookmarkStart w:id="40" w:name="_Toc184313273"/>
      <w:bookmarkEnd w:id="40"/>
      <w:bookmarkStart w:id="41" w:name="_Toc184308039"/>
      <w:bookmarkEnd w:id="41"/>
      <w:bookmarkStart w:id="42" w:name="_Toc184312112"/>
      <w:bookmarkEnd w:id="42"/>
      <w:bookmarkStart w:id="43" w:name="_Toc184314470"/>
      <w:bookmarkEnd w:id="43"/>
      <w:bookmarkStart w:id="44" w:name="_Toc184312114"/>
      <w:bookmarkEnd w:id="44"/>
      <w:bookmarkStart w:id="45" w:name="_Toc184312095"/>
      <w:bookmarkEnd w:id="45"/>
      <w:bookmarkStart w:id="46" w:name="_Toc184308064"/>
      <w:bookmarkEnd w:id="46"/>
      <w:bookmarkStart w:id="47" w:name="_Toc184314482"/>
      <w:bookmarkEnd w:id="47"/>
      <w:bookmarkStart w:id="48" w:name="_Toc184312117"/>
      <w:bookmarkEnd w:id="48"/>
      <w:bookmarkStart w:id="49" w:name="_Toc184310317"/>
      <w:bookmarkEnd w:id="49"/>
      <w:bookmarkStart w:id="50" w:name="_Toc184314428"/>
      <w:bookmarkEnd w:id="50"/>
      <w:bookmarkStart w:id="51" w:name="_Toc184310281"/>
      <w:bookmarkEnd w:id="51"/>
      <w:bookmarkStart w:id="52" w:name="_Toc184310330"/>
      <w:bookmarkEnd w:id="52"/>
      <w:bookmarkStart w:id="53" w:name="_Toc184310280"/>
      <w:bookmarkEnd w:id="53"/>
      <w:bookmarkStart w:id="54" w:name="_Toc184313283"/>
      <w:bookmarkEnd w:id="54"/>
      <w:bookmarkStart w:id="55" w:name="_Toc184313287"/>
      <w:bookmarkEnd w:id="55"/>
      <w:bookmarkStart w:id="56" w:name="_Toc184310316"/>
      <w:bookmarkEnd w:id="56"/>
      <w:bookmarkStart w:id="57" w:name="_Toc184312134"/>
      <w:bookmarkEnd w:id="57"/>
      <w:bookmarkStart w:id="58" w:name="_Toc184310299"/>
      <w:bookmarkEnd w:id="58"/>
      <w:bookmarkStart w:id="59" w:name="_Toc184312107"/>
      <w:bookmarkEnd w:id="59"/>
      <w:bookmarkStart w:id="60" w:name="_Toc184310274"/>
      <w:bookmarkEnd w:id="60"/>
      <w:bookmarkStart w:id="61" w:name="_Toc184312118"/>
      <w:bookmarkEnd w:id="61"/>
      <w:bookmarkStart w:id="62" w:name="_Toc184310324"/>
      <w:bookmarkEnd w:id="62"/>
      <w:bookmarkStart w:id="63" w:name="_Toc184313293"/>
      <w:bookmarkEnd w:id="63"/>
      <w:bookmarkStart w:id="64" w:name="_Toc184312096"/>
      <w:bookmarkEnd w:id="64"/>
      <w:bookmarkStart w:id="65" w:name="_Toc184308101"/>
      <w:bookmarkEnd w:id="65"/>
      <w:bookmarkStart w:id="66" w:name="_Toc184313281"/>
      <w:bookmarkEnd w:id="66"/>
      <w:bookmarkStart w:id="67" w:name="_Toc184310326"/>
      <w:bookmarkEnd w:id="67"/>
      <w:bookmarkStart w:id="68" w:name="_Toc184308036"/>
      <w:bookmarkEnd w:id="68"/>
      <w:bookmarkStart w:id="69" w:name="_Toc184308045"/>
      <w:bookmarkEnd w:id="69"/>
      <w:bookmarkStart w:id="70" w:name="_Toc184314426"/>
      <w:bookmarkEnd w:id="70"/>
      <w:bookmarkStart w:id="71" w:name="_Toc184310339"/>
      <w:bookmarkEnd w:id="71"/>
      <w:bookmarkStart w:id="72" w:name="_Toc184308081"/>
      <w:bookmarkEnd w:id="72"/>
      <w:bookmarkStart w:id="73" w:name="_Toc184310288"/>
      <w:bookmarkEnd w:id="73"/>
      <w:bookmarkStart w:id="74" w:name="_Toc184308104"/>
      <w:bookmarkEnd w:id="74"/>
      <w:bookmarkStart w:id="75" w:name="_Toc184312098"/>
      <w:bookmarkEnd w:id="75"/>
      <w:bookmarkStart w:id="76" w:name="_Toc184310275"/>
      <w:bookmarkEnd w:id="76"/>
      <w:bookmarkStart w:id="77" w:name="_Toc184312083"/>
      <w:bookmarkEnd w:id="77"/>
      <w:bookmarkStart w:id="78" w:name="_Toc184312073"/>
      <w:bookmarkEnd w:id="78"/>
      <w:bookmarkStart w:id="79" w:name="_Toc184310283"/>
      <w:bookmarkEnd w:id="79"/>
      <w:bookmarkStart w:id="80" w:name="_Toc184314415"/>
      <w:bookmarkEnd w:id="80"/>
      <w:bookmarkStart w:id="81" w:name="_Toc184313259"/>
      <w:bookmarkEnd w:id="81"/>
      <w:bookmarkStart w:id="82" w:name="_Toc184313274"/>
      <w:bookmarkEnd w:id="82"/>
      <w:bookmarkStart w:id="83" w:name="_Toc184314477"/>
      <w:bookmarkEnd w:id="83"/>
      <w:bookmarkStart w:id="84" w:name="_Toc184310301"/>
      <w:bookmarkEnd w:id="84"/>
      <w:bookmarkStart w:id="85" w:name="_Toc184314442"/>
      <w:bookmarkEnd w:id="85"/>
      <w:bookmarkStart w:id="86" w:name="_Toc184313297"/>
      <w:bookmarkEnd w:id="86"/>
      <w:bookmarkStart w:id="87" w:name="_Toc184314472"/>
      <w:bookmarkEnd w:id="87"/>
      <w:bookmarkStart w:id="88" w:name="_Toc184312068"/>
      <w:bookmarkEnd w:id="88"/>
      <w:bookmarkStart w:id="89" w:name="_Toc184314439"/>
      <w:bookmarkEnd w:id="89"/>
      <w:bookmarkStart w:id="90" w:name="_Toc184312084"/>
      <w:bookmarkEnd w:id="90"/>
      <w:bookmarkStart w:id="91" w:name="_Toc184314476"/>
      <w:bookmarkEnd w:id="91"/>
      <w:bookmarkStart w:id="92" w:name="_Toc184313241"/>
      <w:bookmarkEnd w:id="92"/>
      <w:bookmarkStart w:id="93" w:name="_Toc184308077"/>
      <w:bookmarkEnd w:id="93"/>
      <w:bookmarkStart w:id="94" w:name="_Toc184313257"/>
      <w:bookmarkEnd w:id="94"/>
      <w:bookmarkStart w:id="95" w:name="_Toc184313289"/>
      <w:bookmarkEnd w:id="95"/>
      <w:bookmarkStart w:id="96" w:name="_Toc184308103"/>
      <w:bookmarkEnd w:id="96"/>
      <w:bookmarkStart w:id="97" w:name="_Toc184313307"/>
      <w:bookmarkEnd w:id="97"/>
      <w:bookmarkStart w:id="98" w:name="_Toc184308048"/>
      <w:bookmarkEnd w:id="98"/>
      <w:bookmarkStart w:id="99" w:name="_Toc184310335"/>
      <w:bookmarkEnd w:id="99"/>
      <w:bookmarkStart w:id="100" w:name="_Toc184310319"/>
      <w:bookmarkEnd w:id="100"/>
      <w:bookmarkStart w:id="101" w:name="_Toc184310332"/>
      <w:bookmarkEnd w:id="101"/>
      <w:bookmarkStart w:id="102" w:name="_Toc184310327"/>
      <w:bookmarkEnd w:id="102"/>
      <w:bookmarkStart w:id="103" w:name="_Toc184310306"/>
      <w:bookmarkEnd w:id="103"/>
      <w:bookmarkStart w:id="104" w:name="_Toc184308068"/>
      <w:bookmarkEnd w:id="104"/>
      <w:bookmarkStart w:id="105" w:name="_Toc184313282"/>
      <w:bookmarkEnd w:id="105"/>
      <w:bookmarkStart w:id="106" w:name="_Toc184308085"/>
      <w:bookmarkEnd w:id="106"/>
      <w:bookmarkStart w:id="107" w:name="_Toc184310285"/>
      <w:bookmarkEnd w:id="107"/>
      <w:bookmarkStart w:id="108" w:name="_Toc184314427"/>
      <w:bookmarkEnd w:id="108"/>
      <w:bookmarkStart w:id="109" w:name="_Toc184310315"/>
      <w:bookmarkEnd w:id="109"/>
      <w:bookmarkStart w:id="110" w:name="_Toc184310343"/>
      <w:bookmarkEnd w:id="110"/>
      <w:bookmarkStart w:id="111" w:name="_Toc184313247"/>
      <w:bookmarkEnd w:id="111"/>
      <w:bookmarkStart w:id="112" w:name="_Toc184308058"/>
      <w:bookmarkEnd w:id="112"/>
      <w:bookmarkStart w:id="113" w:name="_Toc184312088"/>
      <w:bookmarkEnd w:id="113"/>
      <w:bookmarkStart w:id="114" w:name="_Toc184308075"/>
      <w:bookmarkEnd w:id="114"/>
      <w:bookmarkStart w:id="115" w:name="_Toc184312102"/>
      <w:bookmarkEnd w:id="115"/>
      <w:bookmarkStart w:id="116" w:name="_Toc184310277"/>
      <w:bookmarkEnd w:id="116"/>
      <w:bookmarkStart w:id="117" w:name="_Toc184314471"/>
      <w:bookmarkEnd w:id="117"/>
      <w:bookmarkStart w:id="118" w:name="_Toc184312106"/>
      <w:bookmarkEnd w:id="118"/>
      <w:bookmarkStart w:id="119" w:name="_Toc184308042"/>
      <w:bookmarkEnd w:id="119"/>
      <w:bookmarkStart w:id="120" w:name="_Toc184308102"/>
      <w:bookmarkEnd w:id="120"/>
      <w:bookmarkStart w:id="121" w:name="_Toc184313255"/>
      <w:bookmarkEnd w:id="121"/>
      <w:bookmarkStart w:id="122" w:name="_Toc184312067"/>
      <w:bookmarkEnd w:id="122"/>
      <w:bookmarkStart w:id="123" w:name="_Toc184312105"/>
      <w:bookmarkEnd w:id="123"/>
      <w:bookmarkStart w:id="124" w:name="_Toc184314480"/>
      <w:bookmarkEnd w:id="124"/>
      <w:bookmarkStart w:id="125" w:name="_Toc184310329"/>
      <w:bookmarkEnd w:id="125"/>
      <w:bookmarkStart w:id="126" w:name="_Toc184313298"/>
      <w:bookmarkEnd w:id="126"/>
      <w:bookmarkStart w:id="127" w:name="_Toc184308092"/>
      <w:bookmarkEnd w:id="127"/>
      <w:bookmarkStart w:id="128" w:name="_Toc184314474"/>
      <w:bookmarkEnd w:id="128"/>
      <w:bookmarkStart w:id="129" w:name="_Toc184313271"/>
      <w:bookmarkEnd w:id="129"/>
      <w:bookmarkStart w:id="130" w:name="_Toc184310338"/>
      <w:bookmarkEnd w:id="130"/>
      <w:bookmarkStart w:id="131" w:name="_Toc184313263"/>
      <w:bookmarkEnd w:id="131"/>
      <w:bookmarkStart w:id="132" w:name="_Toc184314441"/>
      <w:bookmarkEnd w:id="132"/>
      <w:bookmarkStart w:id="133" w:name="_Toc184313308"/>
      <w:bookmarkEnd w:id="133"/>
      <w:bookmarkStart w:id="134" w:name="_Toc184314444"/>
      <w:bookmarkEnd w:id="134"/>
      <w:bookmarkStart w:id="135" w:name="_Toc184308105"/>
      <w:bookmarkEnd w:id="135"/>
      <w:bookmarkStart w:id="136" w:name="_Toc184308072"/>
      <w:bookmarkEnd w:id="136"/>
      <w:bookmarkStart w:id="137" w:name="_Toc184308056"/>
      <w:bookmarkEnd w:id="137"/>
      <w:bookmarkStart w:id="138" w:name="_Toc184308066"/>
      <w:bookmarkEnd w:id="138"/>
      <w:bookmarkStart w:id="139" w:name="_Toc184314475"/>
      <w:bookmarkEnd w:id="139"/>
      <w:bookmarkStart w:id="140" w:name="_Toc184314424"/>
      <w:bookmarkEnd w:id="140"/>
      <w:bookmarkStart w:id="141" w:name="_Toc184312139"/>
      <w:bookmarkEnd w:id="141"/>
      <w:bookmarkStart w:id="142" w:name="_Toc184314437"/>
      <w:bookmarkEnd w:id="142"/>
      <w:bookmarkStart w:id="143" w:name="_Toc184312085"/>
      <w:bookmarkEnd w:id="143"/>
      <w:bookmarkStart w:id="144" w:name="_Toc184308099"/>
      <w:bookmarkEnd w:id="144"/>
      <w:bookmarkStart w:id="145" w:name="_Toc184308040"/>
      <w:bookmarkEnd w:id="145"/>
      <w:bookmarkStart w:id="146" w:name="_Toc184312099"/>
      <w:bookmarkEnd w:id="146"/>
      <w:bookmarkStart w:id="147" w:name="_Toc184314413"/>
      <w:bookmarkEnd w:id="147"/>
      <w:bookmarkStart w:id="148" w:name="_Toc184310342"/>
      <w:bookmarkEnd w:id="148"/>
      <w:bookmarkStart w:id="149" w:name="_Toc184310321"/>
      <w:bookmarkEnd w:id="149"/>
      <w:bookmarkStart w:id="150" w:name="_Toc184313303"/>
      <w:bookmarkEnd w:id="150"/>
      <w:bookmarkStart w:id="151" w:name="_Toc184313245"/>
      <w:bookmarkEnd w:id="151"/>
      <w:bookmarkStart w:id="152" w:name="_Toc184313304"/>
      <w:bookmarkEnd w:id="152"/>
      <w:bookmarkStart w:id="153" w:name="_Toc184312125"/>
      <w:bookmarkEnd w:id="153"/>
      <w:bookmarkStart w:id="154" w:name="_Toc184313280"/>
      <w:bookmarkEnd w:id="154"/>
      <w:bookmarkStart w:id="155" w:name="_Toc184308096"/>
      <w:bookmarkEnd w:id="155"/>
      <w:bookmarkStart w:id="156" w:name="_Toc184314461"/>
      <w:bookmarkEnd w:id="156"/>
      <w:bookmarkStart w:id="157" w:name="_Toc184313248"/>
      <w:bookmarkEnd w:id="157"/>
      <w:bookmarkStart w:id="158" w:name="_Toc184313265"/>
      <w:bookmarkEnd w:id="158"/>
      <w:bookmarkStart w:id="159" w:name="_Toc184308059"/>
      <w:bookmarkEnd w:id="159"/>
      <w:bookmarkStart w:id="160" w:name="_Toc184313252"/>
      <w:bookmarkEnd w:id="160"/>
      <w:bookmarkStart w:id="161" w:name="_Toc184312081"/>
      <w:bookmarkEnd w:id="161"/>
      <w:bookmarkStart w:id="162" w:name="_Toc184308051"/>
      <w:bookmarkEnd w:id="162"/>
      <w:bookmarkStart w:id="163" w:name="_Toc184314434"/>
      <w:bookmarkEnd w:id="163"/>
      <w:bookmarkStart w:id="164" w:name="_Toc184310289"/>
      <w:bookmarkEnd w:id="164"/>
      <w:bookmarkStart w:id="165" w:name="_Toc184314435"/>
      <w:bookmarkEnd w:id="165"/>
      <w:bookmarkStart w:id="166" w:name="_Toc184313266"/>
      <w:bookmarkEnd w:id="166"/>
      <w:bookmarkStart w:id="167" w:name="_Toc184313253"/>
      <w:bookmarkEnd w:id="167"/>
      <w:bookmarkStart w:id="168" w:name="_Toc184308069"/>
      <w:bookmarkEnd w:id="168"/>
      <w:bookmarkStart w:id="169" w:name="_Toc184310290"/>
      <w:bookmarkEnd w:id="169"/>
      <w:bookmarkStart w:id="170" w:name="_Toc184312075"/>
      <w:bookmarkEnd w:id="170"/>
      <w:bookmarkStart w:id="171" w:name="_Toc184308097"/>
      <w:bookmarkEnd w:id="171"/>
      <w:bookmarkStart w:id="172" w:name="_Toc184314467"/>
      <w:bookmarkEnd w:id="172"/>
      <w:bookmarkStart w:id="173" w:name="_Toc184314421"/>
      <w:bookmarkEnd w:id="173"/>
      <w:bookmarkStart w:id="174" w:name="_Toc184312093"/>
      <w:bookmarkEnd w:id="174"/>
      <w:bookmarkStart w:id="175" w:name="_Toc184308063"/>
      <w:bookmarkEnd w:id="175"/>
      <w:bookmarkStart w:id="176" w:name="_Toc184312094"/>
      <w:bookmarkEnd w:id="176"/>
      <w:bookmarkStart w:id="177" w:name="_Toc184313291"/>
      <w:bookmarkEnd w:id="177"/>
      <w:bookmarkStart w:id="178" w:name="_Toc184308060"/>
      <w:bookmarkEnd w:id="178"/>
      <w:bookmarkStart w:id="179" w:name="_Toc184313309"/>
      <w:bookmarkEnd w:id="179"/>
      <w:bookmarkStart w:id="180" w:name="_Toc184312089"/>
      <w:bookmarkEnd w:id="180"/>
      <w:bookmarkStart w:id="181" w:name="_Toc184314432"/>
      <w:bookmarkEnd w:id="181"/>
      <w:bookmarkStart w:id="182" w:name="_Toc184314457"/>
      <w:bookmarkEnd w:id="182"/>
      <w:bookmarkStart w:id="183" w:name="_Toc184313243"/>
      <w:bookmarkEnd w:id="183"/>
      <w:bookmarkStart w:id="184" w:name="_Toc184314451"/>
      <w:bookmarkEnd w:id="184"/>
      <w:bookmarkStart w:id="185" w:name="_Toc184312078"/>
      <w:bookmarkEnd w:id="185"/>
      <w:bookmarkStart w:id="186" w:name="_Toc184308041"/>
      <w:bookmarkEnd w:id="186"/>
      <w:bookmarkStart w:id="187" w:name="_Toc184308079"/>
      <w:bookmarkEnd w:id="187"/>
      <w:bookmarkStart w:id="188" w:name="_Toc184314416"/>
      <w:bookmarkEnd w:id="188"/>
      <w:bookmarkStart w:id="189" w:name="_Toc184313242"/>
      <w:bookmarkEnd w:id="189"/>
      <w:bookmarkStart w:id="190" w:name="_Toc184314455"/>
      <w:bookmarkEnd w:id="190"/>
      <w:bookmarkStart w:id="191" w:name="_Toc184308053"/>
      <w:bookmarkEnd w:id="191"/>
      <w:bookmarkStart w:id="192" w:name="_Toc184313267"/>
      <w:bookmarkEnd w:id="192"/>
      <w:bookmarkStart w:id="193" w:name="_Toc184310334"/>
      <w:bookmarkEnd w:id="193"/>
      <w:bookmarkStart w:id="194" w:name="_Toc184312069"/>
      <w:bookmarkEnd w:id="194"/>
      <w:bookmarkStart w:id="195" w:name="_Toc184308089"/>
      <w:bookmarkEnd w:id="195"/>
      <w:bookmarkStart w:id="196" w:name="_Toc184313275"/>
      <w:bookmarkEnd w:id="196"/>
      <w:bookmarkStart w:id="197" w:name="_Toc184314429"/>
      <w:bookmarkEnd w:id="197"/>
      <w:bookmarkStart w:id="198" w:name="_Toc184314422"/>
      <w:bookmarkEnd w:id="198"/>
      <w:bookmarkStart w:id="199" w:name="_Toc184310302"/>
      <w:bookmarkEnd w:id="199"/>
      <w:bookmarkStart w:id="200" w:name="_Toc184308047"/>
      <w:bookmarkEnd w:id="200"/>
      <w:bookmarkStart w:id="201" w:name="_Toc184313246"/>
      <w:bookmarkEnd w:id="201"/>
      <w:bookmarkStart w:id="202" w:name="_Toc184314414"/>
      <w:bookmarkEnd w:id="202"/>
      <w:bookmarkStart w:id="203" w:name="_Toc184308074"/>
      <w:bookmarkEnd w:id="203"/>
      <w:bookmarkStart w:id="204" w:name="_Toc184308078"/>
      <w:bookmarkEnd w:id="204"/>
      <w:bookmarkStart w:id="205" w:name="_Toc184314443"/>
      <w:bookmarkEnd w:id="205"/>
      <w:bookmarkStart w:id="206" w:name="_Toc184314479"/>
      <w:bookmarkEnd w:id="206"/>
      <w:bookmarkStart w:id="207" w:name="_Toc184314468"/>
      <w:bookmarkEnd w:id="207"/>
      <w:bookmarkStart w:id="208" w:name="_Toc184313249"/>
      <w:bookmarkEnd w:id="208"/>
      <w:bookmarkStart w:id="209" w:name="_Toc184308082"/>
      <w:bookmarkEnd w:id="209"/>
      <w:bookmarkStart w:id="210" w:name="_Toc184312113"/>
      <w:bookmarkEnd w:id="210"/>
      <w:bookmarkStart w:id="211" w:name="_Toc184312122"/>
      <w:bookmarkEnd w:id="211"/>
      <w:bookmarkStart w:id="212" w:name="_Toc184308091"/>
      <w:bookmarkEnd w:id="212"/>
      <w:bookmarkStart w:id="213" w:name="_Toc184313284"/>
      <w:bookmarkEnd w:id="213"/>
      <w:bookmarkStart w:id="214" w:name="_Toc184314431"/>
      <w:bookmarkEnd w:id="214"/>
      <w:bookmarkStart w:id="215" w:name="_Toc184314448"/>
      <w:bookmarkEnd w:id="215"/>
      <w:bookmarkStart w:id="216" w:name="_Toc184312090"/>
      <w:bookmarkEnd w:id="216"/>
      <w:bookmarkStart w:id="217" w:name="_Toc184310313"/>
      <w:bookmarkEnd w:id="217"/>
      <w:bookmarkStart w:id="218" w:name="_Toc184308071"/>
      <w:bookmarkEnd w:id="218"/>
      <w:bookmarkStart w:id="219" w:name="_Toc184308067"/>
      <w:bookmarkEnd w:id="219"/>
      <w:bookmarkStart w:id="220" w:name="_Toc184313244"/>
      <w:bookmarkEnd w:id="220"/>
      <w:bookmarkStart w:id="221" w:name="_Toc184310278"/>
      <w:bookmarkEnd w:id="221"/>
      <w:bookmarkStart w:id="222" w:name="_Toc184314456"/>
      <w:bookmarkEnd w:id="222"/>
      <w:bookmarkStart w:id="223" w:name="_Toc184314462"/>
      <w:bookmarkEnd w:id="223"/>
      <w:bookmarkStart w:id="224" w:name="_Toc184312082"/>
      <w:bookmarkEnd w:id="224"/>
      <w:bookmarkStart w:id="225" w:name="_Toc184310293"/>
      <w:bookmarkEnd w:id="225"/>
      <w:bookmarkStart w:id="226" w:name="_Toc184312137"/>
      <w:bookmarkEnd w:id="226"/>
      <w:bookmarkStart w:id="227" w:name="_Toc184308087"/>
      <w:bookmarkEnd w:id="227"/>
      <w:bookmarkStart w:id="228" w:name="_Toc184314452"/>
      <w:bookmarkEnd w:id="228"/>
      <w:bookmarkStart w:id="229" w:name="_Toc184310307"/>
      <w:bookmarkEnd w:id="229"/>
      <w:bookmarkStart w:id="230" w:name="_Toc184312136"/>
      <w:bookmarkEnd w:id="230"/>
      <w:bookmarkStart w:id="231" w:name="_Toc184312120"/>
      <w:bookmarkEnd w:id="231"/>
      <w:bookmarkStart w:id="232" w:name="_Toc184312077"/>
      <w:bookmarkEnd w:id="232"/>
      <w:bookmarkStart w:id="233" w:name="_Toc184314478"/>
      <w:bookmarkEnd w:id="233"/>
      <w:bookmarkStart w:id="234" w:name="_Toc184310344"/>
      <w:bookmarkEnd w:id="234"/>
      <w:bookmarkStart w:id="235" w:name="_Toc184310279"/>
      <w:bookmarkEnd w:id="235"/>
      <w:bookmarkStart w:id="236" w:name="_Toc184312076"/>
      <w:bookmarkEnd w:id="236"/>
      <w:bookmarkStart w:id="237" w:name="_Toc184313305"/>
      <w:bookmarkEnd w:id="237"/>
      <w:bookmarkStart w:id="238" w:name="_Toc184313295"/>
      <w:bookmarkEnd w:id="238"/>
      <w:bookmarkStart w:id="239" w:name="_Toc184310295"/>
      <w:bookmarkEnd w:id="239"/>
      <w:bookmarkStart w:id="240" w:name="_Toc184312087"/>
      <w:bookmarkEnd w:id="240"/>
      <w:bookmarkStart w:id="241" w:name="_Toc184308049"/>
      <w:bookmarkEnd w:id="241"/>
      <w:bookmarkStart w:id="242" w:name="_Toc184314419"/>
      <w:bookmarkEnd w:id="242"/>
      <w:bookmarkStart w:id="243" w:name="_Toc184310305"/>
      <w:bookmarkEnd w:id="243"/>
      <w:bookmarkStart w:id="244" w:name="_Toc184310308"/>
      <w:bookmarkEnd w:id="244"/>
      <w:bookmarkStart w:id="245" w:name="_Toc184314425"/>
      <w:bookmarkEnd w:id="245"/>
      <w:bookmarkStart w:id="246" w:name="_Toc184314433"/>
      <w:bookmarkEnd w:id="246"/>
      <w:bookmarkStart w:id="247" w:name="_Toc184314454"/>
      <w:bookmarkEnd w:id="247"/>
      <w:bookmarkStart w:id="248" w:name="_Toc184313300"/>
      <w:bookmarkEnd w:id="248"/>
      <w:bookmarkStart w:id="249" w:name="_Toc184308084"/>
      <w:bookmarkEnd w:id="249"/>
      <w:bookmarkStart w:id="250" w:name="_Toc184312135"/>
      <w:bookmarkEnd w:id="250"/>
      <w:bookmarkStart w:id="251" w:name="_Toc184314481"/>
      <w:bookmarkEnd w:id="251"/>
      <w:bookmarkStart w:id="252" w:name="_Toc184312110"/>
      <w:bookmarkEnd w:id="252"/>
      <w:bookmarkStart w:id="253" w:name="_Toc184308065"/>
      <w:bookmarkEnd w:id="253"/>
      <w:bookmarkStart w:id="254" w:name="_Toc184308098"/>
      <w:bookmarkEnd w:id="254"/>
      <w:bookmarkStart w:id="255" w:name="_Toc184308044"/>
      <w:bookmarkEnd w:id="255"/>
      <w:bookmarkStart w:id="256" w:name="_Toc184314411"/>
      <w:bookmarkEnd w:id="256"/>
      <w:bookmarkStart w:id="257" w:name="_Toc184308107"/>
      <w:bookmarkEnd w:id="257"/>
      <w:bookmarkStart w:id="258" w:name="_Toc184314440"/>
      <w:bookmarkEnd w:id="258"/>
      <w:bookmarkStart w:id="259" w:name="_Toc184308038"/>
      <w:bookmarkEnd w:id="259"/>
      <w:bookmarkStart w:id="260" w:name="_Toc184314460"/>
      <w:bookmarkEnd w:id="260"/>
      <w:bookmarkStart w:id="261" w:name="_Toc184310318"/>
      <w:bookmarkEnd w:id="261"/>
      <w:bookmarkStart w:id="262" w:name="_Toc184312119"/>
      <w:bookmarkEnd w:id="262"/>
      <w:bookmarkStart w:id="263" w:name="_Toc184312108"/>
      <w:bookmarkEnd w:id="263"/>
      <w:bookmarkStart w:id="264" w:name="_Toc184312131"/>
      <w:bookmarkEnd w:id="264"/>
      <w:bookmarkStart w:id="265" w:name="_Toc184313302"/>
      <w:bookmarkEnd w:id="265"/>
      <w:bookmarkStart w:id="266" w:name="_Toc184310286"/>
      <w:bookmarkEnd w:id="266"/>
      <w:bookmarkStart w:id="267" w:name="_Toc184313239"/>
      <w:bookmarkEnd w:id="267"/>
      <w:bookmarkStart w:id="268" w:name="_Toc184314465"/>
      <w:bookmarkEnd w:id="268"/>
      <w:bookmarkStart w:id="269" w:name="_Toc184313301"/>
      <w:bookmarkEnd w:id="269"/>
      <w:bookmarkStart w:id="270" w:name="_Toc184312128"/>
      <w:bookmarkEnd w:id="270"/>
      <w:bookmarkStart w:id="271" w:name="_Toc184310287"/>
      <w:bookmarkEnd w:id="271"/>
      <w:bookmarkStart w:id="272" w:name="_Toc184310309"/>
      <w:bookmarkEnd w:id="272"/>
      <w:bookmarkStart w:id="273" w:name="_Toc184314438"/>
      <w:bookmarkEnd w:id="273"/>
      <w:bookmarkStart w:id="274" w:name="_Toc184312072"/>
      <w:bookmarkEnd w:id="274"/>
      <w:bookmarkStart w:id="275" w:name="_Toc184312097"/>
      <w:bookmarkEnd w:id="275"/>
      <w:bookmarkStart w:id="276" w:name="_Toc184313278"/>
      <w:bookmarkEnd w:id="276"/>
      <w:bookmarkStart w:id="277" w:name="_Toc184313306"/>
      <w:bookmarkEnd w:id="277"/>
      <w:bookmarkStart w:id="278" w:name="_Toc184308108"/>
      <w:bookmarkEnd w:id="278"/>
      <w:bookmarkStart w:id="279" w:name="_Toc184308080"/>
      <w:bookmarkEnd w:id="279"/>
      <w:bookmarkStart w:id="280" w:name="_Toc184310320"/>
      <w:bookmarkEnd w:id="280"/>
      <w:bookmarkStart w:id="281" w:name="_Toc184312091"/>
      <w:bookmarkEnd w:id="281"/>
      <w:bookmarkStart w:id="282" w:name="_Toc184314463"/>
      <w:bookmarkEnd w:id="282"/>
      <w:bookmarkStart w:id="283" w:name="_Toc184314469"/>
      <w:bookmarkEnd w:id="283"/>
      <w:bookmarkStart w:id="284" w:name="_Toc184313310"/>
      <w:bookmarkEnd w:id="284"/>
      <w:bookmarkStart w:id="285" w:name="_Toc184314417"/>
      <w:bookmarkEnd w:id="285"/>
      <w:bookmarkStart w:id="286" w:name="_Toc184313279"/>
      <w:bookmarkEnd w:id="286"/>
      <w:bookmarkStart w:id="287" w:name="_Toc184308093"/>
      <w:bookmarkEnd w:id="287"/>
      <w:bookmarkStart w:id="288" w:name="_Toc184313277"/>
      <w:bookmarkEnd w:id="288"/>
      <w:bookmarkStart w:id="289" w:name="_Toc184314446"/>
      <w:bookmarkEnd w:id="289"/>
      <w:bookmarkStart w:id="290" w:name="_Toc184310300"/>
      <w:bookmarkEnd w:id="290"/>
      <w:bookmarkStart w:id="291" w:name="_Toc184312111"/>
      <w:bookmarkEnd w:id="291"/>
      <w:bookmarkStart w:id="292" w:name="_Toc184313285"/>
      <w:bookmarkEnd w:id="292"/>
      <w:bookmarkStart w:id="293" w:name="_Toc184310311"/>
      <w:bookmarkEnd w:id="293"/>
      <w:bookmarkStart w:id="294" w:name="_Toc184310340"/>
      <w:bookmarkEnd w:id="294"/>
      <w:bookmarkStart w:id="295" w:name="_Toc184313294"/>
      <w:bookmarkEnd w:id="295"/>
      <w:bookmarkStart w:id="296" w:name="_Toc184314436"/>
      <w:bookmarkEnd w:id="296"/>
      <w:bookmarkStart w:id="297" w:name="_Toc184310273"/>
      <w:bookmarkEnd w:id="297"/>
      <w:bookmarkStart w:id="298" w:name="_Toc184310337"/>
      <w:bookmarkEnd w:id="298"/>
      <w:bookmarkStart w:id="299" w:name="_Toc184313240"/>
      <w:bookmarkEnd w:id="299"/>
      <w:bookmarkStart w:id="300" w:name="_Toc184308057"/>
      <w:bookmarkEnd w:id="300"/>
      <w:bookmarkStart w:id="301" w:name="_Toc184308073"/>
      <w:bookmarkEnd w:id="301"/>
      <w:bookmarkStart w:id="302" w:name="_Toc184312070"/>
      <w:bookmarkEnd w:id="302"/>
      <w:bookmarkStart w:id="303" w:name="_Toc184313286"/>
      <w:bookmarkEnd w:id="303"/>
      <w:bookmarkStart w:id="304" w:name="_Toc184310303"/>
      <w:bookmarkEnd w:id="304"/>
      <w:bookmarkStart w:id="305" w:name="_Toc184314473"/>
      <w:bookmarkEnd w:id="305"/>
      <w:bookmarkStart w:id="306" w:name="_Toc184310291"/>
      <w:bookmarkEnd w:id="306"/>
      <w:bookmarkStart w:id="307" w:name="_Toc184308046"/>
      <w:bookmarkEnd w:id="307"/>
      <w:bookmarkStart w:id="308" w:name="_Toc184313261"/>
      <w:bookmarkEnd w:id="308"/>
      <w:bookmarkStart w:id="309" w:name="_Toc184313256"/>
      <w:bookmarkEnd w:id="309"/>
      <w:bookmarkStart w:id="310" w:name="_Toc184312129"/>
      <w:bookmarkEnd w:id="310"/>
      <w:bookmarkStart w:id="311" w:name="_Toc184312127"/>
      <w:bookmarkEnd w:id="311"/>
      <w:bookmarkStart w:id="312" w:name="_Toc184312100"/>
      <w:bookmarkEnd w:id="312"/>
      <w:bookmarkStart w:id="313" w:name="_Toc184310292"/>
      <w:bookmarkEnd w:id="313"/>
      <w:bookmarkStart w:id="314" w:name="_Toc184308037"/>
      <w:bookmarkEnd w:id="314"/>
      <w:bookmarkStart w:id="315" w:name="_Toc184314418"/>
      <w:bookmarkEnd w:id="315"/>
      <w:bookmarkStart w:id="316" w:name="_Toc184312092"/>
      <w:bookmarkEnd w:id="316"/>
      <w:bookmarkStart w:id="317" w:name="_Toc184314420"/>
      <w:bookmarkEnd w:id="317"/>
      <w:bookmarkStart w:id="318" w:name="_Toc184313276"/>
      <w:bookmarkEnd w:id="318"/>
      <w:bookmarkStart w:id="319" w:name="_Toc184308054"/>
      <w:bookmarkEnd w:id="319"/>
      <w:bookmarkStart w:id="320" w:name="_Toc184310296"/>
      <w:bookmarkEnd w:id="320"/>
      <w:bookmarkStart w:id="321" w:name="_Toc184313290"/>
      <w:bookmarkEnd w:id="321"/>
      <w:bookmarkStart w:id="322" w:name="_Toc184313270"/>
      <w:bookmarkEnd w:id="322"/>
      <w:bookmarkStart w:id="323" w:name="_Toc184310297"/>
      <w:bookmarkEnd w:id="323"/>
      <w:bookmarkStart w:id="324" w:name="_Toc184308088"/>
      <w:bookmarkEnd w:id="324"/>
      <w:bookmarkStart w:id="325" w:name="_Toc184310341"/>
      <w:bookmarkEnd w:id="325"/>
      <w:bookmarkStart w:id="326" w:name="_Toc184312138"/>
      <w:bookmarkEnd w:id="326"/>
      <w:bookmarkStart w:id="327" w:name="_Toc184312126"/>
      <w:bookmarkEnd w:id="327"/>
      <w:bookmarkStart w:id="328" w:name="_Toc184308055"/>
      <w:bookmarkEnd w:id="328"/>
      <w:bookmarkStart w:id="329" w:name="_Toc184308090"/>
      <w:bookmarkEnd w:id="329"/>
      <w:bookmarkStart w:id="330" w:name="_Toc184308083"/>
      <w:bookmarkEnd w:id="330"/>
      <w:bookmarkStart w:id="331" w:name="_Toc184310312"/>
      <w:bookmarkEnd w:id="331"/>
      <w:bookmarkStart w:id="332" w:name="_Toc184312133"/>
      <w:bookmarkEnd w:id="332"/>
      <w:bookmarkStart w:id="333" w:name="_Toc184310336"/>
      <w:bookmarkEnd w:id="333"/>
      <w:bookmarkStart w:id="334" w:name="_Toc184313296"/>
      <w:bookmarkEnd w:id="334"/>
      <w:bookmarkStart w:id="335" w:name="_Toc184308062"/>
      <w:bookmarkEnd w:id="335"/>
      <w:bookmarkStart w:id="336" w:name="_Toc184308086"/>
      <w:bookmarkEnd w:id="336"/>
      <w:bookmarkStart w:id="337" w:name="_Toc184308050"/>
      <w:bookmarkEnd w:id="337"/>
      <w:bookmarkStart w:id="338" w:name="_Toc184313260"/>
      <w:bookmarkEnd w:id="338"/>
      <w:bookmarkStart w:id="339" w:name="_Toc184308076"/>
      <w:bookmarkEnd w:id="339"/>
      <w:bookmarkStart w:id="340" w:name="_Toc184314449"/>
      <w:bookmarkEnd w:id="340"/>
      <w:bookmarkStart w:id="341" w:name="_Toc184314464"/>
      <w:bookmarkEnd w:id="341"/>
      <w:bookmarkStart w:id="342" w:name="_Toc184310323"/>
      <w:bookmarkEnd w:id="342"/>
      <w:bookmarkStart w:id="343" w:name="_Toc184313299"/>
      <w:bookmarkEnd w:id="343"/>
      <w:bookmarkStart w:id="344" w:name="_Toc184312124"/>
      <w:bookmarkEnd w:id="344"/>
      <w:bookmarkStart w:id="345" w:name="_Toc184310314"/>
      <w:bookmarkEnd w:id="345"/>
      <w:bookmarkStart w:id="346" w:name="_Toc184313288"/>
      <w:bookmarkEnd w:id="346"/>
      <w:bookmarkStart w:id="347" w:name="_Toc184312103"/>
      <w:bookmarkEnd w:id="347"/>
      <w:bookmarkStart w:id="348" w:name="_Toc184312116"/>
      <w:bookmarkEnd w:id="348"/>
      <w:bookmarkStart w:id="349" w:name="_Toc184314430"/>
      <w:bookmarkEnd w:id="349"/>
      <w:bookmarkStart w:id="350" w:name="_Toc184312080"/>
      <w:bookmarkEnd w:id="350"/>
      <w:bookmarkStart w:id="351" w:name="_Toc184313268"/>
      <w:bookmarkEnd w:id="351"/>
      <w:bookmarkStart w:id="352" w:name="_Toc184310331"/>
      <w:bookmarkEnd w:id="352"/>
      <w:bookmarkStart w:id="353" w:name="_Toc184314450"/>
      <w:bookmarkEnd w:id="353"/>
      <w:bookmarkStart w:id="354" w:name="_Toc184312132"/>
      <w:bookmarkEnd w:id="354"/>
      <w:bookmarkStart w:id="355" w:name="_Toc184314459"/>
      <w:bookmarkEnd w:id="355"/>
      <w:bookmarkStart w:id="356" w:name="_Toc184308106"/>
      <w:bookmarkEnd w:id="356"/>
      <w:bookmarkStart w:id="357" w:name="_Toc184314466"/>
      <w:bookmarkEnd w:id="357"/>
      <w:bookmarkStart w:id="358" w:name="_Toc184310328"/>
      <w:bookmarkEnd w:id="358"/>
      <w:bookmarkStart w:id="359" w:name="_Toc184313258"/>
      <w:bookmarkEnd w:id="359"/>
      <w:bookmarkStart w:id="360" w:name="_Toc184313292"/>
      <w:bookmarkEnd w:id="360"/>
      <w:bookmarkStart w:id="361" w:name="_Toc184312071"/>
      <w:bookmarkEnd w:id="361"/>
      <w:bookmarkStart w:id="362" w:name="_Toc184310282"/>
      <w:bookmarkEnd w:id="362"/>
      <w:bookmarkStart w:id="363" w:name="_Toc184310272"/>
      <w:bookmarkEnd w:id="363"/>
      <w:bookmarkStart w:id="364" w:name="_Toc184310298"/>
      <w:bookmarkEnd w:id="364"/>
      <w:bookmarkStart w:id="365" w:name="_Toc184312115"/>
      <w:bookmarkEnd w:id="365"/>
      <w:bookmarkStart w:id="366" w:name="_Toc184312130"/>
      <w:bookmarkEnd w:id="366"/>
      <w:bookmarkStart w:id="367" w:name="_Toc184308095"/>
      <w:bookmarkEnd w:id="367"/>
      <w:bookmarkStart w:id="368" w:name="_Toc184312074"/>
      <w:bookmarkEnd w:id="368"/>
      <w:bookmarkStart w:id="369" w:name="_Toc184314423"/>
      <w:bookmarkEnd w:id="369"/>
      <w:bookmarkStart w:id="370" w:name="_Toc184314412"/>
      <w:bookmarkEnd w:id="370"/>
      <w:bookmarkStart w:id="371" w:name="_Toc184313269"/>
      <w:bookmarkEnd w:id="371"/>
      <w:bookmarkStart w:id="372" w:name="_Toc184310304"/>
      <w:bookmarkEnd w:id="372"/>
      <w:bookmarkStart w:id="373" w:name="_Toc184312123"/>
      <w:bookmarkEnd w:id="373"/>
      <w:bookmarkStart w:id="374" w:name="_Toc184310333"/>
      <w:bookmarkEnd w:id="374"/>
      <w:bookmarkStart w:id="375" w:name="_Toc184314453"/>
      <w:bookmarkEnd w:id="375"/>
      <w:bookmarkStart w:id="376" w:name="_Toc184312121"/>
      <w:bookmarkEnd w:id="376"/>
      <w:bookmarkStart w:id="377" w:name="_Toc184308052"/>
      <w:bookmarkEnd w:id="377"/>
      <w:bookmarkStart w:id="378" w:name="_Toc184312079"/>
      <w:bookmarkEnd w:id="378"/>
      <w:bookmarkStart w:id="379" w:name="_Toc184308070"/>
      <w:bookmarkEnd w:id="379"/>
      <w:bookmarkStart w:id="380" w:name="_Toc184308043"/>
      <w:bookmarkEnd w:id="380"/>
      <w:bookmarkStart w:id="381" w:name="_Toc184313264"/>
      <w:bookmarkEnd w:id="381"/>
      <w:bookmarkStart w:id="382" w:name="_Toc184312104"/>
      <w:bookmarkEnd w:id="382"/>
      <w:bookmarkStart w:id="383" w:name="_Toc184313272"/>
      <w:bookmarkEnd w:id="383"/>
      <w:bookmarkStart w:id="384" w:name="_Toc184313262"/>
      <w:bookmarkEnd w:id="384"/>
      <w:bookmarkStart w:id="385" w:name="_Toc184314445"/>
      <w:bookmarkEnd w:id="385"/>
      <w:bookmarkStart w:id="386" w:name="_Toc184310322"/>
      <w:bookmarkEnd w:id="386"/>
      <w:bookmarkStart w:id="387" w:name="_Toc184314458"/>
      <w:bookmarkEnd w:id="387"/>
      <w:bookmarkStart w:id="388" w:name="_Toc184313238"/>
      <w:bookmarkEnd w:id="388"/>
      <w:bookmarkStart w:id="389" w:name="_Toc184312109"/>
      <w:bookmarkEnd w:id="389"/>
      <w:bookmarkStart w:id="390" w:name="_Toc184313250"/>
      <w:bookmarkEnd w:id="390"/>
      <w:bookmarkStart w:id="391" w:name="_Toc184308061"/>
      <w:bookmarkEnd w:id="391"/>
      <w:r>
        <w:rPr>
          <w:rFonts w:hint="eastAsia" w:ascii="仿宋" w:hAnsi="仿宋" w:eastAsia="仿宋" w:cs="仿宋_GB2312"/>
          <w:b/>
          <w:color w:val="auto"/>
          <w:sz w:val="36"/>
          <w:szCs w:val="36"/>
          <w:highlight w:val="none"/>
        </w:rPr>
        <w:t>评标办法</w:t>
      </w:r>
    </w:p>
    <w:p>
      <w:pPr>
        <w:snapToGrid w:val="0"/>
        <w:spacing w:line="360" w:lineRule="auto"/>
        <w:jc w:val="center"/>
        <w:outlineLvl w:val="1"/>
        <w:rPr>
          <w:rFonts w:hint="eastAsia" w:ascii="仿宋" w:hAnsi="仿宋" w:eastAsia="仿宋" w:cs="仿宋"/>
          <w:b/>
          <w:bCs/>
          <w:color w:val="auto"/>
          <w:highlight w:val="none"/>
          <w:lang w:eastAsia="zh-CN"/>
        </w:rPr>
      </w:pPr>
      <w:r>
        <w:rPr>
          <w:rFonts w:hint="eastAsia" w:ascii="仿宋" w:hAnsi="仿宋" w:eastAsia="仿宋" w:cs="仿宋"/>
          <w:b/>
          <w:color w:val="auto"/>
          <w:sz w:val="32"/>
          <w:szCs w:val="20"/>
          <w:highlight w:val="none"/>
        </w:rPr>
        <w:t>评标办法前附表</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rPr>
        <w:t>商务评标细则（</w:t>
      </w:r>
      <w:r>
        <w:rPr>
          <w:rFonts w:hint="eastAsia" w:ascii="仿宋" w:hAnsi="仿宋" w:eastAsia="仿宋" w:cs="仿宋"/>
          <w:b/>
          <w:color w:val="auto"/>
          <w:sz w:val="24"/>
          <w:highlight w:val="none"/>
          <w:lang w:val="en-US" w:eastAsia="zh-CN"/>
        </w:rPr>
        <w:t>21</w:t>
      </w:r>
      <w:r>
        <w:rPr>
          <w:rFonts w:hint="eastAsia" w:ascii="仿宋" w:hAnsi="仿宋" w:eastAsia="仿宋" w:cs="仿宋"/>
          <w:b/>
          <w:color w:val="auto"/>
          <w:sz w:val="24"/>
          <w:highlight w:val="none"/>
        </w:rPr>
        <w:t>分）</w:t>
      </w:r>
    </w:p>
    <w:tbl>
      <w:tblPr>
        <w:tblStyle w:val="64"/>
        <w:tblW w:w="95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1017"/>
        <w:gridCol w:w="6860"/>
        <w:gridCol w:w="9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pStyle w:val="54"/>
              <w:spacing w:line="360" w:lineRule="auto"/>
              <w:ind w:left="0" w:leftChars="0" w:firstLine="0" w:firstLineChars="0"/>
              <w:jc w:val="both"/>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序号</w:t>
            </w:r>
          </w:p>
        </w:tc>
        <w:tc>
          <w:tcPr>
            <w:tcW w:w="1017" w:type="dxa"/>
            <w:tcBorders>
              <w:top w:val="single" w:color="auto" w:sz="4" w:space="0"/>
              <w:left w:val="single" w:color="auto" w:sz="4" w:space="0"/>
              <w:bottom w:val="single" w:color="auto" w:sz="4" w:space="0"/>
              <w:right w:val="single" w:color="auto" w:sz="4" w:space="0"/>
            </w:tcBorders>
            <w:vAlign w:val="center"/>
          </w:tcPr>
          <w:p>
            <w:pPr>
              <w:pStyle w:val="54"/>
              <w:spacing w:line="360" w:lineRule="auto"/>
              <w:ind w:left="0" w:leftChars="0" w:firstLine="0" w:firstLineChars="0"/>
              <w:jc w:val="both"/>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评审</w:t>
            </w:r>
          </w:p>
          <w:p>
            <w:pPr>
              <w:pStyle w:val="54"/>
              <w:spacing w:line="360" w:lineRule="auto"/>
              <w:ind w:left="0" w:leftChars="0" w:firstLine="0" w:firstLineChars="0"/>
              <w:jc w:val="both"/>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内容</w:t>
            </w:r>
          </w:p>
        </w:tc>
        <w:tc>
          <w:tcPr>
            <w:tcW w:w="6860" w:type="dxa"/>
            <w:tcBorders>
              <w:top w:val="single" w:color="auto" w:sz="4" w:space="0"/>
              <w:left w:val="single" w:color="auto" w:sz="4" w:space="0"/>
              <w:bottom w:val="single" w:color="auto" w:sz="4" w:space="0"/>
              <w:right w:val="single" w:color="auto" w:sz="4" w:space="0"/>
            </w:tcBorders>
            <w:vAlign w:val="center"/>
          </w:tcPr>
          <w:p>
            <w:pPr>
              <w:pStyle w:val="54"/>
              <w:spacing w:line="360" w:lineRule="auto"/>
              <w:ind w:left="0"/>
              <w:jc w:val="center"/>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评分标准</w:t>
            </w:r>
          </w:p>
        </w:tc>
        <w:tc>
          <w:tcPr>
            <w:tcW w:w="990" w:type="dxa"/>
            <w:tcBorders>
              <w:top w:val="single" w:color="auto" w:sz="4" w:space="0"/>
              <w:left w:val="single" w:color="auto" w:sz="4" w:space="0"/>
              <w:bottom w:val="single" w:color="auto" w:sz="4" w:space="0"/>
              <w:right w:val="single" w:color="auto" w:sz="4" w:space="0"/>
            </w:tcBorders>
            <w:vAlign w:val="center"/>
          </w:tcPr>
          <w:p>
            <w:pPr>
              <w:pStyle w:val="54"/>
              <w:spacing w:line="360" w:lineRule="auto"/>
              <w:ind w:left="0" w:leftChars="0" w:firstLine="0" w:firstLineChars="0"/>
              <w:jc w:val="center"/>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评分分值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3" w:hRule="atLeast"/>
          <w:jc w:val="center"/>
        </w:trPr>
        <w:tc>
          <w:tcPr>
            <w:tcW w:w="715"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 w:val="24"/>
                <w:szCs w:val="20"/>
                <w:highlight w:val="none"/>
                <w:lang w:eastAsia="zh-CN"/>
              </w:rPr>
            </w:pPr>
            <w:r>
              <w:rPr>
                <w:rFonts w:hint="eastAsia" w:ascii="仿宋" w:hAnsi="仿宋" w:eastAsia="仿宋" w:cs="仿宋"/>
                <w:color w:val="auto"/>
                <w:sz w:val="24"/>
                <w:szCs w:val="20"/>
                <w:highlight w:val="none"/>
                <w:lang w:val="en-US" w:eastAsia="zh-CN"/>
              </w:rPr>
              <w:t>1</w:t>
            </w:r>
          </w:p>
        </w:tc>
        <w:tc>
          <w:tcPr>
            <w:tcW w:w="1017"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企业综合评价及业绩</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投标人具有质量管理体系认证证书得2分、环境管理体系认证证书得2分、职业健康安全管理体系认证证书得2分、诚信管理体系认证证书得2分；本项最高得8分。   </w:t>
            </w:r>
          </w:p>
          <w:p>
            <w:pPr>
              <w:spacing w:line="360" w:lineRule="exact"/>
              <w:jc w:val="both"/>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val="en-US" w:eastAsia="zh-CN"/>
              </w:rPr>
              <w:t>（在投标文件中提供有效认证证书复印件或扫描打印件并提供网络查询截图加盖公章，否则不得分）</w:t>
            </w:r>
          </w:p>
        </w:tc>
        <w:tc>
          <w:tcPr>
            <w:tcW w:w="990" w:type="dxa"/>
            <w:vMerge w:val="restart"/>
            <w:tcBorders>
              <w:top w:val="single" w:color="auto" w:sz="4" w:space="0"/>
              <w:left w:val="single" w:color="auto" w:sz="4" w:space="0"/>
              <w:right w:val="single" w:color="auto" w:sz="4" w:space="0"/>
            </w:tcBorders>
            <w:vAlign w:val="center"/>
          </w:tcPr>
          <w:p>
            <w:pPr>
              <w:pStyle w:val="54"/>
              <w:spacing w:line="360" w:lineRule="auto"/>
              <w:ind w:left="0" w:leftChars="0" w:firstLine="0" w:firstLineChars="0"/>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7" w:hRule="atLeast"/>
          <w:jc w:val="center"/>
        </w:trPr>
        <w:tc>
          <w:tcPr>
            <w:tcW w:w="715"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Cs w:val="21"/>
                <w:highlight w:val="none"/>
              </w:rPr>
            </w:pPr>
          </w:p>
        </w:tc>
        <w:tc>
          <w:tcPr>
            <w:tcW w:w="1017"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具有区级及以上城市管理局颁发的城市生活垃圾经营性清扫、收集、运输服务许可证且在有效服务期内的得2分；本项最高2分。</w:t>
            </w:r>
          </w:p>
          <w:p>
            <w:pPr>
              <w:spacing w:line="360" w:lineRule="exact"/>
              <w:jc w:val="both"/>
              <w:rPr>
                <w:rFonts w:hint="eastAsia" w:ascii="仿宋" w:hAnsi="仿宋" w:eastAsia="仿宋" w:cs="仿宋"/>
                <w:color w:val="auto"/>
                <w:sz w:val="24"/>
                <w:highlight w:val="none"/>
                <w:lang w:val="en-US" w:eastAsia="zh-CN"/>
              </w:rPr>
            </w:pPr>
            <w:r>
              <w:rPr>
                <w:rFonts w:hint="eastAsia" w:ascii="仿宋" w:hAnsi="仿宋" w:eastAsia="仿宋" w:cs="仿宋"/>
                <w:b/>
                <w:bCs/>
                <w:color w:val="auto"/>
                <w:sz w:val="24"/>
                <w:highlight w:val="none"/>
                <w:lang w:val="en-US" w:eastAsia="zh-CN"/>
              </w:rPr>
              <w:t>（在投标文件中提供有效认证证书复印件或扫描打印件并加盖公章，否则不得分）</w:t>
            </w:r>
          </w:p>
        </w:tc>
        <w:tc>
          <w:tcPr>
            <w:tcW w:w="990" w:type="dxa"/>
            <w:vMerge w:val="continue"/>
            <w:tcBorders>
              <w:left w:val="single" w:color="auto" w:sz="4" w:space="0"/>
              <w:bottom w:val="single" w:color="auto" w:sz="4" w:space="0"/>
              <w:right w:val="single" w:color="auto" w:sz="4" w:space="0"/>
            </w:tcBorders>
            <w:vAlign w:val="center"/>
          </w:tcPr>
          <w:p>
            <w:pPr>
              <w:pStyle w:val="54"/>
              <w:spacing w:line="360" w:lineRule="auto"/>
              <w:ind w:left="0"/>
              <w:jc w:val="center"/>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1" w:hRule="atLeast"/>
          <w:jc w:val="center"/>
        </w:trPr>
        <w:tc>
          <w:tcPr>
            <w:tcW w:w="715"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Cs w:val="21"/>
                <w:highlight w:val="none"/>
              </w:rPr>
            </w:pPr>
          </w:p>
        </w:tc>
        <w:tc>
          <w:tcPr>
            <w:tcW w:w="1017"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具有公共环境消毒杀菌服务企业（一级）资质证书得1分；本项最高1分。</w:t>
            </w:r>
          </w:p>
          <w:p>
            <w:pPr>
              <w:spacing w:line="360" w:lineRule="exact"/>
              <w:jc w:val="both"/>
              <w:rPr>
                <w:rFonts w:hint="default" w:ascii="仿宋" w:hAnsi="仿宋" w:eastAsia="仿宋" w:cs="仿宋"/>
                <w:color w:val="auto"/>
                <w:sz w:val="24"/>
                <w:highlight w:val="none"/>
                <w:lang w:val="en-US" w:eastAsia="zh-CN"/>
              </w:rPr>
            </w:pPr>
            <w:r>
              <w:rPr>
                <w:rFonts w:hint="eastAsia" w:ascii="仿宋" w:hAnsi="仿宋" w:eastAsia="仿宋" w:cs="仿宋"/>
                <w:b/>
                <w:bCs/>
                <w:color w:val="auto"/>
                <w:sz w:val="24"/>
                <w:highlight w:val="none"/>
                <w:lang w:val="en-US" w:eastAsia="zh-CN"/>
              </w:rPr>
              <w:t>（在投标文件中提供有效认证证书复印件或扫描打印件并加盖公章，否则不得分）</w:t>
            </w:r>
          </w:p>
        </w:tc>
        <w:tc>
          <w:tcPr>
            <w:tcW w:w="990" w:type="dxa"/>
            <w:vMerge w:val="continue"/>
            <w:tcBorders>
              <w:left w:val="single" w:color="auto" w:sz="4" w:space="0"/>
              <w:bottom w:val="single" w:color="auto" w:sz="4" w:space="0"/>
              <w:right w:val="single" w:color="auto" w:sz="4" w:space="0"/>
            </w:tcBorders>
            <w:vAlign w:val="center"/>
          </w:tcPr>
          <w:p>
            <w:pPr>
              <w:pStyle w:val="54"/>
              <w:spacing w:line="360" w:lineRule="auto"/>
              <w:ind w:left="0"/>
              <w:jc w:val="center"/>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8" w:hRule="atLeast"/>
          <w:jc w:val="center"/>
        </w:trPr>
        <w:tc>
          <w:tcPr>
            <w:tcW w:w="715"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Cs w:val="21"/>
                <w:highlight w:val="none"/>
              </w:rPr>
            </w:pPr>
          </w:p>
        </w:tc>
        <w:tc>
          <w:tcPr>
            <w:tcW w:w="1017"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20</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日起至今（时间以合同签订时间或中标通知书发出的时间为准），</w:t>
            </w:r>
            <w:r>
              <w:rPr>
                <w:rFonts w:hint="eastAsia" w:ascii="仿宋" w:hAnsi="仿宋" w:eastAsia="仿宋" w:cs="仿宋"/>
                <w:color w:val="auto"/>
                <w:sz w:val="24"/>
                <w:highlight w:val="none"/>
                <w:lang w:val="en-US" w:eastAsia="zh-CN"/>
              </w:rPr>
              <w:t>有综合保洁</w:t>
            </w:r>
            <w:r>
              <w:rPr>
                <w:rFonts w:hint="eastAsia" w:ascii="仿宋" w:hAnsi="仿宋" w:eastAsia="仿宋" w:cs="仿宋"/>
                <w:color w:val="auto"/>
                <w:sz w:val="24"/>
                <w:highlight w:val="none"/>
              </w:rPr>
              <w:t>作业经验的</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内容包含道路保洁及绿化养护</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0.25</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有厨余垃圾分类</w:t>
            </w:r>
            <w:r>
              <w:rPr>
                <w:rFonts w:hint="eastAsia" w:ascii="仿宋" w:hAnsi="仿宋" w:eastAsia="仿宋" w:cs="仿宋"/>
                <w:color w:val="auto"/>
                <w:sz w:val="24"/>
                <w:highlight w:val="none"/>
              </w:rPr>
              <w:t>作业经验的，得</w:t>
            </w:r>
            <w:r>
              <w:rPr>
                <w:rFonts w:hint="eastAsia" w:ascii="仿宋" w:hAnsi="仿宋" w:eastAsia="仿宋" w:cs="仿宋"/>
                <w:color w:val="auto"/>
                <w:sz w:val="24"/>
                <w:highlight w:val="none"/>
                <w:lang w:val="en-US" w:eastAsia="zh-CN"/>
              </w:rPr>
              <w:t>0.25</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有偷倒垃圾清理</w:t>
            </w:r>
            <w:r>
              <w:rPr>
                <w:rFonts w:hint="eastAsia" w:ascii="仿宋" w:hAnsi="仿宋" w:eastAsia="仿宋" w:cs="仿宋"/>
                <w:color w:val="auto"/>
                <w:sz w:val="24"/>
                <w:highlight w:val="none"/>
              </w:rPr>
              <w:t>作业经验的，得</w:t>
            </w:r>
            <w:r>
              <w:rPr>
                <w:rFonts w:hint="eastAsia" w:ascii="仿宋" w:hAnsi="仿宋" w:eastAsia="仿宋" w:cs="仿宋"/>
                <w:color w:val="auto"/>
                <w:sz w:val="24"/>
                <w:highlight w:val="none"/>
                <w:lang w:val="en-US" w:eastAsia="zh-CN"/>
              </w:rPr>
              <w:t>0.25</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有社区保洁作业经验</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0.25</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本项最高得1分，单项不累计得分</w:t>
            </w:r>
            <w:r>
              <w:rPr>
                <w:rFonts w:hint="eastAsia" w:ascii="仿宋" w:hAnsi="仿宋" w:eastAsia="仿宋" w:cs="仿宋"/>
                <w:color w:val="auto"/>
                <w:sz w:val="24"/>
                <w:highlight w:val="none"/>
              </w:rPr>
              <w:t>。</w:t>
            </w:r>
          </w:p>
          <w:p>
            <w:pPr>
              <w:spacing w:line="360" w:lineRule="exact"/>
              <w:jc w:val="both"/>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在投标文件中需提供</w:t>
            </w:r>
            <w:r>
              <w:rPr>
                <w:rFonts w:hint="eastAsia" w:ascii="仿宋" w:hAnsi="仿宋" w:eastAsia="仿宋" w:cs="仿宋"/>
                <w:b/>
                <w:bCs/>
                <w:color w:val="auto"/>
                <w:sz w:val="24"/>
                <w:highlight w:val="none"/>
              </w:rPr>
              <w:t>中标通知书</w:t>
            </w:r>
            <w:r>
              <w:rPr>
                <w:rFonts w:hint="eastAsia" w:ascii="仿宋" w:hAnsi="仿宋" w:eastAsia="仿宋" w:cs="仿宋"/>
                <w:b/>
                <w:bCs/>
                <w:color w:val="auto"/>
                <w:sz w:val="24"/>
                <w:highlight w:val="none"/>
                <w:lang w:val="en-US" w:eastAsia="zh-CN"/>
              </w:rPr>
              <w:t>和</w:t>
            </w:r>
            <w:r>
              <w:rPr>
                <w:rFonts w:hint="eastAsia" w:ascii="仿宋" w:hAnsi="仿宋" w:eastAsia="仿宋" w:cs="仿宋"/>
                <w:b/>
                <w:bCs/>
                <w:color w:val="auto"/>
                <w:sz w:val="24"/>
                <w:highlight w:val="none"/>
              </w:rPr>
              <w:t>合同复印件并加盖公章，否则不得分。）</w:t>
            </w:r>
          </w:p>
        </w:tc>
        <w:tc>
          <w:tcPr>
            <w:tcW w:w="990" w:type="dxa"/>
            <w:vMerge w:val="continue"/>
            <w:tcBorders>
              <w:left w:val="single" w:color="auto" w:sz="4" w:space="0"/>
              <w:bottom w:val="single" w:color="auto" w:sz="4" w:space="0"/>
              <w:right w:val="single" w:color="auto" w:sz="4" w:space="0"/>
            </w:tcBorders>
            <w:vAlign w:val="center"/>
          </w:tcPr>
          <w:p>
            <w:pPr>
              <w:pStyle w:val="54"/>
              <w:spacing w:line="360" w:lineRule="auto"/>
              <w:ind w:left="0"/>
              <w:jc w:val="center"/>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w:t>
            </w:r>
          </w:p>
        </w:tc>
        <w:tc>
          <w:tcPr>
            <w:tcW w:w="1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Cs w:val="21"/>
                <w:highlight w:val="none"/>
              </w:rPr>
            </w:pPr>
            <w:r>
              <w:rPr>
                <w:rFonts w:hint="eastAsia" w:ascii="仿宋" w:hAnsi="仿宋" w:eastAsia="仿宋" w:cs="仿宋"/>
                <w:color w:val="auto"/>
                <w:szCs w:val="24"/>
                <w:highlight w:val="none"/>
              </w:rPr>
              <w:t>拟派项目实施人员的配备情况</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①</w:t>
            </w:r>
            <w:r>
              <w:rPr>
                <w:rFonts w:hint="eastAsia" w:ascii="仿宋" w:hAnsi="仿宋" w:eastAsia="仿宋" w:cs="仿宋"/>
                <w:color w:val="auto"/>
                <w:sz w:val="24"/>
                <w:highlight w:val="none"/>
                <w:lang w:val="en-US" w:eastAsia="zh-CN"/>
              </w:rPr>
              <w:t>项目负责人：</w:t>
            </w:r>
            <w:r>
              <w:rPr>
                <w:rFonts w:hint="eastAsia" w:ascii="仿宋" w:hAnsi="仿宋" w:eastAsia="仿宋" w:cs="仿宋"/>
                <w:sz w:val="24"/>
              </w:rPr>
              <w:t>同时具备中级及以上工程师职称</w:t>
            </w:r>
            <w:r>
              <w:rPr>
                <w:rFonts w:hint="eastAsia" w:ascii="仿宋" w:hAnsi="仿宋" w:eastAsia="仿宋" w:cs="仿宋"/>
                <w:sz w:val="24"/>
                <w:lang w:eastAsia="zh-CN"/>
              </w:rPr>
              <w:t>、</w:t>
            </w:r>
            <w:r>
              <w:rPr>
                <w:rFonts w:hint="eastAsia" w:ascii="仿宋" w:hAnsi="仿宋" w:eastAsia="仿宋" w:cs="仿宋"/>
                <w:sz w:val="24"/>
                <w:lang w:val="en-US" w:eastAsia="zh-CN"/>
              </w:rPr>
              <w:t>人社颁发（高级绿化工证、五级（含）以上有害生物防制员证）、物业项目经理证及</w:t>
            </w:r>
            <w:r>
              <w:rPr>
                <w:rFonts w:hint="eastAsia" w:ascii="仿宋" w:hAnsi="仿宋" w:eastAsia="仿宋" w:cs="仿宋"/>
                <w:sz w:val="24"/>
              </w:rPr>
              <w:t>大专（不含）以上学历</w:t>
            </w:r>
            <w:r>
              <w:rPr>
                <w:rFonts w:hint="eastAsia" w:ascii="仿宋" w:hAnsi="仿宋" w:eastAsia="仿宋" w:cs="仿宋"/>
                <w:sz w:val="24"/>
                <w:lang w:eastAsia="zh-CN"/>
              </w:rPr>
              <w:t>，</w:t>
            </w:r>
            <w:r>
              <w:rPr>
                <w:rFonts w:hint="eastAsia" w:ascii="仿宋" w:hAnsi="仿宋" w:eastAsia="仿宋" w:cs="仿宋"/>
                <w:sz w:val="24"/>
                <w:lang w:val="en-US" w:eastAsia="zh-CN"/>
              </w:rPr>
              <w:t>得4分</w:t>
            </w:r>
            <w:r>
              <w:rPr>
                <w:rFonts w:hint="eastAsia" w:ascii="仿宋" w:hAnsi="仿宋" w:eastAsia="仿宋" w:cs="仿宋"/>
                <w:color w:val="auto"/>
                <w:sz w:val="24"/>
                <w:highlight w:val="none"/>
              </w:rPr>
              <w:t>。没有则不得分；（需提供</w:t>
            </w:r>
            <w:r>
              <w:rPr>
                <w:rFonts w:hint="eastAsia" w:ascii="仿宋" w:hAnsi="仿宋" w:eastAsia="仿宋" w:cs="仿宋"/>
                <w:color w:val="auto"/>
                <w:sz w:val="24"/>
                <w:highlight w:val="none"/>
                <w:lang w:val="en-US" w:eastAsia="zh-CN"/>
              </w:rPr>
              <w:t>相关</w:t>
            </w:r>
            <w:r>
              <w:rPr>
                <w:rFonts w:hint="eastAsia" w:ascii="仿宋" w:hAnsi="仿宋" w:eastAsia="仿宋" w:cs="仿宋"/>
                <w:color w:val="auto"/>
                <w:sz w:val="24"/>
                <w:highlight w:val="none"/>
              </w:rPr>
              <w:t>证书、毕业证书</w:t>
            </w:r>
            <w:r>
              <w:rPr>
                <w:rFonts w:hint="eastAsia" w:ascii="仿宋" w:hAnsi="仿宋" w:eastAsia="仿宋" w:cs="仿宋"/>
                <w:color w:val="auto"/>
                <w:sz w:val="24"/>
                <w:highlight w:val="none"/>
                <w:lang w:val="en-US" w:eastAsia="zh-CN"/>
              </w:rPr>
              <w:t>及</w:t>
            </w:r>
            <w:r>
              <w:rPr>
                <w:rFonts w:hint="eastAsia" w:ascii="仿宋" w:hAnsi="仿宋" w:eastAsia="仿宋" w:cs="仿宋"/>
                <w:color w:val="auto"/>
                <w:sz w:val="24"/>
                <w:highlight w:val="none"/>
              </w:rPr>
              <w:t>项目经理在本单位</w:t>
            </w:r>
            <w:r>
              <w:rPr>
                <w:rFonts w:hint="eastAsia" w:ascii="仿宋" w:hAnsi="仿宋" w:eastAsia="仿宋" w:cs="仿宋"/>
                <w:color w:val="auto"/>
                <w:sz w:val="24"/>
                <w:highlight w:val="none"/>
                <w:lang w:val="en-US" w:eastAsia="zh-CN"/>
              </w:rPr>
              <w:t>近6个月</w:t>
            </w:r>
            <w:r>
              <w:rPr>
                <w:rFonts w:hint="eastAsia" w:ascii="仿宋" w:hAnsi="仿宋" w:eastAsia="仿宋" w:cs="仿宋"/>
                <w:color w:val="auto"/>
                <w:sz w:val="24"/>
                <w:highlight w:val="none"/>
              </w:rPr>
              <w:t>社保缴纳证明）。</w:t>
            </w:r>
          </w:p>
          <w:p>
            <w:p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②</w:t>
            </w:r>
            <w:r>
              <w:rPr>
                <w:rFonts w:hint="eastAsia" w:ascii="仿宋" w:hAnsi="仿宋" w:eastAsia="仿宋" w:cs="仿宋"/>
                <w:color w:val="auto"/>
                <w:sz w:val="24"/>
                <w:highlight w:val="none"/>
                <w:lang w:val="en-US" w:eastAsia="zh-CN"/>
              </w:rPr>
              <w:t>安全员：</w:t>
            </w:r>
            <w:r>
              <w:rPr>
                <w:rFonts w:hint="eastAsia" w:ascii="仿宋" w:hAnsi="仿宋" w:eastAsia="仿宋" w:cs="仿宋"/>
                <w:color w:val="auto"/>
                <w:sz w:val="24"/>
                <w:highlight w:val="none"/>
              </w:rPr>
              <w:t>具有安全员C证1人，得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 提供安全员C证复印件，并提供在本单位近6个月社保证明复印件。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hint="eastAsia" w:ascii="仿宋" w:hAnsi="仿宋" w:eastAsia="仿宋" w:cs="仿宋"/>
                <w:sz w:val="24"/>
                <w:szCs w:val="24"/>
                <w:lang w:val="en-US" w:eastAsia="zh-CN"/>
              </w:rPr>
            </w:pPr>
            <w:r>
              <w:rPr>
                <w:rFonts w:hint="eastAsia" w:ascii="仿宋" w:hAnsi="仿宋" w:eastAsia="仿宋" w:cs="仿宋"/>
                <w:b w:val="0"/>
                <w:bCs w:val="0"/>
                <w:color w:val="auto"/>
                <w:kern w:val="2"/>
                <w:sz w:val="24"/>
                <w:szCs w:val="24"/>
                <w:highlight w:val="none"/>
                <w:lang w:val="en-US" w:eastAsia="zh-CN" w:bidi="ar-SA"/>
              </w:rPr>
              <w:t>③</w:t>
            </w:r>
            <w:r>
              <w:rPr>
                <w:rFonts w:hint="eastAsia" w:ascii="仿宋" w:hAnsi="仿宋" w:eastAsia="仿宋" w:cs="仿宋"/>
                <w:sz w:val="24"/>
                <w:szCs w:val="24"/>
                <w:lang w:val="en-US" w:eastAsia="zh-CN"/>
              </w:rPr>
              <w:t>安全应急人员：具有国家人社部门颁发的四级（含）及以上护理员证书的， 1人</w:t>
            </w:r>
            <w:r>
              <w:rPr>
                <w:rFonts w:hint="eastAsia" w:ascii="仿宋" w:hAnsi="仿宋" w:eastAsia="仿宋" w:cs="仿宋"/>
                <w:sz w:val="24"/>
                <w:szCs w:val="24"/>
              </w:rPr>
              <w:t>（含）及以上的得</w:t>
            </w:r>
            <w:r>
              <w:rPr>
                <w:rFonts w:hint="eastAsia" w:ascii="仿宋" w:hAnsi="仿宋" w:eastAsia="仿宋" w:cs="仿宋"/>
                <w:sz w:val="24"/>
                <w:szCs w:val="24"/>
                <w:lang w:val="en-US" w:eastAsia="zh-CN"/>
              </w:rPr>
              <w:t>2</w:t>
            </w:r>
            <w:r>
              <w:rPr>
                <w:rFonts w:hint="eastAsia" w:ascii="仿宋" w:hAnsi="仿宋" w:eastAsia="仿宋" w:cs="仿宋"/>
                <w:sz w:val="24"/>
                <w:szCs w:val="24"/>
              </w:rPr>
              <w:t>分，</w:t>
            </w:r>
            <w:r>
              <w:rPr>
                <w:rFonts w:hint="eastAsia" w:ascii="仿宋" w:hAnsi="仿宋" w:eastAsia="仿宋" w:cs="仿宋"/>
                <w:sz w:val="24"/>
                <w:szCs w:val="24"/>
                <w:lang w:val="en-US" w:eastAsia="zh-CN"/>
              </w:rPr>
              <w:t>没有不得分</w:t>
            </w:r>
            <w:r>
              <w:rPr>
                <w:rFonts w:hint="eastAsia" w:ascii="仿宋" w:hAnsi="仿宋" w:eastAsia="仿宋" w:cs="仿宋"/>
                <w:sz w:val="24"/>
                <w:szCs w:val="24"/>
              </w:rPr>
              <w:t>；</w:t>
            </w:r>
            <w:r>
              <w:rPr>
                <w:rFonts w:hint="eastAsia" w:ascii="仿宋" w:hAnsi="仿宋" w:eastAsia="仿宋" w:cs="仿宋"/>
                <w:sz w:val="24"/>
                <w:szCs w:val="24"/>
                <w:lang w:val="en-US" w:eastAsia="zh-CN"/>
              </w:rPr>
              <w:t>最高得2分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以上技工人员需提</w:t>
            </w:r>
            <w:r>
              <w:rPr>
                <w:rFonts w:hint="eastAsia" w:ascii="仿宋" w:hAnsi="仿宋" w:eastAsia="仿宋" w:cs="仿宋"/>
                <w:color w:val="auto"/>
                <w:sz w:val="24"/>
                <w:szCs w:val="24"/>
                <w:highlight w:val="none"/>
                <w:lang w:val="en-US" w:eastAsia="zh-CN"/>
              </w:rPr>
              <w:t>供</w:t>
            </w:r>
            <w:r>
              <w:rPr>
                <w:rFonts w:hint="eastAsia" w:ascii="仿宋" w:hAnsi="仿宋" w:eastAsia="仿宋" w:cs="仿宋"/>
                <w:sz w:val="24"/>
                <w:szCs w:val="24"/>
                <w:lang w:val="en-US" w:eastAsia="zh-CN"/>
              </w:rPr>
              <w:t>人社颁发的</w:t>
            </w:r>
            <w:r>
              <w:rPr>
                <w:rFonts w:hint="eastAsia" w:ascii="仿宋" w:hAnsi="仿宋" w:eastAsia="仿宋" w:cs="仿宋"/>
                <w:color w:val="auto"/>
                <w:sz w:val="24"/>
                <w:szCs w:val="24"/>
                <w:highlight w:val="none"/>
              </w:rPr>
              <w:t>技能人才评价证书全国联网查询系统（网址：zscx.osta.org.cn或jndj.osta.org.cn）查询截图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否则不得分。</w:t>
            </w:r>
          </w:p>
          <w:p>
            <w:pPr>
              <w:spacing w:line="360" w:lineRule="exact"/>
              <w:jc w:val="both"/>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在投标文件中</w:t>
            </w:r>
            <w:r>
              <w:rPr>
                <w:rFonts w:hint="eastAsia" w:ascii="仿宋" w:hAnsi="仿宋" w:eastAsia="仿宋" w:cs="仿宋"/>
                <w:b/>
                <w:bCs/>
                <w:color w:val="auto"/>
                <w:sz w:val="24"/>
                <w:highlight w:val="none"/>
              </w:rPr>
              <w:t>需提供相关证书复印件，同时提供</w:t>
            </w:r>
            <w:r>
              <w:rPr>
                <w:rFonts w:hint="eastAsia" w:ascii="仿宋" w:hAnsi="仿宋" w:eastAsia="仿宋" w:cs="仿宋"/>
                <w:b/>
                <w:bCs/>
                <w:color w:val="auto"/>
                <w:sz w:val="24"/>
                <w:highlight w:val="none"/>
                <w:lang w:val="en-US" w:eastAsia="zh-CN"/>
              </w:rPr>
              <w:t>上述</w:t>
            </w:r>
            <w:r>
              <w:rPr>
                <w:rFonts w:hint="eastAsia" w:ascii="仿宋" w:hAnsi="仿宋" w:eastAsia="仿宋" w:cs="仿宋"/>
                <w:b/>
                <w:bCs/>
                <w:color w:val="auto"/>
                <w:sz w:val="24"/>
                <w:highlight w:val="none"/>
              </w:rPr>
              <w:t>相关人员在本单位</w:t>
            </w:r>
            <w:r>
              <w:rPr>
                <w:rFonts w:hint="eastAsia" w:ascii="仿宋" w:hAnsi="仿宋" w:eastAsia="仿宋" w:cs="仿宋"/>
                <w:b/>
                <w:bCs/>
                <w:color w:val="auto"/>
                <w:sz w:val="24"/>
                <w:highlight w:val="none"/>
                <w:lang w:val="en-US" w:eastAsia="zh-CN"/>
              </w:rPr>
              <w:t>近六个月</w:t>
            </w:r>
            <w:r>
              <w:rPr>
                <w:rFonts w:hint="eastAsia" w:ascii="仿宋" w:hAnsi="仿宋" w:eastAsia="仿宋" w:cs="仿宋"/>
                <w:b/>
                <w:bCs/>
                <w:color w:val="auto"/>
                <w:sz w:val="24"/>
                <w:highlight w:val="none"/>
              </w:rPr>
              <w:t>社保缴纳证明）。</w:t>
            </w:r>
          </w:p>
        </w:tc>
        <w:tc>
          <w:tcPr>
            <w:tcW w:w="990" w:type="dxa"/>
            <w:tcBorders>
              <w:top w:val="single" w:color="auto" w:sz="4" w:space="0"/>
              <w:left w:val="single" w:color="auto" w:sz="4" w:space="0"/>
              <w:bottom w:val="single" w:color="auto" w:sz="4" w:space="0"/>
              <w:right w:val="single" w:color="auto" w:sz="4" w:space="0"/>
            </w:tcBorders>
            <w:vAlign w:val="center"/>
          </w:tcPr>
          <w:p>
            <w:pPr>
              <w:pStyle w:val="54"/>
              <w:spacing w:line="360" w:lineRule="auto"/>
              <w:ind w:left="0" w:leftChars="0" w:firstLine="0" w:firstLineChars="0"/>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8"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w:t>
            </w:r>
          </w:p>
        </w:tc>
        <w:tc>
          <w:tcPr>
            <w:tcW w:w="1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企业荣誉</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20</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1月1</w:t>
            </w:r>
            <w:r>
              <w:rPr>
                <w:rFonts w:hint="eastAsia" w:ascii="仿宋" w:hAnsi="仿宋" w:eastAsia="仿宋" w:cs="仿宋"/>
                <w:color w:val="auto"/>
                <w:sz w:val="24"/>
                <w:highlight w:val="none"/>
              </w:rPr>
              <w:t>日至今，投标人获得区（县）级及以上城市管理局颁发</w:t>
            </w:r>
            <w:r>
              <w:rPr>
                <w:rFonts w:hint="eastAsia" w:ascii="仿宋" w:hAnsi="仿宋" w:eastAsia="仿宋" w:cs="仿宋"/>
                <w:color w:val="auto"/>
                <w:sz w:val="24"/>
                <w:highlight w:val="none"/>
                <w:lang w:val="en-US" w:eastAsia="zh-CN"/>
              </w:rPr>
              <w:t>表彰的得1</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本项最高得1分。</w:t>
            </w:r>
          </w:p>
          <w:p>
            <w:pPr>
              <w:spacing w:line="360" w:lineRule="exact"/>
              <w:jc w:val="both"/>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在投标文件中</w:t>
            </w:r>
            <w:r>
              <w:rPr>
                <w:rFonts w:hint="eastAsia" w:ascii="仿宋" w:hAnsi="仿宋" w:eastAsia="仿宋" w:cs="仿宋"/>
                <w:b/>
                <w:bCs/>
                <w:color w:val="auto"/>
                <w:sz w:val="24"/>
                <w:highlight w:val="none"/>
              </w:rPr>
              <w:t>需提供相关证明材料扫描件，否则不得分）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pStyle w:val="54"/>
              <w:spacing w:line="360" w:lineRule="auto"/>
              <w:ind w:left="0" w:leftChars="0" w:firstLine="0" w:firstLineChars="0"/>
              <w:jc w:val="center"/>
              <w:rPr>
                <w:rFonts w:hint="default"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w:t>
            </w:r>
          </w:p>
        </w:tc>
      </w:tr>
    </w:tbl>
    <w:p>
      <w:pPr>
        <w:spacing w:line="360" w:lineRule="auto"/>
        <w:rPr>
          <w:rFonts w:hint="eastAsia" w:ascii="仿宋" w:hAnsi="仿宋" w:eastAsia="仿宋" w:cs="仿宋"/>
          <w:b/>
          <w:color w:val="auto"/>
          <w:sz w:val="24"/>
          <w:szCs w:val="20"/>
          <w:highlight w:val="none"/>
          <w:lang w:val="en-US" w:eastAsia="zh-CN"/>
        </w:rPr>
      </w:pPr>
    </w:p>
    <w:p>
      <w:pPr>
        <w:spacing w:line="360" w:lineRule="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lang w:val="en-US" w:eastAsia="zh-CN"/>
        </w:rPr>
        <w:t>2、</w:t>
      </w:r>
      <w:r>
        <w:rPr>
          <w:rFonts w:hint="eastAsia" w:ascii="仿宋" w:hAnsi="仿宋" w:eastAsia="仿宋" w:cs="仿宋"/>
          <w:b/>
          <w:color w:val="auto"/>
          <w:sz w:val="24"/>
          <w:szCs w:val="20"/>
          <w:highlight w:val="none"/>
        </w:rPr>
        <w:t>技术</w:t>
      </w:r>
      <w:r>
        <w:rPr>
          <w:rFonts w:hint="eastAsia" w:ascii="仿宋" w:hAnsi="仿宋" w:eastAsia="仿宋" w:cs="仿宋"/>
          <w:b/>
          <w:color w:val="auto"/>
          <w:sz w:val="24"/>
          <w:szCs w:val="20"/>
          <w:highlight w:val="none"/>
          <w:lang w:eastAsia="zh-CN"/>
        </w:rPr>
        <w:t>标评分细则（</w:t>
      </w:r>
      <w:r>
        <w:rPr>
          <w:rFonts w:hint="eastAsia" w:ascii="仿宋" w:hAnsi="仿宋" w:eastAsia="仿宋" w:cs="仿宋"/>
          <w:b/>
          <w:color w:val="auto"/>
          <w:sz w:val="24"/>
          <w:szCs w:val="20"/>
          <w:highlight w:val="none"/>
          <w:lang w:val="en-US" w:eastAsia="zh-CN"/>
        </w:rPr>
        <w:t>69分</w:t>
      </w:r>
      <w:r>
        <w:rPr>
          <w:rFonts w:hint="eastAsia" w:ascii="仿宋" w:hAnsi="仿宋" w:eastAsia="仿宋" w:cs="仿宋"/>
          <w:b/>
          <w:color w:val="auto"/>
          <w:sz w:val="24"/>
          <w:szCs w:val="20"/>
          <w:highlight w:val="none"/>
          <w:lang w:eastAsia="zh-CN"/>
        </w:rPr>
        <w:t>）</w:t>
      </w:r>
      <w:r>
        <w:rPr>
          <w:rFonts w:hint="eastAsia" w:ascii="仿宋" w:hAnsi="仿宋" w:eastAsia="仿宋" w:cs="仿宋"/>
          <w:b/>
          <w:color w:val="auto"/>
          <w:sz w:val="24"/>
          <w:szCs w:val="20"/>
          <w:highlight w:val="none"/>
        </w:rPr>
        <w:t xml:space="preserve"> </w:t>
      </w:r>
    </w:p>
    <w:tbl>
      <w:tblPr>
        <w:tblStyle w:val="64"/>
        <w:tblW w:w="95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065"/>
        <w:gridCol w:w="6808"/>
        <w:gridCol w:w="9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评审</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内容</w:t>
            </w:r>
          </w:p>
        </w:tc>
        <w:tc>
          <w:tcPr>
            <w:tcW w:w="68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评分标准</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评分</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sz w:val="24"/>
                <w:szCs w:val="20"/>
                <w:highlight w:val="none"/>
                <w:lang w:val="en-US" w:eastAsia="zh-CN"/>
              </w:rPr>
              <w:t>1</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sz w:val="24"/>
                <w:szCs w:val="20"/>
                <w:highlight w:val="none"/>
                <w:lang w:val="en-US" w:eastAsia="zh-CN"/>
              </w:rPr>
              <w:t>投入机械设备、车辆</w:t>
            </w:r>
          </w:p>
        </w:tc>
        <w:tc>
          <w:tcPr>
            <w:tcW w:w="68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1、清洗车（车辆总质量18吨及以上）1辆得3分，本项最高得6分；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2、多功能抑尘车(车辆总质量 18吨及以上）1辆的得3分，本项最高得3分；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3、多功能洗扫车（集洒、扫、吸三种功能为一体，车辆总质量5吨以下）的1辆得3分，多功能洗扫车（集洒、扫、吸三种功能为一体，车辆总质量18吨及以上）的1辆得3分，本项最高得6分；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4、扫地车（车辆总质量7吨及以上）1辆的得3分，本项最高得3分；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5、密闭型垃圾直运车(车辆总质量 12吨及以上）1辆的得3分，本项最高得3分；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上述车辆需提供投标单位自有车辆行驶证、车辆登记证、购车发票扫描件、车辆实物照片；以上车辆必须配备GPS设备（提供车辆GPS行程轨迹图证明材料）不提供的，该项不得分，车辆仅用于本保洁项目的书面承诺书（格式自拟）不提供的，该项不得分。）</w:t>
            </w:r>
          </w:p>
          <w:p>
            <w:pPr>
              <w:keepNext w:val="0"/>
              <w:keepLines w:val="0"/>
              <w:pageBreakBefore w:val="0"/>
              <w:widowControl w:val="0"/>
              <w:numPr>
                <w:ilvl w:val="0"/>
                <w:numId w:val="5"/>
              </w:numPr>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纯电动路面养护车(车辆总质量 4吨及以上）1辆得2分，本项最高得2分；</w:t>
            </w:r>
          </w:p>
          <w:p>
            <w:pPr>
              <w:keepNext w:val="0"/>
              <w:keepLines w:val="0"/>
              <w:pageBreakBefore w:val="0"/>
              <w:widowControl w:val="0"/>
              <w:numPr>
                <w:ilvl w:val="0"/>
                <w:numId w:val="5"/>
              </w:numPr>
              <w:kinsoku/>
              <w:wordWrap/>
              <w:overflowPunct/>
              <w:topLinePunct w:val="0"/>
              <w:autoSpaceDE/>
              <w:autoSpaceDN/>
              <w:bidi w:val="0"/>
              <w:adjustRightInd w:val="0"/>
              <w:snapToGrid/>
              <w:spacing w:line="340" w:lineRule="exact"/>
              <w:jc w:val="both"/>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护栏清洗车（</w:t>
            </w:r>
            <w:r>
              <w:rPr>
                <w:rFonts w:hint="eastAsia" w:ascii="仿宋" w:hAnsi="仿宋" w:eastAsia="仿宋" w:cs="仿宋"/>
                <w:color w:val="auto"/>
                <w:sz w:val="24"/>
                <w:highlight w:val="none"/>
                <w:lang w:val="en-US" w:eastAsia="zh-CN"/>
              </w:rPr>
              <w:t>车辆总质量 8吨及以上</w:t>
            </w:r>
            <w:r>
              <w:rPr>
                <w:rFonts w:hint="eastAsia" w:ascii="仿宋" w:hAnsi="仿宋" w:eastAsia="仿宋" w:cs="仿宋"/>
                <w:color w:val="auto"/>
                <w:kern w:val="2"/>
                <w:sz w:val="24"/>
                <w:szCs w:val="24"/>
                <w:highlight w:val="none"/>
                <w:lang w:val="en-US" w:eastAsia="zh-CN" w:bidi="ar-SA"/>
              </w:rPr>
              <w:t>）1辆得</w:t>
            </w:r>
            <w:r>
              <w:rPr>
                <w:rFonts w:hint="eastAsia" w:ascii="仿宋" w:hAnsi="仿宋" w:eastAsia="仿宋" w:cs="仿宋"/>
                <w:color w:val="auto"/>
                <w:sz w:val="24"/>
                <w:highlight w:val="none"/>
                <w:lang w:val="en-US" w:eastAsia="zh-CN"/>
              </w:rPr>
              <w:t>2分，本项最高得2分；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8、管理用车：轻型载货汽车（总质量4吨及以上综合应急抢险车辆，且行驶证上标注的使用性质为工程救险及车辆安装警示灯）1辆得2分；本项最高得2分；</w:t>
            </w:r>
          </w:p>
          <w:p>
            <w:pPr>
              <w:pStyle w:val="82"/>
              <w:rPr>
                <w:rFonts w:hint="default"/>
                <w:lang w:val="en-US" w:eastAsia="zh-CN"/>
              </w:rPr>
            </w:pPr>
            <w:r>
              <w:rPr>
                <w:rFonts w:hint="eastAsia" w:ascii="仿宋" w:hAnsi="仿宋" w:eastAsia="仿宋" w:cs="仿宋"/>
                <w:color w:val="auto"/>
                <w:sz w:val="24"/>
                <w:highlight w:val="none"/>
                <w:lang w:val="en-US" w:eastAsia="zh-CN"/>
              </w:rPr>
              <w:t>9、自备电动</w:t>
            </w:r>
            <w:r>
              <w:rPr>
                <w:rFonts w:hint="eastAsia" w:ascii="仿宋" w:hAnsi="仿宋" w:eastAsia="仿宋" w:cs="仿宋"/>
                <w:color w:val="auto"/>
                <w:sz w:val="24"/>
                <w:highlight w:val="none"/>
              </w:rPr>
              <w:t>四轮巡逻车</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辆</w:t>
            </w:r>
            <w:r>
              <w:rPr>
                <w:rFonts w:hint="eastAsia" w:ascii="仿宋" w:hAnsi="仿宋" w:eastAsia="仿宋" w:cs="仿宋"/>
                <w:color w:val="auto"/>
                <w:sz w:val="24"/>
                <w:highlight w:val="none"/>
                <w:lang w:val="en-US" w:eastAsia="zh-CN"/>
              </w:rPr>
              <w:t>及以上</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r>
              <w:rPr>
                <w:rFonts w:hint="eastAsia" w:ascii="仿宋" w:hAnsi="仿宋" w:eastAsia="仿宋"/>
                <w:color w:val="auto"/>
                <w:sz w:val="24"/>
                <w:szCs w:val="24"/>
                <w:highlight w:val="none"/>
              </w:rPr>
              <w:t>自备专用扫雪设备</w:t>
            </w:r>
            <w:r>
              <w:rPr>
                <w:rFonts w:hint="eastAsia" w:ascii="仿宋" w:hAnsi="仿宋" w:eastAsia="仿宋" w:cs="仿宋"/>
                <w:color w:val="auto"/>
                <w:sz w:val="24"/>
                <w:highlight w:val="none"/>
                <w:lang w:val="en-US" w:eastAsia="zh-CN"/>
              </w:rPr>
              <w:t>1台及以上</w:t>
            </w:r>
            <w:r>
              <w:rPr>
                <w:rFonts w:hint="eastAsia" w:ascii="仿宋" w:hAnsi="仿宋" w:eastAsia="仿宋"/>
                <w:color w:val="auto"/>
                <w:sz w:val="24"/>
                <w:szCs w:val="24"/>
                <w:highlight w:val="none"/>
              </w:rPr>
              <w:t>的得1分</w:t>
            </w:r>
            <w:r>
              <w:rPr>
                <w:rFonts w:hint="eastAsia" w:ascii="仿宋" w:hAnsi="仿宋" w:eastAsia="仿宋" w:cs="仿宋"/>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11、自备高压冲洗或清洗车2辆及以上的得1分；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12、自备电动清运车2辆及以上的得1分；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13、自备垃圾清运挂桶车8辆及以上的得1分；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14、自备二桶垃圾分类车2辆及以上的得1分；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15、自备电动三轮六桶拉通车2辆及以上的得1分；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eastAsia="仿宋"/>
                <w:lang w:val="en-US" w:eastAsia="zh-CN"/>
              </w:rPr>
            </w:pPr>
            <w:r>
              <w:rPr>
                <w:rFonts w:hint="eastAsia" w:ascii="仿宋" w:hAnsi="仿宋" w:eastAsia="仿宋" w:cs="仿宋"/>
                <w:color w:val="auto"/>
                <w:sz w:val="24"/>
                <w:highlight w:val="none"/>
                <w:lang w:val="en-US" w:eastAsia="zh-CN"/>
              </w:rPr>
              <w:t>16、自备电动巡逻车5辆及以上的得1分；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17、自备同时具有绿化树枝粉碎机 1 台及以上、鼓风机 1台及以上、绿篱机 1 台及以上、园林高压喷药机 1 台及以上、割灌机1台及以上，得2分；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18、“1、2、3、4、5、6项中配备车辆是电动新能源环卫车的3辆及以上得3分，2辆及以下得1分，本项最高得3分.</w:t>
            </w:r>
          </w:p>
          <w:p>
            <w:pPr>
              <w:keepNext w:val="0"/>
              <w:keepLines w:val="0"/>
              <w:pageBreakBefore w:val="0"/>
              <w:widowControl w:val="0"/>
              <w:kinsoku/>
              <w:wordWrap/>
              <w:overflowPunct/>
              <w:topLinePunct w:val="0"/>
              <w:autoSpaceDE/>
              <w:autoSpaceDN/>
              <w:bidi w:val="0"/>
              <w:adjustRightInd w:val="0"/>
              <w:snapToGrid/>
              <w:spacing w:line="340" w:lineRule="exact"/>
              <w:jc w:val="both"/>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上述设备需提供投标单位自有车辆行驶证、车辆登记证、购车发票扫描件以及车辆实物照片，无行驶证的设备需提供发票扫描件和车辆实物照片；以上车辆仅用于本保洁项目的书面承诺书（格式自拟）不提供的，该项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b/>
                <w:color w:val="auto"/>
                <w:sz w:val="24"/>
                <w:szCs w:val="20"/>
                <w:highlight w:val="none"/>
                <w:lang w:val="en-US" w:eastAsia="zh-CN"/>
              </w:rPr>
            </w:pPr>
            <w:r>
              <w:rPr>
                <w:rFonts w:hint="eastAsia" w:ascii="仿宋" w:hAnsi="仿宋" w:eastAsia="仿宋" w:cs="仿宋"/>
                <w:b w:val="0"/>
                <w:bCs/>
                <w:color w:val="auto"/>
                <w:sz w:val="24"/>
                <w:szCs w:val="20"/>
                <w:highlight w:val="none"/>
                <w:lang w:val="en-US" w:eastAsia="zh-CN"/>
              </w:rPr>
              <w:t>40分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5" w:hRule="atLeast"/>
          <w:jc w:val="center"/>
        </w:trPr>
        <w:tc>
          <w:tcPr>
            <w:tcW w:w="709"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2</w:t>
            </w:r>
          </w:p>
        </w:tc>
        <w:tc>
          <w:tcPr>
            <w:tcW w:w="1065"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rPr>
              <w:t>项目实施方案</w:t>
            </w:r>
          </w:p>
        </w:tc>
        <w:tc>
          <w:tcPr>
            <w:tcW w:w="6808" w:type="dxa"/>
            <w:tcBorders>
              <w:top w:val="single" w:color="auto" w:sz="4" w:space="0"/>
              <w:left w:val="single" w:color="auto" w:sz="4" w:space="0"/>
              <w:right w:val="single" w:color="auto" w:sz="4" w:space="0"/>
            </w:tcBorders>
            <w:vAlign w:val="center"/>
          </w:tcPr>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根据投标人对现有保洁项目（道路保洁、公厕养护、农贸市场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保洁等）现状了解、存在问题的分析，提出克服难点和要点的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技术措施：现状了解全面、存在问题分析到位，符合实际，技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术措施对策科学性、合理性、可操作性强得 4 分，投标人对现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有综合养护现状了解较为全面、存在问题分析较为到位，符合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实际，技术措施对策，较为科学、合理、可操作性较好得 2分，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投标人对现有综合养护现状了解一般、存在问题分析一般，技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术措施对策科学性、合理性、可操作性一般得 1 分，方案不合 </w:t>
            </w:r>
          </w:p>
          <w:p>
            <w:pPr>
              <w:keepNext w:val="0"/>
              <w:keepLines w:val="0"/>
              <w:widowControl/>
              <w:suppressLineNumbers w:val="0"/>
              <w:jc w:val="left"/>
              <w:rPr>
                <w:rFonts w:hint="eastAsia" w:ascii="仿宋" w:hAnsi="仿宋" w:eastAsia="仿宋" w:cs="仿宋"/>
                <w:color w:val="auto"/>
                <w:highlight w:val="none"/>
                <w:lang w:eastAsia="zh-CN"/>
              </w:rPr>
            </w:pPr>
            <w:r>
              <w:rPr>
                <w:rFonts w:hint="eastAsia" w:ascii="仿宋" w:hAnsi="仿宋" w:eastAsia="仿宋" w:cs="仿宋"/>
                <w:color w:val="auto"/>
                <w:kern w:val="0"/>
                <w:sz w:val="24"/>
                <w:szCs w:val="24"/>
                <w:lang w:val="en-US" w:eastAsia="zh-CN" w:bidi="ar"/>
              </w:rPr>
              <w:t>理或未提供方案不得分。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4</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center"/>
          </w:tcPr>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根据本项目提出合理的管理组织和制度方案（公司人事管理制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度方案、员工管理制度方案、考勤制度方案安全作业管理制度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方案等），提出管理组织和制度方案切合实际，合理可行的得 4</w:t>
            </w:r>
          </w:p>
          <w:p>
            <w:pPr>
              <w:keepNext w:val="0"/>
              <w:keepLines w:val="0"/>
              <w:widowControl/>
              <w:suppressLineNumbers w:val="0"/>
              <w:jc w:val="left"/>
              <w:rPr>
                <w:rFonts w:hint="eastAsia" w:ascii="仿宋" w:hAnsi="仿宋" w:eastAsia="仿宋" w:cs="仿宋"/>
                <w:color w:val="auto"/>
                <w:sz w:val="24"/>
                <w:highlight w:val="none"/>
              </w:rPr>
            </w:pPr>
            <w:r>
              <w:rPr>
                <w:rFonts w:hint="eastAsia" w:ascii="仿宋" w:hAnsi="仿宋" w:eastAsia="仿宋" w:cs="仿宋"/>
                <w:color w:val="auto"/>
                <w:kern w:val="0"/>
                <w:sz w:val="24"/>
                <w:szCs w:val="24"/>
                <w:lang w:val="en-US" w:eastAsia="zh-CN" w:bidi="ar"/>
              </w:rPr>
              <w:t>分、一般的得 2 分、较差的得 1 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4</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8"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center"/>
          </w:tcPr>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根据本项目制定合理的保洁方案（道路保洁、公厕养护、农贸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市场保洁等）是否针对本项目，拟投入的清扫保洁人员组织、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机具设备、时间安排、不同类别道路的清扫解决方案等，合理 </w:t>
            </w:r>
          </w:p>
          <w:p>
            <w:pPr>
              <w:keepNext w:val="0"/>
              <w:keepLines w:val="0"/>
              <w:widowControl/>
              <w:suppressLineNumbers w:val="0"/>
              <w:jc w:val="left"/>
              <w:rPr>
                <w:rFonts w:hint="eastAsia" w:ascii="仿宋" w:hAnsi="仿宋" w:eastAsia="仿宋" w:cs="仿宋"/>
                <w:color w:val="auto"/>
                <w:sz w:val="24"/>
                <w:highlight w:val="none"/>
              </w:rPr>
            </w:pPr>
            <w:r>
              <w:rPr>
                <w:rFonts w:hint="eastAsia" w:ascii="仿宋" w:hAnsi="仿宋" w:eastAsia="仿宋" w:cs="仿宋"/>
                <w:color w:val="auto"/>
                <w:kern w:val="0"/>
                <w:sz w:val="24"/>
                <w:szCs w:val="24"/>
                <w:lang w:val="en-US" w:eastAsia="zh-CN" w:bidi="ar"/>
              </w:rPr>
              <w:t>可行的得 4 分、一般的得 2 分、较差的得 1 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4</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0"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center"/>
          </w:tcPr>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根据本项目提出合理的质量保证措施，合理可行的得 </w:t>
            </w:r>
            <w:r>
              <w:rPr>
                <w:rFonts w:hint="eastAsia" w:ascii="仿宋" w:hAnsi="仿宋" w:eastAsia="仿宋" w:cs="仿宋"/>
                <w:color w:val="auto"/>
                <w:kern w:val="0"/>
                <w:sz w:val="24"/>
                <w:szCs w:val="24"/>
                <w:lang w:val="en-US" w:eastAsia="zh-CN" w:bidi="ar"/>
              </w:rPr>
              <w:t>4</w:t>
            </w:r>
            <w:r>
              <w:rPr>
                <w:rFonts w:ascii="仿宋" w:hAnsi="仿宋" w:eastAsia="仿宋" w:cs="仿宋"/>
                <w:color w:val="auto"/>
                <w:kern w:val="0"/>
                <w:sz w:val="24"/>
                <w:szCs w:val="24"/>
                <w:lang w:val="en-US" w:eastAsia="zh-CN" w:bidi="ar"/>
              </w:rPr>
              <w:t xml:space="preserve"> 分、一 </w:t>
            </w:r>
          </w:p>
          <w:p>
            <w:pPr>
              <w:keepNext w:val="0"/>
              <w:keepLines w:val="0"/>
              <w:widowControl/>
              <w:suppressLineNumbers w:val="0"/>
              <w:jc w:val="left"/>
              <w:rPr>
                <w:rFonts w:hint="eastAsia" w:ascii="仿宋" w:hAnsi="仿宋" w:eastAsia="仿宋" w:cs="仿宋"/>
                <w:color w:val="auto"/>
                <w:sz w:val="24"/>
                <w:highlight w:val="none"/>
              </w:rPr>
            </w:pPr>
            <w:r>
              <w:rPr>
                <w:rFonts w:hint="eastAsia" w:ascii="仿宋" w:hAnsi="仿宋" w:eastAsia="仿宋" w:cs="仿宋"/>
                <w:color w:val="auto"/>
                <w:kern w:val="0"/>
                <w:sz w:val="24"/>
                <w:szCs w:val="24"/>
                <w:lang w:val="en-US" w:eastAsia="zh-CN" w:bidi="ar"/>
              </w:rPr>
              <w:t>般的得 2 分、较差的得 1 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4</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60"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center"/>
          </w:tcPr>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根据本项目制定合理的文明安全保证体系和安全保证措施方 </w:t>
            </w:r>
          </w:p>
          <w:p>
            <w:pPr>
              <w:keepNext w:val="0"/>
              <w:keepLines w:val="0"/>
              <w:widowControl/>
              <w:suppressLineNumbers w:val="0"/>
              <w:jc w:val="left"/>
              <w:rPr>
                <w:rFonts w:hint="eastAsia" w:ascii="仿宋" w:hAnsi="仿宋" w:eastAsia="仿宋" w:cs="仿宋"/>
                <w:color w:val="auto"/>
                <w:sz w:val="24"/>
                <w:highlight w:val="none"/>
              </w:rPr>
            </w:pPr>
            <w:r>
              <w:rPr>
                <w:rFonts w:hint="eastAsia" w:ascii="仿宋" w:hAnsi="仿宋" w:eastAsia="仿宋" w:cs="仿宋"/>
                <w:color w:val="auto"/>
                <w:kern w:val="0"/>
                <w:sz w:val="24"/>
                <w:szCs w:val="24"/>
                <w:lang w:val="en-US" w:eastAsia="zh-CN" w:bidi="ar"/>
              </w:rPr>
              <w:t>案，合理可行的得 4 分、一般的得 2 分、较差的得 1 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4</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0" w:hRule="atLeast"/>
          <w:jc w:val="center"/>
        </w:trPr>
        <w:tc>
          <w:tcPr>
            <w:tcW w:w="709"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p>
        </w:tc>
        <w:tc>
          <w:tcPr>
            <w:tcW w:w="1065"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6808" w:type="dxa"/>
            <w:tcBorders>
              <w:top w:val="single" w:color="auto" w:sz="4" w:space="0"/>
              <w:left w:val="single" w:color="auto" w:sz="4" w:space="0"/>
              <w:right w:val="single" w:color="auto" w:sz="4" w:space="0"/>
            </w:tcBorders>
            <w:vAlign w:val="center"/>
          </w:tcPr>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根据本项目提出合理的各项检查制度（现场管理制度、车辆管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理制度等）以及台账管理，合理可行的得 3 分、一般的得 2 分、 </w:t>
            </w:r>
          </w:p>
          <w:p>
            <w:pPr>
              <w:keepNext w:val="0"/>
              <w:keepLines w:val="0"/>
              <w:widowControl/>
              <w:suppressLineNumbers w:val="0"/>
              <w:jc w:val="left"/>
              <w:rPr>
                <w:rFonts w:hint="eastAsia" w:ascii="仿宋" w:hAnsi="仿宋" w:eastAsia="仿宋" w:cs="仿宋"/>
                <w:color w:val="auto"/>
                <w:sz w:val="24"/>
                <w:highlight w:val="none"/>
              </w:rPr>
            </w:pPr>
            <w:r>
              <w:rPr>
                <w:rFonts w:hint="eastAsia" w:ascii="仿宋" w:hAnsi="仿宋" w:eastAsia="仿宋" w:cs="仿宋"/>
                <w:color w:val="auto"/>
                <w:kern w:val="0"/>
                <w:sz w:val="24"/>
                <w:szCs w:val="24"/>
                <w:lang w:val="en-US" w:eastAsia="zh-CN" w:bidi="ar"/>
              </w:rPr>
              <w:t>较差的得 1 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3</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5" w:hRule="atLeast"/>
          <w:jc w:val="center"/>
        </w:trPr>
        <w:tc>
          <w:tcPr>
            <w:tcW w:w="709" w:type="dxa"/>
            <w:tcBorders>
              <w:top w:val="single" w:color="auto" w:sz="4" w:space="0"/>
              <w:left w:val="single" w:color="auto" w:sz="4" w:space="0"/>
              <w:right w:val="single" w:color="auto" w:sz="4" w:space="0"/>
            </w:tcBorders>
            <w:vAlign w:val="center"/>
          </w:tcPr>
          <w:p>
            <w:pPr>
              <w:spacing w:line="360" w:lineRule="auto"/>
              <w:jc w:val="center"/>
              <w:rPr>
                <w:rFonts w:hint="default"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3</w:t>
            </w:r>
          </w:p>
        </w:tc>
        <w:tc>
          <w:tcPr>
            <w:tcW w:w="1065" w:type="dxa"/>
            <w:tcBorders>
              <w:top w:val="single" w:color="auto" w:sz="4" w:space="0"/>
              <w:left w:val="single" w:color="auto" w:sz="4" w:space="0"/>
              <w:right w:val="single" w:color="auto" w:sz="4" w:space="0"/>
            </w:tcBorders>
            <w:vAlign w:val="center"/>
          </w:tcPr>
          <w:p>
            <w:pPr>
              <w:numPr>
                <w:ilvl w:val="0"/>
                <w:numId w:val="0"/>
              </w:num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应急</w:t>
            </w:r>
          </w:p>
          <w:p>
            <w:pPr>
              <w:numPr>
                <w:ilvl w:val="0"/>
                <w:numId w:val="0"/>
              </w:num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预案</w:t>
            </w:r>
          </w:p>
        </w:tc>
        <w:tc>
          <w:tcPr>
            <w:tcW w:w="6808" w:type="dxa"/>
            <w:tcBorders>
              <w:top w:val="single" w:color="auto" w:sz="4" w:space="0"/>
              <w:left w:val="single" w:color="auto" w:sz="4" w:space="0"/>
              <w:right w:val="single" w:color="auto" w:sz="4" w:space="0"/>
            </w:tcBorders>
            <w:vAlign w:val="center"/>
          </w:tcPr>
          <w:p>
            <w:pPr>
              <w:numPr>
                <w:ilvl w:val="0"/>
                <w:numId w:val="0"/>
              </w:num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有完善的应急管理方案，能及时响应城市应急（气象灾害、防汛抗台、抗雪防冻）和项目实施过程中各类应急保障任务，有固定应急物资仓储及应急设施设备存放场地，具有丰富的应急管理经验情况，符合的得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分，部分符合的得1分，否则不得分。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106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重大活动保障方案</w:t>
            </w:r>
          </w:p>
        </w:tc>
        <w:tc>
          <w:tcPr>
            <w:tcW w:w="680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有完善的的重大活动保障方案，方案科学合理，具有针对性及可操作性，能圆满完成大型活动、节庆假日、创优评优等重大活动保障任务情况，符合的得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分，部分符合的得1分，否则不得分。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06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合理化建议</w:t>
            </w:r>
          </w:p>
        </w:tc>
        <w:tc>
          <w:tcPr>
            <w:tcW w:w="680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合理化建议：针对本项目提出合理化、优化建议。符合的得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分，部分符合得1分，否则不得分。</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分</w:t>
            </w:r>
          </w:p>
        </w:tc>
      </w:tr>
    </w:tbl>
    <w:p>
      <w:pPr>
        <w:pStyle w:val="620"/>
        <w:snapToGrid w:val="0"/>
        <w:ind w:left="480" w:firstLine="0" w:firstLineChars="0"/>
        <w:rPr>
          <w:rFonts w:hint="eastAsia" w:ascii="仿宋" w:hAnsi="仿宋" w:eastAsia="仿宋" w:cs="仿宋"/>
          <w:b/>
          <w:color w:val="auto"/>
          <w:highlight w:val="none"/>
          <w:lang w:val="en-US" w:eastAsia="zh-CN"/>
        </w:rPr>
      </w:pPr>
    </w:p>
    <w:p>
      <w:pPr>
        <w:pStyle w:val="620"/>
        <w:snapToGrid w:val="0"/>
        <w:ind w:left="480" w:firstLine="0" w:firstLineChars="0"/>
        <w:rPr>
          <w:rFonts w:hint="eastAsia" w:ascii="仿宋" w:hAnsi="仿宋" w:eastAsia="仿宋" w:cs="仿宋"/>
          <w:b/>
          <w:color w:val="auto"/>
          <w:highlight w:val="none"/>
          <w:lang w:val="en-US" w:eastAsia="zh-CN"/>
        </w:rPr>
      </w:pPr>
      <w:r>
        <w:rPr>
          <w:rFonts w:hint="eastAsia" w:ascii="仿宋" w:hAnsi="仿宋" w:eastAsia="仿宋" w:cs="仿宋"/>
          <w:b/>
          <w:color w:val="auto"/>
          <w:highlight w:val="none"/>
          <w:lang w:val="en-US" w:eastAsia="zh-CN"/>
        </w:rPr>
        <w:t>3、价格部分</w:t>
      </w:r>
    </w:p>
    <w:tbl>
      <w:tblPr>
        <w:tblStyle w:val="64"/>
        <w:tblpPr w:leftFromText="180" w:rightFromText="180" w:vertAnchor="text" w:horzAnchor="page" w:tblpX="1288" w:tblpY="126"/>
        <w:tblW w:w="9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7926"/>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683" w:type="dxa"/>
            <w:vAlign w:val="center"/>
          </w:tcPr>
          <w:p>
            <w:pPr>
              <w:spacing w:line="360" w:lineRule="auto"/>
              <w:ind w:firstLine="240" w:firstLineChars="1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 xml:space="preserve"> </w:t>
            </w:r>
          </w:p>
        </w:tc>
        <w:tc>
          <w:tcPr>
            <w:tcW w:w="7926" w:type="dxa"/>
            <w:vAlign w:val="top"/>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0］的计算公式计算。</w:t>
            </w:r>
          </w:p>
          <w:p>
            <w:pPr>
              <w:widowControl/>
              <w:shd w:val="clear" w:color="auto" w:fill="FFFFFF"/>
              <w:adjustRightInd/>
              <w:spacing w:after="225" w:line="315" w:lineRule="atLeast"/>
              <w:ind w:firstLine="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spacing w:line="360" w:lineRule="auto"/>
              <w:ind w:firstLine="120" w:firstLineChars="5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因落实政府采购政策需要进行价格调整的，以调整后的价格计算评标基准价和投标报价。</w:t>
            </w:r>
          </w:p>
        </w:tc>
        <w:tc>
          <w:tcPr>
            <w:tcW w:w="930" w:type="dxa"/>
            <w:vAlign w:val="center"/>
          </w:tcPr>
          <w:p>
            <w:pPr>
              <w:spacing w:line="360" w:lineRule="auto"/>
              <w:jc w:val="center"/>
              <w:outlineLvl w:val="0"/>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10分</w:t>
            </w:r>
          </w:p>
        </w:tc>
      </w:tr>
    </w:tbl>
    <w:p>
      <w:pPr>
        <w:snapToGrid w:val="0"/>
        <w:spacing w:line="360" w:lineRule="auto"/>
        <w:rPr>
          <w:rFonts w:ascii="仿宋" w:hAnsi="仿宋" w:eastAsia="仿宋" w:cs="仿宋_GB2312"/>
          <w:b/>
          <w:color w:val="auto"/>
          <w:sz w:val="24"/>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snapToGrid w:val="0"/>
        <w:spacing w:line="360" w:lineRule="auto"/>
        <w:outlineLvl w:val="1"/>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outlineLvl w:val="1"/>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1"/>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90"/>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ascii="仿宋" w:hAnsi="仿宋" w:eastAsia="仿宋" w:cs="仿宋"/>
          <w:color w:val="auto"/>
          <w:kern w:val="0"/>
          <w:szCs w:val="24"/>
          <w:highlight w:val="none"/>
        </w:rPr>
        <w:t>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30%以上的，对联合体或者大中型企业的报价给予3%的扣除，用扣除后的价格参加评审。组成联合体或者接受分包的小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outlineLvl w:val="1"/>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90"/>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spacing w:line="360" w:lineRule="auto"/>
        <w:ind w:firstLine="240" w:firstLineChars="100"/>
        <w:rPr>
          <w:rFonts w:ascii="仿宋_GB2312" w:hAnsi="仿宋" w:eastAsia="仿宋_GB2312" w:cs="Arial"/>
          <w:color w:val="auto"/>
          <w:kern w:val="0"/>
          <w:sz w:val="24"/>
          <w:highlight w:val="none"/>
          <w:lang w:val="en-US"/>
        </w:rPr>
      </w:pPr>
      <w:r>
        <w:rPr>
          <w:rFonts w:ascii="仿宋_GB2312" w:hAnsi="仿宋" w:eastAsia="仿宋_GB2312" w:cs="Arial"/>
          <w:color w:val="auto"/>
          <w:kern w:val="0"/>
          <w:sz w:val="24"/>
          <w:highlight w:val="none"/>
          <w:lang w:val="en-US"/>
        </w:rPr>
        <w:t xml:space="preserve">4.2.13 </w:t>
      </w:r>
      <w:r>
        <w:rPr>
          <w:rFonts w:hint="eastAsia" w:ascii="仿宋_GB2312" w:hAnsi="仿宋" w:eastAsia="仿宋_GB2312" w:cs="Arial"/>
          <w:color w:val="auto"/>
          <w:kern w:val="0"/>
          <w:sz w:val="24"/>
          <w:highlight w:val="none"/>
          <w:lang w:val="en-US"/>
        </w:rPr>
        <w:t>投标文件不满足招标文件的其它实质性要求的；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24"/>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24"/>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24"/>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24"/>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4"/>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24"/>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24"/>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24"/>
        <w:snapToGrid w:val="0"/>
        <w:spacing w:line="360" w:lineRule="auto"/>
        <w:ind w:firstLine="0" w:firstLineChars="0"/>
        <w:rPr>
          <w:rFonts w:ascii="仿宋_GB2312" w:hAnsi="仿宋" w:eastAsia="仿宋_GB2312" w:cs="仿宋_GB2312"/>
          <w:color w:val="auto"/>
          <w:highlight w:val="none"/>
        </w:rPr>
      </w:pPr>
    </w:p>
    <w:bookmarkEnd w:id="26"/>
    <w:p>
      <w:pPr>
        <w:spacing w:line="360" w:lineRule="auto"/>
        <w:ind w:left="720" w:leftChars="343" w:firstLine="1084" w:firstLineChars="300"/>
        <w:outlineLvl w:val="9"/>
        <w:rPr>
          <w:rFonts w:ascii="仿宋_GB2312" w:hAnsi="仿宋" w:eastAsia="仿宋_GB2312" w:cs="仿宋_GB2312"/>
          <w:b/>
          <w:color w:val="auto"/>
          <w:sz w:val="36"/>
          <w:szCs w:val="36"/>
          <w:highlight w:val="none"/>
        </w:rPr>
      </w:pPr>
      <w:bookmarkStart w:id="392" w:name="第五部分"/>
      <w:bookmarkStart w:id="393" w:name="_Toc86217003"/>
    </w:p>
    <w:p>
      <w:pPr>
        <w:spacing w:line="360" w:lineRule="auto"/>
        <w:ind w:left="720" w:leftChars="343" w:firstLine="1084" w:firstLineChars="300"/>
        <w:outlineLvl w:val="9"/>
        <w:rPr>
          <w:rFonts w:ascii="仿宋_GB2312" w:hAnsi="仿宋" w:eastAsia="仿宋_GB2312" w:cs="仿宋_GB2312"/>
          <w:b/>
          <w:color w:val="auto"/>
          <w:sz w:val="36"/>
          <w:szCs w:val="36"/>
          <w:highlight w:val="none"/>
        </w:rPr>
      </w:pPr>
      <w:r>
        <w:rPr>
          <w:rFonts w:ascii="仿宋_GB2312" w:hAnsi="仿宋" w:eastAsia="仿宋_GB2312" w:cs="仿宋_GB2312"/>
          <w:b/>
          <w:color w:val="auto"/>
          <w:sz w:val="36"/>
          <w:szCs w:val="36"/>
          <w:highlight w:val="none"/>
        </w:rPr>
        <w:t xml:space="preserve">    </w:t>
      </w:r>
    </w:p>
    <w:p>
      <w:pPr>
        <w:spacing w:line="360" w:lineRule="auto"/>
        <w:ind w:left="720" w:leftChars="343" w:firstLine="1446" w:firstLineChars="4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widowControl/>
        <w:wordWrap/>
        <w:adjustRightInd/>
        <w:snapToGrid/>
        <w:spacing w:line="400" w:lineRule="atLeast"/>
        <w:ind w:left="0" w:leftChars="0" w:right="0" w:firstLine="0" w:firstLineChars="0"/>
        <w:jc w:val="left"/>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 xml:space="preserve">项目名称： </w:t>
      </w:r>
      <w:r>
        <w:rPr>
          <w:rStyle w:val="959"/>
          <w:rFonts w:hint="eastAsia" w:ascii="仿宋" w:hAnsi="仿宋" w:eastAsia="仿宋" w:cs="仿宋"/>
          <w:b w:val="0"/>
          <w:bCs/>
          <w:color w:val="auto"/>
          <w:sz w:val="24"/>
          <w:szCs w:val="24"/>
          <w:highlight w:val="none"/>
          <w:lang w:val="en-US" w:eastAsia="zh-CN"/>
        </w:rPr>
        <w:t xml:space="preserve">                              </w:t>
      </w:r>
      <w:r>
        <w:rPr>
          <w:rStyle w:val="959"/>
          <w:rFonts w:hint="eastAsia" w:ascii="仿宋" w:hAnsi="仿宋" w:eastAsia="仿宋" w:cs="仿宋"/>
          <w:b w:val="0"/>
          <w:bCs/>
          <w:color w:val="auto"/>
          <w:sz w:val="24"/>
          <w:szCs w:val="24"/>
          <w:highlight w:val="none"/>
        </w:rPr>
        <w:t>项目编号：</w:t>
      </w:r>
    </w:p>
    <w:p>
      <w:pPr>
        <w:widowControl/>
        <w:wordWrap/>
        <w:adjustRightInd/>
        <w:snapToGrid/>
        <w:spacing w:line="400" w:lineRule="atLeast"/>
        <w:ind w:left="0" w:leftChars="0" w:right="0" w:firstLine="0" w:firstLineChars="0"/>
        <w:jc w:val="left"/>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甲方：（买方）</w:t>
      </w:r>
    </w:p>
    <w:p>
      <w:pPr>
        <w:widowControl/>
        <w:wordWrap/>
        <w:adjustRightInd/>
        <w:snapToGrid/>
        <w:spacing w:line="400" w:lineRule="atLeast"/>
        <w:ind w:left="0" w:leftChars="0" w:right="0" w:firstLine="0" w:firstLineChars="0"/>
        <w:jc w:val="left"/>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乙方：（卖方）</w:t>
      </w:r>
    </w:p>
    <w:p>
      <w:pPr>
        <w:widowControl/>
        <w:wordWrap/>
        <w:adjustRightInd/>
        <w:snapToGrid/>
        <w:spacing w:line="400" w:lineRule="atLeast"/>
        <w:ind w:left="0" w:leftChars="0" w:right="0" w:firstLine="0" w:firstLineChars="0"/>
        <w:jc w:val="left"/>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甲、乙双方根据＿＿政府采购项目的采购结果，签署本合同。</w:t>
      </w:r>
    </w:p>
    <w:p>
      <w:pPr>
        <w:widowControl/>
        <w:wordWrap/>
        <w:adjustRightInd/>
        <w:snapToGrid/>
        <w:spacing w:line="400" w:lineRule="atLeast"/>
        <w:ind w:left="0" w:leftChars="0" w:right="0" w:firstLine="0" w:firstLineChars="0"/>
        <w:jc w:val="left"/>
        <w:textAlignment w:val="auto"/>
        <w:outlineLvl w:val="9"/>
        <w:rPr>
          <w:rStyle w:val="959"/>
          <w:rFonts w:hint="eastAsia" w:ascii="仿宋" w:hAnsi="仿宋" w:eastAsia="仿宋" w:cs="仿宋"/>
          <w:b w:val="0"/>
          <w:bCs/>
          <w:color w:val="auto"/>
          <w:sz w:val="24"/>
          <w:szCs w:val="24"/>
          <w:highlight w:val="none"/>
        </w:rPr>
      </w:pPr>
      <w:r>
        <w:rPr>
          <w:rStyle w:val="959"/>
          <w:rFonts w:hint="eastAsia" w:ascii="仿宋" w:hAnsi="仿宋" w:eastAsia="仿宋" w:cs="仿宋"/>
          <w:b w:val="0"/>
          <w:bCs/>
          <w:color w:val="auto"/>
          <w:sz w:val="24"/>
          <w:szCs w:val="24"/>
          <w:highlight w:val="none"/>
        </w:rPr>
        <w:t>一、服务内容：</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二、合同金额：</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val="en-US" w:eastAsia="zh-CN"/>
        </w:rPr>
      </w:pPr>
      <w:r>
        <w:rPr>
          <w:rStyle w:val="959"/>
          <w:rFonts w:hint="eastAsia" w:ascii="仿宋" w:hAnsi="仿宋" w:eastAsia="仿宋" w:cs="仿宋"/>
          <w:b w:val="0"/>
          <w:bCs/>
          <w:color w:val="auto"/>
          <w:sz w:val="24"/>
          <w:szCs w:val="24"/>
          <w:highlight w:val="none"/>
        </w:rPr>
        <w:t>2.1 本合同金额为（ 大 写 ）：</w:t>
      </w:r>
      <w:r>
        <w:rPr>
          <w:rStyle w:val="959"/>
          <w:rFonts w:hint="eastAsia" w:ascii="仿宋" w:hAnsi="仿宋" w:eastAsia="仿宋" w:cs="仿宋"/>
          <w:b w:val="0"/>
          <w:bCs/>
          <w:color w:val="auto"/>
          <w:sz w:val="24"/>
          <w:szCs w:val="24"/>
          <w:highlight w:val="none"/>
          <w:u w:val="single" w:color="auto"/>
          <w:lang w:val="en-US" w:eastAsia="zh-CN"/>
        </w:rPr>
        <w:t xml:space="preserve">              </w:t>
      </w:r>
      <w:r>
        <w:rPr>
          <w:rStyle w:val="959"/>
          <w:rFonts w:hint="eastAsia" w:ascii="仿宋" w:hAnsi="仿宋" w:eastAsia="仿宋" w:cs="仿宋"/>
          <w:b w:val="0"/>
          <w:bCs/>
          <w:color w:val="auto"/>
          <w:sz w:val="24"/>
          <w:szCs w:val="24"/>
          <w:highlight w:val="none"/>
        </w:rPr>
        <w:t>元（￥______元）人民币。</w:t>
      </w:r>
      <w:r>
        <w:rPr>
          <w:rStyle w:val="959"/>
          <w:rFonts w:hint="eastAsia" w:ascii="仿宋" w:hAnsi="仿宋" w:eastAsia="仿宋" w:cs="仿宋"/>
          <w:b w:val="0"/>
          <w:bCs/>
          <w:color w:val="auto"/>
          <w:sz w:val="24"/>
          <w:szCs w:val="24"/>
          <w:highlight w:val="none"/>
          <w:lang w:val="en-US" w:eastAsia="zh-CN"/>
        </w:rPr>
        <w:t>(含税）</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三、技术资料</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3.1 乙方应按</w:t>
      </w:r>
      <w:r>
        <w:rPr>
          <w:rStyle w:val="959"/>
          <w:rFonts w:hint="eastAsia" w:ascii="仿宋" w:hAnsi="仿宋" w:eastAsia="仿宋" w:cs="仿宋"/>
          <w:b w:val="0"/>
          <w:bCs/>
          <w:color w:val="auto"/>
          <w:sz w:val="24"/>
          <w:szCs w:val="24"/>
          <w:highlight w:val="none"/>
          <w:lang w:eastAsia="zh-CN"/>
        </w:rPr>
        <w:t>招标</w:t>
      </w:r>
      <w:r>
        <w:rPr>
          <w:rStyle w:val="959"/>
          <w:rFonts w:hint="eastAsia" w:ascii="仿宋" w:hAnsi="仿宋" w:eastAsia="仿宋" w:cs="仿宋"/>
          <w:b w:val="0"/>
          <w:bCs/>
          <w:color w:val="auto"/>
          <w:sz w:val="24"/>
          <w:szCs w:val="24"/>
          <w:highlight w:val="none"/>
        </w:rPr>
        <w:t>文件规定的时间向甲方提供有关技术资料。</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3.2 没有甲方事先书面同意，乙方不得将甲方提供的有关合同或任何合同条文、</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规格、计划、图纸、样品或资料提供给与履行本合同无关的任何其他人。即使向履行本合同有关的人员提供，也应注意保密并限于履行合同的必需范围。</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四、知识产权</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4.1 乙方应保证提供服务过程中不会侵犯任何第三方的知识产权。</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lang w:eastAsia="zh-CN"/>
        </w:rPr>
        <w:t>五</w:t>
      </w:r>
      <w:r>
        <w:rPr>
          <w:rStyle w:val="959"/>
          <w:rFonts w:hint="eastAsia" w:ascii="仿宋" w:hAnsi="仿宋" w:eastAsia="仿宋" w:cs="仿宋"/>
          <w:b w:val="0"/>
          <w:bCs/>
          <w:color w:val="auto"/>
          <w:sz w:val="24"/>
          <w:szCs w:val="24"/>
          <w:highlight w:val="none"/>
        </w:rPr>
        <w:t>、履约保证金</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rPr>
      </w:pPr>
      <w:r>
        <w:rPr>
          <w:rStyle w:val="959"/>
          <w:rFonts w:hint="eastAsia" w:ascii="仿宋" w:hAnsi="仿宋" w:eastAsia="仿宋" w:cs="仿宋"/>
          <w:b w:val="0"/>
          <w:bCs/>
          <w:color w:val="auto"/>
          <w:sz w:val="24"/>
          <w:szCs w:val="24"/>
          <w:highlight w:val="none"/>
          <w:lang w:val="en-US" w:eastAsia="zh-CN"/>
        </w:rPr>
        <w:t>5</w:t>
      </w:r>
      <w:r>
        <w:rPr>
          <w:rStyle w:val="959"/>
          <w:rFonts w:hint="eastAsia" w:ascii="仿宋" w:hAnsi="仿宋" w:eastAsia="仿宋" w:cs="仿宋"/>
          <w:b w:val="0"/>
          <w:bCs/>
          <w:color w:val="auto"/>
          <w:sz w:val="24"/>
          <w:szCs w:val="24"/>
          <w:highlight w:val="none"/>
        </w:rPr>
        <w:t>.1 中标单位在合同签订后支付中标总额</w:t>
      </w:r>
      <w:r>
        <w:rPr>
          <w:rStyle w:val="959"/>
          <w:rFonts w:hint="eastAsia" w:ascii="仿宋" w:hAnsi="仿宋" w:eastAsia="仿宋" w:cs="仿宋"/>
          <w:b w:val="0"/>
          <w:bCs/>
          <w:color w:val="auto"/>
          <w:sz w:val="24"/>
          <w:szCs w:val="24"/>
          <w:highlight w:val="none"/>
          <w:lang w:val="en-US" w:eastAsia="zh-CN"/>
        </w:rPr>
        <w:t>1</w:t>
      </w:r>
      <w:r>
        <w:rPr>
          <w:rStyle w:val="959"/>
          <w:rFonts w:hint="eastAsia" w:ascii="仿宋" w:hAnsi="仿宋" w:eastAsia="仿宋" w:cs="仿宋"/>
          <w:b w:val="0"/>
          <w:bCs/>
          <w:color w:val="auto"/>
          <w:sz w:val="24"/>
          <w:szCs w:val="24"/>
          <w:highlight w:val="none"/>
        </w:rPr>
        <w:t xml:space="preserve"> %的履约保证金（以支票、汇票、本票或者金融机构、担保机构出具的保函等非现金形式提交）</w:t>
      </w:r>
      <w:r>
        <w:rPr>
          <w:rStyle w:val="959"/>
          <w:rFonts w:hint="eastAsia" w:ascii="仿宋" w:hAnsi="仿宋" w:eastAsia="仿宋" w:cs="仿宋"/>
          <w:b w:val="0"/>
          <w:bCs/>
          <w:color w:val="auto"/>
          <w:sz w:val="24"/>
          <w:szCs w:val="24"/>
          <w:highlight w:val="none"/>
          <w:lang w:eastAsia="zh-CN"/>
        </w:rPr>
        <w:t>，</w:t>
      </w:r>
      <w:r>
        <w:rPr>
          <w:rStyle w:val="959"/>
          <w:rFonts w:hint="eastAsia" w:ascii="仿宋" w:hAnsi="仿宋" w:eastAsia="仿宋" w:cs="仿宋"/>
          <w:b w:val="0"/>
          <w:bCs/>
          <w:color w:val="auto"/>
          <w:sz w:val="24"/>
          <w:szCs w:val="24"/>
          <w:highlight w:val="none"/>
        </w:rPr>
        <w:t>履约保证金将在服务期满后无息退还。</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rPr>
        <w:t>。</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lang w:eastAsia="zh-CN"/>
        </w:rPr>
        <w:t>六</w:t>
      </w:r>
      <w:r>
        <w:rPr>
          <w:rStyle w:val="959"/>
          <w:rFonts w:hint="eastAsia" w:ascii="仿宋" w:hAnsi="仿宋" w:eastAsia="仿宋" w:cs="仿宋"/>
          <w:b w:val="0"/>
          <w:bCs/>
          <w:color w:val="auto"/>
          <w:sz w:val="24"/>
          <w:szCs w:val="24"/>
          <w:highlight w:val="none"/>
        </w:rPr>
        <w:t>.转包或分包</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lang w:val="en-US" w:eastAsia="zh-CN"/>
        </w:rPr>
        <w:t>6</w:t>
      </w:r>
      <w:r>
        <w:rPr>
          <w:rStyle w:val="959"/>
          <w:rFonts w:hint="eastAsia" w:ascii="仿宋" w:hAnsi="仿宋" w:eastAsia="仿宋" w:cs="仿宋"/>
          <w:b w:val="0"/>
          <w:bCs/>
          <w:color w:val="auto"/>
          <w:sz w:val="24"/>
          <w:szCs w:val="24"/>
          <w:highlight w:val="none"/>
        </w:rPr>
        <w:t>.1 本合同范围的</w:t>
      </w:r>
      <w:r>
        <w:rPr>
          <w:rStyle w:val="959"/>
          <w:rFonts w:hint="eastAsia" w:ascii="仿宋" w:hAnsi="仿宋" w:eastAsia="仿宋" w:cs="仿宋"/>
          <w:b w:val="0"/>
          <w:bCs/>
          <w:color w:val="auto"/>
          <w:sz w:val="24"/>
          <w:szCs w:val="24"/>
          <w:highlight w:val="none"/>
          <w:lang w:eastAsia="zh-CN"/>
        </w:rPr>
        <w:t>服务</w:t>
      </w:r>
      <w:r>
        <w:rPr>
          <w:rStyle w:val="959"/>
          <w:rFonts w:hint="eastAsia" w:ascii="仿宋" w:hAnsi="仿宋" w:eastAsia="仿宋" w:cs="仿宋"/>
          <w:b w:val="0"/>
          <w:bCs/>
          <w:color w:val="auto"/>
          <w:sz w:val="24"/>
          <w:szCs w:val="24"/>
          <w:highlight w:val="none"/>
        </w:rPr>
        <w:t>，应由供方直接供应，不得转让他人供应；</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lang w:val="en-US" w:eastAsia="zh-CN"/>
        </w:rPr>
        <w:t>6</w:t>
      </w:r>
      <w:r>
        <w:rPr>
          <w:rStyle w:val="959"/>
          <w:rFonts w:hint="eastAsia" w:ascii="仿宋" w:hAnsi="仿宋" w:eastAsia="仿宋" w:cs="仿宋"/>
          <w:b w:val="0"/>
          <w:bCs/>
          <w:color w:val="auto"/>
          <w:sz w:val="24"/>
          <w:szCs w:val="24"/>
          <w:highlight w:val="none"/>
        </w:rPr>
        <w:t>.2 除非得到需方的书面同意，供方不得部分分包给他人供应。需方有绝对权力</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rPr>
      </w:pPr>
      <w:r>
        <w:rPr>
          <w:rStyle w:val="959"/>
          <w:rFonts w:hint="eastAsia" w:ascii="仿宋" w:hAnsi="仿宋" w:eastAsia="仿宋" w:cs="仿宋"/>
          <w:b w:val="0"/>
          <w:bCs/>
          <w:color w:val="auto"/>
          <w:sz w:val="24"/>
          <w:szCs w:val="24"/>
          <w:highlight w:val="none"/>
        </w:rPr>
        <w:t>阻止分包。</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b w:val="0"/>
          <w:bCs/>
          <w:color w:val="auto"/>
          <w:sz w:val="24"/>
          <w:szCs w:val="24"/>
          <w:highlight w:val="none"/>
          <w:lang w:eastAsia="zh-CN"/>
        </w:rPr>
      </w:pPr>
      <w:r>
        <w:rPr>
          <w:rStyle w:val="959"/>
          <w:rFonts w:hint="eastAsia" w:ascii="仿宋" w:hAnsi="仿宋" w:eastAsia="仿宋" w:cs="仿宋"/>
          <w:b w:val="0"/>
          <w:bCs/>
          <w:color w:val="auto"/>
          <w:sz w:val="24"/>
          <w:szCs w:val="24"/>
          <w:highlight w:val="none"/>
          <w:lang w:val="en-US" w:eastAsia="zh-CN"/>
        </w:rPr>
        <w:t>6</w:t>
      </w:r>
      <w:r>
        <w:rPr>
          <w:rStyle w:val="959"/>
          <w:rFonts w:hint="eastAsia" w:ascii="仿宋" w:hAnsi="仿宋" w:eastAsia="仿宋" w:cs="仿宋"/>
          <w:b w:val="0"/>
          <w:bCs/>
          <w:color w:val="auto"/>
          <w:sz w:val="24"/>
          <w:szCs w:val="24"/>
          <w:highlight w:val="none"/>
        </w:rPr>
        <w:t>.3 如有转让和未经需方同意的分包行为，需方有权给予终止合同。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rPr>
      </w:pPr>
      <w:r>
        <w:rPr>
          <w:rFonts w:hint="eastAsia" w:ascii="仿宋" w:hAnsi="仿宋" w:eastAsia="仿宋" w:cs="仿宋"/>
          <w:b w:val="0"/>
          <w:i w:val="0"/>
          <w:color w:val="auto"/>
          <w:sz w:val="24"/>
          <w:szCs w:val="24"/>
          <w:highlight w:val="none"/>
          <w:lang w:eastAsia="zh-CN"/>
        </w:rPr>
        <w:t>七</w:t>
      </w:r>
      <w:r>
        <w:rPr>
          <w:rFonts w:hint="eastAsia" w:ascii="仿宋" w:hAnsi="仿宋" w:eastAsia="仿宋" w:cs="仿宋"/>
          <w:b w:val="0"/>
          <w:i w:val="0"/>
          <w:color w:val="auto"/>
          <w:sz w:val="24"/>
          <w:szCs w:val="24"/>
          <w:highlight w:val="none"/>
        </w:rPr>
        <w:t>、服务质量保证期和服务质量保证金</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7</w:t>
      </w:r>
      <w:r>
        <w:rPr>
          <w:rFonts w:hint="eastAsia" w:ascii="仿宋" w:hAnsi="仿宋" w:eastAsia="仿宋" w:cs="仿宋"/>
          <w:b w:val="0"/>
          <w:i w:val="0"/>
          <w:color w:val="auto"/>
          <w:sz w:val="24"/>
          <w:szCs w:val="24"/>
          <w:highlight w:val="none"/>
        </w:rPr>
        <w:t xml:space="preserve">.1 服务质量保证期 </w:t>
      </w:r>
      <w:r>
        <w:rPr>
          <w:rFonts w:hint="eastAsia" w:ascii="仿宋" w:hAnsi="仿宋" w:eastAsia="仿宋" w:cs="仿宋"/>
          <w:b w:val="0"/>
          <w:i w:val="0"/>
          <w:color w:val="auto"/>
          <w:sz w:val="24"/>
          <w:szCs w:val="24"/>
          <w:highlight w:val="none"/>
          <w:lang w:val="en-US" w:eastAsia="zh-CN"/>
        </w:rPr>
        <w:t xml:space="preserve"> </w:t>
      </w:r>
      <w:r>
        <w:rPr>
          <w:rFonts w:hint="eastAsia" w:ascii="仿宋" w:hAnsi="仿宋" w:eastAsia="仿宋" w:cs="仿宋"/>
          <w:b w:val="0"/>
          <w:i w:val="0"/>
          <w:color w:val="auto"/>
          <w:sz w:val="24"/>
          <w:szCs w:val="24"/>
          <w:highlight w:val="none"/>
        </w:rPr>
        <w:t>年。（自验收合格之日起计）</w:t>
      </w:r>
    </w:p>
    <w:p>
      <w:pPr>
        <w:widowControl/>
        <w:wordWrap/>
        <w:adjustRightInd/>
        <w:snapToGrid/>
        <w:spacing w:line="400" w:lineRule="atLeast"/>
        <w:ind w:left="0" w:leftChars="0" w:right="0" w:firstLine="0" w:firstLineChars="0"/>
        <w:jc w:val="both"/>
        <w:textAlignment w:val="auto"/>
        <w:outlineLvl w:val="9"/>
        <w:rPr>
          <w:rStyle w:val="959"/>
          <w:rFonts w:hint="eastAsia" w:ascii="仿宋" w:hAnsi="仿宋" w:eastAsia="仿宋" w:cs="仿宋"/>
          <w:color w:val="auto"/>
          <w:sz w:val="24"/>
          <w:szCs w:val="24"/>
          <w:highlight w:val="none"/>
        </w:rPr>
      </w:pPr>
      <w:r>
        <w:rPr>
          <w:rFonts w:hint="eastAsia" w:ascii="仿宋" w:hAnsi="仿宋" w:eastAsia="仿宋" w:cs="仿宋"/>
          <w:b w:val="0"/>
          <w:i w:val="0"/>
          <w:color w:val="auto"/>
          <w:sz w:val="24"/>
          <w:szCs w:val="24"/>
          <w:highlight w:val="none"/>
          <w:lang w:val="en-US" w:eastAsia="zh-CN"/>
        </w:rPr>
        <w:t>7</w:t>
      </w:r>
      <w:r>
        <w:rPr>
          <w:rFonts w:hint="eastAsia" w:ascii="仿宋" w:hAnsi="仿宋" w:eastAsia="仿宋" w:cs="仿宋"/>
          <w:b w:val="0"/>
          <w:i w:val="0"/>
          <w:color w:val="auto"/>
          <w:sz w:val="24"/>
          <w:szCs w:val="24"/>
          <w:highlight w:val="none"/>
        </w:rPr>
        <w:t>.2 服务质量保证金 元。（履约保证金在成交规划编制单位按合同约定验收合格后自行转为质保金）</w:t>
      </w:r>
      <w:r>
        <w:rPr>
          <w:rFonts w:hint="eastAsia" w:ascii="仿宋" w:hAnsi="仿宋" w:eastAsia="仿宋" w:cs="仿宋"/>
          <w:color w:val="auto"/>
          <w:sz w:val="24"/>
          <w:szCs w:val="24"/>
          <w:highlight w:val="none"/>
        </w:rPr>
        <w:t xml:space="preserve"> </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eastAsia="zh-CN"/>
        </w:rPr>
        <w:t>八</w:t>
      </w:r>
      <w:r>
        <w:rPr>
          <w:rFonts w:hint="eastAsia" w:ascii="仿宋" w:hAnsi="仿宋" w:eastAsia="仿宋" w:cs="仿宋"/>
          <w:b w:val="0"/>
          <w:i w:val="0"/>
          <w:color w:val="auto"/>
          <w:sz w:val="24"/>
          <w:szCs w:val="24"/>
          <w:highlight w:val="none"/>
        </w:rPr>
        <w:t>、合同履行时间、履行方式及履行地点</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8</w:t>
      </w:r>
      <w:r>
        <w:rPr>
          <w:rFonts w:hint="eastAsia" w:ascii="仿宋" w:hAnsi="仿宋" w:eastAsia="仿宋" w:cs="仿宋"/>
          <w:b w:val="0"/>
          <w:i w:val="0"/>
          <w:color w:val="auto"/>
          <w:sz w:val="24"/>
          <w:szCs w:val="24"/>
          <w:highlight w:val="none"/>
        </w:rPr>
        <w:t>.1 履行时间：</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8</w:t>
      </w:r>
      <w:r>
        <w:rPr>
          <w:rFonts w:hint="eastAsia" w:ascii="仿宋" w:hAnsi="仿宋" w:eastAsia="仿宋" w:cs="仿宋"/>
          <w:b w:val="0"/>
          <w:i w:val="0"/>
          <w:color w:val="auto"/>
          <w:sz w:val="24"/>
          <w:szCs w:val="24"/>
          <w:highlight w:val="none"/>
        </w:rPr>
        <w:t>.2 履行方式：</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8</w:t>
      </w:r>
      <w:r>
        <w:rPr>
          <w:rFonts w:hint="eastAsia" w:ascii="仿宋" w:hAnsi="仿宋" w:eastAsia="仿宋" w:cs="仿宋"/>
          <w:b w:val="0"/>
          <w:i w:val="0"/>
          <w:color w:val="auto"/>
          <w:sz w:val="24"/>
          <w:szCs w:val="24"/>
          <w:highlight w:val="none"/>
        </w:rPr>
        <w:t>.3 履行地点：</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eastAsia="zh-CN"/>
        </w:rPr>
        <w:t>九</w:t>
      </w:r>
      <w:r>
        <w:rPr>
          <w:rFonts w:hint="eastAsia" w:ascii="仿宋" w:hAnsi="仿宋" w:eastAsia="仿宋" w:cs="仿宋"/>
          <w:b w:val="0"/>
          <w:i w:val="0"/>
          <w:color w:val="auto"/>
          <w:sz w:val="24"/>
          <w:szCs w:val="24"/>
          <w:highlight w:val="none"/>
        </w:rPr>
        <w:t>、款项支付</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lang w:val="en-US" w:eastAsia="zh-CN"/>
        </w:rPr>
        <w:t>9</w:t>
      </w:r>
      <w:r>
        <w:rPr>
          <w:rFonts w:hint="eastAsia" w:ascii="仿宋" w:hAnsi="仿宋" w:eastAsia="仿宋" w:cs="仿宋"/>
          <w:b w:val="0"/>
          <w:i w:val="0"/>
          <w:color w:val="auto"/>
          <w:sz w:val="24"/>
          <w:szCs w:val="24"/>
          <w:highlight w:val="none"/>
        </w:rPr>
        <w:t>.1 付款方式：</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十、税费</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0</w:t>
      </w:r>
      <w:r>
        <w:rPr>
          <w:rFonts w:hint="eastAsia" w:ascii="仿宋" w:hAnsi="仿宋" w:eastAsia="仿宋" w:cs="仿宋"/>
          <w:b w:val="0"/>
          <w:i w:val="0"/>
          <w:color w:val="auto"/>
          <w:sz w:val="24"/>
          <w:szCs w:val="24"/>
          <w:highlight w:val="none"/>
        </w:rPr>
        <w:t>.1 本合同执行中相关的一切税费均由供方负担。</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十</w:t>
      </w:r>
      <w:r>
        <w:rPr>
          <w:rFonts w:hint="eastAsia" w:ascii="仿宋" w:hAnsi="仿宋" w:eastAsia="仿宋" w:cs="仿宋"/>
          <w:b w:val="0"/>
          <w:i w:val="0"/>
          <w:color w:val="auto"/>
          <w:sz w:val="24"/>
          <w:szCs w:val="24"/>
          <w:highlight w:val="none"/>
          <w:lang w:eastAsia="zh-CN"/>
        </w:rPr>
        <w:t>一</w:t>
      </w:r>
      <w:r>
        <w:rPr>
          <w:rFonts w:hint="eastAsia" w:ascii="仿宋" w:hAnsi="仿宋" w:eastAsia="仿宋" w:cs="仿宋"/>
          <w:b w:val="0"/>
          <w:i w:val="0"/>
          <w:color w:val="auto"/>
          <w:sz w:val="24"/>
          <w:szCs w:val="24"/>
          <w:highlight w:val="none"/>
        </w:rPr>
        <w:t>、质量保证及后续服务</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.1 乙方应按谈判文件规定向甲方提供服务。</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.2 乙方提供的服务成果在服务质量保证期内发生故障，乙方应负责免费提供</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后续服务。对达不到要求的，根据实际情况，经双方协商，可按以下办法处理：</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⑴重做：由乙方承担所发生的全部费用。</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⑵贬值处理：由甲乙双方合议定价。</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⑶解除合同。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.3 如使用过程中发生问题，乙方在接到甲方通知后在</w:t>
      </w:r>
      <w:r>
        <w:rPr>
          <w:rFonts w:hint="eastAsia" w:ascii="仿宋" w:hAnsi="仿宋" w:eastAsia="仿宋" w:cs="仿宋"/>
          <w:b w:val="0"/>
          <w:i w:val="0"/>
          <w:color w:val="auto"/>
          <w:sz w:val="24"/>
          <w:szCs w:val="24"/>
          <w:highlight w:val="none"/>
          <w:lang w:val="en-US" w:eastAsia="zh-CN"/>
        </w:rPr>
        <w:t xml:space="preserve"> </w:t>
      </w:r>
      <w:r>
        <w:rPr>
          <w:rFonts w:hint="eastAsia" w:ascii="仿宋" w:hAnsi="仿宋" w:eastAsia="仿宋" w:cs="仿宋"/>
          <w:b w:val="0"/>
          <w:i w:val="0"/>
          <w:color w:val="auto"/>
          <w:sz w:val="24"/>
          <w:szCs w:val="24"/>
          <w:highlight w:val="none"/>
        </w:rPr>
        <w:t>小时内到达甲方现场。</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1</w:t>
      </w:r>
      <w:r>
        <w:rPr>
          <w:rFonts w:hint="eastAsia" w:ascii="仿宋" w:hAnsi="仿宋" w:eastAsia="仿宋" w:cs="仿宋"/>
          <w:b w:val="0"/>
          <w:i w:val="0"/>
          <w:color w:val="auto"/>
          <w:sz w:val="24"/>
          <w:szCs w:val="24"/>
          <w:highlight w:val="none"/>
        </w:rPr>
        <w:t>.4 在服务质量保证期内，乙方应对出现的质量及安全问题负责处理解决并承</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担一切费用。</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十</w:t>
      </w:r>
      <w:r>
        <w:rPr>
          <w:rFonts w:hint="eastAsia" w:ascii="仿宋" w:hAnsi="仿宋" w:eastAsia="仿宋" w:cs="仿宋"/>
          <w:b w:val="0"/>
          <w:i w:val="0"/>
          <w:color w:val="auto"/>
          <w:sz w:val="24"/>
          <w:szCs w:val="24"/>
          <w:highlight w:val="none"/>
          <w:lang w:eastAsia="zh-CN"/>
        </w:rPr>
        <w:t>二</w:t>
      </w:r>
      <w:r>
        <w:rPr>
          <w:rFonts w:hint="eastAsia" w:ascii="仿宋" w:hAnsi="仿宋" w:eastAsia="仿宋" w:cs="仿宋"/>
          <w:b w:val="0"/>
          <w:i w:val="0"/>
          <w:color w:val="auto"/>
          <w:sz w:val="24"/>
          <w:szCs w:val="24"/>
          <w:highlight w:val="none"/>
        </w:rPr>
        <w:t>、违约责任</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2</w:t>
      </w:r>
      <w:r>
        <w:rPr>
          <w:rFonts w:hint="eastAsia" w:ascii="仿宋" w:hAnsi="仿宋" w:eastAsia="仿宋" w:cs="仿宋"/>
          <w:b w:val="0"/>
          <w:i w:val="0"/>
          <w:color w:val="auto"/>
          <w:sz w:val="24"/>
          <w:szCs w:val="24"/>
          <w:highlight w:val="none"/>
        </w:rPr>
        <w:t>.1 甲方无正当理由拒绝接受服务的，甲方向乙方偿付合同款项百分之五的违</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约金。</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sz w:val="24"/>
          <w:szCs w:val="24"/>
          <w:highlight w:val="none"/>
          <w:lang w:eastAsia="zh-CN"/>
        </w:rPr>
      </w:pPr>
      <w:r>
        <w:rPr>
          <w:rFonts w:hint="eastAsia" w:ascii="仿宋" w:hAnsi="仿宋" w:eastAsia="仿宋" w:cs="仿宋"/>
          <w:b w:val="0"/>
          <w:i w:val="0"/>
          <w:color w:val="auto"/>
          <w:sz w:val="24"/>
          <w:szCs w:val="24"/>
          <w:highlight w:val="none"/>
        </w:rPr>
        <w:t>1</w:t>
      </w:r>
      <w:r>
        <w:rPr>
          <w:rFonts w:hint="eastAsia" w:ascii="仿宋" w:hAnsi="仿宋" w:eastAsia="仿宋" w:cs="仿宋"/>
          <w:b w:val="0"/>
          <w:i w:val="0"/>
          <w:color w:val="auto"/>
          <w:sz w:val="24"/>
          <w:szCs w:val="24"/>
          <w:highlight w:val="none"/>
          <w:lang w:val="en-US" w:eastAsia="zh-CN"/>
        </w:rPr>
        <w:t>2</w:t>
      </w:r>
      <w:r>
        <w:rPr>
          <w:rFonts w:hint="eastAsia" w:ascii="仿宋" w:hAnsi="仿宋" w:eastAsia="仿宋" w:cs="仿宋"/>
          <w:b w:val="0"/>
          <w:i w:val="0"/>
          <w:color w:val="auto"/>
          <w:sz w:val="24"/>
          <w:szCs w:val="24"/>
          <w:highlight w:val="none"/>
        </w:rPr>
        <w:t>.3 乙方逾期提供服务的，每日向甲方支付千分之六违约金。逾期超过约定日</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sz w:val="24"/>
          <w:szCs w:val="24"/>
          <w:highlight w:val="none"/>
        </w:rPr>
        <w:t xml:space="preserve">期 10 个工作日不能交货的，甲方可解除本合同。乙方因逾期交货或因其他违约行为导致甲方解除合同的，乙方应向甲方支付合同总值 </w:t>
      </w:r>
      <w:r>
        <w:rPr>
          <w:rFonts w:hint="eastAsia" w:ascii="仿宋" w:hAnsi="仿宋" w:eastAsia="仿宋" w:cs="仿宋"/>
          <w:b w:val="0"/>
          <w:i w:val="0"/>
          <w:color w:val="auto"/>
          <w:sz w:val="24"/>
          <w:szCs w:val="24"/>
          <w:highlight w:val="none"/>
          <w:lang w:eastAsia="zh-CN"/>
        </w:rPr>
        <w:t>1%</w:t>
      </w:r>
      <w:r>
        <w:rPr>
          <w:rFonts w:hint="eastAsia" w:ascii="仿宋" w:hAnsi="仿宋" w:eastAsia="仿宋" w:cs="仿宋"/>
          <w:b w:val="0"/>
          <w:i w:val="0"/>
          <w:color w:val="auto"/>
          <w:sz w:val="24"/>
          <w:szCs w:val="24"/>
          <w:highlight w:val="none"/>
        </w:rPr>
        <w:t>的违约金，如</w:t>
      </w:r>
      <w:r>
        <w:rPr>
          <w:rFonts w:hint="eastAsia" w:ascii="仿宋" w:hAnsi="仿宋" w:eastAsia="仿宋" w:cs="仿宋"/>
          <w:b w:val="0"/>
          <w:i w:val="0"/>
          <w:color w:val="auto"/>
          <w:kern w:val="0"/>
          <w:sz w:val="24"/>
          <w:szCs w:val="24"/>
          <w:highlight w:val="none"/>
          <w:lang w:val="en-US" w:eastAsia="zh-CN" w:bidi="ar-SA"/>
        </w:rPr>
        <w:t>造成甲方损失超过违约金的，超出部分由乙方继续承担赔偿责任。</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十三、不可抗力事件处理</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13.1 在合同有效期内，任何一方因不可抗力事件导致不能履行合同，则合同履</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行期可延长，其延长期与不可抗力影响期相同。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13.2 不可抗力事件发生后，应立即通知对方，并寄送有关权威机构出具的证明。</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13.3 不可抗力事件延续 120 天以上，双方应通过友好协商，确定是否继续履行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合同。</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十四、诉讼</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14.1 双方在执行合同中所发生的一切争议，应通过协商解决。如协商不成，可</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向杭州市临平区人民法院起诉，根据本合同规定提起的诉讼，败诉的一方应承担胜诉方因此而发生的合理的开支，包括律师费、调查费、鉴定费、公证费、差旅费及其他相关费用。</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十五、合同生效及其它</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15.1 合同经双方法定代表人或授权委托代理人签字并加盖单位公章后生效。</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15.2 合同执行中涉及采购资金和采购内容修改或补充的，须经财政部门审批，</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并签书面补充协议报政府采购监督管理部门备案，方可作为主合同不可分割的一</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部分。</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b w:val="0"/>
          <w:i w:val="0"/>
          <w:color w:val="auto"/>
          <w:kern w:val="0"/>
          <w:sz w:val="24"/>
          <w:szCs w:val="24"/>
          <w:highlight w:val="none"/>
          <w:lang w:val="en-US" w:eastAsia="zh-CN" w:bidi="ar-SA"/>
        </w:rPr>
      </w:pPr>
      <w:r>
        <w:rPr>
          <w:rFonts w:hint="eastAsia" w:ascii="仿宋" w:hAnsi="仿宋" w:eastAsia="仿宋" w:cs="仿宋"/>
          <w:b w:val="0"/>
          <w:i w:val="0"/>
          <w:color w:val="auto"/>
          <w:kern w:val="0"/>
          <w:sz w:val="24"/>
          <w:szCs w:val="24"/>
          <w:highlight w:val="none"/>
          <w:lang w:val="en-US" w:eastAsia="zh-CN" w:bidi="ar-SA"/>
        </w:rPr>
        <w:t>15.3 本合同未尽事宜，遵照《民法典》有关条文执行。双方也可另行签订补充协议，具有同等效力。</w:t>
      </w:r>
    </w:p>
    <w:p>
      <w:pPr>
        <w:widowControl/>
        <w:wordWrap/>
        <w:adjustRightInd/>
        <w:snapToGrid/>
        <w:spacing w:line="400" w:lineRule="atLeast"/>
        <w:ind w:left="0" w:leftChars="0" w:right="0" w:firstLine="0" w:firstLineChars="0"/>
        <w:jc w:val="both"/>
        <w:textAlignment w:val="auto"/>
        <w:outlineLvl w:val="9"/>
        <w:rPr>
          <w:rFonts w:hint="eastAsia" w:ascii="仿宋" w:hAnsi="仿宋" w:eastAsia="仿宋" w:cs="仿宋"/>
          <w:color w:val="auto"/>
          <w:highlight w:val="none"/>
        </w:rPr>
      </w:pPr>
      <w:r>
        <w:rPr>
          <w:rFonts w:hint="eastAsia" w:ascii="仿宋" w:hAnsi="仿宋" w:eastAsia="仿宋" w:cs="仿宋"/>
          <w:b w:val="0"/>
          <w:i w:val="0"/>
          <w:color w:val="auto"/>
          <w:kern w:val="0"/>
          <w:sz w:val="24"/>
          <w:szCs w:val="24"/>
          <w:highlight w:val="none"/>
          <w:lang w:val="en-US" w:eastAsia="zh-CN" w:bidi="ar-SA"/>
        </w:rPr>
        <w:t xml:space="preserve">15.4 </w:t>
      </w:r>
      <w:r>
        <w:rPr>
          <w:rFonts w:hint="eastAsia" w:ascii="仿宋" w:hAnsi="仿宋" w:eastAsia="仿宋" w:cs="仿宋"/>
          <w:color w:val="auto"/>
          <w:sz w:val="24"/>
          <w:szCs w:val="24"/>
          <w:highlight w:val="none"/>
        </w:rPr>
        <w:t>本合同一式多份，具有同等法律效力，甲乙双方、鉴证方、</w:t>
      </w:r>
      <w:r>
        <w:rPr>
          <w:rFonts w:hint="eastAsia" w:ascii="仿宋" w:hAnsi="仿宋" w:eastAsia="仿宋" w:cs="仿宋"/>
          <w:color w:val="auto"/>
          <w:sz w:val="24"/>
          <w:szCs w:val="24"/>
          <w:highlight w:val="none"/>
          <w:lang w:val="en-US" w:eastAsia="zh-CN"/>
        </w:rPr>
        <w:t>临平</w:t>
      </w:r>
      <w:r>
        <w:rPr>
          <w:rFonts w:hint="eastAsia" w:ascii="仿宋" w:hAnsi="仿宋" w:eastAsia="仿宋" w:cs="仿宋"/>
          <w:color w:val="auto"/>
          <w:sz w:val="24"/>
          <w:szCs w:val="24"/>
          <w:highlight w:val="none"/>
        </w:rPr>
        <w:t>区财政局采购监管科、验收单位，各执一份</w:t>
      </w:r>
      <w:r>
        <w:rPr>
          <w:rFonts w:hint="eastAsia" w:ascii="仿宋" w:hAnsi="仿宋" w:eastAsia="仿宋" w:cs="仿宋"/>
          <w:b w:val="0"/>
          <w:i w:val="0"/>
          <w:color w:val="auto"/>
          <w:kern w:val="0"/>
          <w:sz w:val="24"/>
          <w:szCs w:val="24"/>
          <w:highlight w:val="none"/>
          <w:lang w:val="en-US" w:eastAsia="zh-CN" w:bidi="ar-SA"/>
        </w:rPr>
        <w:t>。</w:t>
      </w:r>
    </w:p>
    <w:p>
      <w:pPr>
        <w:spacing w:line="360" w:lineRule="auto"/>
        <w:ind w:firstLine="360" w:firstLineChars="150"/>
        <w:jc w:val="left"/>
        <w:rPr>
          <w:rFonts w:hint="eastAsia" w:ascii="仿宋" w:hAnsi="仿宋" w:eastAsia="仿宋" w:cs="仿宋"/>
          <w:color w:val="auto"/>
          <w:sz w:val="24"/>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甲方（盖章）：                          乙方（盖章）：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帐号：                                 帐号：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鉴证方（盖章）：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法定代表人或授权代表（签字）：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w:t>
      </w:r>
    </w:p>
    <w:p>
      <w:pPr>
        <w:spacing w:line="360" w:lineRule="auto"/>
        <w:ind w:right="12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签约时间：      年    月   日</w:t>
      </w:r>
    </w:p>
    <w:p>
      <w:pPr>
        <w:pStyle w:val="63"/>
        <w:ind w:firstLine="5280" w:firstLineChars="2200"/>
        <w:rPr>
          <w:rFonts w:hint="eastAsia" w:ascii="仿宋" w:hAnsi="仿宋" w:eastAsia="仿宋" w:cs="仿宋"/>
          <w:color w:val="auto"/>
          <w:sz w:val="24"/>
          <w:highlight w:val="none"/>
        </w:rPr>
      </w:pPr>
    </w:p>
    <w:p>
      <w:pPr>
        <w:rPr>
          <w:rFonts w:hint="eastAsia" w:ascii="仿宋" w:hAnsi="仿宋" w:eastAsia="仿宋" w:cs="仿宋"/>
          <w:color w:val="auto"/>
          <w:highlight w:val="none"/>
        </w:rPr>
      </w:pPr>
    </w:p>
    <w:p>
      <w:pPr>
        <w:spacing w:line="360" w:lineRule="auto"/>
        <w:ind w:firstLine="630" w:firstLineChars="300"/>
        <w:rPr>
          <w:rFonts w:hint="eastAsia" w:ascii="仿宋" w:hAnsi="仿宋" w:eastAsia="仿宋" w:cs="仿宋"/>
          <w:b/>
          <w:color w:val="auto"/>
          <w:highlight w:val="none"/>
        </w:rPr>
      </w:pPr>
      <w:r>
        <w:rPr>
          <w:rFonts w:hint="eastAsia" w:ascii="仿宋" w:hAnsi="仿宋" w:eastAsia="仿宋" w:cs="仿宋"/>
          <w:color w:val="auto"/>
          <w:highlight w:val="none"/>
        </w:rPr>
        <w:tab/>
      </w:r>
      <w:r>
        <w:rPr>
          <w:rFonts w:hint="eastAsia" w:ascii="仿宋" w:hAnsi="仿宋" w:eastAsia="仿宋" w:cs="仿宋"/>
          <w:b/>
          <w:bCs/>
          <w:color w:val="auto"/>
          <w:sz w:val="24"/>
          <w:highlight w:val="none"/>
        </w:rPr>
        <w:t>★ 此仅为合同书样本，中标单位需根据实际情况和采购人签订相应的合同！</w:t>
      </w:r>
    </w:p>
    <w:p>
      <w:pPr>
        <w:spacing w:line="360" w:lineRule="auto"/>
        <w:ind w:left="-420" w:leftChars="-200" w:right="-420" w:rightChars="-200"/>
        <w:rPr>
          <w:rFonts w:ascii="仿宋" w:hAnsi="仿宋" w:eastAsia="仿宋"/>
          <w:color w:val="auto"/>
          <w:sz w:val="24"/>
          <w:highlight w:val="none"/>
        </w:rPr>
      </w:pPr>
    </w:p>
    <w:p>
      <w:pPr>
        <w:spacing w:line="360" w:lineRule="auto"/>
        <w:ind w:left="-420" w:leftChars="-200" w:right="-420" w:rightChars="-200" w:firstLine="480" w:firstLineChars="200"/>
        <w:jc w:val="center"/>
        <w:outlineLvl w:val="9"/>
        <w:rPr>
          <w:rFonts w:ascii="仿宋" w:hAnsi="仿宋" w:eastAsia="仿宋"/>
          <w:color w:val="auto"/>
          <w:sz w:val="24"/>
          <w:highlight w:val="none"/>
        </w:rPr>
      </w:pPr>
    </w:p>
    <w:p>
      <w:pPr>
        <w:spacing w:line="360" w:lineRule="auto"/>
        <w:ind w:left="-420" w:leftChars="-200" w:right="-420" w:rightChars="-200" w:firstLine="480" w:firstLineChars="200"/>
        <w:jc w:val="center"/>
        <w:outlineLvl w:val="9"/>
        <w:rPr>
          <w:rFonts w:ascii="仿宋" w:hAnsi="仿宋" w:eastAsia="仿宋"/>
          <w:color w:val="auto"/>
          <w:sz w:val="24"/>
          <w:highlight w:val="none"/>
        </w:rPr>
      </w:pPr>
    </w:p>
    <w:p>
      <w:pPr>
        <w:spacing w:line="360" w:lineRule="auto"/>
        <w:ind w:left="720" w:firstLine="1084" w:firstLineChars="300"/>
        <w:outlineLvl w:val="9"/>
        <w:rPr>
          <w:rFonts w:hint="eastAsia" w:ascii="仿宋" w:hAnsi="仿宋" w:eastAsia="仿宋" w:cs="仿宋_GB2312"/>
          <w:b/>
          <w:color w:val="auto"/>
          <w:sz w:val="36"/>
          <w:szCs w:val="20"/>
          <w:highlight w:val="none"/>
        </w:rPr>
      </w:pPr>
    </w:p>
    <w:p>
      <w:pPr>
        <w:spacing w:line="360" w:lineRule="auto"/>
        <w:ind w:left="720" w:firstLine="1084" w:firstLineChars="300"/>
        <w:outlineLvl w:val="9"/>
        <w:rPr>
          <w:rFonts w:hint="eastAsia" w:ascii="仿宋" w:hAnsi="仿宋" w:eastAsia="仿宋" w:cs="仿宋_GB2312"/>
          <w:b/>
          <w:color w:val="auto"/>
          <w:sz w:val="36"/>
          <w:szCs w:val="20"/>
          <w:highlight w:val="none"/>
        </w:rPr>
      </w:pPr>
    </w:p>
    <w:p>
      <w:pPr>
        <w:spacing w:line="360" w:lineRule="auto"/>
        <w:ind w:left="720" w:firstLine="1084" w:firstLineChars="300"/>
        <w:outlineLvl w:val="9"/>
        <w:rPr>
          <w:rFonts w:hint="eastAsia" w:ascii="仿宋" w:hAnsi="仿宋" w:eastAsia="仿宋" w:cs="仿宋_GB2312"/>
          <w:b/>
          <w:color w:val="auto"/>
          <w:sz w:val="36"/>
          <w:szCs w:val="20"/>
          <w:highlight w:val="none"/>
        </w:rPr>
      </w:pPr>
    </w:p>
    <w:p>
      <w:pPr>
        <w:rPr>
          <w:rFonts w:hint="eastAsia"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br w:type="page"/>
      </w:r>
    </w:p>
    <w:p>
      <w:pPr>
        <w:spacing w:line="360" w:lineRule="auto"/>
        <w:ind w:left="720" w:firstLine="1084" w:firstLineChars="3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92"/>
      <w:r>
        <w:rPr>
          <w:rFonts w:ascii="仿宋" w:hAnsi="仿宋" w:eastAsia="仿宋" w:cs="仿宋_GB2312"/>
          <w:b/>
          <w:color w:val="auto"/>
          <w:sz w:val="36"/>
          <w:szCs w:val="20"/>
          <w:highlight w:val="none"/>
        </w:rPr>
        <w:t xml:space="preserve"> </w:t>
      </w:r>
      <w:bookmarkEnd w:id="393"/>
      <w:r>
        <w:rPr>
          <w:rFonts w:hint="eastAsia" w:ascii="仿宋" w:hAnsi="仿宋" w:eastAsia="仿宋" w:cs="仿宋_GB2312"/>
          <w:b/>
          <w:color w:val="auto"/>
          <w:sz w:val="36"/>
          <w:szCs w:val="20"/>
          <w:highlight w:val="none"/>
        </w:rPr>
        <w:t>应提交的有关格式范例</w:t>
      </w:r>
    </w:p>
    <w:p>
      <w:pPr>
        <w:spacing w:line="360" w:lineRule="auto"/>
        <w:jc w:val="center"/>
        <w:outlineLvl w:val="9"/>
        <w:rPr>
          <w:rFonts w:ascii="仿宋_GB2312" w:hAnsi="仿宋" w:eastAsia="仿宋_GB2312" w:cs="仿宋_GB2312"/>
          <w:b/>
          <w:color w:val="auto"/>
          <w:kern w:val="0"/>
          <w:sz w:val="36"/>
          <w:szCs w:val="36"/>
          <w:highlight w:val="none"/>
        </w:rPr>
      </w:pPr>
    </w:p>
    <w:p>
      <w:pPr>
        <w:spacing w:line="360" w:lineRule="auto"/>
        <w:jc w:val="center"/>
        <w:outlineLvl w:val="1"/>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9"/>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9"/>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outlineLvl w:val="2"/>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bCs/>
          <w:color w:val="auto"/>
          <w:sz w:val="24"/>
          <w:highlight w:val="none"/>
          <w:lang w:val="en-US" w:eastAsia="zh-CN"/>
        </w:rPr>
        <w:t>杭州市临平区人民政府乔司街道办事处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浙江新诚信工程咨询有限公司</w:t>
      </w:r>
      <w:r>
        <w:rPr>
          <w:rFonts w:hint="eastAsia" w:ascii="仿宋" w:hAnsi="仿宋" w:eastAsia="仿宋" w:cs="仿宋"/>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u w:val="single"/>
        </w:rPr>
        <w:t>招标编号：</w:t>
      </w:r>
      <w:r>
        <w:rPr>
          <w:rFonts w:hint="eastAsia" w:ascii="仿宋_GB2312" w:hAnsi="仿宋" w:eastAsia="仿宋_GB2312"/>
          <w:color w:val="auto"/>
          <w:sz w:val="24"/>
          <w:highlight w:val="none"/>
          <w:u w:val="singl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outlineLvl w:val="2"/>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tabs>
          <w:tab w:val="left" w:pos="432"/>
        </w:tabs>
        <w:ind w:left="664" w:leftChars="316" w:firstLine="228" w:firstLineChars="95"/>
        <w:outlineLvl w:val="9"/>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widowControl/>
        <w:spacing w:line="360" w:lineRule="auto"/>
        <w:ind w:left="150"/>
        <w:jc w:val="center"/>
        <w:outlineLvl w:val="2"/>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9"/>
        <w:rPr>
          <w:rFonts w:ascii="仿宋_GB2312" w:hAnsi="仿宋" w:eastAsia="仿宋_GB2312" w:cs="仿宋_GB2312"/>
          <w:b/>
          <w:color w:val="auto"/>
          <w:kern w:val="0"/>
          <w:sz w:val="36"/>
          <w:szCs w:val="36"/>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pacing w:line="360" w:lineRule="auto"/>
        <w:jc w:val="center"/>
        <w:outlineLvl w:val="9"/>
        <w:rPr>
          <w:rFonts w:ascii="仿宋_GB2312" w:hAnsi="仿宋" w:eastAsia="仿宋_GB2312" w:cs="仿宋_GB2312"/>
          <w:b/>
          <w:color w:val="auto"/>
          <w:kern w:val="0"/>
          <w:sz w:val="36"/>
          <w:szCs w:val="36"/>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pacing w:line="360" w:lineRule="auto"/>
        <w:jc w:val="center"/>
        <w:outlineLvl w:val="9"/>
        <w:rPr>
          <w:rFonts w:ascii="仿宋_GB2312" w:hAnsi="仿宋" w:eastAsia="仿宋_GB2312" w:cs="仿宋_GB2312"/>
          <w:b/>
          <w:color w:val="auto"/>
          <w:kern w:val="0"/>
          <w:sz w:val="36"/>
          <w:szCs w:val="36"/>
          <w:highlight w:val="none"/>
        </w:rPr>
      </w:pPr>
    </w:p>
    <w:p>
      <w:pPr>
        <w:rPr>
          <w:rFonts w:hint="eastAsia"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br w:type="page"/>
      </w:r>
    </w:p>
    <w:p>
      <w:pPr>
        <w:spacing w:line="360" w:lineRule="auto"/>
        <w:ind w:right="420" w:firstLine="3614" w:firstLineChars="1000"/>
        <w:outlineLvl w:val="1"/>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9"/>
        <w:rPr>
          <w:rFonts w:ascii="仿宋_GB2312" w:hAnsi="仿宋" w:eastAsia="仿宋_GB2312" w:cs="仿宋_GB2312"/>
          <w:b/>
          <w:color w:val="auto"/>
          <w:kern w:val="0"/>
          <w:sz w:val="24"/>
          <w:highlight w:val="none"/>
        </w:rPr>
      </w:pPr>
    </w:p>
    <w:p>
      <w:pPr>
        <w:spacing w:line="360" w:lineRule="auto"/>
        <w:jc w:val="center"/>
        <w:outlineLvl w:val="9"/>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jc w:val="center"/>
        <w:outlineLvl w:val="9"/>
        <w:rPr>
          <w:rFonts w:ascii="仿宋_GB2312" w:hAnsi="仿宋" w:eastAsia="仿宋_GB2312" w:cs="仿宋_GB2312"/>
          <w:b/>
          <w:color w:val="auto"/>
          <w:kern w:val="0"/>
          <w:sz w:val="32"/>
          <w:szCs w:val="32"/>
          <w:highlight w:val="none"/>
          <w:lang w:val="zh-CN"/>
        </w:rPr>
      </w:pPr>
    </w:p>
    <w:p>
      <w:pPr>
        <w:snapToGrid w:val="0"/>
        <w:spacing w:line="360" w:lineRule="auto"/>
        <w:jc w:val="center"/>
        <w:outlineLvl w:val="9"/>
        <w:rPr>
          <w:rFonts w:ascii="仿宋_GB2312" w:hAnsi="仿宋" w:eastAsia="仿宋_GB2312" w:cs="仿宋_GB2312"/>
          <w:b/>
          <w:color w:val="auto"/>
          <w:kern w:val="0"/>
          <w:sz w:val="32"/>
          <w:szCs w:val="32"/>
          <w:highlight w:val="none"/>
          <w:lang w:val="zh-CN"/>
        </w:rPr>
      </w:pPr>
    </w:p>
    <w:p>
      <w:pPr>
        <w:snapToGrid w:val="0"/>
        <w:spacing w:line="360" w:lineRule="auto"/>
        <w:jc w:val="center"/>
        <w:outlineLvl w:val="9"/>
        <w:rPr>
          <w:rFonts w:ascii="仿宋_GB2312" w:hAnsi="仿宋" w:eastAsia="仿宋_GB2312" w:cs="仿宋_GB2312"/>
          <w:b/>
          <w:color w:val="auto"/>
          <w:kern w:val="0"/>
          <w:sz w:val="32"/>
          <w:szCs w:val="32"/>
          <w:highlight w:val="none"/>
          <w:lang w:val="zh-CN"/>
        </w:rPr>
      </w:pPr>
    </w:p>
    <w:p>
      <w:pPr>
        <w:snapToGrid w:val="0"/>
        <w:spacing w:line="360" w:lineRule="auto"/>
        <w:jc w:val="center"/>
        <w:outlineLvl w:val="9"/>
        <w:rPr>
          <w:rFonts w:ascii="仿宋_GB2312" w:hAnsi="仿宋" w:eastAsia="仿宋_GB2312" w:cs="仿宋_GB2312"/>
          <w:b/>
          <w:color w:val="auto"/>
          <w:kern w:val="0"/>
          <w:sz w:val="32"/>
          <w:szCs w:val="32"/>
          <w:highlight w:val="none"/>
          <w:lang w:val="zh-CN"/>
        </w:rPr>
      </w:pPr>
    </w:p>
    <w:p>
      <w:pPr>
        <w:snapToGrid w:val="0"/>
        <w:spacing w:line="360" w:lineRule="auto"/>
        <w:jc w:val="center"/>
        <w:outlineLvl w:val="9"/>
        <w:rPr>
          <w:rFonts w:ascii="仿宋_GB2312" w:hAnsi="仿宋" w:eastAsia="仿宋_GB2312" w:cs="仿宋_GB2312"/>
          <w:b/>
          <w:color w:val="auto"/>
          <w:kern w:val="0"/>
          <w:sz w:val="32"/>
          <w:szCs w:val="32"/>
          <w:highlight w:val="none"/>
          <w:lang w:val="zh-CN"/>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outlineLvl w:val="9"/>
        <w:rPr>
          <w:color w:val="auto"/>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9"/>
        <w:rPr>
          <w:rFonts w:ascii="仿宋_GB2312" w:hAnsi="仿宋" w:eastAsia="仿宋_GB2312" w:cs="仿宋_GB2312"/>
          <w:b/>
          <w:color w:val="auto"/>
          <w:kern w:val="0"/>
          <w:sz w:val="32"/>
          <w:szCs w:val="32"/>
          <w:highlight w:val="none"/>
        </w:rPr>
      </w:pPr>
    </w:p>
    <w:p>
      <w:pPr>
        <w:snapToGrid w:val="0"/>
        <w:spacing w:line="360" w:lineRule="auto"/>
        <w:jc w:val="center"/>
        <w:outlineLvl w:val="2"/>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 w:hAnsi="仿宋" w:eastAsia="仿宋" w:cs="仿宋"/>
          <w:bCs/>
          <w:color w:val="auto"/>
          <w:sz w:val="24"/>
          <w:highlight w:val="none"/>
          <w:lang w:val="en-US" w:eastAsia="zh-CN"/>
        </w:rPr>
        <w:t>杭州市临平区人民政府乔司街道办事处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浙江新诚信工程咨询有限公司</w:t>
      </w:r>
      <w:r>
        <w:rPr>
          <w:rFonts w:hint="eastAsia"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u w:val="single"/>
        </w:rPr>
        <w:t>招标编号：</w:t>
      </w:r>
      <w:r>
        <w:rPr>
          <w:rFonts w:hint="eastAsia" w:ascii="仿宋_GB2312" w:hAnsi="仿宋" w:eastAsia="仿宋_GB2312"/>
          <w:color w:val="auto"/>
          <w:sz w:val="24"/>
          <w:highlight w:val="none"/>
          <w:u w:val="single"/>
        </w:rPr>
        <w:t>（采购编号）</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outlineLvl w:val="2"/>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
          <w:bCs/>
          <w:color w:val="auto"/>
          <w:sz w:val="24"/>
          <w:highlight w:val="none"/>
          <w:lang w:val="en-US" w:eastAsia="zh-CN"/>
        </w:rPr>
        <w:t>杭州市临平区人民政府乔司街道办事处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浙江新诚信工程咨询有限公司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
          <w:bCs/>
          <w:color w:val="auto"/>
          <w:sz w:val="24"/>
          <w:highlight w:val="none"/>
          <w:lang w:val="en-US" w:eastAsia="zh-CN"/>
        </w:rPr>
        <w:t>杭州市临平区人民政府乔司街道办事处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浙江新诚信工程咨询有限公司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outlineLvl w:val="2"/>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92"/>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2"/>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92"/>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outlineLvl w:val="2"/>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10" w:type="first"/>
          <w:footerReference r:id="rId12" w:type="first"/>
          <w:headerReference r:id="rId9" w:type="default"/>
          <w:footerReference r:id="rId11"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tabs>
          <w:tab w:val="left" w:pos="432"/>
        </w:tabs>
        <w:ind w:left="664" w:leftChars="316" w:firstLine="228" w:firstLineChars="95"/>
        <w:outlineLvl w:val="9"/>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outlineLvl w:val="2"/>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1</w:t>
            </w:r>
          </w:p>
        </w:tc>
        <w:tc>
          <w:tcPr>
            <w:tcW w:w="4991" w:type="dxa"/>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3"/>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3</w:t>
            </w:r>
          </w:p>
        </w:tc>
        <w:tc>
          <w:tcPr>
            <w:tcW w:w="4991" w:type="dxa"/>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4</w:t>
            </w:r>
          </w:p>
        </w:tc>
        <w:tc>
          <w:tcPr>
            <w:tcW w:w="4991" w:type="dxa"/>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outlineLvl w:val="2"/>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outlineLvl w:val="3"/>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1911" w:firstLineChars="595"/>
        <w:outlineLvl w:val="3"/>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
          <w:bCs/>
          <w:color w:val="auto"/>
          <w:sz w:val="24"/>
          <w:highlight w:val="none"/>
          <w:lang w:val="en-US" w:eastAsia="zh-CN"/>
        </w:rPr>
        <w:t>杭州市临平区人民政府乔司街道办事处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浙江新诚信工程咨询有限公司</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1"/>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9"/>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9"/>
        <w:rPr>
          <w:rFonts w:ascii="仿宋_GB2312" w:hAnsi="仿宋" w:eastAsia="仿宋_GB2312" w:cs="仿宋_GB2312"/>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）中小企业声明函………………………………………………………………（页码）</w:t>
      </w:r>
    </w:p>
    <w:p>
      <w:pPr>
        <w:tabs>
          <w:tab w:val="left" w:pos="432"/>
        </w:tabs>
        <w:outlineLvl w:val="9"/>
        <w:rPr>
          <w:color w:val="auto"/>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snapToGrid w:val="0"/>
        <w:spacing w:line="360" w:lineRule="auto"/>
        <w:ind w:right="480"/>
        <w:jc w:val="center"/>
        <w:outlineLvl w:val="9"/>
        <w:rPr>
          <w:rFonts w:ascii="仿宋_GB2312" w:hAnsi="仿宋" w:eastAsia="仿宋_GB2312" w:cs="仿宋_GB2312"/>
          <w:b/>
          <w:color w:val="auto"/>
          <w:kern w:val="0"/>
          <w:sz w:val="32"/>
          <w:szCs w:val="32"/>
          <w:highlight w:val="none"/>
        </w:rPr>
      </w:pPr>
    </w:p>
    <w:p>
      <w:pPr>
        <w:pStyle w:val="38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80"/>
        <w:tabs>
          <w:tab w:val="clear" w:pos="720"/>
        </w:tabs>
        <w:snapToGrid w:val="0"/>
        <w:spacing w:before="120" w:after="120"/>
        <w:ind w:firstLine="643"/>
        <w:outlineLvl w:val="2"/>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w:t>
      </w:r>
    </w:p>
    <w:p>
      <w:pPr>
        <w:snapToGrid w:val="0"/>
        <w:spacing w:line="360" w:lineRule="auto"/>
        <w:rPr>
          <w:rFonts w:ascii="仿宋_GB2312" w:hAnsi="仿宋" w:eastAsia="仿宋_GB2312" w:cs="仿宋_GB2312"/>
          <w:color w:val="auto"/>
          <w:kern w:val="0"/>
          <w:sz w:val="24"/>
          <w:highlight w:val="none"/>
        </w:rPr>
      </w:pPr>
      <w:r>
        <w:rPr>
          <w:rFonts w:hint="eastAsia" w:ascii="仿宋" w:hAnsi="仿宋" w:eastAsia="仿宋" w:cs="仿宋"/>
          <w:bCs/>
          <w:color w:val="auto"/>
          <w:sz w:val="24"/>
          <w:highlight w:val="none"/>
          <w:lang w:val="en-US" w:eastAsia="zh-CN"/>
        </w:rPr>
        <w:t>杭州市临平区人民政府乔司街道办事处</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浙江新诚信工程咨询有限公司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u w:val="singl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4"/>
        <w:tblW w:w="144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7"/>
        <w:gridCol w:w="2108"/>
        <w:gridCol w:w="2693"/>
        <w:gridCol w:w="2068"/>
        <w:gridCol w:w="1385"/>
        <w:gridCol w:w="2196"/>
        <w:gridCol w:w="2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项目</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rPr>
              <w:t>服务期</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lef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rPr>
              <w:t>投标报价（元/年）</w:t>
            </w:r>
          </w:p>
        </w:tc>
        <w:tc>
          <w:tcPr>
            <w:tcW w:w="2196" w:type="dxa"/>
            <w:tcBorders>
              <w:top w:val="single" w:color="000000" w:sz="4" w:space="0"/>
              <w:left w:val="single" w:color="000000" w:sz="4" w:space="0"/>
              <w:right w:val="single" w:color="000000" w:sz="4" w:space="0"/>
            </w:tcBorders>
            <w:shd w:val="clear" w:color="auto" w:fill="auto"/>
            <w:vAlign w:val="center"/>
          </w:tcPr>
          <w:p>
            <w:pPr>
              <w:spacing w:line="240" w:lineRule="auto"/>
              <w:ind w:left="0" w:lef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eastAsia="zh-CN"/>
              </w:rPr>
              <w:t>投标</w:t>
            </w:r>
            <w:r>
              <w:rPr>
                <w:rFonts w:hint="eastAsia" w:ascii="仿宋" w:hAnsi="仿宋" w:eastAsia="仿宋" w:cs="仿宋"/>
                <w:color w:val="auto"/>
                <w:kern w:val="2"/>
                <w:sz w:val="21"/>
                <w:szCs w:val="21"/>
                <w:highlight w:val="none"/>
                <w:lang w:val="en-US" w:eastAsia="zh-CN"/>
              </w:rPr>
              <w:t>总</w:t>
            </w:r>
            <w:r>
              <w:rPr>
                <w:rFonts w:hint="eastAsia" w:ascii="仿宋" w:hAnsi="仿宋" w:eastAsia="仿宋" w:cs="仿宋"/>
                <w:color w:val="auto"/>
                <w:kern w:val="2"/>
                <w:sz w:val="21"/>
                <w:szCs w:val="21"/>
                <w:highlight w:val="none"/>
                <w:lang w:eastAsia="zh-CN"/>
              </w:rPr>
              <w:t>报价（</w:t>
            </w:r>
            <w:r>
              <w:rPr>
                <w:rFonts w:hint="eastAsia" w:ascii="仿宋" w:hAnsi="仿宋" w:eastAsia="仿宋" w:cs="仿宋"/>
                <w:color w:val="auto"/>
                <w:kern w:val="2"/>
                <w:sz w:val="21"/>
                <w:szCs w:val="21"/>
                <w:highlight w:val="none"/>
                <w:lang w:val="en-US" w:eastAsia="zh-CN"/>
              </w:rPr>
              <w:t>元）</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2"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道路保洁费</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日常保洁人员工资</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2年</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color w:val="auto"/>
                <w:kern w:val="2"/>
                <w:sz w:val="21"/>
                <w:szCs w:val="21"/>
                <w:highlight w:val="none"/>
                <w:lang w:val="zh-CN"/>
              </w:rPr>
              <w:t>人员不得少于</w:t>
            </w:r>
            <w:r>
              <w:rPr>
                <w:rFonts w:hint="eastAsia" w:ascii="仿宋" w:hAnsi="仿宋" w:eastAsia="仿宋" w:cs="仿宋"/>
                <w:b/>
                <w:bCs/>
                <w:color w:val="auto"/>
                <w:kern w:val="2"/>
                <w:sz w:val="21"/>
                <w:szCs w:val="21"/>
                <w:highlight w:val="none"/>
                <w:lang w:val="en-US" w:eastAsia="zh-CN"/>
              </w:rPr>
              <w:t>130</w:t>
            </w:r>
            <w:r>
              <w:rPr>
                <w:rFonts w:hint="eastAsia" w:ascii="仿宋" w:hAnsi="仿宋" w:eastAsia="仿宋" w:cs="仿宋"/>
                <w:b/>
                <w:bCs/>
                <w:color w:val="auto"/>
                <w:kern w:val="2"/>
                <w:sz w:val="21"/>
                <w:szCs w:val="21"/>
                <w:highlight w:val="none"/>
                <w:lang w:val="zh-CN"/>
              </w:rPr>
              <w:t xml:space="preserve">人，人员工资不得低于杭州市最低工资标，服务期 </w:t>
            </w:r>
            <w:r>
              <w:rPr>
                <w:rFonts w:hint="eastAsia" w:ascii="仿宋" w:hAnsi="仿宋" w:eastAsia="仿宋" w:cs="仿宋"/>
                <w:b/>
                <w:bCs/>
                <w:color w:val="auto"/>
                <w:kern w:val="2"/>
                <w:sz w:val="21"/>
                <w:szCs w:val="21"/>
                <w:highlight w:val="none"/>
                <w:lang w:val="en-US" w:eastAsia="zh-CN"/>
              </w:rPr>
              <w:t>2</w:t>
            </w:r>
            <w:r>
              <w:rPr>
                <w:rFonts w:hint="eastAsia" w:ascii="仿宋" w:hAnsi="仿宋" w:eastAsia="仿宋" w:cs="仿宋"/>
                <w:b/>
                <w:bCs/>
                <w:color w:val="auto"/>
                <w:kern w:val="2"/>
                <w:sz w:val="21"/>
                <w:szCs w:val="21"/>
                <w:highlight w:val="none"/>
                <w:lang w:val="zh-CN"/>
              </w:rPr>
              <w:t xml:space="preserve">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7"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绿化养护</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日常保洁人员工资</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2年</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color w:val="auto"/>
                <w:kern w:val="2"/>
                <w:sz w:val="21"/>
                <w:szCs w:val="21"/>
                <w:highlight w:val="none"/>
                <w:lang w:val="zh-CN"/>
              </w:rPr>
              <w:t>人员不得少于</w:t>
            </w:r>
            <w:r>
              <w:rPr>
                <w:rFonts w:hint="eastAsia" w:ascii="仿宋" w:hAnsi="仿宋" w:eastAsia="仿宋" w:cs="仿宋"/>
                <w:b/>
                <w:bCs/>
                <w:color w:val="auto"/>
                <w:kern w:val="2"/>
                <w:sz w:val="21"/>
                <w:szCs w:val="21"/>
                <w:highlight w:val="none"/>
                <w:lang w:val="en-US" w:eastAsia="zh-CN"/>
              </w:rPr>
              <w:t>8</w:t>
            </w:r>
            <w:r>
              <w:rPr>
                <w:rFonts w:hint="eastAsia" w:ascii="仿宋" w:hAnsi="仿宋" w:eastAsia="仿宋" w:cs="仿宋"/>
                <w:b/>
                <w:bCs/>
                <w:color w:val="auto"/>
                <w:kern w:val="2"/>
                <w:sz w:val="21"/>
                <w:szCs w:val="21"/>
                <w:highlight w:val="none"/>
                <w:lang w:val="zh-CN"/>
              </w:rPr>
              <w:t xml:space="preserve">人，人员工资不得低于杭州市最低工资标，服务期 </w:t>
            </w:r>
            <w:r>
              <w:rPr>
                <w:rFonts w:hint="eastAsia" w:ascii="仿宋" w:hAnsi="仿宋" w:eastAsia="仿宋" w:cs="仿宋"/>
                <w:b/>
                <w:bCs/>
                <w:color w:val="auto"/>
                <w:kern w:val="2"/>
                <w:sz w:val="21"/>
                <w:szCs w:val="21"/>
                <w:highlight w:val="none"/>
                <w:lang w:val="en-US" w:eastAsia="zh-CN"/>
              </w:rPr>
              <w:t>2</w:t>
            </w:r>
            <w:r>
              <w:rPr>
                <w:rFonts w:hint="eastAsia" w:ascii="仿宋" w:hAnsi="仿宋" w:eastAsia="仿宋" w:cs="仿宋"/>
                <w:b/>
                <w:bCs/>
                <w:color w:val="auto"/>
                <w:kern w:val="2"/>
                <w:sz w:val="21"/>
                <w:szCs w:val="21"/>
                <w:highlight w:val="none"/>
                <w:lang w:val="zh-CN"/>
              </w:rPr>
              <w:t xml:space="preserve">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2"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公厕保洁</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日常保洁人员工资</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2年</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color w:val="auto"/>
                <w:kern w:val="2"/>
                <w:sz w:val="21"/>
                <w:szCs w:val="21"/>
                <w:highlight w:val="none"/>
                <w:lang w:val="zh-CN"/>
              </w:rPr>
              <w:t>人员不得少于</w:t>
            </w:r>
            <w:r>
              <w:rPr>
                <w:rFonts w:hint="eastAsia" w:ascii="仿宋" w:hAnsi="仿宋" w:eastAsia="仿宋" w:cs="仿宋"/>
                <w:b/>
                <w:bCs/>
                <w:color w:val="auto"/>
                <w:kern w:val="2"/>
                <w:sz w:val="21"/>
                <w:szCs w:val="21"/>
                <w:highlight w:val="none"/>
                <w:lang w:val="en-US" w:eastAsia="zh-CN"/>
              </w:rPr>
              <w:t>15</w:t>
            </w:r>
            <w:r>
              <w:rPr>
                <w:rFonts w:hint="eastAsia" w:ascii="仿宋" w:hAnsi="仿宋" w:eastAsia="仿宋" w:cs="仿宋"/>
                <w:b/>
                <w:bCs/>
                <w:color w:val="auto"/>
                <w:kern w:val="2"/>
                <w:sz w:val="21"/>
                <w:szCs w:val="21"/>
                <w:highlight w:val="none"/>
                <w:lang w:val="zh-CN"/>
              </w:rPr>
              <w:t xml:space="preserve">人，人员工资不得低于杭州市最低工资标，服务期 </w:t>
            </w:r>
            <w:r>
              <w:rPr>
                <w:rFonts w:hint="eastAsia" w:ascii="仿宋" w:hAnsi="仿宋" w:eastAsia="仿宋" w:cs="仿宋"/>
                <w:b/>
                <w:bCs/>
                <w:color w:val="auto"/>
                <w:kern w:val="2"/>
                <w:sz w:val="21"/>
                <w:szCs w:val="21"/>
                <w:highlight w:val="none"/>
                <w:lang w:val="en-US" w:eastAsia="zh-CN"/>
              </w:rPr>
              <w:t>2</w:t>
            </w:r>
            <w:r>
              <w:rPr>
                <w:rFonts w:hint="eastAsia" w:ascii="仿宋" w:hAnsi="仿宋" w:eastAsia="仿宋" w:cs="仿宋"/>
                <w:b/>
                <w:bCs/>
                <w:color w:val="auto"/>
                <w:kern w:val="2"/>
                <w:sz w:val="21"/>
                <w:szCs w:val="21"/>
                <w:highlight w:val="none"/>
                <w:lang w:val="zh-CN"/>
              </w:rPr>
              <w:t xml:space="preserve">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7"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商户垃圾运输（音乐线，含生鲜专运）</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日常保洁人员工资</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2年</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color w:val="auto"/>
                <w:kern w:val="2"/>
                <w:sz w:val="21"/>
                <w:szCs w:val="21"/>
                <w:highlight w:val="none"/>
                <w:lang w:val="zh-CN"/>
              </w:rPr>
              <w:t>人员不得少于</w:t>
            </w:r>
            <w:r>
              <w:rPr>
                <w:rFonts w:hint="eastAsia" w:ascii="仿宋" w:hAnsi="仿宋" w:eastAsia="仿宋" w:cs="仿宋"/>
                <w:b/>
                <w:bCs/>
                <w:color w:val="auto"/>
                <w:kern w:val="2"/>
                <w:sz w:val="21"/>
                <w:szCs w:val="21"/>
                <w:highlight w:val="none"/>
                <w:lang w:val="en-US" w:eastAsia="zh-CN"/>
              </w:rPr>
              <w:t>4</w:t>
            </w:r>
            <w:r>
              <w:rPr>
                <w:rFonts w:hint="eastAsia" w:ascii="仿宋" w:hAnsi="仿宋" w:eastAsia="仿宋" w:cs="仿宋"/>
                <w:b/>
                <w:bCs/>
                <w:color w:val="auto"/>
                <w:kern w:val="2"/>
                <w:sz w:val="21"/>
                <w:szCs w:val="21"/>
                <w:highlight w:val="none"/>
                <w:lang w:val="zh-CN"/>
              </w:rPr>
              <w:t xml:space="preserve">人，人员工资不得低于杭州市最低工资标，服务期 </w:t>
            </w:r>
            <w:r>
              <w:rPr>
                <w:rFonts w:hint="eastAsia" w:ascii="仿宋" w:hAnsi="仿宋" w:eastAsia="仿宋" w:cs="仿宋"/>
                <w:b/>
                <w:bCs/>
                <w:color w:val="auto"/>
                <w:kern w:val="2"/>
                <w:sz w:val="21"/>
                <w:szCs w:val="21"/>
                <w:highlight w:val="none"/>
                <w:lang w:val="en-US" w:eastAsia="zh-CN"/>
              </w:rPr>
              <w:t>2</w:t>
            </w:r>
            <w:r>
              <w:rPr>
                <w:rFonts w:hint="eastAsia" w:ascii="仿宋" w:hAnsi="仿宋" w:eastAsia="仿宋" w:cs="仿宋"/>
                <w:b/>
                <w:bCs/>
                <w:color w:val="auto"/>
                <w:kern w:val="2"/>
                <w:sz w:val="21"/>
                <w:szCs w:val="21"/>
                <w:highlight w:val="none"/>
                <w:lang w:val="zh-CN"/>
              </w:rPr>
              <w:t xml:space="preserve">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7"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牛皮癣清理</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日常保洁人员工资</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2年</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color w:val="auto"/>
                <w:kern w:val="2"/>
                <w:sz w:val="21"/>
                <w:szCs w:val="21"/>
                <w:highlight w:val="none"/>
                <w:lang w:val="zh-CN"/>
              </w:rPr>
              <w:t>人员不得少于</w:t>
            </w:r>
            <w:r>
              <w:rPr>
                <w:rFonts w:hint="eastAsia" w:ascii="仿宋" w:hAnsi="仿宋" w:eastAsia="仿宋" w:cs="仿宋"/>
                <w:b/>
                <w:bCs/>
                <w:color w:val="auto"/>
                <w:kern w:val="2"/>
                <w:sz w:val="21"/>
                <w:szCs w:val="21"/>
                <w:highlight w:val="none"/>
                <w:lang w:val="en-US" w:eastAsia="zh-CN"/>
              </w:rPr>
              <w:t>7</w:t>
            </w:r>
            <w:r>
              <w:rPr>
                <w:rFonts w:hint="eastAsia" w:ascii="仿宋" w:hAnsi="仿宋" w:eastAsia="仿宋" w:cs="仿宋"/>
                <w:b/>
                <w:bCs/>
                <w:color w:val="auto"/>
                <w:kern w:val="2"/>
                <w:sz w:val="21"/>
                <w:szCs w:val="21"/>
                <w:highlight w:val="none"/>
                <w:lang w:val="zh-CN"/>
              </w:rPr>
              <w:t xml:space="preserve">人，人员工资不得低于杭州市最低工资标，服务期 </w:t>
            </w:r>
            <w:r>
              <w:rPr>
                <w:rFonts w:hint="eastAsia" w:ascii="仿宋" w:hAnsi="仿宋" w:eastAsia="仿宋" w:cs="仿宋"/>
                <w:b/>
                <w:bCs/>
                <w:color w:val="auto"/>
                <w:kern w:val="2"/>
                <w:sz w:val="21"/>
                <w:szCs w:val="21"/>
                <w:highlight w:val="none"/>
                <w:lang w:val="en-US" w:eastAsia="zh-CN"/>
              </w:rPr>
              <w:t>2</w:t>
            </w:r>
            <w:r>
              <w:rPr>
                <w:rFonts w:hint="eastAsia" w:ascii="仿宋" w:hAnsi="仿宋" w:eastAsia="仿宋" w:cs="仿宋"/>
                <w:b/>
                <w:bCs/>
                <w:color w:val="auto"/>
                <w:kern w:val="2"/>
                <w:sz w:val="21"/>
                <w:szCs w:val="21"/>
                <w:highlight w:val="none"/>
                <w:lang w:val="zh-CN"/>
              </w:rPr>
              <w:t xml:space="preserve">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集镇生鲜</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日常保洁人员工资</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2年</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color w:val="auto"/>
                <w:kern w:val="2"/>
                <w:sz w:val="21"/>
                <w:szCs w:val="21"/>
                <w:highlight w:val="none"/>
                <w:lang w:val="zh-CN"/>
              </w:rPr>
              <w:t>人员不得少于</w:t>
            </w:r>
            <w:r>
              <w:rPr>
                <w:rFonts w:hint="eastAsia" w:ascii="仿宋" w:hAnsi="仿宋" w:eastAsia="仿宋" w:cs="仿宋"/>
                <w:b/>
                <w:bCs/>
                <w:color w:val="auto"/>
                <w:kern w:val="2"/>
                <w:sz w:val="21"/>
                <w:szCs w:val="21"/>
                <w:highlight w:val="none"/>
                <w:lang w:val="en-US" w:eastAsia="zh-CN"/>
              </w:rPr>
              <w:t>7</w:t>
            </w:r>
            <w:r>
              <w:rPr>
                <w:rFonts w:hint="eastAsia" w:ascii="仿宋" w:hAnsi="仿宋" w:eastAsia="仿宋" w:cs="仿宋"/>
                <w:b/>
                <w:bCs/>
                <w:color w:val="auto"/>
                <w:kern w:val="2"/>
                <w:sz w:val="21"/>
                <w:szCs w:val="21"/>
                <w:highlight w:val="none"/>
                <w:lang w:val="zh-CN"/>
              </w:rPr>
              <w:t xml:space="preserve">人，人员工资不得低于杭州市最低工资标，服务期 </w:t>
            </w:r>
            <w:r>
              <w:rPr>
                <w:rFonts w:hint="eastAsia" w:ascii="仿宋" w:hAnsi="仿宋" w:eastAsia="仿宋" w:cs="仿宋"/>
                <w:b/>
                <w:bCs/>
                <w:color w:val="auto"/>
                <w:kern w:val="2"/>
                <w:sz w:val="21"/>
                <w:szCs w:val="21"/>
                <w:highlight w:val="none"/>
                <w:lang w:val="en-US" w:eastAsia="zh-CN"/>
              </w:rPr>
              <w:t>2</w:t>
            </w:r>
            <w:r>
              <w:rPr>
                <w:rFonts w:hint="eastAsia" w:ascii="仿宋" w:hAnsi="仿宋" w:eastAsia="仿宋" w:cs="仿宋"/>
                <w:b/>
                <w:bCs/>
                <w:color w:val="auto"/>
                <w:kern w:val="2"/>
                <w:sz w:val="21"/>
                <w:szCs w:val="21"/>
                <w:highlight w:val="none"/>
                <w:lang w:val="zh-CN"/>
              </w:rPr>
              <w:t xml:space="preserve">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7"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老旧小区</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日常保洁人员工资</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2年</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color w:val="auto"/>
                <w:kern w:val="2"/>
                <w:sz w:val="21"/>
                <w:szCs w:val="21"/>
                <w:highlight w:val="none"/>
                <w:lang w:val="zh-CN"/>
              </w:rPr>
              <w:t>人员不得少于</w:t>
            </w:r>
            <w:r>
              <w:rPr>
                <w:rFonts w:hint="eastAsia" w:ascii="仿宋" w:hAnsi="仿宋" w:eastAsia="仿宋" w:cs="仿宋"/>
                <w:b/>
                <w:bCs/>
                <w:color w:val="auto"/>
                <w:kern w:val="2"/>
                <w:sz w:val="21"/>
                <w:szCs w:val="21"/>
                <w:highlight w:val="none"/>
                <w:lang w:val="en-US" w:eastAsia="zh-CN"/>
              </w:rPr>
              <w:t>5</w:t>
            </w:r>
            <w:r>
              <w:rPr>
                <w:rFonts w:hint="eastAsia" w:ascii="仿宋" w:hAnsi="仿宋" w:eastAsia="仿宋" w:cs="仿宋"/>
                <w:b/>
                <w:bCs/>
                <w:color w:val="auto"/>
                <w:kern w:val="2"/>
                <w:sz w:val="21"/>
                <w:szCs w:val="21"/>
                <w:highlight w:val="none"/>
                <w:lang w:val="zh-CN"/>
              </w:rPr>
              <w:t xml:space="preserve">人，人员工资不得低于杭州市最低工资标，服务期 </w:t>
            </w:r>
            <w:r>
              <w:rPr>
                <w:rFonts w:hint="eastAsia" w:ascii="仿宋" w:hAnsi="仿宋" w:eastAsia="仿宋" w:cs="仿宋"/>
                <w:b/>
                <w:bCs/>
                <w:color w:val="auto"/>
                <w:kern w:val="2"/>
                <w:sz w:val="21"/>
                <w:szCs w:val="21"/>
                <w:highlight w:val="none"/>
                <w:lang w:val="en-US" w:eastAsia="zh-CN"/>
              </w:rPr>
              <w:t>2</w:t>
            </w:r>
            <w:r>
              <w:rPr>
                <w:rFonts w:hint="eastAsia" w:ascii="仿宋" w:hAnsi="仿宋" w:eastAsia="仿宋" w:cs="仿宋"/>
                <w:b/>
                <w:bCs/>
                <w:color w:val="auto"/>
                <w:kern w:val="2"/>
                <w:sz w:val="21"/>
                <w:szCs w:val="21"/>
                <w:highlight w:val="none"/>
                <w:lang w:val="zh-CN"/>
              </w:rPr>
              <w:t xml:space="preserve">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7"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疫苗接种点卫生、厕所保洁及垃圾清运</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日常保洁人员工资</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2年</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highlight w:val="none"/>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color w:val="auto"/>
                <w:kern w:val="2"/>
                <w:sz w:val="21"/>
                <w:szCs w:val="21"/>
                <w:highlight w:val="none"/>
                <w:lang w:val="zh-CN"/>
              </w:rPr>
            </w:pPr>
            <w:r>
              <w:rPr>
                <w:rFonts w:hint="eastAsia" w:ascii="仿宋" w:hAnsi="仿宋" w:eastAsia="仿宋" w:cs="仿宋"/>
                <w:b/>
                <w:bCs/>
                <w:color w:val="auto"/>
                <w:kern w:val="2"/>
                <w:sz w:val="21"/>
                <w:szCs w:val="21"/>
                <w:highlight w:val="none"/>
                <w:lang w:val="zh-CN"/>
              </w:rPr>
              <w:t>人员不得少于</w:t>
            </w:r>
            <w:r>
              <w:rPr>
                <w:rFonts w:hint="eastAsia" w:ascii="仿宋" w:hAnsi="仿宋" w:eastAsia="仿宋" w:cs="仿宋"/>
                <w:b/>
                <w:bCs/>
                <w:color w:val="auto"/>
                <w:kern w:val="2"/>
                <w:sz w:val="21"/>
                <w:szCs w:val="21"/>
                <w:highlight w:val="none"/>
                <w:lang w:val="en-US" w:eastAsia="zh-CN"/>
              </w:rPr>
              <w:t>2</w:t>
            </w:r>
            <w:r>
              <w:rPr>
                <w:rFonts w:hint="eastAsia" w:ascii="仿宋" w:hAnsi="仿宋" w:eastAsia="仿宋" w:cs="仿宋"/>
                <w:b/>
                <w:bCs/>
                <w:color w:val="auto"/>
                <w:kern w:val="2"/>
                <w:sz w:val="21"/>
                <w:szCs w:val="21"/>
                <w:highlight w:val="none"/>
                <w:lang w:val="zh-CN"/>
              </w:rPr>
              <w:t xml:space="preserve">人，人员工资不得低于杭州市最低工资标，服务期 </w:t>
            </w:r>
            <w:r>
              <w:rPr>
                <w:rFonts w:hint="eastAsia" w:ascii="仿宋" w:hAnsi="仿宋" w:eastAsia="仿宋" w:cs="仿宋"/>
                <w:b/>
                <w:bCs/>
                <w:color w:val="auto"/>
                <w:kern w:val="2"/>
                <w:sz w:val="21"/>
                <w:szCs w:val="21"/>
                <w:highlight w:val="none"/>
                <w:lang w:val="en-US" w:eastAsia="zh-CN"/>
              </w:rPr>
              <w:t>2</w:t>
            </w:r>
            <w:r>
              <w:rPr>
                <w:rFonts w:hint="eastAsia" w:ascii="仿宋" w:hAnsi="仿宋" w:eastAsia="仿宋" w:cs="仿宋"/>
                <w:b/>
                <w:bCs/>
                <w:color w:val="auto"/>
                <w:kern w:val="2"/>
                <w:sz w:val="21"/>
                <w:szCs w:val="21"/>
                <w:highlight w:val="none"/>
                <w:lang w:val="zh-CN"/>
              </w:rPr>
              <w:t xml:space="preserve">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w:t>
            </w:r>
          </w:p>
        </w:tc>
        <w:tc>
          <w:tcPr>
            <w:tcW w:w="8254"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保洁合计（1+2+3+4+5+6+7+8）</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highlight w:val="none"/>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两年保洁费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w:t>
            </w:r>
          </w:p>
        </w:tc>
        <w:tc>
          <w:tcPr>
            <w:tcW w:w="8254"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设备投入费用</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highlight w:val="none"/>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color w:val="auto"/>
                <w:sz w:val="21"/>
                <w:szCs w:val="21"/>
                <w:highlight w:val="none"/>
                <w:lang w:val="en-US" w:eastAsia="zh-CN"/>
              </w:rPr>
              <w:t>不</w:t>
            </w:r>
            <w:r>
              <w:rPr>
                <w:rFonts w:hint="eastAsia" w:ascii="仿宋" w:hAnsi="仿宋" w:eastAsia="仿宋" w:cs="仿宋"/>
                <w:b/>
                <w:bCs/>
                <w:color w:val="auto"/>
                <w:sz w:val="21"/>
                <w:szCs w:val="21"/>
                <w:highlight w:val="none"/>
              </w:rPr>
              <w:t>得低于保洁费</w:t>
            </w:r>
            <w:r>
              <w:rPr>
                <w:rFonts w:hint="eastAsia" w:ascii="仿宋" w:hAnsi="仿宋" w:eastAsia="仿宋" w:cs="仿宋"/>
                <w:b/>
                <w:bCs/>
                <w:color w:val="auto"/>
                <w:sz w:val="21"/>
                <w:szCs w:val="21"/>
                <w:highlight w:val="none"/>
                <w:lang w:val="en-US" w:eastAsia="zh-CN"/>
              </w:rPr>
              <w:t>的25%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5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合计总价(9+10)</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 xml:space="preserve"> </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1"/>
                <w:szCs w:val="21"/>
                <w:highlight w:val="none"/>
                <w:u w:val="none"/>
                <w:lang w:val="en-US" w:eastAsia="zh-CN" w:bidi="ar"/>
              </w:rPr>
            </w:pPr>
          </w:p>
        </w:tc>
      </w:tr>
    </w:tbl>
    <w:p>
      <w:pPr>
        <w:snapToGrid w:val="0"/>
        <w:spacing w:line="360" w:lineRule="auto"/>
        <w:jc w:val="left"/>
        <w:rPr>
          <w:rFonts w:hint="eastAsia" w:ascii="仿宋_GB2312" w:hAnsi="仿宋" w:eastAsia="仿宋_GB2312" w:cs="仿宋_GB2312"/>
          <w:b/>
          <w:bCs/>
          <w:color w:val="auto"/>
          <w:kern w:val="0"/>
          <w:sz w:val="24"/>
          <w:highlight w:val="none"/>
          <w:lang w:val="en-US" w:eastAsia="zh-CN"/>
        </w:rPr>
      </w:pPr>
      <w:r>
        <w:rPr>
          <w:rFonts w:hint="eastAsia" w:ascii="仿宋_GB2312" w:hAnsi="仿宋" w:eastAsia="仿宋_GB2312" w:cs="仿宋_GB2312"/>
          <w:b/>
          <w:bCs/>
          <w:color w:val="auto"/>
          <w:kern w:val="0"/>
          <w:sz w:val="24"/>
          <w:highlight w:val="none"/>
          <w:lang w:val="zh-CN" w:eastAsia="zh-CN"/>
        </w:rPr>
        <w:t>注：1、▲本次招标最低人员工资不得低于47986.92元/年•人</w:t>
      </w:r>
      <w:r>
        <w:rPr>
          <w:rFonts w:hint="eastAsia" w:ascii="仿宋_GB2312" w:hAnsi="仿宋" w:eastAsia="仿宋_GB2312" w:cs="仿宋_GB2312"/>
          <w:b/>
          <w:bCs/>
          <w:color w:val="auto"/>
          <w:kern w:val="0"/>
          <w:sz w:val="24"/>
          <w:highlight w:val="none"/>
          <w:lang w:val="en-US" w:eastAsia="zh-CN"/>
        </w:rPr>
        <w:t>。</w:t>
      </w:r>
    </w:p>
    <w:p>
      <w:pPr>
        <w:snapToGrid w:val="0"/>
        <w:spacing w:line="360" w:lineRule="auto"/>
        <w:ind w:firstLine="480" w:firstLineChars="200"/>
        <w:jc w:val="left"/>
        <w:rPr>
          <w:rFonts w:hint="eastAsia" w:ascii="仿宋_GB2312" w:hAnsi="仿宋" w:eastAsia="仿宋_GB2312" w:cs="仿宋_GB2312"/>
          <w:color w:val="auto"/>
          <w:kern w:val="0"/>
          <w:sz w:val="24"/>
          <w:highlight w:val="none"/>
          <w:lang w:val="zh-CN" w:eastAsia="zh-CN"/>
        </w:rPr>
      </w:pPr>
      <w:r>
        <w:rPr>
          <w:rFonts w:hint="eastAsia" w:ascii="仿宋_GB2312" w:hAnsi="仿宋" w:eastAsia="仿宋_GB2312" w:cs="仿宋_GB2312"/>
          <w:color w:val="auto"/>
          <w:kern w:val="0"/>
          <w:sz w:val="24"/>
          <w:highlight w:val="none"/>
          <w:lang w:val="en-US" w:eastAsia="zh-CN"/>
        </w:rPr>
        <w:t>2</w:t>
      </w:r>
      <w:r>
        <w:rPr>
          <w:rFonts w:hint="eastAsia" w:ascii="仿宋_GB2312" w:hAnsi="仿宋" w:eastAsia="仿宋_GB2312" w:cs="仿宋_GB2312"/>
          <w:color w:val="auto"/>
          <w:kern w:val="0"/>
          <w:sz w:val="24"/>
          <w:highlight w:val="none"/>
          <w:lang w:val="zh-CN" w:eastAsia="zh-CN"/>
        </w:rPr>
        <w:t>、投标人需按本表格式填写，不得自行更改。</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3</w:t>
      </w:r>
      <w:r>
        <w:rPr>
          <w:rFonts w:hint="eastAsia" w:ascii="仿宋_GB2312" w:hAnsi="仿宋" w:eastAsia="仿宋_GB2312" w:cs="仿宋_GB2312"/>
          <w:color w:val="auto"/>
          <w:kern w:val="0"/>
          <w:sz w:val="24"/>
          <w:highlight w:val="none"/>
          <w:lang w:val="zh-CN" w:eastAsia="zh-CN"/>
        </w:rPr>
        <w:t>、有关本项目实施所涉及的一切费用均计入报价。采购人将以合同形式有偿取得货物或服务，不接受投标人给予的赠品、回扣或者</w:t>
      </w:r>
      <w:r>
        <w:rPr>
          <w:rFonts w:hint="eastAsia" w:ascii="仿宋_GB2312" w:hAnsi="仿宋" w:eastAsia="仿宋_GB2312" w:cs="仿宋_GB2312"/>
          <w:b/>
          <w:color w:val="auto"/>
          <w:kern w:val="0"/>
          <w:sz w:val="24"/>
          <w:highlight w:val="none"/>
          <w:lang w:val="zh-CN"/>
        </w:rPr>
        <w:t>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4</w:t>
      </w:r>
      <w:r>
        <w:rPr>
          <w:rFonts w:ascii="仿宋_GB2312" w:hAnsi="仿宋" w:eastAsia="仿宋_GB2312" w:cs="仿宋_GB2312"/>
          <w:color w:val="auto"/>
          <w:kern w:val="0"/>
          <w:sz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en-US" w:eastAsia="zh-CN"/>
        </w:rPr>
        <w:t>5</w:t>
      </w:r>
      <w:r>
        <w:rPr>
          <w:rFonts w:ascii="仿宋_GB2312" w:hAnsi="仿宋" w:eastAsia="仿宋_GB2312" w:cs="仿宋_GB2312"/>
          <w:color w:val="auto"/>
          <w:kern w:val="0"/>
          <w:sz w:val="24"/>
          <w:highlight w:val="none"/>
          <w:lang w:val="zh-CN"/>
        </w:rPr>
        <w:t>、特别提示：采购机构将对项目名称和项目编号，中标供应商名称、地址和中标金额，主要中标标的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szCs w:val="22"/>
          <w:highlight w:val="none"/>
          <w:lang w:val="en-US" w:eastAsia="zh-CN"/>
        </w:rPr>
        <w:t>6</w:t>
      </w:r>
      <w:r>
        <w:rPr>
          <w:rFonts w:ascii="仿宋_GB2312" w:hAnsi="仿宋" w:eastAsia="仿宋_GB2312" w:cs="仿宋_GB2312"/>
          <w:color w:val="auto"/>
          <w:kern w:val="0"/>
          <w:sz w:val="24"/>
          <w:szCs w:val="22"/>
          <w:highlight w:val="none"/>
          <w:lang w:val="zh-CN"/>
        </w:rPr>
        <w:t>、</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right="960" w:firstLine="10440" w:firstLineChars="4350"/>
        <w:rPr>
          <w:rFonts w:hint="eastAsia" w:ascii="仿宋" w:hAnsi="仿宋" w:eastAsia="仿宋" w:cs="仿宋"/>
          <w:color w:val="auto"/>
          <w:sz w:val="24"/>
          <w:highlight w:val="none"/>
        </w:rPr>
      </w:pPr>
    </w:p>
    <w:p>
      <w:pPr>
        <w:spacing w:line="360" w:lineRule="auto"/>
        <w:ind w:right="960" w:firstLine="10440" w:firstLineChars="4350"/>
        <w:rPr>
          <w:rFonts w:hint="eastAsia" w:ascii="仿宋" w:hAnsi="仿宋" w:eastAsia="仿宋" w:cs="仿宋"/>
          <w:color w:val="auto"/>
          <w:sz w:val="24"/>
          <w:highlight w:val="none"/>
        </w:rPr>
      </w:pPr>
    </w:p>
    <w:p>
      <w:pPr>
        <w:spacing w:line="360" w:lineRule="auto"/>
        <w:ind w:right="960" w:firstLine="10440" w:firstLineChars="4350"/>
        <w:rPr>
          <w:rFonts w:hint="eastAsia" w:ascii="仿宋" w:hAnsi="仿宋" w:eastAsia="仿宋" w:cs="仿宋"/>
          <w:color w:val="auto"/>
          <w:sz w:val="24"/>
          <w:highlight w:val="none"/>
        </w:rPr>
      </w:pPr>
    </w:p>
    <w:p>
      <w:pPr>
        <w:spacing w:line="360" w:lineRule="auto"/>
        <w:ind w:right="960" w:firstLine="10440" w:firstLineChars="4350"/>
        <w:rPr>
          <w:rFonts w:hint="eastAsia" w:ascii="仿宋" w:hAnsi="仿宋" w:eastAsia="仿宋" w:cs="仿宋"/>
          <w:color w:val="auto"/>
          <w:sz w:val="24"/>
          <w:highlight w:val="none"/>
        </w:rPr>
      </w:pPr>
    </w:p>
    <w:p>
      <w:pPr>
        <w:spacing w:line="360" w:lineRule="auto"/>
        <w:ind w:right="960" w:firstLine="10440" w:firstLineChars="435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48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pStyle w:val="38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380"/>
        <w:tabs>
          <w:tab w:val="clear" w:pos="720"/>
        </w:tabs>
        <w:snapToGrid w:val="0"/>
        <w:spacing w:before="120" w:after="120"/>
        <w:ind w:firstLine="643"/>
        <w:outlineLvl w:val="2"/>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lang w:val="en-US" w:eastAsia="zh-CN"/>
        </w:rPr>
        <w:t>二</w:t>
      </w:r>
      <w:r>
        <w:rPr>
          <w:rFonts w:hint="eastAsia" w:ascii="仿宋_GB2312" w:hAnsi="仿宋" w:eastAsia="仿宋_GB2312" w:cs="仿宋_GB2312"/>
          <w:color w:val="auto"/>
          <w:kern w:val="2"/>
          <w:sz w:val="32"/>
          <w:szCs w:val="32"/>
          <w:highlight w:val="none"/>
        </w:rPr>
        <w:t>、</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s="Times New Roman"/>
          <w:color w:val="auto"/>
          <w:sz w:val="24"/>
          <w:highlight w:val="none"/>
        </w:rPr>
      </w:pPr>
      <w:r>
        <w:rPr>
          <w:rFonts w:hint="eastAsia" w:ascii="仿宋" w:hAnsi="仿宋" w:eastAsia="仿宋" w:cs="Times New Roman"/>
          <w:color w:val="auto"/>
          <w:sz w:val="24"/>
          <w:highlight w:val="none"/>
        </w:rPr>
        <w:t>　　</w:t>
      </w:r>
      <w:r>
        <w:rPr>
          <w:rFonts w:ascii="仿宋" w:hAnsi="仿宋" w:eastAsia="仿宋" w:cs="Times New Roman"/>
          <w:color w:val="auto"/>
          <w:sz w:val="24"/>
          <w:highlight w:val="none"/>
        </w:rPr>
        <w:t>4.审批通过后，合作银行应按照合作备忘录中约定的审批放款期限和优惠利率及时予以放款。</w:t>
      </w:r>
    </w:p>
    <w:p>
      <w:pPr>
        <w:spacing w:line="360" w:lineRule="auto"/>
        <w:ind w:firstLine="480" w:firstLineChars="200"/>
        <w:rPr>
          <w:rFonts w:ascii="仿宋" w:hAnsi="仿宋" w:eastAsia="仿宋" w:cs="Times New Roman"/>
          <w:color w:val="auto"/>
          <w:sz w:val="24"/>
          <w:highlight w:val="none"/>
          <w:lang w:val="en-US"/>
        </w:rPr>
      </w:pPr>
      <w:r>
        <w:rPr>
          <w:rFonts w:hint="eastAsia" w:ascii="仿宋" w:hAnsi="仿宋" w:eastAsia="仿宋" w:cs="Times New Roman"/>
          <w:color w:val="auto"/>
          <w:sz w:val="24"/>
          <w:highlight w:val="none"/>
          <w:lang w:val="en-US"/>
        </w:rPr>
        <w:t>（三）杭州e融平台申请融资</w:t>
      </w:r>
    </w:p>
    <w:p>
      <w:pPr>
        <w:spacing w:line="360" w:lineRule="auto"/>
        <w:ind w:firstLine="480" w:firstLineChars="200"/>
        <w:rPr>
          <w:rFonts w:ascii="仿宋" w:hAnsi="仿宋" w:eastAsia="仿宋" w:cs="Times New Roman"/>
          <w:color w:val="auto"/>
          <w:sz w:val="24"/>
          <w:highlight w:val="none"/>
          <w:lang w:val="en-US"/>
        </w:rPr>
      </w:pPr>
      <w:r>
        <w:rPr>
          <w:rFonts w:hint="eastAsia" w:ascii="仿宋" w:hAnsi="仿宋" w:eastAsia="仿宋" w:cs="Times New Roman"/>
          <w:color w:val="auto"/>
          <w:sz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4"/>
        <w:pageBreakBefore/>
        <w:widowControl/>
        <w:tabs>
          <w:tab w:val="left" w:pos="432"/>
          <w:tab w:val="clear" w:pos="900"/>
        </w:tabs>
        <w:spacing w:before="100" w:beforeAutospacing="1" w:after="100" w:afterAutospacing="1" w:line="360" w:lineRule="auto"/>
        <w:ind w:left="1290" w:firstLine="2249" w:firstLineChars="700"/>
        <w:outlineLvl w:val="2"/>
        <w:rPr>
          <w:rFonts w:ascii="仿宋_GB2312" w:hAnsi="仿宋" w:eastAsia="仿宋_GB2312"/>
          <w:color w:val="auto"/>
          <w:highlight w:val="none"/>
        </w:rPr>
      </w:pPr>
      <w:bookmarkStart w:id="394" w:name="_Toc465665161"/>
      <w:r>
        <w:rPr>
          <w:rFonts w:hint="eastAsia" w:ascii="仿宋_GB2312" w:hAnsi="仿宋" w:eastAsia="仿宋_GB2312"/>
          <w:color w:val="auto"/>
          <w:highlight w:val="none"/>
        </w:rPr>
        <w:t>附件</w:t>
      </w:r>
      <w:bookmarkEnd w:id="394"/>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395" w:name="OLE_LINK14"/>
      <w:bookmarkStart w:id="396" w:name="OLE_LINK13"/>
      <w:r>
        <w:rPr>
          <w:rFonts w:hint="eastAsia" w:ascii="仿宋_GB2312" w:hAnsi="仿宋" w:eastAsia="仿宋_GB2312"/>
          <w:b/>
          <w:color w:val="auto"/>
          <w:spacing w:val="6"/>
          <w:sz w:val="32"/>
          <w:szCs w:val="32"/>
          <w:highlight w:val="none"/>
        </w:rPr>
        <w:t>残疾人福利性单位声明函</w:t>
      </w:r>
    </w:p>
    <w:bookmarkEnd w:id="395"/>
    <w:bookmarkEnd w:id="396"/>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cs="Times New Roman"/>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cs="Times New Roman"/>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outlineLvl w:val="2"/>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4"/>
        <w:spacing w:line="360" w:lineRule="auto"/>
        <w:ind w:firstLine="0" w:firstLineChars="0"/>
        <w:jc w:val="center"/>
        <w:rPr>
          <w:rFonts w:hint="eastAsia"/>
          <w:b/>
          <w:color w:val="auto"/>
          <w:sz w:val="44"/>
          <w:szCs w:val="44"/>
          <w:highlight w:val="none"/>
        </w:rPr>
      </w:pPr>
    </w:p>
    <w:p>
      <w:pPr>
        <w:pStyle w:val="24"/>
        <w:spacing w:line="360" w:lineRule="auto"/>
        <w:ind w:firstLine="0" w:firstLineChars="0"/>
        <w:jc w:val="center"/>
        <w:rPr>
          <w:rFonts w:hint="eastAsia"/>
          <w:b/>
          <w:color w:val="auto"/>
          <w:sz w:val="44"/>
          <w:szCs w:val="44"/>
          <w:highlight w:val="none"/>
        </w:rPr>
      </w:pPr>
    </w:p>
    <w:p>
      <w:pPr>
        <w:pStyle w:val="24"/>
        <w:spacing w:line="360" w:lineRule="auto"/>
        <w:ind w:firstLine="0" w:firstLineChars="0"/>
        <w:jc w:val="both"/>
        <w:rPr>
          <w:rFonts w:hint="eastAsia"/>
          <w:b/>
          <w:color w:val="auto"/>
          <w:sz w:val="21"/>
          <w:szCs w:val="21"/>
          <w:highlight w:val="none"/>
          <w:lang w:val="en-US" w:eastAsia="zh-CN"/>
        </w:rPr>
      </w:pPr>
    </w:p>
    <w:p>
      <w:pPr>
        <w:pStyle w:val="24"/>
        <w:spacing w:line="360" w:lineRule="auto"/>
        <w:ind w:firstLine="0" w:firstLineChars="0"/>
        <w:jc w:val="center"/>
        <w:rPr>
          <w:b/>
          <w:color w:val="auto"/>
          <w:sz w:val="44"/>
          <w:szCs w:val="44"/>
          <w:highlight w:val="none"/>
        </w:rPr>
      </w:pPr>
      <w:r>
        <w:rPr>
          <w:rFonts w:hint="eastAsia"/>
          <w:b/>
          <w:color w:val="auto"/>
          <w:sz w:val="44"/>
          <w:szCs w:val="44"/>
          <w:highlight w:val="none"/>
        </w:rPr>
        <w:t>电子投标文件与纸质投标文件内容一致承诺书（投标时无需提供）</w:t>
      </w:r>
    </w:p>
    <w:p>
      <w:pPr>
        <w:spacing w:line="360" w:lineRule="auto"/>
        <w:rPr>
          <w:rFonts w:ascii="宋体" w:hAnsi="宋体" w:cs="宋体"/>
          <w:b/>
          <w:bCs/>
          <w:color w:val="auto"/>
          <w:sz w:val="24"/>
          <w:highlight w:val="none"/>
        </w:rPr>
      </w:pPr>
    </w:p>
    <w:p>
      <w:pPr>
        <w:snapToGrid w:val="0"/>
        <w:spacing w:line="360" w:lineRule="auto"/>
        <w:rPr>
          <w:rFonts w:hint="eastAsia" w:ascii="宋体" w:hAnsi="宋体" w:cs="宋体"/>
          <w:color w:val="auto"/>
          <w:sz w:val="28"/>
          <w:szCs w:val="28"/>
          <w:highlight w:val="none"/>
        </w:rPr>
      </w:pPr>
    </w:p>
    <w:p>
      <w:pPr>
        <w:snapToGrid w:val="0"/>
        <w:spacing w:line="360" w:lineRule="auto"/>
        <w:rPr>
          <w:rFonts w:hint="eastAsia" w:ascii="宋体" w:hAnsi="宋体" w:cs="宋体"/>
          <w:color w:val="auto"/>
          <w:sz w:val="28"/>
          <w:szCs w:val="28"/>
          <w:highlight w:val="none"/>
        </w:rPr>
      </w:pPr>
      <w:r>
        <w:rPr>
          <w:rFonts w:hint="eastAsia" w:ascii="宋体" w:hAnsi="宋体" w:cs="宋体"/>
          <w:color w:val="auto"/>
          <w:sz w:val="28"/>
          <w:szCs w:val="28"/>
          <w:highlight w:val="none"/>
        </w:rPr>
        <w:t>致:</w:t>
      </w:r>
      <w:r>
        <w:rPr>
          <w:rFonts w:hint="eastAsia" w:ascii="宋体" w:hAnsi="宋体" w:cs="宋体"/>
          <w:bCs/>
          <w:color w:val="auto"/>
          <w:sz w:val="28"/>
          <w:szCs w:val="28"/>
          <w:highlight w:val="none"/>
          <w:lang w:val="en-US" w:eastAsia="zh-CN"/>
        </w:rPr>
        <w:t>杭州市临平区人民政府乔司街道办事处</w:t>
      </w:r>
      <w:r>
        <w:rPr>
          <w:rFonts w:hint="eastAsia" w:ascii="宋体" w:hAnsi="宋体" w:cs="宋体"/>
          <w:color w:val="auto"/>
          <w:sz w:val="28"/>
          <w:szCs w:val="28"/>
          <w:highlight w:val="none"/>
        </w:rPr>
        <w:t>、</w:t>
      </w:r>
    </w:p>
    <w:p>
      <w:pPr>
        <w:snapToGrid w:val="0"/>
        <w:spacing w:line="360" w:lineRule="auto"/>
        <w:rPr>
          <w:rFonts w:hint="eastAsia" w:ascii="宋体" w:hAnsi="宋体" w:cs="宋体"/>
          <w:color w:val="auto"/>
          <w:sz w:val="28"/>
          <w:szCs w:val="28"/>
          <w:highlight w:val="none"/>
        </w:rPr>
      </w:pPr>
      <w:r>
        <w:rPr>
          <w:rFonts w:hint="eastAsia" w:ascii="宋体" w:hAnsi="宋体" w:cs="宋体"/>
          <w:color w:val="auto"/>
          <w:sz w:val="28"/>
          <w:szCs w:val="28"/>
          <w:highlight w:val="none"/>
          <w:lang w:eastAsia="zh-CN"/>
        </w:rPr>
        <w:t>浙江新诚信工程咨询有限公司</w:t>
      </w:r>
      <w:r>
        <w:rPr>
          <w:rFonts w:hint="eastAsia" w:ascii="宋体" w:hAnsi="宋体" w:cs="宋体"/>
          <w:color w:val="auto"/>
          <w:kern w:val="0"/>
          <w:sz w:val="28"/>
          <w:szCs w:val="28"/>
          <w:highlight w:val="none"/>
          <w:lang w:val="zh-CN"/>
        </w:rPr>
        <w:t>：</w:t>
      </w:r>
    </w:p>
    <w:p>
      <w:pPr>
        <w:pStyle w:val="24"/>
        <w:spacing w:line="360" w:lineRule="auto"/>
        <w:ind w:firstLine="420" w:firstLineChars="150"/>
        <w:rPr>
          <w:rFonts w:hint="eastAsia" w:cs="宋体"/>
          <w:color w:val="auto"/>
          <w:sz w:val="28"/>
          <w:szCs w:val="28"/>
          <w:highlight w:val="none"/>
        </w:rPr>
      </w:pPr>
      <w:r>
        <w:rPr>
          <w:rFonts w:hint="eastAsia" w:cs="宋体"/>
          <w:color w:val="auto"/>
          <w:sz w:val="28"/>
          <w:szCs w:val="28"/>
          <w:highlight w:val="none"/>
        </w:rPr>
        <w:t>兹有</w:t>
      </w:r>
      <w:r>
        <w:rPr>
          <w:rFonts w:hint="eastAsia" w:cs="宋体"/>
          <w:color w:val="auto"/>
          <w:sz w:val="28"/>
          <w:szCs w:val="28"/>
          <w:highlight w:val="none"/>
          <w:u w:val="single"/>
        </w:rPr>
        <w:t xml:space="preserve">                       项目</w:t>
      </w:r>
      <w:r>
        <w:rPr>
          <w:rFonts w:hint="eastAsia" w:cs="宋体"/>
          <w:color w:val="auto"/>
          <w:sz w:val="28"/>
          <w:szCs w:val="28"/>
          <w:highlight w:val="none"/>
        </w:rPr>
        <w:t>，我单位在政采云系统中上传的电子投标文件与本次提供的纸质投标文件内容一致。</w:t>
      </w:r>
    </w:p>
    <w:p>
      <w:pPr>
        <w:pStyle w:val="24"/>
        <w:spacing w:line="360" w:lineRule="auto"/>
        <w:ind w:firstLine="420" w:firstLineChars="150"/>
        <w:rPr>
          <w:rFonts w:hint="eastAsia" w:cs="宋体"/>
          <w:color w:val="auto"/>
          <w:sz w:val="28"/>
          <w:szCs w:val="28"/>
          <w:highlight w:val="none"/>
        </w:rPr>
      </w:pPr>
      <w:r>
        <w:rPr>
          <w:rFonts w:hint="eastAsia" w:cs="宋体"/>
          <w:color w:val="auto"/>
          <w:sz w:val="28"/>
          <w:szCs w:val="28"/>
          <w:highlight w:val="none"/>
        </w:rPr>
        <w:t>特此承诺！</w:t>
      </w:r>
    </w:p>
    <w:p>
      <w:pPr>
        <w:pStyle w:val="24"/>
        <w:spacing w:line="360" w:lineRule="auto"/>
        <w:ind w:firstLine="560"/>
        <w:rPr>
          <w:rFonts w:hint="eastAsia" w:cs="宋体"/>
          <w:color w:val="auto"/>
          <w:sz w:val="28"/>
          <w:szCs w:val="28"/>
          <w:highlight w:val="none"/>
        </w:rPr>
      </w:pPr>
    </w:p>
    <w:p>
      <w:pPr>
        <w:spacing w:line="360" w:lineRule="auto"/>
        <w:ind w:firstLine="5320" w:firstLineChars="1900"/>
        <w:rPr>
          <w:rFonts w:hint="eastAsia" w:ascii="宋体" w:hAnsi="宋体" w:cs="宋体"/>
          <w:color w:val="auto"/>
          <w:sz w:val="28"/>
          <w:szCs w:val="28"/>
          <w:highlight w:val="none"/>
        </w:rPr>
      </w:pPr>
      <w:r>
        <w:rPr>
          <w:rFonts w:hint="eastAsia" w:ascii="宋体" w:hAnsi="宋体" w:cs="宋体"/>
          <w:color w:val="auto"/>
          <w:sz w:val="28"/>
          <w:szCs w:val="28"/>
          <w:highlight w:val="none"/>
        </w:rPr>
        <w:t>投标人:(盖章)</w:t>
      </w:r>
    </w:p>
    <w:p>
      <w:pPr>
        <w:spacing w:line="360" w:lineRule="auto"/>
        <w:ind w:firstLine="560" w:firstLineChars="200"/>
        <w:rPr>
          <w:rFonts w:hint="eastAsia" w:ascii="宋体" w:hAnsi="宋体" w:cs="宋体"/>
          <w:color w:val="auto"/>
          <w:sz w:val="28"/>
          <w:szCs w:val="28"/>
          <w:highlight w:val="none"/>
        </w:rPr>
      </w:pPr>
    </w:p>
    <w:p>
      <w:pPr>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 xml:space="preserve">                                 法定代表人: (签字)</w:t>
      </w:r>
    </w:p>
    <w:p>
      <w:pPr>
        <w:spacing w:line="360" w:lineRule="auto"/>
        <w:ind w:firstLine="560" w:firstLineChars="200"/>
        <w:rPr>
          <w:rFonts w:hint="eastAsia" w:ascii="宋体" w:hAnsi="宋体" w:cs="宋体"/>
          <w:color w:val="auto"/>
          <w:sz w:val="28"/>
          <w:szCs w:val="28"/>
          <w:highlight w:val="none"/>
        </w:rPr>
      </w:pPr>
    </w:p>
    <w:p>
      <w:pPr>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 xml:space="preserve">                                 日期:20  年  月    日</w:t>
      </w:r>
    </w:p>
    <w:p>
      <w:pPr>
        <w:tabs>
          <w:tab w:val="left" w:pos="432"/>
        </w:tabs>
        <w:outlineLvl w:val="9"/>
        <w:rPr>
          <w:color w:val="auto"/>
          <w:highlight w:val="none"/>
        </w:rPr>
      </w:pPr>
    </w:p>
    <w:p>
      <w:pPr>
        <w:tabs>
          <w:tab w:val="left" w:pos="432"/>
        </w:tabs>
        <w:outlineLvl w:val="9"/>
        <w:rPr>
          <w:color w:val="auto"/>
          <w:highlight w:val="none"/>
          <w:lang w:val="en-US"/>
        </w:rPr>
      </w:pPr>
    </w:p>
    <w:p>
      <w:pPr>
        <w:spacing w:line="360" w:lineRule="auto"/>
        <w:ind w:right="420"/>
        <w:outlineLvl w:val="9"/>
        <w:rPr>
          <w:color w:val="auto"/>
          <w:highlight w:val="none"/>
        </w:rPr>
      </w:pPr>
    </w:p>
    <w:p>
      <w:pPr>
        <w:spacing w:line="360" w:lineRule="auto"/>
        <w:outlineLvl w:val="9"/>
        <w:rPr>
          <w:rFonts w:ascii="仿宋" w:hAnsi="仿宋" w:eastAsia="仿宋"/>
          <w:bCs/>
          <w:color w:val="auto"/>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
    <w:altName w:val="Segoe Print"/>
    <w:panose1 w:val="00000000000000000000"/>
    <w:charset w:val="00"/>
    <w:family w:val="auto"/>
    <w:pitch w:val="default"/>
    <w:sig w:usb0="00000000" w:usb1="00000000" w:usb2="00000000" w:usb3="00000000" w:csb0="00000001"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504020202030204"/>
    <w:charset w:val="00"/>
    <w:family w:val="auto"/>
    <w:pitch w:val="default"/>
    <w:sig w:usb0="00000000"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7" w:name="_Toc131845147"/>
    <w:bookmarkStart w:id="398" w:name="_Toc164085800"/>
    <w:bookmarkStart w:id="399" w:name="_Toc91899912"/>
    <w:bookmarkStart w:id="400" w:name="_Toc36110187"/>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eastAsia="宋体"/>
        <w:szCs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矩形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24</w:t>
                          </w:r>
                          <w:r>
                            <w:rPr>
                              <w:sz w:val="18"/>
                            </w:rPr>
                            <w:fldChar w:fldCharType="end"/>
                          </w:r>
                          <w:r>
                            <w:rPr>
                              <w:sz w:val="18"/>
                            </w:rPr>
                            <w:t xml:space="preserve"> 页</w:t>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sZxdAvwEAAIwDAAAOAAAAAAAAAAEAIAAAAB8BAABkcnMvZTJvRG9jLnhtbFBLBQYA&#10;AAAABgAGAFkBAABQ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24</w:t>
                    </w:r>
                    <w:r>
                      <w:rPr>
                        <w:sz w:val="18"/>
                      </w:rPr>
                      <w:fldChar w:fldCharType="end"/>
                    </w:r>
                    <w:r>
                      <w:rPr>
                        <w:sz w:val="18"/>
                      </w:rPr>
                      <w:t xml:space="preserve"> 页</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417F05"/>
    <w:multiLevelType w:val="singleLevel"/>
    <w:tmpl w:val="B9417F05"/>
    <w:lvl w:ilvl="0" w:tentative="0">
      <w:start w:val="2"/>
      <w:numFmt w:val="chineseCounting"/>
      <w:suff w:val="nothing"/>
      <w:lvlText w:val="%1、"/>
      <w:lvlJc w:val="left"/>
      <w:rPr>
        <w:rFonts w:hint="eastAsia"/>
      </w:rPr>
    </w:lvl>
  </w:abstractNum>
  <w:abstractNum w:abstractNumId="1">
    <w:nsid w:val="E24D7068"/>
    <w:multiLevelType w:val="singleLevel"/>
    <w:tmpl w:val="E24D7068"/>
    <w:lvl w:ilvl="0" w:tentative="0">
      <w:start w:val="6"/>
      <w:numFmt w:val="decimal"/>
      <w:suff w:val="nothing"/>
      <w:lvlText w:val="%1、"/>
      <w:lvlJc w:val="left"/>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589AC06B"/>
    <w:multiLevelType w:val="singleLevel"/>
    <w:tmpl w:val="589AC06B"/>
    <w:lvl w:ilvl="0" w:tentative="0">
      <w:start w:val="1"/>
      <w:numFmt w:val="decimal"/>
      <w:suff w:val="nothing"/>
      <w:lvlText w:val="%1."/>
      <w:lvlJc w:val="left"/>
    </w:lvl>
  </w:abstractNum>
  <w:abstractNum w:abstractNumId="4">
    <w:nsid w:val="5E7C160A"/>
    <w:multiLevelType w:val="singleLevel"/>
    <w:tmpl w:val="5E7C160A"/>
    <w:lvl w:ilvl="0" w:tentative="0">
      <w:start w:val="1"/>
      <w:numFmt w:val="decimal"/>
      <w:suff w:val="nothing"/>
      <w:lvlText w:val="%1."/>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60D"/>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597"/>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1F9"/>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3E26"/>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240"/>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1812"/>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F07"/>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4B182D"/>
    <w:rsid w:val="018F2EE2"/>
    <w:rsid w:val="019F7441"/>
    <w:rsid w:val="01B37585"/>
    <w:rsid w:val="01D55165"/>
    <w:rsid w:val="01DF6BF8"/>
    <w:rsid w:val="01EC2C57"/>
    <w:rsid w:val="020A2568"/>
    <w:rsid w:val="02217FDE"/>
    <w:rsid w:val="02427F54"/>
    <w:rsid w:val="026B2E25"/>
    <w:rsid w:val="026D3223"/>
    <w:rsid w:val="02824D4D"/>
    <w:rsid w:val="02A4476B"/>
    <w:rsid w:val="02DC4B10"/>
    <w:rsid w:val="02DD76CE"/>
    <w:rsid w:val="02E5725D"/>
    <w:rsid w:val="02F36323"/>
    <w:rsid w:val="02F5619C"/>
    <w:rsid w:val="03174F3D"/>
    <w:rsid w:val="0326446A"/>
    <w:rsid w:val="032D5555"/>
    <w:rsid w:val="034A70C0"/>
    <w:rsid w:val="036634D2"/>
    <w:rsid w:val="03920A67"/>
    <w:rsid w:val="03A8028B"/>
    <w:rsid w:val="03BE360A"/>
    <w:rsid w:val="03C94D9F"/>
    <w:rsid w:val="03DD35E4"/>
    <w:rsid w:val="03DD6186"/>
    <w:rsid w:val="03EA2651"/>
    <w:rsid w:val="04076900"/>
    <w:rsid w:val="041A5A3B"/>
    <w:rsid w:val="042311BA"/>
    <w:rsid w:val="042518DB"/>
    <w:rsid w:val="042B157A"/>
    <w:rsid w:val="044C6E68"/>
    <w:rsid w:val="04504BAA"/>
    <w:rsid w:val="046C3066"/>
    <w:rsid w:val="048F763B"/>
    <w:rsid w:val="049C1B9D"/>
    <w:rsid w:val="049F330E"/>
    <w:rsid w:val="04AA775C"/>
    <w:rsid w:val="04AF1889"/>
    <w:rsid w:val="04BE5FB8"/>
    <w:rsid w:val="04F66F48"/>
    <w:rsid w:val="051931EE"/>
    <w:rsid w:val="051E6A56"/>
    <w:rsid w:val="05251E14"/>
    <w:rsid w:val="0548762F"/>
    <w:rsid w:val="05571F68"/>
    <w:rsid w:val="056B2C48"/>
    <w:rsid w:val="056B77C2"/>
    <w:rsid w:val="057448C8"/>
    <w:rsid w:val="059B00A7"/>
    <w:rsid w:val="05A16594"/>
    <w:rsid w:val="05A7762D"/>
    <w:rsid w:val="05DB66F5"/>
    <w:rsid w:val="060E5941"/>
    <w:rsid w:val="06110FAF"/>
    <w:rsid w:val="06493CA7"/>
    <w:rsid w:val="065A6178"/>
    <w:rsid w:val="066F1CF3"/>
    <w:rsid w:val="06930BB8"/>
    <w:rsid w:val="06BC02D5"/>
    <w:rsid w:val="06CA7539"/>
    <w:rsid w:val="06D724C4"/>
    <w:rsid w:val="06E36237"/>
    <w:rsid w:val="07041C7C"/>
    <w:rsid w:val="07230354"/>
    <w:rsid w:val="07245D42"/>
    <w:rsid w:val="07264C62"/>
    <w:rsid w:val="075C5614"/>
    <w:rsid w:val="07742EA5"/>
    <w:rsid w:val="0779354C"/>
    <w:rsid w:val="07D7113E"/>
    <w:rsid w:val="08061376"/>
    <w:rsid w:val="083D5445"/>
    <w:rsid w:val="08452D77"/>
    <w:rsid w:val="08582A2C"/>
    <w:rsid w:val="086401F8"/>
    <w:rsid w:val="08751CAA"/>
    <w:rsid w:val="087E4C40"/>
    <w:rsid w:val="089963F4"/>
    <w:rsid w:val="08A70B11"/>
    <w:rsid w:val="08D66AD6"/>
    <w:rsid w:val="08DA33A3"/>
    <w:rsid w:val="08E80F13"/>
    <w:rsid w:val="09335624"/>
    <w:rsid w:val="0944690F"/>
    <w:rsid w:val="09535675"/>
    <w:rsid w:val="095F057D"/>
    <w:rsid w:val="09642282"/>
    <w:rsid w:val="09733572"/>
    <w:rsid w:val="09772C16"/>
    <w:rsid w:val="098353B5"/>
    <w:rsid w:val="0992356F"/>
    <w:rsid w:val="09A92330"/>
    <w:rsid w:val="09B06B87"/>
    <w:rsid w:val="09BE121B"/>
    <w:rsid w:val="09C06B05"/>
    <w:rsid w:val="09C13146"/>
    <w:rsid w:val="09CD0765"/>
    <w:rsid w:val="09DB4F16"/>
    <w:rsid w:val="09E04166"/>
    <w:rsid w:val="09ED69F7"/>
    <w:rsid w:val="0A12645E"/>
    <w:rsid w:val="0A1C0718"/>
    <w:rsid w:val="0A3E7710"/>
    <w:rsid w:val="0A4A3E4A"/>
    <w:rsid w:val="0A4F320E"/>
    <w:rsid w:val="0A5B7E63"/>
    <w:rsid w:val="0A9D041D"/>
    <w:rsid w:val="0AA374A5"/>
    <w:rsid w:val="0AAB7649"/>
    <w:rsid w:val="0ABC5606"/>
    <w:rsid w:val="0B2E376B"/>
    <w:rsid w:val="0B30404E"/>
    <w:rsid w:val="0B4C6C14"/>
    <w:rsid w:val="0B5331D2"/>
    <w:rsid w:val="0B57681E"/>
    <w:rsid w:val="0B631A88"/>
    <w:rsid w:val="0B683D45"/>
    <w:rsid w:val="0B7F3F11"/>
    <w:rsid w:val="0B884417"/>
    <w:rsid w:val="0BA8707A"/>
    <w:rsid w:val="0BB27EF8"/>
    <w:rsid w:val="0BF24799"/>
    <w:rsid w:val="0BF6188C"/>
    <w:rsid w:val="0BF73C91"/>
    <w:rsid w:val="0C170175"/>
    <w:rsid w:val="0C571A41"/>
    <w:rsid w:val="0C5C1171"/>
    <w:rsid w:val="0C5E1CBC"/>
    <w:rsid w:val="0C615B50"/>
    <w:rsid w:val="0C655C90"/>
    <w:rsid w:val="0C8445DA"/>
    <w:rsid w:val="0C87121B"/>
    <w:rsid w:val="0CC007F7"/>
    <w:rsid w:val="0CC7352F"/>
    <w:rsid w:val="0CF12CA2"/>
    <w:rsid w:val="0CFE707A"/>
    <w:rsid w:val="0D063BDA"/>
    <w:rsid w:val="0D08375F"/>
    <w:rsid w:val="0D184CFB"/>
    <w:rsid w:val="0D4A7419"/>
    <w:rsid w:val="0D6C2329"/>
    <w:rsid w:val="0D827401"/>
    <w:rsid w:val="0D84094E"/>
    <w:rsid w:val="0D8A00E9"/>
    <w:rsid w:val="0D8D589E"/>
    <w:rsid w:val="0DA01C73"/>
    <w:rsid w:val="0DA35174"/>
    <w:rsid w:val="0DB241E0"/>
    <w:rsid w:val="0DD63300"/>
    <w:rsid w:val="0DF50604"/>
    <w:rsid w:val="0DF702FE"/>
    <w:rsid w:val="0E060E51"/>
    <w:rsid w:val="0E5434E9"/>
    <w:rsid w:val="0E5604B2"/>
    <w:rsid w:val="0E617C94"/>
    <w:rsid w:val="0E6D5D79"/>
    <w:rsid w:val="0E7476E7"/>
    <w:rsid w:val="0E76345F"/>
    <w:rsid w:val="0E9D0089"/>
    <w:rsid w:val="0EB43F87"/>
    <w:rsid w:val="0EB803EE"/>
    <w:rsid w:val="0EE973A4"/>
    <w:rsid w:val="0EF34AB0"/>
    <w:rsid w:val="0EF94D4B"/>
    <w:rsid w:val="0F07055B"/>
    <w:rsid w:val="0F16254C"/>
    <w:rsid w:val="0F3155D8"/>
    <w:rsid w:val="0F362BEE"/>
    <w:rsid w:val="0F4958DC"/>
    <w:rsid w:val="0F502321"/>
    <w:rsid w:val="0F515DF7"/>
    <w:rsid w:val="0F596BA8"/>
    <w:rsid w:val="0F6248D2"/>
    <w:rsid w:val="0F693536"/>
    <w:rsid w:val="0F7B0511"/>
    <w:rsid w:val="0F7B76D9"/>
    <w:rsid w:val="0F816ACD"/>
    <w:rsid w:val="0F9832DB"/>
    <w:rsid w:val="0FBF3FD2"/>
    <w:rsid w:val="0FBF7FF3"/>
    <w:rsid w:val="0FF94348"/>
    <w:rsid w:val="10646583"/>
    <w:rsid w:val="107D4B15"/>
    <w:rsid w:val="10853E2D"/>
    <w:rsid w:val="108A3C80"/>
    <w:rsid w:val="109C2F25"/>
    <w:rsid w:val="10B22749"/>
    <w:rsid w:val="10B4201D"/>
    <w:rsid w:val="10C26171"/>
    <w:rsid w:val="10C55FD8"/>
    <w:rsid w:val="10ED3781"/>
    <w:rsid w:val="10EF12A7"/>
    <w:rsid w:val="10F33360"/>
    <w:rsid w:val="10FC16EA"/>
    <w:rsid w:val="10FD39C4"/>
    <w:rsid w:val="110F1D40"/>
    <w:rsid w:val="111156C1"/>
    <w:rsid w:val="11230F50"/>
    <w:rsid w:val="11266F33"/>
    <w:rsid w:val="11511F61"/>
    <w:rsid w:val="11681E32"/>
    <w:rsid w:val="118963A1"/>
    <w:rsid w:val="11C6522A"/>
    <w:rsid w:val="11D566EF"/>
    <w:rsid w:val="11D861DF"/>
    <w:rsid w:val="11E104CC"/>
    <w:rsid w:val="11E20309"/>
    <w:rsid w:val="121C1057"/>
    <w:rsid w:val="12255233"/>
    <w:rsid w:val="12530213"/>
    <w:rsid w:val="12753A2E"/>
    <w:rsid w:val="127723A9"/>
    <w:rsid w:val="12862074"/>
    <w:rsid w:val="12883966"/>
    <w:rsid w:val="129A3494"/>
    <w:rsid w:val="129E45B4"/>
    <w:rsid w:val="12A7620A"/>
    <w:rsid w:val="12C91E2D"/>
    <w:rsid w:val="12CD5618"/>
    <w:rsid w:val="12D81596"/>
    <w:rsid w:val="12EE333C"/>
    <w:rsid w:val="13072A44"/>
    <w:rsid w:val="134170F2"/>
    <w:rsid w:val="13464EA3"/>
    <w:rsid w:val="135F4BE2"/>
    <w:rsid w:val="1379754E"/>
    <w:rsid w:val="137F4B64"/>
    <w:rsid w:val="13954387"/>
    <w:rsid w:val="139B1A0A"/>
    <w:rsid w:val="139D25C7"/>
    <w:rsid w:val="13BA3DEE"/>
    <w:rsid w:val="13BF3CE4"/>
    <w:rsid w:val="13D03611"/>
    <w:rsid w:val="13D34EB0"/>
    <w:rsid w:val="13F84916"/>
    <w:rsid w:val="14027543"/>
    <w:rsid w:val="141008D8"/>
    <w:rsid w:val="14125FE6"/>
    <w:rsid w:val="14294AD0"/>
    <w:rsid w:val="143516C6"/>
    <w:rsid w:val="14423DE3"/>
    <w:rsid w:val="1457163D"/>
    <w:rsid w:val="146D271E"/>
    <w:rsid w:val="14720225"/>
    <w:rsid w:val="14926B19"/>
    <w:rsid w:val="149503B7"/>
    <w:rsid w:val="14982588"/>
    <w:rsid w:val="149A5AD9"/>
    <w:rsid w:val="14A7619D"/>
    <w:rsid w:val="14B940A6"/>
    <w:rsid w:val="14BD1E65"/>
    <w:rsid w:val="14EB1BED"/>
    <w:rsid w:val="150536C3"/>
    <w:rsid w:val="150C1963"/>
    <w:rsid w:val="151447A0"/>
    <w:rsid w:val="151C4634"/>
    <w:rsid w:val="154A6454"/>
    <w:rsid w:val="154C316C"/>
    <w:rsid w:val="155E2E9F"/>
    <w:rsid w:val="15762120"/>
    <w:rsid w:val="158E72E0"/>
    <w:rsid w:val="15B66837"/>
    <w:rsid w:val="15C01464"/>
    <w:rsid w:val="160475A2"/>
    <w:rsid w:val="162E2871"/>
    <w:rsid w:val="162E461F"/>
    <w:rsid w:val="163A7468"/>
    <w:rsid w:val="164976AB"/>
    <w:rsid w:val="165A18B8"/>
    <w:rsid w:val="166938A9"/>
    <w:rsid w:val="1681529F"/>
    <w:rsid w:val="16A10D7E"/>
    <w:rsid w:val="16A8729C"/>
    <w:rsid w:val="16AE07B1"/>
    <w:rsid w:val="16B234A2"/>
    <w:rsid w:val="16B33777"/>
    <w:rsid w:val="16BC70A7"/>
    <w:rsid w:val="16BE3BF5"/>
    <w:rsid w:val="16C6339E"/>
    <w:rsid w:val="16CF2352"/>
    <w:rsid w:val="16E20245"/>
    <w:rsid w:val="16F47617"/>
    <w:rsid w:val="170F61FF"/>
    <w:rsid w:val="171C091C"/>
    <w:rsid w:val="172F2D79"/>
    <w:rsid w:val="17321856"/>
    <w:rsid w:val="17557BEF"/>
    <w:rsid w:val="176F6C9D"/>
    <w:rsid w:val="17795D6E"/>
    <w:rsid w:val="17947575"/>
    <w:rsid w:val="179901BE"/>
    <w:rsid w:val="17AF79E2"/>
    <w:rsid w:val="17BB0135"/>
    <w:rsid w:val="17D349C1"/>
    <w:rsid w:val="17F11DA8"/>
    <w:rsid w:val="18023FB5"/>
    <w:rsid w:val="180A2E6A"/>
    <w:rsid w:val="181D494B"/>
    <w:rsid w:val="181E4074"/>
    <w:rsid w:val="1830729E"/>
    <w:rsid w:val="184C5231"/>
    <w:rsid w:val="1870062C"/>
    <w:rsid w:val="18817102"/>
    <w:rsid w:val="18830A15"/>
    <w:rsid w:val="18852B28"/>
    <w:rsid w:val="188B5321"/>
    <w:rsid w:val="188D1AD1"/>
    <w:rsid w:val="189270E7"/>
    <w:rsid w:val="18A4506D"/>
    <w:rsid w:val="19037FE5"/>
    <w:rsid w:val="19063631"/>
    <w:rsid w:val="19410B0E"/>
    <w:rsid w:val="19553B50"/>
    <w:rsid w:val="19597C05"/>
    <w:rsid w:val="195B397D"/>
    <w:rsid w:val="196D36B1"/>
    <w:rsid w:val="19836A30"/>
    <w:rsid w:val="198C7FDB"/>
    <w:rsid w:val="19932372"/>
    <w:rsid w:val="19A03A86"/>
    <w:rsid w:val="19A20DD5"/>
    <w:rsid w:val="19AE03F1"/>
    <w:rsid w:val="19CA0B03"/>
    <w:rsid w:val="19DB686C"/>
    <w:rsid w:val="19F93196"/>
    <w:rsid w:val="1A071A03"/>
    <w:rsid w:val="1A1F16AE"/>
    <w:rsid w:val="1A27385F"/>
    <w:rsid w:val="1A3B5C77"/>
    <w:rsid w:val="1A400DC5"/>
    <w:rsid w:val="1A815666"/>
    <w:rsid w:val="1A984BAD"/>
    <w:rsid w:val="1AA11864"/>
    <w:rsid w:val="1AA17AB6"/>
    <w:rsid w:val="1AB8220E"/>
    <w:rsid w:val="1AD803E9"/>
    <w:rsid w:val="1ADF05DE"/>
    <w:rsid w:val="1AE4166C"/>
    <w:rsid w:val="1AF06CFB"/>
    <w:rsid w:val="1AF11B8D"/>
    <w:rsid w:val="1AFE6CB6"/>
    <w:rsid w:val="1B11359C"/>
    <w:rsid w:val="1B2A271F"/>
    <w:rsid w:val="1B414DF5"/>
    <w:rsid w:val="1B522B5E"/>
    <w:rsid w:val="1B530544"/>
    <w:rsid w:val="1B60171F"/>
    <w:rsid w:val="1B713184"/>
    <w:rsid w:val="1B724FAE"/>
    <w:rsid w:val="1B813443"/>
    <w:rsid w:val="1B9E3FF5"/>
    <w:rsid w:val="1BA209CF"/>
    <w:rsid w:val="1BB11F7A"/>
    <w:rsid w:val="1BB4777D"/>
    <w:rsid w:val="1BD75AB8"/>
    <w:rsid w:val="1BE340FE"/>
    <w:rsid w:val="1BEF4851"/>
    <w:rsid w:val="1C0459C2"/>
    <w:rsid w:val="1C1B3B4A"/>
    <w:rsid w:val="1C202C5C"/>
    <w:rsid w:val="1C314E69"/>
    <w:rsid w:val="1C35495A"/>
    <w:rsid w:val="1C760ACE"/>
    <w:rsid w:val="1C7D00AF"/>
    <w:rsid w:val="1C876837"/>
    <w:rsid w:val="1C88086E"/>
    <w:rsid w:val="1C980A44"/>
    <w:rsid w:val="1CF758EF"/>
    <w:rsid w:val="1D061E52"/>
    <w:rsid w:val="1D1C1676"/>
    <w:rsid w:val="1D266CE1"/>
    <w:rsid w:val="1D3963AF"/>
    <w:rsid w:val="1D4330A6"/>
    <w:rsid w:val="1D570900"/>
    <w:rsid w:val="1D5A219E"/>
    <w:rsid w:val="1D6A673C"/>
    <w:rsid w:val="1D9247AE"/>
    <w:rsid w:val="1DAC0C4B"/>
    <w:rsid w:val="1DB567EC"/>
    <w:rsid w:val="1DE657E0"/>
    <w:rsid w:val="1DE877AA"/>
    <w:rsid w:val="1DF51A98"/>
    <w:rsid w:val="1E312EFF"/>
    <w:rsid w:val="1E3D060F"/>
    <w:rsid w:val="1E3F7D2E"/>
    <w:rsid w:val="1E4134E4"/>
    <w:rsid w:val="1E5062B3"/>
    <w:rsid w:val="1E523514"/>
    <w:rsid w:val="1E641526"/>
    <w:rsid w:val="1E714A66"/>
    <w:rsid w:val="1E802593"/>
    <w:rsid w:val="1E8A0861"/>
    <w:rsid w:val="1EA703CC"/>
    <w:rsid w:val="1EAE09F3"/>
    <w:rsid w:val="1EB7330C"/>
    <w:rsid w:val="1F0A0FF3"/>
    <w:rsid w:val="1F100D66"/>
    <w:rsid w:val="1F1F71FB"/>
    <w:rsid w:val="1F42113B"/>
    <w:rsid w:val="1F444EB4"/>
    <w:rsid w:val="1F5771FF"/>
    <w:rsid w:val="1F9C084C"/>
    <w:rsid w:val="1FB07A6C"/>
    <w:rsid w:val="1FB21F74"/>
    <w:rsid w:val="1FBC4A4A"/>
    <w:rsid w:val="1FCB2EDF"/>
    <w:rsid w:val="1FE868A9"/>
    <w:rsid w:val="1FED554B"/>
    <w:rsid w:val="1FED72F9"/>
    <w:rsid w:val="20034907"/>
    <w:rsid w:val="20173E4B"/>
    <w:rsid w:val="202F16C0"/>
    <w:rsid w:val="203D202F"/>
    <w:rsid w:val="204E48BC"/>
    <w:rsid w:val="20827A42"/>
    <w:rsid w:val="20887022"/>
    <w:rsid w:val="208921B3"/>
    <w:rsid w:val="20973DEB"/>
    <w:rsid w:val="20AA343C"/>
    <w:rsid w:val="20B26522"/>
    <w:rsid w:val="20B44310"/>
    <w:rsid w:val="20B6593D"/>
    <w:rsid w:val="20CC6F0F"/>
    <w:rsid w:val="20E56222"/>
    <w:rsid w:val="210C1A01"/>
    <w:rsid w:val="211116EB"/>
    <w:rsid w:val="21231A15"/>
    <w:rsid w:val="213C22E6"/>
    <w:rsid w:val="21505D92"/>
    <w:rsid w:val="216133FC"/>
    <w:rsid w:val="218912A4"/>
    <w:rsid w:val="21CD2F3E"/>
    <w:rsid w:val="21D00C81"/>
    <w:rsid w:val="21D20555"/>
    <w:rsid w:val="21D56769"/>
    <w:rsid w:val="21E52EF3"/>
    <w:rsid w:val="21F7445F"/>
    <w:rsid w:val="21FB5D7B"/>
    <w:rsid w:val="220B1C3D"/>
    <w:rsid w:val="221D1D20"/>
    <w:rsid w:val="22334A87"/>
    <w:rsid w:val="22394A78"/>
    <w:rsid w:val="224D22D1"/>
    <w:rsid w:val="224E3AA0"/>
    <w:rsid w:val="22574EFE"/>
    <w:rsid w:val="226A2E83"/>
    <w:rsid w:val="226D64CF"/>
    <w:rsid w:val="22916662"/>
    <w:rsid w:val="229E110F"/>
    <w:rsid w:val="22A53EBB"/>
    <w:rsid w:val="22B56F98"/>
    <w:rsid w:val="22B63F6F"/>
    <w:rsid w:val="22BE6801"/>
    <w:rsid w:val="22CC31F6"/>
    <w:rsid w:val="22CD6F6E"/>
    <w:rsid w:val="22D60519"/>
    <w:rsid w:val="22EE5862"/>
    <w:rsid w:val="230010F2"/>
    <w:rsid w:val="233500BF"/>
    <w:rsid w:val="23377FF7"/>
    <w:rsid w:val="236B425F"/>
    <w:rsid w:val="23836192"/>
    <w:rsid w:val="238E0DF3"/>
    <w:rsid w:val="23901F29"/>
    <w:rsid w:val="239C0061"/>
    <w:rsid w:val="23A37038"/>
    <w:rsid w:val="23B048C6"/>
    <w:rsid w:val="23B908A4"/>
    <w:rsid w:val="23CB1357"/>
    <w:rsid w:val="23E95BEF"/>
    <w:rsid w:val="23FD0064"/>
    <w:rsid w:val="2409047A"/>
    <w:rsid w:val="245375B0"/>
    <w:rsid w:val="24642C0A"/>
    <w:rsid w:val="247C0C4C"/>
    <w:rsid w:val="24864B8F"/>
    <w:rsid w:val="24B22173"/>
    <w:rsid w:val="24B95AD9"/>
    <w:rsid w:val="24BE24DA"/>
    <w:rsid w:val="24CF5825"/>
    <w:rsid w:val="24D34D10"/>
    <w:rsid w:val="24D663E6"/>
    <w:rsid w:val="24D77F2B"/>
    <w:rsid w:val="24E76A0D"/>
    <w:rsid w:val="24FD7FDE"/>
    <w:rsid w:val="250208DE"/>
    <w:rsid w:val="25205A7B"/>
    <w:rsid w:val="253F4153"/>
    <w:rsid w:val="25583467"/>
    <w:rsid w:val="256516E0"/>
    <w:rsid w:val="258B00E2"/>
    <w:rsid w:val="25A917A6"/>
    <w:rsid w:val="25B52667"/>
    <w:rsid w:val="25BE27CC"/>
    <w:rsid w:val="25E60A73"/>
    <w:rsid w:val="25F74A5C"/>
    <w:rsid w:val="26127ABA"/>
    <w:rsid w:val="2628662C"/>
    <w:rsid w:val="262D45DE"/>
    <w:rsid w:val="263537A8"/>
    <w:rsid w:val="2657371E"/>
    <w:rsid w:val="2661634B"/>
    <w:rsid w:val="2685748B"/>
    <w:rsid w:val="26A53EF9"/>
    <w:rsid w:val="26A94201"/>
    <w:rsid w:val="26AC274F"/>
    <w:rsid w:val="26E66850"/>
    <w:rsid w:val="27044A29"/>
    <w:rsid w:val="27135897"/>
    <w:rsid w:val="271635D9"/>
    <w:rsid w:val="271D34C8"/>
    <w:rsid w:val="27602AA7"/>
    <w:rsid w:val="276142BF"/>
    <w:rsid w:val="276F6846"/>
    <w:rsid w:val="27783712"/>
    <w:rsid w:val="27907362"/>
    <w:rsid w:val="27AB1F74"/>
    <w:rsid w:val="27EB0DC5"/>
    <w:rsid w:val="27F154AD"/>
    <w:rsid w:val="28333E1D"/>
    <w:rsid w:val="283A32F8"/>
    <w:rsid w:val="28454BD6"/>
    <w:rsid w:val="28455253"/>
    <w:rsid w:val="28551971"/>
    <w:rsid w:val="285B1C53"/>
    <w:rsid w:val="289F7086"/>
    <w:rsid w:val="28A560D5"/>
    <w:rsid w:val="28C32028"/>
    <w:rsid w:val="28CC490F"/>
    <w:rsid w:val="28DE40AA"/>
    <w:rsid w:val="291458F7"/>
    <w:rsid w:val="29345E77"/>
    <w:rsid w:val="293470A9"/>
    <w:rsid w:val="294361DC"/>
    <w:rsid w:val="294C65AD"/>
    <w:rsid w:val="29806583"/>
    <w:rsid w:val="298B3C4C"/>
    <w:rsid w:val="29973066"/>
    <w:rsid w:val="29D82DC8"/>
    <w:rsid w:val="29E277A3"/>
    <w:rsid w:val="29E4176D"/>
    <w:rsid w:val="29F26D24"/>
    <w:rsid w:val="2A15033F"/>
    <w:rsid w:val="2A1662C1"/>
    <w:rsid w:val="2A1C7367"/>
    <w:rsid w:val="2A2815FA"/>
    <w:rsid w:val="2A6D6092"/>
    <w:rsid w:val="2A7D76B4"/>
    <w:rsid w:val="2A8E16D9"/>
    <w:rsid w:val="2A9A6937"/>
    <w:rsid w:val="2AB4113F"/>
    <w:rsid w:val="2AE01F34"/>
    <w:rsid w:val="2AE8703B"/>
    <w:rsid w:val="2B2C5A27"/>
    <w:rsid w:val="2B400C25"/>
    <w:rsid w:val="2B437463"/>
    <w:rsid w:val="2B4F3221"/>
    <w:rsid w:val="2B7807EE"/>
    <w:rsid w:val="2BBF00EC"/>
    <w:rsid w:val="2BC37CFD"/>
    <w:rsid w:val="2BD5237F"/>
    <w:rsid w:val="2BDB26FC"/>
    <w:rsid w:val="2BE536CE"/>
    <w:rsid w:val="2BE758D9"/>
    <w:rsid w:val="2BF612E4"/>
    <w:rsid w:val="2C09049E"/>
    <w:rsid w:val="2C0A653C"/>
    <w:rsid w:val="2C161986"/>
    <w:rsid w:val="2C191F85"/>
    <w:rsid w:val="2C257460"/>
    <w:rsid w:val="2C4E7372"/>
    <w:rsid w:val="2C66290D"/>
    <w:rsid w:val="2CA01AF4"/>
    <w:rsid w:val="2CA24B61"/>
    <w:rsid w:val="2CD605AC"/>
    <w:rsid w:val="2CDF7FCA"/>
    <w:rsid w:val="2CE82D6F"/>
    <w:rsid w:val="2D2F5434"/>
    <w:rsid w:val="2D343236"/>
    <w:rsid w:val="2D6B7AAF"/>
    <w:rsid w:val="2D7746A6"/>
    <w:rsid w:val="2DA3549B"/>
    <w:rsid w:val="2DD15014"/>
    <w:rsid w:val="2DF72DE4"/>
    <w:rsid w:val="2E0220AF"/>
    <w:rsid w:val="2E3D31FA"/>
    <w:rsid w:val="2E4B082A"/>
    <w:rsid w:val="2E5D4E86"/>
    <w:rsid w:val="2E5D790B"/>
    <w:rsid w:val="2E8B665B"/>
    <w:rsid w:val="2E960B5C"/>
    <w:rsid w:val="2E9A3C18"/>
    <w:rsid w:val="2EA414CB"/>
    <w:rsid w:val="2EBB0FEE"/>
    <w:rsid w:val="2EC35DF5"/>
    <w:rsid w:val="2EC63002"/>
    <w:rsid w:val="2EE30245"/>
    <w:rsid w:val="2EF73CF0"/>
    <w:rsid w:val="2F034C03"/>
    <w:rsid w:val="2F0A6B38"/>
    <w:rsid w:val="2F176141"/>
    <w:rsid w:val="2F5527C5"/>
    <w:rsid w:val="2F946CCB"/>
    <w:rsid w:val="2F963509"/>
    <w:rsid w:val="2FA63021"/>
    <w:rsid w:val="2FA84FEB"/>
    <w:rsid w:val="2FD25781"/>
    <w:rsid w:val="2FE06533"/>
    <w:rsid w:val="2FF26266"/>
    <w:rsid w:val="2FFD7934"/>
    <w:rsid w:val="3034062C"/>
    <w:rsid w:val="303636D2"/>
    <w:rsid w:val="303D5733"/>
    <w:rsid w:val="30550CCF"/>
    <w:rsid w:val="30733ACD"/>
    <w:rsid w:val="3075311F"/>
    <w:rsid w:val="30760C45"/>
    <w:rsid w:val="307D1FD3"/>
    <w:rsid w:val="308C3862"/>
    <w:rsid w:val="309379D8"/>
    <w:rsid w:val="30A270F7"/>
    <w:rsid w:val="30D047F9"/>
    <w:rsid w:val="30D140CD"/>
    <w:rsid w:val="30D836AE"/>
    <w:rsid w:val="30DF1478"/>
    <w:rsid w:val="30EC586F"/>
    <w:rsid w:val="310B5831"/>
    <w:rsid w:val="314F1BC2"/>
    <w:rsid w:val="315076E8"/>
    <w:rsid w:val="3163741B"/>
    <w:rsid w:val="31662A68"/>
    <w:rsid w:val="31723B02"/>
    <w:rsid w:val="317C04DD"/>
    <w:rsid w:val="31905D36"/>
    <w:rsid w:val="319C6071"/>
    <w:rsid w:val="31A11CF2"/>
    <w:rsid w:val="31AC537E"/>
    <w:rsid w:val="31E3679B"/>
    <w:rsid w:val="31E732FD"/>
    <w:rsid w:val="31FA213D"/>
    <w:rsid w:val="32517576"/>
    <w:rsid w:val="327F0285"/>
    <w:rsid w:val="32BC3287"/>
    <w:rsid w:val="32BD0DAD"/>
    <w:rsid w:val="32BE5C2C"/>
    <w:rsid w:val="32C5465E"/>
    <w:rsid w:val="32D14858"/>
    <w:rsid w:val="32E20814"/>
    <w:rsid w:val="32E71EAB"/>
    <w:rsid w:val="32FB6478"/>
    <w:rsid w:val="33263B3F"/>
    <w:rsid w:val="33266952"/>
    <w:rsid w:val="332E5807"/>
    <w:rsid w:val="33354DE7"/>
    <w:rsid w:val="335E433E"/>
    <w:rsid w:val="33653315"/>
    <w:rsid w:val="336963EB"/>
    <w:rsid w:val="337376BE"/>
    <w:rsid w:val="33816EEB"/>
    <w:rsid w:val="338D69D1"/>
    <w:rsid w:val="33B95A18"/>
    <w:rsid w:val="33D97E69"/>
    <w:rsid w:val="33DC34B5"/>
    <w:rsid w:val="33DE547F"/>
    <w:rsid w:val="33EB55CD"/>
    <w:rsid w:val="33EC4C02"/>
    <w:rsid w:val="33EC7B9C"/>
    <w:rsid w:val="340D2360"/>
    <w:rsid w:val="3410665D"/>
    <w:rsid w:val="34211214"/>
    <w:rsid w:val="342E63AB"/>
    <w:rsid w:val="346C2A8B"/>
    <w:rsid w:val="34853EAB"/>
    <w:rsid w:val="34950E68"/>
    <w:rsid w:val="34986E94"/>
    <w:rsid w:val="349D2C44"/>
    <w:rsid w:val="34AF62C9"/>
    <w:rsid w:val="34CB4388"/>
    <w:rsid w:val="34FA6E12"/>
    <w:rsid w:val="3502519D"/>
    <w:rsid w:val="350607E9"/>
    <w:rsid w:val="35153C60"/>
    <w:rsid w:val="351F7AFD"/>
    <w:rsid w:val="3558300F"/>
    <w:rsid w:val="356B4464"/>
    <w:rsid w:val="358B0CEF"/>
    <w:rsid w:val="358D5588"/>
    <w:rsid w:val="35F965A0"/>
    <w:rsid w:val="361A58E1"/>
    <w:rsid w:val="363A3B40"/>
    <w:rsid w:val="363C648D"/>
    <w:rsid w:val="365302AE"/>
    <w:rsid w:val="36607A0A"/>
    <w:rsid w:val="366E227C"/>
    <w:rsid w:val="366F2E0D"/>
    <w:rsid w:val="367B6A5C"/>
    <w:rsid w:val="36857E34"/>
    <w:rsid w:val="36911A0F"/>
    <w:rsid w:val="36A74ADA"/>
    <w:rsid w:val="36AD60D5"/>
    <w:rsid w:val="36B224F9"/>
    <w:rsid w:val="36B773E0"/>
    <w:rsid w:val="36E903C3"/>
    <w:rsid w:val="36EC0CC9"/>
    <w:rsid w:val="37052D23"/>
    <w:rsid w:val="372633C5"/>
    <w:rsid w:val="373F410B"/>
    <w:rsid w:val="3757357E"/>
    <w:rsid w:val="375D66BB"/>
    <w:rsid w:val="37D7646D"/>
    <w:rsid w:val="37EE7094"/>
    <w:rsid w:val="3805122C"/>
    <w:rsid w:val="381C675D"/>
    <w:rsid w:val="38217669"/>
    <w:rsid w:val="38296C89"/>
    <w:rsid w:val="383002EB"/>
    <w:rsid w:val="38327B47"/>
    <w:rsid w:val="384C6E5B"/>
    <w:rsid w:val="38586797"/>
    <w:rsid w:val="389D76B7"/>
    <w:rsid w:val="38AC5B4C"/>
    <w:rsid w:val="38BC0149"/>
    <w:rsid w:val="38D87D1C"/>
    <w:rsid w:val="38DE45A4"/>
    <w:rsid w:val="38E47094"/>
    <w:rsid w:val="38E928FC"/>
    <w:rsid w:val="38FB43DD"/>
    <w:rsid w:val="39131727"/>
    <w:rsid w:val="39182B96"/>
    <w:rsid w:val="39227BBC"/>
    <w:rsid w:val="39276F80"/>
    <w:rsid w:val="393022D9"/>
    <w:rsid w:val="39636459"/>
    <w:rsid w:val="396B7F6C"/>
    <w:rsid w:val="398762A8"/>
    <w:rsid w:val="39AB7BB1"/>
    <w:rsid w:val="39B417A9"/>
    <w:rsid w:val="39BD78E5"/>
    <w:rsid w:val="39C96289"/>
    <w:rsid w:val="39D07618"/>
    <w:rsid w:val="39D92970"/>
    <w:rsid w:val="39F23A32"/>
    <w:rsid w:val="39F5707E"/>
    <w:rsid w:val="39FC5695"/>
    <w:rsid w:val="3A006D8E"/>
    <w:rsid w:val="3A217E73"/>
    <w:rsid w:val="3A3651E5"/>
    <w:rsid w:val="3A744481"/>
    <w:rsid w:val="3A8C7BEF"/>
    <w:rsid w:val="3A906246"/>
    <w:rsid w:val="3AA52853"/>
    <w:rsid w:val="3ABB3E24"/>
    <w:rsid w:val="3AE25855"/>
    <w:rsid w:val="3AEE244B"/>
    <w:rsid w:val="3AF61300"/>
    <w:rsid w:val="3AF70BD4"/>
    <w:rsid w:val="3B0357CB"/>
    <w:rsid w:val="3B2349B7"/>
    <w:rsid w:val="3B3B4F65"/>
    <w:rsid w:val="3B6049CB"/>
    <w:rsid w:val="3B616CFF"/>
    <w:rsid w:val="3B6259F6"/>
    <w:rsid w:val="3B6A75F8"/>
    <w:rsid w:val="3B7010B2"/>
    <w:rsid w:val="3B820DE6"/>
    <w:rsid w:val="3B893F22"/>
    <w:rsid w:val="3B9052B1"/>
    <w:rsid w:val="3B976654"/>
    <w:rsid w:val="3BBD1E1E"/>
    <w:rsid w:val="3BC01EFC"/>
    <w:rsid w:val="3BC62A80"/>
    <w:rsid w:val="3BCA786A"/>
    <w:rsid w:val="3BD056AD"/>
    <w:rsid w:val="3BD31E2F"/>
    <w:rsid w:val="3BF15831"/>
    <w:rsid w:val="3C105946"/>
    <w:rsid w:val="3C28373B"/>
    <w:rsid w:val="3C406CD7"/>
    <w:rsid w:val="3C471448"/>
    <w:rsid w:val="3C5938F5"/>
    <w:rsid w:val="3C5F759A"/>
    <w:rsid w:val="3C65673D"/>
    <w:rsid w:val="3C6A3D54"/>
    <w:rsid w:val="3C6C525A"/>
    <w:rsid w:val="3C7E15AD"/>
    <w:rsid w:val="3CA8662A"/>
    <w:rsid w:val="3CB13731"/>
    <w:rsid w:val="3CBE4D47"/>
    <w:rsid w:val="3CCE23CB"/>
    <w:rsid w:val="3CD17D17"/>
    <w:rsid w:val="3CD411CD"/>
    <w:rsid w:val="3CE60F00"/>
    <w:rsid w:val="3CE77152"/>
    <w:rsid w:val="3CFE449C"/>
    <w:rsid w:val="3D255ECD"/>
    <w:rsid w:val="3D3C7F39"/>
    <w:rsid w:val="3D3E0D3C"/>
    <w:rsid w:val="3D3F6F8E"/>
    <w:rsid w:val="3D404AB5"/>
    <w:rsid w:val="3D440F09"/>
    <w:rsid w:val="3D4504A0"/>
    <w:rsid w:val="3D532A3A"/>
    <w:rsid w:val="3D695DB9"/>
    <w:rsid w:val="3D8734BB"/>
    <w:rsid w:val="3D9A11D4"/>
    <w:rsid w:val="3DA16D89"/>
    <w:rsid w:val="3DA364BE"/>
    <w:rsid w:val="3DA52B6A"/>
    <w:rsid w:val="3DBA4867"/>
    <w:rsid w:val="3DE041CB"/>
    <w:rsid w:val="3E0D48F6"/>
    <w:rsid w:val="3E1868B4"/>
    <w:rsid w:val="3E1A5306"/>
    <w:rsid w:val="3E2D5039"/>
    <w:rsid w:val="3E377251"/>
    <w:rsid w:val="3E3C527C"/>
    <w:rsid w:val="3E42664B"/>
    <w:rsid w:val="3E483C21"/>
    <w:rsid w:val="3E515CA9"/>
    <w:rsid w:val="3E5527E2"/>
    <w:rsid w:val="3E5A7334"/>
    <w:rsid w:val="3E611186"/>
    <w:rsid w:val="3E79027E"/>
    <w:rsid w:val="3E7B5D6B"/>
    <w:rsid w:val="3E843E66"/>
    <w:rsid w:val="3E8F51FE"/>
    <w:rsid w:val="3E926F87"/>
    <w:rsid w:val="3E9450B8"/>
    <w:rsid w:val="3E9A59DE"/>
    <w:rsid w:val="3EAF4836"/>
    <w:rsid w:val="3EB43064"/>
    <w:rsid w:val="3EBD7BD9"/>
    <w:rsid w:val="3EC33DFA"/>
    <w:rsid w:val="3ECF60F0"/>
    <w:rsid w:val="3F060E16"/>
    <w:rsid w:val="3F0D6C18"/>
    <w:rsid w:val="3F185CE9"/>
    <w:rsid w:val="3F1D1096"/>
    <w:rsid w:val="3F2F0234"/>
    <w:rsid w:val="3F375A43"/>
    <w:rsid w:val="3F43088C"/>
    <w:rsid w:val="3F544847"/>
    <w:rsid w:val="3F6031EC"/>
    <w:rsid w:val="3F6363FE"/>
    <w:rsid w:val="3F756B8F"/>
    <w:rsid w:val="3F80563C"/>
    <w:rsid w:val="3F95482B"/>
    <w:rsid w:val="3FA806EF"/>
    <w:rsid w:val="3FDA11F0"/>
    <w:rsid w:val="3FEC4A80"/>
    <w:rsid w:val="40026051"/>
    <w:rsid w:val="40030C42"/>
    <w:rsid w:val="40091AAF"/>
    <w:rsid w:val="40093884"/>
    <w:rsid w:val="4019356B"/>
    <w:rsid w:val="40324B88"/>
    <w:rsid w:val="40396881"/>
    <w:rsid w:val="40592157"/>
    <w:rsid w:val="40662A84"/>
    <w:rsid w:val="40672358"/>
    <w:rsid w:val="406E1CAE"/>
    <w:rsid w:val="407E2422"/>
    <w:rsid w:val="40874B77"/>
    <w:rsid w:val="40A0133A"/>
    <w:rsid w:val="40C31A53"/>
    <w:rsid w:val="40ED32DF"/>
    <w:rsid w:val="40FF545D"/>
    <w:rsid w:val="410067C8"/>
    <w:rsid w:val="412D0F69"/>
    <w:rsid w:val="41807B75"/>
    <w:rsid w:val="418F0D2A"/>
    <w:rsid w:val="419B050B"/>
    <w:rsid w:val="41AE6491"/>
    <w:rsid w:val="41C537DA"/>
    <w:rsid w:val="41D01505"/>
    <w:rsid w:val="41E974C9"/>
    <w:rsid w:val="41EC3710"/>
    <w:rsid w:val="41FB71FC"/>
    <w:rsid w:val="420C1409"/>
    <w:rsid w:val="420E6F2F"/>
    <w:rsid w:val="423544BC"/>
    <w:rsid w:val="42474939"/>
    <w:rsid w:val="424C3C57"/>
    <w:rsid w:val="42613FF3"/>
    <w:rsid w:val="42660D96"/>
    <w:rsid w:val="428667D2"/>
    <w:rsid w:val="428C60A6"/>
    <w:rsid w:val="42BA2C13"/>
    <w:rsid w:val="42C10446"/>
    <w:rsid w:val="42CD1CE0"/>
    <w:rsid w:val="42E1381E"/>
    <w:rsid w:val="42ED6459"/>
    <w:rsid w:val="42FE58DD"/>
    <w:rsid w:val="43174B3D"/>
    <w:rsid w:val="43397FDC"/>
    <w:rsid w:val="434B790E"/>
    <w:rsid w:val="4360274F"/>
    <w:rsid w:val="436D5ED7"/>
    <w:rsid w:val="43911BC6"/>
    <w:rsid w:val="43917E18"/>
    <w:rsid w:val="43923B90"/>
    <w:rsid w:val="43977AB6"/>
    <w:rsid w:val="43A3342B"/>
    <w:rsid w:val="43C77C27"/>
    <w:rsid w:val="43D321DE"/>
    <w:rsid w:val="43DE09EE"/>
    <w:rsid w:val="43E4263E"/>
    <w:rsid w:val="43E837B0"/>
    <w:rsid w:val="44002FAD"/>
    <w:rsid w:val="442E38B9"/>
    <w:rsid w:val="44745E39"/>
    <w:rsid w:val="448654A3"/>
    <w:rsid w:val="449101DD"/>
    <w:rsid w:val="4496320C"/>
    <w:rsid w:val="44BA514C"/>
    <w:rsid w:val="44DC3315"/>
    <w:rsid w:val="44DE1391"/>
    <w:rsid w:val="44E65F41"/>
    <w:rsid w:val="451B225C"/>
    <w:rsid w:val="452410C9"/>
    <w:rsid w:val="45246A6A"/>
    <w:rsid w:val="452D1DC2"/>
    <w:rsid w:val="452D3B70"/>
    <w:rsid w:val="452F78E8"/>
    <w:rsid w:val="45317DFB"/>
    <w:rsid w:val="456D3CE4"/>
    <w:rsid w:val="4579042C"/>
    <w:rsid w:val="457A48DC"/>
    <w:rsid w:val="457F0571"/>
    <w:rsid w:val="45851176"/>
    <w:rsid w:val="459D1ED8"/>
    <w:rsid w:val="45A100BA"/>
    <w:rsid w:val="45BA31A1"/>
    <w:rsid w:val="45C63B94"/>
    <w:rsid w:val="45DB7954"/>
    <w:rsid w:val="460E7DA5"/>
    <w:rsid w:val="462C207A"/>
    <w:rsid w:val="46422483"/>
    <w:rsid w:val="4659254A"/>
    <w:rsid w:val="465B0637"/>
    <w:rsid w:val="465E3F0D"/>
    <w:rsid w:val="466A16E6"/>
    <w:rsid w:val="466C691A"/>
    <w:rsid w:val="46753A21"/>
    <w:rsid w:val="46893F2B"/>
    <w:rsid w:val="468C2B19"/>
    <w:rsid w:val="46C4686E"/>
    <w:rsid w:val="4714323A"/>
    <w:rsid w:val="47341AA2"/>
    <w:rsid w:val="477B778F"/>
    <w:rsid w:val="478203EC"/>
    <w:rsid w:val="47863A0C"/>
    <w:rsid w:val="4793052E"/>
    <w:rsid w:val="47975C19"/>
    <w:rsid w:val="47A86B82"/>
    <w:rsid w:val="47B025FA"/>
    <w:rsid w:val="47C36A0E"/>
    <w:rsid w:val="47CA1B4A"/>
    <w:rsid w:val="47D0517F"/>
    <w:rsid w:val="47D227AD"/>
    <w:rsid w:val="47DC362C"/>
    <w:rsid w:val="47ED6C89"/>
    <w:rsid w:val="4809698F"/>
    <w:rsid w:val="4811697D"/>
    <w:rsid w:val="48266A01"/>
    <w:rsid w:val="485D41B8"/>
    <w:rsid w:val="487A3E25"/>
    <w:rsid w:val="4888456B"/>
    <w:rsid w:val="488B5503"/>
    <w:rsid w:val="48937E21"/>
    <w:rsid w:val="489A0361"/>
    <w:rsid w:val="489D725F"/>
    <w:rsid w:val="48B94FF3"/>
    <w:rsid w:val="48C20A74"/>
    <w:rsid w:val="48E37AAB"/>
    <w:rsid w:val="48F14EB5"/>
    <w:rsid w:val="48FD4B4C"/>
    <w:rsid w:val="490A68E0"/>
    <w:rsid w:val="491055FE"/>
    <w:rsid w:val="491F7C74"/>
    <w:rsid w:val="492E6109"/>
    <w:rsid w:val="4933371F"/>
    <w:rsid w:val="495F5B3E"/>
    <w:rsid w:val="496F77D7"/>
    <w:rsid w:val="49757894"/>
    <w:rsid w:val="497654FD"/>
    <w:rsid w:val="499E503D"/>
    <w:rsid w:val="49B05850"/>
    <w:rsid w:val="49B64211"/>
    <w:rsid w:val="49CD0194"/>
    <w:rsid w:val="49F6167F"/>
    <w:rsid w:val="4A064FA0"/>
    <w:rsid w:val="4A16615C"/>
    <w:rsid w:val="4A2A4B22"/>
    <w:rsid w:val="4A4424D7"/>
    <w:rsid w:val="4A55426B"/>
    <w:rsid w:val="4AB82D0F"/>
    <w:rsid w:val="4ABD5996"/>
    <w:rsid w:val="4AD131F0"/>
    <w:rsid w:val="4AEB7664"/>
    <w:rsid w:val="4AFD7C19"/>
    <w:rsid w:val="4B0567D1"/>
    <w:rsid w:val="4B0B6702"/>
    <w:rsid w:val="4B133808"/>
    <w:rsid w:val="4B236AAE"/>
    <w:rsid w:val="4B3774F7"/>
    <w:rsid w:val="4B707271"/>
    <w:rsid w:val="4B9739F7"/>
    <w:rsid w:val="4BEE2503"/>
    <w:rsid w:val="4C245A30"/>
    <w:rsid w:val="4C910E89"/>
    <w:rsid w:val="4CB6685F"/>
    <w:rsid w:val="4CC367FE"/>
    <w:rsid w:val="4CD11285"/>
    <w:rsid w:val="4CE25674"/>
    <w:rsid w:val="4D077F3C"/>
    <w:rsid w:val="4D123355"/>
    <w:rsid w:val="4D2A3B31"/>
    <w:rsid w:val="4D312C52"/>
    <w:rsid w:val="4D905305"/>
    <w:rsid w:val="4D964A72"/>
    <w:rsid w:val="4D9C1254"/>
    <w:rsid w:val="4D9F75D5"/>
    <w:rsid w:val="4DCB03CA"/>
    <w:rsid w:val="4E0F475B"/>
    <w:rsid w:val="4E2D4BE1"/>
    <w:rsid w:val="4E4361B3"/>
    <w:rsid w:val="4E4A7541"/>
    <w:rsid w:val="4E691E66"/>
    <w:rsid w:val="4E793892"/>
    <w:rsid w:val="4E800872"/>
    <w:rsid w:val="4E9B1B4B"/>
    <w:rsid w:val="4EC569ED"/>
    <w:rsid w:val="4ED212E5"/>
    <w:rsid w:val="4ED50EA1"/>
    <w:rsid w:val="4EEC050C"/>
    <w:rsid w:val="4EFA0F67"/>
    <w:rsid w:val="4F104EC3"/>
    <w:rsid w:val="4F1D07B2"/>
    <w:rsid w:val="4F2D4448"/>
    <w:rsid w:val="4F47354A"/>
    <w:rsid w:val="4F846A83"/>
    <w:rsid w:val="4F911C54"/>
    <w:rsid w:val="4FA17635"/>
    <w:rsid w:val="4FD572DE"/>
    <w:rsid w:val="4FE625E0"/>
    <w:rsid w:val="4FFE6835"/>
    <w:rsid w:val="500478DE"/>
    <w:rsid w:val="5021480F"/>
    <w:rsid w:val="503A5994"/>
    <w:rsid w:val="50827760"/>
    <w:rsid w:val="508F3931"/>
    <w:rsid w:val="50962ECB"/>
    <w:rsid w:val="50A42E38"/>
    <w:rsid w:val="50A4577F"/>
    <w:rsid w:val="50B73D1F"/>
    <w:rsid w:val="50BD5BC9"/>
    <w:rsid w:val="50C11EEE"/>
    <w:rsid w:val="50D77086"/>
    <w:rsid w:val="50D92DFE"/>
    <w:rsid w:val="50E97CFC"/>
    <w:rsid w:val="50F934A0"/>
    <w:rsid w:val="50FA4028"/>
    <w:rsid w:val="510D65B7"/>
    <w:rsid w:val="51100A1F"/>
    <w:rsid w:val="511157AB"/>
    <w:rsid w:val="513242BC"/>
    <w:rsid w:val="5142540C"/>
    <w:rsid w:val="516E3547"/>
    <w:rsid w:val="518832C8"/>
    <w:rsid w:val="519B6306"/>
    <w:rsid w:val="51A0432A"/>
    <w:rsid w:val="51A86090"/>
    <w:rsid w:val="51B7396D"/>
    <w:rsid w:val="522E4CC3"/>
    <w:rsid w:val="52302EF2"/>
    <w:rsid w:val="52397FF8"/>
    <w:rsid w:val="5244713B"/>
    <w:rsid w:val="524B7D2C"/>
    <w:rsid w:val="52615633"/>
    <w:rsid w:val="52636E23"/>
    <w:rsid w:val="527A5E46"/>
    <w:rsid w:val="52943481"/>
    <w:rsid w:val="52977FD4"/>
    <w:rsid w:val="52A25790"/>
    <w:rsid w:val="52A96B6F"/>
    <w:rsid w:val="52B45975"/>
    <w:rsid w:val="52B4767F"/>
    <w:rsid w:val="52BB0A0D"/>
    <w:rsid w:val="52D41ACF"/>
    <w:rsid w:val="52D752CA"/>
    <w:rsid w:val="52D94AA4"/>
    <w:rsid w:val="52E837CD"/>
    <w:rsid w:val="52EA3A62"/>
    <w:rsid w:val="52F50BB8"/>
    <w:rsid w:val="52FB1EAD"/>
    <w:rsid w:val="530302C4"/>
    <w:rsid w:val="53097272"/>
    <w:rsid w:val="53231825"/>
    <w:rsid w:val="53544462"/>
    <w:rsid w:val="535D1AC5"/>
    <w:rsid w:val="536253DF"/>
    <w:rsid w:val="538E1C7E"/>
    <w:rsid w:val="5397158E"/>
    <w:rsid w:val="53B536AF"/>
    <w:rsid w:val="53B84F4D"/>
    <w:rsid w:val="53DB0C3B"/>
    <w:rsid w:val="54013861"/>
    <w:rsid w:val="5402266C"/>
    <w:rsid w:val="54136627"/>
    <w:rsid w:val="542720D3"/>
    <w:rsid w:val="542E3461"/>
    <w:rsid w:val="5438608E"/>
    <w:rsid w:val="54487265"/>
    <w:rsid w:val="544D6070"/>
    <w:rsid w:val="5452714F"/>
    <w:rsid w:val="54605E1E"/>
    <w:rsid w:val="54B3506A"/>
    <w:rsid w:val="54CA0D16"/>
    <w:rsid w:val="54DD4057"/>
    <w:rsid w:val="54E7490F"/>
    <w:rsid w:val="54F226E1"/>
    <w:rsid w:val="55004DFD"/>
    <w:rsid w:val="550764A4"/>
    <w:rsid w:val="550B2BF6"/>
    <w:rsid w:val="55142657"/>
    <w:rsid w:val="55214EB5"/>
    <w:rsid w:val="55364EFD"/>
    <w:rsid w:val="553700F3"/>
    <w:rsid w:val="554A6079"/>
    <w:rsid w:val="554C0043"/>
    <w:rsid w:val="555B64D8"/>
    <w:rsid w:val="555D4828"/>
    <w:rsid w:val="55610808"/>
    <w:rsid w:val="557A4C8B"/>
    <w:rsid w:val="558931E1"/>
    <w:rsid w:val="55923347"/>
    <w:rsid w:val="55925180"/>
    <w:rsid w:val="55983B1B"/>
    <w:rsid w:val="55A8376B"/>
    <w:rsid w:val="55BF0815"/>
    <w:rsid w:val="55DC29B6"/>
    <w:rsid w:val="55DD4241"/>
    <w:rsid w:val="55FC3817"/>
    <w:rsid w:val="561B17C3"/>
    <w:rsid w:val="565C42B5"/>
    <w:rsid w:val="56665134"/>
    <w:rsid w:val="566B6D1E"/>
    <w:rsid w:val="569C2904"/>
    <w:rsid w:val="56BA5480"/>
    <w:rsid w:val="56E83918"/>
    <w:rsid w:val="57032A2C"/>
    <w:rsid w:val="570F5219"/>
    <w:rsid w:val="57357EFC"/>
    <w:rsid w:val="57362D58"/>
    <w:rsid w:val="574F3C5A"/>
    <w:rsid w:val="575D12B5"/>
    <w:rsid w:val="57610A87"/>
    <w:rsid w:val="577B1140"/>
    <w:rsid w:val="577B7F21"/>
    <w:rsid w:val="577F181B"/>
    <w:rsid w:val="57882E88"/>
    <w:rsid w:val="57921984"/>
    <w:rsid w:val="579737F0"/>
    <w:rsid w:val="57AB7B30"/>
    <w:rsid w:val="57AF5251"/>
    <w:rsid w:val="57B26373"/>
    <w:rsid w:val="57B63F04"/>
    <w:rsid w:val="57CD20C2"/>
    <w:rsid w:val="57D32355"/>
    <w:rsid w:val="57D675AB"/>
    <w:rsid w:val="57D95FDD"/>
    <w:rsid w:val="57DA7B88"/>
    <w:rsid w:val="580746F5"/>
    <w:rsid w:val="58240E03"/>
    <w:rsid w:val="58917D2F"/>
    <w:rsid w:val="5894085C"/>
    <w:rsid w:val="58953AAF"/>
    <w:rsid w:val="58AE4F0C"/>
    <w:rsid w:val="58B85899"/>
    <w:rsid w:val="58BF0B2C"/>
    <w:rsid w:val="58DC16DE"/>
    <w:rsid w:val="58E363A9"/>
    <w:rsid w:val="5900361E"/>
    <w:rsid w:val="591A3FB4"/>
    <w:rsid w:val="592B4413"/>
    <w:rsid w:val="594A6647"/>
    <w:rsid w:val="59592D2E"/>
    <w:rsid w:val="595E1678"/>
    <w:rsid w:val="596D5BD4"/>
    <w:rsid w:val="597933D0"/>
    <w:rsid w:val="597E3DD8"/>
    <w:rsid w:val="59A3044D"/>
    <w:rsid w:val="59B91A1F"/>
    <w:rsid w:val="59C81C62"/>
    <w:rsid w:val="59DD570D"/>
    <w:rsid w:val="59F80043"/>
    <w:rsid w:val="59FD5DAF"/>
    <w:rsid w:val="5A09252F"/>
    <w:rsid w:val="5A0B2778"/>
    <w:rsid w:val="5A1D3D5C"/>
    <w:rsid w:val="5A2A7C7B"/>
    <w:rsid w:val="5A3E2560"/>
    <w:rsid w:val="5A5D3B6E"/>
    <w:rsid w:val="5A637A76"/>
    <w:rsid w:val="5A6978F4"/>
    <w:rsid w:val="5A6D33BA"/>
    <w:rsid w:val="5A792B1F"/>
    <w:rsid w:val="5A874767"/>
    <w:rsid w:val="5A8913F1"/>
    <w:rsid w:val="5AAD6F28"/>
    <w:rsid w:val="5ACB7C5C"/>
    <w:rsid w:val="5AD63A24"/>
    <w:rsid w:val="5AF56A87"/>
    <w:rsid w:val="5B0867BA"/>
    <w:rsid w:val="5B172EA1"/>
    <w:rsid w:val="5B231846"/>
    <w:rsid w:val="5B2E1A1D"/>
    <w:rsid w:val="5B3C46B5"/>
    <w:rsid w:val="5B5248A0"/>
    <w:rsid w:val="5B5F03A4"/>
    <w:rsid w:val="5B623723"/>
    <w:rsid w:val="5B6A7475"/>
    <w:rsid w:val="5B843A1C"/>
    <w:rsid w:val="5B873E3F"/>
    <w:rsid w:val="5B8F6EDB"/>
    <w:rsid w:val="5B9E711E"/>
    <w:rsid w:val="5BAC183B"/>
    <w:rsid w:val="5BB52415"/>
    <w:rsid w:val="5BBE156E"/>
    <w:rsid w:val="5BE2525D"/>
    <w:rsid w:val="5C02690E"/>
    <w:rsid w:val="5C0276AD"/>
    <w:rsid w:val="5C196DA7"/>
    <w:rsid w:val="5C2A048C"/>
    <w:rsid w:val="5C2C472A"/>
    <w:rsid w:val="5C433A95"/>
    <w:rsid w:val="5C69772C"/>
    <w:rsid w:val="5C6F7AEE"/>
    <w:rsid w:val="5C7E0331"/>
    <w:rsid w:val="5C80234E"/>
    <w:rsid w:val="5C8A680C"/>
    <w:rsid w:val="5CD8040E"/>
    <w:rsid w:val="5CDD3C76"/>
    <w:rsid w:val="5D041203"/>
    <w:rsid w:val="5D064F7B"/>
    <w:rsid w:val="5D066D29"/>
    <w:rsid w:val="5D0C4701"/>
    <w:rsid w:val="5D0F0395"/>
    <w:rsid w:val="5D177188"/>
    <w:rsid w:val="5D221076"/>
    <w:rsid w:val="5D375134"/>
    <w:rsid w:val="5D397964"/>
    <w:rsid w:val="5D595B2D"/>
    <w:rsid w:val="5D5A391C"/>
    <w:rsid w:val="5D5F10C0"/>
    <w:rsid w:val="5D891B7B"/>
    <w:rsid w:val="5DA402F0"/>
    <w:rsid w:val="5DA6050C"/>
    <w:rsid w:val="5DAD3649"/>
    <w:rsid w:val="5DAD38EE"/>
    <w:rsid w:val="5DCB1D21"/>
    <w:rsid w:val="5DF179D9"/>
    <w:rsid w:val="5DF41277"/>
    <w:rsid w:val="5DF52328"/>
    <w:rsid w:val="5E006862"/>
    <w:rsid w:val="5E0207B9"/>
    <w:rsid w:val="5E1834A1"/>
    <w:rsid w:val="5E261785"/>
    <w:rsid w:val="5E4A7017"/>
    <w:rsid w:val="5E552BBA"/>
    <w:rsid w:val="5E611C10"/>
    <w:rsid w:val="5E6E01B6"/>
    <w:rsid w:val="5E800D5D"/>
    <w:rsid w:val="5E88169C"/>
    <w:rsid w:val="5E8F0FA0"/>
    <w:rsid w:val="5E9B7945"/>
    <w:rsid w:val="5EC46E9C"/>
    <w:rsid w:val="5EF62DCD"/>
    <w:rsid w:val="5EF86B45"/>
    <w:rsid w:val="5EFC7377"/>
    <w:rsid w:val="5F06174D"/>
    <w:rsid w:val="5F3A3602"/>
    <w:rsid w:val="5F4E49B7"/>
    <w:rsid w:val="5F6277C6"/>
    <w:rsid w:val="5F6D0B1D"/>
    <w:rsid w:val="5F8D0B82"/>
    <w:rsid w:val="5FBB029F"/>
    <w:rsid w:val="5FC03B07"/>
    <w:rsid w:val="5FCC5339"/>
    <w:rsid w:val="5FCD3B2E"/>
    <w:rsid w:val="5FD17AC2"/>
    <w:rsid w:val="5FE34A5B"/>
    <w:rsid w:val="5FE86BBA"/>
    <w:rsid w:val="5FFE1E36"/>
    <w:rsid w:val="5FFE462F"/>
    <w:rsid w:val="60232584"/>
    <w:rsid w:val="602D0A71"/>
    <w:rsid w:val="604858AA"/>
    <w:rsid w:val="607330CE"/>
    <w:rsid w:val="607E751E"/>
    <w:rsid w:val="60822B6A"/>
    <w:rsid w:val="60825176"/>
    <w:rsid w:val="6085265B"/>
    <w:rsid w:val="608B19B5"/>
    <w:rsid w:val="609329CD"/>
    <w:rsid w:val="609D79A4"/>
    <w:rsid w:val="609F2AC4"/>
    <w:rsid w:val="60F4333C"/>
    <w:rsid w:val="60FA2EE8"/>
    <w:rsid w:val="60FB0B6F"/>
    <w:rsid w:val="61054A27"/>
    <w:rsid w:val="610A52BC"/>
    <w:rsid w:val="61171478"/>
    <w:rsid w:val="611D2366"/>
    <w:rsid w:val="612260FC"/>
    <w:rsid w:val="61421856"/>
    <w:rsid w:val="615227C4"/>
    <w:rsid w:val="61654E3F"/>
    <w:rsid w:val="6182292A"/>
    <w:rsid w:val="618648DC"/>
    <w:rsid w:val="619F7F92"/>
    <w:rsid w:val="61A66D2D"/>
    <w:rsid w:val="61A91D7E"/>
    <w:rsid w:val="61AB60F1"/>
    <w:rsid w:val="61DE64C6"/>
    <w:rsid w:val="61F94C26"/>
    <w:rsid w:val="61FE02CD"/>
    <w:rsid w:val="62000E56"/>
    <w:rsid w:val="622814F0"/>
    <w:rsid w:val="62375BD7"/>
    <w:rsid w:val="624F3E49"/>
    <w:rsid w:val="62632286"/>
    <w:rsid w:val="626A2548"/>
    <w:rsid w:val="62885958"/>
    <w:rsid w:val="62E573E1"/>
    <w:rsid w:val="62F40B65"/>
    <w:rsid w:val="62F45876"/>
    <w:rsid w:val="62FC2CFE"/>
    <w:rsid w:val="63024505"/>
    <w:rsid w:val="63472497"/>
    <w:rsid w:val="635B1DB5"/>
    <w:rsid w:val="63711FED"/>
    <w:rsid w:val="638766EA"/>
    <w:rsid w:val="63880DDC"/>
    <w:rsid w:val="638D750D"/>
    <w:rsid w:val="63911317"/>
    <w:rsid w:val="63AC6CC0"/>
    <w:rsid w:val="63BC2837"/>
    <w:rsid w:val="63C055FF"/>
    <w:rsid w:val="63C60FC0"/>
    <w:rsid w:val="63DC07E4"/>
    <w:rsid w:val="64055776"/>
    <w:rsid w:val="640970FF"/>
    <w:rsid w:val="64240056"/>
    <w:rsid w:val="642D103F"/>
    <w:rsid w:val="643E143A"/>
    <w:rsid w:val="644B7717"/>
    <w:rsid w:val="64610CE9"/>
    <w:rsid w:val="6465789C"/>
    <w:rsid w:val="647749B0"/>
    <w:rsid w:val="6488096B"/>
    <w:rsid w:val="648B6EEF"/>
    <w:rsid w:val="64B11C70"/>
    <w:rsid w:val="64C158BF"/>
    <w:rsid w:val="64CE2EAA"/>
    <w:rsid w:val="64D771FD"/>
    <w:rsid w:val="64F46001"/>
    <w:rsid w:val="653C3090"/>
    <w:rsid w:val="65717652"/>
    <w:rsid w:val="657D7DA4"/>
    <w:rsid w:val="65854376"/>
    <w:rsid w:val="658767BE"/>
    <w:rsid w:val="65892531"/>
    <w:rsid w:val="65CC6636"/>
    <w:rsid w:val="66154481"/>
    <w:rsid w:val="66195831"/>
    <w:rsid w:val="662E75B1"/>
    <w:rsid w:val="66342B59"/>
    <w:rsid w:val="66342C2E"/>
    <w:rsid w:val="663E784C"/>
    <w:rsid w:val="664D3C1B"/>
    <w:rsid w:val="665723A3"/>
    <w:rsid w:val="666D7E19"/>
    <w:rsid w:val="668B6A45"/>
    <w:rsid w:val="66A31A8D"/>
    <w:rsid w:val="66A575B3"/>
    <w:rsid w:val="66B141AA"/>
    <w:rsid w:val="66D165FA"/>
    <w:rsid w:val="66E3632D"/>
    <w:rsid w:val="66F033E8"/>
    <w:rsid w:val="670D5158"/>
    <w:rsid w:val="672F3F24"/>
    <w:rsid w:val="673E055F"/>
    <w:rsid w:val="67430B7A"/>
    <w:rsid w:val="67551CE3"/>
    <w:rsid w:val="67584625"/>
    <w:rsid w:val="67753429"/>
    <w:rsid w:val="679B09B6"/>
    <w:rsid w:val="67A05FCC"/>
    <w:rsid w:val="67A22552"/>
    <w:rsid w:val="67B22DCC"/>
    <w:rsid w:val="67BE71AA"/>
    <w:rsid w:val="67D90273"/>
    <w:rsid w:val="67DE5875"/>
    <w:rsid w:val="67E1286C"/>
    <w:rsid w:val="67E55852"/>
    <w:rsid w:val="67EB1AB4"/>
    <w:rsid w:val="67F73E3E"/>
    <w:rsid w:val="67F87BB6"/>
    <w:rsid w:val="67FA1285"/>
    <w:rsid w:val="68541290"/>
    <w:rsid w:val="68551F4F"/>
    <w:rsid w:val="685F3791"/>
    <w:rsid w:val="687C10C9"/>
    <w:rsid w:val="68840C16"/>
    <w:rsid w:val="68876EFB"/>
    <w:rsid w:val="68884654"/>
    <w:rsid w:val="688D02FE"/>
    <w:rsid w:val="689F444F"/>
    <w:rsid w:val="68AD6BF3"/>
    <w:rsid w:val="68B96DBB"/>
    <w:rsid w:val="68CA2805"/>
    <w:rsid w:val="68E937A3"/>
    <w:rsid w:val="690D143F"/>
    <w:rsid w:val="6918664C"/>
    <w:rsid w:val="691E4967"/>
    <w:rsid w:val="69270753"/>
    <w:rsid w:val="692D1AE1"/>
    <w:rsid w:val="693E15D3"/>
    <w:rsid w:val="69531548"/>
    <w:rsid w:val="695D1E46"/>
    <w:rsid w:val="69627681"/>
    <w:rsid w:val="6977531D"/>
    <w:rsid w:val="69992CD3"/>
    <w:rsid w:val="69C752EC"/>
    <w:rsid w:val="69CC2BFF"/>
    <w:rsid w:val="69DB32EB"/>
    <w:rsid w:val="69FD55B8"/>
    <w:rsid w:val="6A002D52"/>
    <w:rsid w:val="6A0B1C62"/>
    <w:rsid w:val="6A2406C8"/>
    <w:rsid w:val="6A2B6021"/>
    <w:rsid w:val="6AA118C4"/>
    <w:rsid w:val="6AAB7162"/>
    <w:rsid w:val="6AC50223"/>
    <w:rsid w:val="6ADE0BD1"/>
    <w:rsid w:val="6AE96859"/>
    <w:rsid w:val="6B0625EA"/>
    <w:rsid w:val="6B147746"/>
    <w:rsid w:val="6B24787C"/>
    <w:rsid w:val="6B573233"/>
    <w:rsid w:val="6B5B6274"/>
    <w:rsid w:val="6B5E41D4"/>
    <w:rsid w:val="6B685053"/>
    <w:rsid w:val="6B7D6789"/>
    <w:rsid w:val="6B935D53"/>
    <w:rsid w:val="6BF30DC0"/>
    <w:rsid w:val="6C196F71"/>
    <w:rsid w:val="6C226FCB"/>
    <w:rsid w:val="6C31226F"/>
    <w:rsid w:val="6C3A079D"/>
    <w:rsid w:val="6C552F0B"/>
    <w:rsid w:val="6C7255C7"/>
    <w:rsid w:val="6C8C67B7"/>
    <w:rsid w:val="6C8E6D3B"/>
    <w:rsid w:val="6C9D744C"/>
    <w:rsid w:val="6CCB17B2"/>
    <w:rsid w:val="6D0D4104"/>
    <w:rsid w:val="6D167928"/>
    <w:rsid w:val="6D1F1741"/>
    <w:rsid w:val="6D26299B"/>
    <w:rsid w:val="6D4772EC"/>
    <w:rsid w:val="6D543AE1"/>
    <w:rsid w:val="6D577CE7"/>
    <w:rsid w:val="6D667370"/>
    <w:rsid w:val="6D9078AF"/>
    <w:rsid w:val="6D9503B7"/>
    <w:rsid w:val="6DA305C4"/>
    <w:rsid w:val="6DAA3FEF"/>
    <w:rsid w:val="6DC0172B"/>
    <w:rsid w:val="6DCB690C"/>
    <w:rsid w:val="6DCF760B"/>
    <w:rsid w:val="6DD41A5B"/>
    <w:rsid w:val="6DF43C2E"/>
    <w:rsid w:val="6DF51CA3"/>
    <w:rsid w:val="6E511DCE"/>
    <w:rsid w:val="6E5D69C5"/>
    <w:rsid w:val="6E8335BD"/>
    <w:rsid w:val="6E8E12EF"/>
    <w:rsid w:val="6E972936"/>
    <w:rsid w:val="6EA2087C"/>
    <w:rsid w:val="6EB8009F"/>
    <w:rsid w:val="6EBD1212"/>
    <w:rsid w:val="6EC6456A"/>
    <w:rsid w:val="6ED446C5"/>
    <w:rsid w:val="6EEA46FD"/>
    <w:rsid w:val="6F046E40"/>
    <w:rsid w:val="6F2A7D94"/>
    <w:rsid w:val="6F2B0871"/>
    <w:rsid w:val="6F472BFF"/>
    <w:rsid w:val="6F8331F1"/>
    <w:rsid w:val="6FAE1A09"/>
    <w:rsid w:val="6FCD6331"/>
    <w:rsid w:val="6FD75BF8"/>
    <w:rsid w:val="6FE0165C"/>
    <w:rsid w:val="700C2451"/>
    <w:rsid w:val="70335C2F"/>
    <w:rsid w:val="7041405E"/>
    <w:rsid w:val="707723D0"/>
    <w:rsid w:val="70814BED"/>
    <w:rsid w:val="70B34FC2"/>
    <w:rsid w:val="70F03B20"/>
    <w:rsid w:val="70F12908"/>
    <w:rsid w:val="70F5661B"/>
    <w:rsid w:val="710B44B6"/>
    <w:rsid w:val="710E21F8"/>
    <w:rsid w:val="712D08D1"/>
    <w:rsid w:val="71360107"/>
    <w:rsid w:val="713B688E"/>
    <w:rsid w:val="715451C6"/>
    <w:rsid w:val="715F6C37"/>
    <w:rsid w:val="71946BA2"/>
    <w:rsid w:val="71A60683"/>
    <w:rsid w:val="71AD37BF"/>
    <w:rsid w:val="71D43752"/>
    <w:rsid w:val="71E80C9B"/>
    <w:rsid w:val="71EB4541"/>
    <w:rsid w:val="71F1796A"/>
    <w:rsid w:val="7205184D"/>
    <w:rsid w:val="72154626"/>
    <w:rsid w:val="72262B5D"/>
    <w:rsid w:val="72283FF7"/>
    <w:rsid w:val="722E7212"/>
    <w:rsid w:val="723A0474"/>
    <w:rsid w:val="725620A9"/>
    <w:rsid w:val="725923E4"/>
    <w:rsid w:val="7265409A"/>
    <w:rsid w:val="726A16B0"/>
    <w:rsid w:val="726F4F19"/>
    <w:rsid w:val="72864BF7"/>
    <w:rsid w:val="729023FC"/>
    <w:rsid w:val="72A050D2"/>
    <w:rsid w:val="72AE77EF"/>
    <w:rsid w:val="72DD6326"/>
    <w:rsid w:val="72EB4614"/>
    <w:rsid w:val="73092C77"/>
    <w:rsid w:val="733610D9"/>
    <w:rsid w:val="7361426F"/>
    <w:rsid w:val="73682094"/>
    <w:rsid w:val="737A5923"/>
    <w:rsid w:val="737E0A93"/>
    <w:rsid w:val="739509AF"/>
    <w:rsid w:val="73995CF9"/>
    <w:rsid w:val="73A3131E"/>
    <w:rsid w:val="73BC23E0"/>
    <w:rsid w:val="73C0646E"/>
    <w:rsid w:val="73E07E7C"/>
    <w:rsid w:val="74177616"/>
    <w:rsid w:val="742222F5"/>
    <w:rsid w:val="742C30C1"/>
    <w:rsid w:val="742F2BB2"/>
    <w:rsid w:val="74363F40"/>
    <w:rsid w:val="74476126"/>
    <w:rsid w:val="74640AAD"/>
    <w:rsid w:val="74687E72"/>
    <w:rsid w:val="746960C4"/>
    <w:rsid w:val="74706664"/>
    <w:rsid w:val="747F3682"/>
    <w:rsid w:val="749869A9"/>
    <w:rsid w:val="749C4185"/>
    <w:rsid w:val="74BA06CD"/>
    <w:rsid w:val="74C23A26"/>
    <w:rsid w:val="74EE65C9"/>
    <w:rsid w:val="75061B64"/>
    <w:rsid w:val="75067759"/>
    <w:rsid w:val="75120509"/>
    <w:rsid w:val="751F1BAF"/>
    <w:rsid w:val="75241FEA"/>
    <w:rsid w:val="752E6DCD"/>
    <w:rsid w:val="7551380D"/>
    <w:rsid w:val="755328D0"/>
    <w:rsid w:val="75600BE5"/>
    <w:rsid w:val="7564475C"/>
    <w:rsid w:val="7571179E"/>
    <w:rsid w:val="7583797F"/>
    <w:rsid w:val="75BC0475"/>
    <w:rsid w:val="75D20F1D"/>
    <w:rsid w:val="75DA2C18"/>
    <w:rsid w:val="75DB4D9F"/>
    <w:rsid w:val="75E874BC"/>
    <w:rsid w:val="75F54412"/>
    <w:rsid w:val="75F776FF"/>
    <w:rsid w:val="76116A13"/>
    <w:rsid w:val="761D08E0"/>
    <w:rsid w:val="76320737"/>
    <w:rsid w:val="76326989"/>
    <w:rsid w:val="76366479"/>
    <w:rsid w:val="76397D18"/>
    <w:rsid w:val="764352BD"/>
    <w:rsid w:val="764861AD"/>
    <w:rsid w:val="765D347C"/>
    <w:rsid w:val="767E572A"/>
    <w:rsid w:val="76826699"/>
    <w:rsid w:val="76C87133"/>
    <w:rsid w:val="76CD08D5"/>
    <w:rsid w:val="76D40F1D"/>
    <w:rsid w:val="76D96E05"/>
    <w:rsid w:val="76DB4B92"/>
    <w:rsid w:val="76FF686B"/>
    <w:rsid w:val="77052AA4"/>
    <w:rsid w:val="77136511"/>
    <w:rsid w:val="77340A39"/>
    <w:rsid w:val="77351FD0"/>
    <w:rsid w:val="77472422"/>
    <w:rsid w:val="774E5F67"/>
    <w:rsid w:val="77560455"/>
    <w:rsid w:val="77756B2D"/>
    <w:rsid w:val="77770AF7"/>
    <w:rsid w:val="777F31F2"/>
    <w:rsid w:val="77C41863"/>
    <w:rsid w:val="77D1700D"/>
    <w:rsid w:val="77D862D4"/>
    <w:rsid w:val="77E868D0"/>
    <w:rsid w:val="77EC04CC"/>
    <w:rsid w:val="782567A5"/>
    <w:rsid w:val="78491F11"/>
    <w:rsid w:val="7872306D"/>
    <w:rsid w:val="78775729"/>
    <w:rsid w:val="788323D4"/>
    <w:rsid w:val="78874D6A"/>
    <w:rsid w:val="788A2AAC"/>
    <w:rsid w:val="788D7EA7"/>
    <w:rsid w:val="789C633C"/>
    <w:rsid w:val="78A42DB0"/>
    <w:rsid w:val="78A656AB"/>
    <w:rsid w:val="78A91184"/>
    <w:rsid w:val="78B2245C"/>
    <w:rsid w:val="78C95383"/>
    <w:rsid w:val="78E172CC"/>
    <w:rsid w:val="78EA1D1F"/>
    <w:rsid w:val="7904172F"/>
    <w:rsid w:val="790F7E27"/>
    <w:rsid w:val="791800B8"/>
    <w:rsid w:val="792A231A"/>
    <w:rsid w:val="79316829"/>
    <w:rsid w:val="79404D6B"/>
    <w:rsid w:val="797E66A9"/>
    <w:rsid w:val="7988750B"/>
    <w:rsid w:val="7993773F"/>
    <w:rsid w:val="799E5223"/>
    <w:rsid w:val="79A97383"/>
    <w:rsid w:val="79E24222"/>
    <w:rsid w:val="79E27E8B"/>
    <w:rsid w:val="79F850CE"/>
    <w:rsid w:val="79FD443C"/>
    <w:rsid w:val="7A0643B5"/>
    <w:rsid w:val="7A0A5C53"/>
    <w:rsid w:val="7A0F14BB"/>
    <w:rsid w:val="7A102B3D"/>
    <w:rsid w:val="7A1D1975"/>
    <w:rsid w:val="7A291E51"/>
    <w:rsid w:val="7A37456E"/>
    <w:rsid w:val="7A3B22B0"/>
    <w:rsid w:val="7A3E5150"/>
    <w:rsid w:val="7A4670D6"/>
    <w:rsid w:val="7A4F7B0A"/>
    <w:rsid w:val="7A534B63"/>
    <w:rsid w:val="7A615382"/>
    <w:rsid w:val="7A67303B"/>
    <w:rsid w:val="7A8377B3"/>
    <w:rsid w:val="7A9B4AFD"/>
    <w:rsid w:val="7AAB1D04"/>
    <w:rsid w:val="7ABA4368"/>
    <w:rsid w:val="7AC73B44"/>
    <w:rsid w:val="7AD05746"/>
    <w:rsid w:val="7B0B57C8"/>
    <w:rsid w:val="7B220D7A"/>
    <w:rsid w:val="7B257FFD"/>
    <w:rsid w:val="7B343476"/>
    <w:rsid w:val="7B452CBB"/>
    <w:rsid w:val="7B4C229B"/>
    <w:rsid w:val="7B5A2978"/>
    <w:rsid w:val="7B5A7E4C"/>
    <w:rsid w:val="7B667AF9"/>
    <w:rsid w:val="7B7468F8"/>
    <w:rsid w:val="7B803CF3"/>
    <w:rsid w:val="7B9F4C48"/>
    <w:rsid w:val="7BB0282A"/>
    <w:rsid w:val="7BCE0F02"/>
    <w:rsid w:val="7BD83B2F"/>
    <w:rsid w:val="7BEE0103"/>
    <w:rsid w:val="7C0A0FE4"/>
    <w:rsid w:val="7C134B67"/>
    <w:rsid w:val="7C254906"/>
    <w:rsid w:val="7C55517F"/>
    <w:rsid w:val="7C590818"/>
    <w:rsid w:val="7C604430"/>
    <w:rsid w:val="7C7C10F6"/>
    <w:rsid w:val="7C853BEA"/>
    <w:rsid w:val="7C881368"/>
    <w:rsid w:val="7CB00608"/>
    <w:rsid w:val="7CE27788"/>
    <w:rsid w:val="7D006E99"/>
    <w:rsid w:val="7D0C32F1"/>
    <w:rsid w:val="7D0C7F34"/>
    <w:rsid w:val="7D0F408D"/>
    <w:rsid w:val="7D1C3715"/>
    <w:rsid w:val="7D221505"/>
    <w:rsid w:val="7D2D1C58"/>
    <w:rsid w:val="7D2F777E"/>
    <w:rsid w:val="7D3D00ED"/>
    <w:rsid w:val="7D491C6C"/>
    <w:rsid w:val="7D496A92"/>
    <w:rsid w:val="7D52090D"/>
    <w:rsid w:val="7D5429C0"/>
    <w:rsid w:val="7D6E6D43"/>
    <w:rsid w:val="7D7519F1"/>
    <w:rsid w:val="7D755AD9"/>
    <w:rsid w:val="7D851A94"/>
    <w:rsid w:val="7D8555F0"/>
    <w:rsid w:val="7D9B7217"/>
    <w:rsid w:val="7D9F4904"/>
    <w:rsid w:val="7DB57A34"/>
    <w:rsid w:val="7DC73E5B"/>
    <w:rsid w:val="7DCB0D9E"/>
    <w:rsid w:val="7DE467BB"/>
    <w:rsid w:val="7DE60973"/>
    <w:rsid w:val="7DEF0916"/>
    <w:rsid w:val="7DF10ED8"/>
    <w:rsid w:val="7E105802"/>
    <w:rsid w:val="7E1E5218"/>
    <w:rsid w:val="7E235535"/>
    <w:rsid w:val="7E5665C8"/>
    <w:rsid w:val="7E695800"/>
    <w:rsid w:val="7E7F1D06"/>
    <w:rsid w:val="7E9975A5"/>
    <w:rsid w:val="7E9A4E1F"/>
    <w:rsid w:val="7EA7723A"/>
    <w:rsid w:val="7EAB019B"/>
    <w:rsid w:val="7EAF0B77"/>
    <w:rsid w:val="7EC860DC"/>
    <w:rsid w:val="7ECF2FC7"/>
    <w:rsid w:val="7ED95BF4"/>
    <w:rsid w:val="7EE051D4"/>
    <w:rsid w:val="7EE66563"/>
    <w:rsid w:val="7EF56FBB"/>
    <w:rsid w:val="7F0768EB"/>
    <w:rsid w:val="7F0D1D41"/>
    <w:rsid w:val="7F143BEC"/>
    <w:rsid w:val="7F220BCE"/>
    <w:rsid w:val="7F4A6AF1"/>
    <w:rsid w:val="7F4C286A"/>
    <w:rsid w:val="7F625BE9"/>
    <w:rsid w:val="7F715AF2"/>
    <w:rsid w:val="7F7678E7"/>
    <w:rsid w:val="7F7B2C88"/>
    <w:rsid w:val="7F886E69"/>
    <w:rsid w:val="7F9B559F"/>
    <w:rsid w:val="7FC95C68"/>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styleId="5">
    <w:name w:val="Normal Indent"/>
    <w:basedOn w:val="1"/>
    <w:next w:val="1"/>
    <w:link w:val="72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2"/>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7"/>
    <w:qFormat/>
    <w:uiPriority w:val="0"/>
    <w:pPr>
      <w:shd w:val="clear" w:color="auto" w:fill="000080"/>
    </w:pPr>
  </w:style>
  <w:style w:type="paragraph" w:styleId="19">
    <w:name w:val="annotation text"/>
    <w:basedOn w:val="1"/>
    <w:link w:val="855"/>
    <w:qFormat/>
    <w:uiPriority w:val="99"/>
    <w:pPr>
      <w:jc w:val="left"/>
    </w:pPr>
  </w:style>
  <w:style w:type="paragraph" w:styleId="20">
    <w:name w:val="Salutation"/>
    <w:basedOn w:val="1"/>
    <w:next w:val="1"/>
    <w:link w:val="815"/>
    <w:qFormat/>
    <w:uiPriority w:val="0"/>
    <w:rPr>
      <w:rFonts w:ascii="仿宋_GB2312" w:eastAsia="仿宋_GB2312"/>
      <w:sz w:val="28"/>
      <w:szCs w:val="20"/>
    </w:rPr>
  </w:style>
  <w:style w:type="paragraph" w:styleId="21">
    <w:name w:val="Body Text 3"/>
    <w:basedOn w:val="1"/>
    <w:link w:val="843"/>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932"/>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783"/>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33"/>
    <w:link w:val="659"/>
    <w:qFormat/>
    <w:uiPriority w:val="0"/>
    <w:rPr>
      <w:rFonts w:ascii="宋体" w:hAnsi="Courier New" w:cs="Arial"/>
      <w:snapToGrid w:val="0"/>
      <w:szCs w:val="21"/>
    </w:rPr>
  </w:style>
  <w:style w:type="paragraph" w:customStyle="1" w:styleId="33">
    <w:name w:val="正文1"/>
    <w:basedOn w:val="31"/>
    <w:next w:val="34"/>
    <w:qFormat/>
    <w:uiPriority w:val="0"/>
    <w:pPr>
      <w:ind w:left="0" w:leftChars="0" w:firstLine="480" w:firstLineChars="200"/>
    </w:pPr>
    <w:rPr>
      <w:rFonts w:ascii="仿宋_GB2312" w:hAnsi="Courier New" w:eastAsia="仿宋_GB2312"/>
      <w:kern w:val="28"/>
      <w:sz w:val="24"/>
    </w:rPr>
  </w:style>
  <w:style w:type="paragraph" w:customStyle="1" w:styleId="34">
    <w:name w:val="标题 21"/>
    <w:basedOn w:val="33"/>
    <w:next w:val="33"/>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9"/>
    <w:qFormat/>
    <w:uiPriority w:val="0"/>
    <w:pPr>
      <w:ind w:left="100" w:leftChars="2500"/>
    </w:pPr>
    <w:rPr>
      <w:rFonts w:ascii="宋体"/>
      <w:sz w:val="24"/>
      <w:szCs w:val="21"/>
      <w:lang w:val="zh-CN"/>
    </w:rPr>
  </w:style>
  <w:style w:type="paragraph" w:styleId="38">
    <w:name w:val="Body Text Indent 2"/>
    <w:basedOn w:val="1"/>
    <w:link w:val="823"/>
    <w:qFormat/>
    <w:uiPriority w:val="0"/>
    <w:pPr>
      <w:spacing w:line="360" w:lineRule="auto"/>
      <w:ind w:firstLine="601"/>
      <w:textAlignment w:val="baseline"/>
    </w:pPr>
    <w:rPr>
      <w:rFonts w:ascii="宋体"/>
      <w:kern w:val="0"/>
      <w:sz w:val="28"/>
      <w:szCs w:val="20"/>
    </w:rPr>
  </w:style>
  <w:style w:type="paragraph" w:styleId="39">
    <w:name w:val="endnote text"/>
    <w:basedOn w:val="1"/>
    <w:link w:val="940"/>
    <w:qFormat/>
    <w:uiPriority w:val="0"/>
    <w:rPr>
      <w:lang w:val="zh-CN"/>
    </w:rPr>
  </w:style>
  <w:style w:type="paragraph" w:styleId="40">
    <w:name w:val="Balloon Text"/>
    <w:basedOn w:val="1"/>
    <w:link w:val="716"/>
    <w:qFormat/>
    <w:uiPriority w:val="0"/>
    <w:rPr>
      <w:sz w:val="18"/>
      <w:szCs w:val="18"/>
    </w:rPr>
  </w:style>
  <w:style w:type="paragraph" w:styleId="41">
    <w:name w:val="footer"/>
    <w:basedOn w:val="1"/>
    <w:link w:val="891"/>
    <w:qFormat/>
    <w:uiPriority w:val="99"/>
    <w:pPr>
      <w:tabs>
        <w:tab w:val="center" w:pos="4153"/>
        <w:tab w:val="right" w:pos="8306"/>
      </w:tabs>
      <w:snapToGrid w:val="0"/>
      <w:jc w:val="left"/>
    </w:pPr>
    <w:rPr>
      <w:sz w:val="18"/>
      <w:szCs w:val="18"/>
    </w:rPr>
  </w:style>
  <w:style w:type="paragraph" w:styleId="42">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825"/>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9"/>
    <w:qFormat/>
    <w:uiPriority w:val="0"/>
    <w:pPr>
      <w:spacing w:after="120" w:line="480" w:lineRule="auto"/>
    </w:pPr>
  </w:style>
  <w:style w:type="paragraph" w:styleId="58">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803"/>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32"/>
    <w:qFormat/>
    <w:uiPriority w:val="0"/>
    <w:rPr>
      <w:b/>
      <w:bCs/>
    </w:rPr>
  </w:style>
  <w:style w:type="paragraph" w:styleId="62">
    <w:name w:val="Body Text First Indent"/>
    <w:basedOn w:val="23"/>
    <w:next w:val="63"/>
    <w:link w:val="834"/>
    <w:qFormat/>
    <w:uiPriority w:val="0"/>
    <w:pPr>
      <w:ind w:firstLine="420"/>
    </w:pPr>
    <w:rPr>
      <w:rFonts w:hAnsi="Calibri" w:cs="Times New Roman"/>
      <w:szCs w:val="20"/>
    </w:rPr>
  </w:style>
  <w:style w:type="paragraph" w:styleId="63">
    <w:name w:val="Body Text First Indent 2"/>
    <w:basedOn w:val="24"/>
    <w:next w:val="62"/>
    <w:link w:val="655"/>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HTML Sample"/>
    <w:qFormat/>
    <w:uiPriority w:val="0"/>
    <w:rPr>
      <w:rFonts w:ascii="Courier New" w:hAnsi="Courier New"/>
    </w:rPr>
  </w:style>
  <w:style w:type="paragraph" w:customStyle="1" w:styleId="82">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3">
    <w:name w:val="正文文本首行缩进 2"/>
    <w:basedOn w:val="84"/>
    <w:qFormat/>
    <w:uiPriority w:val="99"/>
    <w:pPr>
      <w:tabs>
        <w:tab w:val="right" w:leader="dot" w:pos="8268"/>
      </w:tabs>
      <w:spacing w:line="200" w:lineRule="atLeast"/>
      <w:ind w:firstLine="420"/>
    </w:pPr>
    <w:rPr>
      <w:rFonts w:ascii="宋体" w:hAnsi="Courier New"/>
      <w:spacing w:val="-4"/>
      <w:sz w:val="18"/>
    </w:rPr>
  </w:style>
  <w:style w:type="paragraph" w:customStyle="1" w:styleId="84">
    <w:name w:val="正文缩进1"/>
    <w:basedOn w:val="33"/>
    <w:next w:val="8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85">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6">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7">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8">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9">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0">
    <w:name w:val="正文2"/>
    <w:basedOn w:val="1"/>
    <w:link w:val="664"/>
    <w:qFormat/>
    <w:uiPriority w:val="0"/>
    <w:pPr>
      <w:spacing w:before="156" w:line="360" w:lineRule="auto"/>
      <w:ind w:firstLine="510" w:firstLineChars="200"/>
    </w:pPr>
    <w:rPr>
      <w:sz w:val="24"/>
      <w:szCs w:val="20"/>
    </w:rPr>
  </w:style>
  <w:style w:type="paragraph" w:customStyle="1" w:styleId="91">
    <w:name w:val="无间隔1"/>
    <w:link w:val="672"/>
    <w:qFormat/>
    <w:uiPriority w:val="1"/>
    <w:rPr>
      <w:rFonts w:ascii="Times New Roman" w:hAnsi="Times New Roman" w:eastAsia="宋体" w:cs="Times New Roman"/>
      <w:sz w:val="22"/>
      <w:szCs w:val="22"/>
      <w:lang w:val="en-US" w:eastAsia="zh-CN" w:bidi="ar-SA"/>
    </w:rPr>
  </w:style>
  <w:style w:type="paragraph" w:customStyle="1" w:styleId="92">
    <w:name w:val="纯文本_0_0"/>
    <w:basedOn w:val="93"/>
    <w:link w:val="680"/>
    <w:qFormat/>
    <w:uiPriority w:val="0"/>
    <w:rPr>
      <w:rFonts w:ascii="宋体" w:hAnsi="Courier New"/>
      <w:szCs w:val="21"/>
    </w:rPr>
  </w:style>
  <w:style w:type="paragraph" w:customStyle="1" w:styleId="9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5">
    <w:name w:val="表格名称"/>
    <w:basedOn w:val="3"/>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6">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7">
    <w:name w:val="3级"/>
    <w:basedOn w:val="98"/>
    <w:link w:val="725"/>
    <w:qFormat/>
    <w:uiPriority w:val="0"/>
    <w:pPr>
      <w:ind w:left="0" w:right="466" w:firstLine="288"/>
    </w:pPr>
    <w:rPr>
      <w:rFonts w:hAnsi="宋体"/>
    </w:rPr>
  </w:style>
  <w:style w:type="paragraph" w:customStyle="1" w:styleId="98">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9">
    <w:name w:val="标题4-dyf"/>
    <w:basedOn w:val="6"/>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0">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101">
    <w:name w:val="正文样式"/>
    <w:basedOn w:val="1"/>
    <w:link w:val="767"/>
    <w:qFormat/>
    <w:uiPriority w:val="0"/>
    <w:pPr>
      <w:adjustRightInd/>
      <w:spacing w:line="360" w:lineRule="auto"/>
      <w:ind w:firstLine="480" w:firstLineChars="200"/>
    </w:pPr>
    <w:rPr>
      <w:kern w:val="0"/>
      <w:sz w:val="24"/>
    </w:rPr>
  </w:style>
  <w:style w:type="paragraph" w:customStyle="1" w:styleId="102">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List Paragraph"/>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798"/>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0"/>
    <w:qFormat/>
    <w:uiPriority w:val="0"/>
    <w:pPr>
      <w:tabs>
        <w:tab w:val="left" w:pos="2356"/>
      </w:tabs>
    </w:pPr>
  </w:style>
  <w:style w:type="paragraph" w:customStyle="1" w:styleId="107">
    <w:name w:val="样式 标题 4h4H4Fab-4T5Ref Heading 1rh1Heading sqlsect 1.2.3...."/>
    <w:basedOn w:val="6"/>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3"/>
    <w:qFormat/>
    <w:uiPriority w:val="0"/>
    <w:pPr>
      <w:adjustRightInd/>
    </w:pPr>
    <w:rPr>
      <w:rFonts w:ascii="宋体" w:hAnsi="Courier New"/>
      <w:kern w:val="0"/>
      <w:sz w:val="20"/>
      <w:szCs w:val="20"/>
    </w:rPr>
  </w:style>
  <w:style w:type="paragraph" w:customStyle="1" w:styleId="110">
    <w:name w:val="正文说明"/>
    <w:basedOn w:val="1"/>
    <w:link w:val="845"/>
    <w:qFormat/>
    <w:uiPriority w:val="0"/>
    <w:pPr>
      <w:adjustRightInd/>
      <w:spacing w:line="360" w:lineRule="auto"/>
    </w:pPr>
    <w:rPr>
      <w:kern w:val="0"/>
      <w:sz w:val="24"/>
    </w:rPr>
  </w:style>
  <w:style w:type="paragraph" w:customStyle="1" w:styleId="111">
    <w:name w:val="Table Text"/>
    <w:basedOn w:val="1"/>
    <w:link w:val="851"/>
    <w:qFormat/>
    <w:uiPriority w:val="0"/>
    <w:pPr>
      <w:widowControl/>
      <w:spacing w:before="60" w:after="60"/>
      <w:jc w:val="left"/>
    </w:pPr>
    <w:rPr>
      <w:kern w:val="0"/>
      <w:sz w:val="24"/>
    </w:rPr>
  </w:style>
  <w:style w:type="paragraph" w:customStyle="1" w:styleId="112">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3"/>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5"/>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6"/>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No Spacing"/>
    <w:basedOn w:val="1"/>
    <w:link w:val="941"/>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4"/>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7"/>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90"/>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4"/>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62"/>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6"/>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82"/>
    <w:next w:val="82"/>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82"/>
    <w:next w:val="82"/>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57"/>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2"/>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6"/>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38"/>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4"/>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399"/>
    <w:next w:val="3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3"/>
    <w:qFormat/>
    <w:uiPriority w:val="0"/>
    <w:pPr>
      <w:snapToGrid w:val="0"/>
      <w:ind w:firstLine="480" w:firstLineChars="200"/>
    </w:pPr>
    <w:rPr>
      <w:rFonts w:ascii="Times New Roman"/>
      <w:szCs w:val="24"/>
      <w:lang w:val="en-US"/>
    </w:rPr>
  </w:style>
  <w:style w:type="paragraph" w:customStyle="1" w:styleId="45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7"/>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2"/>
    <w:next w:val="327"/>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8">
    <w:name w:val="单元格左对齐"/>
    <w:basedOn w:val="1"/>
    <w:qFormat/>
    <w:uiPriority w:val="0"/>
    <w:pPr>
      <w:adjustRightInd/>
      <w:spacing w:line="360" w:lineRule="auto"/>
    </w:pPr>
    <w:rPr>
      <w:sz w:val="24"/>
    </w:rPr>
  </w:style>
  <w:style w:type="paragraph" w:customStyle="1" w:styleId="489">
    <w:name w:val="正文主体"/>
    <w:basedOn w:val="311"/>
    <w:qFormat/>
    <w:uiPriority w:val="0"/>
  </w:style>
  <w:style w:type="paragraph" w:customStyle="1" w:styleId="49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adjustRightInd/>
      <w:spacing w:line="360" w:lineRule="auto"/>
      <w:ind w:firstLine="480" w:firstLineChars="200"/>
    </w:pPr>
    <w:rPr>
      <w:sz w:val="24"/>
      <w:szCs w:val="20"/>
    </w:rPr>
  </w:style>
  <w:style w:type="paragraph" w:customStyle="1" w:styleId="494">
    <w:name w:val="P1"/>
    <w:basedOn w:val="1"/>
    <w:qFormat/>
    <w:uiPriority w:val="0"/>
    <w:pPr>
      <w:adjustRightInd/>
      <w:spacing w:line="288" w:lineRule="auto"/>
      <w:ind w:firstLine="425" w:firstLineChars="200"/>
    </w:pPr>
  </w:style>
  <w:style w:type="paragraph" w:customStyle="1" w:styleId="495">
    <w:name w:val="列表内容"/>
    <w:basedOn w:val="1"/>
    <w:next w:val="1"/>
    <w:qFormat/>
    <w:uiPriority w:val="0"/>
    <w:pPr>
      <w:widowControl/>
      <w:tabs>
        <w:tab w:val="left" w:pos="840"/>
      </w:tabs>
      <w:ind w:left="840" w:hanging="420"/>
      <w:jc w:val="left"/>
    </w:pPr>
    <w:rPr>
      <w:kern w:val="0"/>
      <w:sz w:val="18"/>
    </w:rPr>
  </w:style>
  <w:style w:type="paragraph" w:customStyle="1" w:styleId="496">
    <w:name w:val="Char Char11 Char Char Char1"/>
    <w:basedOn w:val="1"/>
    <w:qFormat/>
    <w:uiPriority w:val="6"/>
    <w:pPr>
      <w:spacing w:line="360" w:lineRule="auto"/>
    </w:pPr>
    <w:rPr>
      <w:szCs w:val="20"/>
    </w:rPr>
  </w:style>
  <w:style w:type="paragraph" w:customStyle="1" w:styleId="49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spacing w:line="360" w:lineRule="auto"/>
    </w:pPr>
    <w:rPr>
      <w:szCs w:val="20"/>
    </w:rPr>
  </w:style>
  <w:style w:type="paragraph" w:customStyle="1" w:styleId="50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rPr>
      <w:rFonts w:ascii="仿宋_GB2312" w:eastAsia="仿宋_GB2312"/>
      <w:b/>
      <w:sz w:val="32"/>
      <w:szCs w:val="32"/>
    </w:rPr>
  </w:style>
  <w:style w:type="paragraph" w:customStyle="1" w:styleId="50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adjustRightInd/>
      <w:spacing w:line="360" w:lineRule="auto"/>
      <w:ind w:firstLine="480"/>
    </w:pPr>
    <w:rPr>
      <w:rFonts w:cs="宋体"/>
      <w:sz w:val="24"/>
      <w:szCs w:val="20"/>
    </w:rPr>
  </w:style>
  <w:style w:type="paragraph" w:customStyle="1" w:styleId="509">
    <w:name w:val="Char Char4 Char Char"/>
    <w:basedOn w:val="1"/>
    <w:qFormat/>
    <w:uiPriority w:val="0"/>
    <w:pPr>
      <w:widowControl/>
      <w:adjustRightInd/>
      <w:spacing w:after="160" w:line="240" w:lineRule="exact"/>
      <w:jc w:val="left"/>
    </w:pPr>
  </w:style>
  <w:style w:type="paragraph" w:customStyle="1" w:styleId="51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qFormat/>
    <w:uiPriority w:val="0"/>
    <w:pPr>
      <w:spacing w:line="360" w:lineRule="auto"/>
    </w:pPr>
    <w:rPr>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qFormat/>
    <w:uiPriority w:val="0"/>
    <w:pPr>
      <w:adjustRightInd/>
      <w:ind w:firstLine="200" w:firstLineChars="200"/>
    </w:pPr>
    <w:rPr>
      <w:rFonts w:ascii="Tahoma" w:hAnsi="Tahoma"/>
      <w:sz w:val="24"/>
      <w:szCs w:val="20"/>
    </w:rPr>
  </w:style>
  <w:style w:type="paragraph" w:customStyle="1" w:styleId="519">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adjustRightInd/>
      <w:ind w:left="1260" w:hanging="420"/>
    </w:pPr>
  </w:style>
  <w:style w:type="paragraph" w:customStyle="1" w:styleId="523">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qFormat/>
    <w:uiPriority w:val="0"/>
    <w:rPr>
      <w:rFonts w:ascii="Tahoma" w:hAnsi="Tahoma" w:cs="仿宋_GB2312"/>
      <w:sz w:val="24"/>
      <w:szCs w:val="20"/>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18"/>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9"/>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5"/>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5"/>
    <w:qFormat/>
    <w:uiPriority w:val="0"/>
    <w:rPr>
      <w:b w:val="0"/>
      <w:sz w:val="20"/>
    </w:rPr>
  </w:style>
  <w:style w:type="paragraph" w:customStyle="1" w:styleId="579">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7"/>
    <w:next w:val="1"/>
    <w:qFormat/>
    <w:uiPriority w:val="0"/>
    <w:pPr>
      <w:tabs>
        <w:tab w:val="left" w:pos="1080"/>
        <w:tab w:val="clear" w:pos="1008"/>
      </w:tabs>
      <w:ind w:left="1080" w:hanging="1080"/>
    </w:pPr>
  </w:style>
  <w:style w:type="paragraph" w:customStyle="1" w:styleId="582">
    <w:name w:val="数字标题1"/>
    <w:basedOn w:val="2"/>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30"/>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9"/>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8">
    <w:name w:val="_Style 947"/>
    <w:basedOn w:val="1"/>
    <w:next w:val="104"/>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0">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621">
    <w:name w:val="表格非标题文字 Char"/>
    <w:link w:val="85"/>
    <w:qFormat/>
    <w:uiPriority w:val="0"/>
    <w:rPr>
      <w:rFonts w:ascii="Futura Bk" w:hAnsi="Futura Bk"/>
      <w:kern w:val="2"/>
      <w:sz w:val="18"/>
      <w:szCs w:val="21"/>
      <w:lang w:val="en-US" w:eastAsia="zh-CN" w:bidi="ar-SA"/>
    </w:rPr>
  </w:style>
  <w:style w:type="character" w:customStyle="1" w:styleId="622">
    <w:name w:val="*正文 Char"/>
    <w:link w:val="86"/>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7"/>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61"/>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8"/>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9"/>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63"/>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1"/>
    <w:qFormat/>
    <w:uiPriority w:val="0"/>
    <w:rPr>
      <w:rFonts w:ascii="Arial" w:hAnsi="Arial" w:eastAsia="黑体" w:cs="Arial"/>
      <w:snapToGrid w:val="0"/>
      <w:kern w:val="0"/>
      <w:szCs w:val="21"/>
    </w:rPr>
  </w:style>
  <w:style w:type="character" w:customStyle="1" w:styleId="659">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90"/>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48"/>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91"/>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8"/>
    <w:qFormat/>
    <w:uiPriority w:val="0"/>
    <w:rPr>
      <w:rFonts w:ascii="Arial" w:hAnsi="Arial" w:eastAsia="黑体"/>
      <w:b/>
      <w:bCs/>
      <w:kern w:val="2"/>
      <w:sz w:val="24"/>
      <w:szCs w:val="24"/>
    </w:rPr>
  </w:style>
  <w:style w:type="character" w:customStyle="1" w:styleId="680">
    <w:name w:val="纯文本 Char_0"/>
    <w:link w:val="92"/>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4"/>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5"/>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7"/>
    <w:qFormat/>
    <w:uiPriority w:val="0"/>
    <w:rPr>
      <w:rFonts w:ascii="宋体"/>
      <w:kern w:val="2"/>
      <w:sz w:val="24"/>
      <w:szCs w:val="21"/>
      <w:lang w:val="zh-CN"/>
    </w:rPr>
  </w:style>
  <w:style w:type="character" w:customStyle="1" w:styleId="710">
    <w:name w:val="标题 9 Char"/>
    <w:link w:val="11"/>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0"/>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6"/>
    <w:qFormat/>
    <w:locked/>
    <w:uiPriority w:val="0"/>
    <w:rPr>
      <w:rFonts w:ascii="Tahoma" w:hAnsi="Tahoma"/>
      <w:sz w:val="24"/>
      <w:szCs w:val="24"/>
    </w:rPr>
  </w:style>
  <w:style w:type="character" w:customStyle="1" w:styleId="720">
    <w:name w:val="正文缩进 Char2"/>
    <w:link w:val="5"/>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7"/>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18"/>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1"/>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29"/>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9"/>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100"/>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16"/>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82"/>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101"/>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2"/>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3"/>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24"/>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5"/>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2"/>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0"/>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7"/>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0"/>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58"/>
    <w:qFormat/>
    <w:uiPriority w:val="0"/>
    <w:rPr>
      <w:rFonts w:ascii="黑体" w:hAnsi="Courier New" w:eastAsia="黑体"/>
    </w:rPr>
  </w:style>
  <w:style w:type="character" w:customStyle="1" w:styleId="819">
    <w:name w:val="正文文本 2 Char1"/>
    <w:link w:val="57"/>
    <w:qFormat/>
    <w:uiPriority w:val="0"/>
    <w:rPr>
      <w:kern w:val="2"/>
      <w:sz w:val="21"/>
      <w:szCs w:val="24"/>
    </w:rPr>
  </w:style>
  <w:style w:type="character" w:customStyle="1" w:styleId="820">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9"/>
    <w:qFormat/>
    <w:uiPriority w:val="0"/>
    <w:rPr>
      <w:b/>
      <w:bCs/>
      <w:kern w:val="2"/>
      <w:sz w:val="24"/>
      <w:szCs w:val="24"/>
    </w:rPr>
  </w:style>
  <w:style w:type="character" w:customStyle="1" w:styleId="823">
    <w:name w:val="正文文本缩进 2 Char"/>
    <w:link w:val="38"/>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1"/>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8"/>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9"/>
    <w:qFormat/>
    <w:uiPriority w:val="0"/>
    <w:rPr>
      <w:rFonts w:ascii="宋体" w:hAnsi="Courier New"/>
    </w:rPr>
  </w:style>
  <w:style w:type="character" w:customStyle="1" w:styleId="834">
    <w:name w:val="正文首行缩进 Char"/>
    <w:link w:val="62"/>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6"/>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1"/>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10"/>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11"/>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19"/>
    <w:qFormat/>
    <w:uiPriority w:val="0"/>
    <w:rPr>
      <w:kern w:val="2"/>
      <w:sz w:val="21"/>
      <w:szCs w:val="24"/>
    </w:rPr>
  </w:style>
  <w:style w:type="character" w:customStyle="1" w:styleId="856">
    <w:name w:val="签名 Char"/>
    <w:link w:val="43"/>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2"/>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3"/>
    <w:qFormat/>
    <w:uiPriority w:val="0"/>
    <w:rPr>
      <w:rFonts w:ascii="宋体"/>
    </w:rPr>
  </w:style>
  <w:style w:type="character" w:customStyle="1" w:styleId="867">
    <w:name w:val="标题 8 Char"/>
    <w:link w:val="10"/>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4"/>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4"/>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1"/>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5"/>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2"/>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6"/>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7"/>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8"/>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9"/>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1"/>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20"/>
    <w:qFormat/>
    <w:uiPriority w:val="0"/>
    <w:rPr>
      <w:rFonts w:cs="宋体"/>
      <w:kern w:val="2"/>
      <w:sz w:val="24"/>
    </w:rPr>
  </w:style>
  <w:style w:type="character" w:customStyle="1" w:styleId="932">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3">
    <w:name w:val="gray6"/>
    <w:basedOn w:val="71"/>
    <w:qFormat/>
    <w:uiPriority w:val="0"/>
    <w:rPr>
      <w:rFonts w:ascii="Arial" w:hAnsi="Arial" w:eastAsia="黑体" w:cs="Arial"/>
      <w:snapToGrid w:val="0"/>
      <w:kern w:val="0"/>
      <w:szCs w:val="21"/>
    </w:rPr>
  </w:style>
  <w:style w:type="character" w:customStyle="1" w:styleId="934">
    <w:name w:val="hui"/>
    <w:basedOn w:val="71"/>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39"/>
    <w:qFormat/>
    <w:uiPriority w:val="0"/>
    <w:rPr>
      <w:kern w:val="2"/>
      <w:sz w:val="21"/>
      <w:szCs w:val="24"/>
      <w:lang w:val="zh-CN"/>
    </w:rPr>
  </w:style>
  <w:style w:type="character" w:customStyle="1" w:styleId="941">
    <w:name w:val="无间隔 Char"/>
    <w:link w:val="170"/>
    <w:qFormat/>
    <w:uiPriority w:val="99"/>
    <w:rPr>
      <w:kern w:val="2"/>
      <w:sz w:val="21"/>
      <w:szCs w:val="22"/>
    </w:rPr>
  </w:style>
  <w:style w:type="character" w:customStyle="1" w:styleId="942">
    <w:name w:val="标准文本 Char Char"/>
    <w:link w:val="607"/>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1"/>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character" w:customStyle="1" w:styleId="959">
    <w:name w:val="fontstyle01"/>
    <w:basedOn w:val="71"/>
    <w:qFormat/>
    <w:uiPriority w:val="0"/>
    <w:rPr>
      <w:rFonts w:hint="eastAsia" w:ascii="宋体" w:hAnsi="宋体" w:eastAsia="宋体" w:cs="宋体"/>
      <w:color w:val="000000"/>
      <w:sz w:val="36"/>
      <w:szCs w:val="36"/>
    </w:rPr>
  </w:style>
  <w:style w:type="table" w:customStyle="1" w:styleId="960">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95</Pages>
  <Words>49532</Words>
  <Characters>52881</Characters>
  <Lines>287</Lines>
  <Paragraphs>81</Paragraphs>
  <TotalTime>43</TotalTime>
  <ScaleCrop>false</ScaleCrop>
  <LinksUpToDate>false</LinksUpToDate>
  <CharactersWithSpaces>59195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Mr.Z</cp:lastModifiedBy>
  <cp:lastPrinted>2023-01-12T05:33:00Z</cp:lastPrinted>
  <dcterms:modified xsi:type="dcterms:W3CDTF">2023-02-22T02:46:31Z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CD6A248C84214148B44EF49D8B5E01E4</vt:lpwstr>
  </property>
</Properties>
</file>