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cs="宋体" w:asciiTheme="minorEastAsia" w:hAnsiTheme="minorEastAsia" w:eastAsiaTheme="minorEastAsia"/>
          <w:sz w:val="48"/>
          <w:szCs w:val="48"/>
        </w:rPr>
      </w:pPr>
    </w:p>
    <w:p>
      <w:pPr>
        <w:adjustRightInd/>
        <w:spacing w:line="360" w:lineRule="auto"/>
        <w:jc w:val="center"/>
        <w:rPr>
          <w:rFonts w:cs="宋体" w:asciiTheme="minorEastAsia" w:hAnsiTheme="minorEastAsia" w:eastAsiaTheme="minorEastAsia"/>
          <w:sz w:val="48"/>
          <w:szCs w:val="48"/>
        </w:rPr>
      </w:pPr>
      <w:r>
        <w:rPr>
          <w:rFonts w:hint="eastAsia" w:cs="宋体" w:asciiTheme="minorEastAsia" w:hAnsiTheme="minorEastAsia" w:eastAsiaTheme="minorEastAsia"/>
          <w:sz w:val="48"/>
          <w:szCs w:val="48"/>
        </w:rPr>
        <w:t>乔司街道世纪大道沿线绿化养护项目</w:t>
      </w:r>
    </w:p>
    <w:p>
      <w:pPr>
        <w:adjustRightInd/>
        <w:spacing w:line="360" w:lineRule="auto"/>
        <w:jc w:val="center"/>
        <w:rPr>
          <w:rFonts w:cs="宋体" w:asciiTheme="minorEastAsia" w:hAnsiTheme="minorEastAsia" w:eastAsiaTheme="minorEastAsia"/>
          <w:sz w:val="48"/>
          <w:szCs w:val="48"/>
        </w:rPr>
      </w:pPr>
      <w:r>
        <w:rPr>
          <w:rFonts w:hint="eastAsia" w:cs="宋体" w:asciiTheme="minorEastAsia" w:hAnsiTheme="minorEastAsia" w:eastAsiaTheme="minorEastAsia"/>
          <w:sz w:val="48"/>
          <w:szCs w:val="48"/>
        </w:rPr>
        <w:t>招标文件</w:t>
      </w:r>
    </w:p>
    <w:p>
      <w:pPr>
        <w:adjustRightInd/>
        <w:spacing w:line="360" w:lineRule="auto"/>
        <w:jc w:val="center"/>
        <w:rPr>
          <w:rFonts w:cs="宋体" w:asciiTheme="minorEastAsia" w:hAnsiTheme="minorEastAsia" w:eastAsiaTheme="minorEastAsia"/>
          <w:b/>
          <w:sz w:val="44"/>
          <w:szCs w:val="44"/>
        </w:rPr>
      </w:pPr>
    </w:p>
    <w:p>
      <w:pPr>
        <w:adjustRightInd/>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（电子招投标）</w:t>
      </w:r>
    </w:p>
    <w:p>
      <w:pPr>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eastAsiaTheme="minorEastAsia"/>
          <w:sz w:val="32"/>
          <w:szCs w:val="32"/>
        </w:rPr>
        <w:t>编号:</w:t>
      </w:r>
      <w:r>
        <w:rPr>
          <w:rFonts w:hint="eastAsia" w:cs="宋体" w:asciiTheme="minorEastAsia" w:hAnsiTheme="minorEastAsia" w:eastAsiaTheme="minorEastAsia"/>
          <w:sz w:val="32"/>
          <w:szCs w:val="32"/>
          <w:lang w:eastAsia="zh-CN"/>
        </w:rPr>
        <w:t>XCXCG-2022-005</w:t>
      </w:r>
    </w:p>
    <w:p>
      <w:pPr>
        <w:adjustRightInd/>
        <w:spacing w:line="360" w:lineRule="auto"/>
        <w:rPr>
          <w:rFonts w:cs="宋体" w:asciiTheme="minorEastAsia" w:hAnsiTheme="minorEastAsia" w:eastAsiaTheme="minorEastAsia"/>
          <w:sz w:val="28"/>
          <w:szCs w:val="20"/>
        </w:rPr>
      </w:pPr>
    </w:p>
    <w:p>
      <w:pPr>
        <w:spacing w:line="360" w:lineRule="auto"/>
        <w:jc w:val="center"/>
        <w:rPr>
          <w:rFonts w:cs="宋体" w:asciiTheme="minorEastAsia" w:hAnsiTheme="minorEastAsia" w:eastAsiaTheme="minorEastAsia"/>
          <w:b/>
          <w:sz w:val="44"/>
          <w:szCs w:val="44"/>
        </w:rPr>
      </w:pPr>
    </w:p>
    <w:p>
      <w:pPr>
        <w:spacing w:line="360" w:lineRule="auto"/>
        <w:jc w:val="center"/>
        <w:rPr>
          <w:rFonts w:cs="宋体" w:asciiTheme="minorEastAsia" w:hAnsiTheme="minorEastAsia" w:eastAsiaTheme="minorEastAsia"/>
          <w:b/>
          <w:sz w:val="44"/>
          <w:szCs w:val="44"/>
        </w:rPr>
      </w:pPr>
    </w:p>
    <w:p>
      <w:pPr>
        <w:spacing w:line="360" w:lineRule="auto"/>
        <w:jc w:val="center"/>
        <w:rPr>
          <w:rFonts w:cs="宋体"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p>
    <w:p>
      <w:pPr>
        <w:spacing w:line="360" w:lineRule="auto"/>
        <w:rPr>
          <w:rFonts w:cs="宋体" w:asciiTheme="minorEastAsia" w:hAnsiTheme="minorEastAsia" w:eastAsiaTheme="minorEastAsia"/>
          <w:sz w:val="32"/>
          <w:szCs w:val="32"/>
        </w:rPr>
      </w:pPr>
    </w:p>
    <w:p>
      <w:pPr>
        <w:snapToGrid w:val="0"/>
        <w:spacing w:line="360" w:lineRule="auto"/>
        <w:jc w:val="center"/>
        <w:rPr>
          <w:rFonts w:cs="宋体" w:asciiTheme="minorEastAsia" w:hAnsiTheme="minorEastAsia" w:eastAsiaTheme="minorEastAsia"/>
          <w:b/>
          <w:bCs/>
          <w:sz w:val="32"/>
          <w:szCs w:val="32"/>
        </w:rPr>
      </w:pPr>
    </w:p>
    <w:p>
      <w:pPr>
        <w:snapToGrid w:val="0"/>
        <w:spacing w:line="360" w:lineRule="auto"/>
        <w:jc w:val="center"/>
        <w:rPr>
          <w:rFonts w:cs="宋体" w:asciiTheme="minorEastAsia" w:hAnsiTheme="minorEastAsia" w:eastAsiaTheme="minorEastAsia"/>
          <w:sz w:val="32"/>
          <w:szCs w:val="32"/>
        </w:rPr>
      </w:pPr>
    </w:p>
    <w:p>
      <w:pPr>
        <w:pStyle w:val="5"/>
        <w:rPr>
          <w:rFonts w:cs="宋体" w:asciiTheme="minorEastAsia" w:hAnsiTheme="minorEastAsia" w:eastAsiaTheme="minorEastAsia"/>
        </w:rPr>
      </w:pPr>
    </w:p>
    <w:p>
      <w:pPr>
        <w:rPr>
          <w:rFonts w:cs="宋体" w:asciiTheme="minorEastAsia" w:hAnsiTheme="minorEastAsia" w:eastAsiaTheme="minorEastAsia"/>
          <w:sz w:val="32"/>
          <w:szCs w:val="32"/>
        </w:rPr>
      </w:pPr>
    </w:p>
    <w:p>
      <w:pPr>
        <w:pStyle w:val="5"/>
        <w:rPr>
          <w:rFonts w:cs="宋体" w:asciiTheme="minorEastAsia" w:hAnsiTheme="minorEastAsia" w:eastAsiaTheme="minorEastAsia"/>
        </w:rPr>
      </w:pPr>
    </w:p>
    <w:p>
      <w:pPr>
        <w:snapToGrid w:val="0"/>
        <w:spacing w:line="360" w:lineRule="auto"/>
        <w:jc w:val="center"/>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采购人：杭州市临平区人民政府乔司街道办事处</w:t>
      </w:r>
    </w:p>
    <w:p>
      <w:pPr>
        <w:snapToGrid w:val="0"/>
        <w:spacing w:line="360" w:lineRule="auto"/>
        <w:jc w:val="center"/>
        <w:rPr>
          <w:rFonts w:hint="eastAsia" w:cs="宋体" w:asciiTheme="minorEastAsia" w:hAnsiTheme="minorEastAsia" w:eastAsiaTheme="minorEastAsia"/>
          <w:sz w:val="32"/>
          <w:szCs w:val="32"/>
          <w:lang w:eastAsia="zh-CN"/>
        </w:rPr>
      </w:pPr>
      <w:r>
        <w:rPr>
          <w:rFonts w:hint="eastAsia" w:cs="宋体" w:asciiTheme="minorEastAsia" w:hAnsiTheme="minorEastAsia" w:eastAsiaTheme="minorEastAsia"/>
          <w:sz w:val="32"/>
          <w:szCs w:val="32"/>
        </w:rPr>
        <w:t>采购代理机构：</w:t>
      </w:r>
      <w:r>
        <w:rPr>
          <w:rFonts w:hint="eastAsia" w:cs="宋体" w:asciiTheme="minorEastAsia" w:hAnsiTheme="minorEastAsia" w:eastAsiaTheme="minorEastAsia"/>
          <w:sz w:val="32"/>
          <w:szCs w:val="32"/>
          <w:lang w:eastAsia="zh-CN"/>
        </w:rPr>
        <w:t>浙江新诚信工程咨询有限公司</w:t>
      </w:r>
    </w:p>
    <w:p>
      <w:pPr>
        <w:snapToGrid w:val="0"/>
        <w:spacing w:line="360" w:lineRule="auto"/>
        <w:jc w:val="center"/>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二〇二二年</w:t>
      </w:r>
      <w:r>
        <w:rPr>
          <w:rFonts w:hint="eastAsia" w:cs="宋体" w:asciiTheme="minorEastAsia" w:hAnsiTheme="minorEastAsia" w:eastAsiaTheme="minorEastAsia"/>
          <w:sz w:val="32"/>
          <w:szCs w:val="32"/>
          <w:lang w:val="en-US" w:eastAsia="zh-CN"/>
        </w:rPr>
        <w:t>九</w:t>
      </w:r>
      <w:r>
        <w:rPr>
          <w:rFonts w:hint="eastAsia" w:cs="宋体" w:asciiTheme="minorEastAsia" w:hAnsiTheme="minorEastAsia" w:eastAsiaTheme="minorEastAsia"/>
          <w:sz w:val="32"/>
          <w:szCs w:val="32"/>
        </w:rPr>
        <w:t>月</w:t>
      </w:r>
    </w:p>
    <w:p>
      <w:pPr>
        <w:spacing w:line="360" w:lineRule="auto"/>
        <w:jc w:val="center"/>
        <w:rPr>
          <w:rFonts w:cs="宋体" w:asciiTheme="minorEastAsia" w:hAnsiTheme="minorEastAsia" w:eastAsiaTheme="minorEastAsia"/>
          <w:b/>
          <w:sz w:val="48"/>
          <w:szCs w:val="48"/>
        </w:rPr>
      </w:pPr>
    </w:p>
    <w:p>
      <w:pPr>
        <w:spacing w:line="360" w:lineRule="auto"/>
        <w:jc w:val="center"/>
        <w:rPr>
          <w:rFonts w:cs="宋体" w:asciiTheme="minorEastAsia" w:hAnsiTheme="minorEastAsia" w:eastAsiaTheme="minorEastAsia"/>
          <w:b/>
          <w:sz w:val="48"/>
          <w:szCs w:val="48"/>
        </w:rPr>
      </w:pPr>
      <w:r>
        <w:rPr>
          <w:rFonts w:hint="eastAsia" w:cs="宋体" w:asciiTheme="minorEastAsia" w:hAnsiTheme="minorEastAsia" w:eastAsiaTheme="minorEastAsia"/>
          <w:b/>
          <w:sz w:val="48"/>
          <w:szCs w:val="48"/>
        </w:rPr>
        <w:t>目  录</w:t>
      </w:r>
    </w:p>
    <w:p>
      <w:pPr>
        <w:spacing w:line="360" w:lineRule="auto"/>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sz w:val="32"/>
          <w:szCs w:val="32"/>
        </w:rPr>
      </w:pP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第一部分      招标公告</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第二部分      投标人须知</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第三部分      采购需求</w:t>
      </w:r>
    </w:p>
    <w:p>
      <w:pPr>
        <w:tabs>
          <w:tab w:val="left" w:pos="5793"/>
        </w:tabs>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第四部分      评标办法</w:t>
      </w:r>
      <w:r>
        <w:rPr>
          <w:rFonts w:hint="eastAsia" w:cs="宋体" w:asciiTheme="minorEastAsia" w:hAnsiTheme="minorEastAsia" w:eastAsiaTheme="minorEastAsia"/>
          <w:sz w:val="32"/>
          <w:szCs w:val="32"/>
        </w:rPr>
        <w:tab/>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第五部分      拟签订的合同文本</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第六部分      应提交的有关格式范例</w:t>
      </w:r>
    </w:p>
    <w:p>
      <w:pPr>
        <w:spacing w:line="360" w:lineRule="auto"/>
        <w:ind w:firstLine="549" w:firstLineChars="229"/>
        <w:rPr>
          <w:rFonts w:cs="宋体" w:asciiTheme="minorEastAsia" w:hAnsiTheme="minorEastAsia" w:eastAsiaTheme="minorEastAsia"/>
          <w:sz w:val="24"/>
        </w:rPr>
      </w:pPr>
      <w:bookmarkStart w:id="0" w:name="_Hlt91233176"/>
      <w:bookmarkEnd w:id="0"/>
      <w:bookmarkStart w:id="1" w:name="_Toc91899869"/>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2" w:name="第一部分"/>
      <w:r>
        <w:rPr>
          <w:rFonts w:hint="eastAsia" w:cs="宋体" w:asciiTheme="minorEastAsia" w:hAnsiTheme="minorEastAsia" w:eastAsiaTheme="minorEastAsia"/>
          <w:b/>
          <w:sz w:val="36"/>
          <w:szCs w:val="36"/>
        </w:rPr>
        <w:br w:type="page"/>
      </w:r>
      <w:bookmarkEnd w:id="1"/>
      <w:bookmarkEnd w:id="2"/>
      <w:bookmarkStart w:id="3" w:name="_Hlt74649545"/>
      <w:bookmarkEnd w:id="3"/>
      <w:bookmarkStart w:id="4" w:name="_Hlt74707423"/>
      <w:bookmarkEnd w:id="4"/>
      <w:bookmarkStart w:id="5" w:name="_Hlt74729822"/>
      <w:bookmarkEnd w:id="5"/>
      <w:bookmarkStart w:id="6" w:name="_Hlt74728647"/>
      <w:bookmarkEnd w:id="6"/>
      <w:bookmarkStart w:id="7" w:name="第二部分"/>
      <w:bookmarkStart w:id="8" w:name="_Toc91899870"/>
      <w:bookmarkStart w:id="9" w:name="_Toc91899871"/>
      <w:r>
        <w:rPr>
          <w:rFonts w:hint="eastAsia" w:cs="仿宋_GB2312" w:asciiTheme="minorEastAsia" w:hAnsiTheme="minorEastAsia" w:eastAsiaTheme="minorEastAsia"/>
          <w:b/>
          <w:sz w:val="36"/>
          <w:szCs w:val="20"/>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rPr>
        <w:t>乔司街道世纪大道沿线绿化养护项目</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"https://www.zcygov.cn/）获取（下载）招标文件，并于2021年" </w:instrText>
      </w:r>
      <w:r>
        <w:fldChar w:fldCharType="separate"/>
      </w:r>
      <w:r>
        <w:rPr>
          <w:rStyle w:val="80"/>
          <w:rFonts w:asciiTheme="minorEastAsia" w:hAnsiTheme="minorEastAsia" w:eastAsiaTheme="minorEastAsia"/>
          <w:sz w:val="24"/>
        </w:rPr>
        <w:t>https://www.zcygov.cn/）获取（下载）招标文件，并于</w:t>
      </w:r>
      <w:r>
        <w:rPr>
          <w:rFonts w:hint="eastAsia" w:asciiTheme="minorEastAsia" w:hAnsiTheme="minorEastAsia" w:eastAsiaTheme="minorEastAsia"/>
          <w:sz w:val="24"/>
          <w:u w:val="single"/>
        </w:rPr>
        <w:t>2022</w:t>
      </w:r>
      <w:r>
        <w:rPr>
          <w:rFonts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9</w:t>
      </w:r>
      <w:r>
        <w:rPr>
          <w:rFonts w:hint="eastAsia"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28</w:t>
      </w:r>
      <w:r>
        <w:rPr>
          <w:rFonts w:hint="eastAsia"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9</w:t>
      </w:r>
      <w:r>
        <w:rPr>
          <w:rFonts w:hint="eastAsia" w:asciiTheme="minorEastAsia" w:hAnsiTheme="minorEastAsia" w:eastAsiaTheme="minorEastAsia"/>
          <w:sz w:val="24"/>
          <w:u w:val="single"/>
        </w:rPr>
        <w:t>点00分</w:t>
      </w:r>
      <w:r>
        <w:rPr>
          <w:rFonts w:hint="eastAsia" w:asciiTheme="minorEastAsia" w:hAnsiTheme="minorEastAsia" w:eastAsiaTheme="minorEastAsia"/>
          <w:bCs/>
          <w:sz w:val="24"/>
          <w:u w:val="single"/>
        </w:rPr>
        <w:t>00秒</w:t>
      </w:r>
      <w:r>
        <w:rPr>
          <w:rFonts w:hint="eastAsia" w:asciiTheme="minorEastAsia" w:hAnsiTheme="minorEastAsia" w:eastAsiaTheme="minorEastAsia"/>
          <w:bCs/>
          <w:sz w:val="24"/>
          <w:u w:val="single"/>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一、项目基本情况</w:t>
      </w: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b/>
          <w:sz w:val="24"/>
        </w:rPr>
        <w:t>项目编号：</w:t>
      </w:r>
      <w:r>
        <w:rPr>
          <w:rFonts w:hint="eastAsia" w:asciiTheme="minorEastAsia" w:hAnsiTheme="minorEastAsia" w:eastAsiaTheme="minorEastAsia"/>
          <w:b/>
          <w:sz w:val="24"/>
          <w:lang w:eastAsia="zh-CN"/>
        </w:rPr>
        <w:t>XCXCG-2022-005</w:t>
      </w:r>
    </w:p>
    <w:p>
      <w:pPr>
        <w:adjustRightInd/>
        <w:spacing w:line="360" w:lineRule="auto"/>
        <w:rPr>
          <w:rFonts w:asciiTheme="minorEastAsia" w:hAnsiTheme="minorEastAsia" w:eastAsiaTheme="minorEastAsia"/>
          <w:b/>
          <w:sz w:val="24"/>
        </w:rPr>
      </w:pPr>
      <w:r>
        <w:rPr>
          <w:rFonts w:asciiTheme="minorEastAsia" w:hAnsiTheme="minorEastAsia" w:eastAsiaTheme="minorEastAsia"/>
          <w:b/>
          <w:sz w:val="24"/>
        </w:rPr>
        <w:t>项目名称：</w:t>
      </w:r>
      <w:r>
        <w:rPr>
          <w:rFonts w:hint="eastAsia" w:asciiTheme="minorEastAsia" w:hAnsiTheme="minorEastAsia" w:eastAsiaTheme="minorEastAsia"/>
          <w:b/>
          <w:sz w:val="24"/>
        </w:rPr>
        <w:t>乔司街道世纪大道沿线绿化养护项目</w:t>
      </w:r>
    </w:p>
    <w:p>
      <w:pPr>
        <w:adjustRightInd/>
        <w:spacing w:line="360" w:lineRule="auto"/>
        <w:rPr>
          <w:rFonts w:asciiTheme="minorEastAsia" w:hAnsiTheme="minorEastAsia" w:eastAsiaTheme="minorEastAsia"/>
          <w:b/>
          <w:sz w:val="24"/>
        </w:rPr>
      </w:pPr>
      <w:r>
        <w:rPr>
          <w:rFonts w:asciiTheme="minorEastAsia" w:hAnsiTheme="minorEastAsia" w:eastAsiaTheme="minorEastAsia"/>
          <w:b/>
          <w:sz w:val="24"/>
        </w:rPr>
        <w:t>预算金额（元）：</w:t>
      </w:r>
      <w:r>
        <w:rPr>
          <w:rFonts w:hint="eastAsia" w:asciiTheme="minorEastAsia" w:hAnsiTheme="minorEastAsia" w:eastAsiaTheme="minorEastAsia"/>
          <w:b/>
          <w:sz w:val="24"/>
        </w:rPr>
        <w:t>7200000</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最高限价（元）：6000000</w:t>
      </w:r>
    </w:p>
    <w:p>
      <w:pPr>
        <w:adjustRightInd/>
        <w:spacing w:line="360" w:lineRule="auto"/>
        <w:rPr>
          <w:rFonts w:asciiTheme="minorEastAsia" w:hAnsiTheme="minorEastAsia" w:eastAsiaTheme="minorEastAsia"/>
          <w:b/>
          <w:sz w:val="24"/>
        </w:rPr>
      </w:pPr>
      <w:r>
        <w:rPr>
          <w:rFonts w:hint="eastAsia" w:asciiTheme="minorEastAsia" w:hAnsiTheme="minorEastAsia" w:eastAsiaTheme="minorEastAsia"/>
          <w:b/>
          <w:sz w:val="24"/>
        </w:rPr>
        <w:t>采购需求：乔司街道世纪大道沿线绿化养护项目，简要规格描述或项目基本概况介绍、用途：详见招标文件第三部分采购需求。</w:t>
      </w:r>
    </w:p>
    <w:p>
      <w:pPr>
        <w:pStyle w:val="89"/>
        <w:ind w:firstLine="482"/>
        <w:outlineLvl w:val="2"/>
        <w:rPr>
          <w:rFonts w:asciiTheme="minorEastAsia" w:hAnsiTheme="minorEastAsia" w:eastAsiaTheme="minorEastAsia"/>
        </w:rPr>
      </w:pPr>
      <w:r>
        <w:rPr>
          <w:rFonts w:hint="eastAsia" w:asciiTheme="minorEastAsia" w:hAnsiTheme="minorEastAsia" w:eastAsiaTheme="minorEastAsia"/>
          <w:b/>
        </w:rPr>
        <w:t>合同履约期限：2年。</w:t>
      </w:r>
    </w:p>
    <w:p>
      <w:pPr>
        <w:pStyle w:val="7"/>
        <w:spacing w:line="360" w:lineRule="auto"/>
        <w:ind w:firstLine="480"/>
        <w:rPr>
          <w:rFonts w:asciiTheme="minorEastAsia" w:hAnsiTheme="minorEastAsia" w:eastAsiaTheme="minorEastAsia"/>
          <w:b/>
          <w:sz w:val="24"/>
        </w:rPr>
      </w:pPr>
      <w:r>
        <w:rPr>
          <w:rFonts w:hint="eastAsia" w:asciiTheme="minorEastAsia" w:hAnsiTheme="minorEastAsia" w:eastAsiaTheme="minorEastAsia"/>
          <w:b/>
          <w:color w:val="auto"/>
          <w:sz w:val="24"/>
        </w:rPr>
        <w:t>本项目接受联合体投标：</w:t>
      </w:r>
      <w:r>
        <w:rPr>
          <w:rFonts w:cs="Arial" w:asciiTheme="minorEastAsia" w:hAnsiTheme="minorEastAsia" w:eastAsiaTheme="minorEastAsia"/>
          <w:color w:val="auto"/>
          <w:kern w:val="0"/>
          <w:sz w:val="24"/>
        </w:rPr>
        <w:sym w:font="Wingdings" w:char="F0FE"/>
      </w:r>
      <w:r>
        <w:rPr>
          <w:rFonts w:hint="eastAsia" w:asciiTheme="minorEastAsia" w:hAnsiTheme="minorEastAsia" w:eastAsiaTheme="minorEastAsia"/>
          <w:b/>
          <w:color w:val="auto"/>
          <w:sz w:val="24"/>
        </w:rPr>
        <w:t>是，</w:t>
      </w:r>
      <w:r>
        <w:rPr>
          <w:rFonts w:hAnsi="MS Gothic" w:cs="Arial" w:asciiTheme="minorEastAsia" w:eastAsiaTheme="minorEastAsia"/>
          <w:kern w:val="0"/>
          <w:sz w:val="24"/>
        </w:rPr>
        <w:t>☐</w:t>
      </w:r>
      <w:r>
        <w:rPr>
          <w:rFonts w:hint="eastAsia" w:asciiTheme="minorEastAsia" w:hAnsiTheme="minorEastAsia" w:eastAsiaTheme="minorEastAsia"/>
          <w:b/>
          <w:color w:val="auto"/>
          <w:sz w:val="24"/>
        </w:rPr>
        <w:t>否</w:t>
      </w:r>
      <w:r>
        <w:rPr>
          <w:rFonts w:hint="eastAsia" w:cs="Arial" w:asciiTheme="minorEastAsia" w:hAnsiTheme="minorEastAsia" w:eastAsiaTheme="minorEastAsia"/>
          <w:color w:val="auto"/>
          <w:kern w:val="0"/>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二、申请人的资格要求：</w:t>
      </w:r>
    </w:p>
    <w:p>
      <w:pPr>
        <w:spacing w:line="360" w:lineRule="auto"/>
        <w:ind w:firstLine="480"/>
        <w:rPr>
          <w:rFonts w:cs="仿宋_GB2312" w:asciiTheme="minorEastAsia" w:hAnsiTheme="minorEastAsia" w:eastAsiaTheme="minorEastAsia"/>
          <w:snapToGrid w:val="0"/>
          <w:kern w:val="28"/>
          <w:sz w:val="24"/>
          <w:szCs w:val="20"/>
        </w:rPr>
      </w:pPr>
      <w:r>
        <w:rPr>
          <w:rFonts w:cs="仿宋_GB2312" w:asciiTheme="minorEastAsia" w:hAnsiTheme="minorEastAsia" w:eastAsiaTheme="minorEastAsia"/>
          <w:snapToGrid w:val="0"/>
          <w:kern w:val="28"/>
          <w:sz w:val="24"/>
          <w:szCs w:val="20"/>
        </w:rPr>
        <w:t>1.</w:t>
      </w:r>
      <w:r>
        <w:rPr>
          <w:rFonts w:hint="eastAsia" w:cs="仿宋_GB2312" w:asciiTheme="minorEastAsia" w:hAnsiTheme="minorEastAsia" w:eastAsiaTheme="minorEastAsia"/>
          <w:snapToGrid w:val="0"/>
          <w:kern w:val="28"/>
          <w:sz w:val="24"/>
          <w:szCs w:val="20"/>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仿宋_GB2312" w:asciiTheme="minorEastAsia" w:hAnsiTheme="minorEastAsia" w:eastAsiaTheme="minorEastAsia"/>
          <w:snapToGrid w:val="0"/>
          <w:kern w:val="28"/>
          <w:sz w:val="24"/>
          <w:szCs w:val="20"/>
        </w:rPr>
      </w:pPr>
      <w:r>
        <w:rPr>
          <w:rFonts w:cs="仿宋_GB2312" w:asciiTheme="minorEastAsia" w:hAnsiTheme="minorEastAsia" w:eastAsiaTheme="minorEastAsia"/>
          <w:snapToGrid w:val="0"/>
          <w:kern w:val="28"/>
          <w:sz w:val="24"/>
          <w:szCs w:val="20"/>
        </w:rPr>
        <w:t xml:space="preserve">    2.</w:t>
      </w:r>
      <w:r>
        <w:rPr>
          <w:rFonts w:hint="eastAsia" w:cs="仿宋_GB2312"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无；</w:t>
      </w:r>
    </w:p>
    <w:p>
      <w:pPr>
        <w:spacing w:line="360" w:lineRule="auto"/>
        <w:ind w:firstLine="480" w:firstLineChars="200"/>
        <w:rPr>
          <w:rFonts w:asciiTheme="minorEastAsia" w:hAnsiTheme="minorEastAsia" w:eastAsiaTheme="minorEastAsia"/>
          <w:sz w:val="24"/>
        </w:rPr>
      </w:pPr>
      <w:r>
        <w:rPr>
          <w:rFonts w:cs="Arial" w:asciiTheme="minorEastAsia" w:hAnsiTheme="minorEastAsia" w:eastAsiaTheme="minorEastAsia"/>
          <w:kern w:val="0"/>
          <w:sz w:val="24"/>
        </w:rPr>
        <w:sym w:font="Wingdings" w:char="F0FE"/>
      </w:r>
      <w:r>
        <w:rPr>
          <w:rFonts w:hint="eastAsia" w:cs="Arial" w:asciiTheme="minorEastAsia" w:hAnsiTheme="minorEastAsia" w:eastAsiaTheme="minorEastAsia"/>
          <w:kern w:val="0"/>
          <w:sz w:val="24"/>
        </w:rPr>
        <w:t>专</w:t>
      </w:r>
      <w:r>
        <w:rPr>
          <w:rFonts w:hint="eastAsia" w:asciiTheme="minorEastAsia" w:hAnsiTheme="minorEastAsia" w:eastAsiaTheme="minorEastAsia"/>
          <w:sz w:val="24"/>
        </w:rPr>
        <w:t>门面向中小企业</w:t>
      </w:r>
    </w:p>
    <w:p>
      <w:pPr>
        <w:spacing w:line="360" w:lineRule="auto"/>
        <w:ind w:firstLine="897" w:firstLineChars="374"/>
        <w:rPr>
          <w:rFonts w:asciiTheme="minorEastAsia" w:hAnsiTheme="minorEastAsia" w:eastAsiaTheme="minorEastAsia"/>
          <w:sz w:val="24"/>
          <w:u w:val="single"/>
        </w:rPr>
      </w:pPr>
      <w:r>
        <w:rPr>
          <w:rFonts w:hAnsi="MS Gothic" w:cs="Arial" w:asciiTheme="minorEastAsia" w:eastAsiaTheme="minorEastAsia"/>
          <w:kern w:val="0"/>
          <w:sz w:val="24"/>
        </w:rPr>
        <w:t>☐</w:t>
      </w:r>
      <w:r>
        <w:rPr>
          <w:rFonts w:hint="eastAsia" w:asciiTheme="minorEastAsia" w:hAnsiTheme="minorEastAsia" w:eastAsiaTheme="minorEastAsia"/>
          <w:sz w:val="24"/>
        </w:rPr>
        <w:t>货物全部由符合政策要求的中小企业制造，提供中小企业声明函；</w:t>
      </w:r>
    </w:p>
    <w:p>
      <w:pPr>
        <w:spacing w:line="360" w:lineRule="auto"/>
        <w:ind w:firstLine="897" w:firstLineChars="374"/>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货物全部由符合政策要求的小微企业制造，提供中小企业声明函；</w:t>
      </w:r>
    </w:p>
    <w:p>
      <w:pPr>
        <w:spacing w:line="360" w:lineRule="auto"/>
        <w:ind w:firstLine="897" w:firstLineChars="374"/>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服务全部由符合政策要求的中小企业承接，提供中小企业声明函；</w:t>
      </w:r>
    </w:p>
    <w:p>
      <w:pPr>
        <w:spacing w:line="360" w:lineRule="auto"/>
        <w:ind w:firstLine="897" w:firstLineChars="374"/>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服务全部由符合政策要求的小微企业承接，提供中小企业声明函；</w:t>
      </w:r>
    </w:p>
    <w:p>
      <w:pPr>
        <w:rPr>
          <w:rFonts w:asciiTheme="minorEastAsia" w:hAnsiTheme="minorEastAsia" w:eastAsiaTheme="minorEastAsia"/>
        </w:rPr>
      </w:pPr>
    </w:p>
    <w:p>
      <w:pPr>
        <w:spacing w:line="360" w:lineRule="auto"/>
        <w:ind w:firstLine="480" w:firstLineChars="200"/>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要求以联合体形式参加，提供联合协议和中小企业声明函，联合协议中中小企业合同金额应当达到</w:t>
      </w:r>
      <w:r>
        <w:rPr>
          <w:rFonts w:asciiTheme="minorEastAsia" w:hAnsiTheme="minorEastAsia" w:eastAsiaTheme="minorEastAsia"/>
          <w:sz w:val="24"/>
        </w:rPr>
        <w:t>%，小</w:t>
      </w:r>
      <w:r>
        <w:rPr>
          <w:rFonts w:hint="eastAsia" w:asciiTheme="minorEastAsia" w:hAnsiTheme="minorEastAsia" w:eastAsiaTheme="minorEastAsia"/>
          <w:sz w:val="24"/>
        </w:rPr>
        <w:t>微企业合同金额应当达到</w:t>
      </w:r>
      <w:r>
        <w:rPr>
          <w:rFonts w:asciiTheme="minorEastAsia" w:hAnsiTheme="minorEastAsia" w:eastAsiaTheme="minorEastAsia"/>
          <w:sz w:val="24"/>
        </w:rPr>
        <w:t>%;</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要求合同分包，提供分包意向协议和中小企业声明函，分包意向协议中中小企业合同金额应当达到达到</w:t>
      </w:r>
      <w:r>
        <w:rPr>
          <w:rFonts w:asciiTheme="minorEastAsia" w:hAnsiTheme="minorEastAsia" w:eastAsiaTheme="minorEastAsia"/>
          <w:sz w:val="24"/>
        </w:rPr>
        <w:t xml:space="preserve">% </w:t>
      </w:r>
      <w:r>
        <w:rPr>
          <w:rFonts w:hint="eastAsia" w:asciiTheme="minorEastAsia" w:hAnsiTheme="minorEastAsia" w:eastAsiaTheme="minorEastAsia"/>
          <w:sz w:val="24"/>
        </w:rPr>
        <w:t>，小微企业合同金额应当达到</w:t>
      </w:r>
      <w:r>
        <w:rPr>
          <w:rFonts w:asciiTheme="minorEastAsia" w:hAnsiTheme="minorEastAsia" w:eastAsiaTheme="minorEastAsia"/>
          <w:sz w:val="24"/>
        </w:rPr>
        <w:t>% ;</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3.本项目的特定资格要求：无</w:t>
      </w:r>
      <w:r>
        <w:rPr>
          <w:rFonts w:hint="eastAsia" w:asciiTheme="minorEastAsia" w:hAnsiTheme="minorEastAsia" w:eastAsiaTheme="minorEastAsia"/>
          <w:sz w:val="24"/>
        </w:rPr>
        <w:t>；</w:t>
      </w:r>
    </w:p>
    <w:p>
      <w:pPr>
        <w:snapToGrid w:val="0"/>
        <w:spacing w:line="360" w:lineRule="auto"/>
        <w:ind w:firstLine="480" w:firstLineChars="200"/>
        <w:rPr>
          <w:rFonts w:cs="仿宋_GB2312"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单位负责人为同一人或者存在直接控股、管理关系的不同供应商，不得参加同一合同项下的政府采购活动；</w:t>
      </w:r>
      <w:r>
        <w:rPr>
          <w:rFonts w:cs="仿宋_GB2312" w:asciiTheme="minorEastAsia" w:hAnsiTheme="minorEastAsia" w:eastAsiaTheme="minorEastAsia"/>
          <w:sz w:val="24"/>
        </w:rPr>
        <w:t>为采购项目提供整体设计、规范编制或者项目管理、监理、检测等服务后</w:t>
      </w:r>
      <w:r>
        <w:rPr>
          <w:rFonts w:hint="eastAsia" w:cs="仿宋_GB2312" w:asciiTheme="minorEastAsia" w:hAnsiTheme="minorEastAsia" w:eastAsiaTheme="minorEastAsia"/>
          <w:sz w:val="24"/>
        </w:rPr>
        <w:t>不得</w:t>
      </w:r>
      <w:r>
        <w:rPr>
          <w:rFonts w:cs="仿宋_GB2312" w:asciiTheme="minorEastAsia" w:hAnsiTheme="minorEastAsia" w:eastAsiaTheme="minorEastAsia"/>
          <w:sz w:val="24"/>
        </w:rPr>
        <w:t>再参加该采购项目的其他采购活动。</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三、获取招标文件</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时间：</w:t>
      </w:r>
      <w:r>
        <w:rPr>
          <w:rFonts w:asciiTheme="minorEastAsia" w:hAnsiTheme="minorEastAsia" w:eastAsiaTheme="minorEastAsia"/>
          <w:sz w:val="24"/>
        </w:rPr>
        <w:t>/至</w:t>
      </w:r>
      <w:r>
        <w:rPr>
          <w:rFonts w:hint="eastAsia" w:asciiTheme="minorEastAsia" w:hAnsiTheme="minorEastAsia" w:eastAsiaTheme="minorEastAsia"/>
          <w:sz w:val="24"/>
          <w:u w:val="single"/>
        </w:rPr>
        <w:t>2022</w:t>
      </w:r>
      <w:r>
        <w:rPr>
          <w:rFonts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9</w:t>
      </w:r>
      <w:r>
        <w:rPr>
          <w:rFonts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28</w:t>
      </w:r>
      <w:r>
        <w:rPr>
          <w:rFonts w:asciiTheme="minorEastAsia" w:hAnsiTheme="minorEastAsia" w:eastAsiaTheme="minorEastAsia"/>
          <w:sz w:val="24"/>
          <w:u w:val="single"/>
        </w:rPr>
        <w:t>日</w:t>
      </w:r>
      <w:r>
        <w:rPr>
          <w:rFonts w:hint="eastAsia" w:asciiTheme="minorEastAsia" w:hAnsiTheme="minorEastAsia" w:eastAsiaTheme="minorEastAsia"/>
          <w:sz w:val="24"/>
        </w:rPr>
        <w:t>，每天上午</w:t>
      </w:r>
      <w:r>
        <w:rPr>
          <w:rFonts w:asciiTheme="minorEastAsia" w:hAnsiTheme="minorEastAsia" w:eastAsiaTheme="minorEastAsia"/>
          <w:sz w:val="24"/>
        </w:rPr>
        <w:t>00:00至12:00</w:t>
      </w:r>
      <w:r>
        <w:rPr>
          <w:rFonts w:hint="eastAsia" w:asciiTheme="minorEastAsia" w:hAnsiTheme="minorEastAsia" w:eastAsiaTheme="minorEastAsia"/>
          <w:sz w:val="24"/>
        </w:rPr>
        <w:t>，下午</w:t>
      </w:r>
      <w:r>
        <w:rPr>
          <w:rFonts w:asciiTheme="minorEastAsia" w:hAnsiTheme="minorEastAsia" w:eastAsiaTheme="minorEastAsia"/>
          <w:sz w:val="24"/>
        </w:rPr>
        <w:t>12:00至23:59（北京时间，线上获取法定节假日均可，线下获取文件法定节假日除外）</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获取网址：</w:t>
      </w:r>
      <w:r>
        <w:rPr>
          <w:rFonts w:hint="eastAsia" w:asciiTheme="minorEastAsia" w:hAnsiTheme="minorEastAsia" w:eastAsiaTheme="minorEastAsia"/>
          <w:sz w:val="24"/>
        </w:rPr>
        <w:t>政采云平台（</w:t>
      </w:r>
      <w:r>
        <w:rPr>
          <w:rFonts w:asciiTheme="minorEastAsia" w:hAnsiTheme="minorEastAsia" w:eastAsiaTheme="minorEastAsia"/>
          <w:sz w:val="24"/>
        </w:rPr>
        <w:t xml:space="preserve">https://www.zcygov.cn/）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方式：</w:t>
      </w:r>
      <w:r>
        <w:rPr>
          <w:rFonts w:hint="eastAsia" w:asciiTheme="minorEastAsia" w:hAnsiTheme="minorEastAsia" w:eastAsiaTheme="minorEastAsia"/>
          <w:sz w:val="24"/>
        </w:rPr>
        <w:t>供应商登录政采云平台</w:t>
      </w:r>
      <w:r>
        <w:rPr>
          <w:rFonts w:asciiTheme="minorEastAsia" w:hAnsiTheme="minorEastAsia" w:eastAsiaTheme="minorEastAsia"/>
          <w:sz w:val="24"/>
        </w:rPr>
        <w:t xml:space="preserve">https://www.zcygov.cn/在线申请获取采购文件（进入“项目采购”应用，在获取采购文件菜单中选择项目，申请获取采购文件）。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售价（元）：</w:t>
      </w:r>
      <w:r>
        <w:rPr>
          <w:rFonts w:asciiTheme="minorEastAsia" w:hAnsiTheme="minorEastAsia" w:eastAsiaTheme="minorEastAsia"/>
          <w:sz w:val="24"/>
        </w:rPr>
        <w:t>0</w:t>
      </w:r>
      <w:r>
        <w:rPr>
          <w:rFonts w:asciiTheme="minorEastAsia" w:hAnsiTheme="minorEastAsia" w:eastAsiaTheme="minorEastAsia"/>
          <w:sz w:val="24"/>
        </w:rPr>
        <w:tab/>
      </w:r>
    </w:p>
    <w:p>
      <w:pPr>
        <w:spacing w:line="360" w:lineRule="auto"/>
        <w:rPr>
          <w:rFonts w:asciiTheme="minorEastAsia" w:hAnsiTheme="minorEastAsia" w:eastAsiaTheme="minorEastAsia"/>
          <w:b/>
          <w:sz w:val="24"/>
          <w:highlight w:val="cyan"/>
        </w:rPr>
      </w:pPr>
      <w:r>
        <w:rPr>
          <w:rFonts w:hint="eastAsia" w:asciiTheme="minorEastAsia" w:hAnsiTheme="minorEastAsia" w:eastAsiaTheme="minorEastAsia"/>
          <w:b/>
          <w:sz w:val="24"/>
        </w:rPr>
        <w:t>四、提交投标文件截止时间、开标时间和地点</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提交投标文件截止时间：</w:t>
      </w:r>
      <w:r>
        <w:rPr>
          <w:rFonts w:hint="eastAsia" w:asciiTheme="minorEastAsia" w:hAnsiTheme="minorEastAsia" w:eastAsiaTheme="minorEastAsia"/>
          <w:sz w:val="24"/>
          <w:u w:val="single"/>
        </w:rPr>
        <w:t>2022</w:t>
      </w:r>
      <w:r>
        <w:rPr>
          <w:rFonts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9</w:t>
      </w:r>
      <w:r>
        <w:rPr>
          <w:rFonts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28</w:t>
      </w:r>
      <w:r>
        <w:rPr>
          <w:rFonts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9</w:t>
      </w:r>
      <w:r>
        <w:rPr>
          <w:rFonts w:hint="eastAsia" w:asciiTheme="minorEastAsia" w:hAnsiTheme="minorEastAsia" w:eastAsiaTheme="minorEastAsia"/>
          <w:sz w:val="24"/>
          <w:u w:val="single"/>
        </w:rPr>
        <w:t>点00分</w:t>
      </w:r>
      <w:r>
        <w:rPr>
          <w:rFonts w:hint="eastAsia" w:asciiTheme="minorEastAsia" w:hAnsiTheme="minorEastAsia" w:eastAsiaTheme="minorEastAsia"/>
          <w:sz w:val="24"/>
        </w:rPr>
        <w:t>（北京时间）</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投标地点：</w:t>
      </w:r>
      <w:r>
        <w:rPr>
          <w:rFonts w:hint="eastAsia" w:asciiTheme="minorEastAsia" w:hAnsiTheme="minorEastAsia" w:eastAsiaTheme="minorEastAsia"/>
          <w:sz w:val="24"/>
        </w:rPr>
        <w:t>政采云平台（</w:t>
      </w:r>
      <w:r>
        <w:rPr>
          <w:rFonts w:asciiTheme="minorEastAsia" w:hAnsiTheme="minorEastAsia" w:eastAsiaTheme="minorEastAsia"/>
          <w:sz w:val="24"/>
        </w:rPr>
        <w:t>https://www.zcygov.cn/）</w:t>
      </w: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投标网址：政采云平台（</w:t>
      </w:r>
      <w:r>
        <w:rPr>
          <w:rFonts w:asciiTheme="minorEastAsia" w:hAnsiTheme="minorEastAsia" w:eastAsiaTheme="minorEastAsia"/>
          <w:sz w:val="24"/>
        </w:rPr>
        <w:t xml:space="preserve">https://www.zcygov.cn/） </w:t>
      </w:r>
    </w:p>
    <w:p>
      <w:pPr>
        <w:spacing w:line="360" w:lineRule="auto"/>
        <w:ind w:firstLine="482" w:firstLineChars="200"/>
        <w:rPr>
          <w:rFonts w:asciiTheme="minorEastAsia" w:hAnsiTheme="minorEastAsia" w:eastAsiaTheme="minorEastAsia"/>
          <w:bCs/>
          <w:sz w:val="24"/>
          <w:u w:val="single"/>
        </w:rPr>
      </w:pPr>
      <w:r>
        <w:rPr>
          <w:rFonts w:hint="eastAsia" w:asciiTheme="minorEastAsia" w:hAnsiTheme="minorEastAsia" w:eastAsiaTheme="minorEastAsia"/>
          <w:b/>
          <w:sz w:val="24"/>
        </w:rPr>
        <w:t>开标时间：</w:t>
      </w:r>
      <w:r>
        <w:rPr>
          <w:rFonts w:hint="eastAsia" w:asciiTheme="minorEastAsia" w:hAnsiTheme="minorEastAsia" w:eastAsiaTheme="minorEastAsia"/>
          <w:sz w:val="24"/>
          <w:u w:val="single"/>
        </w:rPr>
        <w:t>2022</w:t>
      </w:r>
      <w:r>
        <w:rPr>
          <w:rFonts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9</w:t>
      </w:r>
      <w:r>
        <w:rPr>
          <w:rFonts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28</w:t>
      </w:r>
      <w:r>
        <w:rPr>
          <w:rFonts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9</w:t>
      </w:r>
      <w:r>
        <w:rPr>
          <w:rFonts w:hint="eastAsia" w:asciiTheme="minorEastAsia" w:hAnsiTheme="minorEastAsia" w:eastAsiaTheme="minorEastAsia"/>
          <w:sz w:val="24"/>
          <w:u w:val="single"/>
        </w:rPr>
        <w:t>点00分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开标网址（地点）：</w:t>
      </w:r>
      <w:r>
        <w:rPr>
          <w:rFonts w:asciiTheme="minorEastAsia" w:hAnsiTheme="minorEastAsia" w:eastAsiaTheme="minorEastAsia"/>
          <w:sz w:val="24"/>
        </w:rPr>
        <w:t>政</w:t>
      </w:r>
      <w:r>
        <w:rPr>
          <w:rFonts w:hint="eastAsia" w:asciiTheme="minorEastAsia" w:hAnsiTheme="minorEastAsia" w:eastAsiaTheme="minorEastAsia"/>
          <w:sz w:val="24"/>
        </w:rPr>
        <w:t>采云平台（</w:t>
      </w:r>
      <w:r>
        <w:rPr>
          <w:rFonts w:asciiTheme="minorEastAsia" w:hAnsiTheme="minorEastAsia" w:eastAsiaTheme="minorEastAsia"/>
          <w:sz w:val="24"/>
        </w:rPr>
        <w:t>https://www.zcygov.cn/）</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五、公告期限</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自本公告发布之日起</w:t>
      </w:r>
      <w:r>
        <w:rPr>
          <w:rFonts w:asciiTheme="minorEastAsia" w:hAnsiTheme="minorEastAsia" w:eastAsiaTheme="minorEastAsia"/>
          <w:sz w:val="24"/>
        </w:rPr>
        <w:t>5个工作日。</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六、其他补充事宜</w:t>
      </w:r>
    </w:p>
    <w:p>
      <w:pPr>
        <w:spacing w:line="360" w:lineRule="auto"/>
        <w:ind w:firstLine="480" w:firstLineChars="200"/>
        <w:rPr>
          <w:rFonts w:cs="仿宋_GB2312" w:asciiTheme="minorEastAsia" w:hAnsiTheme="minorEastAsia" w:eastAsiaTheme="minorEastAsia"/>
          <w:sz w:val="24"/>
        </w:rPr>
      </w:pPr>
      <w:r>
        <w:rPr>
          <w:rFonts w:asciiTheme="minorEastAsia" w:hAnsiTheme="minorEastAsia" w:eastAsiaTheme="minor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Theme="minorEastAsia" w:hAnsiTheme="minorEastAsia" w:eastAsiaTheme="minorEastAsia"/>
          <w:sz w:val="24"/>
        </w:rPr>
        <w:t>作出答复的，可以在答复期满后十五个工作日内向同级政府采购监督管理部门投诉。质疑函范本、投诉书范本请到浙江政府采购网下载专区下载。2.其他事项：（1）需要落实的政府采购政策：包括节约资源、保护环境、支持创新、促进中小企业发展等。详见招标文件的第二部分总则。（2）</w:t>
      </w:r>
      <w:r>
        <w:rPr>
          <w:rFonts w:asciiTheme="minorEastAsia" w:hAnsiTheme="minorEastAsia" w:eastAsiaTheme="minorEastAsia"/>
          <w:sz w:val="24"/>
        </w:rPr>
        <w:t>电子招投标的说明：</w:t>
      </w:r>
      <w:r>
        <w:rPr>
          <w:rFonts w:hint="eastAsia" w:cs="仿宋_GB2312" w:asciiTheme="minorEastAsia" w:hAnsiTheme="minorEastAsia" w:eastAsiaTheme="minorEastAsia"/>
          <w:sz w:val="24"/>
        </w:rPr>
        <w:t>①</w:t>
      </w:r>
      <w:r>
        <w:rPr>
          <w:rFonts w:cs="仿宋_GB2312" w:asciiTheme="minorEastAsia" w:hAnsiTheme="minorEastAsia" w:eastAsiaTheme="minorEastAsia"/>
          <w:sz w:val="24"/>
        </w:rPr>
        <w:t>电子招投标：本项目以数据电文形式，依托“政府采购云平台（www.zcygov.cn）”进行招投标活动，不接受纸质投标文件</w:t>
      </w:r>
      <w:r>
        <w:rPr>
          <w:rFonts w:hint="eastAsia" w:cs="仿宋_GB2312" w:asciiTheme="minorEastAsia" w:hAnsiTheme="minorEastAsia" w:eastAsiaTheme="minorEastAsia"/>
          <w:sz w:val="24"/>
        </w:rPr>
        <w:t>；②</w:t>
      </w:r>
      <w:r>
        <w:rPr>
          <w:rFonts w:cs="仿宋_GB2312" w:asciiTheme="minorEastAsia" w:hAnsiTheme="minorEastAsia" w:eastAsiaTheme="minorEastAsia"/>
          <w:sz w:val="24"/>
        </w:rPr>
        <w:t>投标准备：注册账号--点击“商家入驻”，进行政府采购供应商资料填写；申领CA数字证书---申领流程详见“浙江政府采购网-下载专区-电子交易客户端-CA驱动和申领流程”；安装“政</w:t>
      </w:r>
      <w:r>
        <w:rPr>
          <w:rFonts w:hint="eastAsia" w:cs="仿宋_GB2312" w:asciiTheme="minorEastAsia" w:hAnsiTheme="minorEastAsia" w:eastAsiaTheme="minorEastAsia"/>
          <w:sz w:val="24"/>
        </w:rPr>
        <w:t>采云电子交易客户端”</w:t>
      </w:r>
      <w:r>
        <w:rPr>
          <w:rFonts w:cs="仿宋_GB2312" w:asciiTheme="minorEastAsia" w:hAnsiTheme="minorEastAsia" w:eastAsiaTheme="minorEastAsia"/>
          <w:sz w:val="24"/>
        </w:rPr>
        <w:t>----前往“浙江政府采购网-下载专区-电子交易客户端”进行下载并安装</w:t>
      </w:r>
      <w:r>
        <w:rPr>
          <w:rFonts w:hint="eastAsia" w:cs="仿宋_GB2312" w:asciiTheme="minorEastAsia" w:hAnsiTheme="minorEastAsia" w:eastAsiaTheme="minorEastAsia"/>
          <w:sz w:val="24"/>
        </w:rPr>
        <w:t>；③</w:t>
      </w:r>
      <w:r>
        <w:rPr>
          <w:rFonts w:cs="仿宋_GB2312" w:asciiTheme="minorEastAsia" w:hAnsiTheme="minorEastAsia" w:eastAsiaTheme="minorEastAsia"/>
          <w:sz w:val="24"/>
        </w:rPr>
        <w:t>招标文件的获取：使用账号登录或者使用CA登录政</w:t>
      </w:r>
      <w:r>
        <w:rPr>
          <w:rFonts w:hint="eastAsia" w:cs="仿宋_GB2312" w:asciiTheme="minorEastAsia" w:hAnsiTheme="minorEastAsia" w:eastAsiaTheme="minorEastAsia"/>
          <w:sz w:val="24"/>
        </w:rPr>
        <w:t>采云平台；进入“项目采购”应用，在获取采购文件菜单中选择项目，获取招标文件；④</w:t>
      </w:r>
      <w:r>
        <w:rPr>
          <w:rFonts w:cs="仿宋_GB2312" w:asciiTheme="minorEastAsia" w:hAnsiTheme="minorEastAsia" w:eastAsiaTheme="minorEastAsia"/>
          <w:sz w:val="24"/>
        </w:rPr>
        <w:t>投标文件的制作：在“政</w:t>
      </w:r>
      <w:r>
        <w:rPr>
          <w:rFonts w:hint="eastAsia" w:cs="仿宋_GB2312" w:asciiTheme="minorEastAsia" w:hAnsiTheme="minorEastAsia" w:eastAsiaTheme="minorEastAsia"/>
          <w:sz w:val="24"/>
        </w:rPr>
        <w:t>采云电子交易客户端”中完成“填写基本信息”、“导入投标文件”、“标书关联”、“标书检查”、“电子签名”、“生成电子标书”等操作；</w:t>
      </w:r>
      <w:r>
        <w:rPr>
          <w:rFonts w:hint="eastAsia" w:asciiTheme="minorEastAsia" w:hAnsiTheme="minorEastAsia" w:eastAsiaTheme="minorEastAsia"/>
          <w:sz w:val="24"/>
        </w:rPr>
        <w:t>⑤</w:t>
      </w:r>
      <w:r>
        <w:rPr>
          <w:rFonts w:asciiTheme="minorEastAsia" w:hAnsiTheme="minorEastAsia" w:eastAsiaTheme="minorEastAsia"/>
          <w:sz w:val="24"/>
        </w:rPr>
        <w:t>采购人、采购机构将依托政</w:t>
      </w:r>
      <w:r>
        <w:rPr>
          <w:rFonts w:hint="eastAsia" w:asciiTheme="minorEastAsia" w:hAnsiTheme="minorEastAsia" w:eastAsiaTheme="minorEastAsia"/>
          <w:sz w:val="24"/>
        </w:rPr>
        <w:t>采云平台完成本项目的电子交易活动，平台不接受未按上述方式获取招标文件的供应商进行投标活动；⑥</w:t>
      </w:r>
      <w:r>
        <w:rPr>
          <w:rFonts w:asciiTheme="minorEastAsia" w:hAnsiTheme="minorEastAsia" w:eastAsiaTheme="minorEastAsia"/>
          <w:sz w:val="24"/>
        </w:rPr>
        <w:t>对未按上述方式获取招标文件的供应商对该文件提出的质疑，采购人或采购代理机构将</w:t>
      </w:r>
      <w:r>
        <w:rPr>
          <w:rFonts w:hint="eastAsia" w:asciiTheme="minorEastAsia" w:hAnsiTheme="minorEastAsia" w:eastAsiaTheme="minorEastAsia"/>
          <w:sz w:val="24"/>
        </w:rPr>
        <w:t>不予处理；⑦</w:t>
      </w:r>
      <w:r>
        <w:rPr>
          <w:rFonts w:asciiTheme="minorEastAsia" w:hAnsiTheme="minorEastAsia" w:eastAsiaTheme="minorEastAsia"/>
          <w:sz w:val="24"/>
        </w:rPr>
        <w:t>不提供招标文件纸质版</w:t>
      </w:r>
      <w:r>
        <w:rPr>
          <w:rFonts w:hint="eastAsia" w:asciiTheme="minorEastAsia" w:hAnsiTheme="minorEastAsia" w:eastAsiaTheme="minorEastAsia"/>
          <w:sz w:val="24"/>
        </w:rPr>
        <w:t>；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s="仿宋_GB2312" w:asciiTheme="minorEastAsia" w:hAnsiTheme="minorEastAsia" w:eastAsiaTheme="minorEastAsia"/>
          <w:sz w:val="24"/>
        </w:rPr>
        <w:t>；</w:t>
      </w:r>
      <w:r>
        <w:rPr>
          <w:rFonts w:hint="eastAsia" w:asciiTheme="minorEastAsia" w:hAnsiTheme="minorEastAsia" w:eastAsiaTheme="minorEastAsia"/>
          <w:sz w:val="24"/>
        </w:rPr>
        <w:t>⑨</w:t>
      </w:r>
      <w:r>
        <w:rPr>
          <w:rFonts w:hint="eastAsia" w:cs="仿宋_GB2312" w:asciiTheme="minorEastAsia" w:hAnsiTheme="minorEastAsia" w:eastAsiaTheme="minor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cs="仿宋_GB2312" w:asciiTheme="minorEastAsia" w:hAnsiTheme="minorEastAsia" w:eastAsiaTheme="minorEastAsia"/>
          <w:sz w:val="24"/>
        </w:rPr>
        <w:t>具体操作指南：详见政</w:t>
      </w:r>
      <w:r>
        <w:rPr>
          <w:rFonts w:hint="eastAsia" w:cs="仿宋_GB2312" w:asciiTheme="minorEastAsia" w:hAnsiTheme="minorEastAsia" w:eastAsiaTheme="minorEastAsia"/>
          <w:sz w:val="24"/>
        </w:rPr>
        <w:t>采云平台“服务中心</w:t>
      </w:r>
      <w:r>
        <w:rPr>
          <w:rFonts w:cs="仿宋_GB2312" w:asciiTheme="minorEastAsia" w:hAnsiTheme="minorEastAsia" w:eastAsiaTheme="minorEastAsia"/>
          <w:sz w:val="24"/>
        </w:rPr>
        <w:t>-帮助文档-项目采购-操作流程-电子招投标-政府采购项目电子交易管理操作指南-供应商”。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七、对本次采购提出询问、质疑、投诉，请按以下方式联系</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    1.采购人信息</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名    称：杭州市临平区人民政府乔司街道办事处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址：浙江省杭州市临平区乔井路268号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项目联系人（询问）：庞鹏飞</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w:t>
      </w:r>
      <w:r>
        <w:rPr>
          <w:rFonts w:asciiTheme="minorEastAsia" w:hAnsiTheme="minorEastAsia" w:eastAsiaTheme="minorEastAsia"/>
          <w:sz w:val="24"/>
        </w:rPr>
        <w:t>0571-</w:t>
      </w:r>
      <w:r>
        <w:rPr>
          <w:rFonts w:hint="eastAsia" w:asciiTheme="minorEastAsia" w:hAnsiTheme="minorEastAsia" w:eastAsiaTheme="minorEastAsia"/>
          <w:sz w:val="24"/>
        </w:rPr>
        <w:t>89173123</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质疑联系人：翁振泉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r>
        <w:rPr>
          <w:rFonts w:asciiTheme="minorEastAsia" w:hAnsiTheme="minorEastAsia" w:eastAsiaTheme="minorEastAsia"/>
          <w:sz w:val="24"/>
        </w:rPr>
        <w:t>0571-86296891</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2.采购代理机构信息</w:t>
      </w:r>
    </w:p>
    <w:p>
      <w:pPr>
        <w:spacing w:line="360" w:lineRule="auto"/>
        <w:ind w:firstLine="480"/>
        <w:rPr>
          <w:rFonts w:hint="eastAsia" w:asciiTheme="minorEastAsia" w:hAnsiTheme="minorEastAsia" w:eastAsiaTheme="minorEastAsia"/>
          <w:sz w:val="24"/>
          <w:lang w:eastAsia="zh-CN"/>
        </w:rPr>
      </w:pPr>
      <w:r>
        <w:rPr>
          <w:rFonts w:hint="eastAsia" w:asciiTheme="minorEastAsia" w:hAnsiTheme="minorEastAsia" w:eastAsiaTheme="minorEastAsia"/>
          <w:sz w:val="24"/>
        </w:rPr>
        <w:t>名    称：</w:t>
      </w:r>
      <w:r>
        <w:rPr>
          <w:rFonts w:hint="eastAsia" w:asciiTheme="minorEastAsia" w:hAnsiTheme="minorEastAsia" w:eastAsiaTheme="minorEastAsia"/>
          <w:sz w:val="24"/>
          <w:lang w:eastAsia="zh-CN"/>
        </w:rPr>
        <w:t>浙江新诚信工程咨询有限公司</w:t>
      </w:r>
    </w:p>
    <w:p>
      <w:pPr>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地    址：杭州市临平区南苑街道</w:t>
      </w:r>
      <w:r>
        <w:rPr>
          <w:rFonts w:hint="eastAsia" w:asciiTheme="minorEastAsia" w:hAnsiTheme="minorEastAsia" w:eastAsiaTheme="minorEastAsia"/>
          <w:sz w:val="24"/>
          <w:lang w:val="en-US" w:eastAsia="zh-CN"/>
        </w:rPr>
        <w:t>香雪路38号香雪铭座7F</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真：0571-</w:t>
      </w:r>
      <w:r>
        <w:rPr>
          <w:rFonts w:hint="eastAsia" w:asciiTheme="minorEastAsia" w:hAnsiTheme="minorEastAsia" w:eastAsiaTheme="minorEastAsia"/>
          <w:sz w:val="24"/>
          <w:lang w:val="en-US" w:eastAsia="zh-CN"/>
        </w:rPr>
        <w:t>89183725</w:t>
      </w:r>
      <w:r>
        <w:rPr>
          <w:rFonts w:hint="eastAsia" w:asciiTheme="minorEastAsia" w:hAnsiTheme="minorEastAsia" w:eastAsiaTheme="minorEastAsia"/>
          <w:sz w:val="24"/>
        </w:rPr>
        <w:t xml:space="preserve"> </w:t>
      </w: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rPr>
        <w:t xml:space="preserve">    项目联系人（询问）：</w:t>
      </w:r>
      <w:r>
        <w:rPr>
          <w:rFonts w:hint="eastAsia" w:asciiTheme="minorEastAsia" w:hAnsiTheme="minorEastAsia" w:eastAsiaTheme="minorEastAsia"/>
          <w:sz w:val="24"/>
          <w:lang w:val="en-US" w:eastAsia="zh-CN"/>
        </w:rPr>
        <w:t>施伟强</w:t>
      </w:r>
    </w:p>
    <w:p>
      <w:pPr>
        <w:spacing w:line="360"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 xml:space="preserve">    项目联系方式（询问）：</w:t>
      </w:r>
      <w:r>
        <w:rPr>
          <w:rFonts w:hint="eastAsia" w:asciiTheme="minorEastAsia" w:hAnsiTheme="minorEastAsia" w:eastAsiaTheme="minorEastAsia"/>
          <w:sz w:val="24"/>
          <w:lang w:val="en-US" w:eastAsia="zh-CN"/>
        </w:rPr>
        <w:t>17757107246</w:t>
      </w: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rPr>
        <w:t xml:space="preserve">    质疑联系人：</w:t>
      </w:r>
      <w:r>
        <w:rPr>
          <w:rFonts w:hint="eastAsia" w:asciiTheme="minorEastAsia" w:hAnsiTheme="minorEastAsia" w:eastAsiaTheme="minorEastAsia"/>
          <w:sz w:val="24"/>
          <w:lang w:val="en-US" w:eastAsia="zh-CN"/>
        </w:rPr>
        <w:t>戚东升</w:t>
      </w:r>
    </w:p>
    <w:p>
      <w:pPr>
        <w:spacing w:line="360" w:lineRule="auto"/>
        <w:rPr>
          <w:rFonts w:cs="宋体" w:asciiTheme="minorEastAsia" w:hAnsiTheme="minorEastAsia" w:eastAsiaTheme="minorEastAsia"/>
          <w:sz w:val="24"/>
        </w:rPr>
      </w:pPr>
      <w:r>
        <w:rPr>
          <w:rFonts w:hint="eastAsia" w:asciiTheme="minorEastAsia" w:hAnsiTheme="minorEastAsia" w:eastAsiaTheme="minorEastAsia"/>
          <w:sz w:val="24"/>
        </w:rPr>
        <w:t xml:space="preserve">    质疑联系方式：0571-</w:t>
      </w:r>
      <w:r>
        <w:rPr>
          <w:rFonts w:hint="eastAsia" w:asciiTheme="minorEastAsia" w:hAnsiTheme="minorEastAsia" w:eastAsiaTheme="minorEastAsia"/>
          <w:sz w:val="24"/>
          <w:lang w:val="en-US" w:eastAsia="zh-CN"/>
        </w:rPr>
        <w:t>89183725</w:t>
      </w: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3.同级政府采购监督管理部门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名    称：杭州市临平区财政局</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址：杭州市临平区东湖街道东湖中路236号</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 xml:space="preserve">  传    真：</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    联系人：</w:t>
      </w:r>
      <w:r>
        <w:rPr>
          <w:rFonts w:hint="eastAsia" w:asciiTheme="minorEastAsia" w:hAnsiTheme="minorEastAsia" w:eastAsiaTheme="minorEastAsia"/>
          <w:sz w:val="24"/>
        </w:rPr>
        <w:t>俞征</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监督投诉电话：</w:t>
      </w:r>
      <w:r>
        <w:rPr>
          <w:rFonts w:hint="eastAsia" w:asciiTheme="minorEastAsia" w:hAnsiTheme="minorEastAsia" w:eastAsiaTheme="minorEastAsia"/>
          <w:sz w:val="24"/>
        </w:rPr>
        <w:t>0571-89185312</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w:t>
      </w:r>
      <w:r>
        <w:rPr>
          <w:rFonts w:asciiTheme="minorEastAsia" w:hAnsiTheme="minorEastAsia" w:eastAsiaTheme="minorEastAsia"/>
          <w:sz w:val="24"/>
        </w:rPr>
        <w:t>400-881-7190获取热线服务帮助。</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widowControl/>
        <w:jc w:val="left"/>
        <w:rPr>
          <w:rFonts w:cs="仿宋" w:asciiTheme="minorEastAsia" w:hAnsiTheme="minorEastAsia" w:eastAsiaTheme="minorEastAsia"/>
        </w:rPr>
      </w:pPr>
    </w:p>
    <w:p>
      <w:pPr>
        <w:pStyle w:val="2"/>
      </w:pPr>
    </w:p>
    <w:p/>
    <w:p>
      <w:pPr>
        <w:pStyle w:val="2"/>
      </w:pPr>
    </w:p>
    <w:p/>
    <w:p>
      <w:pPr>
        <w:pStyle w:val="2"/>
      </w:pPr>
    </w:p>
    <w:p/>
    <w:p>
      <w:pPr>
        <w:pStyle w:val="2"/>
      </w:pPr>
    </w:p>
    <w:p/>
    <w:p>
      <w:pPr>
        <w:pStyle w:val="2"/>
      </w:pPr>
    </w:p>
    <w:p/>
    <w:p/>
    <w:p>
      <w:pPr>
        <w:pStyle w:val="2"/>
      </w:pPr>
    </w:p>
    <w:p>
      <w:pPr>
        <w:adjustRightInd/>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第二部分</w:t>
      </w:r>
      <w:bookmarkEnd w:id="7"/>
      <w:r>
        <w:rPr>
          <w:rFonts w:hint="eastAsia" w:cs="宋体" w:asciiTheme="minorEastAsia" w:hAnsiTheme="minorEastAsia" w:eastAsiaTheme="minorEastAsia"/>
          <w:b/>
          <w:sz w:val="36"/>
          <w:szCs w:val="20"/>
        </w:rPr>
        <w:t xml:space="preserve"> 投标人须知</w:t>
      </w:r>
      <w:bookmarkEnd w:id="8"/>
    </w:p>
    <w:p>
      <w:pPr>
        <w:snapToGrid w:val="0"/>
        <w:spacing w:line="360" w:lineRule="auto"/>
        <w:jc w:val="center"/>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有关本项目实施所需的所有费用（含税费）均计入报价。</w:t>
            </w:r>
            <w:r>
              <w:rPr>
                <w:rFonts w:hint="eastAsia" w:cs="宋体" w:asciiTheme="minorEastAsia" w:hAnsiTheme="minorEastAsia" w:eastAsiaTheme="minorEastAsia"/>
                <w:sz w:val="24"/>
              </w:rPr>
              <w:t>开标一览表（报价表）是报价的唯一载体</w:t>
            </w:r>
            <w:r>
              <w:rPr>
                <w:rFonts w:hint="eastAsia" w:cs="宋体" w:asciiTheme="minorEastAsia" w:hAnsiTheme="minorEastAsia" w:eastAsiaTheme="minorEastAsia"/>
                <w:kern w:val="0"/>
                <w:sz w:val="24"/>
                <w:lang w:val="zh-CN"/>
              </w:rPr>
              <w:t>。投标文件中价格全部采用人民币报价，道路养护采用费率报价。招标文件未列明，而投标人认为必需的费用也需列入报价。</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投标人对根据修正原则修正后的报价不确认的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hAnsi="MS Mincho" w:eastAsia="MS Mincho" w:cs="MS Mincho" w:asciiTheme="minorEastAsia"/>
                <w:kern w:val="0"/>
                <w:sz w:val="24"/>
              </w:rPr>
              <w:t>☐</w:t>
            </w:r>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同意将非主体、非关键性的工作分包。</w:t>
            </w:r>
            <w:r>
              <w:rPr>
                <w:rFonts w:hint="eastAsia" w:cs="宋体" w:asciiTheme="minorEastAsia" w:hAnsiTheme="minorEastAsia" w:eastAsiaTheme="minorEastAsia"/>
                <w:kern w:val="0"/>
                <w:sz w:val="24"/>
              </w:rPr>
              <w:sym w:font="Wingdings" w:char="F0FE"/>
            </w:r>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00FE"/>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r>
              <w:rPr>
                <w:rFonts w:hint="eastAsia" w:hAnsi="MS Mincho" w:eastAsia="MS Mincho" w:cs="MS Mincho" w:asciiTheme="minorEastAsia"/>
                <w:kern w:val="0"/>
                <w:sz w:val="24"/>
              </w:rPr>
              <w:t>☐</w:t>
            </w:r>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时间：,地点：，联系人：，联系方式：</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00FE"/>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sym w:font="Wingdings" w:char="00A8"/>
            </w:r>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评标办法</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r>
              <w:rPr>
                <w:rFonts w:hint="eastAsia" w:cs="宋体" w:asciiTheme="minorEastAsia" w:hAnsiTheme="minorEastAsia" w:eastAsiaTheme="minorEastAsia"/>
                <w:kern w:val="0"/>
                <w:sz w:val="24"/>
              </w:rPr>
              <w:sym w:font="Wingdings" w:char="F0FE"/>
            </w:r>
            <w:r>
              <w:rPr>
                <w:rFonts w:hint="eastAsia" w:cs="宋体" w:asciiTheme="minorEastAsia" w:hAnsiTheme="minorEastAsia" w:eastAsiaTheme="minorEastAsia"/>
                <w:kern w:val="0"/>
                <w:sz w:val="24"/>
              </w:rPr>
              <w:t>否；</w:t>
            </w:r>
            <w:r>
              <w:rPr>
                <w:rFonts w:hint="eastAsia" w:hAnsi="MS Mincho" w:eastAsia="MS Mincho" w:cs="MS Mincho" w:asciiTheme="minorEastAsia"/>
                <w:kern w:val="0"/>
                <w:sz w:val="24"/>
              </w:rPr>
              <w:t>☐</w:t>
            </w:r>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kern w:val="0"/>
                <w:sz w:val="24"/>
              </w:rPr>
              <w:t>；地点：；联系人</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rPr>
              <w:t>。请投标人在上述时间内提供样品并按规定位置安装完毕。超过截止时间的，采购人或采购代理机构将不予接收，并将清场并封闭样品现场。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00FE"/>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sym w:font="Wingdings" w:char="00A8"/>
            </w:r>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方式一：政采云平台在线讲解演示。政采云平台在线讲解需投标人根据政采云平台操作要求做好准备工作，提前完善软硬件配置环境。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方式二：交易中心现场讲解演示。现场讲解地点，讲解演示所用电脑等设备由投标人自备。现场讲解演示人员进场时提供讲解人员名单（加盖公章）及身份证明，否则不得讲解演示。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sym w:font="Wingdings" w:char="F0FE"/>
            </w:r>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r>
              <w:rPr>
                <w:rFonts w:hint="eastAsia" w:hAnsi="MS Mincho" w:eastAsia="MS Mincho" w:cs="MS Mincho" w:asciiTheme="minorEastAsia"/>
                <w:kern w:val="0"/>
                <w:sz w:val="24"/>
              </w:rPr>
              <w:t>☐</w:t>
            </w:r>
            <w:r>
              <w:rPr>
                <w:rFonts w:hint="eastAsia" w:cs="宋体" w:asciiTheme="minorEastAsia" w:hAnsiTheme="minorEastAsia" w:eastAsiaTheme="minor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00A8"/>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货物类，单一产品或</w:t>
            </w:r>
            <w:r>
              <w:rPr>
                <w:rFonts w:hint="eastAsia" w:cs="宋体" w:asciiTheme="minorEastAsia" w:hAnsiTheme="minorEastAsia" w:eastAsiaTheme="minorEastAsia"/>
                <w:kern w:val="0"/>
                <w:sz w:val="24"/>
              </w:rPr>
              <w:t>核心产品为：</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F0FE"/>
            </w:r>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（1）标的：绿化养护服务，属于其他未列明行业；具体详见《中小企业划型标准规定》。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cs="宋体" w:asciiTheme="minorEastAsia" w:hAnsiTheme="minorEastAsia" w:eastAsiaTheme="minorEastAsia"/>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cs="宋体" w:asciiTheme="minorEastAsia" w:hAnsiTheme="minorEastAsia" w:eastAsiaTheme="minorEastAsia"/>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备份投标文件送达地点：杭州市临平区南苑街道</w:t>
            </w:r>
            <w:r>
              <w:rPr>
                <w:rFonts w:hint="eastAsia" w:cs="宋体" w:asciiTheme="minorEastAsia" w:hAnsiTheme="minorEastAsia" w:eastAsiaTheme="minorEastAsia"/>
                <w:kern w:val="28"/>
                <w:sz w:val="24"/>
                <w:szCs w:val="24"/>
                <w:lang w:val="en-US" w:eastAsia="zh-CN"/>
              </w:rPr>
              <w:t>香雪路38号香雪铭座7F</w:t>
            </w:r>
            <w:r>
              <w:rPr>
                <w:rFonts w:hint="eastAsia" w:cs="宋体" w:asciiTheme="minorEastAsia" w:hAnsiTheme="minorEastAsia" w:eastAsiaTheme="minorEastAsia"/>
                <w:kern w:val="28"/>
                <w:sz w:val="24"/>
                <w:szCs w:val="24"/>
              </w:rPr>
              <w:t>招标代理部；备份投标文件签收人员</w:t>
            </w:r>
            <w:r>
              <w:rPr>
                <w:rFonts w:hint="eastAsia" w:asciiTheme="minorEastAsia" w:hAnsiTheme="minorEastAsia" w:eastAsiaTheme="minorEastAsia"/>
                <w:sz w:val="24"/>
                <w:lang w:val="en-US" w:eastAsia="zh-CN"/>
              </w:rPr>
              <w:t>施伟强17757107246</w:t>
            </w:r>
            <w:r>
              <w:rPr>
                <w:rFonts w:hint="eastAsia" w:cs="宋体" w:asciiTheme="minorEastAsia" w:hAnsiTheme="minorEastAsia" w:eastAsiaTheme="minorEastAsia"/>
                <w:kern w:val="28"/>
                <w:sz w:val="24"/>
                <w:szCs w:val="24"/>
              </w:rPr>
              <w:t>。</w:t>
            </w:r>
            <w:r>
              <w:rPr>
                <w:rFonts w:hint="eastAsia" w:cs="宋体" w:asciiTheme="minorEastAsia" w:hAnsiTheme="minorEastAsia" w:eastAsiaTheme="minorEastAsia"/>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sz w:val="24"/>
              </w:rPr>
              <w:t xml:space="preserve">供应商以联合体形式投标的：按采购文件要求提供联合协议，联合体投标的联合体各方承担连带责任，联合体成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员（含联合体牵头人）不得超过</w:t>
            </w:r>
            <w:r>
              <w:rPr>
                <w:rFonts w:hint="eastAsia" w:cs="宋体" w:asciiTheme="minorEastAsia" w:hAnsiTheme="minorEastAsia" w:eastAsiaTheme="minorEastAsia"/>
                <w:b/>
                <w:color w:val="FF0000"/>
                <w:sz w:val="24"/>
              </w:rPr>
              <w:t>3</w:t>
            </w:r>
            <w:r>
              <w:rPr>
                <w:rFonts w:hint="eastAsia" w:cs="宋体" w:asciiTheme="minorEastAsia" w:hAnsiTheme="minorEastAsia" w:eastAsiaTheme="minorEastAsia"/>
                <w:b/>
                <w:sz w:val="24"/>
              </w:rPr>
              <w:t>个</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snapToGrid w:val="0"/>
                <w:kern w:val="28"/>
                <w:sz w:val="24"/>
              </w:rPr>
              <w:t>联合体各方不再单独参加或者与其他供应商另外组成联合体参加同一标项的政府采购活动，否则相关投标均无效。</w:t>
            </w:r>
          </w:p>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snapToGrid w:val="0"/>
                <w:kern w:val="28"/>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中标单位在领取成交通知书前需向招标代理机构支付招标代理服务费：</w:t>
            </w:r>
            <w:r>
              <w:rPr>
                <w:rFonts w:hint="eastAsia" w:cs="宋体" w:asciiTheme="minorEastAsia" w:hAnsiTheme="minorEastAsia" w:eastAsiaTheme="minorEastAsia"/>
                <w:snapToGrid w:val="0"/>
                <w:kern w:val="28"/>
                <w:sz w:val="24"/>
                <w:lang w:val="en-US" w:eastAsia="zh-CN"/>
              </w:rPr>
              <w:t>54500</w:t>
            </w:r>
            <w:r>
              <w:rPr>
                <w:rFonts w:hint="eastAsia" w:cs="宋体" w:asciiTheme="minorEastAsia" w:hAnsiTheme="minorEastAsia" w:eastAsiaTheme="minorEastAsia"/>
                <w:snapToGrid w:val="0"/>
                <w:kern w:val="28"/>
                <w:sz w:val="24"/>
              </w:rPr>
              <w:t>元。</w:t>
            </w:r>
          </w:p>
          <w:p>
            <w:pPr>
              <w:spacing w:line="360" w:lineRule="auto"/>
              <w:jc w:val="left"/>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注：招标代理费按照国家计委印发的《招标代理服务收费管理暂行办法》计价格[2002]1980号规定收费。</w:t>
            </w:r>
          </w:p>
          <w:p>
            <w:pPr>
              <w:pStyle w:val="975"/>
              <w:spacing w:line="360" w:lineRule="auto"/>
              <w:rPr>
                <w:rFonts w:cs="宋体" w:asciiTheme="minorEastAsia" w:hAnsiTheme="minorEastAsia" w:eastAsiaTheme="minorEastAsia"/>
                <w:snapToGrid w:val="0"/>
                <w:kern w:val="28"/>
                <w:sz w:val="24"/>
                <w:szCs w:val="24"/>
              </w:rPr>
            </w:pPr>
            <w:r>
              <w:rPr>
                <w:rFonts w:hint="eastAsia" w:cs="宋体" w:asciiTheme="minorEastAsia" w:hAnsiTheme="minorEastAsia" w:eastAsiaTheme="minorEastAsia"/>
                <w:snapToGrid w:val="0"/>
                <w:kern w:val="28"/>
                <w:sz w:val="24"/>
                <w:szCs w:val="24"/>
              </w:rPr>
              <w:t>缴纳方式：以转账的形式支付。</w:t>
            </w:r>
          </w:p>
          <w:p>
            <w:pPr>
              <w:pStyle w:val="975"/>
              <w:spacing w:line="360" w:lineRule="auto"/>
              <w:rPr>
                <w:rFonts w:cs="宋体" w:asciiTheme="minorEastAsia" w:hAnsiTheme="minorEastAsia" w:eastAsiaTheme="minorEastAsia"/>
                <w:snapToGrid w:val="0"/>
                <w:kern w:val="28"/>
                <w:sz w:val="24"/>
                <w:szCs w:val="24"/>
              </w:rPr>
            </w:pPr>
            <w:r>
              <w:rPr>
                <w:rFonts w:hint="eastAsia" w:cs="宋体" w:asciiTheme="minorEastAsia" w:hAnsiTheme="minorEastAsia" w:eastAsiaTheme="minorEastAsia"/>
                <w:snapToGrid w:val="0"/>
                <w:kern w:val="28"/>
                <w:sz w:val="24"/>
                <w:szCs w:val="24"/>
              </w:rPr>
              <w:t>收款单位（户名）:</w:t>
            </w:r>
            <w:r>
              <w:rPr>
                <w:rFonts w:hint="eastAsia" w:cs="宋体" w:asciiTheme="minorEastAsia" w:hAnsiTheme="minorEastAsia" w:eastAsiaTheme="minorEastAsia"/>
                <w:snapToGrid w:val="0"/>
                <w:kern w:val="28"/>
                <w:sz w:val="24"/>
                <w:szCs w:val="24"/>
                <w:lang w:eastAsia="zh-CN"/>
              </w:rPr>
              <w:t>浙江新诚信工程咨询有限公司</w:t>
            </w:r>
            <w:r>
              <w:rPr>
                <w:rFonts w:hint="eastAsia" w:cs="宋体" w:asciiTheme="minorEastAsia" w:hAnsiTheme="minorEastAsia" w:eastAsiaTheme="minorEastAsia"/>
                <w:snapToGrid w:val="0"/>
                <w:kern w:val="28"/>
                <w:sz w:val="24"/>
                <w:szCs w:val="24"/>
              </w:rPr>
              <w:t>临平分公司</w:t>
            </w:r>
          </w:p>
          <w:p>
            <w:pPr>
              <w:pStyle w:val="975"/>
              <w:spacing w:line="360" w:lineRule="auto"/>
              <w:rPr>
                <w:rFonts w:cs="宋体" w:asciiTheme="minorEastAsia" w:hAnsiTheme="minorEastAsia" w:eastAsiaTheme="minorEastAsia"/>
                <w:snapToGrid w:val="0"/>
                <w:kern w:val="28"/>
                <w:sz w:val="24"/>
                <w:szCs w:val="24"/>
              </w:rPr>
            </w:pPr>
            <w:r>
              <w:rPr>
                <w:rFonts w:hint="eastAsia" w:cs="宋体" w:asciiTheme="minorEastAsia" w:hAnsiTheme="minorEastAsia" w:eastAsiaTheme="minorEastAsia"/>
                <w:snapToGrid w:val="0"/>
                <w:kern w:val="28"/>
                <w:sz w:val="24"/>
                <w:szCs w:val="24"/>
              </w:rPr>
              <w:t>开户银行：</w:t>
            </w:r>
            <w:r>
              <w:rPr>
                <w:rFonts w:hint="eastAsia" w:cs="宋体" w:asciiTheme="minorEastAsia" w:hAnsiTheme="minorEastAsia" w:eastAsiaTheme="minorEastAsia"/>
                <w:snapToGrid w:val="0"/>
                <w:kern w:val="28"/>
                <w:sz w:val="24"/>
                <w:szCs w:val="24"/>
                <w:lang w:val="en-US" w:eastAsia="zh-CN"/>
              </w:rPr>
              <w:t>余杭农商行营业部</w:t>
            </w:r>
          </w:p>
          <w:p>
            <w:pPr>
              <w:pStyle w:val="89"/>
              <w:snapToGrid w:val="0"/>
              <w:spacing w:before="0" w:after="157"/>
              <w:ind w:firstLine="0" w:firstLineChars="0"/>
              <w:rPr>
                <w:rFonts w:cs="宋体" w:asciiTheme="minorEastAsia" w:hAnsiTheme="minorEastAsia" w:eastAsiaTheme="minorEastAsia"/>
                <w:snapToGrid w:val="0"/>
                <w:kern w:val="28"/>
                <w:szCs w:val="24"/>
              </w:rPr>
            </w:pPr>
            <w:r>
              <w:rPr>
                <w:rFonts w:hint="eastAsia" w:cs="宋体" w:asciiTheme="minorEastAsia" w:hAnsiTheme="minorEastAsia" w:eastAsiaTheme="minorEastAsia"/>
                <w:snapToGrid w:val="0"/>
                <w:kern w:val="28"/>
                <w:szCs w:val="24"/>
              </w:rPr>
              <w:t>银行账号：</w:t>
            </w:r>
            <w:r>
              <w:rPr>
                <w:rFonts w:hint="eastAsia" w:cs="宋体" w:asciiTheme="minorEastAsia" w:hAnsiTheme="minorEastAsia" w:eastAsiaTheme="minorEastAsia"/>
                <w:snapToGrid w:val="0"/>
                <w:kern w:val="28"/>
                <w:szCs w:val="24"/>
                <w:lang w:val="en-US" w:eastAsia="zh-CN"/>
              </w:rPr>
              <w:t>201000292896746</w:t>
            </w:r>
          </w:p>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注：投标人在报价时应综合考虑该笔费用，但不单列进投标总价。</w:t>
            </w:r>
          </w:p>
        </w:tc>
      </w:tr>
      <w:bookmarkEnd w:id="9"/>
    </w:tbl>
    <w:p>
      <w:pPr>
        <w:adjustRightInd/>
        <w:spacing w:line="360" w:lineRule="auto"/>
        <w:jc w:val="center"/>
        <w:outlineLvl w:val="0"/>
        <w:rPr>
          <w:rFonts w:cs="宋体" w:asciiTheme="minorEastAsia" w:hAnsiTheme="minorEastAsia" w:eastAsiaTheme="minorEastAsia"/>
          <w:b/>
          <w:sz w:val="32"/>
          <w:szCs w:val="20"/>
        </w:rPr>
      </w:pPr>
      <w:bookmarkStart w:id="10" w:name="第三部分"/>
      <w:bookmarkStart w:id="11" w:name="_Toc164416483"/>
    </w:p>
    <w:p>
      <w:pPr>
        <w:adjustRightInd/>
        <w:spacing w:line="360" w:lineRule="auto"/>
        <w:jc w:val="center"/>
        <w:outlineLvl w:val="0"/>
        <w:rPr>
          <w:rFonts w:cs="宋体" w:asciiTheme="minorEastAsia" w:hAnsiTheme="minorEastAsia" w:eastAsiaTheme="minorEastAsia"/>
          <w:b/>
          <w:sz w:val="32"/>
          <w:szCs w:val="20"/>
        </w:rPr>
      </w:pPr>
    </w:p>
    <w:p>
      <w:pPr>
        <w:adjustRightInd/>
        <w:spacing w:line="360" w:lineRule="auto"/>
        <w:jc w:val="center"/>
        <w:outlineLvl w:val="0"/>
        <w:rPr>
          <w:rFonts w:cs="宋体" w:asciiTheme="minorEastAsia" w:hAnsiTheme="minorEastAsia" w:eastAsiaTheme="minorEastAsia"/>
          <w:b/>
          <w:sz w:val="32"/>
          <w:szCs w:val="20"/>
        </w:rPr>
      </w:pPr>
    </w:p>
    <w:p>
      <w:pPr>
        <w:adjustRightInd/>
        <w:spacing w:line="360" w:lineRule="auto"/>
        <w:outlineLvl w:val="0"/>
        <w:rPr>
          <w:rFonts w:cs="宋体" w:asciiTheme="minorEastAsia" w:hAnsiTheme="minorEastAsia" w:eastAsiaTheme="minorEastAsia"/>
          <w:b/>
          <w:sz w:val="32"/>
          <w:szCs w:val="20"/>
        </w:rPr>
      </w:pPr>
    </w:p>
    <w:p>
      <w:pPr>
        <w:pStyle w:val="2"/>
      </w:pPr>
    </w:p>
    <w:p/>
    <w:p/>
    <w:p>
      <w:pPr>
        <w:pStyle w:val="2"/>
      </w:pPr>
    </w:p>
    <w:p>
      <w:pPr>
        <w:adjustRightInd/>
        <w:spacing w:line="360" w:lineRule="auto"/>
        <w:jc w:val="center"/>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一、总则</w:t>
      </w:r>
    </w:p>
    <w:p>
      <w:pPr>
        <w:snapToGrid w:val="0"/>
        <w:spacing w:line="360" w:lineRule="auto"/>
        <w:ind w:firstLine="361" w:firstLineChars="150"/>
        <w:jc w:val="left"/>
        <w:outlineLvl w:val="1"/>
        <w:rPr>
          <w:rFonts w:cs="宋体" w:asciiTheme="minorEastAsia" w:hAnsiTheme="minorEastAsia" w:eastAsiaTheme="minorEastAsia"/>
          <w:b/>
          <w:sz w:val="24"/>
        </w:rPr>
      </w:pPr>
      <w:r>
        <w:rPr>
          <w:rFonts w:hint="eastAsia" w:cs="宋体" w:asciiTheme="minorEastAsia" w:hAnsiTheme="minorEastAsia" w:eastAsiaTheme="minorEastAsia"/>
          <w:b/>
          <w:sz w:val="24"/>
        </w:rPr>
        <w:t>1. 适用范围</w:t>
      </w:r>
    </w:p>
    <w:p>
      <w:pPr>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2.定义</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 “采购人”系指招标公告中载明的本项目的采购人。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“采购机构”系指招标公告中载明的本项目的采购机构。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2.7 “▲” 系指实质性要求条款，“★”系产品采购项目中单一产品或核心产品，“</w:t>
      </w:r>
      <w:r>
        <w:rPr>
          <w:rFonts w:hint="eastAsia" w:ascii="宋体" w:hAnsi="宋体" w:cs="宋体"/>
          <w:kern w:val="0"/>
          <w:sz w:val="24"/>
        </w:rPr>
        <w:t></w:t>
      </w:r>
      <w:r>
        <w:rPr>
          <w:rFonts w:hint="eastAsia" w:cs="宋体" w:asciiTheme="minorEastAsia" w:hAnsiTheme="minorEastAsia" w:eastAsiaTheme="minorEastAsia"/>
          <w:sz w:val="24"/>
        </w:rPr>
        <w:t>” 系指适用本项目的要求，“</w:t>
      </w:r>
      <w:r>
        <w:rPr>
          <w:rFonts w:hint="eastAsia" w:cs="宋体" w:asciiTheme="minorEastAsia" w:hAnsiTheme="minorEastAsia" w:eastAsiaTheme="minorEastAsia"/>
          <w:kern w:val="0"/>
          <w:sz w:val="24"/>
        </w:rPr>
        <w:sym w:font="Wingdings" w:char="00A8"/>
      </w:r>
      <w:r>
        <w:rPr>
          <w:rFonts w:hint="eastAsia" w:cs="宋体" w:asciiTheme="minorEastAsia" w:hAnsiTheme="minorEastAsia" w:eastAsiaTheme="minorEastAsia"/>
          <w:sz w:val="24"/>
        </w:rPr>
        <w:t>” 系指不适用本项目的要求。</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3.采购项目需要落实的政府采购政策</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3.2 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 修缮、装修类项目采购建材的，采购人应将绿色建筑和绿色建材性能、指标等作为实质性条件纳入招标文件和合同。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Cs/>
          <w:sz w:val="24"/>
        </w:rPr>
        <w:t>3.3.2</w:t>
      </w:r>
      <w:r>
        <w:rPr>
          <w:rFonts w:hint="eastAsia" w:cs="宋体" w:asciiTheme="minorEastAsia" w:hAnsiTheme="minorEastAsia" w:eastAsiaTheme="minorEastAsia"/>
          <w:kern w:val="0"/>
          <w:sz w:val="24"/>
        </w:rPr>
        <w:t>在政府采购活动中，投标人提供的货物、工程或者服务符合下列情形的，享受中小企业扶持政策：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3.3.2.2在工程采购项目中，工程由中小企业承建，即工程施工单位为中小企业；</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3.4</w:t>
      </w:r>
      <w:r>
        <w:rPr>
          <w:rFonts w:hint="eastAsia" w:cs="宋体" w:asciiTheme="minorEastAsia" w:hAnsiTheme="minorEastAsia" w:eastAsiaTheme="minorEastAsia"/>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cs="宋体" w:asciiTheme="minorEastAsia" w:hAnsiTheme="minorEastAsia" w:eastAsiaTheme="minorEastAsia"/>
          <w:sz w:val="24"/>
        </w:rPr>
        <w:cr/>
      </w:r>
      <w:r>
        <w:rPr>
          <w:rFonts w:hint="eastAsia" w:cs="宋体" w:asciiTheme="minorEastAsia" w:hAnsiTheme="minorEastAsia" w:eastAsiaTheme="minorEastAsia"/>
          <w:b/>
          <w:sz w:val="24"/>
        </w:rPr>
        <w:t>4. 询问、质疑、投诉</w:t>
      </w:r>
    </w:p>
    <w:p>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4.1供应商询问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4.2供应商质疑</w:t>
      </w:r>
    </w:p>
    <w:p>
      <w:pPr>
        <w:pStyle w:val="35"/>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cs="宋体" w:asciiTheme="minorEastAsia" w:hAnsiTheme="minorEastAsia" w:eastAsiaTheme="minorEastAsia"/>
          <w:color w:val="auto"/>
          <w:kern w:val="2"/>
          <w:sz w:val="24"/>
        </w:rPr>
      </w:pPr>
      <w:r>
        <w:rPr>
          <w:rFonts w:hint="eastAsia" w:cs="宋体" w:asciiTheme="minorEastAsia" w:hAnsiTheme="minorEastAsia" w:eastAsiaTheme="minorEastAsia"/>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4.2.2.3对采购结果提出质疑的，质疑期限自采购结果公告期限届满之日起计算。</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w:t>
      </w:r>
      <w:r>
        <w:rPr>
          <w:rFonts w:hint="eastAsia" w:cs="宋体" w:asciiTheme="minorEastAsia" w:hAnsiTheme="minorEastAsia" w:eastAsiaTheme="minorEastAsia"/>
          <w:sz w:val="24"/>
        </w:rPr>
        <w:t>供应商提出质疑应当提交质疑函和必要的证明材料。质疑函应当包括下列内容：</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4.2.3.1供应商的姓名或者名称、地址、邮编、联系人及联系电话；</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4.2.3.2质疑项目的名称、编号；</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4.2.3.3具体、明确的质疑事项和与质疑事项相关的请求；</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4.2.3.4事实依据；</w:t>
      </w:r>
    </w:p>
    <w:p>
      <w:pPr>
        <w:pStyle w:val="35"/>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4.2.3.5必要的法律依据；</w:t>
      </w:r>
    </w:p>
    <w:p>
      <w:pPr>
        <w:pStyle w:val="35"/>
        <w:spacing w:line="360" w:lineRule="auto"/>
        <w:ind w:firstLine="960" w:firstLineChars="4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4.2.3.6提出质疑的日期。</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供应商提交的质疑函需一式三份。供应商为自然人的，应当由本人签字；供应商为法人或者其他组织的，应当由法定代表人、主要负责人，或者其授权代表签字或者盖章，并加盖公章。</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质疑函范本及制作说明详见附件2。</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4.2</w:t>
      </w:r>
      <w:r>
        <w:rPr>
          <w:rFonts w:hint="eastAsia" w:asciiTheme="minorEastAsia" w:hAnsiTheme="minorEastAsia" w:eastAsiaTheme="minor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4.2</w:t>
      </w:r>
      <w:r>
        <w:rPr>
          <w:rFonts w:hint="eastAsia" w:asciiTheme="minorEastAsia" w:hAnsiTheme="minorEastAsia" w:eastAsiaTheme="minorEastAsia"/>
        </w:rPr>
        <w:t>.5询问或者质疑事项可能影响采购结果的，采购人应当暂停签订合同，已经签订合同的，应当中止履行合同。</w:t>
      </w:r>
    </w:p>
    <w:p>
      <w:pPr>
        <w:pStyle w:val="575"/>
        <w:snapToGrid w:val="0"/>
        <w:spacing w:after="240" w:afterAutospacing="0" w:line="360" w:lineRule="auto"/>
        <w:ind w:firstLine="480" w:firstLineChars="200"/>
        <w:contextualSpacing/>
        <w:rPr>
          <w:rFonts w:asciiTheme="minorEastAsia" w:hAnsiTheme="minorEastAsia" w:eastAsiaTheme="minorEastAsia"/>
          <w:lang w:val="zh-CN"/>
        </w:rPr>
      </w:pPr>
      <w:r>
        <w:rPr>
          <w:rFonts w:hint="eastAsia" w:asciiTheme="minorEastAsia" w:hAnsiTheme="minorEastAsia" w:eastAsiaTheme="minorEastAsia"/>
          <w:lang w:val="zh-CN"/>
        </w:rPr>
        <w:t>4.3供应商投诉</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4.3.1质疑供应商对采购人、采购机构的答复不满意或者采购人、采购机构未在规定的时间内作出答复的，可以在答复期满后十五个工作日内向同级政府采购监督管理部门提出投诉。</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w:t>
      </w:r>
      <w:r>
        <w:rPr>
          <w:rFonts w:hint="eastAsia" w:asciiTheme="minorEastAsia" w:hAnsiTheme="minorEastAsia" w:eastAsiaTheme="minorEastAsia"/>
          <w:lang w:val="zh-CN"/>
        </w:rPr>
        <w:t>2</w:t>
      </w:r>
      <w:r>
        <w:rPr>
          <w:rFonts w:hint="eastAsia" w:asciiTheme="minorEastAsia" w:hAnsiTheme="minorEastAsia" w:eastAsiaTheme="minorEastAsia"/>
        </w:rPr>
        <w:t>供应商投诉的事项不得超出已质疑事项的范围，基于质疑答复内容提出的投诉事项除外。</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4.3.3供应商投诉应当有明确的请求和必要的证明材料。</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4.3.5 以联合体形式参加政府采购活动的，其投诉应当由组成联合体的所有供应商共同提出。</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投诉书范本及制作说明详见附件3。</w:t>
      </w:r>
    </w:p>
    <w:p>
      <w:pPr>
        <w:pStyle w:val="89"/>
        <w:snapToGrid w:val="0"/>
        <w:spacing w:before="0"/>
        <w:ind w:firstLine="360"/>
        <w:rPr>
          <w:rFonts w:cs="宋体" w:asciiTheme="minorEastAsia" w:hAnsiTheme="minorEastAsia" w:eastAsiaTheme="minorEastAsia"/>
          <w:sz w:val="18"/>
          <w:szCs w:val="18"/>
        </w:rPr>
      </w:pPr>
    </w:p>
    <w:p>
      <w:pPr>
        <w:adjustRightInd/>
        <w:spacing w:line="360" w:lineRule="auto"/>
        <w:jc w:val="center"/>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 xml:space="preserve">      二、招标文件的构成、澄清、修改</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5．招标文件的构成</w:t>
      </w:r>
    </w:p>
    <w:p>
      <w:pPr>
        <w:pStyle w:val="35"/>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 招标文件包括下列文件及附件：</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5.1.1招标公告；</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5.1.2投标人须知；</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5.1.3采购需求；</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5.1.4评标办法；</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5.1.5拟签订的合同文本；</w:t>
      </w:r>
    </w:p>
    <w:p>
      <w:pPr>
        <w:pStyle w:val="35"/>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rPr>
        <w:t>5.1.6</w:t>
      </w:r>
      <w:r>
        <w:rPr>
          <w:rFonts w:hint="eastAsia" w:cs="宋体" w:asciiTheme="minorEastAsia" w:hAnsiTheme="minorEastAsia" w:eastAsiaTheme="minorEastAsia"/>
          <w:sz w:val="24"/>
          <w:szCs w:val="24"/>
        </w:rPr>
        <w:t>应提交的有关格式范例。</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5.2与本项目有关的</w:t>
      </w:r>
      <w:r>
        <w:rPr>
          <w:rFonts w:hint="eastAsia" w:cs="宋体" w:asciiTheme="minorEastAsia" w:hAnsiTheme="minorEastAsia" w:eastAsiaTheme="minorEastAsia"/>
          <w:bCs/>
          <w:sz w:val="24"/>
        </w:rPr>
        <w:t>澄清或者修改的内容为招标文件的组成部分</w:t>
      </w:r>
      <w:r>
        <w:rPr>
          <w:rFonts w:hint="eastAsia" w:cs="宋体" w:asciiTheme="minorEastAsia" w:hAnsiTheme="minorEastAsia" w:eastAsiaTheme="minorEastAsia"/>
          <w:sz w:val="24"/>
        </w:rPr>
        <w:t>。</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6. 招标文件的澄清、修改</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6.1已获取招标文件的潜在投标人，若有问题需要澄清，应于投标截止时间前，以书面形式向采购机构提出。</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7"/>
        <w:rPr>
          <w:rFonts w:cs="宋体" w:asciiTheme="minorEastAsia" w:hAnsiTheme="minorEastAsia" w:eastAsiaTheme="minorEastAsia"/>
          <w:sz w:val="18"/>
          <w:szCs w:val="18"/>
          <w:lang w:val="en-US"/>
        </w:rPr>
      </w:pPr>
    </w:p>
    <w:p>
      <w:pPr>
        <w:adjustRightInd/>
        <w:spacing w:line="360" w:lineRule="auto"/>
        <w:jc w:val="center"/>
        <w:outlineLvl w:val="0"/>
        <w:rPr>
          <w:rFonts w:cs="宋体" w:asciiTheme="minorEastAsia" w:hAnsiTheme="minorEastAsia" w:eastAsiaTheme="minorEastAsia"/>
          <w:b/>
          <w:sz w:val="30"/>
          <w:szCs w:val="20"/>
        </w:rPr>
      </w:pPr>
      <w:r>
        <w:rPr>
          <w:rFonts w:hint="eastAsia" w:cs="宋体" w:asciiTheme="minorEastAsia" w:hAnsiTheme="minorEastAsia" w:eastAsiaTheme="minorEastAsia"/>
          <w:b/>
          <w:sz w:val="30"/>
          <w:szCs w:val="20"/>
        </w:rPr>
        <w:t>三、投标</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7. 招标文件的获取</w:t>
      </w:r>
    </w:p>
    <w:p>
      <w:pPr>
        <w:spacing w:line="360" w:lineRule="auto"/>
        <w:ind w:firstLine="480" w:firstLineChars="200"/>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详见招标公告中获取招标文件的时间期限、地点、方式及招标文件售价。</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8.开标前答疑会或现场考察</w:t>
      </w:r>
    </w:p>
    <w:p>
      <w:pPr>
        <w:pStyle w:val="35"/>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cs="宋体" w:asciiTheme="minorEastAsia" w:hAnsiTheme="minorEastAsia" w:eastAsiaTheme="minorEastAsia"/>
          <w:b/>
          <w:szCs w:val="24"/>
        </w:rPr>
      </w:pPr>
      <w:r>
        <w:rPr>
          <w:rFonts w:hint="eastAsia" w:cs="宋体" w:asciiTheme="minorEastAsia" w:hAnsiTheme="minorEastAsia" w:eastAsiaTheme="minorEastAsia"/>
          <w:b/>
          <w:kern w:val="28"/>
          <w:sz w:val="24"/>
          <w:szCs w:val="24"/>
        </w:rPr>
        <w:t>9.投标保证金</w:t>
      </w:r>
    </w:p>
    <w:p>
      <w:pPr>
        <w:pStyle w:val="7"/>
        <w:spacing w:line="360" w:lineRule="auto"/>
        <w:ind w:firstLine="470" w:firstLineChars="196"/>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本项目不需缴纳投标保证金。</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10. 投标文件的语言</w:t>
      </w:r>
    </w:p>
    <w:p>
      <w:pPr>
        <w:autoSpaceDE w:val="0"/>
        <w:autoSpaceDN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投标文件及投标人与采购有关的来往通知、函件和文件均应使用中文。</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11. 投标文件的组成</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w:t>
      </w:r>
      <w:r>
        <w:rPr>
          <w:rFonts w:hint="eastAsia" w:cs="宋体" w:asciiTheme="minorEastAsia" w:hAnsiTheme="minorEastAsia" w:eastAsiaTheme="minorEastAsia"/>
          <w:b/>
          <w:sz w:val="24"/>
        </w:rPr>
        <w:t>资格文件</w:t>
      </w:r>
      <w:r>
        <w:rPr>
          <w:rFonts w:hint="eastAsia" w:cs="宋体" w:asciiTheme="minorEastAsia" w:hAnsiTheme="minorEastAsia" w:eastAsiaTheme="minorEastAsia"/>
          <w:sz w:val="24"/>
        </w:rPr>
        <w:t>：</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11.1.2落实政府采购政策需满足的资格要求；</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11.1.3本项目的特定资格要求。</w:t>
      </w:r>
    </w:p>
    <w:p>
      <w:pPr>
        <w:snapToGrid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2商务技术</w:t>
      </w:r>
      <w:r>
        <w:rPr>
          <w:rFonts w:hint="eastAsia" w:cs="宋体" w:asciiTheme="minorEastAsia" w:hAnsiTheme="minorEastAsia" w:eastAsiaTheme="minorEastAsia"/>
          <w:sz w:val="24"/>
          <w:lang w:val="zh-CN"/>
        </w:rPr>
        <w:t>文件：</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11.2.1投标函；</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11.2.3联合协议；</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11.2.4分包意向协议；</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11.2.5符合性审查资料；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11.2.6评标标准相应的商务技术资料；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11.2.7商务技术偏离表；</w:t>
      </w:r>
    </w:p>
    <w:p>
      <w:pPr>
        <w:snapToGrid w:val="0"/>
        <w:spacing w:line="360" w:lineRule="auto"/>
        <w:ind w:firstLine="960" w:firstLineChars="4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11.</w:t>
      </w:r>
      <w:r>
        <w:rPr>
          <w:rFonts w:hint="eastAsia" w:cs="宋体" w:asciiTheme="minorEastAsia" w:hAnsiTheme="minorEastAsia" w:eastAsiaTheme="minorEastAsia"/>
          <w:kern w:val="0"/>
          <w:sz w:val="24"/>
        </w:rPr>
        <w:t>3</w:t>
      </w:r>
      <w:r>
        <w:rPr>
          <w:rFonts w:hint="eastAsia" w:cs="宋体" w:asciiTheme="minorEastAsia" w:hAnsiTheme="minorEastAsia" w:eastAsiaTheme="minorEastAsia"/>
          <w:b/>
          <w:sz w:val="24"/>
        </w:rPr>
        <w:t>报价文件：</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11.3.1开标一览表（报价表）；</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11.3.2报价明细清单；</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11.3.3中小企业声明函。</w:t>
      </w:r>
    </w:p>
    <w:p>
      <w:pPr>
        <w:spacing w:line="360" w:lineRule="auto"/>
        <w:ind w:firstLine="723" w:firstLineChars="300"/>
        <w:rPr>
          <w:rFonts w:cs="宋体" w:asciiTheme="minorEastAsia" w:hAnsiTheme="minorEastAsia" w:eastAsiaTheme="minorEastAsia"/>
          <w:b/>
          <w:sz w:val="24"/>
        </w:rPr>
      </w:pPr>
      <w:r>
        <w:rPr>
          <w:rFonts w:hint="eastAsia" w:cs="宋体" w:asciiTheme="minorEastAsia" w:hAnsiTheme="minorEastAsia" w:eastAsiaTheme="minorEastAsia"/>
          <w:b/>
          <w:sz w:val="24"/>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rPr>
      </w:pPr>
      <w:r>
        <w:rPr>
          <w:rFonts w:hint="eastAsia" w:cs="宋体" w:asciiTheme="minorEastAsia" w:hAnsiTheme="minorEastAsia" w:eastAsiaTheme="minorEastAsia"/>
          <w:b/>
          <w:sz w:val="24"/>
        </w:rPr>
        <w:t>投标人提供虚假材料投标的，投标无效。</w:t>
      </w:r>
    </w:p>
    <w:p>
      <w:pPr>
        <w:pStyle w:val="89"/>
        <w:snapToGrid w:val="0"/>
        <w:spacing w:before="0"/>
        <w:ind w:firstLine="0" w:firstLineChars="0"/>
        <w:outlineLvl w:val="0"/>
        <w:rPr>
          <w:rFonts w:cs="宋体" w:asciiTheme="minorEastAsia" w:hAnsiTheme="minorEastAsia" w:eastAsiaTheme="minorEastAsia"/>
          <w:b/>
          <w:szCs w:val="24"/>
        </w:rPr>
      </w:pPr>
      <w:r>
        <w:rPr>
          <w:rFonts w:hint="eastAsia" w:cs="宋体" w:asciiTheme="minorEastAsia" w:hAnsiTheme="minorEastAsia" w:eastAsiaTheme="minorEastAsia"/>
          <w:b/>
          <w:szCs w:val="24"/>
        </w:rPr>
        <w:t>12</w:t>
      </w:r>
      <w:r>
        <w:rPr>
          <w:rFonts w:hint="eastAsia" w:cs="宋体" w:asciiTheme="minorEastAsia" w:hAnsiTheme="minorEastAsia" w:eastAsiaTheme="minorEastAsia"/>
          <w:b/>
          <w:kern w:val="0"/>
          <w:szCs w:val="24"/>
          <w:lang w:val="zh-CN"/>
        </w:rPr>
        <w:t xml:space="preserve">. </w:t>
      </w:r>
      <w:r>
        <w:rPr>
          <w:rFonts w:hint="eastAsia" w:cs="宋体" w:asciiTheme="minorEastAsia" w:hAnsiTheme="minorEastAsia" w:eastAsiaTheme="minorEastAsia"/>
          <w:b/>
          <w:szCs w:val="24"/>
        </w:rPr>
        <w:t>投标文件的编制</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13.投标文件的签署、盖章</w:t>
      </w:r>
    </w:p>
    <w:p>
      <w:pPr>
        <w:pStyle w:val="89"/>
        <w:snapToGrid w:val="0"/>
        <w:spacing w:before="0"/>
        <w:ind w:firstLine="480"/>
        <w:rPr>
          <w:rFonts w:cs="宋体" w:asciiTheme="minorEastAsia" w:hAnsiTheme="minorEastAsia" w:eastAsiaTheme="minorEastAsia"/>
          <w:b/>
        </w:rPr>
      </w:pPr>
      <w:r>
        <w:rPr>
          <w:rFonts w:hint="eastAsia" w:cs="宋体" w:asciiTheme="minorEastAsia" w:hAnsiTheme="minorEastAsia" w:eastAsiaTheme="minorEastAsia"/>
          <w:szCs w:val="24"/>
        </w:rPr>
        <w:t>13.1投标文件按照招标文件第六部分格式要</w:t>
      </w:r>
      <w:r>
        <w:rPr>
          <w:rFonts w:hint="eastAsia" w:cs="宋体" w:asciiTheme="minorEastAsia" w:hAnsiTheme="minorEastAsia" w:eastAsiaTheme="minorEastAsia"/>
        </w:rPr>
        <w:t>求进行签署、盖章。</w:t>
      </w:r>
      <w:r>
        <w:rPr>
          <w:rFonts w:hint="eastAsia" w:cs="宋体" w:asciiTheme="minorEastAsia" w:hAnsiTheme="minorEastAsia" w:eastAsiaTheme="minorEastAsia"/>
          <w:b/>
        </w:rPr>
        <w:t>▲投标人的投标文件未按照招标文件要求签署、盖章的，其投标无效</w:t>
      </w:r>
      <w:r>
        <w:rPr>
          <w:rFonts w:hint="eastAsia" w:cs="宋体" w:asciiTheme="minorEastAsia" w:hAnsiTheme="minorEastAsia" w:eastAsiaTheme="minorEastAsia"/>
          <w:szCs w:val="24"/>
        </w:rPr>
        <w:t>。</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13.3招标文件对投标文件签署、盖章的要求适用于电子签名。</w:t>
      </w:r>
    </w:p>
    <w:p>
      <w:pPr>
        <w:pStyle w:val="8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14. 投标文件的提交、补充、修改、撤回</w:t>
      </w:r>
    </w:p>
    <w:p>
      <w:pPr>
        <w:pStyle w:val="89"/>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15.备份投标文件</w:t>
      </w:r>
    </w:p>
    <w:p>
      <w:pPr>
        <w:pStyle w:val="35"/>
        <w:spacing w:line="360" w:lineRule="auto"/>
        <w:ind w:firstLine="360" w:firstLineChars="15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rPr>
        <w:t>但采购人、采购机构不强制或变相强制投标人提交备份投标文件。</w:t>
      </w:r>
    </w:p>
    <w:p>
      <w:pPr>
        <w:pStyle w:val="35"/>
        <w:spacing w:line="360" w:lineRule="auto"/>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15.2备份投标文件须在“政采云投标客户端”制作生成，并储存在</w:t>
      </w:r>
      <w:r>
        <w:rPr>
          <w:rFonts w:hint="eastAsia" w:cs="宋体" w:asciiTheme="minorEastAsia" w:hAnsiTheme="minorEastAsia" w:eastAsiaTheme="minorEastAsia"/>
          <w:sz w:val="24"/>
        </w:rPr>
        <w:t>DVD光盘</w:t>
      </w:r>
      <w:r>
        <w:rPr>
          <w:rFonts w:hint="eastAsia" w:cs="宋体" w:asciiTheme="minorEastAsia" w:hAnsiTheme="minorEastAsia" w:eastAsia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rPr>
        <w:t>不符合上述制作、</w:t>
      </w:r>
      <w:r>
        <w:rPr>
          <w:rFonts w:hint="eastAsia" w:cs="宋体" w:asciiTheme="minorEastAsia" w:hAnsiTheme="minorEastAsia" w:eastAsiaTheme="minorEastAsia"/>
          <w:b/>
          <w:sz w:val="24"/>
          <w:szCs w:val="24"/>
        </w:rPr>
        <w:t>存储、密封规定的备份投标文件将被视为无效或者被拒绝接收。</w:t>
      </w:r>
    </w:p>
    <w:p>
      <w:pPr>
        <w:pStyle w:val="35"/>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15.5投标人仅提交备份投标文件，没有在电子交易平台传输递交投标文件的，投标无效。</w:t>
      </w:r>
    </w:p>
    <w:p>
      <w:pPr>
        <w:pStyle w:val="8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16.投标文件的无效处理</w:t>
      </w:r>
    </w:p>
    <w:p>
      <w:pPr>
        <w:pStyle w:val="8"/>
        <w:spacing w:line="360" w:lineRule="auto"/>
        <w:ind w:firstLine="360"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有招标文件第四部分</w:t>
      </w:r>
      <w:r>
        <w:rPr>
          <w:rFonts w:hint="eastAsia" w:cs="宋体" w:asciiTheme="minorEastAsia" w:hAnsiTheme="minorEastAsia" w:eastAsiaTheme="minorEastAsia"/>
        </w:rPr>
        <w:t>第13项规定</w:t>
      </w:r>
      <w:r>
        <w:rPr>
          <w:rFonts w:hint="eastAsia" w:cs="宋体" w:asciiTheme="minorEastAsia" w:hAnsiTheme="minorEastAsia" w:eastAsiaTheme="minorEastAsia"/>
          <w:szCs w:val="21"/>
        </w:rPr>
        <w:t>的情形之一的，投标无效：</w:t>
      </w:r>
    </w:p>
    <w:p>
      <w:pPr>
        <w:pStyle w:val="8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17.投标有效期</w:t>
      </w:r>
    </w:p>
    <w:p>
      <w:pPr>
        <w:spacing w:line="360" w:lineRule="auto"/>
        <w:ind w:firstLine="480" w:firstLineChars="200"/>
        <w:rPr>
          <w:rFonts w:cs="宋体" w:asciiTheme="minorEastAsia" w:hAnsiTheme="minorEastAsia" w:eastAsiaTheme="minorEastAsia"/>
          <w:b/>
          <w:sz w:val="24"/>
          <w:szCs w:val="21"/>
        </w:rPr>
      </w:pPr>
      <w:r>
        <w:rPr>
          <w:rFonts w:hint="eastAsia" w:cs="宋体" w:asciiTheme="minorEastAsia" w:hAnsiTheme="minorEastAsia" w:eastAsiaTheme="minorEastAsia"/>
          <w:sz w:val="24"/>
          <w:szCs w:val="20"/>
        </w:rPr>
        <w:t>17.1投标有效期为从提交投标文件的截止之日起90天。▲</w:t>
      </w:r>
      <w:r>
        <w:rPr>
          <w:rFonts w:hint="eastAsia" w:cs="宋体" w:asciiTheme="minorEastAsia" w:hAnsiTheme="minorEastAsia" w:eastAsiaTheme="minorEastAsia"/>
          <w:b/>
          <w:sz w:val="24"/>
          <w:szCs w:val="20"/>
        </w:rPr>
        <w:t>投标人的投标文件中承</w:t>
      </w:r>
      <w:r>
        <w:rPr>
          <w:rFonts w:hint="eastAsia" w:cs="宋体" w:asciiTheme="minorEastAsia" w:hAnsiTheme="minorEastAsia" w:eastAsiaTheme="minorEastAsia"/>
          <w:b/>
          <w:sz w:val="24"/>
          <w:szCs w:val="21"/>
        </w:rPr>
        <w:t>诺的投标有效期少于招标文件中载明的投标有效期的，投标无效。</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rPr>
        <w:t>17.2投标文件合格投递后，自投标截止日期起，在投标有效期内有效。</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cs="宋体" w:asciiTheme="minorEastAsia" w:hAnsiTheme="minorEastAsia" w:eastAsiaTheme="minorEastAsia"/>
          <w:b/>
          <w:sz w:val="32"/>
        </w:rPr>
      </w:pPr>
    </w:p>
    <w:p>
      <w:pPr>
        <w:pStyle w:val="89"/>
        <w:spacing w:before="0"/>
        <w:ind w:firstLine="1928" w:firstLineChars="600"/>
        <w:rPr>
          <w:rFonts w:cs="宋体" w:asciiTheme="minorEastAsia" w:hAnsiTheme="minorEastAsia" w:eastAsiaTheme="minorEastAsia"/>
          <w:b/>
          <w:sz w:val="32"/>
        </w:rPr>
      </w:pPr>
      <w:r>
        <w:rPr>
          <w:rFonts w:hint="eastAsia" w:cs="宋体" w:asciiTheme="minorEastAsia" w:hAnsiTheme="minorEastAsia" w:eastAsiaTheme="minorEastAsia"/>
          <w:b/>
          <w:sz w:val="32"/>
        </w:rPr>
        <w:t>四、开标、资格审查与信用信息查询</w:t>
      </w:r>
    </w:p>
    <w:p>
      <w:pPr>
        <w:pStyle w:val="244"/>
        <w:spacing w:before="0" w:line="360" w:lineRule="auto"/>
        <w:ind w:left="0" w:firstLine="241"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b/>
          <w:sz w:val="24"/>
          <w:szCs w:val="24"/>
        </w:rPr>
        <w:t>18.开标</w:t>
      </w:r>
    </w:p>
    <w:p>
      <w:pPr>
        <w:pStyle w:val="244"/>
        <w:spacing w:before="0" w:line="360" w:lineRule="auto"/>
        <w:ind w:left="0"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　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cs="宋体" w:asciiTheme="minorEastAsia" w:hAnsiTheme="minorEastAsia" w:eastAsiaTheme="minorEastAsia"/>
          <w:b/>
          <w:sz w:val="24"/>
        </w:rPr>
      </w:pPr>
      <w:r>
        <w:rPr>
          <w:rFonts w:hint="eastAsia" w:cs="宋体" w:asciiTheme="minorEastAsia" w:hAnsiTheme="minorEastAsia" w:eastAsiaTheme="minorEastAsia"/>
          <w:sz w:val="24"/>
        </w:rPr>
        <w:t>　18.3</w:t>
      </w:r>
      <w:r>
        <w:rPr>
          <w:rFonts w:hint="eastAsia" w:cs="宋体" w:asciiTheme="minorEastAsia" w:hAnsiTheme="minorEastAsia" w:eastAsiaTheme="minorEastAsia"/>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cs="宋体" w:asciiTheme="minorEastAsia" w:hAnsiTheme="minorEastAsia" w:eastAsiaTheme="minorEastAsia"/>
          <w:b/>
          <w:sz w:val="24"/>
          <w:szCs w:val="20"/>
        </w:rPr>
      </w:pPr>
      <w:r>
        <w:rPr>
          <w:rFonts w:hint="eastAsia" w:cs="宋体" w:asciiTheme="minorEastAsia" w:hAnsiTheme="minorEastAsia" w:eastAsiaTheme="minorEastAsia"/>
          <w:b/>
          <w:sz w:val="24"/>
          <w:szCs w:val="20"/>
        </w:rPr>
        <w:t>　19、资格审查</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19.1开标后，采购人或采购机构将依法对投标人的资格进行审查。</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19.2</w:t>
      </w:r>
      <w:r>
        <w:rPr>
          <w:rFonts w:hint="eastAsia" w:cs="宋体" w:asciiTheme="minorEastAsia" w:hAnsiTheme="minorEastAsia" w:eastAsiaTheme="minorEastAsia"/>
          <w:sz w:val="24"/>
        </w:rPr>
        <w:t>采购人或采购机构依据法律法规和招标文件的规定，对投标人的基本资格条件、特定资格条件进行审查。</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19.3投标人未按照招标文件要求提供与</w:t>
      </w:r>
      <w:r>
        <w:rPr>
          <w:rFonts w:hint="eastAsia" w:cs="宋体" w:asciiTheme="minorEastAsia" w:hAnsiTheme="minorEastAsia" w:eastAsiaTheme="minorEastAsia"/>
        </w:rPr>
        <w:t>基本资格条件、特定资格条件相应的</w:t>
      </w:r>
      <w:r>
        <w:rPr>
          <w:rFonts w:hint="eastAsia" w:cs="宋体" w:asciiTheme="minorEastAsia" w:hAnsiTheme="minorEastAsia" w:eastAsiaTheme="minorEastAsia"/>
          <w:kern w:val="0"/>
          <w:szCs w:val="24"/>
        </w:rPr>
        <w:t>有效资格证明材料的，视为</w:t>
      </w:r>
      <w:r>
        <w:rPr>
          <w:rFonts w:hint="eastAsia" w:cs="宋体" w:asciiTheme="minorEastAsia" w:hAnsiTheme="minorEastAsia" w:eastAsiaTheme="minorEastAsia"/>
        </w:rPr>
        <w:t>投标人不具备招标文件中规定的资格要求，其投标无效。</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w:t>
      </w:r>
      <w:r>
        <w:rPr>
          <w:rFonts w:hint="eastAsia" w:cs="宋体" w:asciiTheme="minorEastAsia" w:hAnsiTheme="minorEastAsia" w:eastAsiaTheme="minorEastAsia"/>
        </w:rPr>
        <w:t>4对未通过资格审查的投标人，采购人或采购机构告知其未通过的原因。</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w:t>
      </w:r>
      <w:r>
        <w:rPr>
          <w:rFonts w:hint="eastAsia" w:cs="宋体" w:asciiTheme="minorEastAsia" w:hAnsiTheme="minorEastAsia" w:eastAsiaTheme="minorEastAsia"/>
        </w:rPr>
        <w:t>5合格投标人不足3家的，不再评标。</w:t>
      </w:r>
    </w:p>
    <w:p>
      <w:pPr>
        <w:pStyle w:val="8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20、信用信息查询</w:t>
      </w:r>
    </w:p>
    <w:p>
      <w:pPr>
        <w:pStyle w:val="8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rPr>
        <w:t>。</w:t>
      </w:r>
    </w:p>
    <w:p>
      <w:pPr>
        <w:pStyle w:val="89"/>
        <w:spacing w:before="0"/>
        <w:ind w:firstLine="0" w:firstLineChars="0"/>
        <w:rPr>
          <w:rFonts w:cs="宋体" w:asciiTheme="minorEastAsia" w:hAnsiTheme="minorEastAsia" w:eastAsiaTheme="minorEastAsia"/>
          <w:kern w:val="0"/>
          <w:szCs w:val="24"/>
        </w:rPr>
      </w:pPr>
    </w:p>
    <w:p>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五、评标</w:t>
      </w:r>
    </w:p>
    <w:p>
      <w:pPr>
        <w:spacing w:line="360" w:lineRule="auto"/>
        <w:rPr>
          <w:rFonts w:cs="宋体" w:asciiTheme="minorEastAsia" w:hAnsiTheme="minorEastAsia" w:eastAsiaTheme="minorEastAsia"/>
          <w:b/>
          <w:sz w:val="24"/>
        </w:rPr>
      </w:pPr>
      <w:bookmarkStart w:id="12" w:name="_Toc91899903"/>
      <w:r>
        <w:rPr>
          <w:rFonts w:hint="eastAsia" w:cs="宋体" w:asciiTheme="minorEastAsia" w:hAnsiTheme="minorEastAsia" w:eastAsiaTheme="minorEastAsia"/>
          <w:b/>
          <w:sz w:val="24"/>
        </w:rPr>
        <w:t>21.</w:t>
      </w:r>
      <w:r>
        <w:rPr>
          <w:rFonts w:hint="eastAsia" w:cs="宋体" w:asciiTheme="minorEastAsia" w:hAnsiTheme="minorEastAsia"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rPr>
        <w:t>详见招标文件第四部分评标办法。</w:t>
      </w:r>
    </w:p>
    <w:p>
      <w:pPr>
        <w:spacing w:line="360" w:lineRule="auto"/>
        <w:rPr>
          <w:rFonts w:cs="宋体" w:asciiTheme="minorEastAsia" w:hAnsiTheme="minorEastAsia" w:eastAsiaTheme="minorEastAsia"/>
          <w:b/>
          <w:sz w:val="24"/>
        </w:rPr>
      </w:pPr>
    </w:p>
    <w:p>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六、定 标</w:t>
      </w:r>
    </w:p>
    <w:p>
      <w:pPr>
        <w:pStyle w:val="8"/>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22. 确定中标供应商</w:t>
      </w:r>
    </w:p>
    <w:p>
      <w:pPr>
        <w:pStyle w:val="89"/>
        <w:snapToGrid w:val="0"/>
        <w:spacing w:before="0"/>
        <w:ind w:firstLine="480"/>
        <w:rPr>
          <w:rFonts w:cs="宋体" w:asciiTheme="minorEastAsia" w:hAnsiTheme="minorEastAsia" w:eastAsiaTheme="minorEastAsia"/>
          <w:b/>
          <w:szCs w:val="24"/>
        </w:rPr>
      </w:pPr>
      <w:r>
        <w:rPr>
          <w:rFonts w:hint="eastAsia" w:cs="宋体" w:asciiTheme="minorEastAsia" w:hAnsiTheme="minorEastAsia" w:eastAsiaTheme="minorEastAsia"/>
          <w:szCs w:val="24"/>
        </w:rPr>
        <w:t>采购人将自收到评审报告之日起5个工作日内通过电子交易平台在评审报告推荐的中标候选人中按顺序确定中标供应商。</w:t>
      </w:r>
    </w:p>
    <w:p>
      <w:pPr>
        <w:pStyle w:val="89"/>
        <w:snapToGrid w:val="0"/>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23. 中标通知与中标结果公告</w:t>
      </w:r>
    </w:p>
    <w:p>
      <w:pPr>
        <w:widowControl/>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23.1自中标人确定之日起2个工作日内，采购机构通过电子交易平台向中标人发出中标通知书，同时编制发布采购结果公告。采购机构也可以以纸质形式进行中标通知。</w:t>
      </w:r>
    </w:p>
    <w:p>
      <w:pPr>
        <w:widowControl/>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23.3公告期限为1个工作日。</w:t>
      </w:r>
    </w:p>
    <w:p>
      <w:pPr>
        <w:snapToGrid w:val="0"/>
        <w:spacing w:line="360" w:lineRule="auto"/>
        <w:ind w:left="120" w:leftChars="57" w:firstLine="482" w:firstLineChars="150"/>
        <w:jc w:val="center"/>
        <w:rPr>
          <w:rFonts w:cs="宋体" w:asciiTheme="minorEastAsia" w:hAnsiTheme="minorEastAsia" w:eastAsiaTheme="minorEastAsia"/>
          <w:b/>
          <w:sz w:val="32"/>
        </w:rPr>
      </w:pPr>
    </w:p>
    <w:p>
      <w:pPr>
        <w:snapToGrid w:val="0"/>
        <w:spacing w:line="360" w:lineRule="auto"/>
        <w:ind w:left="120" w:leftChars="57" w:firstLine="482" w:firstLineChars="150"/>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七、合同授予</w:t>
      </w:r>
    </w:p>
    <w:p>
      <w:pPr>
        <w:pStyle w:val="8"/>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 xml:space="preserve">24. </w:t>
      </w:r>
      <w:r>
        <w:rPr>
          <w:rFonts w:hint="eastAsia" w:cs="宋体" w:asciiTheme="minorEastAsia" w:hAnsiTheme="minorEastAsia" w:eastAsiaTheme="minorEastAsia"/>
        </w:rPr>
        <w:t>合同主要条款详见第五部分拟签订的合同文本。</w:t>
      </w:r>
    </w:p>
    <w:p>
      <w:pPr>
        <w:pStyle w:val="8"/>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25. 合同的签订</w:t>
      </w:r>
    </w:p>
    <w:p>
      <w:pPr>
        <w:widowControl/>
        <w:spacing w:line="360" w:lineRule="auto"/>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25.1</w:t>
      </w:r>
      <w:r>
        <w:rPr>
          <w:rFonts w:hint="eastAsia" w:cs="宋体" w:asciiTheme="minorEastAsia" w:hAnsiTheme="minorEastAsia" w:eastAsiaTheme="minorEastAsia"/>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9"/>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25.3如签订合同并生效后，供应商无故拒绝或延期，除按照合同条款处理外，列入不良行为记录一次，并给予通报。</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cs="宋体" w:asciiTheme="minorEastAsia" w:hAnsiTheme="minorEastAsia" w:eastAsiaTheme="minorEastAsia"/>
        </w:rPr>
      </w:pPr>
      <w:r>
        <w:rPr>
          <w:rFonts w:hint="eastAsia" w:cs="宋体" w:asciiTheme="minorEastAsia" w:hAnsiTheme="minorEastAsia" w:eastAsiaTheme="minorEastAsia"/>
        </w:rPr>
        <w:t>25.5采购合同由采购人与中标供应商根据招标文件、投标文件等内容通过政府采购电子交易平台在线签订，自动备案。</w:t>
      </w:r>
    </w:p>
    <w:p>
      <w:pPr>
        <w:pStyle w:val="8"/>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26. 履约保证金</w:t>
      </w:r>
    </w:p>
    <w:p>
      <w:pPr>
        <w:tabs>
          <w:tab w:val="left" w:pos="0"/>
        </w:tabs>
        <w:spacing w:line="360" w:lineRule="auto"/>
        <w:ind w:firstLine="482"/>
        <w:rPr>
          <w:rFonts w:cs="宋体" w:asciiTheme="minorEastAsia" w:hAnsiTheme="minorEastAsia" w:eastAsiaTheme="minorEastAsia"/>
          <w:b/>
          <w:sz w:val="24"/>
        </w:rPr>
      </w:pPr>
      <w:r>
        <w:rPr>
          <w:rFonts w:hint="eastAsia" w:cs="宋体" w:asciiTheme="minorEastAsia" w:hAnsiTheme="minorEastAsia" w:eastAsiaTheme="minorEastAsia"/>
          <w:kern w:val="0"/>
          <w:sz w:val="24"/>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。履约保证金的数额不得超过政府采购合同金额的2.5%。鼓励和支持供应商以银行、保险公司出具的保函形式提供履约保证金。</w:t>
      </w:r>
      <w:r>
        <w:rPr>
          <w:rFonts w:hint="eastAsia" w:cs="宋体" w:asciiTheme="minorEastAsia" w:hAnsiTheme="minorEastAsia" w:eastAsiaTheme="minorEastAsia"/>
          <w:b/>
          <w:sz w:val="24"/>
        </w:rPr>
        <w:t>采购人不得拒收履约保函。</w:t>
      </w:r>
    </w:p>
    <w:p>
      <w:pPr>
        <w:tabs>
          <w:tab w:val="left" w:pos="0"/>
        </w:tabs>
        <w:spacing w:line="360" w:lineRule="auto"/>
        <w:ind w:firstLine="482"/>
        <w:rPr>
          <w:rFonts w:cs="宋体" w:asciiTheme="minorEastAsia" w:hAnsiTheme="minorEastAsia" w:eastAsiaTheme="minorEastAsia"/>
          <w:sz w:val="24"/>
          <w:szCs w:val="20"/>
        </w:rPr>
      </w:pPr>
      <w:r>
        <w:rPr>
          <w:rFonts w:hint="eastAsia" w:cs="宋体" w:asciiTheme="minorEastAsia" w:hAnsiTheme="minorEastAsia" w:eastAsiaTheme="minor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5"/>
        <w:ind w:left="0" w:firstLine="480" w:firstLineChars="200"/>
        <w:rPr>
          <w:rFonts w:cs="宋体" w:asciiTheme="minorEastAsia" w:hAnsiTheme="minorEastAsia" w:eastAsiaTheme="minorEastAsia"/>
          <w:lang w:val="en-US"/>
        </w:rPr>
      </w:pPr>
      <w:r>
        <w:rPr>
          <w:rFonts w:hint="eastAsia" w:cs="宋体" w:asciiTheme="minorEastAsia" w:hAnsiTheme="minorEastAsia" w:eastAsiaTheme="minorEastAsia"/>
          <w:b w:val="0"/>
          <w:bCs w:val="0"/>
          <w:snapToGrid w:val="0"/>
          <w:kern w:val="28"/>
          <w:sz w:val="24"/>
        </w:rPr>
        <w:t>供应商</w:t>
      </w:r>
      <w:r>
        <w:rPr>
          <w:rFonts w:hint="eastAsia" w:cs="宋体" w:asciiTheme="minorEastAsia" w:hAnsiTheme="minorEastAsia" w:eastAsiaTheme="minorEastAsia"/>
          <w:b w:val="0"/>
          <w:bCs w:val="0"/>
          <w:snapToGrid w:val="0"/>
          <w:kern w:val="28"/>
          <w:sz w:val="24"/>
          <w:lang w:val="en-US"/>
        </w:rPr>
        <w:t>可</w:t>
      </w:r>
      <w:r>
        <w:rPr>
          <w:rFonts w:hint="eastAsia" w:cs="宋体" w:asciiTheme="minorEastAsia" w:hAnsiTheme="minorEastAsia" w:eastAsiaTheme="minor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cs="宋体" w:asciiTheme="minorEastAsia" w:hAnsiTheme="minorEastAsia" w:eastAsiaTheme="minorEastAsia"/>
          <w:b/>
          <w:sz w:val="32"/>
        </w:rPr>
      </w:pPr>
    </w:p>
    <w:p>
      <w:pPr>
        <w:snapToGrid w:val="0"/>
        <w:spacing w:line="360" w:lineRule="auto"/>
        <w:ind w:firstLine="3357" w:firstLineChars="1045"/>
        <w:rPr>
          <w:rFonts w:cs="宋体" w:asciiTheme="minorEastAsia" w:hAnsiTheme="minorEastAsia" w:eastAsiaTheme="minorEastAsia"/>
          <w:b/>
          <w:sz w:val="24"/>
        </w:rPr>
      </w:pPr>
      <w:r>
        <w:rPr>
          <w:rFonts w:hint="eastAsia" w:cs="宋体" w:asciiTheme="minorEastAsia" w:hAnsiTheme="minorEastAsia" w:eastAsiaTheme="minorEastAsia"/>
          <w:b/>
          <w:sz w:val="32"/>
        </w:rPr>
        <w:t>八、电子交易活动的中止</w:t>
      </w:r>
    </w:p>
    <w:p>
      <w:pPr>
        <w:pStyle w:val="89"/>
        <w:snapToGrid w:val="0"/>
        <w:spacing w:before="0"/>
        <w:ind w:firstLine="0" w:firstLineChars="0"/>
        <w:rPr>
          <w:rFonts w:cs="宋体" w:asciiTheme="minorEastAsia" w:hAnsiTheme="minorEastAsia" w:eastAsiaTheme="minorEastAsia"/>
        </w:rPr>
      </w:pPr>
      <w:r>
        <w:rPr>
          <w:rFonts w:hint="eastAsia" w:cs="宋体" w:asciiTheme="minorEastAsia" w:hAnsiTheme="minorEastAsia" w:eastAsiaTheme="minorEastAsia"/>
        </w:rPr>
        <w:t>2</w:t>
      </w:r>
      <w:r>
        <w:rPr>
          <w:rFonts w:hint="eastAsia" w:cs="宋体" w:asciiTheme="minorEastAsia" w:hAnsiTheme="minorEastAsia" w:eastAsiaTheme="minorEastAsia"/>
          <w:b/>
          <w:szCs w:val="24"/>
        </w:rPr>
        <w:t>7. 电子交易活动的中止。</w:t>
      </w:r>
      <w:r>
        <w:rPr>
          <w:rFonts w:hint="eastAsia" w:cs="宋体" w:asciiTheme="minorEastAsia" w:hAnsiTheme="minorEastAsia" w:eastAsiaTheme="minorEastAsia"/>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 xml:space="preserve">27.1电子交易平台发生故障而无法登录访问的； </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27.2电子交易平台应用或数据库出现错误，不能进行正常操作的；</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27.3电子交易平台发现严重安全漏洞，有潜在泄密危险的；</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 xml:space="preserve">27.4病毒发作导致不能进行正常操作的； </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27.5其他无法保证电子交易的公平、公正和安全的情况。</w:t>
      </w:r>
    </w:p>
    <w:p>
      <w:pPr>
        <w:pStyle w:val="89"/>
        <w:snapToGrid w:val="0"/>
        <w:spacing w:before="0"/>
        <w:ind w:firstLine="0" w:firstLineChars="0"/>
        <w:rPr>
          <w:rFonts w:cs="宋体" w:asciiTheme="minorEastAsia" w:hAnsiTheme="minorEastAsia" w:eastAsiaTheme="minorEastAsia"/>
        </w:rPr>
      </w:pPr>
      <w:r>
        <w:rPr>
          <w:rFonts w:hint="eastAsia" w:cs="宋体" w:asciiTheme="minorEastAsia" w:hAnsiTheme="minorEastAsia" w:eastAsiaTheme="minor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rPr>
      </w:pPr>
    </w:p>
    <w:p>
      <w:pPr>
        <w:snapToGrid w:val="0"/>
        <w:spacing w:line="360" w:lineRule="auto"/>
        <w:ind w:left="120" w:leftChars="57" w:firstLine="482" w:firstLineChars="150"/>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九、验收</w:t>
      </w:r>
    </w:p>
    <w:p>
      <w:pPr>
        <w:pStyle w:val="8"/>
        <w:spacing w:line="360" w:lineRule="auto"/>
        <w:ind w:firstLine="0" w:firstLineChars="0"/>
        <w:rPr>
          <w:rFonts w:cs="宋体" w:asciiTheme="minorEastAsia" w:hAnsiTheme="minorEastAsia" w:eastAsiaTheme="minorEastAsia"/>
          <w:b/>
        </w:rPr>
      </w:pPr>
      <w:r>
        <w:rPr>
          <w:rFonts w:hint="eastAsia" w:cs="宋体" w:asciiTheme="minorEastAsia" w:hAnsiTheme="minorEastAsia" w:eastAsiaTheme="minorEastAsia"/>
          <w:b/>
        </w:rPr>
        <w:t>29.验收</w:t>
      </w:r>
    </w:p>
    <w:p>
      <w:pPr>
        <w:tabs>
          <w:tab w:val="left" w:pos="0"/>
        </w:tabs>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宋体" w:asciiTheme="minorEastAsia" w:hAnsiTheme="minorEastAsia" w:eastAsiaTheme="minorEastAsia"/>
          <w:sz w:val="18"/>
          <w:szCs w:val="18"/>
        </w:rPr>
      </w:pPr>
      <w:r>
        <w:rPr>
          <w:rFonts w:hint="eastAsia" w:cs="宋体" w:asciiTheme="minorEastAsia" w:hAnsiTheme="minorEastAsia" w:eastAsiaTheme="minor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cs="宋体" w:asciiTheme="minorEastAsia" w:hAnsiTheme="minorEastAsia" w:eastAsiaTheme="minorEastAsi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07468"/>
      <w:bookmarkEnd w:id="13"/>
      <w:bookmarkStart w:id="14" w:name="_Hlt74730295"/>
      <w:bookmarkEnd w:id="14"/>
      <w:bookmarkStart w:id="15" w:name="_Hlt74729768"/>
      <w:bookmarkEnd w:id="15"/>
      <w:bookmarkStart w:id="16" w:name="_Hlt68072998"/>
      <w:bookmarkEnd w:id="16"/>
      <w:bookmarkStart w:id="17" w:name="_Hlt75236290"/>
      <w:bookmarkEnd w:id="17"/>
      <w:bookmarkStart w:id="18" w:name="_Hlt74714665"/>
      <w:bookmarkEnd w:id="18"/>
      <w:bookmarkStart w:id="19" w:name="_Hlt68403820"/>
      <w:bookmarkEnd w:id="19"/>
      <w:bookmarkStart w:id="20" w:name="_Hlt68073093"/>
      <w:bookmarkEnd w:id="20"/>
      <w:bookmarkStart w:id="21" w:name="_Hlt68072990"/>
      <w:bookmarkEnd w:id="21"/>
      <w:bookmarkStart w:id="22" w:name="_Hlt75236011"/>
      <w:bookmarkEnd w:id="22"/>
      <w:bookmarkStart w:id="23" w:name="_Hlt68057669"/>
      <w:bookmarkEnd w:id="23"/>
      <w:bookmarkStart w:id="24" w:name="_Hlt75236101"/>
      <w:bookmarkEnd w:id="24"/>
    </w:p>
    <w:bookmarkEnd w:id="10"/>
    <w:bookmarkEnd w:id="11"/>
    <w:p>
      <w:pPr>
        <w:numPr>
          <w:ilvl w:val="0"/>
          <w:numId w:val="1"/>
        </w:numPr>
        <w:spacing w:line="360" w:lineRule="auto"/>
        <w:jc w:val="center"/>
        <w:outlineLvl w:val="0"/>
        <w:rPr>
          <w:rFonts w:cs="宋体" w:asciiTheme="minorEastAsia" w:hAnsiTheme="minorEastAsia" w:eastAsiaTheme="minorEastAsia"/>
          <w:b/>
          <w:sz w:val="36"/>
          <w:szCs w:val="36"/>
        </w:rPr>
      </w:pPr>
      <w:bookmarkStart w:id="25" w:name="第四部分"/>
      <w:r>
        <w:rPr>
          <w:rFonts w:hint="eastAsia" w:cs="宋体" w:asciiTheme="minorEastAsia" w:hAnsiTheme="minorEastAsia" w:eastAsiaTheme="minorEastAsia"/>
          <w:b/>
          <w:sz w:val="36"/>
          <w:szCs w:val="36"/>
        </w:rPr>
        <w:t xml:space="preserve">  采购需求</w:t>
      </w:r>
    </w:p>
    <w:p>
      <w:pPr>
        <w:numPr>
          <w:ilvl w:val="0"/>
          <w:numId w:val="2"/>
        </w:numPr>
        <w:spacing w:line="360" w:lineRule="auto"/>
        <w:rPr>
          <w:rFonts w:cs="宋体" w:asciiTheme="minorEastAsia" w:hAnsiTheme="minorEastAsia" w:eastAsiaTheme="minorEastAsia"/>
          <w:sz w:val="24"/>
        </w:rPr>
      </w:pPr>
      <w:r>
        <w:rPr>
          <w:rFonts w:cs="宋体" w:asciiTheme="minorEastAsia" w:hAnsiTheme="minorEastAsia" w:eastAsiaTheme="minorEastAsia"/>
          <w:sz w:val="24"/>
        </w:rPr>
        <w:t>招标范围和内容</w:t>
      </w:r>
    </w:p>
    <w:p>
      <w:pPr>
        <w:spacing w:line="360" w:lineRule="auto"/>
        <w:ind w:firstLine="470" w:firstLineChars="196"/>
        <w:rPr>
          <w:rFonts w:cs="宋体" w:asciiTheme="minorEastAsia" w:hAnsiTheme="minorEastAsia" w:eastAsiaTheme="minorEastAsia"/>
          <w:sz w:val="24"/>
        </w:rPr>
      </w:pPr>
      <w:r>
        <w:rPr>
          <w:rFonts w:cs="宋体" w:asciiTheme="minorEastAsia" w:hAnsiTheme="minorEastAsia" w:eastAsiaTheme="minorEastAsia"/>
          <w:sz w:val="24"/>
        </w:rPr>
        <w:t>1.1招标范围</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本项目为乔司街道世纪大道沿线绿化养护项目，主要包括世纪大道沿线绿化、乔木林及清单范围内的养护内容，养护面积约53.689919万平方米。</w:t>
      </w:r>
    </w:p>
    <w:p>
      <w:pPr>
        <w:snapToGrid w:val="0"/>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1.2工作内容</w:t>
      </w:r>
    </w:p>
    <w:p>
      <w:pPr>
        <w:snapToGrid w:val="0"/>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1.包括绿化施肥、松土、浇水、修剪、绿地保洁、除草、绿化补种、莳花调换、刷白、病虫害防治、绿化调整、绿地内设施和侧石的维护维修、绿地内小微水体保洁、防台抗雪、防洪抗涝等应急物资储备，以及绿化养护中的更新改造等其他养护工作。</w:t>
      </w:r>
    </w:p>
    <w:p>
      <w:pPr>
        <w:snapToGrid w:val="0"/>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2.做好必要的三防及节庆和重大活动等应急任务。</w:t>
      </w:r>
    </w:p>
    <w:p>
      <w:pPr>
        <w:snapToGrid w:val="0"/>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3.按要求完成涉及以上工作内容的12345、12328、110联动等投诉件或反映件。</w:t>
      </w:r>
    </w:p>
    <w:p>
      <w:pPr>
        <w:snapToGrid w:val="0"/>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1.3投标报价说明：</w:t>
      </w:r>
    </w:p>
    <w:p>
      <w:pPr>
        <w:spacing w:line="400" w:lineRule="atLeast"/>
        <w:ind w:firstLine="482"/>
        <w:textAlignment w:val="baseline"/>
        <w:rPr>
          <w:rStyle w:val="969"/>
          <w:rFonts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3</w:t>
      </w:r>
      <w:r>
        <w:rPr>
          <w:rFonts w:cs="宋体" w:asciiTheme="minorEastAsia" w:hAnsiTheme="minorEastAsia" w:eastAsiaTheme="minorEastAsia"/>
          <w:sz w:val="24"/>
        </w:rPr>
        <w:t>.1</w:t>
      </w:r>
      <w:r>
        <w:rPr>
          <w:rFonts w:cs="宋体" w:asciiTheme="minorEastAsia" w:hAnsiTheme="minorEastAsia" w:eastAsiaTheme="minorEastAsia"/>
          <w:sz w:val="24"/>
          <w:lang w:val="zh-TW" w:eastAsia="zh-TW"/>
        </w:rPr>
        <w:t>绿化养护费：</w:t>
      </w:r>
      <w:r>
        <w:rPr>
          <w:rStyle w:val="969"/>
          <w:rFonts w:asciiTheme="minorEastAsia" w:hAnsiTheme="minorEastAsia" w:eastAsiaTheme="minorEastAsia"/>
          <w:sz w:val="24"/>
          <w:lang w:val="zh-TW" w:eastAsia="zh-TW"/>
        </w:rPr>
        <w:t>包括：绿化养护人工工资、绿化施肥费、绿化浇水费、绿化防病防虫用药费、绿化零星补植费、防台抗雪、防洪抗涝等应急物资储备费、绿地内产生的垃圾清理费、其他费用；</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1.3.</w:t>
      </w:r>
      <w:r>
        <w:rPr>
          <w:rFonts w:hint="eastAsia" w:cs="宋体" w:asciiTheme="minorEastAsia" w:hAnsiTheme="minorEastAsia" w:eastAsiaTheme="minorEastAsia"/>
          <w:sz w:val="24"/>
        </w:rPr>
        <w:t>2</w:t>
      </w:r>
      <w:r>
        <w:rPr>
          <w:rFonts w:cs="宋体" w:asciiTheme="minorEastAsia" w:hAnsiTheme="minorEastAsia" w:eastAsiaTheme="minorEastAsia"/>
          <w:sz w:val="24"/>
        </w:rPr>
        <w:t>绿化养护中的更新改造费：</w:t>
      </w:r>
    </w:p>
    <w:p>
      <w:pPr>
        <w:snapToGrid w:val="0"/>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该费用属于绿化养护费中的一种，用于该招标绿地景观提升改造工作，主要对本养护长势不良的乔木和色带进行更新改造、管辖区域内时花更换、绿化景观设施维修等其他需要改造的项目。但日常绿化养护费、零星景观设施修缮、补植、购置作业机械设备、消耗、应急物资（含快速支撑钢管）、绿化养护抄告问题整改的所需费用等不能纳入此更新改造费。</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在养护期限内，由中标单位提出更新改造方案，经采购人论证同意后或由采购人提出更新改造要求后方可实施，每一期改造前，根据改造费使用情况，由中标单位编制工程预算，由采购人送达审计公司进行预算审核后，双方签订工程当期改造合同，上报结算价不得超过本次改造合同预算审核价，否则超过部分由中标单位自行承担。每一期改造竣工验收后，由采购人送审计部门进行审计，并按最终审计价支付。如果超出绿化养护中的更新改造费的，由中标单位自行承担。</w:t>
      </w:r>
    </w:p>
    <w:p>
      <w:pPr>
        <w:snapToGrid w:val="0"/>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年度改造任务必须在采购人规定的时间内完成，审计净核减率控制在区财政规定的合理范围内，如净核减率过大，由中标单位承担相关责任。改造工程中涉及到基本审计费，经采购人审核同意后，列入更新改造费。若更新改造费尾款低于2万以内，且中标单位已经完成改造任务的，采购人可以通过双方签订零星改造协议、并经采购人验收合格后，按照决算价下浮</w:t>
      </w:r>
      <w:r>
        <w:rPr>
          <w:rFonts w:cs="宋体" w:asciiTheme="minorEastAsia" w:hAnsiTheme="minorEastAsia" w:eastAsiaTheme="minorEastAsia"/>
          <w:b/>
          <w:color w:val="FF0000"/>
          <w:sz w:val="24"/>
        </w:rPr>
        <w:t>15%</w:t>
      </w:r>
      <w:r>
        <w:rPr>
          <w:rFonts w:cs="宋体" w:asciiTheme="minorEastAsia" w:hAnsiTheme="minorEastAsia" w:eastAsiaTheme="minorEastAsia"/>
          <w:sz w:val="24"/>
        </w:rPr>
        <w:t>后进行支付。养护期限内未完成改造任务的，采购人有权无条件收回余下改造资金。中标单位在合同期限内有意不实施且阻挠工程改造的，经3次通报批评，仍不整改的，采购人有权终止合同。</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1.4</w:t>
      </w:r>
      <w:r>
        <w:rPr>
          <w:rFonts w:hint="eastAsia" w:cs="宋体" w:asciiTheme="minorEastAsia" w:hAnsiTheme="minorEastAsia" w:eastAsiaTheme="minorEastAsia"/>
          <w:sz w:val="24"/>
        </w:rPr>
        <w:t>面积、</w:t>
      </w:r>
      <w:r>
        <w:rPr>
          <w:rFonts w:cs="宋体" w:asciiTheme="minorEastAsia" w:hAnsiTheme="minorEastAsia" w:eastAsiaTheme="minorEastAsia"/>
          <w:sz w:val="24"/>
        </w:rPr>
        <w:t>人员：</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1.4.1养护</w:t>
      </w:r>
      <w:r>
        <w:rPr>
          <w:rFonts w:hint="eastAsia" w:asciiTheme="minorEastAsia" w:hAnsiTheme="minorEastAsia" w:eastAsiaTheme="minorEastAsia"/>
          <w:sz w:val="24"/>
        </w:rPr>
        <w:t>面积及类别</w:t>
      </w:r>
    </w:p>
    <w:tbl>
      <w:tblPr>
        <w:tblStyle w:val="67"/>
        <w:tblW w:w="1426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643"/>
        <w:gridCol w:w="2737"/>
        <w:gridCol w:w="2979"/>
        <w:gridCol w:w="1280"/>
        <w:gridCol w:w="246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Theme="minorEastAsia" w:hAnsiTheme="minorEastAsia"/>
                <w:sz w:val="24"/>
              </w:rPr>
            </w:pPr>
            <w:r>
              <w:rPr>
                <w:rFonts w:hint="eastAsia" w:asciiTheme="minorEastAsia" w:hAnsiTheme="minorEastAsia"/>
                <w:sz w:val="24"/>
              </w:rPr>
              <w:t>序号</w:t>
            </w:r>
          </w:p>
        </w:tc>
        <w:tc>
          <w:tcPr>
            <w:tcW w:w="1643" w:type="dxa"/>
          </w:tcPr>
          <w:p>
            <w:pPr>
              <w:jc w:val="center"/>
              <w:rPr>
                <w:rFonts w:asciiTheme="minorEastAsia" w:hAnsiTheme="minorEastAsia"/>
                <w:sz w:val="24"/>
              </w:rPr>
            </w:pPr>
            <w:r>
              <w:rPr>
                <w:rFonts w:hint="eastAsia" w:asciiTheme="minorEastAsia" w:hAnsiTheme="minorEastAsia"/>
                <w:sz w:val="24"/>
              </w:rPr>
              <w:t>名称</w:t>
            </w:r>
          </w:p>
        </w:tc>
        <w:tc>
          <w:tcPr>
            <w:tcW w:w="2737" w:type="dxa"/>
          </w:tcPr>
          <w:p>
            <w:pPr>
              <w:jc w:val="center"/>
              <w:rPr>
                <w:rFonts w:asciiTheme="minorEastAsia" w:hAnsiTheme="minorEastAsia"/>
                <w:sz w:val="24"/>
              </w:rPr>
            </w:pPr>
            <w:r>
              <w:rPr>
                <w:rFonts w:hint="eastAsia" w:asciiTheme="minorEastAsia" w:hAnsiTheme="minorEastAsia"/>
                <w:sz w:val="24"/>
              </w:rPr>
              <w:t>地块</w:t>
            </w:r>
          </w:p>
        </w:tc>
        <w:tc>
          <w:tcPr>
            <w:tcW w:w="2979" w:type="dxa"/>
          </w:tcPr>
          <w:p>
            <w:pPr>
              <w:jc w:val="center"/>
              <w:rPr>
                <w:rFonts w:asciiTheme="minorEastAsia" w:hAnsiTheme="minorEastAsia"/>
                <w:sz w:val="24"/>
              </w:rPr>
            </w:pPr>
            <w:r>
              <w:rPr>
                <w:rFonts w:hint="eastAsia" w:asciiTheme="minorEastAsia" w:hAnsiTheme="minorEastAsia"/>
                <w:sz w:val="24"/>
              </w:rPr>
              <w:t>面积（㎡）</w:t>
            </w:r>
          </w:p>
        </w:tc>
        <w:tc>
          <w:tcPr>
            <w:tcW w:w="1280" w:type="dxa"/>
          </w:tcPr>
          <w:p>
            <w:pPr>
              <w:jc w:val="center"/>
              <w:rPr>
                <w:rFonts w:asciiTheme="minorEastAsia" w:hAnsiTheme="minorEastAsia"/>
                <w:sz w:val="24"/>
              </w:rPr>
            </w:pPr>
            <w:r>
              <w:rPr>
                <w:rFonts w:hint="eastAsia" w:asciiTheme="minorEastAsia" w:hAnsiTheme="minorEastAsia"/>
                <w:sz w:val="24"/>
              </w:rPr>
              <w:t>绿化类别</w:t>
            </w:r>
          </w:p>
        </w:tc>
        <w:tc>
          <w:tcPr>
            <w:tcW w:w="2460" w:type="dxa"/>
          </w:tcPr>
          <w:p>
            <w:pPr>
              <w:jc w:val="center"/>
              <w:rPr>
                <w:rFonts w:asciiTheme="minorEastAsia" w:hAnsiTheme="minorEastAsia"/>
                <w:sz w:val="24"/>
              </w:rPr>
            </w:pPr>
            <w:r>
              <w:rPr>
                <w:rFonts w:hint="eastAsia" w:asciiTheme="minorEastAsia" w:hAnsiTheme="minorEastAsia"/>
                <w:sz w:val="24"/>
              </w:rPr>
              <w:t>养护周期（月）</w:t>
            </w:r>
          </w:p>
        </w:tc>
        <w:tc>
          <w:tcPr>
            <w:tcW w:w="2493" w:type="dxa"/>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restart"/>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1</w:t>
            </w:r>
          </w:p>
          <w:p>
            <w:pPr>
              <w:jc w:val="center"/>
              <w:rPr>
                <w:rFonts w:asciiTheme="minorEastAsia" w:hAnsiTheme="minorEastAsia"/>
                <w:sz w:val="24"/>
              </w:rPr>
            </w:pPr>
          </w:p>
        </w:tc>
        <w:tc>
          <w:tcPr>
            <w:tcW w:w="1643" w:type="dxa"/>
            <w:vMerge w:val="restart"/>
          </w:tcPr>
          <w:p>
            <w:pPr>
              <w:jc w:val="center"/>
              <w:rPr>
                <w:rFonts w:asciiTheme="minorEastAsia" w:hAnsiTheme="minorEastAsia"/>
                <w:sz w:val="24"/>
              </w:rPr>
            </w:pPr>
          </w:p>
          <w:p>
            <w:pP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道路两侧改造绿化</w:t>
            </w:r>
          </w:p>
        </w:tc>
        <w:tc>
          <w:tcPr>
            <w:tcW w:w="2737" w:type="dxa"/>
          </w:tcPr>
          <w:p>
            <w:pPr>
              <w:jc w:val="center"/>
              <w:rPr>
                <w:rFonts w:asciiTheme="minorEastAsia" w:hAnsiTheme="minorEastAsia"/>
                <w:sz w:val="24"/>
              </w:rPr>
            </w:pPr>
            <w:r>
              <w:rPr>
                <w:rFonts w:hint="eastAsia" w:asciiTheme="minorEastAsia" w:hAnsiTheme="minorEastAsia"/>
                <w:sz w:val="24"/>
              </w:rPr>
              <w:t>一</w:t>
            </w:r>
          </w:p>
        </w:tc>
        <w:tc>
          <w:tcPr>
            <w:tcW w:w="2979" w:type="dxa"/>
          </w:tcPr>
          <w:p>
            <w:pPr>
              <w:jc w:val="center"/>
              <w:rPr>
                <w:rFonts w:asciiTheme="minorEastAsia" w:hAnsiTheme="minorEastAsia"/>
                <w:sz w:val="24"/>
              </w:rPr>
            </w:pPr>
            <w:r>
              <w:rPr>
                <w:rFonts w:hint="eastAsia" w:asciiTheme="minorEastAsia" w:hAnsiTheme="minorEastAsia"/>
                <w:sz w:val="24"/>
              </w:rPr>
              <w:t>58075</w:t>
            </w:r>
          </w:p>
        </w:tc>
        <w:tc>
          <w:tcPr>
            <w:tcW w:w="1280" w:type="dxa"/>
            <w:vMerge w:val="restart"/>
          </w:tcPr>
          <w:p>
            <w:pPr>
              <w:jc w:val="center"/>
              <w:rPr>
                <w:rFonts w:asciiTheme="minorEastAsia" w:hAnsiTheme="minorEastAsia"/>
                <w:sz w:val="24"/>
              </w:rPr>
            </w:pPr>
          </w:p>
          <w:p>
            <w:pP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二类</w:t>
            </w:r>
          </w:p>
          <w:p>
            <w:pPr>
              <w:jc w:val="center"/>
              <w:rPr>
                <w:rFonts w:asciiTheme="minorEastAsia" w:hAnsiTheme="minorEastAsia"/>
                <w:sz w:val="24"/>
              </w:rPr>
            </w:pPr>
          </w:p>
        </w:tc>
        <w:tc>
          <w:tcPr>
            <w:tcW w:w="2460" w:type="dxa"/>
            <w:vMerge w:val="restart"/>
          </w:tcPr>
          <w:p>
            <w:pPr>
              <w:jc w:val="center"/>
              <w:rPr>
                <w:rFonts w:asciiTheme="minorEastAsia" w:hAnsiTheme="minorEastAsia"/>
                <w:sz w:val="24"/>
              </w:rPr>
            </w:pPr>
          </w:p>
          <w:p>
            <w:pPr>
              <w:pStyle w:val="2"/>
            </w:pPr>
          </w:p>
          <w:p>
            <w:pPr>
              <w:jc w:val="center"/>
            </w:pPr>
            <w:r>
              <w:rPr>
                <w:rFonts w:hint="eastAsia" w:asciiTheme="minorEastAsia" w:hAnsiTheme="minorEastAsia"/>
                <w:sz w:val="24"/>
              </w:rPr>
              <w:t>24</w:t>
            </w: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二</w:t>
            </w:r>
          </w:p>
        </w:tc>
        <w:tc>
          <w:tcPr>
            <w:tcW w:w="2979" w:type="dxa"/>
          </w:tcPr>
          <w:p>
            <w:pPr>
              <w:jc w:val="center"/>
              <w:rPr>
                <w:rFonts w:asciiTheme="minorEastAsia" w:hAnsiTheme="minorEastAsia"/>
                <w:sz w:val="24"/>
              </w:rPr>
            </w:pPr>
            <w:r>
              <w:rPr>
                <w:rFonts w:hint="eastAsia" w:asciiTheme="minorEastAsia" w:hAnsiTheme="minorEastAsia"/>
                <w:sz w:val="24"/>
              </w:rPr>
              <w:t>5918</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三</w:t>
            </w:r>
          </w:p>
        </w:tc>
        <w:tc>
          <w:tcPr>
            <w:tcW w:w="2979" w:type="dxa"/>
          </w:tcPr>
          <w:p>
            <w:pPr>
              <w:jc w:val="center"/>
              <w:rPr>
                <w:rFonts w:asciiTheme="minorEastAsia" w:hAnsiTheme="minorEastAsia"/>
                <w:sz w:val="24"/>
              </w:rPr>
            </w:pPr>
            <w:r>
              <w:rPr>
                <w:rFonts w:hint="eastAsia" w:asciiTheme="minorEastAsia" w:hAnsiTheme="minorEastAsia"/>
                <w:sz w:val="24"/>
              </w:rPr>
              <w:t>4702</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四</w:t>
            </w:r>
          </w:p>
        </w:tc>
        <w:tc>
          <w:tcPr>
            <w:tcW w:w="2979" w:type="dxa"/>
          </w:tcPr>
          <w:p>
            <w:pPr>
              <w:jc w:val="center"/>
              <w:rPr>
                <w:rFonts w:asciiTheme="minorEastAsia" w:hAnsiTheme="minorEastAsia"/>
                <w:sz w:val="24"/>
              </w:rPr>
            </w:pPr>
            <w:r>
              <w:rPr>
                <w:rFonts w:hint="eastAsia" w:asciiTheme="minorEastAsia" w:hAnsiTheme="minorEastAsia"/>
                <w:sz w:val="24"/>
              </w:rPr>
              <w:t>3460</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五</w:t>
            </w:r>
          </w:p>
        </w:tc>
        <w:tc>
          <w:tcPr>
            <w:tcW w:w="2979" w:type="dxa"/>
          </w:tcPr>
          <w:p>
            <w:pPr>
              <w:jc w:val="center"/>
              <w:rPr>
                <w:rFonts w:asciiTheme="minorEastAsia" w:hAnsiTheme="minorEastAsia"/>
                <w:sz w:val="24"/>
              </w:rPr>
            </w:pPr>
            <w:r>
              <w:rPr>
                <w:rFonts w:hint="eastAsia" w:asciiTheme="minorEastAsia" w:hAnsiTheme="minorEastAsia"/>
                <w:sz w:val="24"/>
              </w:rPr>
              <w:t>4613</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六</w:t>
            </w:r>
          </w:p>
        </w:tc>
        <w:tc>
          <w:tcPr>
            <w:tcW w:w="2979" w:type="dxa"/>
          </w:tcPr>
          <w:p>
            <w:pPr>
              <w:jc w:val="center"/>
              <w:rPr>
                <w:rFonts w:asciiTheme="minorEastAsia" w:hAnsiTheme="minorEastAsia"/>
                <w:sz w:val="24"/>
              </w:rPr>
            </w:pPr>
            <w:r>
              <w:rPr>
                <w:rFonts w:hint="eastAsia" w:asciiTheme="minorEastAsia" w:hAnsiTheme="minorEastAsia"/>
                <w:sz w:val="24"/>
              </w:rPr>
              <w:t>441</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b/>
                <w:sz w:val="24"/>
              </w:rPr>
            </w:pPr>
            <w:r>
              <w:rPr>
                <w:rFonts w:hint="eastAsia" w:asciiTheme="minorEastAsia" w:hAnsiTheme="minorEastAsia"/>
                <w:b/>
                <w:sz w:val="24"/>
              </w:rPr>
              <w:t>小计</w:t>
            </w:r>
          </w:p>
        </w:tc>
        <w:tc>
          <w:tcPr>
            <w:tcW w:w="2979" w:type="dxa"/>
          </w:tcPr>
          <w:p>
            <w:pPr>
              <w:jc w:val="center"/>
              <w:rPr>
                <w:rFonts w:asciiTheme="minorEastAsia" w:hAnsiTheme="minorEastAsia"/>
                <w:b/>
                <w:sz w:val="24"/>
              </w:rPr>
            </w:pPr>
            <w:bookmarkStart w:id="26" w:name="OLE_LINK2"/>
            <w:r>
              <w:rPr>
                <w:rFonts w:hint="eastAsia" w:asciiTheme="minorEastAsia" w:hAnsiTheme="minorEastAsia"/>
                <w:b/>
                <w:sz w:val="24"/>
              </w:rPr>
              <w:t>77209</w:t>
            </w:r>
            <w:bookmarkEnd w:id="26"/>
          </w:p>
        </w:tc>
        <w:tc>
          <w:tcPr>
            <w:tcW w:w="1280" w:type="dxa"/>
          </w:tcPr>
          <w:p>
            <w:pPr>
              <w:jc w:val="center"/>
              <w:rPr>
                <w:rFonts w:asciiTheme="minorEastAsia" w:hAnsiTheme="minorEastAsia"/>
                <w:b/>
                <w:sz w:val="24"/>
              </w:rPr>
            </w:pPr>
          </w:p>
        </w:tc>
        <w:tc>
          <w:tcPr>
            <w:tcW w:w="2460" w:type="dxa"/>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restart"/>
          </w:tcPr>
          <w:p>
            <w:pPr>
              <w:jc w:val="center"/>
              <w:rPr>
                <w:rFonts w:asciiTheme="minorEastAsia" w:hAnsiTheme="minorEastAsia"/>
                <w:sz w:val="24"/>
              </w:rPr>
            </w:pPr>
          </w:p>
          <w:p>
            <w:pPr>
              <w:jc w:val="center"/>
              <w:rPr>
                <w:rFonts w:asciiTheme="minorEastAsia" w:hAnsiTheme="minorEastAsia"/>
                <w:sz w:val="24"/>
              </w:rPr>
            </w:pPr>
          </w:p>
          <w:p>
            <w:pP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2</w:t>
            </w:r>
          </w:p>
        </w:tc>
        <w:tc>
          <w:tcPr>
            <w:tcW w:w="1643" w:type="dxa"/>
            <w:vMerge w:val="restart"/>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机非带绿化</w:t>
            </w:r>
          </w:p>
        </w:tc>
        <w:tc>
          <w:tcPr>
            <w:tcW w:w="2737" w:type="dxa"/>
          </w:tcPr>
          <w:p>
            <w:pPr>
              <w:jc w:val="center"/>
              <w:rPr>
                <w:rFonts w:asciiTheme="minorEastAsia" w:hAnsiTheme="minorEastAsia"/>
                <w:sz w:val="24"/>
              </w:rPr>
            </w:pPr>
            <w:r>
              <w:rPr>
                <w:rFonts w:hint="eastAsia" w:asciiTheme="minorEastAsia" w:hAnsiTheme="minorEastAsia"/>
                <w:sz w:val="24"/>
              </w:rPr>
              <w:t>一</w:t>
            </w:r>
          </w:p>
        </w:tc>
        <w:tc>
          <w:tcPr>
            <w:tcW w:w="2979" w:type="dxa"/>
          </w:tcPr>
          <w:p>
            <w:pPr>
              <w:jc w:val="center"/>
              <w:rPr>
                <w:rFonts w:asciiTheme="minorEastAsia" w:hAnsiTheme="minorEastAsia"/>
                <w:sz w:val="24"/>
              </w:rPr>
            </w:pPr>
            <w:r>
              <w:rPr>
                <w:rFonts w:hint="eastAsia" w:asciiTheme="minorEastAsia" w:hAnsiTheme="minorEastAsia"/>
                <w:sz w:val="24"/>
              </w:rPr>
              <w:t>779</w:t>
            </w:r>
          </w:p>
        </w:tc>
        <w:tc>
          <w:tcPr>
            <w:tcW w:w="1280" w:type="dxa"/>
            <w:vMerge w:val="restart"/>
          </w:tcPr>
          <w:p>
            <w:pPr>
              <w:jc w:val="center"/>
              <w:rPr>
                <w:rFonts w:asciiTheme="minorEastAsia" w:hAnsiTheme="minorEastAsia"/>
                <w:sz w:val="24"/>
              </w:rPr>
            </w:pPr>
          </w:p>
          <w:p>
            <w:pP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二类</w:t>
            </w:r>
          </w:p>
          <w:p>
            <w:pPr>
              <w:jc w:val="center"/>
              <w:rPr>
                <w:rFonts w:asciiTheme="minorEastAsia" w:hAnsiTheme="minorEastAsia"/>
                <w:sz w:val="24"/>
              </w:rPr>
            </w:pPr>
          </w:p>
        </w:tc>
        <w:tc>
          <w:tcPr>
            <w:tcW w:w="2460" w:type="dxa"/>
            <w:vMerge w:val="restart"/>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24</w:t>
            </w: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二</w:t>
            </w:r>
          </w:p>
        </w:tc>
        <w:tc>
          <w:tcPr>
            <w:tcW w:w="2979" w:type="dxa"/>
          </w:tcPr>
          <w:p>
            <w:pPr>
              <w:jc w:val="center"/>
              <w:rPr>
                <w:rFonts w:asciiTheme="minorEastAsia" w:hAnsiTheme="minorEastAsia"/>
                <w:sz w:val="24"/>
              </w:rPr>
            </w:pPr>
            <w:r>
              <w:rPr>
                <w:rFonts w:hint="eastAsia" w:asciiTheme="minorEastAsia" w:hAnsiTheme="minorEastAsia"/>
                <w:sz w:val="24"/>
              </w:rPr>
              <w:t>93</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三</w:t>
            </w:r>
          </w:p>
        </w:tc>
        <w:tc>
          <w:tcPr>
            <w:tcW w:w="2979" w:type="dxa"/>
          </w:tcPr>
          <w:p>
            <w:pPr>
              <w:jc w:val="center"/>
              <w:rPr>
                <w:rFonts w:asciiTheme="minorEastAsia" w:hAnsiTheme="minorEastAsia"/>
                <w:sz w:val="24"/>
              </w:rPr>
            </w:pPr>
            <w:r>
              <w:rPr>
                <w:rFonts w:hint="eastAsia" w:asciiTheme="minorEastAsia" w:hAnsiTheme="minorEastAsia"/>
                <w:sz w:val="24"/>
              </w:rPr>
              <w:t>184</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四</w:t>
            </w:r>
          </w:p>
        </w:tc>
        <w:tc>
          <w:tcPr>
            <w:tcW w:w="2979" w:type="dxa"/>
          </w:tcPr>
          <w:p>
            <w:pPr>
              <w:jc w:val="center"/>
              <w:rPr>
                <w:rFonts w:asciiTheme="minorEastAsia" w:hAnsiTheme="minorEastAsia"/>
                <w:sz w:val="24"/>
              </w:rPr>
            </w:pPr>
            <w:r>
              <w:rPr>
                <w:rFonts w:hint="eastAsia" w:asciiTheme="minorEastAsia" w:hAnsiTheme="minorEastAsia"/>
                <w:sz w:val="24"/>
              </w:rPr>
              <w:t>727</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五</w:t>
            </w:r>
          </w:p>
        </w:tc>
        <w:tc>
          <w:tcPr>
            <w:tcW w:w="2979" w:type="dxa"/>
          </w:tcPr>
          <w:p>
            <w:pPr>
              <w:jc w:val="center"/>
              <w:rPr>
                <w:rFonts w:asciiTheme="minorEastAsia" w:hAnsiTheme="minorEastAsia"/>
                <w:sz w:val="24"/>
              </w:rPr>
            </w:pPr>
            <w:r>
              <w:rPr>
                <w:rFonts w:hint="eastAsia" w:asciiTheme="minorEastAsia" w:hAnsiTheme="minorEastAsia"/>
                <w:sz w:val="24"/>
              </w:rPr>
              <w:t>1739</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六</w:t>
            </w:r>
          </w:p>
        </w:tc>
        <w:tc>
          <w:tcPr>
            <w:tcW w:w="2979" w:type="dxa"/>
          </w:tcPr>
          <w:p>
            <w:pPr>
              <w:jc w:val="center"/>
              <w:rPr>
                <w:rFonts w:asciiTheme="minorEastAsia" w:hAnsiTheme="minorEastAsia"/>
                <w:sz w:val="24"/>
              </w:rPr>
            </w:pPr>
            <w:r>
              <w:rPr>
                <w:rFonts w:hint="eastAsia" w:asciiTheme="minorEastAsia" w:hAnsiTheme="minorEastAsia"/>
                <w:sz w:val="24"/>
              </w:rPr>
              <w:t>570</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b/>
                <w:sz w:val="24"/>
              </w:rPr>
            </w:pPr>
            <w:r>
              <w:rPr>
                <w:rFonts w:hint="eastAsia" w:asciiTheme="minorEastAsia" w:hAnsiTheme="minorEastAsia"/>
                <w:b/>
                <w:sz w:val="24"/>
              </w:rPr>
              <w:t>小计</w:t>
            </w:r>
          </w:p>
        </w:tc>
        <w:tc>
          <w:tcPr>
            <w:tcW w:w="2979" w:type="dxa"/>
          </w:tcPr>
          <w:p>
            <w:pPr>
              <w:jc w:val="center"/>
              <w:rPr>
                <w:rFonts w:asciiTheme="minorEastAsia" w:hAnsiTheme="minorEastAsia"/>
                <w:b/>
                <w:sz w:val="24"/>
              </w:rPr>
            </w:pPr>
            <w:bookmarkStart w:id="27" w:name="OLE_LINK3"/>
            <w:r>
              <w:rPr>
                <w:rFonts w:hint="eastAsia" w:asciiTheme="minorEastAsia" w:hAnsiTheme="minorEastAsia"/>
                <w:b/>
                <w:sz w:val="24"/>
              </w:rPr>
              <w:t>4092</w:t>
            </w:r>
            <w:bookmarkEnd w:id="27"/>
          </w:p>
        </w:tc>
        <w:tc>
          <w:tcPr>
            <w:tcW w:w="1280" w:type="dxa"/>
          </w:tcPr>
          <w:p>
            <w:pPr>
              <w:jc w:val="center"/>
              <w:rPr>
                <w:rFonts w:asciiTheme="minorEastAsia" w:hAnsiTheme="minorEastAsia"/>
                <w:b/>
                <w:sz w:val="24"/>
              </w:rPr>
            </w:pPr>
          </w:p>
        </w:tc>
        <w:tc>
          <w:tcPr>
            <w:tcW w:w="2460" w:type="dxa"/>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restart"/>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3</w:t>
            </w:r>
          </w:p>
        </w:tc>
        <w:tc>
          <w:tcPr>
            <w:tcW w:w="1643" w:type="dxa"/>
            <w:vMerge w:val="restart"/>
          </w:tcPr>
          <w:p>
            <w:pP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桥下绿化</w:t>
            </w:r>
          </w:p>
        </w:tc>
        <w:tc>
          <w:tcPr>
            <w:tcW w:w="2737" w:type="dxa"/>
          </w:tcPr>
          <w:p>
            <w:pPr>
              <w:jc w:val="center"/>
              <w:rPr>
                <w:rFonts w:asciiTheme="minorEastAsia" w:hAnsiTheme="minorEastAsia"/>
                <w:sz w:val="24"/>
              </w:rPr>
            </w:pPr>
            <w:r>
              <w:rPr>
                <w:rFonts w:hint="eastAsia" w:asciiTheme="minorEastAsia" w:hAnsiTheme="minorEastAsia"/>
                <w:sz w:val="24"/>
              </w:rPr>
              <w:t>一</w:t>
            </w:r>
          </w:p>
        </w:tc>
        <w:tc>
          <w:tcPr>
            <w:tcW w:w="2979" w:type="dxa"/>
          </w:tcPr>
          <w:p>
            <w:pPr>
              <w:jc w:val="center"/>
              <w:rPr>
                <w:rFonts w:asciiTheme="minorEastAsia" w:hAnsiTheme="minorEastAsia"/>
                <w:sz w:val="24"/>
              </w:rPr>
            </w:pPr>
            <w:r>
              <w:rPr>
                <w:rFonts w:hint="eastAsia" w:asciiTheme="minorEastAsia" w:hAnsiTheme="minorEastAsia"/>
                <w:sz w:val="24"/>
              </w:rPr>
              <w:t>5034</w:t>
            </w:r>
          </w:p>
        </w:tc>
        <w:tc>
          <w:tcPr>
            <w:tcW w:w="1280" w:type="dxa"/>
            <w:vMerge w:val="restart"/>
          </w:tcPr>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二类</w:t>
            </w:r>
          </w:p>
          <w:p>
            <w:pPr>
              <w:jc w:val="center"/>
              <w:rPr>
                <w:rFonts w:asciiTheme="minorEastAsia" w:hAnsiTheme="minorEastAsia"/>
                <w:sz w:val="24"/>
              </w:rPr>
            </w:pPr>
          </w:p>
        </w:tc>
        <w:tc>
          <w:tcPr>
            <w:tcW w:w="2460" w:type="dxa"/>
            <w:vMerge w:val="restart"/>
          </w:tcPr>
          <w:p>
            <w:pPr>
              <w:jc w:val="center"/>
              <w:rPr>
                <w:rFonts w:asciiTheme="minorEastAsia" w:hAnsiTheme="minorEastAsia"/>
                <w:sz w:val="24"/>
              </w:rPr>
            </w:pPr>
          </w:p>
          <w:p>
            <w:pPr>
              <w:pStyle w:val="2"/>
              <w:ind w:firstLine="960" w:firstLineChars="400"/>
            </w:pPr>
            <w:r>
              <w:rPr>
                <w:rFonts w:hint="eastAsia" w:asciiTheme="minorEastAsia" w:hAnsiTheme="minorEastAsia"/>
              </w:rPr>
              <w:t>24</w:t>
            </w: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二</w:t>
            </w:r>
          </w:p>
        </w:tc>
        <w:tc>
          <w:tcPr>
            <w:tcW w:w="2979" w:type="dxa"/>
          </w:tcPr>
          <w:p>
            <w:pPr>
              <w:jc w:val="center"/>
              <w:rPr>
                <w:rFonts w:asciiTheme="minorEastAsia" w:hAnsiTheme="minorEastAsia"/>
                <w:sz w:val="24"/>
              </w:rPr>
            </w:pPr>
            <w:r>
              <w:rPr>
                <w:rFonts w:hint="eastAsia" w:asciiTheme="minorEastAsia" w:hAnsiTheme="minorEastAsia"/>
                <w:sz w:val="24"/>
              </w:rPr>
              <w:t>5794</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三</w:t>
            </w:r>
          </w:p>
        </w:tc>
        <w:tc>
          <w:tcPr>
            <w:tcW w:w="2979" w:type="dxa"/>
          </w:tcPr>
          <w:p>
            <w:pPr>
              <w:jc w:val="center"/>
              <w:rPr>
                <w:rFonts w:asciiTheme="minorEastAsia" w:hAnsiTheme="minorEastAsia"/>
                <w:sz w:val="24"/>
              </w:rPr>
            </w:pPr>
            <w:r>
              <w:rPr>
                <w:rFonts w:hint="eastAsia" w:asciiTheme="minorEastAsia" w:hAnsiTheme="minorEastAsia"/>
                <w:sz w:val="24"/>
              </w:rPr>
              <w:t>214</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jc w:val="center"/>
              <w:rPr>
                <w:rFonts w:asciiTheme="minorEastAsia" w:hAnsiTheme="minorEastAsia"/>
                <w:sz w:val="24"/>
              </w:rPr>
            </w:pPr>
          </w:p>
        </w:tc>
        <w:tc>
          <w:tcPr>
            <w:tcW w:w="1643" w:type="dxa"/>
            <w:vMerge w:val="continue"/>
          </w:tcPr>
          <w:p>
            <w:pPr>
              <w:jc w:val="center"/>
              <w:rPr>
                <w:rFonts w:asciiTheme="minorEastAsia" w:hAnsiTheme="minorEastAsia"/>
                <w:sz w:val="24"/>
              </w:rPr>
            </w:pPr>
          </w:p>
        </w:tc>
        <w:tc>
          <w:tcPr>
            <w:tcW w:w="2737" w:type="dxa"/>
          </w:tcPr>
          <w:p>
            <w:pPr>
              <w:jc w:val="center"/>
              <w:rPr>
                <w:rFonts w:asciiTheme="minorEastAsia" w:hAnsiTheme="minorEastAsia"/>
                <w:b/>
                <w:sz w:val="24"/>
              </w:rPr>
            </w:pPr>
            <w:r>
              <w:rPr>
                <w:rFonts w:hint="eastAsia" w:asciiTheme="minorEastAsia" w:hAnsiTheme="minorEastAsia"/>
                <w:b/>
                <w:sz w:val="24"/>
              </w:rPr>
              <w:t>小计</w:t>
            </w:r>
          </w:p>
        </w:tc>
        <w:tc>
          <w:tcPr>
            <w:tcW w:w="2979" w:type="dxa"/>
          </w:tcPr>
          <w:p>
            <w:pPr>
              <w:jc w:val="center"/>
              <w:rPr>
                <w:rFonts w:asciiTheme="minorEastAsia" w:hAnsiTheme="minorEastAsia"/>
                <w:b/>
                <w:sz w:val="24"/>
              </w:rPr>
            </w:pPr>
            <w:bookmarkStart w:id="28" w:name="OLE_LINK4"/>
            <w:r>
              <w:rPr>
                <w:rFonts w:hint="eastAsia" w:asciiTheme="minorEastAsia" w:hAnsiTheme="minorEastAsia"/>
                <w:b/>
                <w:sz w:val="24"/>
              </w:rPr>
              <w:t>11042</w:t>
            </w:r>
            <w:bookmarkEnd w:id="28"/>
          </w:p>
        </w:tc>
        <w:tc>
          <w:tcPr>
            <w:tcW w:w="1280" w:type="dxa"/>
          </w:tcPr>
          <w:p>
            <w:pPr>
              <w:jc w:val="center"/>
              <w:rPr>
                <w:rFonts w:asciiTheme="minorEastAsia" w:hAnsiTheme="minorEastAsia"/>
                <w:b/>
                <w:sz w:val="24"/>
              </w:rPr>
            </w:pPr>
          </w:p>
        </w:tc>
        <w:tc>
          <w:tcPr>
            <w:tcW w:w="2460" w:type="dxa"/>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Theme="minorEastAsia" w:hAnsiTheme="minorEastAsia"/>
                <w:sz w:val="24"/>
              </w:rPr>
            </w:pPr>
            <w:r>
              <w:rPr>
                <w:rFonts w:hint="eastAsia" w:asciiTheme="minorEastAsia" w:hAnsiTheme="minorEastAsia"/>
                <w:sz w:val="24"/>
              </w:rPr>
              <w:t>4</w:t>
            </w:r>
          </w:p>
        </w:tc>
        <w:tc>
          <w:tcPr>
            <w:tcW w:w="1643" w:type="dxa"/>
          </w:tcPr>
          <w:p>
            <w:pPr>
              <w:jc w:val="center"/>
              <w:rPr>
                <w:rFonts w:asciiTheme="minorEastAsia" w:hAnsiTheme="minorEastAsia"/>
                <w:sz w:val="24"/>
              </w:rPr>
            </w:pPr>
            <w:r>
              <w:rPr>
                <w:rFonts w:hint="eastAsia" w:asciiTheme="minorEastAsia" w:hAnsiTheme="minorEastAsia"/>
                <w:sz w:val="24"/>
              </w:rPr>
              <w:t>原道路两侧绿化</w:t>
            </w:r>
          </w:p>
        </w:tc>
        <w:tc>
          <w:tcPr>
            <w:tcW w:w="2737" w:type="dxa"/>
          </w:tcPr>
          <w:p>
            <w:pPr>
              <w:jc w:val="center"/>
              <w:rPr>
                <w:rFonts w:asciiTheme="minorEastAsia" w:hAnsiTheme="minorEastAsia"/>
                <w:sz w:val="24"/>
              </w:rPr>
            </w:pPr>
            <w:r>
              <w:rPr>
                <w:rFonts w:hint="eastAsia" w:asciiTheme="minorEastAsia" w:hAnsiTheme="minorEastAsia"/>
                <w:sz w:val="24"/>
              </w:rPr>
              <w:t>一</w:t>
            </w:r>
          </w:p>
        </w:tc>
        <w:tc>
          <w:tcPr>
            <w:tcW w:w="2979" w:type="dxa"/>
          </w:tcPr>
          <w:p>
            <w:pPr>
              <w:jc w:val="center"/>
              <w:rPr>
                <w:rFonts w:asciiTheme="minorEastAsia" w:hAnsiTheme="minorEastAsia"/>
                <w:sz w:val="24"/>
              </w:rPr>
            </w:pPr>
            <w:bookmarkStart w:id="29" w:name="OLE_LINK1"/>
            <w:r>
              <w:rPr>
                <w:rFonts w:hint="eastAsia" w:ascii="宋体" w:hAnsi="宋体" w:cs="宋体"/>
                <w:kern w:val="0"/>
                <w:sz w:val="24"/>
              </w:rPr>
              <w:t>348167.27</w:t>
            </w:r>
            <w:bookmarkEnd w:id="29"/>
          </w:p>
        </w:tc>
        <w:tc>
          <w:tcPr>
            <w:tcW w:w="1280" w:type="dxa"/>
          </w:tcPr>
          <w:p>
            <w:pPr>
              <w:jc w:val="center"/>
              <w:rPr>
                <w:rFonts w:asciiTheme="minorEastAsia" w:hAnsiTheme="minorEastAsia"/>
                <w:sz w:val="24"/>
              </w:rPr>
            </w:pPr>
            <w:r>
              <w:rPr>
                <w:rFonts w:hint="eastAsia" w:asciiTheme="minorEastAsia" w:hAnsiTheme="minorEastAsia"/>
                <w:sz w:val="24"/>
              </w:rPr>
              <w:t>三类</w:t>
            </w:r>
          </w:p>
        </w:tc>
        <w:tc>
          <w:tcPr>
            <w:tcW w:w="2460" w:type="dxa"/>
          </w:tcPr>
          <w:p>
            <w:pPr>
              <w:jc w:val="center"/>
              <w:rPr>
                <w:rFonts w:asciiTheme="minorEastAsia" w:hAnsiTheme="minorEastAsia"/>
                <w:sz w:val="24"/>
              </w:rPr>
            </w:pPr>
            <w:r>
              <w:rPr>
                <w:rFonts w:hint="eastAsia" w:asciiTheme="minorEastAsia" w:hAnsiTheme="minorEastAsia"/>
                <w:sz w:val="24"/>
              </w:rPr>
              <w:t>24</w:t>
            </w: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72" w:type="dxa"/>
          </w:tcPr>
          <w:p>
            <w:pPr>
              <w:jc w:val="center"/>
              <w:rPr>
                <w:rFonts w:asciiTheme="minorEastAsia" w:hAnsiTheme="minorEastAsia"/>
                <w:sz w:val="24"/>
              </w:rPr>
            </w:pPr>
          </w:p>
        </w:tc>
        <w:tc>
          <w:tcPr>
            <w:tcW w:w="1643" w:type="dxa"/>
          </w:tcPr>
          <w:p>
            <w:pPr>
              <w:jc w:val="center"/>
              <w:rPr>
                <w:rFonts w:asciiTheme="minorEastAsia" w:hAnsiTheme="minorEastAsia"/>
                <w:sz w:val="24"/>
              </w:rPr>
            </w:pPr>
          </w:p>
        </w:tc>
        <w:tc>
          <w:tcPr>
            <w:tcW w:w="2737" w:type="dxa"/>
          </w:tcPr>
          <w:p>
            <w:pPr>
              <w:jc w:val="center"/>
              <w:rPr>
                <w:rFonts w:asciiTheme="minorEastAsia" w:hAnsiTheme="minorEastAsia"/>
                <w:b/>
                <w:sz w:val="24"/>
              </w:rPr>
            </w:pPr>
            <w:r>
              <w:rPr>
                <w:rFonts w:hint="eastAsia" w:asciiTheme="minorEastAsia" w:hAnsiTheme="minorEastAsia"/>
                <w:b/>
                <w:sz w:val="24"/>
              </w:rPr>
              <w:t>合计</w:t>
            </w:r>
          </w:p>
        </w:tc>
        <w:tc>
          <w:tcPr>
            <w:tcW w:w="2979" w:type="dxa"/>
          </w:tcPr>
          <w:p>
            <w:pPr>
              <w:jc w:val="center"/>
              <w:rPr>
                <w:rFonts w:asciiTheme="minorEastAsia" w:hAnsiTheme="minorEastAsia"/>
                <w:b/>
                <w:sz w:val="24"/>
              </w:rPr>
            </w:pPr>
            <w:r>
              <w:rPr>
                <w:rFonts w:hint="eastAsia" w:asciiTheme="minorEastAsia" w:hAnsiTheme="minorEastAsia"/>
                <w:b/>
                <w:sz w:val="24"/>
              </w:rPr>
              <w:t>440510.27</w:t>
            </w:r>
          </w:p>
        </w:tc>
        <w:tc>
          <w:tcPr>
            <w:tcW w:w="1280" w:type="dxa"/>
          </w:tcPr>
          <w:p>
            <w:pPr>
              <w:jc w:val="center"/>
              <w:rPr>
                <w:rFonts w:asciiTheme="minorEastAsia" w:hAnsiTheme="minorEastAsia"/>
                <w:b/>
                <w:sz w:val="24"/>
              </w:rPr>
            </w:pPr>
          </w:p>
        </w:tc>
        <w:tc>
          <w:tcPr>
            <w:tcW w:w="2460" w:type="dxa"/>
          </w:tcPr>
          <w:p>
            <w:pPr>
              <w:jc w:val="center"/>
              <w:rPr>
                <w:rFonts w:asciiTheme="minorEastAsia" w:hAnsiTheme="minorEastAsia"/>
                <w:sz w:val="24"/>
              </w:rPr>
            </w:pPr>
          </w:p>
        </w:tc>
        <w:tc>
          <w:tcPr>
            <w:tcW w:w="2493" w:type="dxa"/>
          </w:tcPr>
          <w:p>
            <w:pPr>
              <w:jc w:val="center"/>
              <w:rPr>
                <w:rFonts w:asciiTheme="minorEastAsia" w:hAnsiTheme="minorEastAsia"/>
                <w:sz w:val="24"/>
              </w:rPr>
            </w:pPr>
          </w:p>
        </w:tc>
      </w:tr>
    </w:tbl>
    <w:p>
      <w:pPr>
        <w:rPr>
          <w:rFonts w:asciiTheme="minorEastAsia" w:hAnsiTheme="minorEastAsia" w:eastAsiaTheme="minorEastAsia"/>
        </w:rPr>
      </w:pPr>
    </w:p>
    <w:p>
      <w:pPr>
        <w:tabs>
          <w:tab w:val="center" w:pos="7220"/>
        </w:tabs>
        <w:jc w:val="left"/>
        <w:rPr>
          <w:rFonts w:asciiTheme="minorEastAsia" w:hAnsiTheme="minorEastAsia" w:eastAsiaTheme="minorEastAsia"/>
        </w:rPr>
        <w:sectPr>
          <w:headerReference r:id="rId8" w:type="default"/>
          <w:footerReference r:id="rId9" w:type="default"/>
          <w:pgSz w:w="16840" w:h="11910" w:orient="landscape"/>
          <w:pgMar w:top="1140" w:right="1400" w:bottom="1140" w:left="1000" w:header="882" w:footer="802" w:gutter="0"/>
          <w:cols w:space="720" w:num="1"/>
        </w:sectPr>
      </w:pPr>
      <w:r>
        <w:rPr>
          <w:rFonts w:hint="eastAsia" w:asciiTheme="minorEastAsia" w:hAnsiTheme="minorEastAsia" w:eastAsiaTheme="minorEastAsia"/>
        </w:rPr>
        <w:tab/>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1.4.2管理人员配备要求（</w:t>
      </w:r>
      <w:r>
        <w:rPr>
          <w:rFonts w:hint="eastAsia" w:cs="宋体" w:asciiTheme="minorEastAsia" w:hAnsiTheme="minorEastAsia" w:eastAsiaTheme="minorEastAsia"/>
          <w:sz w:val="24"/>
        </w:rPr>
        <w:t>最低要求</w:t>
      </w:r>
      <w:r>
        <w:rPr>
          <w:rFonts w:cs="宋体" w:asciiTheme="minorEastAsia" w:hAnsiTheme="minorEastAsia" w:eastAsiaTheme="minorEastAsia"/>
          <w:sz w:val="24"/>
        </w:rPr>
        <w:t>）</w:t>
      </w:r>
      <w:r>
        <w:rPr>
          <w:rFonts w:hint="eastAsia" w:cs="宋体" w:asciiTheme="minorEastAsia" w:hAnsiTheme="minorEastAsia" w:eastAsiaTheme="minorEastAsia"/>
          <w:kern w:val="0"/>
          <w:sz w:val="24"/>
        </w:rPr>
        <w:t>▲</w:t>
      </w:r>
    </w:p>
    <w:tbl>
      <w:tblPr>
        <w:tblStyle w:val="66"/>
        <w:tblW w:w="100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6"/>
        <w:gridCol w:w="1514"/>
        <w:gridCol w:w="1528"/>
        <w:gridCol w:w="3080"/>
        <w:gridCol w:w="3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86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sz w:val="24"/>
              </w:rPr>
            </w:pPr>
            <w:r>
              <w:rPr>
                <w:rFonts w:cs="宋体" w:asciiTheme="minorEastAsia" w:hAnsiTheme="minorEastAsia" w:eastAsiaTheme="minorEastAsia"/>
                <w:sz w:val="24"/>
              </w:rPr>
              <w:t>序号</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sz w:val="24"/>
              </w:rPr>
            </w:pPr>
            <w:r>
              <w:rPr>
                <w:rFonts w:cs="宋体" w:asciiTheme="minorEastAsia" w:hAnsiTheme="minorEastAsia" w:eastAsiaTheme="minorEastAsia"/>
                <w:sz w:val="24"/>
              </w:rPr>
              <w:t>管理人员</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数量</w:t>
            </w:r>
          </w:p>
        </w:tc>
        <w:tc>
          <w:tcPr>
            <w:tcW w:w="308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资格要求</w:t>
            </w:r>
          </w:p>
        </w:tc>
        <w:tc>
          <w:tcPr>
            <w:tcW w:w="308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86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color w:val="000000" w:themeColor="text1"/>
                <w:sz w:val="24"/>
              </w:rPr>
            </w:pPr>
            <w:r>
              <w:rPr>
                <w:rFonts w:cs="宋体" w:asciiTheme="minorEastAsia" w:hAnsiTheme="minorEastAsia" w:eastAsiaTheme="minorEastAsia"/>
                <w:color w:val="000000" w:themeColor="text1"/>
                <w:sz w:val="24"/>
              </w:rPr>
              <w:t>1</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color w:val="000000" w:themeColor="text1"/>
                <w:sz w:val="24"/>
              </w:rPr>
            </w:pPr>
            <w:r>
              <w:rPr>
                <w:rFonts w:cs="宋体" w:asciiTheme="minorEastAsia" w:hAnsiTheme="minorEastAsia" w:eastAsiaTheme="minorEastAsia"/>
                <w:color w:val="000000" w:themeColor="text1"/>
                <w:sz w:val="24"/>
              </w:rPr>
              <w:t>项目负责人</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color w:val="000000" w:themeColor="text1"/>
                <w:sz w:val="24"/>
              </w:rPr>
            </w:pPr>
            <w:r>
              <w:rPr>
                <w:rFonts w:cs="宋体" w:asciiTheme="minorEastAsia" w:hAnsiTheme="minorEastAsia" w:eastAsiaTheme="minorEastAsia"/>
                <w:color w:val="000000" w:themeColor="text1"/>
                <w:sz w:val="24"/>
              </w:rPr>
              <w:t>1人</w:t>
            </w:r>
          </w:p>
        </w:tc>
        <w:tc>
          <w:tcPr>
            <w:tcW w:w="3080" w:type="dxa"/>
            <w:tcBorders>
              <w:top w:val="single" w:color="000000" w:sz="4" w:space="0"/>
              <w:left w:val="single" w:color="000000" w:sz="4" w:space="0"/>
              <w:bottom w:val="single" w:color="000000" w:sz="4" w:space="0"/>
              <w:right w:val="single" w:color="000000" w:sz="4" w:space="0"/>
            </w:tcBorders>
            <w:noWrap/>
            <w:vAlign w:val="center"/>
          </w:tcPr>
          <w:p>
            <w:pPr>
              <w:jc w:val="left"/>
              <w:rPr>
                <w:rFonts w:cs="宋体" w:asciiTheme="minorEastAsia" w:hAnsiTheme="minorEastAsia" w:eastAsiaTheme="minorEastAsia"/>
                <w:color w:val="000000" w:themeColor="text1"/>
                <w:sz w:val="24"/>
              </w:rPr>
            </w:pPr>
            <w:r>
              <w:rPr>
                <w:rFonts w:hint="eastAsia" w:asciiTheme="minorEastAsia" w:hAnsiTheme="minorEastAsia" w:eastAsiaTheme="minorEastAsia" w:cstheme="majorEastAsia"/>
                <w:color w:val="000000" w:themeColor="text1"/>
                <w:sz w:val="24"/>
                <w:szCs w:val="22"/>
              </w:rPr>
              <w:t>年龄55周岁以下；</w:t>
            </w:r>
          </w:p>
        </w:tc>
        <w:tc>
          <w:tcPr>
            <w:tcW w:w="3080" w:type="dxa"/>
            <w:tcBorders>
              <w:top w:val="single" w:color="000000" w:sz="4" w:space="0"/>
              <w:left w:val="single" w:color="000000" w:sz="4" w:space="0"/>
              <w:bottom w:val="single" w:color="000000" w:sz="4" w:space="0"/>
              <w:right w:val="single" w:color="000000" w:sz="4" w:space="0"/>
            </w:tcBorders>
          </w:tcPr>
          <w:p>
            <w:pPr>
              <w:jc w:val="left"/>
              <w:rPr>
                <w:rFonts w:asciiTheme="minorEastAsia" w:hAnsiTheme="minorEastAsia" w:eastAsiaTheme="minorEastAsia" w:cstheme="majorEastAsia"/>
                <w:color w:val="000000" w:themeColor="text1"/>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jc w:val="center"/>
        </w:trPr>
        <w:tc>
          <w:tcPr>
            <w:tcW w:w="86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color w:val="000000" w:themeColor="text1"/>
                <w:sz w:val="24"/>
              </w:rPr>
            </w:pPr>
            <w:r>
              <w:rPr>
                <w:rFonts w:cs="宋体" w:asciiTheme="minorEastAsia" w:hAnsiTheme="minorEastAsia" w:eastAsiaTheme="minorEastAsia"/>
                <w:color w:val="000000" w:themeColor="text1"/>
                <w:sz w:val="24"/>
              </w:rPr>
              <w:t>2</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color w:val="000000" w:themeColor="text1"/>
                <w:sz w:val="24"/>
              </w:rPr>
            </w:pPr>
            <w:r>
              <w:rPr>
                <w:rFonts w:hint="eastAsia" w:asciiTheme="minorEastAsia" w:hAnsiTheme="minorEastAsia" w:eastAsiaTheme="minorEastAsia" w:cstheme="majorEastAsia"/>
                <w:color w:val="000000" w:themeColor="text1"/>
                <w:sz w:val="24"/>
                <w:szCs w:val="22"/>
              </w:rPr>
              <w:t>绿化养护员</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49</w:t>
            </w:r>
            <w:r>
              <w:rPr>
                <w:rFonts w:cs="宋体" w:asciiTheme="minorEastAsia" w:hAnsiTheme="minorEastAsia" w:eastAsiaTheme="minorEastAsia"/>
                <w:color w:val="000000" w:themeColor="text1"/>
                <w:sz w:val="24"/>
              </w:rPr>
              <w:t>人</w:t>
            </w:r>
          </w:p>
        </w:tc>
        <w:tc>
          <w:tcPr>
            <w:tcW w:w="3080" w:type="dxa"/>
            <w:tcBorders>
              <w:top w:val="single" w:color="000000" w:sz="4" w:space="0"/>
              <w:left w:val="single" w:color="000000" w:sz="4" w:space="0"/>
              <w:bottom w:val="single" w:color="000000" w:sz="4" w:space="0"/>
              <w:right w:val="single" w:color="000000" w:sz="4" w:space="0"/>
            </w:tcBorders>
            <w:noWrap/>
            <w:vAlign w:val="center"/>
          </w:tcPr>
          <w:p>
            <w:pPr>
              <w:jc w:val="left"/>
              <w:rPr>
                <w:rFonts w:cs="宋体" w:asciiTheme="minorEastAsia" w:hAnsiTheme="minorEastAsia" w:eastAsiaTheme="minorEastAsia"/>
                <w:color w:val="000000" w:themeColor="text1"/>
                <w:sz w:val="24"/>
              </w:rPr>
            </w:pPr>
            <w:r>
              <w:rPr>
                <w:rFonts w:hint="eastAsia" w:asciiTheme="minorEastAsia" w:hAnsiTheme="minorEastAsia" w:eastAsiaTheme="minorEastAsia" w:cstheme="majorEastAsia"/>
                <w:color w:val="000000" w:themeColor="text1"/>
                <w:sz w:val="24"/>
                <w:szCs w:val="22"/>
              </w:rPr>
              <w:t>男性年龄在60周岁以下</w:t>
            </w:r>
            <w:r>
              <w:rPr>
                <w:rFonts w:hint="eastAsia" w:asciiTheme="minorEastAsia" w:hAnsiTheme="minorEastAsia" w:eastAsiaTheme="minorEastAsia" w:cstheme="majorEastAsia"/>
                <w:color w:val="000000" w:themeColor="text1"/>
                <w:sz w:val="24"/>
                <w:szCs w:val="22"/>
                <w:lang w:val="zh-CN"/>
              </w:rPr>
              <w:t>，女性年龄在55周岁以下</w:t>
            </w:r>
          </w:p>
        </w:tc>
        <w:tc>
          <w:tcPr>
            <w:tcW w:w="3080" w:type="dxa"/>
            <w:tcBorders>
              <w:top w:val="single" w:color="000000" w:sz="4" w:space="0"/>
              <w:left w:val="single" w:color="000000" w:sz="4" w:space="0"/>
              <w:bottom w:val="single" w:color="000000" w:sz="4" w:space="0"/>
              <w:right w:val="single" w:color="000000" w:sz="4" w:space="0"/>
            </w:tcBorders>
          </w:tcPr>
          <w:p>
            <w:pPr>
              <w:jc w:val="left"/>
              <w:rPr>
                <w:rFonts w:asciiTheme="minorEastAsia" w:hAnsiTheme="minorEastAsia" w:eastAsiaTheme="minorEastAsia" w:cstheme="majorEastAsia"/>
                <w:color w:val="000000" w:themeColor="text1"/>
                <w:szCs w:val="21"/>
              </w:rPr>
            </w:pPr>
            <w:r>
              <w:rPr>
                <w:rFonts w:hint="eastAsia" w:asciiTheme="minorEastAsia" w:hAnsiTheme="minorEastAsia" w:eastAsiaTheme="minorEastAsia" w:cstheme="majorEastAsia"/>
                <w:color w:val="000000" w:themeColor="text1"/>
                <w:szCs w:val="21"/>
              </w:rPr>
              <w:t>包括区域范围内的卫生保洁人员，按照现场实际情况调配，避免区域范围内有色垃圾产生。</w:t>
            </w:r>
          </w:p>
        </w:tc>
      </w:tr>
    </w:tbl>
    <w:p>
      <w:pPr>
        <w:spacing w:line="360" w:lineRule="auto"/>
        <w:rPr>
          <w:rFonts w:cs="宋体" w:asciiTheme="minorEastAsia" w:hAnsiTheme="minorEastAsia" w:eastAsiaTheme="minorEastAsia"/>
          <w:sz w:val="24"/>
        </w:rPr>
      </w:pP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2.承包方式及期限</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2.1本次招标项目采用综合养护费单价承包。</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本项目经费构成：绿化养护费（投标总报价）=日常绿化养护费+绿化养护中的更新改造费；</w:t>
      </w:r>
    </w:p>
    <w:tbl>
      <w:tblPr>
        <w:tblStyle w:val="66"/>
        <w:tblW w:w="8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4"/>
        <w:gridCol w:w="3838"/>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754"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绿化养护费</w:t>
            </w:r>
          </w:p>
        </w:tc>
        <w:tc>
          <w:tcPr>
            <w:tcW w:w="383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日常绿化养护费</w:t>
            </w:r>
          </w:p>
        </w:tc>
        <w:tc>
          <w:tcPr>
            <w:tcW w:w="287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绿化养护费的</w:t>
            </w:r>
            <w:r>
              <w:rPr>
                <w:rFonts w:hint="eastAsia" w:cs="宋体" w:asciiTheme="minorEastAsia" w:hAnsiTheme="minorEastAsia" w:eastAsiaTheme="minorEastAsia"/>
                <w:sz w:val="24"/>
              </w:rPr>
              <w:t>9</w:t>
            </w:r>
            <w:r>
              <w:rPr>
                <w:rFonts w:cs="宋体" w:asciiTheme="minorEastAsia" w:hAnsiTheme="minorEastAsia" w:eastAsiaTheme="minorEastAsia"/>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75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cs="宋体" w:asciiTheme="minorEastAsia" w:hAnsiTheme="minorEastAsia" w:eastAsiaTheme="minorEastAsia"/>
                <w:sz w:val="24"/>
              </w:rPr>
            </w:pPr>
          </w:p>
        </w:tc>
        <w:tc>
          <w:tcPr>
            <w:tcW w:w="383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绿化养护中的更新改造费</w:t>
            </w:r>
          </w:p>
        </w:tc>
        <w:tc>
          <w:tcPr>
            <w:tcW w:w="287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绿化养护费的</w:t>
            </w:r>
            <w:r>
              <w:rPr>
                <w:rFonts w:hint="eastAsia" w:cs="宋体" w:asciiTheme="minorEastAsia" w:hAnsiTheme="minorEastAsia" w:eastAsiaTheme="minorEastAsia"/>
                <w:sz w:val="24"/>
              </w:rPr>
              <w:t>1</w:t>
            </w:r>
            <w:r>
              <w:rPr>
                <w:rFonts w:cs="宋体" w:asciiTheme="minorEastAsia" w:hAnsiTheme="minorEastAsia" w:eastAsiaTheme="minorEastAsia"/>
                <w:sz w:val="24"/>
              </w:rPr>
              <w:t>0%</w:t>
            </w:r>
          </w:p>
        </w:tc>
      </w:tr>
    </w:tbl>
    <w:p>
      <w:pPr>
        <w:snapToGrid w:val="0"/>
        <w:spacing w:line="360" w:lineRule="auto"/>
        <w:ind w:firstLine="480" w:firstLineChars="200"/>
        <w:rPr>
          <w:rFonts w:cs="宋体" w:asciiTheme="minorEastAsia" w:hAnsiTheme="minorEastAsia" w:eastAsiaTheme="minorEastAsia"/>
          <w:sz w:val="24"/>
        </w:rPr>
      </w:pP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2.2本养护作业除在招投标文件中列明并经招标单位同意外，乙方一律不得将本项目分包、转包及内部经济承包，一经发现立即取消承包资格，作违约处理，并由乙方承担由此引起的法律责任及一切经济损失。</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2.3本项目招标的养护服务期为</w:t>
      </w:r>
      <w:r>
        <w:rPr>
          <w:rFonts w:hint="eastAsia" w:cs="宋体" w:asciiTheme="minorEastAsia" w:hAnsiTheme="minorEastAsia" w:eastAsiaTheme="minorEastAsia"/>
          <w:sz w:val="24"/>
        </w:rPr>
        <w:t>二年</w:t>
      </w:r>
      <w:r>
        <w:rPr>
          <w:rFonts w:cs="宋体" w:asciiTheme="minorEastAsia" w:hAnsiTheme="minorEastAsia" w:eastAsiaTheme="minorEastAsia"/>
          <w:sz w:val="24"/>
        </w:rPr>
        <w:t>。</w:t>
      </w:r>
    </w:p>
    <w:p>
      <w:pPr>
        <w:snapToGrid w:val="0"/>
        <w:spacing w:line="360" w:lineRule="auto"/>
        <w:rPr>
          <w:rFonts w:asciiTheme="minorEastAsia" w:hAnsiTheme="minorEastAsia" w:eastAsiaTheme="minorEastAsia"/>
          <w:sz w:val="24"/>
        </w:rPr>
      </w:pPr>
      <w:r>
        <w:rPr>
          <w:rFonts w:cs="宋体" w:asciiTheme="minorEastAsia" w:hAnsiTheme="minorEastAsia" w:eastAsiaTheme="minorEastAsia"/>
          <w:sz w:val="24"/>
        </w:rPr>
        <w:t>3.</w:t>
      </w:r>
      <w:r>
        <w:rPr>
          <w:rFonts w:asciiTheme="minorEastAsia" w:hAnsiTheme="minorEastAsia" w:eastAsiaTheme="minorEastAsia"/>
          <w:sz w:val="24"/>
        </w:rPr>
        <w:t>项目技术规范和服务要求</w:t>
      </w:r>
    </w:p>
    <w:p>
      <w:pPr>
        <w:snapToGrid w:val="0"/>
        <w:spacing w:line="360" w:lineRule="auto"/>
        <w:ind w:firstLine="480" w:firstLineChars="200"/>
        <w:rPr>
          <w:rFonts w:cs="宋体" w:asciiTheme="minorEastAsia" w:hAnsiTheme="minorEastAsia" w:eastAsiaTheme="minorEastAsia"/>
          <w:color w:val="FF0000"/>
          <w:sz w:val="24"/>
        </w:rPr>
      </w:pPr>
      <w:r>
        <w:rPr>
          <w:rFonts w:cs="宋体" w:asciiTheme="minorEastAsia" w:hAnsiTheme="minorEastAsia" w:eastAsiaTheme="minorEastAsia"/>
          <w:color w:val="FF0000"/>
          <w:sz w:val="24"/>
        </w:rPr>
        <w:t>参考《余杭区城市化管理范围内绿化、市政、保洁分级分类办法及相关养护标准的实施意见（试行）》（余政办〔2010〕250号）、《余杭区城市管理范围内市政、绿化、保洁、保序分级分类及考核办法》（余城组〔2018〕1号）文件及《</w:t>
      </w:r>
      <w:r>
        <w:rPr>
          <w:rFonts w:hint="eastAsia" w:cs="宋体" w:asciiTheme="minorEastAsia" w:hAnsiTheme="minorEastAsia" w:eastAsiaTheme="minorEastAsia"/>
          <w:color w:val="FF0000"/>
          <w:sz w:val="24"/>
        </w:rPr>
        <w:t>乔司街道公共绿地管理考核评分细则</w:t>
      </w:r>
      <w:r>
        <w:rPr>
          <w:rFonts w:cs="宋体" w:asciiTheme="minorEastAsia" w:hAnsiTheme="minorEastAsia" w:eastAsiaTheme="minorEastAsia"/>
          <w:color w:val="FF0000"/>
          <w:sz w:val="24"/>
        </w:rPr>
        <w:t>》执行。</w:t>
      </w:r>
    </w:p>
    <w:p>
      <w:pPr>
        <w:snapToGrid w:val="0"/>
        <w:spacing w:line="360" w:lineRule="auto"/>
        <w:ind w:firstLine="470" w:firstLineChars="196"/>
        <w:jc w:val="left"/>
        <w:rPr>
          <w:rFonts w:asciiTheme="minorEastAsia" w:hAnsiTheme="minorEastAsia" w:eastAsiaTheme="minorEastAsia"/>
          <w:sz w:val="24"/>
        </w:rPr>
      </w:pPr>
      <w:r>
        <w:rPr>
          <w:rFonts w:hint="eastAsia" w:asciiTheme="minorEastAsia" w:hAnsiTheme="minorEastAsia" w:eastAsiaTheme="minorEastAsia"/>
          <w:sz w:val="24"/>
        </w:rPr>
        <w:t>3.1养护标准</w:t>
      </w:r>
    </w:p>
    <w:p>
      <w:pPr>
        <w:snapToGrid w:val="0"/>
        <w:spacing w:line="360" w:lineRule="auto"/>
        <w:ind w:firstLine="470" w:firstLineChars="196"/>
        <w:jc w:val="left"/>
        <w:rPr>
          <w:rFonts w:asciiTheme="minorEastAsia" w:hAnsiTheme="minorEastAsia" w:eastAsiaTheme="minorEastAsia"/>
          <w:sz w:val="24"/>
        </w:rPr>
      </w:pPr>
      <w:r>
        <w:rPr>
          <w:rFonts w:hint="eastAsia" w:asciiTheme="minorEastAsia" w:hAnsiTheme="minorEastAsia" w:eastAsiaTheme="minorEastAsia"/>
          <w:sz w:val="24"/>
        </w:rPr>
        <w:t>一级绿地养护标准：①植物长势旺盛、树形完美，植株保存率100%，体现景观特色；徒长枝不超过20 cm；色块无窜条（高度大于15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pPr>
        <w:snapToGrid w:val="0"/>
        <w:spacing w:line="360" w:lineRule="auto"/>
        <w:ind w:firstLine="470" w:firstLineChars="196"/>
        <w:jc w:val="left"/>
        <w:rPr>
          <w:rFonts w:asciiTheme="minorEastAsia" w:hAnsiTheme="minorEastAsia" w:eastAsiaTheme="minorEastAsia"/>
          <w:sz w:val="24"/>
        </w:rPr>
      </w:pPr>
      <w:r>
        <w:rPr>
          <w:rFonts w:hint="eastAsia" w:asciiTheme="minorEastAsia" w:hAnsiTheme="minorEastAsia" w:eastAsiaTheme="minorEastAsia"/>
          <w:sz w:val="24"/>
        </w:rPr>
        <w:t>二级绿地养护标准：①植物生长势好，树形良好，黄叶、焦叶、卷叶的株数在2%以下，植株保存率100%，体现植物造景；徒长枝不超过20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pPr>
        <w:snapToGrid w:val="0"/>
        <w:spacing w:line="360" w:lineRule="auto"/>
        <w:ind w:firstLine="470" w:firstLineChars="196"/>
        <w:jc w:val="left"/>
        <w:rPr>
          <w:rFonts w:asciiTheme="minorEastAsia" w:hAnsiTheme="minorEastAsia" w:eastAsiaTheme="minorEastAsia"/>
          <w:sz w:val="24"/>
        </w:rPr>
      </w:pPr>
      <w:r>
        <w:rPr>
          <w:rFonts w:hint="eastAsia" w:asciiTheme="minorEastAsia" w:hAnsiTheme="minorEastAsia" w:eastAsiaTheme="minorEastAsia"/>
          <w:sz w:val="24"/>
        </w:rPr>
        <w:t>三级绿地养护标准：①植物生长势一般，黄叶、焦叶、卷叶的株数在10%以下，植株保存率不得少于98%；徒长枝不超过30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pPr>
        <w:snapToGrid w:val="0"/>
        <w:spacing w:line="360" w:lineRule="auto"/>
        <w:ind w:firstLine="470" w:firstLineChars="196"/>
        <w:jc w:val="left"/>
        <w:rPr>
          <w:rFonts w:asciiTheme="minorEastAsia" w:hAnsiTheme="minorEastAsia" w:eastAsiaTheme="minorEastAsia"/>
          <w:sz w:val="24"/>
        </w:rPr>
      </w:pPr>
      <w:r>
        <w:rPr>
          <w:rFonts w:hint="eastAsia" w:asciiTheme="minorEastAsia" w:hAnsiTheme="minorEastAsia" w:eastAsiaTheme="minorEastAsia"/>
          <w:sz w:val="24"/>
        </w:rPr>
        <w:t>其他绿地养护标准：①植物生长势一般，黄叶、焦叶、卷叶的株数在15%以下，植株保存率不得少于95%；徒长枝不超过30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吸性害虫危害的叶片每株（㎡）发生率不超过30%，蛀干性害虫危害的株（㎡）数在10%以下。④绿化设施修缮两年不得少于一次。⑤绿地垃圾2小时内清理完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2</w:t>
      </w:r>
      <w:r>
        <w:rPr>
          <w:rFonts w:asciiTheme="minorEastAsia" w:hAnsiTheme="minorEastAsia" w:eastAsiaTheme="minorEastAsia"/>
          <w:sz w:val="24"/>
        </w:rPr>
        <w:t>绿地养护质量要求</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乔灌木的修剪按相关规定进行操作，城市化等级绿地内的乔木一年修剪不少于四次，具体要求在台风季节前和冬春季进行疏枝修剪。香樟等乔木或大型花灌木冬季必须刷白，及时防治病虫害；发现枯枝、死枝必须24小时内处理完毕；对花灌木应随时修剪，球形灌木应常年保持形态完整，色块灌木应控制高度及宽度，色块之间界限分明、线条清晰流畅，无缺株、无空洞。对枯死的树木应连同根部在24小时内挖除，并在2天内补种完毕，补种苗木的规格、品种和原苗木基本相同，特殊情况无法补种原规格苗木，需经甲方同意，补种前必须对土壤进行杀菌消毒处理。</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2、绿地内各类地被植物覆盖完好（包括桥荫柱的垂直植物），覆盖率达到100%以上，植株缺损必须在二天内补种，补种苗木的品种和原苗木相同。地被植物与乔、灌木的界线清晰，线条流畅。</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3、暖季型草修剪一年不少于6次，冷季型草修剪一年不少于10次。草坪草高度不超过8cm（常绿草高度不超过6cm），树木周围和草坪边缘应及时切边。常绿草四季应保持绿色，草坪的纯洁度在98%以上，无空秃、黄化现象。对被人为损坏和已发生病害的常绿草坪两天内切除调换，补种时确保草坪的美观和平整。摸清草坪地板结情况，及时对草坪地进行打孔处理，每年不少于一次。</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4、植保员应每天检查绿地病虫害发生情况，发现病虫害应在2天内治理完毕，并做好病虫害防治工作台帐。要求园林植物常年无明显病虫害。</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5、绿地保洁时间与相应道路的保洁时间相配套；白色污染物滞留绿地时间不超过半小时。</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6、及时清理绿地内建筑废弃物；或在接到通知后24小时内清理完毕并及时外运。</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7、绿地树木修剪、滚草、枯死枝的清理等绿地的垃圾当日清运完毕。</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8、土壤疏松，无积水，根据植物生长特性及时施肥，充分利用有机肥，也可施复合肥，增强土壤肥力，改善土壤理化性状。所有植物一年不少于两次施肥，肥料为复合肥或饼肥，施肥时间应定于游人稀少的时间段，并通知甲方，以甲方验收为准。</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9、维护好绿地内的园林建筑和设施，无锈迹及油漆剥落现象，每年至少油漆一次，设施破损一般在五天内维修完毕。</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10、小微水体无漂浮垃圾、树枝、树叶等漂浮物。</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11、绿地内基本无杂草。</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3.2乔木林绿化养护质量要求：</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乔木或大型花灌木冬季必须刷白，及时防治病虫害；发现枯枝、死枝必须24小时内处理完毕；对枯死的树木应连同根部在24小时内挖除，并在2天内补种完毕（补植苗木由乙方提供，人工、机械及其他费用，已在合同价内，不再另行支付）；倒伏、歪斜树木须在2天内扶正。</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2、植保员应每天检查绿地病虫害发生情况，发现病虫害应在2天内治理完毕，并做好病虫害防治工作台帐。要求植物常年无明显病虫害。</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5、绿地保洁时间与相应道路的保洁时间相配套；白色污染物滞留绿地时间不超过半小时。</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6、及时清理绿地内建筑废弃物；或在接到通知后24小时内清理完毕并及时外运。</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7、绿地树木修剪、滚草、枯死枝的清理等绿地的垃圾当日清运完毕。</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8、土壤疏松，无积水。</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9、小微水体无漂浮垃圾、树枝、树叶等漂浮物。</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10、乔木林内宜行走，杂草高度不得超过5公分；无大型、缠绕性、攀缘型杂草。</w:t>
      </w:r>
    </w:p>
    <w:p>
      <w:pPr>
        <w:snapToGrid w:val="0"/>
        <w:spacing w:line="360" w:lineRule="auto"/>
        <w:ind w:firstLine="470" w:firstLineChars="196"/>
        <w:rPr>
          <w:rFonts w:cs="宋体" w:asciiTheme="minorEastAsia" w:hAnsiTheme="minorEastAsia" w:eastAsiaTheme="minorEastAsia"/>
          <w:sz w:val="24"/>
        </w:rPr>
      </w:pPr>
      <w:r>
        <w:rPr>
          <w:rFonts w:cs="宋体" w:asciiTheme="minorEastAsia" w:hAnsiTheme="minorEastAsia" w:eastAsiaTheme="minorEastAsia"/>
          <w:sz w:val="24"/>
        </w:rPr>
        <w:t>3.3养护管理其他要求：</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投标方在养护作业中投入的机械设备、人员配置等必须与投标文件中所承诺的数量规格相符合。加强日常作业质量管理，做好作业质量自查日记，建立养护管理工作台帐，做好养护工作日报、月报、年报，健全养护档案制度。按要求每月25日前将苗木生长情况及下个月日常养护计划，人员安排计划上报采购人。对日常绿化养护管理形成日志，并由专人记录。合同结束后最近一期资金支付前养护日志移交采购人，养护日志由招标人每半年检查一次。</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规范管理、文明作业、自觉接受采购人及其上级各部门领导的检查和社会监督，对出现的问题要及时整改。及时处理市长热线、舆情信息、12328等热线的反映的问题。接到作业地块投诉电话和新闻舆论批评，应在24小时内处理完毕和信息反馈。</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3、作业时应严格遵守交通规则、遵守安全操作规程，作业时设置警示牌、安全警示锥等安全措施，作业人员上路作业时须统一穿戴安全反光背心。加强日常安全生产管理，确保职工人身安全。如遇各种意外事故发生由中标单位自行负责，并依照法律法规妥善处理（事故情况应及时书面告知采购人）。</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建立日常巡查制度，巡查人员对所管辖的绿地每天巡查一次，发现问题及时整改。对进入绿地践踏树木和损坏花木现象应及时予以制止，遇到严重的破坏绿化行为应及时上报甲方及执法部门。因养护企业巡查不力，遇到因人为或其它因素造成的苗木损坏，必须无条件在2天内补种完毕，包括因重大活动造成的损坏，无条件按甲方要求完成补种，否则扣除相应花木价值2－3倍的养护经费。未经采购人同意，中标单位不得擅自挖掘毁坏苗木，一经发现，责令整改，通报批评，情节严重的，终止合同。</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6、加强绿化养护应急响应管理工作，具体要求参照《杭州市城区绿化防台树木支撑工作方案》。</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①</w:t>
      </w:r>
      <w:r>
        <w:rPr>
          <w:rFonts w:cs="宋体" w:asciiTheme="minorEastAsia" w:hAnsiTheme="minorEastAsia" w:eastAsiaTheme="minorEastAsia"/>
          <w:sz w:val="24"/>
        </w:rPr>
        <w:t>制定灾害性天气应急预案，建立应急救灾队伍，将应急预案和人员名单上报采购人备案。</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②</w:t>
      </w:r>
      <w:r>
        <w:rPr>
          <w:rFonts w:cs="宋体" w:asciiTheme="minorEastAsia" w:hAnsiTheme="minorEastAsia" w:eastAsiaTheme="minorEastAsia"/>
          <w:sz w:val="24"/>
        </w:rPr>
        <w:t>建立应急备货制，备货的内容有：抗旱、抗涝、抗台、抗寒、抗雪等物资（快速支撑、钢管、毛竹、水泵、遮阴网、草包等），快速支撑钢管只能做为一部分应急物资储备，不是唯一的抗台应急物资。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③</w:t>
      </w:r>
      <w:r>
        <w:rPr>
          <w:rFonts w:cs="宋体" w:asciiTheme="minorEastAsia" w:hAnsiTheme="minorEastAsia" w:eastAsiaTheme="minorEastAsia"/>
          <w:sz w:val="24"/>
        </w:rPr>
        <w:t xml:space="preserve">遇灾害性天气，听从采购人统一指挥，及时组织人员夏季抗旱、抗台，冬季遇积雪必须及时组织人员进行抗雪。遇到树木斜倒时，根据采购人要求，做好清障扶正工作。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④</w:t>
      </w:r>
      <w:r>
        <w:rPr>
          <w:rFonts w:cs="宋体" w:asciiTheme="minorEastAsia" w:hAnsiTheme="minorEastAsia" w:eastAsiaTheme="minorEastAsia"/>
          <w:sz w:val="24"/>
        </w:rPr>
        <w:t>做好防台树木支撑工作，在市气象台发出台风预警信号以后，立即做好树木支撑工作。</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7、中标单位根据采购人通知要求，做好各类“迎检”和“创建”准备工作。</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8、经相关部门批准的绿地内挖掘及占用绿地，中标单位应予以积极配合，对于超范围施工情况应当及时予以制止并报采购人及执法部门，复种后的绿地应由中标单位负责正常养护。</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9、产生的各种的垃圾必须进入垃圾中转站或自有的垃圾处理场地，其处理产生费用由中标单位负责。</w:t>
      </w:r>
    </w:p>
    <w:p>
      <w:pPr>
        <w:snapToGrid w:val="0"/>
        <w:spacing w:line="360" w:lineRule="auto"/>
        <w:rPr>
          <w:rFonts w:asciiTheme="minorEastAsia" w:hAnsiTheme="minorEastAsia" w:eastAsiaTheme="minorEastAsia" w:cstheme="majorEastAsia"/>
        </w:rPr>
      </w:pPr>
      <w:r>
        <w:rPr>
          <w:rFonts w:hint="eastAsia" w:cs="宋体" w:asciiTheme="minorEastAsia" w:hAnsiTheme="minorEastAsia" w:eastAsiaTheme="minorEastAsia"/>
          <w:sz w:val="24"/>
        </w:rPr>
        <w:t>3.4时花花坛的养护标准：</w:t>
      </w:r>
    </w:p>
    <w:p>
      <w:pPr>
        <w:snapToGrid w:val="0"/>
        <w:spacing w:line="360" w:lineRule="auto"/>
        <w:ind w:firstLine="480" w:firstLineChars="200"/>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（1）布置效果：按设计精心养护，有全年用花计划，做到四季有花，花期整齐，图案美观，布置效果良好。</w:t>
      </w:r>
    </w:p>
    <w:p>
      <w:pPr>
        <w:snapToGrid w:val="0"/>
        <w:spacing w:line="360" w:lineRule="auto"/>
        <w:ind w:firstLine="480" w:firstLineChars="200"/>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（2）花卉生长：花卉植株生长健壮，花色艳丽，始花期方可上花坛种植，株行距适宜，不露底土。无缺株倒伏，无枯枝残花，无杂草垃圾。</w:t>
      </w:r>
    </w:p>
    <w:p>
      <w:pPr>
        <w:snapToGrid w:val="0"/>
        <w:spacing w:line="360" w:lineRule="auto"/>
        <w:ind w:firstLine="480" w:firstLineChars="200"/>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参照《杭州市城区花坛、花境养护管理规定（试行）》，加强对花卉的养护管理。</w:t>
      </w:r>
    </w:p>
    <w:p>
      <w:pPr>
        <w:snapToGrid w:val="0"/>
        <w:spacing w:line="360" w:lineRule="auto"/>
        <w:ind w:firstLine="480" w:firstLineChars="200"/>
        <w:jc w:val="left"/>
        <w:rPr>
          <w:rFonts w:cs="宋体" w:asciiTheme="minorEastAsia" w:hAnsiTheme="minorEastAsia" w:eastAsiaTheme="minorEastAsia"/>
          <w:sz w:val="24"/>
        </w:rPr>
      </w:pPr>
      <w:r>
        <w:rPr>
          <w:rFonts w:hint="eastAsia" w:asciiTheme="minorEastAsia" w:hAnsiTheme="minorEastAsia" w:eastAsiaTheme="minorEastAsia" w:cstheme="majorEastAsia"/>
          <w:sz w:val="24"/>
        </w:rPr>
        <w:t xml:space="preserve">本项目要求时花更换全年至少为4次，在每一次更换时必须要将时花品种、数量（时花种植每平方不得少于49株、中盆）方案事先向招标方报备，由招标方确定种植方案，否则将作无更换时花处理，种后由招标方现场验收签字确定。 </w:t>
      </w:r>
    </w:p>
    <w:p>
      <w:pPr>
        <w:pStyle w:val="64"/>
        <w:ind w:firstLine="420"/>
        <w:rPr>
          <w:rFonts w:asciiTheme="minorEastAsia" w:hAnsiTheme="minorEastAsia" w:eastAsiaTheme="minorEastAsia"/>
        </w:rPr>
      </w:pP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10</w:t>
      </w:r>
      <w:r>
        <w:rPr>
          <w:rFonts w:cs="宋体" w:asciiTheme="minorEastAsia" w:hAnsiTheme="minorEastAsia" w:eastAsiaTheme="minorEastAsia"/>
          <w:sz w:val="24"/>
        </w:rPr>
        <w:t>.本项目实施考核办法</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通过日常检查、专项考核、定期检查、杭州市“双最”考核、年度考核等方式对招标绿地进行养护质量考核及奖惩（以下所涉及到的扣除养护费为日常绿化养护费）。</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1）日常检查是指采购人不定期对城区绿地养护质量情况进行的监督和抽查，同时接受其他政府机构、社会团体、市民群众的监督检查。对管养绿地中发现养护中存在的问题，采购人以《公共绿地养护问题抄告单》、《工作联系单》、新闻媒体、信访件、数字城管等形式向养护企业发出整改，并要求养护企业在规定的时间内完成整改和反馈工作。对市查、区查抄告问题在规定时间不落实整改的，采购人有权扣除一定的养护费进行处罚；对社会影响恶劣、造成重大养护责任事故的，采购人有权单方面终止合同。</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①市级以上抄告单处罚：市查（杭州市采购人、杭州市政府以上创建部门、杭州市以上新闻媒体部门等）抄告单，经核实为养护问题及责任的，按照扣除养护款1000元/件，逾期未整改的按照3000元/件扣款；杭州市绿化网和信访部门中所发反映的养护问题，养护企业首先要及时整改，对养护问题逾期未整改的按照1000元/件扣款；上述同一问题抄告3次以上不整改的，扣除当季度10-30%日常绿化养护费，影响严重的，终止养护合同。</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②区查问题抄告单处罚：区级（区绿化管理部门、区级政府创建部门、区新闻媒体等）抄告问题，经核实为养护问题及责任的，按照扣除养护款500元/件，逾期未整改的按照2000元/件扣款；采购人、数字城管和信访部门中所发反映的养护问题，养护企业首先要及时整改，对养护问题逾期未整改的按照500元/件扣款；上述同一问题抄告3次以上不整改的，扣除当季度5-20%日常绿化养护费，影响严重的，终止养护合同。</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2）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①本绿化标段的养护工人作业没有按照要求配备，采购人有权要求限期整改，逾期未整改的，经巡查发现，绿化养护工人当季作业平均在岗率达不到50%的，采购人应扣除养护企业当季30%日常绿化养护费；养护人员作业平均抽查率在达不到60-80%的，采购人应扣除养护企业当季5-10%日常绿化养护费。养护企业不守承诺、无意不发工人工资、无意克扣工人工资、福利的，造成工人集体上访，影响较坏的，采购人应扣除养护企业当季10-30%日常绿化养护费；不整改、不反省、影响极坏的，终止合同。</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②绿化施肥每年不少于2次，每次用腐熟豆饼或复合肥0.5kg／㎡，检查发现，施肥率（施肥率=实际施肥量÷核实施肥量）达不到要求的，并逾期未整改的，施肥率达不到50%的，采购人应扣除养护企业当季10%日常绿化养护费；施肥率达不到60-80%的，采购人应扣除养护企业当季2-5%日常绿化养护费。</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③绿化病虫害防治要求综合防治，以防为主。病虫害危害应控制在以不影响观赏效果的范围之内，其中食叶性害虫危害的叶片，每株不超过5%；刺吸性害虫危害的叶片，每株不超过10%；无蛀干性害虫的活虫、活卵。检查病虫害发生率达非常严重的（食叶性害虫危害的叶片，每株超过20%；刺吸性害虫危害的叶片，每株超过40%），扣除当季15%日常绿化养护费；检查病虫害发生率达较为严重的（食叶性害虫危害的叶片，每株超过15%；刺吸性害虫危害的叶片，每株超过30%），扣除当季5%日常绿化养护费；检查病虫害发生率达严重的（食叶性害虫危害的叶片，每株超过5%；刺吸性害虫危害的叶片，每株超过10%），扣除当季2%日常绿化养护费。</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日常绿化养护费，并要求立即补植整改。</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⑤应急响应（抗旱、防汛、抗台、抗寒、抗雪、其他养护应急任务等）不到位，通报批评的，采购人应扣除养护企业当季5-20%日常绿化养护费，并定为为不合格企业。</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3）定期检查是指每季度由采购人负责人牵头，会同其他相关部门人员参加，对城区招标绿地进行养护质量定期检查。定期检查中问题按照《杭州市临平区园林绿化养护管理考核评分细则》进行评分。城区绿地养护质量检查通报每季开展一次，并由采购人予以点评考核及付款情况。</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季度检查考核（百分制）得分在95分（含）以上的标段为优秀单位，95-93分（含）为良好（优胜）单位，93-90分（含）为达标（合格）单位，90分以下和应急响应中通报批评的为不合格单位。</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4.年度考核主要依据定期考核成绩进行汇总，并对各城区绿地养护质量进行综合评定。年度考评结果由区城管局予以公布。</w:t>
      </w:r>
    </w:p>
    <w:p>
      <w:pPr>
        <w:snapToGrid w:val="0"/>
        <w:spacing w:line="360" w:lineRule="auto"/>
        <w:ind w:firstLine="470" w:firstLineChars="196"/>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年度考核成绩通报：招标绿地养护管理检查考核年度（四个季度）平均得分在95分（含）以上的标段为优秀单位，95-93分（含）为良好（优胜）单位，93-90分（含）为达标（合格）单位，90分以下和应急响应中通报批评的为不合格单位。</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11</w:t>
      </w:r>
      <w:r>
        <w:rPr>
          <w:rFonts w:asciiTheme="minorEastAsia" w:hAnsiTheme="minorEastAsia" w:eastAsiaTheme="minorEastAsia"/>
          <w:sz w:val="24"/>
        </w:rPr>
        <w:t>.授予合同</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w:t>
      </w:r>
      <w:r>
        <w:rPr>
          <w:rFonts w:cs="宋体" w:asciiTheme="minorEastAsia" w:hAnsiTheme="minorEastAsia" w:eastAsiaTheme="minorEastAsia"/>
          <w:sz w:val="24"/>
        </w:rPr>
        <w:t>.1中标单位应在接到中标通知书7天内按照招标文件和中标人的投标文件签订服务承包合同（进场作业时间由招标单位确定后通知中标单位），并提交中标价</w:t>
      </w:r>
      <w:r>
        <w:rPr>
          <w:rFonts w:hint="eastAsia" w:cs="宋体" w:asciiTheme="minorEastAsia" w:hAnsiTheme="minorEastAsia" w:eastAsiaTheme="minorEastAsia"/>
          <w:sz w:val="24"/>
        </w:rPr>
        <w:t>2.5</w:t>
      </w:r>
      <w:r>
        <w:rPr>
          <w:rFonts w:cs="宋体" w:asciiTheme="minorEastAsia" w:hAnsiTheme="minorEastAsia" w:eastAsiaTheme="minorEastAsia"/>
          <w:sz w:val="24"/>
        </w:rPr>
        <w:t>%的履约保证金，若中标人借故拖延或拒签合同或对标函方案和标价计算作出随意更改的，即取消中标资格，没收投标保证金，并另选中标人，并按标价的</w:t>
      </w:r>
      <w:r>
        <w:rPr>
          <w:rFonts w:hint="eastAsia" w:cs="宋体" w:asciiTheme="minorEastAsia" w:hAnsiTheme="minorEastAsia" w:eastAsiaTheme="minorEastAsia"/>
          <w:sz w:val="24"/>
        </w:rPr>
        <w:t>2.5</w:t>
      </w:r>
      <w:r>
        <w:rPr>
          <w:rFonts w:cs="宋体" w:asciiTheme="minorEastAsia" w:hAnsiTheme="minorEastAsia" w:eastAsiaTheme="minorEastAsia"/>
          <w:sz w:val="24"/>
        </w:rPr>
        <w:t>%补偿招标单位的经济损失。</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w:t>
      </w:r>
      <w:r>
        <w:rPr>
          <w:rFonts w:cs="宋体" w:asciiTheme="minorEastAsia" w:hAnsiTheme="minorEastAsia" w:eastAsiaTheme="minorEastAsia"/>
          <w:sz w:val="24"/>
        </w:rPr>
        <w:t>.2定标后，招标人借故拖延合同或改变中标单位的，依据有关法律、法规的规定执行。</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w:t>
      </w:r>
      <w:r>
        <w:rPr>
          <w:rFonts w:cs="宋体" w:asciiTheme="minorEastAsia" w:hAnsiTheme="minorEastAsia" w:eastAsiaTheme="minorEastAsia"/>
          <w:sz w:val="24"/>
        </w:rPr>
        <w:t>.3招标文件中的服务期即为合同服务期。</w:t>
      </w:r>
    </w:p>
    <w:p>
      <w:pPr>
        <w:snapToGrid w:val="0"/>
        <w:spacing w:line="360" w:lineRule="auto"/>
        <w:ind w:firstLine="480" w:firstLineChars="200"/>
        <w:jc w:val="left"/>
        <w:rPr>
          <w:rFonts w:cs="宋体" w:asciiTheme="minorEastAsia" w:hAnsiTheme="minorEastAsia" w:eastAsiaTheme="minorEastAsia"/>
          <w:color w:val="FF0000"/>
          <w:sz w:val="24"/>
        </w:rPr>
      </w:pPr>
      <w:r>
        <w:rPr>
          <w:rFonts w:hint="eastAsia" w:cs="宋体" w:asciiTheme="minorEastAsia" w:hAnsiTheme="minorEastAsia" w:eastAsiaTheme="minorEastAsia"/>
          <w:color w:val="FF0000"/>
          <w:sz w:val="24"/>
        </w:rPr>
        <w:t>11</w:t>
      </w:r>
      <w:r>
        <w:rPr>
          <w:rFonts w:cs="宋体" w:asciiTheme="minorEastAsia" w:hAnsiTheme="minorEastAsia" w:eastAsiaTheme="minorEastAsia"/>
          <w:color w:val="FF0000"/>
          <w:sz w:val="24"/>
        </w:rPr>
        <w:t>.4中标单位须按招标人的招标文件、规定、养护标准认真履行合同，甲方根据招标文件、</w:t>
      </w:r>
      <w:r>
        <w:rPr>
          <w:rFonts w:hint="eastAsia" w:cs="宋体" w:asciiTheme="minorEastAsia" w:hAnsiTheme="minorEastAsia" w:eastAsiaTheme="minorEastAsia"/>
          <w:color w:val="FF0000"/>
          <w:sz w:val="24"/>
        </w:rPr>
        <w:t>参考</w:t>
      </w:r>
      <w:r>
        <w:rPr>
          <w:rFonts w:cs="宋体" w:asciiTheme="minorEastAsia" w:hAnsiTheme="minorEastAsia" w:eastAsiaTheme="minorEastAsia"/>
          <w:color w:val="FF0000"/>
          <w:sz w:val="24"/>
        </w:rPr>
        <w:t>《余杭区城市化管理范围内绿化、市政、保洁分级分类办法及相关养护标准的实施意见（试行）》（余政办〔2010〕250号）、</w:t>
      </w:r>
      <w:r>
        <w:rPr>
          <w:rFonts w:hint="eastAsia" w:cs="宋体" w:asciiTheme="minorEastAsia" w:hAnsiTheme="minorEastAsia" w:eastAsiaTheme="minorEastAsia"/>
          <w:color w:val="FF0000"/>
          <w:sz w:val="24"/>
        </w:rPr>
        <w:t>《杭州市临平区园林绿化养护管理考核评分细则》</w:t>
      </w:r>
      <w:r>
        <w:rPr>
          <w:rFonts w:cs="宋体" w:asciiTheme="minorEastAsia" w:hAnsiTheme="minorEastAsia" w:eastAsiaTheme="minorEastAsia"/>
          <w:color w:val="FF0000"/>
          <w:sz w:val="24"/>
        </w:rPr>
        <w:t>、</w:t>
      </w:r>
      <w:r>
        <w:rPr>
          <w:rFonts w:hint="eastAsia" w:cs="宋体" w:asciiTheme="minorEastAsia" w:hAnsiTheme="minorEastAsia" w:eastAsiaTheme="minorEastAsia"/>
          <w:color w:val="FF0000"/>
          <w:sz w:val="24"/>
        </w:rPr>
        <w:t>乔司街道公共绿地管理考核评分细则</w:t>
      </w:r>
      <w:r>
        <w:rPr>
          <w:rFonts w:cs="宋体" w:asciiTheme="minorEastAsia" w:hAnsiTheme="minorEastAsia" w:eastAsiaTheme="minorEastAsia"/>
          <w:color w:val="FF0000"/>
          <w:sz w:val="24"/>
        </w:rPr>
        <w:t>及其它有关规定、技术标准执行，核定是否拨付经费。</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12</w:t>
      </w:r>
      <w:r>
        <w:rPr>
          <w:rFonts w:cs="宋体" w:asciiTheme="minorEastAsia" w:hAnsiTheme="minorEastAsia" w:eastAsiaTheme="minorEastAsia"/>
          <w:sz w:val="24"/>
        </w:rPr>
        <w:t>、履约保证金</w:t>
      </w:r>
    </w:p>
    <w:p>
      <w:pPr>
        <w:snapToGrid w:val="0"/>
        <w:spacing w:line="360" w:lineRule="auto"/>
        <w:ind w:firstLine="480" w:firstLineChars="200"/>
        <w:rPr>
          <w:rFonts w:cs="宋体" w:asciiTheme="minorEastAsia" w:hAnsiTheme="minorEastAsia" w:eastAsiaTheme="minorEastAsia"/>
          <w:color w:val="FF0000"/>
          <w:sz w:val="24"/>
        </w:rPr>
      </w:pPr>
      <w:r>
        <w:rPr>
          <w:rFonts w:hint="eastAsia" w:cs="宋体" w:asciiTheme="minorEastAsia" w:hAnsiTheme="minorEastAsia" w:eastAsiaTheme="minorEastAsia"/>
          <w:color w:val="FF0000"/>
          <w:sz w:val="24"/>
        </w:rPr>
        <w:t>12</w:t>
      </w:r>
      <w:r>
        <w:rPr>
          <w:rFonts w:cs="宋体" w:asciiTheme="minorEastAsia" w:hAnsiTheme="minorEastAsia" w:eastAsiaTheme="minorEastAsia"/>
          <w:color w:val="FF0000"/>
          <w:sz w:val="24"/>
        </w:rPr>
        <w:t>.1中标人在签订作业合同时需向招标人提交合同价金额</w:t>
      </w:r>
      <w:r>
        <w:rPr>
          <w:rFonts w:hint="eastAsia" w:cs="宋体" w:asciiTheme="minorEastAsia" w:hAnsiTheme="minorEastAsia" w:eastAsiaTheme="minorEastAsia"/>
          <w:color w:val="FF0000"/>
          <w:sz w:val="24"/>
        </w:rPr>
        <w:t>1</w:t>
      </w:r>
      <w:r>
        <w:rPr>
          <w:rFonts w:cs="宋体" w:asciiTheme="minorEastAsia" w:hAnsiTheme="minorEastAsia" w:eastAsiaTheme="minorEastAsia"/>
          <w:color w:val="FF0000"/>
          <w:sz w:val="24"/>
        </w:rPr>
        <w:t>％的合同履约保证金</w:t>
      </w:r>
      <w:r>
        <w:rPr>
          <w:rFonts w:hint="eastAsia" w:cs="宋体" w:asciiTheme="minorEastAsia" w:hAnsiTheme="minorEastAsia" w:eastAsiaTheme="minorEastAsia"/>
          <w:color w:val="FF0000"/>
          <w:sz w:val="24"/>
        </w:rPr>
        <w:t>或银行、担保机构履约保函</w:t>
      </w:r>
      <w:r>
        <w:rPr>
          <w:rFonts w:cs="宋体" w:asciiTheme="minorEastAsia" w:hAnsiTheme="minorEastAsia" w:eastAsiaTheme="minorEastAsia"/>
          <w:color w:val="FF0000"/>
          <w:sz w:val="24"/>
        </w:rPr>
        <w:t>；在承包期满后三十天内退还（无息）。如承包期内，中标人没按要求履行合同则保证金不予归还。</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w:t>
      </w:r>
      <w:r>
        <w:rPr>
          <w:rFonts w:cs="宋体" w:asciiTheme="minorEastAsia" w:hAnsiTheme="minorEastAsia" w:eastAsiaTheme="minorEastAsia"/>
          <w:sz w:val="24"/>
        </w:rPr>
        <w:t>.2在承包期内如因承包人原因造成招标人财产损失的，招标人有权酌情扣去履约保证金。</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13</w:t>
      </w:r>
      <w:r>
        <w:rPr>
          <w:rFonts w:cs="宋体" w:asciiTheme="minorEastAsia" w:hAnsiTheme="minorEastAsia" w:eastAsiaTheme="minorEastAsia"/>
          <w:sz w:val="24"/>
        </w:rPr>
        <w:t>、合同款的支付</w:t>
      </w:r>
    </w:p>
    <w:p>
      <w:pPr>
        <w:snapToGrid w:val="0"/>
        <w:spacing w:line="360" w:lineRule="auto"/>
        <w:ind w:firstLine="480" w:firstLineChars="200"/>
        <w:jc w:val="left"/>
        <w:rPr>
          <w:rFonts w:cs="宋体" w:asciiTheme="minorEastAsia" w:hAnsiTheme="minorEastAsia" w:eastAsiaTheme="minorEastAsia"/>
          <w:color w:val="FF0000"/>
          <w:sz w:val="24"/>
        </w:rPr>
      </w:pPr>
      <w:r>
        <w:rPr>
          <w:rFonts w:hint="eastAsia" w:cs="宋体" w:asciiTheme="minorEastAsia" w:hAnsiTheme="minorEastAsia" w:eastAsiaTheme="minorEastAsia"/>
          <w:color w:val="FF0000"/>
          <w:sz w:val="24"/>
        </w:rPr>
        <w:t>13</w:t>
      </w:r>
      <w:r>
        <w:rPr>
          <w:rFonts w:cs="宋体" w:asciiTheme="minorEastAsia" w:hAnsiTheme="minorEastAsia" w:eastAsiaTheme="minorEastAsia"/>
          <w:color w:val="FF0000"/>
          <w:sz w:val="24"/>
        </w:rPr>
        <w:t>.1进度款支付：一般每三个月（季度）支付一次养护费用。招标人根据</w:t>
      </w:r>
      <w:r>
        <w:rPr>
          <w:rFonts w:hint="eastAsia" w:cs="宋体" w:asciiTheme="minorEastAsia" w:hAnsiTheme="minorEastAsia" w:eastAsiaTheme="minorEastAsia"/>
          <w:color w:val="FF0000"/>
          <w:sz w:val="24"/>
        </w:rPr>
        <w:t>乔司街道公共绿地管理考核评分细则</w:t>
      </w:r>
      <w:r>
        <w:rPr>
          <w:rFonts w:cs="宋体" w:asciiTheme="minorEastAsia" w:hAnsiTheme="minorEastAsia" w:eastAsiaTheme="minorEastAsia"/>
          <w:color w:val="FF0000"/>
          <w:sz w:val="24"/>
        </w:rPr>
        <w:t>等考核文件对承包人的养护管理项目进行考核，并根据每季度考核结果支付相应养护费用。</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w:t>
      </w:r>
      <w:r>
        <w:rPr>
          <w:rFonts w:cs="宋体" w:asciiTheme="minorEastAsia" w:hAnsiTheme="minorEastAsia" w:eastAsiaTheme="minorEastAsia"/>
          <w:sz w:val="24"/>
        </w:rPr>
        <w:t>.2合同期内，因道路施工、绿化移交、项目施工等客观原因导致绿化养护工程量发生变化的，费用按实际工程量和养护时间结算；处于缺陷责任期道路的养护以甲方正式通知为准，并以乙方实际养护之日起算。</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w:t>
      </w:r>
      <w:r>
        <w:rPr>
          <w:rFonts w:cs="宋体" w:asciiTheme="minorEastAsia" w:hAnsiTheme="minorEastAsia" w:eastAsiaTheme="minorEastAsia"/>
          <w:sz w:val="24"/>
        </w:rPr>
        <w:t>.3合同期内，如有道路等级标准提高的，按新等级标准要求进行相应养护等级规定的作业并签订补充协议，不另行招标。</w:t>
      </w:r>
    </w:p>
    <w:p>
      <w:pPr>
        <w:pStyle w:val="973"/>
        <w:spacing w:before="0"/>
        <w:ind w:firstLineChars="0"/>
        <w:jc w:val="left"/>
        <w:rPr>
          <w:rFonts w:cs="宋体" w:asciiTheme="minorEastAsia" w:hAnsiTheme="minorEastAsia" w:eastAsiaTheme="minorEastAsia"/>
          <w:kern w:val="2"/>
        </w:rPr>
      </w:pPr>
      <w:r>
        <w:rPr>
          <w:rFonts w:hint="eastAsia" w:cs="宋体" w:asciiTheme="minorEastAsia" w:hAnsiTheme="minorEastAsia" w:eastAsiaTheme="minorEastAsia"/>
          <w:kern w:val="2"/>
        </w:rPr>
        <w:t>14</w:t>
      </w:r>
      <w:r>
        <w:rPr>
          <w:rFonts w:cs="宋体" w:asciiTheme="minorEastAsia" w:hAnsiTheme="minorEastAsia" w:eastAsiaTheme="minorEastAsia"/>
          <w:kern w:val="2"/>
        </w:rPr>
        <w:t>、本工程有关的特殊条款</w:t>
      </w:r>
    </w:p>
    <w:p>
      <w:pPr>
        <w:spacing w:line="360" w:lineRule="auto"/>
        <w:ind w:firstLine="470" w:firstLineChars="196"/>
        <w:jc w:val="left"/>
        <w:rPr>
          <w:rFonts w:cs="宋体" w:asciiTheme="minorEastAsia" w:hAnsiTheme="minorEastAsia" w:eastAsiaTheme="minorEastAsia"/>
          <w:sz w:val="24"/>
        </w:rPr>
      </w:pPr>
      <w:r>
        <w:rPr>
          <w:rFonts w:hint="eastAsia" w:cs="宋体" w:asciiTheme="minorEastAsia" w:hAnsiTheme="minorEastAsia" w:eastAsiaTheme="minorEastAsia"/>
          <w:sz w:val="24"/>
        </w:rPr>
        <w:t>14</w:t>
      </w:r>
      <w:r>
        <w:rPr>
          <w:rFonts w:cs="宋体" w:asciiTheme="minorEastAsia" w:hAnsiTheme="minorEastAsia" w:eastAsiaTheme="minorEastAsia"/>
          <w:sz w:val="24"/>
        </w:rPr>
        <w:t>.1合同期内，中标单位必须按投标文件响应的管理人员、绿化养护人员及相关机械设备配备到位。</w:t>
      </w:r>
    </w:p>
    <w:p>
      <w:pPr>
        <w:spacing w:line="360" w:lineRule="auto"/>
        <w:ind w:firstLine="470" w:firstLineChars="196"/>
        <w:jc w:val="left"/>
        <w:rPr>
          <w:rFonts w:cs="宋体" w:asciiTheme="minorEastAsia" w:hAnsiTheme="minorEastAsia" w:eastAsiaTheme="minorEastAsia"/>
          <w:sz w:val="24"/>
        </w:rPr>
      </w:pPr>
      <w:r>
        <w:rPr>
          <w:rFonts w:hint="eastAsia" w:cs="宋体" w:asciiTheme="minorEastAsia" w:hAnsiTheme="minorEastAsia" w:eastAsiaTheme="minorEastAsia"/>
          <w:sz w:val="24"/>
        </w:rPr>
        <w:t>14</w:t>
      </w:r>
      <w:r>
        <w:rPr>
          <w:rFonts w:cs="宋体" w:asciiTheme="minorEastAsia" w:hAnsiTheme="minorEastAsia" w:eastAsiaTheme="minorEastAsia"/>
          <w:sz w:val="24"/>
        </w:rPr>
        <w:t>.2合同期内在迎检和各类创建活动中，中标单位应无条件服从招标人的安排，圆满完成各项任务，由于中标单位的原因失分或造成不良影响的，招标人有权进行处罚和清退中标单位，在迎检过程中，由于中标单位组织不力，由招标人组织人力、物力进行整治所涉及的费用，由中标单位双倍偿还招标人，招标人有权直接在养护费中扣除。</w:t>
      </w:r>
    </w:p>
    <w:p>
      <w:pPr>
        <w:spacing w:line="360" w:lineRule="auto"/>
        <w:ind w:firstLine="470" w:firstLineChars="196"/>
        <w:jc w:val="left"/>
        <w:rPr>
          <w:rFonts w:cs="宋体" w:asciiTheme="minorEastAsia" w:hAnsiTheme="minorEastAsia" w:eastAsiaTheme="minorEastAsia"/>
          <w:sz w:val="24"/>
        </w:rPr>
      </w:pPr>
      <w:r>
        <w:rPr>
          <w:rFonts w:hint="eastAsia" w:cs="宋体" w:asciiTheme="minorEastAsia" w:hAnsiTheme="minorEastAsia" w:eastAsiaTheme="minorEastAsia"/>
          <w:sz w:val="24"/>
        </w:rPr>
        <w:t>14</w:t>
      </w:r>
      <w:r>
        <w:rPr>
          <w:rFonts w:cs="宋体" w:asciiTheme="minorEastAsia" w:hAnsiTheme="minorEastAsia" w:eastAsiaTheme="minorEastAsia"/>
          <w:sz w:val="24"/>
        </w:rPr>
        <w:t>.3合同签订后招标人与中标人签订安全生产责任书，养护期内所发生的任何安全事故一律由中标单位负责，招标人不承担任何责任。</w:t>
      </w:r>
    </w:p>
    <w:p>
      <w:pPr>
        <w:spacing w:line="360" w:lineRule="auto"/>
        <w:ind w:firstLine="470" w:firstLineChars="196"/>
        <w:jc w:val="left"/>
        <w:rPr>
          <w:rFonts w:cs="宋体" w:asciiTheme="minorEastAsia" w:hAnsiTheme="minorEastAsia" w:eastAsiaTheme="minorEastAsia"/>
          <w:sz w:val="24"/>
        </w:rPr>
      </w:pPr>
      <w:r>
        <w:rPr>
          <w:rFonts w:hint="eastAsia" w:cs="宋体" w:asciiTheme="minorEastAsia" w:hAnsiTheme="minorEastAsia" w:eastAsiaTheme="minorEastAsia"/>
          <w:sz w:val="24"/>
        </w:rPr>
        <w:t>14</w:t>
      </w:r>
      <w:r>
        <w:rPr>
          <w:rFonts w:cs="宋体" w:asciiTheme="minorEastAsia" w:hAnsiTheme="minorEastAsia" w:eastAsiaTheme="minorEastAsia"/>
          <w:sz w:val="24"/>
        </w:rPr>
        <w:t>.4本次招标范围内的绿化均作分类，中标单位必须按各条绿化等级进行相应符合规定的作业。</w:t>
      </w:r>
    </w:p>
    <w:p>
      <w:pPr>
        <w:spacing w:line="360" w:lineRule="auto"/>
        <w:ind w:firstLine="470" w:firstLineChars="196"/>
        <w:jc w:val="left"/>
        <w:rPr>
          <w:rFonts w:cs="宋体" w:asciiTheme="minorEastAsia" w:hAnsiTheme="minorEastAsia" w:eastAsiaTheme="minorEastAsia"/>
          <w:sz w:val="24"/>
        </w:rPr>
      </w:pPr>
      <w:r>
        <w:rPr>
          <w:rFonts w:hint="eastAsia" w:cs="宋体" w:asciiTheme="minorEastAsia" w:hAnsiTheme="minorEastAsia" w:eastAsiaTheme="minorEastAsia"/>
          <w:sz w:val="24"/>
        </w:rPr>
        <w:t>14</w:t>
      </w:r>
      <w:r>
        <w:rPr>
          <w:rFonts w:cs="宋体" w:asciiTheme="minorEastAsia" w:hAnsiTheme="minorEastAsia" w:eastAsiaTheme="minorEastAsia"/>
          <w:sz w:val="24"/>
        </w:rPr>
        <w:t>.5在迎检和各类创建活动中后期涉及增加时花种植或绿化提升改造时，根据实际工程量签订补充协议。</w:t>
      </w:r>
    </w:p>
    <w:p>
      <w:pPr>
        <w:spacing w:line="360" w:lineRule="auto"/>
        <w:ind w:firstLine="470" w:firstLineChars="196"/>
        <w:jc w:val="left"/>
        <w:rPr>
          <w:rFonts w:cs="宋体" w:asciiTheme="minorEastAsia" w:hAnsiTheme="minorEastAsia" w:eastAsiaTheme="minorEastAsia"/>
          <w:sz w:val="24"/>
        </w:rPr>
      </w:pPr>
      <w:r>
        <w:rPr>
          <w:rFonts w:hint="eastAsia" w:cs="宋体" w:asciiTheme="minorEastAsia" w:hAnsiTheme="minorEastAsia" w:eastAsiaTheme="minorEastAsia"/>
          <w:sz w:val="24"/>
        </w:rPr>
        <w:t>14</w:t>
      </w:r>
      <w:r>
        <w:rPr>
          <w:rFonts w:cs="宋体" w:asciiTheme="minorEastAsia" w:hAnsiTheme="minorEastAsia" w:eastAsiaTheme="minorEastAsia"/>
          <w:sz w:val="24"/>
        </w:rPr>
        <w:t>.6养护期限内，采购人有权直接委托中标单位养护管理本标段3%(含)以下工程量的公共绿地（含新接收公共绿地），采购人不额外增加养护费。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w:t>
      </w:r>
      <w:r>
        <w:rPr>
          <w:rFonts w:cs="宋体" w:asciiTheme="minorEastAsia" w:hAnsiTheme="minorEastAsia" w:eastAsiaTheme="minorEastAsia"/>
          <w:sz w:val="24"/>
        </w:rPr>
        <w:t>.7拟投入人员的工资不得低于杭州市政府公布的最低工资水平，并缴纳相关社会保险，提供福利待遇等方面的证明，否则做无效标处理。</w:t>
      </w:r>
    </w:p>
    <w:p>
      <w:pPr>
        <w:pStyle w:val="2"/>
        <w:ind w:firstLine="0" w:firstLineChars="0"/>
        <w:rPr>
          <w:rFonts w:asciiTheme="minorEastAsia" w:hAnsiTheme="minorEastAsia" w:eastAsiaTheme="minorEastAsia"/>
          <w:kern w:val="2"/>
          <w:sz w:val="44"/>
          <w:szCs w:val="44"/>
        </w:rPr>
      </w:pPr>
    </w:p>
    <w:p/>
    <w:p>
      <w:pPr>
        <w:pStyle w:val="2"/>
      </w:pPr>
    </w:p>
    <w:p/>
    <w:p>
      <w:pPr>
        <w:pStyle w:val="2"/>
      </w:pPr>
    </w:p>
    <w:p/>
    <w:p>
      <w:pPr>
        <w:pStyle w:val="2"/>
      </w:pPr>
    </w:p>
    <w:p>
      <w:pPr>
        <w:pStyle w:val="2"/>
      </w:pPr>
    </w:p>
    <w:p>
      <w:pPr>
        <w:spacing w:line="590" w:lineRule="exact"/>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乔司街道公共绿地管理考核评分细则</w:t>
      </w:r>
    </w:p>
    <w:p>
      <w:pPr>
        <w:spacing w:line="590" w:lineRule="exact"/>
        <w:jc w:val="center"/>
        <w:rPr>
          <w:rFonts w:asciiTheme="minorEastAsia" w:hAnsiTheme="minorEastAsia" w:eastAsiaTheme="minorEastAsia"/>
          <w:sz w:val="44"/>
          <w:szCs w:val="44"/>
        </w:rPr>
      </w:pPr>
    </w:p>
    <w:p>
      <w:pPr>
        <w:rPr>
          <w:rFonts w:asciiTheme="minorEastAsia" w:hAnsiTheme="minorEastAsia" w:eastAsiaTheme="minorEastAsia"/>
          <w:b/>
          <w:sz w:val="24"/>
        </w:rPr>
      </w:pPr>
      <w:r>
        <w:rPr>
          <w:rFonts w:hint="eastAsia" w:asciiTheme="minorEastAsia" w:hAnsiTheme="minorEastAsia" w:eastAsiaTheme="minorEastAsia"/>
          <w:b/>
          <w:sz w:val="24"/>
        </w:rPr>
        <w:t>考核对象：               考核时间：            考评得分：</w:t>
      </w:r>
    </w:p>
    <w:tbl>
      <w:tblPr>
        <w:tblStyle w:val="66"/>
        <w:tblW w:w="9640" w:type="dxa"/>
        <w:tblInd w:w="-318" w:type="dxa"/>
        <w:tblLayout w:type="fixed"/>
        <w:tblCellMar>
          <w:top w:w="0" w:type="dxa"/>
          <w:left w:w="108" w:type="dxa"/>
          <w:bottom w:w="0" w:type="dxa"/>
          <w:right w:w="108" w:type="dxa"/>
        </w:tblCellMar>
      </w:tblPr>
      <w:tblGrid>
        <w:gridCol w:w="852"/>
        <w:gridCol w:w="7087"/>
        <w:gridCol w:w="896"/>
        <w:gridCol w:w="805"/>
      </w:tblGrid>
      <w:tr>
        <w:tblPrEx>
          <w:tblCellMar>
            <w:top w:w="0" w:type="dxa"/>
            <w:left w:w="108" w:type="dxa"/>
            <w:bottom w:w="0" w:type="dxa"/>
            <w:right w:w="108" w:type="dxa"/>
          </w:tblCellMar>
        </w:tblPrEx>
        <w:trPr>
          <w:trHeight w:val="570" w:hRule="atLeast"/>
        </w:trPr>
        <w:tc>
          <w:tcPr>
            <w:tcW w:w="8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考核</w:t>
            </w:r>
          </w:p>
          <w:p>
            <w:pPr>
              <w:spacing w:line="32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项目</w:t>
            </w:r>
          </w:p>
        </w:tc>
        <w:tc>
          <w:tcPr>
            <w:tcW w:w="7087" w:type="dxa"/>
            <w:tcBorders>
              <w:top w:val="single" w:color="auto" w:sz="4" w:space="0"/>
              <w:left w:val="nil"/>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评分细则</w:t>
            </w:r>
          </w:p>
        </w:tc>
        <w:tc>
          <w:tcPr>
            <w:tcW w:w="896" w:type="dxa"/>
            <w:tcBorders>
              <w:top w:val="single" w:color="auto" w:sz="4" w:space="0"/>
              <w:left w:val="nil"/>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考核地点</w:t>
            </w:r>
          </w:p>
        </w:tc>
        <w:tc>
          <w:tcPr>
            <w:tcW w:w="805" w:type="dxa"/>
            <w:tcBorders>
              <w:top w:val="single" w:color="auto" w:sz="4" w:space="0"/>
              <w:left w:val="nil"/>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考核</w:t>
            </w:r>
          </w:p>
          <w:p>
            <w:pPr>
              <w:spacing w:line="32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分值</w:t>
            </w:r>
          </w:p>
        </w:tc>
      </w:tr>
      <w:tr>
        <w:tblPrEx>
          <w:tblCellMar>
            <w:top w:w="0" w:type="dxa"/>
            <w:left w:w="108" w:type="dxa"/>
            <w:bottom w:w="0" w:type="dxa"/>
            <w:right w:w="108" w:type="dxa"/>
          </w:tblCellMar>
        </w:tblPrEx>
        <w:trPr>
          <w:trHeight w:val="540" w:hRule="atLeast"/>
        </w:trPr>
        <w:tc>
          <w:tcPr>
            <w:tcW w:w="852" w:type="dxa"/>
            <w:vMerge w:val="restart"/>
            <w:tcBorders>
              <w:top w:val="nil"/>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植</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物</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养</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护</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w:t>
            </w: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按照城市管理“六无”要求，从严管理，发现在公共绿地中出现黄土露天的每处扣5分。</w:t>
            </w:r>
          </w:p>
        </w:tc>
        <w:tc>
          <w:tcPr>
            <w:tcW w:w="896"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p>
        </w:tc>
        <w:tc>
          <w:tcPr>
            <w:tcW w:w="8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40" w:hRule="atLeast"/>
        </w:trPr>
        <w:tc>
          <w:tcPr>
            <w:tcW w:w="852" w:type="dxa"/>
            <w:vMerge w:val="continue"/>
            <w:tcBorders>
              <w:top w:val="nil"/>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行道树和乔木死株、缺株，每处扣5分。</w:t>
            </w:r>
          </w:p>
        </w:tc>
        <w:tc>
          <w:tcPr>
            <w:tcW w:w="896"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p>
        </w:tc>
        <w:tc>
          <w:tcPr>
            <w:tcW w:w="8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行道树和乔木支撑不规范、支撑架倒塌、断桩、坏桩、树木倾斜严重，每处扣1分。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行道树和乔木病虫枝、枯枝、伤损枝、徒长枝超过养护标准的，树皮开裂、孔洞未及时填补，每处扣1分；修剪不规范造成树木严重受损的，每处扣3分。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行道树和乔木长势不佳、偏冠严重、无冠幅，每处扣2分；树木长势较弱，黄叶、焦叶、落叶株数超过养护标准的，每处扣1分。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树穴土壤高于侧石、板结、填充物缺失，每处扣1分。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绿篱和灌木出现死株、缺株、混种、小道、杂株返祖的，每处扣2分；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绿篱和灌木修剪不平整、不及时、高度影响交通视线的，每处扣2分。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草高超出养护标准、草坪边缘不清淅、草坪覆盖率低于养护标准、中心区出现空秃每2㎡</w:t>
            </w:r>
            <w:r>
              <w:rPr>
                <w:rFonts w:hint="eastAsia" w:cs="仿宋_GB2312" w:asciiTheme="minorEastAsia" w:hAnsiTheme="minorEastAsia" w:eastAsiaTheme="minorEastAsia"/>
                <w:kern w:val="0"/>
                <w:szCs w:val="21"/>
              </w:rPr>
              <w:t>以上，每处扣</w:t>
            </w:r>
            <w:r>
              <w:rPr>
                <w:rFonts w:hint="eastAsia" w:cs="宋体" w:asciiTheme="minorEastAsia" w:hAnsiTheme="minorEastAsia" w:eastAsiaTheme="minorEastAsia"/>
                <w:kern w:val="0"/>
                <w:szCs w:val="21"/>
              </w:rPr>
              <w:t>1分，面积10㎡</w:t>
            </w:r>
            <w:r>
              <w:rPr>
                <w:rFonts w:hint="eastAsia" w:cs="仿宋_GB2312" w:asciiTheme="minorEastAsia" w:hAnsiTheme="minorEastAsia" w:eastAsiaTheme="minorEastAsia"/>
                <w:kern w:val="0"/>
                <w:szCs w:val="21"/>
              </w:rPr>
              <w:t>以上的扣</w:t>
            </w:r>
            <w:r>
              <w:rPr>
                <w:rFonts w:hint="eastAsia" w:cs="宋体" w:asciiTheme="minorEastAsia" w:hAnsiTheme="minorEastAsia" w:eastAsiaTheme="minorEastAsia"/>
                <w:kern w:val="0"/>
                <w:szCs w:val="21"/>
              </w:rPr>
              <w:t>3分。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绿地内有明显杂草，每处扣2分。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花坛花箱内无时花扣每处扣2分，时花倒伏、枯枝残花、杂草垃圾、黄土裸露等每处扣1分。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bottom w:val="single" w:color="000000"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绿化补种不规范的扣1分，监管不到位致绿化破坏的扣2分。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restart"/>
            <w:tcBorders>
              <w:top w:val="single" w:color="auto" w:sz="4" w:space="0"/>
              <w:left w:val="single" w:color="auto" w:sz="4" w:space="0"/>
              <w:bottom w:val="single" w:color="000000"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病</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虫</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害</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防</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治</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w:t>
            </w:r>
          </w:p>
        </w:tc>
        <w:tc>
          <w:tcPr>
            <w:tcW w:w="7087"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发生病虫害每处扣2分。</w:t>
            </w:r>
          </w:p>
        </w:tc>
        <w:tc>
          <w:tcPr>
            <w:tcW w:w="896"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top w:val="nil"/>
              <w:left w:val="single" w:color="auto" w:sz="4" w:space="0"/>
              <w:bottom w:val="single" w:color="000000"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发现病虫害未及时进行防治措施的每处扣2分。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top w:val="nil"/>
              <w:left w:val="single" w:color="auto" w:sz="4" w:space="0"/>
              <w:bottom w:val="single" w:color="000000"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食叶性害虫危害树木，每株或每㎡</w:t>
            </w:r>
            <w:r>
              <w:rPr>
                <w:rFonts w:hint="eastAsia" w:cs="仿宋_GB2312" w:asciiTheme="minorEastAsia" w:hAnsiTheme="minorEastAsia" w:eastAsiaTheme="minorEastAsia"/>
                <w:kern w:val="0"/>
                <w:szCs w:val="21"/>
              </w:rPr>
              <w:t>超过养护标准，每处扣</w:t>
            </w:r>
            <w:r>
              <w:rPr>
                <w:rFonts w:hint="eastAsia" w:cs="宋体" w:asciiTheme="minorEastAsia" w:hAnsiTheme="minorEastAsia" w:eastAsiaTheme="minorEastAsia"/>
                <w:kern w:val="0"/>
                <w:szCs w:val="21"/>
              </w:rPr>
              <w:t>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top w:val="nil"/>
              <w:left w:val="single" w:color="auto" w:sz="4" w:space="0"/>
              <w:bottom w:val="single" w:color="000000"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发现活蛀虫和活卵，每株或每㎡</w:t>
            </w:r>
            <w:r>
              <w:rPr>
                <w:rFonts w:hint="eastAsia" w:cs="仿宋_GB2312" w:asciiTheme="minorEastAsia" w:hAnsiTheme="minorEastAsia" w:eastAsiaTheme="minorEastAsia"/>
                <w:kern w:val="0"/>
                <w:szCs w:val="21"/>
              </w:rPr>
              <w:t>超过养护标准，每处扣</w:t>
            </w:r>
            <w:r>
              <w:rPr>
                <w:rFonts w:hint="eastAsia" w:cs="宋体" w:asciiTheme="minorEastAsia" w:hAnsiTheme="minorEastAsia" w:eastAsiaTheme="minorEastAsia"/>
                <w:kern w:val="0"/>
                <w:szCs w:val="21"/>
              </w:rPr>
              <w:t>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绿化</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设施</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15分</w:t>
            </w:r>
          </w:p>
        </w:tc>
        <w:tc>
          <w:tcPr>
            <w:tcW w:w="7087"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花箱、花坛、树穴破损扣1分，设施缺失扣2分。</w:t>
            </w:r>
          </w:p>
        </w:tc>
        <w:tc>
          <w:tcPr>
            <w:tcW w:w="896"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top w:val="nil"/>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果壳箱有污迹、破损，箱内垃圾未日产日清的，每处扣2分。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top w:val="nil"/>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设施有污迹、破损，金属构件设施有锈斑，油漆剥落等现象的每处扣1分，公园设施存在明显安全隐患，未采取安全措施的，每处扣5分。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restart"/>
            <w:tcBorders>
              <w:top w:val="single" w:color="auto" w:sz="4" w:space="0"/>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p>
            <w:pPr>
              <w:spacing w:line="320" w:lineRule="exact"/>
              <w:jc w:val="center"/>
              <w:rPr>
                <w:rFonts w:cs="宋体" w:asciiTheme="minorEastAsia" w:hAnsiTheme="minorEastAsia" w:eastAsiaTheme="minorEastAsia"/>
                <w:kern w:val="0"/>
                <w:szCs w:val="21"/>
              </w:rPr>
            </w:pP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卫生及</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管理</w:t>
            </w:r>
          </w:p>
          <w:p>
            <w:pPr>
              <w:spacing w:line="320" w:lineRule="exact"/>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5分</w:t>
            </w:r>
          </w:p>
          <w:p>
            <w:pPr>
              <w:spacing w:line="320" w:lineRule="exact"/>
              <w:jc w:val="center"/>
              <w:rPr>
                <w:rFonts w:cs="宋体" w:asciiTheme="minorEastAsia" w:hAnsiTheme="minorEastAsia" w:eastAsiaTheme="minorEastAsia"/>
                <w:kern w:val="0"/>
                <w:szCs w:val="21"/>
              </w:rPr>
            </w:pPr>
          </w:p>
        </w:tc>
        <w:tc>
          <w:tcPr>
            <w:tcW w:w="7087"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树上有垃圾袋、零乱草绳、钉子、扎缚铁丝、电线、挂晾晒衣物，每处扣1分。</w:t>
            </w:r>
          </w:p>
        </w:tc>
        <w:tc>
          <w:tcPr>
            <w:tcW w:w="896"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绿地内有垃圾、石块、果壳等杂物的每处扣2分。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乔木积尘明显每株扣1分，色块叶面积灰严重的，每</w:t>
            </w:r>
            <w:r>
              <w:rPr>
                <w:rFonts w:cs="宋体" w:asciiTheme="minorEastAsia" w:hAnsiTheme="minorEastAsia" w:eastAsiaTheme="minorEastAsia"/>
                <w:kern w:val="0"/>
                <w:szCs w:val="21"/>
              </w:rPr>
              <w:t>50</w:t>
            </w:r>
            <w:r>
              <w:rPr>
                <w:rFonts w:hint="eastAsia" w:cs="宋体" w:asciiTheme="minorEastAsia" w:hAnsiTheme="minorEastAsia" w:eastAsiaTheme="minorEastAsia"/>
                <w:kern w:val="0"/>
                <w:szCs w:val="21"/>
              </w:rPr>
              <w:t>㎡</w:t>
            </w:r>
            <w:r>
              <w:rPr>
                <w:rFonts w:hint="eastAsia" w:cs="仿宋_GB2312" w:asciiTheme="minorEastAsia" w:hAnsiTheme="minorEastAsia" w:eastAsiaTheme="minorEastAsia"/>
                <w:kern w:val="0"/>
                <w:szCs w:val="21"/>
              </w:rPr>
              <w:t>扣</w:t>
            </w:r>
            <w:r>
              <w:rPr>
                <w:rFonts w:hint="eastAsia" w:cs="宋体" w:asciiTheme="minorEastAsia" w:hAnsiTheme="minorEastAsia" w:eastAsiaTheme="minorEastAsia"/>
                <w:kern w:val="0"/>
                <w:szCs w:val="21"/>
              </w:rPr>
              <w:t>3分。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管养人员不到位，每发现</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次扣2分。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vMerge w:val="continue"/>
            <w:tcBorders>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养护人员上路作业不穿工作服，不文明作业的，每发现</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次扣2分。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540" w:hRule="atLeast"/>
        </w:trPr>
        <w:tc>
          <w:tcPr>
            <w:tcW w:w="852" w:type="dxa"/>
            <w:tcBorders>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整体景观5分</w:t>
            </w: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养护不当造成植物季相不分明，色彩不丰富，生长不茂盛，植物群落不完整等影响整体景观效果的扣1-5分。</w:t>
            </w:r>
          </w:p>
        </w:tc>
        <w:tc>
          <w:tcPr>
            <w:tcW w:w="89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c>
          <w:tcPr>
            <w:tcW w:w="805"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1350" w:hRule="atLeast"/>
        </w:trPr>
        <w:tc>
          <w:tcPr>
            <w:tcW w:w="852" w:type="dxa"/>
            <w:tcBorders>
              <w:top w:val="nil"/>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抄告</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单及</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处理</w:t>
            </w:r>
          </w:p>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情况</w:t>
            </w:r>
          </w:p>
          <w:p>
            <w:pPr>
              <w:spacing w:line="320" w:lineRule="exact"/>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r>
              <w:rPr>
                <w:rFonts w:hint="eastAsia" w:cs="宋体" w:asciiTheme="minorEastAsia" w:hAnsiTheme="minorEastAsia" w:eastAsiaTheme="minorEastAsia"/>
                <w:kern w:val="0"/>
                <w:szCs w:val="21"/>
              </w:rPr>
              <w:t>分</w:t>
            </w: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区级抄告每条扣1分，如不按要求整改加扣2分；市级抄告每条扣2分，如不按要求整改加扣2分。信访问题每件扣2分，整改不及时加扣3分；被新闻媒体曝光的，每件扣10分。</w:t>
            </w:r>
          </w:p>
        </w:tc>
        <w:tc>
          <w:tcPr>
            <w:tcW w:w="896" w:type="dxa"/>
            <w:tcBorders>
              <w:top w:val="nil"/>
              <w:left w:val="single" w:color="auto" w:sz="4" w:space="0"/>
              <w:bottom w:val="single" w:color="000000" w:sz="4" w:space="0"/>
              <w:right w:val="single" w:color="auto" w:sz="4" w:space="0"/>
            </w:tcBorders>
            <w:noWrap/>
            <w:vAlign w:val="center"/>
          </w:tcPr>
          <w:p>
            <w:pPr>
              <w:widowControl/>
              <w:jc w:val="center"/>
              <w:rPr>
                <w:rFonts w:asciiTheme="minorEastAsia" w:hAnsiTheme="minorEastAsia" w:eastAsiaTheme="minorEastAsia"/>
                <w:spacing w:val="-8"/>
                <w:sz w:val="24"/>
              </w:rPr>
            </w:pPr>
          </w:p>
        </w:tc>
        <w:tc>
          <w:tcPr>
            <w:tcW w:w="805" w:type="dxa"/>
            <w:tcBorders>
              <w:top w:val="nil"/>
              <w:left w:val="single" w:color="auto" w:sz="4" w:space="0"/>
              <w:bottom w:val="single" w:color="000000" w:sz="4" w:space="0"/>
              <w:right w:val="single" w:color="auto" w:sz="4" w:space="0"/>
            </w:tcBorders>
            <w:noWrap/>
            <w:vAlign w:val="center"/>
          </w:tcPr>
          <w:p>
            <w:pPr>
              <w:widowControl/>
              <w:jc w:val="center"/>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495" w:hRule="atLeast"/>
        </w:trPr>
        <w:tc>
          <w:tcPr>
            <w:tcW w:w="852" w:type="dxa"/>
            <w:tcBorders>
              <w:top w:val="nil"/>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考评 人员</w:t>
            </w:r>
          </w:p>
        </w:tc>
        <w:tc>
          <w:tcPr>
            <w:tcW w:w="7087"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tc>
        <w:tc>
          <w:tcPr>
            <w:tcW w:w="1701" w:type="dxa"/>
            <w:gridSpan w:val="2"/>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spacing w:val="-8"/>
                <w:sz w:val="24"/>
              </w:rPr>
            </w:pPr>
          </w:p>
        </w:tc>
      </w:tr>
      <w:tr>
        <w:tblPrEx>
          <w:tblCellMar>
            <w:top w:w="0" w:type="dxa"/>
            <w:left w:w="108" w:type="dxa"/>
            <w:bottom w:w="0" w:type="dxa"/>
            <w:right w:w="108" w:type="dxa"/>
          </w:tblCellMar>
        </w:tblPrEx>
        <w:trPr>
          <w:trHeight w:val="495" w:hRule="atLeast"/>
        </w:trPr>
        <w:tc>
          <w:tcPr>
            <w:tcW w:w="852" w:type="dxa"/>
            <w:tcBorders>
              <w:top w:val="nil"/>
              <w:left w:val="single" w:color="auto" w:sz="4" w:space="0"/>
              <w:bottom w:val="single" w:color="auto" w:sz="4" w:space="0"/>
              <w:right w:val="single" w:color="auto" w:sz="4" w:space="0"/>
            </w:tcBorders>
            <w:noWrap/>
            <w:vAlign w:val="center"/>
          </w:tcPr>
          <w:p>
            <w:pPr>
              <w:spacing w:line="32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c>
          <w:tcPr>
            <w:tcW w:w="8788" w:type="dxa"/>
            <w:gridSpan w:val="3"/>
            <w:tcBorders>
              <w:top w:val="single" w:color="auto" w:sz="4" w:space="0"/>
              <w:left w:val="nil"/>
              <w:bottom w:val="single" w:color="auto" w:sz="4" w:space="0"/>
              <w:right w:val="single" w:color="000000" w:sz="4" w:space="0"/>
            </w:tcBorders>
            <w:noWrap/>
            <w:vAlign w:val="center"/>
          </w:tcPr>
          <w:p>
            <w:pPr>
              <w:widowControl/>
              <w:jc w:val="left"/>
              <w:rPr>
                <w:rFonts w:cs="宋体" w:asciiTheme="minorEastAsia" w:hAnsiTheme="minorEastAsia" w:eastAsiaTheme="minorEastAsia"/>
                <w:kern w:val="0"/>
                <w:szCs w:val="21"/>
              </w:rPr>
            </w:pPr>
          </w:p>
        </w:tc>
      </w:tr>
    </w:tbl>
    <w:p>
      <w:pPr>
        <w:spacing w:line="360" w:lineRule="auto"/>
        <w:rPr>
          <w:rFonts w:cs="宋体" w:asciiTheme="minorEastAsia" w:hAnsiTheme="minorEastAsia" w:eastAsiaTheme="minorEastAsia"/>
          <w:sz w:val="24"/>
        </w:rPr>
      </w:pPr>
    </w:p>
    <w:p>
      <w:pPr>
        <w:widowControl/>
        <w:ind w:firstLine="720" w:firstLineChars="300"/>
        <w:jc w:val="left"/>
        <w:rPr>
          <w:rFonts w:cs="宋体" w:asciiTheme="minorEastAsia" w:hAnsiTheme="minorEastAsia" w:eastAsiaTheme="minorEastAsia"/>
          <w:bCs/>
          <w:sz w:val="24"/>
        </w:rPr>
      </w:pPr>
    </w:p>
    <w:p>
      <w:pPr>
        <w:rPr>
          <w:rFonts w:cs="宋体" w:asciiTheme="minorEastAsia" w:hAnsiTheme="minorEastAsia" w:eastAsiaTheme="minorEastAsia"/>
          <w:snapToGrid w:val="0"/>
          <w:kern w:val="0"/>
          <w:sz w:val="24"/>
        </w:rPr>
      </w:pPr>
    </w:p>
    <w:p>
      <w:pPr>
        <w:snapToGrid w:val="0"/>
        <w:spacing w:line="360" w:lineRule="auto"/>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24"/>
        </w:rPr>
        <w:br w:type="page"/>
      </w:r>
      <w:r>
        <w:rPr>
          <w:rFonts w:hint="eastAsia" w:cs="宋体" w:asciiTheme="minorEastAsia" w:hAnsiTheme="minorEastAsia" w:eastAsiaTheme="minorEastAsia"/>
          <w:b/>
          <w:sz w:val="36"/>
          <w:szCs w:val="36"/>
        </w:rPr>
        <w:t xml:space="preserve">第四部分   </w:t>
      </w:r>
      <w:bookmarkStart w:id="30" w:name="_Toc184313298"/>
      <w:bookmarkEnd w:id="30"/>
      <w:bookmarkStart w:id="31" w:name="_Toc184308065"/>
      <w:bookmarkEnd w:id="31"/>
      <w:bookmarkStart w:id="32" w:name="_Toc184308070"/>
      <w:bookmarkEnd w:id="32"/>
      <w:bookmarkStart w:id="33" w:name="_Toc184312089"/>
      <w:bookmarkEnd w:id="33"/>
      <w:bookmarkStart w:id="34" w:name="_Toc184308074"/>
      <w:bookmarkEnd w:id="34"/>
      <w:bookmarkStart w:id="35" w:name="_Toc184313283"/>
      <w:bookmarkEnd w:id="35"/>
      <w:bookmarkStart w:id="36" w:name="_Toc184308081"/>
      <w:bookmarkEnd w:id="36"/>
      <w:bookmarkStart w:id="37" w:name="_Toc184310292"/>
      <w:bookmarkEnd w:id="37"/>
      <w:bookmarkStart w:id="38" w:name="_Toc184314422"/>
      <w:bookmarkEnd w:id="38"/>
      <w:bookmarkStart w:id="39" w:name="_Toc184312133"/>
      <w:bookmarkEnd w:id="39"/>
      <w:bookmarkStart w:id="40" w:name="_Toc184314454"/>
      <w:bookmarkEnd w:id="40"/>
      <w:bookmarkStart w:id="41" w:name="_Toc184308084"/>
      <w:bookmarkEnd w:id="41"/>
      <w:bookmarkStart w:id="42" w:name="_Toc184312070"/>
      <w:bookmarkEnd w:id="42"/>
      <w:bookmarkStart w:id="43" w:name="_Toc184308042"/>
      <w:bookmarkEnd w:id="43"/>
      <w:bookmarkStart w:id="44" w:name="_Toc184313293"/>
      <w:bookmarkEnd w:id="44"/>
      <w:bookmarkStart w:id="45" w:name="_Toc184313255"/>
      <w:bookmarkEnd w:id="45"/>
      <w:bookmarkStart w:id="46" w:name="_Toc184310277"/>
      <w:bookmarkEnd w:id="46"/>
      <w:bookmarkStart w:id="47" w:name="_Toc184314448"/>
      <w:bookmarkEnd w:id="47"/>
      <w:bookmarkStart w:id="48" w:name="_Toc184314447"/>
      <w:bookmarkEnd w:id="48"/>
      <w:bookmarkStart w:id="49" w:name="_Toc184313241"/>
      <w:bookmarkEnd w:id="49"/>
      <w:bookmarkStart w:id="50" w:name="_Toc184310296"/>
      <w:bookmarkEnd w:id="50"/>
      <w:bookmarkStart w:id="51" w:name="_Toc184308071"/>
      <w:bookmarkEnd w:id="51"/>
      <w:bookmarkStart w:id="52" w:name="_Toc184308048"/>
      <w:bookmarkEnd w:id="52"/>
      <w:bookmarkStart w:id="53" w:name="_Toc184308095"/>
      <w:bookmarkEnd w:id="53"/>
      <w:bookmarkStart w:id="54" w:name="_Toc184313258"/>
      <w:bookmarkEnd w:id="54"/>
      <w:bookmarkStart w:id="55" w:name="_Toc184310342"/>
      <w:bookmarkEnd w:id="55"/>
      <w:bookmarkStart w:id="56" w:name="_Toc184310283"/>
      <w:bookmarkEnd w:id="56"/>
      <w:bookmarkStart w:id="57" w:name="_Toc184310325"/>
      <w:bookmarkEnd w:id="57"/>
      <w:bookmarkStart w:id="58" w:name="_Toc184314463"/>
      <w:bookmarkEnd w:id="58"/>
      <w:bookmarkStart w:id="59" w:name="_Toc184310331"/>
      <w:bookmarkEnd w:id="59"/>
      <w:bookmarkStart w:id="60" w:name="_Toc184308108"/>
      <w:bookmarkEnd w:id="60"/>
      <w:bookmarkStart w:id="61" w:name="_Toc184313295"/>
      <w:bookmarkEnd w:id="61"/>
      <w:bookmarkStart w:id="62" w:name="_Toc184314471"/>
      <w:bookmarkEnd w:id="62"/>
      <w:bookmarkStart w:id="63" w:name="_Toc184312075"/>
      <w:bookmarkEnd w:id="63"/>
      <w:bookmarkStart w:id="64" w:name="_Toc184313267"/>
      <w:bookmarkEnd w:id="64"/>
      <w:bookmarkStart w:id="65" w:name="_Toc184312086"/>
      <w:bookmarkEnd w:id="65"/>
      <w:bookmarkStart w:id="66" w:name="_Toc184310314"/>
      <w:bookmarkEnd w:id="66"/>
      <w:bookmarkStart w:id="67" w:name="_Toc184313256"/>
      <w:bookmarkEnd w:id="67"/>
      <w:bookmarkStart w:id="68" w:name="_Toc184314420"/>
      <w:bookmarkEnd w:id="68"/>
      <w:bookmarkStart w:id="69" w:name="_Toc184310285"/>
      <w:bookmarkEnd w:id="69"/>
      <w:bookmarkStart w:id="70" w:name="_Toc184313251"/>
      <w:bookmarkEnd w:id="70"/>
      <w:bookmarkStart w:id="71" w:name="_Toc184314416"/>
      <w:bookmarkEnd w:id="71"/>
      <w:bookmarkStart w:id="72" w:name="_Toc184310284"/>
      <w:bookmarkEnd w:id="72"/>
      <w:bookmarkStart w:id="73" w:name="_Toc184308094"/>
      <w:bookmarkEnd w:id="73"/>
      <w:bookmarkStart w:id="74" w:name="_Toc184312084"/>
      <w:bookmarkEnd w:id="74"/>
      <w:bookmarkStart w:id="75" w:name="_Toc184313303"/>
      <w:bookmarkEnd w:id="75"/>
      <w:bookmarkStart w:id="76" w:name="_Toc184310339"/>
      <w:bookmarkEnd w:id="76"/>
      <w:bookmarkStart w:id="77" w:name="_Toc184310302"/>
      <w:bookmarkEnd w:id="77"/>
      <w:bookmarkStart w:id="78" w:name="_Toc184308086"/>
      <w:bookmarkEnd w:id="78"/>
      <w:bookmarkStart w:id="79" w:name="_Toc184310344"/>
      <w:bookmarkEnd w:id="79"/>
      <w:bookmarkStart w:id="80" w:name="_Toc184313260"/>
      <w:bookmarkEnd w:id="80"/>
      <w:bookmarkStart w:id="81" w:name="_Toc184312087"/>
      <w:bookmarkEnd w:id="81"/>
      <w:bookmarkStart w:id="82" w:name="_Toc184308068"/>
      <w:bookmarkEnd w:id="82"/>
      <w:bookmarkStart w:id="83" w:name="_Toc184314449"/>
      <w:bookmarkEnd w:id="83"/>
      <w:bookmarkStart w:id="84" w:name="_Toc184314438"/>
      <w:bookmarkEnd w:id="84"/>
      <w:bookmarkStart w:id="85" w:name="_Toc184308056"/>
      <w:bookmarkEnd w:id="85"/>
      <w:bookmarkStart w:id="86" w:name="_Toc184310327"/>
      <w:bookmarkEnd w:id="86"/>
      <w:bookmarkStart w:id="87" w:name="_Toc184313270"/>
      <w:bookmarkEnd w:id="87"/>
      <w:bookmarkStart w:id="88" w:name="_Toc184310329"/>
      <w:bookmarkEnd w:id="88"/>
      <w:bookmarkStart w:id="89" w:name="_Toc184312098"/>
      <w:bookmarkEnd w:id="89"/>
      <w:bookmarkStart w:id="90" w:name="_Toc184312132"/>
      <w:bookmarkEnd w:id="90"/>
      <w:bookmarkStart w:id="91" w:name="_Toc184310288"/>
      <w:bookmarkEnd w:id="91"/>
      <w:bookmarkStart w:id="92" w:name="_Toc184308053"/>
      <w:bookmarkEnd w:id="92"/>
      <w:bookmarkStart w:id="93" w:name="_Toc184308087"/>
      <w:bookmarkEnd w:id="93"/>
      <w:bookmarkStart w:id="94" w:name="_Toc184310293"/>
      <w:bookmarkEnd w:id="94"/>
      <w:bookmarkStart w:id="95" w:name="_Toc184314440"/>
      <w:bookmarkEnd w:id="95"/>
      <w:bookmarkStart w:id="96" w:name="_Toc184308088"/>
      <w:bookmarkEnd w:id="96"/>
      <w:bookmarkStart w:id="97" w:name="_Toc184313257"/>
      <w:bookmarkEnd w:id="97"/>
      <w:bookmarkStart w:id="98" w:name="_Toc184308041"/>
      <w:bookmarkEnd w:id="98"/>
      <w:bookmarkStart w:id="99" w:name="_Toc184313264"/>
      <w:bookmarkEnd w:id="99"/>
      <w:bookmarkStart w:id="100" w:name="_Toc184312137"/>
      <w:bookmarkEnd w:id="100"/>
      <w:bookmarkStart w:id="101" w:name="_Toc184313278"/>
      <w:bookmarkEnd w:id="101"/>
      <w:bookmarkStart w:id="102" w:name="_Toc184312103"/>
      <w:bookmarkEnd w:id="102"/>
      <w:bookmarkStart w:id="103" w:name="_Toc184314445"/>
      <w:bookmarkEnd w:id="103"/>
      <w:bookmarkStart w:id="104" w:name="_Toc184313273"/>
      <w:bookmarkEnd w:id="104"/>
      <w:bookmarkStart w:id="105" w:name="_Toc184310335"/>
      <w:bookmarkEnd w:id="105"/>
      <w:bookmarkStart w:id="106" w:name="_Toc184310280"/>
      <w:bookmarkEnd w:id="106"/>
      <w:bookmarkStart w:id="107" w:name="_Toc184313253"/>
      <w:bookmarkEnd w:id="107"/>
      <w:bookmarkStart w:id="108" w:name="_Toc184308039"/>
      <w:bookmarkEnd w:id="108"/>
      <w:bookmarkStart w:id="109" w:name="_Toc184313271"/>
      <w:bookmarkEnd w:id="109"/>
      <w:bookmarkStart w:id="110" w:name="_Toc184312116"/>
      <w:bookmarkEnd w:id="110"/>
      <w:bookmarkStart w:id="111" w:name="_Toc184308072"/>
      <w:bookmarkEnd w:id="111"/>
      <w:bookmarkStart w:id="112" w:name="_Toc184308040"/>
      <w:bookmarkEnd w:id="112"/>
      <w:bookmarkStart w:id="113" w:name="_Toc184308069"/>
      <w:bookmarkEnd w:id="113"/>
      <w:bookmarkStart w:id="114" w:name="_Toc184310287"/>
      <w:bookmarkEnd w:id="114"/>
      <w:bookmarkStart w:id="115" w:name="_Toc184312072"/>
      <w:bookmarkEnd w:id="115"/>
      <w:bookmarkStart w:id="116" w:name="_Toc184310272"/>
      <w:bookmarkEnd w:id="116"/>
      <w:bookmarkStart w:id="117" w:name="_Toc184312123"/>
      <w:bookmarkEnd w:id="117"/>
      <w:bookmarkStart w:id="118" w:name="_Toc184308067"/>
      <w:bookmarkEnd w:id="118"/>
      <w:bookmarkStart w:id="119" w:name="_Toc184310297"/>
      <w:bookmarkEnd w:id="119"/>
      <w:bookmarkStart w:id="120" w:name="_Toc184313245"/>
      <w:bookmarkEnd w:id="120"/>
      <w:bookmarkStart w:id="121" w:name="_Toc184312135"/>
      <w:bookmarkEnd w:id="121"/>
      <w:bookmarkStart w:id="122" w:name="_Toc184308064"/>
      <w:bookmarkEnd w:id="122"/>
      <w:bookmarkStart w:id="123" w:name="_Toc184314415"/>
      <w:bookmarkEnd w:id="123"/>
      <w:bookmarkStart w:id="124" w:name="_Toc184312109"/>
      <w:bookmarkEnd w:id="124"/>
      <w:bookmarkStart w:id="125" w:name="_Toc184308049"/>
      <w:bookmarkEnd w:id="125"/>
      <w:bookmarkStart w:id="126" w:name="_Toc184313277"/>
      <w:bookmarkEnd w:id="126"/>
      <w:bookmarkStart w:id="127" w:name="_Toc184313239"/>
      <w:bookmarkEnd w:id="127"/>
      <w:bookmarkStart w:id="128" w:name="_Toc184308054"/>
      <w:bookmarkEnd w:id="128"/>
      <w:bookmarkStart w:id="129" w:name="_Toc184312120"/>
      <w:bookmarkEnd w:id="129"/>
      <w:bookmarkStart w:id="130" w:name="_Toc184310275"/>
      <w:bookmarkEnd w:id="130"/>
      <w:bookmarkStart w:id="131" w:name="_Toc184312107"/>
      <w:bookmarkEnd w:id="131"/>
      <w:bookmarkStart w:id="132" w:name="_Toc184312112"/>
      <w:bookmarkEnd w:id="132"/>
      <w:bookmarkStart w:id="133" w:name="_Toc184313286"/>
      <w:bookmarkEnd w:id="133"/>
      <w:bookmarkStart w:id="134" w:name="_Toc184308078"/>
      <w:bookmarkEnd w:id="134"/>
      <w:bookmarkStart w:id="135" w:name="_Toc184313246"/>
      <w:bookmarkEnd w:id="135"/>
      <w:bookmarkStart w:id="136" w:name="_Toc184308083"/>
      <w:bookmarkEnd w:id="136"/>
      <w:bookmarkStart w:id="137" w:name="_Toc184312127"/>
      <w:bookmarkEnd w:id="137"/>
      <w:bookmarkStart w:id="138" w:name="_Toc184313268"/>
      <w:bookmarkEnd w:id="138"/>
      <w:bookmarkStart w:id="139" w:name="_Toc184312110"/>
      <w:bookmarkEnd w:id="139"/>
      <w:bookmarkStart w:id="140" w:name="_Toc184308062"/>
      <w:bookmarkEnd w:id="140"/>
      <w:bookmarkStart w:id="141" w:name="_Toc184308052"/>
      <w:bookmarkEnd w:id="141"/>
      <w:bookmarkStart w:id="142" w:name="_Toc184314424"/>
      <w:bookmarkEnd w:id="142"/>
      <w:bookmarkStart w:id="143" w:name="_Toc184313279"/>
      <w:bookmarkEnd w:id="143"/>
      <w:bookmarkStart w:id="144" w:name="_Toc184312125"/>
      <w:bookmarkEnd w:id="144"/>
      <w:bookmarkStart w:id="145" w:name="_Toc184314431"/>
      <w:bookmarkEnd w:id="145"/>
      <w:bookmarkStart w:id="146" w:name="_Toc184314452"/>
      <w:bookmarkEnd w:id="146"/>
      <w:bookmarkStart w:id="147" w:name="_Toc184310308"/>
      <w:bookmarkEnd w:id="147"/>
      <w:bookmarkStart w:id="148" w:name="_Toc184308085"/>
      <w:bookmarkEnd w:id="148"/>
      <w:bookmarkStart w:id="149" w:name="_Toc184313254"/>
      <w:bookmarkEnd w:id="149"/>
      <w:bookmarkStart w:id="150" w:name="_Toc184314478"/>
      <w:bookmarkEnd w:id="150"/>
      <w:bookmarkStart w:id="151" w:name="_Toc184308082"/>
      <w:bookmarkEnd w:id="151"/>
      <w:bookmarkStart w:id="152" w:name="_Toc184314475"/>
      <w:bookmarkEnd w:id="152"/>
      <w:bookmarkStart w:id="153" w:name="_Toc184313244"/>
      <w:bookmarkEnd w:id="153"/>
      <w:bookmarkStart w:id="154" w:name="_Toc184308043"/>
      <w:bookmarkEnd w:id="154"/>
      <w:bookmarkStart w:id="155" w:name="_Toc184314413"/>
      <w:bookmarkEnd w:id="155"/>
      <w:bookmarkStart w:id="156" w:name="_Toc184313240"/>
      <w:bookmarkEnd w:id="156"/>
      <w:bookmarkStart w:id="157" w:name="_Toc184313306"/>
      <w:bookmarkEnd w:id="157"/>
      <w:bookmarkStart w:id="158" w:name="_Toc184313287"/>
      <w:bookmarkEnd w:id="158"/>
      <w:bookmarkStart w:id="159" w:name="_Toc184313296"/>
      <w:bookmarkEnd w:id="159"/>
      <w:bookmarkStart w:id="160" w:name="_Toc184314466"/>
      <w:bookmarkEnd w:id="160"/>
      <w:bookmarkStart w:id="161" w:name="_Toc184314428"/>
      <w:bookmarkEnd w:id="161"/>
      <w:bookmarkStart w:id="162" w:name="_Toc184310319"/>
      <w:bookmarkEnd w:id="162"/>
      <w:bookmarkStart w:id="163" w:name="_Toc184313289"/>
      <w:bookmarkEnd w:id="163"/>
      <w:bookmarkStart w:id="164" w:name="_Toc184313274"/>
      <w:bookmarkEnd w:id="164"/>
      <w:bookmarkStart w:id="165" w:name="_Toc184313262"/>
      <w:bookmarkEnd w:id="165"/>
      <w:bookmarkStart w:id="166" w:name="_Toc184314464"/>
      <w:bookmarkEnd w:id="166"/>
      <w:bookmarkStart w:id="167" w:name="_Toc184312104"/>
      <w:bookmarkEnd w:id="167"/>
      <w:bookmarkStart w:id="168" w:name="_Toc184308105"/>
      <w:bookmarkEnd w:id="168"/>
      <w:bookmarkStart w:id="169" w:name="_Toc184312138"/>
      <w:bookmarkEnd w:id="169"/>
      <w:bookmarkStart w:id="170" w:name="_Toc184313297"/>
      <w:bookmarkEnd w:id="170"/>
      <w:bookmarkStart w:id="171" w:name="_Toc184314459"/>
      <w:bookmarkEnd w:id="171"/>
      <w:bookmarkStart w:id="172" w:name="_Toc184314443"/>
      <w:bookmarkEnd w:id="172"/>
      <w:bookmarkStart w:id="173" w:name="_Toc184314450"/>
      <w:bookmarkEnd w:id="173"/>
      <w:bookmarkStart w:id="174" w:name="_Toc184310320"/>
      <w:bookmarkEnd w:id="174"/>
      <w:bookmarkStart w:id="175" w:name="_Toc184313284"/>
      <w:bookmarkEnd w:id="175"/>
      <w:bookmarkStart w:id="176" w:name="_Toc184310278"/>
      <w:bookmarkEnd w:id="176"/>
      <w:bookmarkStart w:id="177" w:name="_Toc184314435"/>
      <w:bookmarkEnd w:id="177"/>
      <w:bookmarkStart w:id="178" w:name="_Toc184313276"/>
      <w:bookmarkEnd w:id="178"/>
      <w:bookmarkStart w:id="179" w:name="_Toc184310338"/>
      <w:bookmarkEnd w:id="179"/>
      <w:bookmarkStart w:id="180" w:name="_Toc184310315"/>
      <w:bookmarkEnd w:id="180"/>
      <w:bookmarkStart w:id="181" w:name="_Toc184312083"/>
      <w:bookmarkEnd w:id="181"/>
      <w:bookmarkStart w:id="182" w:name="_Toc184314417"/>
      <w:bookmarkEnd w:id="182"/>
      <w:bookmarkStart w:id="183" w:name="_Toc184312111"/>
      <w:bookmarkEnd w:id="183"/>
      <w:bookmarkStart w:id="184" w:name="_Toc184312128"/>
      <w:bookmarkEnd w:id="184"/>
      <w:bookmarkStart w:id="185" w:name="_Toc184313266"/>
      <w:bookmarkEnd w:id="185"/>
      <w:bookmarkStart w:id="186" w:name="_Toc184308076"/>
      <w:bookmarkEnd w:id="186"/>
      <w:bookmarkStart w:id="187" w:name="_Toc184308055"/>
      <w:bookmarkEnd w:id="187"/>
      <w:bookmarkStart w:id="188" w:name="_Toc184312117"/>
      <w:bookmarkEnd w:id="188"/>
      <w:bookmarkStart w:id="189" w:name="_Toc184314477"/>
      <w:bookmarkEnd w:id="189"/>
      <w:bookmarkStart w:id="190" w:name="_Toc184314451"/>
      <w:bookmarkEnd w:id="190"/>
      <w:bookmarkStart w:id="191" w:name="_Toc184308090"/>
      <w:bookmarkEnd w:id="191"/>
      <w:bookmarkStart w:id="192" w:name="_Toc184310299"/>
      <w:bookmarkEnd w:id="192"/>
      <w:bookmarkStart w:id="193" w:name="_Toc184308059"/>
      <w:bookmarkEnd w:id="193"/>
      <w:bookmarkStart w:id="194" w:name="_Toc184312130"/>
      <w:bookmarkEnd w:id="194"/>
      <w:bookmarkStart w:id="195" w:name="_Toc184312134"/>
      <w:bookmarkEnd w:id="195"/>
      <w:bookmarkStart w:id="196" w:name="_Toc184312082"/>
      <w:bookmarkEnd w:id="196"/>
      <w:bookmarkStart w:id="197" w:name="_Toc184314468"/>
      <w:bookmarkEnd w:id="197"/>
      <w:bookmarkStart w:id="198" w:name="_Toc184313242"/>
      <w:bookmarkEnd w:id="198"/>
      <w:bookmarkStart w:id="199" w:name="_Toc184312126"/>
      <w:bookmarkEnd w:id="199"/>
      <w:bookmarkStart w:id="200" w:name="_Toc184313304"/>
      <w:bookmarkEnd w:id="200"/>
      <w:bookmarkStart w:id="201" w:name="_Toc184312067"/>
      <w:bookmarkEnd w:id="201"/>
      <w:bookmarkStart w:id="202" w:name="_Toc184310276"/>
      <w:bookmarkEnd w:id="202"/>
      <w:bookmarkStart w:id="203" w:name="_Toc184310323"/>
      <w:bookmarkEnd w:id="203"/>
      <w:bookmarkStart w:id="204" w:name="_Toc184312122"/>
      <w:bookmarkEnd w:id="204"/>
      <w:bookmarkStart w:id="205" w:name="_Toc184312113"/>
      <w:bookmarkEnd w:id="205"/>
      <w:bookmarkStart w:id="206" w:name="_Toc184314460"/>
      <w:bookmarkEnd w:id="206"/>
      <w:bookmarkStart w:id="207" w:name="_Toc184314481"/>
      <w:bookmarkEnd w:id="207"/>
      <w:bookmarkStart w:id="208" w:name="_Toc184310307"/>
      <w:bookmarkEnd w:id="208"/>
      <w:bookmarkStart w:id="209" w:name="_Toc184310294"/>
      <w:bookmarkEnd w:id="209"/>
      <w:bookmarkStart w:id="210" w:name="_Toc184310301"/>
      <w:bookmarkEnd w:id="210"/>
      <w:bookmarkStart w:id="211" w:name="_Toc184308100"/>
      <w:bookmarkEnd w:id="211"/>
      <w:bookmarkStart w:id="212" w:name="_Toc184312091"/>
      <w:bookmarkEnd w:id="212"/>
      <w:bookmarkStart w:id="213" w:name="_Toc184313243"/>
      <w:bookmarkEnd w:id="213"/>
      <w:bookmarkStart w:id="214" w:name="_Toc184310290"/>
      <w:bookmarkEnd w:id="214"/>
      <w:bookmarkStart w:id="215" w:name="_Toc184313299"/>
      <w:bookmarkEnd w:id="215"/>
      <w:bookmarkStart w:id="216" w:name="_Toc184313288"/>
      <w:bookmarkEnd w:id="216"/>
      <w:bookmarkStart w:id="217" w:name="_Toc184308045"/>
      <w:bookmarkEnd w:id="217"/>
      <w:bookmarkStart w:id="218" w:name="_Toc184314437"/>
      <w:bookmarkEnd w:id="218"/>
      <w:bookmarkStart w:id="219" w:name="_Toc184312129"/>
      <w:bookmarkEnd w:id="219"/>
      <w:bookmarkStart w:id="220" w:name="_Toc184313265"/>
      <w:bookmarkEnd w:id="220"/>
      <w:bookmarkStart w:id="221" w:name="_Toc184308093"/>
      <w:bookmarkEnd w:id="221"/>
      <w:bookmarkStart w:id="222" w:name="_Toc184310316"/>
      <w:bookmarkEnd w:id="222"/>
      <w:bookmarkStart w:id="223" w:name="_Toc184308060"/>
      <w:bookmarkEnd w:id="223"/>
      <w:bookmarkStart w:id="224" w:name="_Toc184310340"/>
      <w:bookmarkEnd w:id="224"/>
      <w:bookmarkStart w:id="225" w:name="_Toc184313301"/>
      <w:bookmarkEnd w:id="225"/>
      <w:bookmarkStart w:id="226" w:name="_Toc184312099"/>
      <w:bookmarkEnd w:id="226"/>
      <w:bookmarkStart w:id="227" w:name="_Toc184308036"/>
      <w:bookmarkEnd w:id="227"/>
      <w:bookmarkStart w:id="228" w:name="_Toc184312093"/>
      <w:bookmarkEnd w:id="228"/>
      <w:bookmarkStart w:id="229" w:name="_Toc184313307"/>
      <w:bookmarkEnd w:id="229"/>
      <w:bookmarkStart w:id="230" w:name="_Toc184313263"/>
      <w:bookmarkEnd w:id="230"/>
      <w:bookmarkStart w:id="231" w:name="_Toc184308107"/>
      <w:bookmarkEnd w:id="231"/>
      <w:bookmarkStart w:id="232" w:name="_Toc184312096"/>
      <w:bookmarkEnd w:id="232"/>
      <w:bookmarkStart w:id="233" w:name="_Toc184308050"/>
      <w:bookmarkEnd w:id="233"/>
      <w:bookmarkStart w:id="234" w:name="_Toc184314432"/>
      <w:bookmarkEnd w:id="234"/>
      <w:bookmarkStart w:id="235" w:name="_Toc184310326"/>
      <w:bookmarkEnd w:id="235"/>
      <w:bookmarkStart w:id="236" w:name="_Toc184312085"/>
      <w:bookmarkEnd w:id="236"/>
      <w:bookmarkStart w:id="237" w:name="_Toc184308057"/>
      <w:bookmarkEnd w:id="237"/>
      <w:bookmarkStart w:id="238" w:name="_Toc184314472"/>
      <w:bookmarkEnd w:id="238"/>
      <w:bookmarkStart w:id="239" w:name="_Toc184313259"/>
      <w:bookmarkEnd w:id="239"/>
      <w:bookmarkStart w:id="240" w:name="_Toc184310298"/>
      <w:bookmarkEnd w:id="240"/>
      <w:bookmarkStart w:id="241" w:name="_Toc184308038"/>
      <w:bookmarkEnd w:id="241"/>
      <w:bookmarkStart w:id="242" w:name="_Toc184313305"/>
      <w:bookmarkEnd w:id="242"/>
      <w:bookmarkStart w:id="243" w:name="_Toc184312088"/>
      <w:bookmarkEnd w:id="243"/>
      <w:bookmarkStart w:id="244" w:name="_Toc184314476"/>
      <w:bookmarkEnd w:id="244"/>
      <w:bookmarkStart w:id="245" w:name="_Toc184313294"/>
      <w:bookmarkEnd w:id="245"/>
      <w:bookmarkStart w:id="246" w:name="_Toc184310279"/>
      <w:bookmarkEnd w:id="246"/>
      <w:bookmarkStart w:id="247" w:name="_Toc184313309"/>
      <w:bookmarkEnd w:id="247"/>
      <w:bookmarkStart w:id="248" w:name="_Toc184314429"/>
      <w:bookmarkEnd w:id="248"/>
      <w:bookmarkStart w:id="249" w:name="_Toc184310286"/>
      <w:bookmarkEnd w:id="249"/>
      <w:bookmarkStart w:id="250" w:name="_Toc184314441"/>
      <w:bookmarkEnd w:id="250"/>
      <w:bookmarkStart w:id="251" w:name="_Toc184314430"/>
      <w:bookmarkEnd w:id="251"/>
      <w:bookmarkStart w:id="252" w:name="_Toc184313261"/>
      <w:bookmarkEnd w:id="252"/>
      <w:bookmarkStart w:id="253" w:name="_Toc184310289"/>
      <w:bookmarkEnd w:id="253"/>
      <w:bookmarkStart w:id="254" w:name="_Toc184314473"/>
      <w:bookmarkEnd w:id="254"/>
      <w:bookmarkStart w:id="255" w:name="_Toc184310317"/>
      <w:bookmarkEnd w:id="255"/>
      <w:bookmarkStart w:id="256" w:name="_Toc184314426"/>
      <w:bookmarkEnd w:id="256"/>
      <w:bookmarkStart w:id="257" w:name="_Toc184308096"/>
      <w:bookmarkEnd w:id="257"/>
      <w:bookmarkStart w:id="258" w:name="_Toc184312102"/>
      <w:bookmarkEnd w:id="258"/>
      <w:bookmarkStart w:id="259" w:name="_Toc184308037"/>
      <w:bookmarkEnd w:id="259"/>
      <w:bookmarkStart w:id="260" w:name="_Toc184313275"/>
      <w:bookmarkEnd w:id="260"/>
      <w:bookmarkStart w:id="261" w:name="_Toc184314462"/>
      <w:bookmarkEnd w:id="261"/>
      <w:bookmarkStart w:id="262" w:name="_Toc184310330"/>
      <w:bookmarkEnd w:id="262"/>
      <w:bookmarkStart w:id="263" w:name="_Toc184314439"/>
      <w:bookmarkEnd w:id="263"/>
      <w:bookmarkStart w:id="264" w:name="_Toc184308099"/>
      <w:bookmarkEnd w:id="264"/>
      <w:bookmarkStart w:id="265" w:name="_Toc184308098"/>
      <w:bookmarkEnd w:id="265"/>
      <w:bookmarkStart w:id="266" w:name="_Toc184313308"/>
      <w:bookmarkEnd w:id="266"/>
      <w:bookmarkStart w:id="267" w:name="_Toc184310341"/>
      <w:bookmarkEnd w:id="267"/>
      <w:bookmarkStart w:id="268" w:name="_Toc184314469"/>
      <w:bookmarkEnd w:id="268"/>
      <w:bookmarkStart w:id="269" w:name="_Toc184312108"/>
      <w:bookmarkEnd w:id="269"/>
      <w:bookmarkStart w:id="270" w:name="_Toc184312105"/>
      <w:bookmarkEnd w:id="270"/>
      <w:bookmarkStart w:id="271" w:name="_Toc184314419"/>
      <w:bookmarkEnd w:id="271"/>
      <w:bookmarkStart w:id="272" w:name="_Toc184313281"/>
      <w:bookmarkEnd w:id="272"/>
      <w:bookmarkStart w:id="273" w:name="_Toc184312100"/>
      <w:bookmarkEnd w:id="273"/>
      <w:bookmarkStart w:id="274" w:name="_Toc184310311"/>
      <w:bookmarkEnd w:id="274"/>
      <w:bookmarkStart w:id="275" w:name="_Toc184310273"/>
      <w:bookmarkEnd w:id="275"/>
      <w:bookmarkStart w:id="276" w:name="_Toc184308101"/>
      <w:bookmarkEnd w:id="276"/>
      <w:bookmarkStart w:id="277" w:name="_Toc184308058"/>
      <w:bookmarkEnd w:id="277"/>
      <w:bookmarkStart w:id="278" w:name="_Toc184312090"/>
      <w:bookmarkEnd w:id="278"/>
      <w:bookmarkStart w:id="279" w:name="_Toc184314414"/>
      <w:bookmarkEnd w:id="279"/>
      <w:bookmarkStart w:id="280" w:name="_Toc184310306"/>
      <w:bookmarkEnd w:id="280"/>
      <w:bookmarkStart w:id="281" w:name="_Toc184314434"/>
      <w:bookmarkEnd w:id="281"/>
      <w:bookmarkStart w:id="282" w:name="_Toc184314410"/>
      <w:bookmarkEnd w:id="282"/>
      <w:bookmarkStart w:id="283" w:name="_Toc184310282"/>
      <w:bookmarkEnd w:id="283"/>
      <w:bookmarkStart w:id="284" w:name="_Toc184308104"/>
      <w:bookmarkEnd w:id="284"/>
      <w:bookmarkStart w:id="285" w:name="_Toc184312136"/>
      <w:bookmarkEnd w:id="285"/>
      <w:bookmarkStart w:id="286" w:name="_Toc184310343"/>
      <w:bookmarkEnd w:id="286"/>
      <w:bookmarkStart w:id="287" w:name="_Toc184313300"/>
      <w:bookmarkEnd w:id="287"/>
      <w:bookmarkStart w:id="288" w:name="_Toc184312076"/>
      <w:bookmarkEnd w:id="288"/>
      <w:bookmarkStart w:id="289" w:name="_Toc184312095"/>
      <w:bookmarkEnd w:id="289"/>
      <w:bookmarkStart w:id="290" w:name="_Toc184313250"/>
      <w:bookmarkEnd w:id="290"/>
      <w:bookmarkStart w:id="291" w:name="_Toc184312081"/>
      <w:bookmarkEnd w:id="291"/>
      <w:bookmarkStart w:id="292" w:name="_Toc184312094"/>
      <w:bookmarkEnd w:id="292"/>
      <w:bookmarkStart w:id="293" w:name="_Toc184312071"/>
      <w:bookmarkEnd w:id="293"/>
      <w:bookmarkStart w:id="294" w:name="_Toc184310303"/>
      <w:bookmarkEnd w:id="294"/>
      <w:bookmarkStart w:id="295" w:name="_Toc184308047"/>
      <w:bookmarkEnd w:id="295"/>
      <w:bookmarkStart w:id="296" w:name="_Toc184314458"/>
      <w:bookmarkEnd w:id="296"/>
      <w:bookmarkStart w:id="297" w:name="_Toc184313238"/>
      <w:bookmarkEnd w:id="297"/>
      <w:bookmarkStart w:id="298" w:name="_Toc184310324"/>
      <w:bookmarkEnd w:id="298"/>
      <w:bookmarkStart w:id="299" w:name="_Toc184310305"/>
      <w:bookmarkEnd w:id="299"/>
      <w:bookmarkStart w:id="300" w:name="_Toc184314436"/>
      <w:bookmarkEnd w:id="300"/>
      <w:bookmarkStart w:id="301" w:name="_Toc184312078"/>
      <w:bookmarkEnd w:id="301"/>
      <w:bookmarkStart w:id="302" w:name="_Toc184310274"/>
      <w:bookmarkEnd w:id="302"/>
      <w:bookmarkStart w:id="303" w:name="_Toc184314411"/>
      <w:bookmarkEnd w:id="303"/>
      <w:bookmarkStart w:id="304" w:name="_Toc184312114"/>
      <w:bookmarkEnd w:id="304"/>
      <w:bookmarkStart w:id="305" w:name="_Toc184308044"/>
      <w:bookmarkEnd w:id="305"/>
      <w:bookmarkStart w:id="306" w:name="_Toc184310328"/>
      <w:bookmarkEnd w:id="306"/>
      <w:bookmarkStart w:id="307" w:name="_Toc184308102"/>
      <w:bookmarkEnd w:id="307"/>
      <w:bookmarkStart w:id="308" w:name="_Toc184313269"/>
      <w:bookmarkEnd w:id="308"/>
      <w:bookmarkStart w:id="309" w:name="_Toc184313290"/>
      <w:bookmarkEnd w:id="309"/>
      <w:bookmarkStart w:id="310" w:name="_Toc184314467"/>
      <w:bookmarkEnd w:id="310"/>
      <w:bookmarkStart w:id="311" w:name="_Toc184310295"/>
      <w:bookmarkEnd w:id="311"/>
      <w:bookmarkStart w:id="312" w:name="_Toc184312106"/>
      <w:bookmarkEnd w:id="312"/>
      <w:bookmarkStart w:id="313" w:name="_Toc184308066"/>
      <w:bookmarkEnd w:id="313"/>
      <w:bookmarkStart w:id="314" w:name="_Toc184310304"/>
      <w:bookmarkEnd w:id="314"/>
      <w:bookmarkStart w:id="315" w:name="_Toc184310332"/>
      <w:bookmarkEnd w:id="315"/>
      <w:bookmarkStart w:id="316" w:name="_Toc184314465"/>
      <w:bookmarkEnd w:id="316"/>
      <w:bookmarkStart w:id="317" w:name="_Toc184308103"/>
      <w:bookmarkEnd w:id="317"/>
      <w:bookmarkStart w:id="318" w:name="_Toc184314461"/>
      <w:bookmarkEnd w:id="318"/>
      <w:bookmarkStart w:id="319" w:name="_Toc184310300"/>
      <w:bookmarkEnd w:id="319"/>
      <w:bookmarkStart w:id="320" w:name="_Toc184312118"/>
      <w:bookmarkEnd w:id="320"/>
      <w:bookmarkStart w:id="321" w:name="_Toc184314444"/>
      <w:bookmarkEnd w:id="321"/>
      <w:bookmarkStart w:id="322" w:name="_Toc184308075"/>
      <w:bookmarkEnd w:id="322"/>
      <w:bookmarkStart w:id="323" w:name="_Toc184308097"/>
      <w:bookmarkEnd w:id="323"/>
      <w:bookmarkStart w:id="324" w:name="_Toc184308091"/>
      <w:bookmarkEnd w:id="324"/>
      <w:bookmarkStart w:id="325" w:name="_Toc184308080"/>
      <w:bookmarkEnd w:id="325"/>
      <w:bookmarkStart w:id="326" w:name="_Toc184308089"/>
      <w:bookmarkEnd w:id="326"/>
      <w:bookmarkStart w:id="327" w:name="_Toc184308046"/>
      <w:bookmarkEnd w:id="327"/>
      <w:bookmarkStart w:id="328" w:name="_Toc184312139"/>
      <w:bookmarkEnd w:id="328"/>
      <w:bookmarkStart w:id="329" w:name="_Toc184310337"/>
      <w:bookmarkEnd w:id="329"/>
      <w:bookmarkStart w:id="330" w:name="_Toc184314423"/>
      <w:bookmarkEnd w:id="330"/>
      <w:bookmarkStart w:id="331" w:name="_Toc184313252"/>
      <w:bookmarkEnd w:id="331"/>
      <w:bookmarkStart w:id="332" w:name="_Toc184308092"/>
      <w:bookmarkEnd w:id="332"/>
      <w:bookmarkStart w:id="333" w:name="_Toc184313247"/>
      <w:bookmarkEnd w:id="333"/>
      <w:bookmarkStart w:id="334" w:name="_Toc184310318"/>
      <w:bookmarkEnd w:id="334"/>
      <w:bookmarkStart w:id="335" w:name="_Toc184314479"/>
      <w:bookmarkEnd w:id="335"/>
      <w:bookmarkStart w:id="336" w:name="_Toc184312101"/>
      <w:bookmarkEnd w:id="336"/>
      <w:bookmarkStart w:id="337" w:name="_Toc184312092"/>
      <w:bookmarkEnd w:id="337"/>
      <w:bookmarkStart w:id="338" w:name="_Toc184312073"/>
      <w:bookmarkEnd w:id="338"/>
      <w:bookmarkStart w:id="339" w:name="_Toc184310334"/>
      <w:bookmarkEnd w:id="339"/>
      <w:bookmarkStart w:id="340" w:name="_Toc184312119"/>
      <w:bookmarkEnd w:id="340"/>
      <w:bookmarkStart w:id="341" w:name="_Toc184314456"/>
      <w:bookmarkEnd w:id="341"/>
      <w:bookmarkStart w:id="342" w:name="_Toc184313248"/>
      <w:bookmarkEnd w:id="342"/>
      <w:bookmarkStart w:id="343" w:name="_Toc184312115"/>
      <w:bookmarkEnd w:id="343"/>
      <w:bookmarkStart w:id="344" w:name="_Toc184310281"/>
      <w:bookmarkEnd w:id="344"/>
      <w:bookmarkStart w:id="345" w:name="_Toc184314427"/>
      <w:bookmarkEnd w:id="345"/>
      <w:bookmarkStart w:id="346" w:name="_Toc184314457"/>
      <w:bookmarkEnd w:id="346"/>
      <w:bookmarkStart w:id="347" w:name="_Toc184308073"/>
      <w:bookmarkEnd w:id="347"/>
      <w:bookmarkStart w:id="348" w:name="_Toc184310333"/>
      <w:bookmarkEnd w:id="348"/>
      <w:bookmarkStart w:id="349" w:name="_Toc184310312"/>
      <w:bookmarkEnd w:id="349"/>
      <w:bookmarkStart w:id="350" w:name="_Toc184313291"/>
      <w:bookmarkEnd w:id="350"/>
      <w:bookmarkStart w:id="351" w:name="_Toc184312074"/>
      <w:bookmarkEnd w:id="351"/>
      <w:bookmarkStart w:id="352" w:name="_Toc184312131"/>
      <w:bookmarkEnd w:id="352"/>
      <w:bookmarkStart w:id="353" w:name="_Toc184308106"/>
      <w:bookmarkEnd w:id="353"/>
      <w:bookmarkStart w:id="354" w:name="_Toc184314474"/>
      <w:bookmarkEnd w:id="354"/>
      <w:bookmarkStart w:id="355" w:name="_Toc184310336"/>
      <w:bookmarkEnd w:id="355"/>
      <w:bookmarkStart w:id="356" w:name="_Toc184312079"/>
      <w:bookmarkEnd w:id="356"/>
      <w:bookmarkStart w:id="357" w:name="_Toc184312121"/>
      <w:bookmarkEnd w:id="357"/>
      <w:bookmarkStart w:id="358" w:name="_Toc184313272"/>
      <w:bookmarkEnd w:id="358"/>
      <w:bookmarkStart w:id="359" w:name="_Toc184312068"/>
      <w:bookmarkEnd w:id="359"/>
      <w:bookmarkStart w:id="360" w:name="_Toc184310309"/>
      <w:bookmarkEnd w:id="360"/>
      <w:bookmarkStart w:id="361" w:name="_Toc184308061"/>
      <w:bookmarkEnd w:id="361"/>
      <w:bookmarkStart w:id="362" w:name="_Toc184313292"/>
      <w:bookmarkEnd w:id="362"/>
      <w:bookmarkStart w:id="363" w:name="_Toc184314425"/>
      <w:bookmarkEnd w:id="363"/>
      <w:bookmarkStart w:id="364" w:name="_Toc184308079"/>
      <w:bookmarkEnd w:id="364"/>
      <w:bookmarkStart w:id="365" w:name="_Toc184312077"/>
      <w:bookmarkEnd w:id="365"/>
      <w:bookmarkStart w:id="366" w:name="_Toc184308063"/>
      <w:bookmarkEnd w:id="366"/>
      <w:bookmarkStart w:id="367" w:name="_Toc184314433"/>
      <w:bookmarkEnd w:id="367"/>
      <w:bookmarkStart w:id="368" w:name="_Toc184308051"/>
      <w:bookmarkEnd w:id="368"/>
      <w:bookmarkStart w:id="369" w:name="_Toc184313249"/>
      <w:bookmarkEnd w:id="369"/>
      <w:bookmarkStart w:id="370" w:name="_Toc184310321"/>
      <w:bookmarkEnd w:id="370"/>
      <w:bookmarkStart w:id="371" w:name="_Toc184314470"/>
      <w:bookmarkEnd w:id="371"/>
      <w:bookmarkStart w:id="372" w:name="_Toc184314453"/>
      <w:bookmarkEnd w:id="372"/>
      <w:bookmarkStart w:id="373" w:name="_Toc184310310"/>
      <w:bookmarkEnd w:id="373"/>
      <w:bookmarkStart w:id="374" w:name="_Toc184312069"/>
      <w:bookmarkEnd w:id="374"/>
      <w:bookmarkStart w:id="375" w:name="_Toc184313302"/>
      <w:bookmarkEnd w:id="375"/>
      <w:bookmarkStart w:id="376" w:name="_Toc184313285"/>
      <w:bookmarkEnd w:id="376"/>
      <w:bookmarkStart w:id="377" w:name="_Toc184314446"/>
      <w:bookmarkEnd w:id="377"/>
      <w:bookmarkStart w:id="378" w:name="_Toc184310291"/>
      <w:bookmarkEnd w:id="378"/>
      <w:bookmarkStart w:id="379" w:name="_Toc184314412"/>
      <w:bookmarkEnd w:id="379"/>
      <w:bookmarkStart w:id="380" w:name="_Toc184312097"/>
      <w:bookmarkEnd w:id="380"/>
      <w:bookmarkStart w:id="381" w:name="_Toc184314480"/>
      <w:bookmarkEnd w:id="381"/>
      <w:bookmarkStart w:id="382" w:name="_Toc184313310"/>
      <w:bookmarkEnd w:id="382"/>
      <w:bookmarkStart w:id="383" w:name="_Toc184314418"/>
      <w:bookmarkEnd w:id="383"/>
      <w:bookmarkStart w:id="384" w:name="_Toc184312124"/>
      <w:bookmarkEnd w:id="384"/>
      <w:bookmarkStart w:id="385" w:name="_Toc184314442"/>
      <w:bookmarkEnd w:id="385"/>
      <w:bookmarkStart w:id="386" w:name="_Toc184310322"/>
      <w:bookmarkEnd w:id="386"/>
      <w:bookmarkStart w:id="387" w:name="_Toc184313282"/>
      <w:bookmarkEnd w:id="387"/>
      <w:bookmarkStart w:id="388" w:name="_Toc184313280"/>
      <w:bookmarkEnd w:id="388"/>
      <w:bookmarkStart w:id="389" w:name="_Toc184314482"/>
      <w:bookmarkEnd w:id="389"/>
      <w:bookmarkStart w:id="390" w:name="_Toc184308077"/>
      <w:bookmarkEnd w:id="390"/>
      <w:bookmarkStart w:id="391" w:name="_Toc184310313"/>
      <w:bookmarkEnd w:id="391"/>
      <w:bookmarkStart w:id="392" w:name="_Toc184314455"/>
      <w:bookmarkEnd w:id="392"/>
      <w:bookmarkStart w:id="393" w:name="_Toc184314421"/>
      <w:bookmarkEnd w:id="393"/>
      <w:bookmarkStart w:id="394" w:name="_Toc184312080"/>
      <w:bookmarkEnd w:id="394"/>
      <w:r>
        <w:rPr>
          <w:rFonts w:hint="eastAsia" w:cs="宋体" w:asciiTheme="minorEastAsia" w:hAnsiTheme="minorEastAsia" w:eastAsiaTheme="minorEastAsia"/>
          <w:b/>
          <w:sz w:val="36"/>
          <w:szCs w:val="36"/>
        </w:rPr>
        <w:t>评标办法</w:t>
      </w:r>
    </w:p>
    <w:p>
      <w:pPr>
        <w:snapToGrid w:val="0"/>
        <w:spacing w:line="360" w:lineRule="auto"/>
        <w:jc w:val="center"/>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评标办法前附表</w:t>
      </w:r>
    </w:p>
    <w:p>
      <w:pPr>
        <w:pStyle w:val="89"/>
        <w:spacing w:before="0"/>
        <w:ind w:firstLine="602" w:firstLineChars="250"/>
        <w:rPr>
          <w:rFonts w:cs="宋体" w:asciiTheme="minorEastAsia" w:hAnsiTheme="minorEastAsia" w:eastAsiaTheme="minorEastAsia"/>
          <w:szCs w:val="24"/>
        </w:rPr>
      </w:pPr>
      <w:r>
        <w:rPr>
          <w:rFonts w:hint="eastAsia" w:cs="宋体" w:asciiTheme="minorEastAsia" w:hAnsiTheme="minorEastAsia" w:eastAsiaTheme="minorEastAsia"/>
          <w:b/>
          <w:szCs w:val="24"/>
        </w:rPr>
        <w:t>1、本次评标采用综合评分法，总分为100分。</w:t>
      </w:r>
      <w:r>
        <w:rPr>
          <w:rFonts w:hint="eastAsia" w:cs="宋体" w:asciiTheme="minorEastAsia" w:hAnsiTheme="minorEastAsia" w:eastAsiaTheme="minorEastAsia"/>
          <w:szCs w:val="24"/>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89"/>
        <w:spacing w:before="0"/>
        <w:ind w:firstLine="600" w:firstLineChars="250"/>
        <w:rPr>
          <w:rFonts w:cs="宋体" w:asciiTheme="minorEastAsia" w:hAnsiTheme="minorEastAsia" w:eastAsiaTheme="minorEastAsia"/>
          <w:bCs/>
          <w:szCs w:val="24"/>
        </w:rPr>
      </w:pPr>
      <w:r>
        <w:rPr>
          <w:rFonts w:hint="eastAsia" w:cs="宋体" w:asciiTheme="minorEastAsia" w:hAnsiTheme="minorEastAsia" w:eastAsiaTheme="minorEastAsia"/>
          <w:bCs/>
          <w:szCs w:val="24"/>
        </w:rPr>
        <w:t>各投标人的综合得分为：投标价格得分+技术商务得分之和，总和为100分，其中：投标价格得分10分，商务技术得分90分。</w:t>
      </w:r>
    </w:p>
    <w:p>
      <w:pPr>
        <w:numPr>
          <w:ilvl w:val="0"/>
          <w:numId w:val="3"/>
        </w:num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商务、技术评标细则（90分）</w:t>
      </w:r>
    </w:p>
    <w:p>
      <w:pPr>
        <w:spacing w:line="360" w:lineRule="auto"/>
        <w:ind w:firstLine="465" w:firstLineChars="193"/>
        <w:rPr>
          <w:rFonts w:cs="宋体" w:asciiTheme="minorEastAsia" w:hAnsiTheme="minorEastAsia" w:eastAsiaTheme="minorEastAsia"/>
          <w:b/>
          <w:bCs/>
          <w:sz w:val="24"/>
        </w:rPr>
      </w:pPr>
      <w:r>
        <w:rPr>
          <w:rFonts w:hint="eastAsia" w:cs="宋体" w:asciiTheme="minorEastAsia" w:hAnsiTheme="minorEastAsia" w:eastAsiaTheme="minorEastAsia"/>
          <w:b/>
          <w:bCs/>
          <w:sz w:val="24"/>
        </w:rPr>
        <w:t>（1）</w:t>
      </w:r>
      <w:r>
        <w:rPr>
          <w:rFonts w:cs="宋体" w:asciiTheme="minorEastAsia" w:hAnsiTheme="minorEastAsia" w:eastAsiaTheme="minorEastAsia"/>
          <w:b/>
          <w:bCs/>
          <w:sz w:val="24"/>
        </w:rPr>
        <w:t>商务技术分</w:t>
      </w:r>
      <w:r>
        <w:rPr>
          <w:rFonts w:hint="eastAsia" w:cs="宋体" w:asciiTheme="minorEastAsia" w:hAnsiTheme="minorEastAsia" w:eastAsiaTheme="minorEastAsia"/>
          <w:b/>
          <w:bCs/>
          <w:sz w:val="24"/>
        </w:rPr>
        <w:t>（90分）</w:t>
      </w:r>
    </w:p>
    <w:p>
      <w:pPr>
        <w:spacing w:line="360" w:lineRule="auto"/>
        <w:ind w:firstLine="463" w:firstLineChars="193"/>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cs="宋体" w:asciiTheme="minorEastAsia" w:hAnsiTheme="minorEastAsia" w:eastAsiaTheme="minorEastAsia"/>
          <w:sz w:val="24"/>
        </w:rPr>
        <w:t xml:space="preserve">商务技术分的计算： 按照评标委员会成员的独立评分结果汇总数的算术平均分计算，计算公式为： </w:t>
      </w:r>
    </w:p>
    <w:p>
      <w:pPr>
        <w:spacing w:line="360" w:lineRule="auto"/>
        <w:ind w:firstLine="465" w:firstLineChars="193"/>
        <w:rPr>
          <w:rFonts w:cs="宋体" w:asciiTheme="minorEastAsia" w:hAnsiTheme="minorEastAsia" w:eastAsiaTheme="minorEastAsia"/>
          <w:b/>
        </w:rPr>
      </w:pPr>
      <w:r>
        <w:rPr>
          <w:rFonts w:cs="宋体" w:asciiTheme="minorEastAsia" w:hAnsiTheme="minorEastAsia" w:eastAsiaTheme="minorEastAsia"/>
          <w:b/>
          <w:bCs/>
          <w:sz w:val="24"/>
        </w:rPr>
        <w:t>商务技术分=评标委员会所有成员评分合计数/评标委员会组成人员数</w:t>
      </w:r>
    </w:p>
    <w:p>
      <w:pPr>
        <w:pStyle w:val="89"/>
        <w:adjustRightInd/>
        <w:spacing w:before="0"/>
        <w:ind w:firstLine="482"/>
        <w:rPr>
          <w:rFonts w:cs="宋体" w:asciiTheme="minorEastAsia" w:hAnsiTheme="minorEastAsia" w:eastAsiaTheme="minorEastAsia"/>
          <w:b/>
          <w:szCs w:val="24"/>
        </w:rPr>
      </w:pPr>
      <w:r>
        <w:rPr>
          <w:rFonts w:hint="eastAsia" w:cs="宋体" w:asciiTheme="minorEastAsia" w:hAnsiTheme="minorEastAsia" w:eastAsiaTheme="minorEastAsia"/>
          <w:b/>
          <w:szCs w:val="24"/>
        </w:rPr>
        <w:t>商务</w:t>
      </w:r>
      <w:r>
        <w:rPr>
          <w:rFonts w:cs="宋体" w:asciiTheme="minorEastAsia" w:hAnsiTheme="minorEastAsia" w:eastAsiaTheme="minorEastAsia"/>
          <w:b/>
          <w:szCs w:val="24"/>
        </w:rPr>
        <w:t>分</w:t>
      </w:r>
      <w:r>
        <w:rPr>
          <w:rFonts w:hint="eastAsia" w:cs="宋体" w:asciiTheme="minorEastAsia" w:hAnsiTheme="minorEastAsia" w:eastAsiaTheme="minorEastAsia"/>
          <w:b/>
          <w:szCs w:val="24"/>
        </w:rPr>
        <w:t>评分细则如下：</w:t>
      </w:r>
    </w:p>
    <w:tbl>
      <w:tblPr>
        <w:tblStyle w:val="66"/>
        <w:tblW w:w="10039" w:type="dxa"/>
        <w:tblInd w:w="-5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7742"/>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序号</w:t>
            </w:r>
          </w:p>
        </w:tc>
        <w:tc>
          <w:tcPr>
            <w:tcW w:w="7742" w:type="dxa"/>
            <w:vAlign w:val="center"/>
          </w:tcPr>
          <w:p>
            <w:pPr>
              <w:spacing w:line="360" w:lineRule="auto"/>
              <w:jc w:val="center"/>
              <w:outlineLvl w:val="0"/>
              <w:rPr>
                <w:rFonts w:ascii="宋体" w:hAnsi="宋体" w:cs="仿宋_GB2312"/>
                <w:sz w:val="24"/>
              </w:rPr>
            </w:pPr>
            <w:r>
              <w:rPr>
                <w:rFonts w:hint="eastAsia" w:ascii="宋体" w:hAnsi="宋体" w:cs="仿宋_GB2312"/>
                <w:sz w:val="24"/>
              </w:rPr>
              <w:t>评审内容</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p>
        </w:tc>
        <w:tc>
          <w:tcPr>
            <w:tcW w:w="7742" w:type="dxa"/>
            <w:vAlign w:val="center"/>
          </w:tcPr>
          <w:p>
            <w:pPr>
              <w:spacing w:line="360" w:lineRule="auto"/>
              <w:jc w:val="center"/>
              <w:outlineLvl w:val="0"/>
              <w:rPr>
                <w:rFonts w:ascii="宋体" w:hAnsi="宋体" w:cs="仿宋_GB2312"/>
                <w:b/>
                <w:sz w:val="24"/>
              </w:rPr>
            </w:pPr>
            <w:r>
              <w:rPr>
                <w:rFonts w:hint="eastAsia" w:ascii="宋体" w:hAnsi="宋体" w:cs="仿宋_GB2312"/>
                <w:b/>
                <w:sz w:val="24"/>
              </w:rPr>
              <w:t>商务分</w:t>
            </w:r>
          </w:p>
        </w:tc>
        <w:tc>
          <w:tcPr>
            <w:tcW w:w="1559" w:type="dxa"/>
            <w:vAlign w:val="center"/>
          </w:tcPr>
          <w:p>
            <w:pPr>
              <w:spacing w:line="360" w:lineRule="auto"/>
              <w:jc w:val="center"/>
              <w:outlineLvl w:val="0"/>
              <w:rPr>
                <w:rFonts w:ascii="宋体" w:hAnsi="宋体" w:cs="仿宋_GB2312"/>
                <w:b/>
                <w:sz w:val="24"/>
              </w:rPr>
            </w:pPr>
            <w:r>
              <w:rPr>
                <w:rFonts w:hint="eastAsia" w:ascii="宋体" w:hAnsi="宋体" w:cs="仿宋_GB2312"/>
                <w:b/>
                <w:sz w:val="24"/>
              </w:rPr>
              <w:t>56分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1</w:t>
            </w:r>
          </w:p>
        </w:tc>
        <w:tc>
          <w:tcPr>
            <w:tcW w:w="7742" w:type="dxa"/>
            <w:vAlign w:val="center"/>
          </w:tcPr>
          <w:p>
            <w:pPr>
              <w:spacing w:line="360" w:lineRule="auto"/>
              <w:outlineLvl w:val="0"/>
              <w:rPr>
                <w:rFonts w:ascii="宋体" w:hAnsi="宋体" w:cs="仿宋_GB2312"/>
                <w:sz w:val="24"/>
              </w:rPr>
            </w:pPr>
            <w:r>
              <w:rPr>
                <w:rFonts w:hint="eastAsia" w:ascii="宋体" w:hAnsi="宋体" w:cs="仿宋_GB2312"/>
                <w:sz w:val="24"/>
              </w:rPr>
              <w:t>养护人员配备方案（人员证书不能重复计分）：</w:t>
            </w:r>
          </w:p>
          <w:p>
            <w:pPr>
              <w:spacing w:line="360" w:lineRule="auto"/>
              <w:outlineLvl w:val="0"/>
              <w:rPr>
                <w:rFonts w:ascii="宋体" w:hAnsi="宋体" w:cs="仿宋_GB2312"/>
                <w:sz w:val="24"/>
              </w:rPr>
            </w:pPr>
            <w:r>
              <w:rPr>
                <w:rFonts w:hint="eastAsia" w:ascii="宋体" w:hAnsi="宋体" w:cs="仿宋_GB2312"/>
                <w:sz w:val="24"/>
              </w:rPr>
              <w:t>1、养护项目负责人：</w:t>
            </w:r>
          </w:p>
          <w:p>
            <w:pPr>
              <w:spacing w:line="360" w:lineRule="auto"/>
              <w:outlineLvl w:val="0"/>
              <w:rPr>
                <w:rFonts w:ascii="宋体" w:hAnsi="宋体" w:cs="仿宋_GB2312"/>
                <w:sz w:val="24"/>
              </w:rPr>
            </w:pPr>
            <w:r>
              <w:rPr>
                <w:rFonts w:hint="eastAsia" w:ascii="宋体" w:hAnsi="宋体" w:cs="仿宋_GB2312"/>
                <w:sz w:val="24"/>
              </w:rPr>
              <w:t>具有园林绿化高级职称的得5分，中级职称的得3分。</w:t>
            </w:r>
          </w:p>
          <w:p>
            <w:pPr>
              <w:spacing w:line="360" w:lineRule="auto"/>
              <w:outlineLvl w:val="0"/>
              <w:rPr>
                <w:rFonts w:ascii="宋体" w:hAnsi="宋体" w:cs="仿宋_GB2312"/>
                <w:sz w:val="24"/>
              </w:rPr>
            </w:pPr>
            <w:r>
              <w:rPr>
                <w:rFonts w:hint="eastAsia" w:ascii="宋体" w:hAnsi="宋体" w:cs="仿宋_GB2312"/>
                <w:sz w:val="24"/>
              </w:rPr>
              <w:t>（投标文件中提供项目负责人相关证书及在本单位社保缴纳证明复印件或扫描件，否则不得分）</w:t>
            </w:r>
          </w:p>
          <w:p>
            <w:pPr>
              <w:spacing w:line="360" w:lineRule="auto"/>
              <w:outlineLvl w:val="0"/>
              <w:rPr>
                <w:rFonts w:ascii="宋体" w:hAnsi="宋体" w:cs="仿宋_GB2312"/>
                <w:sz w:val="24"/>
              </w:rPr>
            </w:pPr>
            <w:r>
              <w:rPr>
                <w:rFonts w:hint="eastAsia" w:ascii="宋体" w:hAnsi="宋体" w:cs="仿宋_GB2312"/>
                <w:sz w:val="24"/>
              </w:rPr>
              <w:t>2、项目组其他人员：</w:t>
            </w:r>
          </w:p>
          <w:p>
            <w:pPr>
              <w:spacing w:line="360" w:lineRule="auto"/>
              <w:outlineLvl w:val="0"/>
              <w:rPr>
                <w:rFonts w:ascii="宋体" w:hAnsi="宋体" w:cs="仿宋_GB2312"/>
                <w:sz w:val="24"/>
              </w:rPr>
            </w:pPr>
            <w:r>
              <w:rPr>
                <w:rFonts w:hint="eastAsia" w:ascii="宋体" w:hAnsi="宋体" w:cs="仿宋_GB2312"/>
                <w:sz w:val="24"/>
              </w:rPr>
              <w:t>①具备园林绿化中级职称及以上的，每人得3分，最多得6分</w:t>
            </w:r>
          </w:p>
          <w:p>
            <w:pPr>
              <w:pStyle w:val="2"/>
              <w:ind w:firstLine="0" w:firstLineChars="0"/>
              <w:rPr>
                <w:rFonts w:ascii="宋体" w:hAnsi="宋体" w:eastAsia="宋体"/>
              </w:rPr>
            </w:pPr>
            <w:r>
              <w:rPr>
                <w:rFonts w:hint="eastAsia" w:ascii="宋体" w:hAnsi="宋体" w:eastAsia="宋体" w:cs="仿宋_GB2312"/>
              </w:rPr>
              <w:t>②具备园林绿化初级职称及以上的，每人得1分，最多得2分</w:t>
            </w:r>
          </w:p>
          <w:p>
            <w:pPr>
              <w:spacing w:line="360" w:lineRule="auto"/>
              <w:outlineLvl w:val="0"/>
              <w:rPr>
                <w:rFonts w:ascii="宋体" w:hAnsi="宋体" w:cs="仿宋_GB2312"/>
                <w:sz w:val="24"/>
              </w:rPr>
            </w:pPr>
            <w:r>
              <w:rPr>
                <w:rFonts w:hint="eastAsia" w:ascii="宋体" w:hAnsi="宋体" w:cs="仿宋_GB2312"/>
                <w:sz w:val="24"/>
              </w:rPr>
              <w:t>③配备园林植保工的，每人得2分，最多得4分；</w:t>
            </w:r>
          </w:p>
          <w:p>
            <w:pPr>
              <w:spacing w:line="360" w:lineRule="auto"/>
              <w:outlineLvl w:val="0"/>
              <w:rPr>
                <w:rFonts w:ascii="宋体" w:hAnsi="宋体" w:cs="仿宋_GB2312"/>
                <w:sz w:val="24"/>
              </w:rPr>
            </w:pPr>
            <w:r>
              <w:rPr>
                <w:rFonts w:hint="eastAsia" w:ascii="宋体" w:hAnsi="宋体" w:cs="仿宋_GB2312"/>
                <w:sz w:val="24"/>
              </w:rPr>
              <w:t>④配备高级绿化工的，每人得1分，最多得5分；</w:t>
            </w:r>
          </w:p>
          <w:p>
            <w:pPr>
              <w:spacing w:line="360" w:lineRule="auto"/>
              <w:outlineLvl w:val="0"/>
              <w:rPr>
                <w:rFonts w:ascii="宋体" w:hAnsi="宋体" w:cs="仿宋_GB2312"/>
                <w:sz w:val="24"/>
              </w:rPr>
            </w:pPr>
            <w:r>
              <w:rPr>
                <w:rFonts w:hint="eastAsia" w:ascii="宋体" w:hAnsi="宋体" w:cs="仿宋_GB2312"/>
                <w:sz w:val="24"/>
              </w:rPr>
              <w:t>⑤具备花卉园艺师或高级花卉工的，每人得1分，最多得2分；</w:t>
            </w:r>
          </w:p>
          <w:p>
            <w:pPr>
              <w:spacing w:line="360" w:lineRule="auto"/>
              <w:outlineLvl w:val="0"/>
              <w:rPr>
                <w:rFonts w:ascii="宋体" w:hAnsi="宋体" w:cs="仿宋_GB2312"/>
                <w:sz w:val="24"/>
              </w:rPr>
            </w:pPr>
            <w:r>
              <w:rPr>
                <w:rFonts w:hint="eastAsia" w:ascii="宋体" w:hAnsi="宋体" w:cs="仿宋_GB2312"/>
                <w:sz w:val="24"/>
              </w:rPr>
              <w:t>（投标文件中提供相关人员证书复印件及该人员在本单位社保缴纳证明复印件或扫描件,同一人员不重复得分，不提供不得分。）</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2</w:t>
            </w:r>
          </w:p>
        </w:tc>
        <w:tc>
          <w:tcPr>
            <w:tcW w:w="7742" w:type="dxa"/>
            <w:vAlign w:val="center"/>
          </w:tcPr>
          <w:p>
            <w:pPr>
              <w:spacing w:line="360" w:lineRule="auto"/>
              <w:outlineLvl w:val="0"/>
              <w:rPr>
                <w:rFonts w:ascii="宋体" w:hAnsi="宋体" w:cs="仿宋_GB2312"/>
                <w:sz w:val="24"/>
              </w:rPr>
            </w:pPr>
            <w:r>
              <w:rPr>
                <w:rFonts w:hint="eastAsia" w:ascii="宋体" w:hAnsi="宋体" w:cs="仿宋_GB2312"/>
                <w:sz w:val="24"/>
              </w:rPr>
              <w:t>机械设备配备情况：</w:t>
            </w:r>
          </w:p>
          <w:p>
            <w:pPr>
              <w:spacing w:line="360" w:lineRule="auto"/>
              <w:outlineLvl w:val="0"/>
              <w:rPr>
                <w:rFonts w:ascii="宋体" w:hAnsi="宋体" w:cs="仿宋_GB2312"/>
                <w:sz w:val="24"/>
              </w:rPr>
            </w:pPr>
            <w:r>
              <w:rPr>
                <w:rFonts w:hint="eastAsia" w:ascii="宋体" w:hAnsi="宋体" w:cs="仿宋_GB2312"/>
                <w:sz w:val="24"/>
              </w:rPr>
              <w:t>①洒水车的配备：企业自备总质量</w:t>
            </w:r>
            <w:r>
              <w:rPr>
                <w:rFonts w:hint="eastAsia" w:ascii="宋体" w:hAnsi="宋体" w:cs="仿宋_GB2312"/>
                <w:color w:val="FF0000"/>
                <w:sz w:val="24"/>
              </w:rPr>
              <w:t>12</w:t>
            </w:r>
            <w:r>
              <w:rPr>
                <w:rFonts w:hint="eastAsia" w:ascii="宋体" w:hAnsi="宋体" w:cs="仿宋_GB2312"/>
                <w:sz w:val="24"/>
              </w:rPr>
              <w:t>吨（含）及以上的洒水车（产权须为投标单位）的每辆得3分，最高得6分。（投标文件中提供购车发票、车辆行驶证、车辆注册登记证书复印件或扫描件，否则不得分）（0-6分）</w:t>
            </w:r>
          </w:p>
          <w:p>
            <w:pPr>
              <w:spacing w:line="360" w:lineRule="auto"/>
              <w:outlineLvl w:val="0"/>
              <w:rPr>
                <w:rFonts w:ascii="宋体" w:hAnsi="宋体" w:cs="仿宋_GB2312"/>
                <w:sz w:val="24"/>
              </w:rPr>
            </w:pPr>
            <w:r>
              <w:rPr>
                <w:rFonts w:hint="eastAsia" w:ascii="宋体" w:hAnsi="宋体" w:cs="仿宋_GB2312"/>
                <w:sz w:val="24"/>
              </w:rPr>
              <w:t>②巡查货车的配备：企业自备总质量2.5T及以上货车（产权须为投标单位）有一辆得2分，最高得4分，没有则不得分（投标文件中提供购车发票、车辆行驶证、车辆注册登记证书复印件或扫描件，否则不得分）（0-4分）</w:t>
            </w:r>
          </w:p>
          <w:p>
            <w:pPr>
              <w:spacing w:line="360" w:lineRule="auto"/>
              <w:outlineLvl w:val="0"/>
              <w:rPr>
                <w:rFonts w:ascii="宋体" w:hAnsi="宋体" w:cs="仿宋_GB2312"/>
                <w:sz w:val="24"/>
              </w:rPr>
            </w:pPr>
            <w:r>
              <w:rPr>
                <w:rFonts w:hint="eastAsia" w:ascii="宋体" w:hAnsi="宋体" w:cs="仿宋_GB2312"/>
                <w:sz w:val="24"/>
              </w:rPr>
              <w:t>③绿化树枝粉碎机、鼓风机的配备：企业自备绿化树枝粉碎机、鼓风机，有一台得1分，最高得2分，产权须为投标单位，没有则不得分（投标文件中提供购置发票复印件或扫描件，否则不得分）（0-2分）</w:t>
            </w:r>
          </w:p>
          <w:p>
            <w:pPr>
              <w:spacing w:line="360" w:lineRule="auto"/>
              <w:outlineLvl w:val="0"/>
              <w:rPr>
                <w:rFonts w:ascii="宋体" w:hAnsi="宋体" w:cs="仿宋_GB2312"/>
                <w:sz w:val="24"/>
              </w:rPr>
            </w:pPr>
            <w:r>
              <w:rPr>
                <w:rFonts w:hint="eastAsia" w:ascii="宋体" w:hAnsi="宋体" w:cs="仿宋_GB2312"/>
                <w:sz w:val="24"/>
              </w:rPr>
              <w:t>③园林高压喷药机的配备：企业自备园林高压喷药机，有一台得1分，最高得2分，产权须为投标单位，没有则不得分（投标文件中提供购置发票复印件或扫描件，否则不得分）（0-2分）</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rP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6"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3</w:t>
            </w:r>
          </w:p>
        </w:tc>
        <w:tc>
          <w:tcPr>
            <w:tcW w:w="7742" w:type="dxa"/>
            <w:vAlign w:val="center"/>
          </w:tcPr>
          <w:p>
            <w:pPr>
              <w:spacing w:line="360" w:lineRule="auto"/>
              <w:outlineLvl w:val="0"/>
              <w:rPr>
                <w:rFonts w:ascii="宋体" w:hAnsi="宋体" w:cs="仿宋_GB2312"/>
                <w:sz w:val="24"/>
              </w:rPr>
            </w:pPr>
            <w:r>
              <w:rPr>
                <w:rFonts w:hint="eastAsia" w:ascii="宋体" w:hAnsi="宋体" w:cs="仿宋_GB2312"/>
                <w:sz w:val="24"/>
              </w:rPr>
              <w:t>投标人具有质量管理体系认证、环境管理体系认证、职业健康安全管理体系认证、诚信管理体系认证的，有</w:t>
            </w:r>
            <w:r>
              <w:rPr>
                <w:rFonts w:ascii="宋体" w:hAnsi="宋体" w:cs="仿宋_GB2312"/>
                <w:sz w:val="24"/>
              </w:rPr>
              <w:t>1</w:t>
            </w:r>
            <w:r>
              <w:rPr>
                <w:rFonts w:hint="eastAsia" w:ascii="宋体" w:hAnsi="宋体" w:cs="仿宋_GB2312"/>
                <w:sz w:val="24"/>
              </w:rPr>
              <w:t>个得2分，本项最高得8分，没有则不得分。（投标文件中提供相关证书复印件或扫描件，否则不得分。）</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4</w:t>
            </w:r>
          </w:p>
        </w:tc>
        <w:tc>
          <w:tcPr>
            <w:tcW w:w="7742" w:type="dxa"/>
            <w:vAlign w:val="center"/>
          </w:tcPr>
          <w:p>
            <w:pPr>
              <w:pStyle w:val="471"/>
              <w:snapToGrid w:val="0"/>
              <w:spacing w:line="360" w:lineRule="auto"/>
              <w:textAlignment w:val="baseline"/>
              <w:rPr>
                <w:rFonts w:ascii="宋体" w:hAnsi="宋体" w:cs="仿宋"/>
                <w:color w:val="auto"/>
                <w:sz w:val="24"/>
                <w:szCs w:val="24"/>
              </w:rPr>
            </w:pPr>
            <w:r>
              <w:rPr>
                <w:rFonts w:hint="eastAsia" w:ascii="宋体" w:hAnsi="宋体" w:cs="仿宋"/>
                <w:color w:val="auto"/>
                <w:sz w:val="24"/>
                <w:szCs w:val="24"/>
              </w:rPr>
              <w:t>类似项目业绩（类似项目是指管养面积在35万平方米及以上）：</w:t>
            </w:r>
          </w:p>
          <w:p>
            <w:pPr>
              <w:spacing w:line="360" w:lineRule="auto"/>
              <w:outlineLvl w:val="0"/>
              <w:rPr>
                <w:rFonts w:ascii="宋体" w:hAnsi="宋体" w:cs="仿宋_GB2312"/>
                <w:color w:val="auto"/>
                <w:sz w:val="24"/>
              </w:rPr>
            </w:pPr>
            <w:r>
              <w:rPr>
                <w:rFonts w:hint="eastAsia" w:ascii="宋体" w:hAnsi="宋体" w:cs="仿宋_GB2312"/>
                <w:color w:val="auto"/>
                <w:sz w:val="24"/>
              </w:rPr>
              <w:t>投标单位2019年1月1日（含）以来（以合同签订时间为准）承担过面积35万平方米及以上项目（或项目合同中包含绿化养护面积达到</w:t>
            </w:r>
            <w:r>
              <w:rPr>
                <w:rFonts w:hint="eastAsia" w:ascii="宋体" w:hAnsi="宋体" w:cs="仿宋"/>
                <w:color w:val="auto"/>
                <w:sz w:val="24"/>
              </w:rPr>
              <w:t>35万平方米及以上</w:t>
            </w:r>
            <w:r>
              <w:rPr>
                <w:rFonts w:hint="eastAsia" w:ascii="宋体" w:hAnsi="宋体" w:cs="仿宋_GB2312"/>
                <w:color w:val="auto"/>
                <w:sz w:val="24"/>
              </w:rPr>
              <w:t>），每个业绩得0.2分，本项最多1分（投标文件中同时提供合同以及中标通知书复印件或扫描件，否则不得分）</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5</w:t>
            </w:r>
          </w:p>
        </w:tc>
        <w:tc>
          <w:tcPr>
            <w:tcW w:w="7742" w:type="dxa"/>
            <w:vAlign w:val="center"/>
          </w:tcPr>
          <w:p>
            <w:pPr>
              <w:pStyle w:val="471"/>
              <w:snapToGrid w:val="0"/>
              <w:textAlignment w:val="baseline"/>
              <w:rPr>
                <w:rFonts w:ascii="宋体" w:hAnsi="宋体" w:cs="仿宋"/>
                <w:color w:val="auto"/>
                <w:sz w:val="24"/>
                <w:szCs w:val="24"/>
              </w:rPr>
            </w:pPr>
            <w:r>
              <w:rPr>
                <w:rFonts w:hint="eastAsia" w:ascii="宋体" w:hAnsi="宋体" w:cs="仿宋_GB2312"/>
                <w:color w:val="auto"/>
                <w:sz w:val="24"/>
              </w:rPr>
              <w:t>企业荣誉：</w:t>
            </w:r>
            <w:r>
              <w:rPr>
                <w:rFonts w:hint="eastAsia" w:ascii="宋体" w:hAnsi="宋体" w:cs="仿宋"/>
                <w:color w:val="auto"/>
                <w:sz w:val="24"/>
                <w:szCs w:val="24"/>
              </w:rPr>
              <w:t>自2019年1月1日</w:t>
            </w:r>
            <w:r>
              <w:rPr>
                <w:rFonts w:hint="eastAsia" w:ascii="宋体" w:hAnsi="宋体" w:cs="仿宋_GB2312"/>
                <w:color w:val="auto"/>
                <w:sz w:val="24"/>
              </w:rPr>
              <w:t>（含）</w:t>
            </w:r>
            <w:r>
              <w:rPr>
                <w:rFonts w:hint="eastAsia" w:ascii="宋体" w:hAnsi="宋体" w:cs="仿宋"/>
                <w:color w:val="auto"/>
                <w:sz w:val="24"/>
                <w:szCs w:val="24"/>
              </w:rPr>
              <w:t>以来在地级市“双最”评比中，获得示范荣誉的得4分、获得最佳荣誉的得3分，获得优胜荣誉的得2分，最高得9分。</w:t>
            </w:r>
          </w:p>
          <w:p>
            <w:pPr>
              <w:spacing w:line="360" w:lineRule="auto"/>
              <w:outlineLvl w:val="0"/>
              <w:rPr>
                <w:rFonts w:ascii="宋体" w:hAnsi="宋体" w:cs="仿宋_GB2312"/>
                <w:color w:val="auto"/>
                <w:sz w:val="24"/>
              </w:rPr>
            </w:pPr>
            <w:r>
              <w:rPr>
                <w:rFonts w:hint="eastAsia" w:ascii="宋体" w:hAnsi="宋体" w:cs="仿宋"/>
                <w:color w:val="auto"/>
                <w:sz w:val="24"/>
              </w:rPr>
              <w:t>（示范、最佳、优胜荣誉同一项目不能重复得分，投标文件中提供评奖办法及有效获奖证明文件（证书），并提供相应获奖管养项目合同）</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rPr>
              <w:t>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p>
        </w:tc>
        <w:tc>
          <w:tcPr>
            <w:tcW w:w="7742" w:type="dxa"/>
            <w:vAlign w:val="center"/>
          </w:tcPr>
          <w:p>
            <w:pPr>
              <w:spacing w:line="360" w:lineRule="auto"/>
              <w:jc w:val="center"/>
              <w:outlineLvl w:val="0"/>
              <w:rPr>
                <w:rFonts w:ascii="宋体" w:hAnsi="宋体" w:cs="仿宋_GB2312"/>
                <w:b/>
                <w:sz w:val="24"/>
              </w:rPr>
            </w:pPr>
            <w:r>
              <w:rPr>
                <w:rFonts w:hint="eastAsia" w:ascii="宋体" w:hAnsi="宋体" w:cs="仿宋_GB2312"/>
                <w:b/>
                <w:sz w:val="24"/>
              </w:rPr>
              <w:t>技术分</w:t>
            </w:r>
          </w:p>
        </w:tc>
        <w:tc>
          <w:tcPr>
            <w:tcW w:w="1559" w:type="dxa"/>
            <w:vAlign w:val="center"/>
          </w:tcPr>
          <w:p>
            <w:pPr>
              <w:spacing w:line="360" w:lineRule="auto"/>
              <w:jc w:val="center"/>
              <w:outlineLvl w:val="0"/>
              <w:rPr>
                <w:rFonts w:ascii="宋体" w:hAnsi="宋体" w:cs="仿宋_GB2312"/>
                <w:b/>
                <w:sz w:val="24"/>
              </w:rPr>
            </w:pPr>
            <w:r>
              <w:rPr>
                <w:rFonts w:hint="eastAsia" w:ascii="宋体" w:hAnsi="宋体" w:cs="仿宋_GB2312"/>
                <w:b/>
                <w:sz w:val="24"/>
              </w:rPr>
              <w:t>34分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1</w:t>
            </w:r>
          </w:p>
        </w:tc>
        <w:tc>
          <w:tcPr>
            <w:tcW w:w="7742" w:type="dxa"/>
            <w:vAlign w:val="center"/>
          </w:tcPr>
          <w:p>
            <w:pPr>
              <w:spacing w:line="360" w:lineRule="auto"/>
              <w:outlineLvl w:val="0"/>
              <w:rPr>
                <w:rFonts w:ascii="宋体" w:hAnsi="宋体" w:cs="仿宋_GB2312"/>
                <w:sz w:val="24"/>
              </w:rPr>
            </w:pPr>
            <w:bookmarkStart w:id="405" w:name="_GoBack"/>
            <w:r>
              <w:rPr>
                <w:rFonts w:hint="eastAsia" w:ascii="宋体" w:hAnsi="宋体" w:cs="仿宋_GB2312"/>
                <w:sz w:val="24"/>
              </w:rPr>
              <w:t>养护方案：</w:t>
            </w:r>
          </w:p>
          <w:p>
            <w:pPr>
              <w:pStyle w:val="2"/>
              <w:ind w:firstLine="0" w:firstLineChars="0"/>
              <w:rPr>
                <w:rFonts w:ascii="宋体" w:hAnsi="宋体" w:eastAsia="宋体"/>
              </w:rPr>
            </w:pPr>
            <w:r>
              <w:rPr>
                <w:rFonts w:hint="eastAsia" w:ascii="宋体" w:hAnsi="宋体" w:eastAsia="宋体"/>
              </w:rPr>
              <w:t>(1)分析招标内容的实际现状、总结存在的问题并提出相应的解决措施。全部符合的得8分；部分符合的得6分；基本符合的得4分；不符合或不提供的不得分。</w:t>
            </w:r>
          </w:p>
          <w:p>
            <w:pPr>
              <w:pStyle w:val="2"/>
              <w:ind w:firstLine="0" w:firstLineChars="0"/>
              <w:rPr>
                <w:rFonts w:ascii="宋体" w:hAnsi="宋体" w:eastAsia="宋体"/>
              </w:rPr>
            </w:pPr>
            <w:r>
              <w:rPr>
                <w:rFonts w:hint="eastAsia" w:ascii="宋体" w:hAnsi="宋体" w:eastAsia="宋体"/>
              </w:rPr>
              <w:t>(2）重点阐述病虫害防治、施肥、修剪等关键养护技术措施。</w:t>
            </w:r>
          </w:p>
          <w:p>
            <w:pPr>
              <w:pStyle w:val="2"/>
              <w:ind w:firstLine="0" w:firstLineChars="0"/>
              <w:rPr>
                <w:rFonts w:ascii="宋体" w:hAnsi="宋体" w:eastAsia="宋体"/>
              </w:rPr>
            </w:pPr>
            <w:r>
              <w:rPr>
                <w:rFonts w:hint="eastAsia" w:ascii="宋体" w:hAnsi="宋体" w:eastAsia="宋体"/>
              </w:rPr>
              <w:t>全部符合的得8分；部分符合的得6分；基本符合的得4分；不符合或不提供的不得分。</w:t>
            </w:r>
          </w:p>
          <w:p>
            <w:pPr>
              <w:pStyle w:val="2"/>
              <w:ind w:firstLine="0" w:firstLineChars="0"/>
              <w:rPr>
                <w:rFonts w:ascii="宋体" w:hAnsi="宋体" w:eastAsia="宋体"/>
              </w:rPr>
            </w:pPr>
            <w:r>
              <w:rPr>
                <w:rFonts w:hint="eastAsia" w:ascii="宋体" w:hAnsi="宋体" w:eastAsia="宋体"/>
              </w:rPr>
              <w:t>(3)项目班子的成员专业素质和专业结构及养护劳动人员力量的投入是否满足绿地养护项目需要。</w:t>
            </w:r>
          </w:p>
          <w:p>
            <w:pPr>
              <w:pStyle w:val="2"/>
              <w:ind w:firstLine="0" w:firstLineChars="0"/>
              <w:rPr>
                <w:rFonts w:ascii="宋体" w:hAnsi="宋体" w:eastAsia="宋体"/>
              </w:rPr>
            </w:pPr>
            <w:r>
              <w:rPr>
                <w:rFonts w:hint="eastAsia" w:ascii="宋体" w:hAnsi="宋体" w:eastAsia="宋体"/>
              </w:rPr>
              <w:t>全部符合的得5分；部分符合的得3分；基本符合的得1分；不符合或不提供的不得分。</w:t>
            </w:r>
          </w:p>
          <w:p>
            <w:pPr>
              <w:pStyle w:val="2"/>
              <w:ind w:firstLine="0" w:firstLineChars="0"/>
              <w:rPr>
                <w:rFonts w:ascii="宋体" w:hAnsi="宋体" w:eastAsia="宋体"/>
              </w:rPr>
            </w:pPr>
            <w:r>
              <w:rPr>
                <w:rFonts w:hint="eastAsia" w:ascii="宋体" w:hAnsi="宋体" w:eastAsia="宋体"/>
              </w:rPr>
              <w:t>（4）自然灾害应急措施安排是否合理和可行，人员物资保障措施。</w:t>
            </w:r>
          </w:p>
          <w:p>
            <w:pPr>
              <w:pStyle w:val="2"/>
              <w:ind w:firstLine="0" w:firstLineChars="0"/>
              <w:rPr>
                <w:rFonts w:ascii="宋体" w:hAnsi="宋体" w:eastAsia="宋体"/>
              </w:rPr>
            </w:pPr>
            <w:r>
              <w:rPr>
                <w:rFonts w:hint="eastAsia" w:ascii="宋体" w:hAnsi="宋体" w:eastAsia="宋体"/>
              </w:rPr>
              <w:t>全部符合的得5分；部分符合的得3分；基本符合的得1分；不符合或不提供的不得分。</w:t>
            </w:r>
          </w:p>
          <w:p>
            <w:pPr>
              <w:pStyle w:val="2"/>
              <w:ind w:firstLine="0" w:firstLineChars="0"/>
              <w:rPr>
                <w:rFonts w:ascii="宋体" w:hAnsi="宋体" w:eastAsia="宋体"/>
              </w:rPr>
            </w:pPr>
            <w:r>
              <w:rPr>
                <w:rFonts w:hint="eastAsia" w:ascii="宋体" w:hAnsi="宋体" w:eastAsia="宋体"/>
              </w:rPr>
              <w:t>（5）节假日及各类城市评比时的应对措施。</w:t>
            </w:r>
          </w:p>
          <w:p>
            <w:pPr>
              <w:pStyle w:val="2"/>
              <w:ind w:firstLine="0" w:firstLineChars="0"/>
              <w:rPr>
                <w:rFonts w:ascii="宋体" w:hAnsi="宋体" w:eastAsia="宋体"/>
              </w:rPr>
            </w:pPr>
            <w:r>
              <w:rPr>
                <w:rFonts w:hint="eastAsia" w:ascii="宋体" w:hAnsi="宋体" w:eastAsia="宋体"/>
              </w:rPr>
              <w:t>全部符合的得5分；部分符合的得3分；基本符合的得1分；不符合或不提供的不得分。</w:t>
            </w:r>
          </w:p>
          <w:p>
            <w:pPr>
              <w:pStyle w:val="2"/>
              <w:ind w:firstLine="0" w:firstLineChars="0"/>
              <w:rPr>
                <w:rFonts w:ascii="宋体" w:hAnsi="宋体" w:eastAsia="宋体"/>
              </w:rPr>
            </w:pPr>
            <w:r>
              <w:rPr>
                <w:rFonts w:hint="eastAsia" w:ascii="宋体" w:hAnsi="宋体" w:eastAsia="宋体"/>
              </w:rPr>
              <w:t>（6）绿地养护安全文明作业和环境保护管理措施是否到位。</w:t>
            </w:r>
          </w:p>
          <w:p>
            <w:pPr>
              <w:pStyle w:val="2"/>
              <w:ind w:firstLine="0" w:firstLineChars="0"/>
              <w:rPr>
                <w:rFonts w:ascii="宋体" w:hAnsi="宋体" w:eastAsia="宋体"/>
              </w:rPr>
            </w:pPr>
            <w:r>
              <w:rPr>
                <w:rFonts w:hint="eastAsia" w:ascii="宋体" w:hAnsi="宋体" w:eastAsia="宋体"/>
              </w:rPr>
              <w:t>全部符合的得2分；部分符合的得1分；基本符合的得0.5分；不符合或不提供的不得分。</w:t>
            </w:r>
          </w:p>
          <w:p>
            <w:pPr>
              <w:pStyle w:val="2"/>
              <w:ind w:firstLine="0" w:firstLineChars="0"/>
              <w:rPr>
                <w:rFonts w:ascii="宋体" w:hAnsi="宋体" w:eastAsia="宋体"/>
              </w:rPr>
            </w:pPr>
            <w:r>
              <w:rPr>
                <w:rFonts w:hint="eastAsia" w:ascii="宋体" w:hAnsi="宋体" w:eastAsia="宋体"/>
              </w:rPr>
              <w:t>（7）投标人对业主的其他优惠承诺。</w:t>
            </w:r>
          </w:p>
          <w:p>
            <w:pPr>
              <w:spacing w:line="360" w:lineRule="auto"/>
            </w:pPr>
            <w:r>
              <w:rPr>
                <w:rFonts w:hint="eastAsia" w:ascii="宋体" w:hAnsi="宋体"/>
                <w:kern w:val="28"/>
                <w:sz w:val="24"/>
              </w:rPr>
              <w:t>全部符合的得1分；部分符合的得0.5分；基本符合的得0.25分；不符合或不提供的不得分。</w:t>
            </w:r>
            <w:bookmarkEnd w:id="405"/>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rP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b/>
                <w:sz w:val="24"/>
              </w:rPr>
            </w:pPr>
          </w:p>
        </w:tc>
        <w:tc>
          <w:tcPr>
            <w:tcW w:w="7742" w:type="dxa"/>
            <w:vAlign w:val="center"/>
          </w:tcPr>
          <w:p>
            <w:pPr>
              <w:spacing w:line="360" w:lineRule="auto"/>
              <w:jc w:val="center"/>
              <w:outlineLvl w:val="0"/>
              <w:rPr>
                <w:rFonts w:ascii="宋体" w:hAnsi="宋体" w:cs="仿宋_GB2312"/>
                <w:b/>
                <w:sz w:val="24"/>
              </w:rPr>
            </w:pPr>
            <w:r>
              <w:rPr>
                <w:rFonts w:hint="eastAsia" w:ascii="宋体" w:hAnsi="宋体" w:cs="仿宋_GB2312"/>
                <w:b/>
                <w:sz w:val="24"/>
              </w:rPr>
              <w:t>商务报价分</w:t>
            </w:r>
          </w:p>
        </w:tc>
        <w:tc>
          <w:tcPr>
            <w:tcW w:w="1559" w:type="dxa"/>
            <w:vAlign w:val="center"/>
          </w:tcPr>
          <w:p>
            <w:pPr>
              <w:jc w:val="center"/>
              <w:textAlignment w:val="baseline"/>
              <w:rPr>
                <w:rStyle w:val="969"/>
                <w:rFonts w:ascii="宋体" w:hAnsi="宋体"/>
                <w:b/>
                <w:sz w:val="24"/>
              </w:rPr>
            </w:pPr>
            <w:r>
              <w:rPr>
                <w:rStyle w:val="969"/>
                <w:rFonts w:hint="eastAsia" w:ascii="宋体" w:hAnsi="宋体"/>
                <w:b/>
                <w:sz w:val="24"/>
              </w:rPr>
              <w:t>10分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1</w:t>
            </w:r>
          </w:p>
        </w:tc>
        <w:tc>
          <w:tcPr>
            <w:tcW w:w="7742" w:type="dxa"/>
            <w:vAlign w:val="center"/>
          </w:tcPr>
          <w:p>
            <w:pPr>
              <w:spacing w:line="360" w:lineRule="auto"/>
              <w:outlineLvl w:val="0"/>
              <w:rPr>
                <w:rFonts w:ascii="宋体" w:hAnsi="宋体" w:cs="仿宋_GB2312"/>
                <w:sz w:val="24"/>
              </w:rPr>
            </w:pPr>
            <w:r>
              <w:rPr>
                <w:rFonts w:hint="eastAsia" w:ascii="宋体" w:hAnsi="宋体" w:cs="仿宋_GB2312"/>
                <w:sz w:val="24"/>
              </w:rPr>
              <w:t>有效投标报价的最低价作为评标基准价，其最低报价为满分；按［投标报价得分</w:t>
            </w:r>
            <w:r>
              <w:rPr>
                <w:rFonts w:ascii="宋体" w:hAnsi="宋体" w:cs="仿宋_GB2312"/>
                <w:sz w:val="24"/>
              </w:rPr>
              <w:t>=（评标基准价/投标报价）*</w:t>
            </w:r>
            <w:r>
              <w:rPr>
                <w:rFonts w:hint="eastAsia" w:ascii="宋体" w:hAnsi="宋体" w:cs="仿宋_GB2312"/>
                <w:sz w:val="24"/>
              </w:rPr>
              <w:t>1</w:t>
            </w:r>
            <w:r>
              <w:rPr>
                <w:rFonts w:ascii="宋体" w:hAnsi="宋体" w:cs="仿宋_GB2312"/>
                <w:sz w:val="24"/>
              </w:rPr>
              <w:t>0］的计算公式计算。</w:t>
            </w:r>
          </w:p>
          <w:p>
            <w:pPr>
              <w:widowControl/>
              <w:shd w:val="clear" w:color="auto" w:fill="FFFFFF"/>
              <w:adjustRightInd/>
              <w:spacing w:after="225" w:line="315" w:lineRule="atLeast"/>
              <w:rPr>
                <w:rFonts w:ascii="宋体" w:hAnsi="宋体" w:cs="仿宋_GB2312"/>
                <w:sz w:val="24"/>
              </w:rPr>
            </w:pPr>
            <w:r>
              <w:rPr>
                <w:rFonts w:ascii="宋体" w:hAnsi="宋体" w:cs="仿宋_GB2312"/>
                <w:sz w:val="24"/>
              </w:rPr>
              <w:t>评标过程中，不得去掉报价中的最高报价和最低报价。</w:t>
            </w:r>
          </w:p>
          <w:p>
            <w:pPr>
              <w:textAlignment w:val="baseline"/>
              <w:rPr>
                <w:rFonts w:ascii="宋体" w:hAnsi="宋体" w:cs="宋体"/>
                <w:bCs/>
                <w:sz w:val="24"/>
              </w:rPr>
            </w:pPr>
            <w:r>
              <w:rPr>
                <w:rFonts w:ascii="宋体" w:hAnsi="宋体" w:cs="仿宋_GB2312"/>
                <w:sz w:val="24"/>
              </w:rPr>
              <w:t>因落实政府采购政策</w:t>
            </w:r>
            <w:r>
              <w:rPr>
                <w:rFonts w:hint="eastAsia" w:ascii="宋体" w:hAnsi="宋体" w:cs="仿宋_GB2312"/>
                <w:sz w:val="24"/>
              </w:rPr>
              <w:t>需要</w:t>
            </w:r>
            <w:r>
              <w:rPr>
                <w:rFonts w:ascii="宋体" w:hAnsi="宋体" w:cs="仿宋_GB2312"/>
                <w:sz w:val="24"/>
              </w:rPr>
              <w:t>进行价格调整的，以调整后的价格计算评标基准价和投标报价。</w:t>
            </w:r>
          </w:p>
        </w:tc>
        <w:tc>
          <w:tcPr>
            <w:tcW w:w="1559" w:type="dxa"/>
            <w:vAlign w:val="center"/>
          </w:tcPr>
          <w:p>
            <w:pPr>
              <w:jc w:val="center"/>
              <w:textAlignment w:val="baseline"/>
              <w:rPr>
                <w:rFonts w:ascii="宋体" w:hAnsi="宋体"/>
                <w:sz w:val="24"/>
              </w:rPr>
            </w:pPr>
            <w:r>
              <w:rPr>
                <w:rStyle w:val="969"/>
                <w:rFonts w:hint="eastAsia" w:ascii="宋体" w:hAnsi="宋体"/>
                <w:sz w:val="24"/>
              </w:rPr>
              <w:t>10</w:t>
            </w:r>
          </w:p>
        </w:tc>
      </w:tr>
    </w:tbl>
    <w:p>
      <w:pPr>
        <w:pStyle w:val="966"/>
        <w:ind w:firstLine="344"/>
        <w:rPr>
          <w:rFonts w:cs="宋体" w:asciiTheme="minorEastAsia" w:hAnsiTheme="minorEastAsia" w:eastAsiaTheme="minorEastAsia"/>
        </w:rPr>
      </w:pPr>
    </w:p>
    <w:p>
      <w:pPr>
        <w:snapToGrid w:val="0"/>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3、商务分+技术分=评标委员会所有成员评分合计数/评标委员会组成人员数</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w:t>
      </w:r>
      <w:r>
        <w:rPr>
          <w:rFonts w:hint="eastAsia" w:cs="宋体" w:asciiTheme="minorEastAsia" w:hAnsiTheme="minorEastAsia" w:eastAsiaTheme="minorEastAsia"/>
          <w:b/>
          <w:bCs/>
          <w:sz w:val="24"/>
        </w:rPr>
        <w:t>价格分（10分）</w:t>
      </w:r>
      <w:r>
        <w:rPr>
          <w:rFonts w:hint="eastAsia" w:cs="宋体" w:asciiTheme="minorEastAsia" w:hAnsiTheme="minorEastAsia" w:eastAsiaTheme="minorEastAsia"/>
          <w:sz w:val="24"/>
        </w:rPr>
        <w:t>采用低价优先法计算，即满足招标文件要求且投标价格最低的投标报价为评标基准价，其他投标人的价格分按照下列公式计算：</w:t>
      </w:r>
    </w:p>
    <w:p>
      <w:pPr>
        <w:widowControl/>
        <w:adjustRightInd/>
        <w:spacing w:after="225" w:line="315" w:lineRule="atLeast"/>
        <w:ind w:firstLine="1205" w:firstLineChars="500"/>
        <w:jc w:val="left"/>
        <w:rPr>
          <w:rFonts w:asciiTheme="minorEastAsia" w:hAnsiTheme="minorEastAsia" w:eastAsiaTheme="minorEastAsia"/>
          <w:b/>
          <w:bCs/>
          <w:sz w:val="24"/>
        </w:rPr>
      </w:pPr>
      <w:r>
        <w:rPr>
          <w:rFonts w:hint="eastAsia" w:asciiTheme="minorEastAsia" w:hAnsiTheme="minorEastAsia" w:eastAsiaTheme="minorEastAsia"/>
          <w:b/>
          <w:bCs/>
          <w:sz w:val="24"/>
        </w:rPr>
        <w:t>价格分=（评标基准价/投标报价）×10%×100</w:t>
      </w:r>
    </w:p>
    <w:p>
      <w:pPr>
        <w:widowControl/>
        <w:adjustRightInd/>
        <w:spacing w:after="225" w:line="315" w:lineRule="atLeast"/>
        <w:ind w:firstLine="1200" w:firstLineChars="500"/>
        <w:jc w:val="left"/>
        <w:rPr>
          <w:rFonts w:asciiTheme="minorEastAsia" w:hAnsiTheme="minorEastAsia" w:eastAsiaTheme="minorEastAsia"/>
        </w:rPr>
      </w:pPr>
      <w:r>
        <w:rPr>
          <w:rFonts w:hint="eastAsia" w:asciiTheme="minorEastAsia" w:hAnsiTheme="minorEastAsia" w:eastAsiaTheme="minorEastAsia" w:cstheme="majorEastAsia"/>
          <w:sz w:val="24"/>
        </w:rPr>
        <w:t>评标过程中，不得去掉报价中的最高报价和最低报价。</w:t>
      </w:r>
    </w:p>
    <w:p>
      <w:pPr>
        <w:widowControl/>
        <w:adjustRightInd/>
        <w:spacing w:after="225" w:line="315" w:lineRule="atLeast"/>
        <w:ind w:firstLine="482" w:firstLineChars="200"/>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5、投标人评标综合得分=价格分+商务分+技术分</w:t>
      </w:r>
    </w:p>
    <w:p>
      <w:pPr>
        <w:pStyle w:val="967"/>
        <w:snapToGrid w:val="0"/>
        <w:ind w:left="480" w:firstLine="0" w:firstLineChars="0"/>
        <w:rPr>
          <w:rFonts w:asciiTheme="minorEastAsia" w:hAnsiTheme="minorEastAsia" w:eastAsiaTheme="minorEastAsia"/>
          <w:b/>
        </w:rPr>
      </w:pPr>
      <w:r>
        <w:rPr>
          <w:rFonts w:hint="eastAsia" w:asciiTheme="minorEastAsia" w:hAnsiTheme="minorEastAsia" w:eastAsiaTheme="minorEastAsia"/>
          <w:b/>
        </w:rPr>
        <w:t>注：以上所涉及的证明材料，需提供扫描件制作进投标响应文件内，未提供的不得分。</w:t>
      </w:r>
    </w:p>
    <w:p>
      <w:pPr>
        <w:snapToGrid w:val="0"/>
        <w:spacing w:line="360" w:lineRule="auto"/>
        <w:ind w:firstLine="472" w:firstLineChars="196"/>
        <w:rPr>
          <w:rFonts w:cs="宋体" w:asciiTheme="minorEastAsia" w:hAnsiTheme="minorEastAsia" w:eastAsiaTheme="minorEastAsia"/>
          <w:b/>
          <w:sz w:val="24"/>
        </w:rPr>
      </w:pPr>
      <w:r>
        <w:rPr>
          <w:rFonts w:hint="eastAsia" w:cs="宋体" w:asciiTheme="minorEastAsia" w:hAnsiTheme="minorEastAsia" w:eastAsiaTheme="minorEastAsia"/>
          <w:b/>
          <w:sz w:val="24"/>
        </w:rPr>
        <w:t>报价是中标的一个重要因素，但最低报价不是中标的唯一依据。</w:t>
      </w:r>
    </w:p>
    <w:p>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0"/>
          <w:szCs w:val="20"/>
          <w:shd w:val="clear" w:color="auto" w:fill="FFFFFF"/>
        </w:rPr>
        <w:t> *</w:t>
      </w:r>
      <w:r>
        <w:rPr>
          <w:rFonts w:hint="eastAsia" w:cs="宋体" w:asciiTheme="minorEastAsia" w:hAnsiTheme="minorEastAsia" w:eastAsiaTheme="minorEastAsia"/>
          <w:b/>
          <w:sz w:val="24"/>
        </w:rPr>
        <w:t>备注：</w:t>
      </w:r>
      <w:r>
        <w:rPr>
          <w:rFonts w:hint="eastAsia" w:cs="宋体" w:asciiTheme="minorEastAsia" w:hAnsiTheme="minorEastAsia" w:eastAsiaTheme="minorEastAsia"/>
          <w:sz w:val="24"/>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32"/>
        </w:rPr>
        <w:t>一、评标方法</w:t>
      </w:r>
    </w:p>
    <w:p>
      <w:pPr>
        <w:adjustRightInd/>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1.本项目采用综合评分法。</w:t>
      </w:r>
      <w:r>
        <w:rPr>
          <w:rFonts w:hint="eastAsia" w:cs="宋体" w:asciiTheme="minorEastAsia" w:hAnsiTheme="minorEastAsia" w:eastAsia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b/>
          <w:sz w:val="32"/>
        </w:rPr>
        <w:t>二、评标标准</w:t>
      </w:r>
    </w:p>
    <w:p>
      <w:pPr>
        <w:spacing w:line="360" w:lineRule="auto"/>
        <w:ind w:firstLine="472" w:firstLineChars="196"/>
        <w:rPr>
          <w:rFonts w:cs="宋体" w:asciiTheme="minorEastAsia" w:hAnsiTheme="minorEastAsia" w:eastAsiaTheme="minorEastAsia"/>
          <w:b/>
          <w:sz w:val="24"/>
        </w:rPr>
      </w:pPr>
      <w:r>
        <w:rPr>
          <w:rFonts w:hint="eastAsia" w:cs="宋体" w:asciiTheme="minorEastAsia" w:hAnsiTheme="minorEastAsia" w:eastAsiaTheme="minorEastAsia"/>
          <w:b/>
          <w:sz w:val="24"/>
        </w:rPr>
        <w:t>2.评标标准：</w:t>
      </w:r>
      <w:r>
        <w:rPr>
          <w:rFonts w:hint="eastAsia" w:cs="宋体" w:asciiTheme="minorEastAsia" w:hAnsiTheme="minorEastAsia" w:eastAsiaTheme="minorEastAsia"/>
          <w:kern w:val="0"/>
          <w:sz w:val="24"/>
        </w:rPr>
        <w:t>见评标办法前附表。</w:t>
      </w:r>
    </w:p>
    <w:p>
      <w:pPr>
        <w:spacing w:line="360" w:lineRule="auto"/>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三、评标程序</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3.1符合性审查。</w:t>
      </w:r>
      <w:r>
        <w:rPr>
          <w:rFonts w:hint="eastAsia" w:cs="宋体" w:asciiTheme="minorEastAsia" w:hAnsiTheme="minorEastAsia" w:eastAsia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3.2 比较与评价。</w:t>
      </w:r>
      <w:r>
        <w:rPr>
          <w:rFonts w:hint="eastAsia" w:cs="宋体" w:asciiTheme="minorEastAsia" w:hAnsiTheme="minorEastAsia"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3.3汇总商务技术得分。</w:t>
      </w:r>
      <w:r>
        <w:rPr>
          <w:rFonts w:hint="eastAsia" w:cs="宋体" w:asciiTheme="minorEastAsia" w:hAnsiTheme="minorEastAsia"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3.4报价评审。</w:t>
      </w:r>
    </w:p>
    <w:p>
      <w:pPr>
        <w:pStyle w:val="89"/>
        <w:spacing w:before="0"/>
        <w:ind w:firstLine="508" w:firstLineChars="212"/>
        <w:rPr>
          <w:rFonts w:cs="宋体" w:asciiTheme="minorEastAsia" w:hAnsiTheme="minorEastAsia" w:eastAsiaTheme="minorEastAsia"/>
          <w:kern w:val="0"/>
        </w:rPr>
      </w:pPr>
      <w:r>
        <w:rPr>
          <w:rFonts w:hint="eastAsia" w:cs="宋体" w:asciiTheme="minorEastAsia" w:hAnsiTheme="minorEastAsia" w:eastAsiaTheme="minorEastAsia"/>
          <w:kern w:val="0"/>
        </w:rPr>
        <w:t>3.4.1投标文件报价出现前后不一致的，按照下列规定修正：</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3.4.1.1投标文件中开标一览表(报价表)内容与投标文件中相应内容不一致的，以开标一览表(报价表)为准;</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3.4.1.2大写金额和小写金额不一致的，以大写金额为准;</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3.4.1.3单价金额小数点或者百分比有明显错位的，以开标一览表的总价为准，并修改单价;</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3.4.1.4总价金额与按单价汇总金额不一致的，以单价金额计算结果为准。</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3.4.3投标报价超过招标文件中规定的预算金额或者最高限价的，投标无效。</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3.5排序与推荐。</w:t>
      </w:r>
      <w:r>
        <w:rPr>
          <w:rFonts w:hint="eastAsia" w:cs="宋体" w:asciiTheme="minorEastAsia" w:hAnsiTheme="minorEastAsia"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3.6编写评标报告。</w:t>
      </w:r>
      <w:r>
        <w:rPr>
          <w:rFonts w:hint="eastAsia" w:cs="宋体" w:asciiTheme="minorEastAsia" w:hAnsiTheme="minorEastAsia"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15" w:lineRule="atLeast"/>
        <w:jc w:val="left"/>
        <w:rPr>
          <w:rFonts w:cs="宋体" w:asciiTheme="minorEastAsia" w:hAnsiTheme="minorEastAsia" w:eastAsiaTheme="minorEastAsia"/>
          <w:b/>
          <w:sz w:val="32"/>
        </w:rPr>
      </w:pPr>
      <w:r>
        <w:rPr>
          <w:rFonts w:hint="eastAsia" w:cs="宋体" w:asciiTheme="minorEastAsia" w:hAnsiTheme="minorEastAsia" w:eastAsiaTheme="minorEastAsia"/>
          <w:b/>
          <w:sz w:val="32"/>
        </w:rPr>
        <w:t>四、评标中的其他事项</w:t>
      </w:r>
    </w:p>
    <w:p>
      <w:pPr>
        <w:pStyle w:val="89"/>
        <w:spacing w:before="0"/>
        <w:ind w:firstLine="472" w:firstLineChars="196"/>
        <w:rPr>
          <w:rFonts w:cs="宋体" w:asciiTheme="minorEastAsia" w:hAnsiTheme="minorEastAsia" w:eastAsiaTheme="minorEastAsia"/>
          <w:kern w:val="0"/>
          <w:szCs w:val="24"/>
        </w:rPr>
      </w:pPr>
      <w:r>
        <w:rPr>
          <w:rFonts w:hint="eastAsia" w:cs="宋体" w:asciiTheme="minorEastAsia" w:hAnsiTheme="minorEastAsia" w:eastAsiaTheme="minorEastAsia"/>
          <w:b/>
          <w:kern w:val="0"/>
          <w:szCs w:val="24"/>
        </w:rPr>
        <w:t>4.1投标人澄清、说明或者补正。</w:t>
      </w:r>
      <w:r>
        <w:rPr>
          <w:rFonts w:hint="eastAsia" w:cs="宋体" w:asciiTheme="minorEastAsia" w:hAnsiTheme="minorEastAsia"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cs="宋体" w:asciiTheme="minorEastAsia" w:hAnsiTheme="minorEastAsia" w:eastAsiaTheme="minorEastAsia"/>
          <w:szCs w:val="21"/>
        </w:rPr>
      </w:pPr>
      <w:r>
        <w:rPr>
          <w:rFonts w:hint="eastAsia" w:cs="宋体" w:asciiTheme="minorEastAsia" w:hAnsiTheme="minorEastAsia" w:eastAsiaTheme="minorEastAsia"/>
          <w:b/>
          <w:kern w:val="0"/>
        </w:rPr>
        <w:t>4.2投标无效。</w:t>
      </w:r>
      <w:r>
        <w:rPr>
          <w:rFonts w:hint="eastAsia" w:cs="宋体" w:asciiTheme="minorEastAsia" w:hAnsiTheme="minorEastAsia" w:eastAsiaTheme="minorEastAsia"/>
          <w:szCs w:val="21"/>
        </w:rPr>
        <w:t>有下列情况之一的，投标无效：</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4.2.2投标文件未按照招标文件要求签署、盖章的；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4.2.10投标人提供虚假材料投标的；</w:t>
      </w:r>
    </w:p>
    <w:p>
      <w:pPr>
        <w:spacing w:line="360" w:lineRule="auto"/>
        <w:ind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4.2.12投标人仅提交备份投标文件，没有在电子交易平台传输递交投标文件的，投标无效；</w:t>
      </w:r>
    </w:p>
    <w:p>
      <w:pPr>
        <w:pStyle w:val="5"/>
        <w:ind w:left="862" w:leftChars="205"/>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4.2.13 投标文件不满足招标文件的其它实质性要求的；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4.2.14法律、法规、规章（适用本市的）及省级以上规范性文件（适用本市的）规定的其他无效情形。</w:t>
      </w:r>
    </w:p>
    <w:p>
      <w:pPr>
        <w:pStyle w:val="8"/>
        <w:snapToGrid w:val="0"/>
        <w:spacing w:line="360" w:lineRule="auto"/>
        <w:ind w:firstLine="472" w:firstLineChars="196"/>
        <w:rPr>
          <w:rFonts w:cs="宋体" w:asciiTheme="minorEastAsia" w:hAnsiTheme="minorEastAsia" w:eastAsiaTheme="minorEastAsia"/>
        </w:rPr>
      </w:pPr>
      <w:r>
        <w:rPr>
          <w:rFonts w:hint="eastAsia" w:cs="宋体" w:asciiTheme="minorEastAsia" w:hAnsiTheme="minorEastAsia" w:eastAsiaTheme="minorEastAsia"/>
          <w:b/>
        </w:rPr>
        <w:t>5.废标。</w:t>
      </w:r>
      <w:r>
        <w:rPr>
          <w:rFonts w:hint="eastAsia" w:cs="宋体" w:asciiTheme="minorEastAsia" w:hAnsiTheme="minorEastAsia" w:eastAsiaTheme="minorEastAsia"/>
        </w:rPr>
        <w:t>根据《中华人民共和国政府采购法》第三十六条之规定，在采购中，出现下列情形之一的，应予废标：</w:t>
      </w:r>
    </w:p>
    <w:p>
      <w:pPr>
        <w:pStyle w:val="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5.1符合专业条件的供应商或者对招标文件作实质响应的供应商不足3家的；</w:t>
      </w:r>
    </w:p>
    <w:p>
      <w:pPr>
        <w:pStyle w:val="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5.2出现影响采购公正的违法、违规行为的；</w:t>
      </w:r>
    </w:p>
    <w:p>
      <w:pPr>
        <w:pStyle w:val="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5.3投标人的报价均超过了采购预算，采购人不能支付的；</w:t>
      </w:r>
    </w:p>
    <w:p>
      <w:pPr>
        <w:pStyle w:val="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5.4因重大变故，采购任务取消的。</w:t>
      </w:r>
    </w:p>
    <w:p>
      <w:pPr>
        <w:pStyle w:val="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废标后，采购机构应当将废标理由通知所有投标人。</w:t>
      </w:r>
    </w:p>
    <w:p>
      <w:pPr>
        <w:pStyle w:val="8"/>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rPr>
        <w:t>6.修改招标文件，重新组织采购活动。</w:t>
      </w:r>
      <w:r>
        <w:rPr>
          <w:rFonts w:hint="eastAsia" w:cs="宋体" w:asciiTheme="minorEastAsia" w:hAnsiTheme="minorEastAsia" w:eastAsiaTheme="minor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kern w:val="0"/>
        </w:rPr>
        <w:t>7.重新开展采购。</w:t>
      </w:r>
      <w:r>
        <w:rPr>
          <w:rFonts w:hint="eastAsia" w:cs="宋体" w:asciiTheme="minorEastAsia" w:hAnsiTheme="minorEastAsia" w:eastAsiaTheme="minorEastAsia"/>
        </w:rPr>
        <w:t>有政府采购法第七十一条、第七十二条规定的违法行为之一，影响或者可能影响中标、成交结果的，依照下列规定处理：</w:t>
      </w:r>
    </w:p>
    <w:p>
      <w:pPr>
        <w:pStyle w:val="8"/>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7.1未确定中标或者中标人的，终止本次政府采购活动，重新开展政府采购活动。</w:t>
      </w:r>
    </w:p>
    <w:p>
      <w:pPr>
        <w:pStyle w:val="8"/>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7.3政府采购合同已签订但尚未履行的，撤销合同，从合格的中标或者成交候选人中另行确定中标或者中标人；没有合格的中标或者成交候选人的，重新开展政府采购活动。</w:t>
      </w:r>
    </w:p>
    <w:p>
      <w:pPr>
        <w:pStyle w:val="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7.4政府采购合同已经履行，给采购人、供应商造成损失的，由责任人承担赔偿责任。</w:t>
      </w:r>
    </w:p>
    <w:p>
      <w:pPr>
        <w:pStyle w:val="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7.5政府采购当事人有其他违反政府采购法</w:t>
      </w:r>
      <w:r>
        <w:rPr>
          <w:rFonts w:hint="eastAsia" w:cs="宋体" w:asciiTheme="minorEastAsia" w:hAnsiTheme="minorEastAsia" w:eastAsiaTheme="minorEastAsia"/>
          <w:kern w:val="0"/>
        </w:rPr>
        <w:t>或者政府采购法实施条例等法律法规规定</w:t>
      </w:r>
      <w:r>
        <w:rPr>
          <w:rFonts w:hint="eastAsia" w:cs="宋体" w:asciiTheme="minorEastAsia" w:hAnsiTheme="minorEastAsia" w:eastAsiaTheme="minorEastAsia"/>
        </w:rPr>
        <w:t>的行为，经改正后仍然影响或者可能影响中标、成交结果或者依法被认定为中标、成交无效的，依照7.1-7.4规定处理。</w:t>
      </w:r>
      <w:bookmarkEnd w:id="25"/>
      <w:bookmarkStart w:id="395" w:name="第五部分"/>
      <w:bookmarkStart w:id="396" w:name="_Toc86217003"/>
    </w:p>
    <w:p>
      <w:pPr>
        <w:pStyle w:val="2"/>
        <w:rPr>
          <w:rFonts w:cs="宋体" w:asciiTheme="minorEastAsia" w:hAnsiTheme="minorEastAsia" w:eastAsiaTheme="minorEastAsia"/>
        </w:rPr>
      </w:pPr>
    </w:p>
    <w:p>
      <w:pPr>
        <w:rPr>
          <w:rFonts w:cs="宋体" w:asciiTheme="minorEastAsia" w:hAnsiTheme="minorEastAsia" w:eastAsiaTheme="minorEastAsia"/>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rFonts w:ascii="仿宋_GB2312" w:hAnsi="Courier New" w:eastAsia="仿宋_GB2312"/>
          <w:kern w:val="28"/>
          <w:sz w:val="24"/>
        </w:rPr>
      </w:pPr>
    </w:p>
    <w:p>
      <w:pPr>
        <w:pStyle w:val="2"/>
      </w:pPr>
    </w:p>
    <w:p>
      <w:pPr>
        <w:spacing w:line="360" w:lineRule="auto"/>
        <w:ind w:left="720" w:leftChars="343" w:firstLine="1084" w:firstLineChars="300"/>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第五部分 拟签订的合同文本</w:t>
      </w:r>
    </w:p>
    <w:p>
      <w:pPr>
        <w:rPr>
          <w:rFonts w:cs="宋体" w:asciiTheme="minorEastAsia" w:hAnsiTheme="minorEastAsia" w:eastAsiaTheme="minorEastAsia"/>
          <w:sz w:val="24"/>
        </w:rPr>
      </w:pPr>
    </w:p>
    <w:p>
      <w:pPr>
        <w:rPr>
          <w:rFonts w:cs="宋体" w:asciiTheme="minorEastAsia" w:hAnsiTheme="minorEastAsia" w:eastAsiaTheme="minorEastAsia"/>
          <w:sz w:val="24"/>
          <w:u w:val="single"/>
        </w:rPr>
      </w:pPr>
      <w:r>
        <w:rPr>
          <w:rFonts w:hint="eastAsia" w:cs="宋体" w:asciiTheme="minorEastAsia" w:hAnsiTheme="minorEastAsia" w:eastAsiaTheme="minorEastAsia"/>
          <w:sz w:val="24"/>
        </w:rPr>
        <w:t>合同编号：</w:t>
      </w:r>
    </w:p>
    <w:p>
      <w:pPr>
        <w:spacing w:line="480" w:lineRule="auto"/>
        <w:jc w:val="center"/>
        <w:rPr>
          <w:rFonts w:cs="宋体" w:asciiTheme="minorEastAsia" w:hAnsiTheme="minorEastAsia" w:eastAsiaTheme="minorEastAsia"/>
          <w:b/>
          <w:sz w:val="28"/>
          <w:szCs w:val="28"/>
        </w:rPr>
      </w:pPr>
    </w:p>
    <w:p>
      <w:pPr>
        <w:pStyle w:val="2"/>
        <w:ind w:firstLine="562"/>
        <w:rPr>
          <w:rFonts w:cs="宋体" w:asciiTheme="minorEastAsia" w:hAnsiTheme="minorEastAsia" w:eastAsiaTheme="minorEastAsia"/>
          <w:b/>
          <w:sz w:val="28"/>
          <w:szCs w:val="28"/>
        </w:rPr>
      </w:pPr>
    </w:p>
    <w:p>
      <w:pPr>
        <w:rPr>
          <w:rFonts w:cs="宋体" w:asciiTheme="minorEastAsia" w:hAnsiTheme="minorEastAsia" w:eastAsiaTheme="minorEastAsia"/>
          <w:b/>
          <w:sz w:val="28"/>
          <w:szCs w:val="28"/>
        </w:rPr>
      </w:pPr>
    </w:p>
    <w:p>
      <w:pPr>
        <w:pStyle w:val="2"/>
        <w:rPr>
          <w:rFonts w:cs="宋体" w:asciiTheme="minorEastAsia" w:hAnsiTheme="minorEastAsia" w:eastAsiaTheme="minorEastAsia"/>
        </w:rPr>
      </w:pPr>
    </w:p>
    <w:p>
      <w:pPr>
        <w:spacing w:line="480" w:lineRule="auto"/>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政府采购合同参考范本（以实际签订为准）</w:t>
      </w:r>
    </w:p>
    <w:p>
      <w:pPr>
        <w:spacing w:line="480" w:lineRule="auto"/>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（服务类）</w:t>
      </w:r>
    </w:p>
    <w:p>
      <w:pPr>
        <w:pStyle w:val="2"/>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2"/>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2"/>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2"/>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2"/>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2"/>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2"/>
        <w:ind w:firstLine="723"/>
        <w:rPr>
          <w:rFonts w:cs="宋体" w:asciiTheme="minorEastAsia" w:hAnsiTheme="minorEastAsia" w:eastAsiaTheme="minorEastAsia"/>
          <w:b/>
          <w:sz w:val="36"/>
          <w:szCs w:val="36"/>
        </w:rPr>
      </w:pPr>
    </w:p>
    <w:p>
      <w:pPr>
        <w:spacing w:line="480" w:lineRule="auto"/>
        <w:jc w:val="center"/>
        <w:rPr>
          <w:rFonts w:cs="宋体" w:asciiTheme="minorEastAsia" w:hAnsiTheme="minorEastAsia" w:eastAsiaTheme="minorEastAsia"/>
          <w:b/>
        </w:rPr>
      </w:pPr>
    </w:p>
    <w:p>
      <w:pPr>
        <w:pStyle w:val="35"/>
        <w:snapToGrid w:val="0"/>
        <w:spacing w:line="360" w:lineRule="auto"/>
        <w:jc w:val="center"/>
        <w:rPr>
          <w:rFonts w:cs="宋体" w:asciiTheme="minorEastAsia" w:hAnsiTheme="minorEastAsia" w:eastAsiaTheme="minorEastAsia"/>
          <w:b/>
          <w:bCs/>
          <w:sz w:val="24"/>
          <w:szCs w:val="24"/>
        </w:rPr>
      </w:pPr>
      <w:bookmarkStart w:id="397" w:name="_Toc295465365"/>
      <w:bookmarkEnd w:id="397"/>
    </w:p>
    <w:p>
      <w:pPr>
        <w:pStyle w:val="35"/>
        <w:snapToGrid w:val="0"/>
        <w:spacing w:line="360" w:lineRule="auto"/>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（本合同为合同样稿，最终稿由双方协商后确定）</w:t>
      </w:r>
    </w:p>
    <w:p>
      <w:pPr>
        <w:pStyle w:val="35"/>
        <w:snapToGrid w:val="0"/>
        <w:spacing w:line="360" w:lineRule="auto"/>
        <w:jc w:val="center"/>
        <w:rPr>
          <w:rFonts w:cs="宋体"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合同编号：</w:t>
      </w:r>
    </w:p>
    <w:p>
      <w:pPr>
        <w:autoSpaceDE w:val="0"/>
        <w:autoSpaceDN w:val="0"/>
        <w:snapToGrid w:val="0"/>
        <w:spacing w:line="360" w:lineRule="auto"/>
        <w:ind w:firstLine="436" w:firstLineChars="182"/>
        <w:rPr>
          <w:rFonts w:asciiTheme="minorEastAsia" w:hAnsiTheme="minorEastAsia" w:eastAsiaTheme="minorEastAsia"/>
          <w:sz w:val="24"/>
        </w:rPr>
      </w:pPr>
      <w:r>
        <w:rPr>
          <w:rFonts w:asciiTheme="minorEastAsia" w:hAnsiTheme="minorEastAsia" w:eastAsiaTheme="minorEastAsia"/>
          <w:sz w:val="24"/>
        </w:rPr>
        <w:t>项目名称：</w:t>
      </w:r>
    </w:p>
    <w:p>
      <w:pPr>
        <w:pStyle w:val="35"/>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招标编号：</w:t>
      </w:r>
    </w:p>
    <w:p>
      <w:pPr>
        <w:pStyle w:val="35"/>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甲方：</w:t>
      </w:r>
    </w:p>
    <w:p>
      <w:pPr>
        <w:snapToGrid w:val="0"/>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乙方：</w:t>
      </w:r>
    </w:p>
    <w:p>
      <w:pPr>
        <w:pStyle w:val="9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甲、乙双方根据</w:t>
      </w:r>
      <w:r>
        <w:rPr>
          <w:rFonts w:hint="eastAsia" w:asciiTheme="minorEastAsia" w:hAnsiTheme="minorEastAsia" w:eastAsiaTheme="minorEastAsia"/>
          <w:sz w:val="24"/>
          <w:szCs w:val="24"/>
        </w:rPr>
        <w:t>政府采购</w:t>
      </w:r>
      <w:r>
        <w:rPr>
          <w:rFonts w:asciiTheme="minorEastAsia" w:hAnsiTheme="minorEastAsia" w:eastAsiaTheme="minorEastAsia"/>
          <w:sz w:val="24"/>
          <w:szCs w:val="24"/>
        </w:rPr>
        <w:t>公开招标的结果，</w:t>
      </w:r>
      <w:r>
        <w:rPr>
          <w:rFonts w:hint="eastAsia" w:asciiTheme="minorEastAsia" w:hAnsiTheme="minorEastAsia" w:eastAsiaTheme="minorEastAsia"/>
          <w:sz w:val="24"/>
          <w:szCs w:val="24"/>
        </w:rPr>
        <w:t>依照《中华人民共和国民法典》及其他有关法律、法规，遵循平等、自愿、公平和诚实信用的原则，双方就本项目事项协商一致，订立本合同。</w:t>
      </w:r>
    </w:p>
    <w:p>
      <w:pPr>
        <w:pStyle w:val="9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一、服务内容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本项目为乔司街道世纪大道沿线绿化养护项目，主要包括世纪大道沿线绿化、乔木林及清单范围内的养护内容，养护面积约</w:t>
      </w:r>
      <w:r>
        <w:rPr>
          <w:rFonts w:hint="eastAsia" w:asciiTheme="minorEastAsia" w:hAnsiTheme="minorEastAsia"/>
          <w:b/>
          <w:sz w:val="24"/>
        </w:rPr>
        <w:t>440510.27</w:t>
      </w:r>
      <w:r>
        <w:rPr>
          <w:rFonts w:hint="eastAsia" w:cs="宋体" w:asciiTheme="minorEastAsia" w:hAnsiTheme="minorEastAsia" w:eastAsiaTheme="minorEastAsia"/>
          <w:sz w:val="24"/>
        </w:rPr>
        <w:t>万平方米。</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二、项目技术规范和服务要求</w:t>
      </w:r>
    </w:p>
    <w:p>
      <w:pPr>
        <w:snapToGrid w:val="0"/>
        <w:spacing w:line="360" w:lineRule="auto"/>
        <w:ind w:firstLine="480" w:firstLineChars="200"/>
        <w:rPr>
          <w:rFonts w:cs="宋体" w:asciiTheme="minorEastAsia" w:hAnsiTheme="minorEastAsia" w:eastAsiaTheme="minorEastAsia"/>
          <w:color w:val="FF0000"/>
          <w:sz w:val="24"/>
        </w:rPr>
      </w:pPr>
      <w:r>
        <w:rPr>
          <w:rFonts w:cs="宋体" w:asciiTheme="minorEastAsia" w:hAnsiTheme="minorEastAsia" w:eastAsiaTheme="minorEastAsia"/>
          <w:color w:val="FF0000"/>
          <w:sz w:val="24"/>
        </w:rPr>
        <w:t>中标单位须按招标人的招标文件、规定、养护标准认真履行合同，甲方根据招标文件、</w:t>
      </w:r>
      <w:r>
        <w:rPr>
          <w:rFonts w:hint="eastAsia" w:cs="宋体" w:asciiTheme="minorEastAsia" w:hAnsiTheme="minorEastAsia" w:eastAsiaTheme="minorEastAsia"/>
          <w:color w:val="FF0000"/>
          <w:sz w:val="24"/>
        </w:rPr>
        <w:t>参考</w:t>
      </w:r>
      <w:r>
        <w:rPr>
          <w:rFonts w:cs="宋体" w:asciiTheme="minorEastAsia" w:hAnsiTheme="minorEastAsia" w:eastAsiaTheme="minorEastAsia"/>
          <w:color w:val="FF0000"/>
          <w:sz w:val="24"/>
        </w:rPr>
        <w:t>《余杭区城市化管理范围内绿化、市政、保洁分级分类办法及相关养护标准的实施意见（试行）》（余政办〔2010〕250号）、</w:t>
      </w:r>
      <w:r>
        <w:rPr>
          <w:rFonts w:hint="eastAsia" w:cs="宋体" w:asciiTheme="minorEastAsia" w:hAnsiTheme="minorEastAsia" w:eastAsiaTheme="minorEastAsia"/>
          <w:color w:val="FF0000"/>
          <w:sz w:val="24"/>
        </w:rPr>
        <w:t>《杭州市临平区园林绿化养护管理考核评分细则》</w:t>
      </w:r>
      <w:r>
        <w:rPr>
          <w:rFonts w:cs="宋体" w:asciiTheme="minorEastAsia" w:hAnsiTheme="minorEastAsia" w:eastAsiaTheme="minorEastAsia"/>
          <w:color w:val="FF0000"/>
          <w:sz w:val="24"/>
        </w:rPr>
        <w:t>、</w:t>
      </w:r>
      <w:r>
        <w:rPr>
          <w:rFonts w:hint="eastAsia" w:cs="宋体" w:asciiTheme="minorEastAsia" w:hAnsiTheme="minorEastAsia" w:eastAsiaTheme="minorEastAsia"/>
          <w:color w:val="FF0000"/>
          <w:sz w:val="24"/>
        </w:rPr>
        <w:t>乔司街道公共绿地管理考核评分细则</w:t>
      </w:r>
      <w:r>
        <w:rPr>
          <w:rFonts w:cs="宋体" w:asciiTheme="minorEastAsia" w:hAnsiTheme="minorEastAsia" w:eastAsiaTheme="minorEastAsia"/>
          <w:color w:val="FF0000"/>
          <w:sz w:val="24"/>
        </w:rPr>
        <w:t>及其它有关规定、技术标准执行。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3.1绿地养护质量要求</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乔灌木的修剪按相关规定进行操作，城市化等级绿地内的乔木一年修剪不少于四次，具体要求在台风季节前和冬春季进行疏枝修剪。香樟等乔木或大型花灌木冬季必须刷白，及时防治病虫害；发现枯枝、死枝必须24小时内处理完毕；对花灌木应随时修剪，球形灌木应常年保持形态完整，色块灌木应控制高度及宽度，色块之间界限分明、线条清晰流畅，无缺株、无空洞。对枯死的树木应连同根部在24小时内挖除，并在2天内补种完毕，补种苗木的规格、品种和原苗木基本相同，特殊情况无法补种原规格苗木，需经甲方同意，补种前必须对土壤进行杀菌消毒处理。</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2、绿地内各类地被植物覆盖完好（包括桥荫柱的垂直植物），覆盖率达到100%以上，植株缺损必须在二天内补种，补种苗木的品种和原苗木相同。地被植物与乔、灌木的界线清晰，线条流畅。</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3、暖季型草修剪一年不少于6次，冷季型草修剪一年不少于10次。草坪草高度不超过8cm（常绿草高度不超过6cm），树木周围和草坪边缘应及时切边。常绿草四季应保持绿色，草坪的纯洁度在98%以上，无空秃、黄化现象。对被人为损坏和已发生病害的常绿草坪两天内切除调换，补种时确保草坪的美观和平整。摸清草坪地板结情况，及时对草坪地进行打孔处理，每年不少于一次。</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4、植保员应每天检查绿地病虫害发生情况，发现病虫害应在2天内治理完毕，并做好病虫害防治工作台帐。要求园林植物常年无明显病虫害。</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5、绿地保洁时间与相应道路的保洁时间相配套；白色污染物滞留绿地时间不超过半小时。</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6、及时清理绿地内建筑废弃物；或在接到通知后24小时内清理完毕并及时外运。</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7、绿地树木修剪、滚草、枯死枝的清理等绿地的垃圾当日清运完毕。</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8、土壤疏松，无积水，根据植物生长特性及时施肥，充分利用有机肥，也可施复合肥，增强土壤肥力，改善土壤理化性状。所有植物一年不少于两次施肥，肥料为复合肥或饼肥，施肥时间应定于游人稀少的时间段，并通知甲方，以甲方验收为准。</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9、维护好绿地内的园林建筑和设施，无锈迹及油漆剥落现象，每年至少油漆一次，设施破损一般在五天内维修完毕。</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10、小微水体无漂浮垃圾、树枝、树叶等漂浮物。</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11、绿地内基本无杂草。</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3.2乔木林绿化养护质量要求：</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乔木或大型花灌木冬季必须刷白，及时防治病虫害；发现枯枝、死枝必须24小时内处理完毕；对枯死的树木应连同根部在24小时内挖除，并在2天内补种完毕（补植苗木由乙方提供，人工、机械及其他费用，已在合同价内，不再另行支付）；倒伏、歪斜树木须在2天内扶正。</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2、植保员应每天检查绿地病虫害发生情况，发现病虫害应在2天内治理完毕，并做好病虫害防治工作台帐。要求植物常年无明显病虫害。</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5、绿地保洁时间与相应道路的保洁时间相配套；白色污染物滞留绿地时间不超过半小时。</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6、及时清理绿地内建筑废弃物；或在接到通知后24小时内清理完毕并及时外运。</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7、绿地树木修剪、滚草、枯死枝的清理等绿地的垃圾当日清运完毕。</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8、土壤疏松，无积水。</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9、小微水体无漂浮垃圾、树枝、树叶等漂浮物。</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10、乔木林内宜行走，杂草高度不得超过5公分；无大型、缠绕性、攀缘型杂草。</w:t>
      </w:r>
    </w:p>
    <w:p>
      <w:pPr>
        <w:snapToGrid w:val="0"/>
        <w:spacing w:line="360" w:lineRule="auto"/>
        <w:ind w:firstLine="470" w:firstLineChars="196"/>
        <w:rPr>
          <w:rFonts w:cs="宋体" w:asciiTheme="minorEastAsia" w:hAnsiTheme="minorEastAsia" w:eastAsiaTheme="minorEastAsia"/>
          <w:sz w:val="24"/>
        </w:rPr>
      </w:pPr>
      <w:r>
        <w:rPr>
          <w:rFonts w:cs="宋体" w:asciiTheme="minorEastAsia" w:hAnsiTheme="minorEastAsia" w:eastAsiaTheme="minorEastAsia"/>
          <w:sz w:val="24"/>
        </w:rPr>
        <w:t>3.3养护管理其他要求：</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1、投标方在养护作业中投入的机械设备、人员配置等必须与投标文件中所承诺的数量规格相符合。加强日常作业质量管理，做好作业质量自查日记，建立养护管理工作台帐，做好养护工作日报、月报、年报，健全养护档案制度。按要求每月25日前将苗木生长情况及下个月日常养护计划，人员安排计划上报采购人。对日常绿化养护管理形成日志，并由专人记录。合同结束后最近一期资金支付前养护日志移交采购人，养护日志由招标人每半年检查一次。</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规范管理、文明作业、自觉接受采购人及其上级各部门领导的检查和社会监督，对出现的问题要及时整改。及时处理市长热线、舆情信息、12328等热线的反映的问题。接到作业地块投诉电话和新闻舆论批评，应在24小时内处理完毕和信息反馈。</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3、作业时应严格遵守交通规则、遵守安全操作规程，作业时设置警示牌、安全警示锥等安全措施，作业人员上路作业时须统一穿戴安全反光背心。加强日常安全生产管理，确保职工人身安全。如遇各种意外事故发生由中标单位自行负责，并依照法律法规妥善处理（事故情况应及时书面告知采购人）。</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建立日常巡查制度，巡查人员对所管辖的绿地每天巡查一次，发现问题及时整改。对进入绿地践踏树木和损坏花木现象应及时予以制止，遇到严重的破坏绿化行为应及时上报甲方及执法部门。因养护企业巡查不力，遇到因人为或其它因素造成的苗木损坏，必须无条件在2天内补种完毕，包括因重大活动造成的损坏，无条件按甲方要求完成补种，否则扣除相应花木价值2－3倍的养护经费。未经采购人同意，中标单位不得擅自挖掘毁坏苗木，一经发现，责令整改，通报批评，情节严重的，终止合同。</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6、加强绿化养护应急响应管理工作，具体要求参照《杭州市城区绿化防台树木支撑工作方案》。</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①</w:t>
      </w:r>
      <w:r>
        <w:rPr>
          <w:rFonts w:cs="宋体" w:asciiTheme="minorEastAsia" w:hAnsiTheme="minorEastAsia" w:eastAsiaTheme="minorEastAsia"/>
          <w:sz w:val="24"/>
        </w:rPr>
        <w:t>制定灾害性天气应急预案，建立应急救灾队伍，将应急预案和人员名单上报采购人备案。</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②</w:t>
      </w:r>
      <w:r>
        <w:rPr>
          <w:rFonts w:cs="宋体" w:asciiTheme="minorEastAsia" w:hAnsiTheme="minorEastAsia" w:eastAsiaTheme="minorEastAsia"/>
          <w:sz w:val="24"/>
        </w:rPr>
        <w:t>建立应急备货制，备货的内容有：抗旱、抗涝、抗台、抗寒、抗雪等物资（快速支撑、钢管、毛竹、水泵、遮阴网、草包等），快速支撑钢管只能做为一部分应急物资储备，不是唯一的抗台应急物资。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③</w:t>
      </w:r>
      <w:r>
        <w:rPr>
          <w:rFonts w:cs="宋体" w:asciiTheme="minorEastAsia" w:hAnsiTheme="minorEastAsia" w:eastAsiaTheme="minorEastAsia"/>
          <w:sz w:val="24"/>
        </w:rPr>
        <w:t xml:space="preserve">遇灾害性天气，听从采购人统一指挥，及时组织人员夏季抗旱、抗台，冬季遇积雪必须及时组织人员进行抗雪。遇到树木斜倒时，根据采购人要求，做好清障扶正工作。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④</w:t>
      </w:r>
      <w:r>
        <w:rPr>
          <w:rFonts w:cs="宋体" w:asciiTheme="minorEastAsia" w:hAnsiTheme="minorEastAsia" w:eastAsiaTheme="minorEastAsia"/>
          <w:sz w:val="24"/>
        </w:rPr>
        <w:t>做好防台树木支撑工作，在市气象台发出台风预警信号以后，立即做好树木支撑工作。</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7、中标单位根据采购人通知要求，做好各类“迎检”和“创建”准备工作。</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8、经相关部门批准的绿地内挖掘及占用绿地，中标单位应予以积极配合，对于超范围施工情况应当及时予以制止并报采购人及执法部门，复种后的绿地应由中标单位负责正常养护。</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9、产生的各种的垃圾必须进入垃圾中转站或自有的垃圾处理场地，其处理产生费用由中标单位负责。</w:t>
      </w:r>
    </w:p>
    <w:p>
      <w:pPr>
        <w:snapToGrid w:val="0"/>
        <w:spacing w:line="360" w:lineRule="auto"/>
        <w:rPr>
          <w:rFonts w:asciiTheme="minorEastAsia" w:hAnsiTheme="minorEastAsia" w:eastAsiaTheme="minorEastAsia" w:cstheme="majorEastAsia"/>
        </w:rPr>
      </w:pPr>
      <w:r>
        <w:rPr>
          <w:rFonts w:hint="eastAsia" w:cs="宋体" w:asciiTheme="minorEastAsia" w:hAnsiTheme="minorEastAsia" w:eastAsiaTheme="minorEastAsia"/>
          <w:sz w:val="24"/>
        </w:rPr>
        <w:t>3.4时花花坛的养护标准：</w:t>
      </w:r>
    </w:p>
    <w:p>
      <w:pPr>
        <w:snapToGrid w:val="0"/>
        <w:spacing w:line="360" w:lineRule="auto"/>
        <w:ind w:firstLine="480" w:firstLineChars="200"/>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（1）布置效果：按设计精心养护，有全年用花计划，做到四季有花，花期整齐，图案美观，布置效果良好。</w:t>
      </w:r>
    </w:p>
    <w:p>
      <w:pPr>
        <w:snapToGrid w:val="0"/>
        <w:spacing w:line="360" w:lineRule="auto"/>
        <w:ind w:firstLine="480" w:firstLineChars="200"/>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（2）花卉生长：花卉植株生长健壮，花色艳丽，始花期方可上花坛种植，株行距适宜，不露底土。无缺株倒伏，无枯枝残花，无杂草垃圾。</w:t>
      </w:r>
    </w:p>
    <w:p>
      <w:pPr>
        <w:snapToGrid w:val="0"/>
        <w:spacing w:line="360" w:lineRule="auto"/>
        <w:ind w:firstLine="480" w:firstLineChars="200"/>
        <w:jc w:val="left"/>
        <w:rPr>
          <w:rFonts w:asciiTheme="minorEastAsia" w:hAnsiTheme="minorEastAsia" w:eastAsiaTheme="minorEastAsia" w:cstheme="majorEastAsia"/>
          <w:sz w:val="24"/>
        </w:rPr>
      </w:pPr>
      <w:r>
        <w:rPr>
          <w:rFonts w:hint="eastAsia" w:asciiTheme="minorEastAsia" w:hAnsiTheme="minorEastAsia" w:eastAsiaTheme="minorEastAsia" w:cstheme="majorEastAsia"/>
          <w:sz w:val="24"/>
        </w:rPr>
        <w:t>参照《杭州市城区花坛、花境养护管理规定（试行）》，加强对花卉的养护管理。</w:t>
      </w:r>
    </w:p>
    <w:p>
      <w:pPr>
        <w:snapToGrid w:val="0"/>
        <w:spacing w:line="360" w:lineRule="auto"/>
        <w:ind w:firstLine="480" w:firstLineChars="200"/>
        <w:jc w:val="left"/>
        <w:rPr>
          <w:rFonts w:cs="宋体" w:asciiTheme="minorEastAsia" w:hAnsiTheme="minorEastAsia" w:eastAsiaTheme="minorEastAsia"/>
          <w:sz w:val="24"/>
        </w:rPr>
      </w:pPr>
      <w:r>
        <w:rPr>
          <w:rFonts w:hint="eastAsia" w:asciiTheme="minorEastAsia" w:hAnsiTheme="minorEastAsia" w:eastAsiaTheme="minorEastAsia" w:cstheme="majorEastAsia"/>
          <w:sz w:val="24"/>
        </w:rPr>
        <w:t xml:space="preserve">本项目要求时花更换全年至少为4次，在每一次更换时必须要将时花品种、数量（时花种植每平方不得少于49株、中盆）方案事先向招标方报备，由招标方确定种植方案，否则将作无更换时花处理，种后由招标方现场验收签字确定。 </w:t>
      </w:r>
    </w:p>
    <w:p>
      <w:pPr>
        <w:pStyle w:val="90"/>
        <w:snapToGrid w:val="0"/>
        <w:spacing w:line="360" w:lineRule="auto"/>
        <w:rPr>
          <w:rFonts w:asciiTheme="minorEastAsia" w:hAnsiTheme="minorEastAsia" w:eastAsiaTheme="minorEastAsia"/>
          <w:b/>
          <w:bCs/>
          <w:sz w:val="24"/>
          <w:szCs w:val="24"/>
        </w:rPr>
      </w:pP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三、合同金额</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标项合同金额为（大写） 元，（￥ 元）人民币。</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四、技术资料</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1、乙方应按招标文件规定的时间向甲方提供有关技术资料。</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3、乙方应履行保密义务，对于所有与甲方有关的资料和信息，乙方均应作为秘密信息对待。除非甲方事先通知许可，双方均承诺不将对方取得的信息披露或透露给无关人员。</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4、乙方应按规定与队员订立书面劳动合同，并为队员统一缴纳社保。</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五、知识产权</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乙方应保证提供服务过程中不会侵犯任何第三方的知识产权。</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六、履约保证金</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合同签订前乙方需向甲方提交中标总额2.5的履约保证金或银行、担保机构保函，在服务期满后三十天内退还（不计息）。</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七、转包或分包</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1、本合同范围的服务，应由乙方直接供应，不得转让他人供应；</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2、除非得到甲方的书面同意，乙方不得将本合同范围的服务全部或部分分包给他人供应；</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3、如有转让和未经甲方同意的分包行为，甲方有权解除合同，没收履约保证金并追究乙方的违约责任。</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八、合同履行时间、履行方式及履行地点</w:t>
      </w:r>
    </w:p>
    <w:p>
      <w:pPr>
        <w:pStyle w:val="9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、履行时间：（2022年月日-</w:t>
      </w:r>
      <w:r>
        <w:rPr>
          <w:rFonts w:asciiTheme="minorEastAsia" w:hAnsiTheme="minorEastAsia" w:eastAsiaTheme="minorEastAsia"/>
          <w:sz w:val="24"/>
          <w:szCs w:val="24"/>
        </w:rPr>
        <w:t>202</w:t>
      </w:r>
      <w:r>
        <w:rPr>
          <w:rFonts w:hint="eastAsia" w:asciiTheme="minorEastAsia" w:hAnsiTheme="minorEastAsia" w:eastAsiaTheme="minorEastAsia"/>
          <w:sz w:val="24"/>
          <w:szCs w:val="24"/>
        </w:rPr>
        <w:t>4年月日）；</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2、履行</w:t>
      </w:r>
      <w:r>
        <w:rPr>
          <w:rFonts w:asciiTheme="minorEastAsia" w:hAnsiTheme="minorEastAsia" w:eastAsiaTheme="minorEastAsia"/>
          <w:sz w:val="24"/>
          <w:szCs w:val="24"/>
        </w:rPr>
        <w:t>地点：</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九、款项支付：</w:t>
      </w:r>
    </w:p>
    <w:p>
      <w:pPr>
        <w:snapToGrid w:val="0"/>
        <w:spacing w:line="360" w:lineRule="auto"/>
        <w:ind w:firstLine="480" w:firstLineChars="200"/>
        <w:jc w:val="left"/>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w:t>
      </w:r>
      <w:r>
        <w:rPr>
          <w:rFonts w:cs="宋体" w:asciiTheme="minorEastAsia" w:hAnsiTheme="minorEastAsia" w:eastAsiaTheme="minorEastAsia"/>
          <w:sz w:val="24"/>
        </w:rPr>
        <w:t>进度款支付：一般每三个月（季度）支付一次养护费用</w:t>
      </w:r>
      <w:r>
        <w:rPr>
          <w:rFonts w:hint="eastAsia" w:cs="宋体" w:asciiTheme="minorEastAsia" w:hAnsiTheme="minorEastAsia" w:eastAsiaTheme="minorEastAsia"/>
          <w:sz w:val="24"/>
        </w:rPr>
        <w:t>，首季支付合同养护款的20%，余下每个季度支付合同养护款的10%，直至付至合同养护款的90%，余下10%待合同期满经验收合格后付清；更新改造费经第三方审计后根据审定金额支付，总额不超投标价部分。</w:t>
      </w:r>
      <w:r>
        <w:rPr>
          <w:rFonts w:cs="宋体" w:asciiTheme="minorEastAsia" w:hAnsiTheme="minorEastAsia" w:eastAsiaTheme="minorEastAsia"/>
          <w:sz w:val="24"/>
        </w:rPr>
        <w:t>招标人根据</w:t>
      </w:r>
      <w:r>
        <w:rPr>
          <w:rFonts w:hint="eastAsia" w:cs="宋体" w:asciiTheme="minorEastAsia" w:hAnsiTheme="minorEastAsia" w:eastAsiaTheme="minorEastAsia"/>
          <w:sz w:val="24"/>
        </w:rPr>
        <w:t>考核评分细则</w:t>
      </w:r>
      <w:r>
        <w:rPr>
          <w:rFonts w:cs="宋体" w:asciiTheme="minorEastAsia" w:hAnsiTheme="minorEastAsia" w:eastAsiaTheme="minorEastAsia"/>
          <w:sz w:val="24"/>
        </w:rPr>
        <w:t>等考核文件对承包人的养护管理项目进行考核，并根据每季度考核结果支付相应养护费用。</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w:t>
      </w:r>
      <w:r>
        <w:rPr>
          <w:rFonts w:cs="宋体" w:asciiTheme="minorEastAsia" w:hAnsiTheme="minorEastAsia" w:eastAsiaTheme="minorEastAsia"/>
          <w:sz w:val="24"/>
        </w:rPr>
        <w:t>合同期内，因道路施工、绿化移交、项目施工等客观原因导致绿化养护工程量发生变化的，费用按实际工程量和养护时间结算；处于缺陷责任期道路的养护以甲方正式通知为准，并以乙方实际养护之日起算。</w:t>
      </w:r>
    </w:p>
    <w:p>
      <w:pPr>
        <w:snapToGrid w:val="0"/>
        <w:spacing w:line="360" w:lineRule="auto"/>
        <w:ind w:firstLine="480" w:firstLineChars="200"/>
        <w:rPr>
          <w:rFonts w:asciiTheme="minorEastAsia" w:hAnsiTheme="minorEastAsia" w:eastAsiaTheme="minorEastAsia"/>
          <w:b/>
          <w:bCs/>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w:t>
      </w:r>
      <w:r>
        <w:rPr>
          <w:rFonts w:cs="宋体" w:asciiTheme="minorEastAsia" w:hAnsiTheme="minorEastAsia" w:eastAsiaTheme="minorEastAsia"/>
          <w:sz w:val="24"/>
        </w:rPr>
        <w:t>合同期内，如有道路等级标准提高的，按新等级标准要求进行相应养护等级规定的作业并签订补充协议，不另行招标。</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十、税费</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本合同执行中相关的一切税费均由乙方负担。</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十一、保险</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（1）第三者责任保险</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乙方应对乙方人员以及第三方全权责任（如乙方应投保第三责任险），在乙方的责任区内由于乙方原因导致自己员工或者第三方的事故由乙方负责，甲方不承担任何责任。</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（2）员工人身意外</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在承包期内，乙方所有人员的事故由乙方自行全权负责（如乙方应对其员工投保人身意外险），以保证甲方在乙方工作人员索赔时不受任何责任的约束。</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（3）其他保险及费用</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乙方须按劳动合同法和政府有关各部门规定为全体服务人员交纳所有相关的社会保险及其他相关费用，乙方对此全权负责。</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十二、质量保证及后续服务</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1、乙方应按招标文件规定向甲方提供服务。</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2、乙方提供的服务成果在服务质量保证期内发生故障，乙方应负责免费提供后续服务。对达不到要求者，根据实际情况，经双方协商，可按以下办法处理：</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（1）重做：由乙方承担所发生的全部费用。</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（2）解除合同。</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3、在服务质量保证期内，乙方应对出现的质量及安全问题负责处理解决并承担一切费用。</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十三、违约责任</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1、甲方无正当理由拒收接受服务的，甲方向乙方偿付合同款项百分之五作为违约金。</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十四、不可抗力事件处理</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1、在合同有效期内，任何一方因不可抗力事件导致不能履行合同，则合同履行期可延长，其延长期与不可抗力影响期相同。</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2、不可抗力事件发生后，应立即通知对方，并寄送有关权威机构出具的证明。</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3、不可抗力事件延续120天以上，双方应通过友好协商，确定是否继续履行合同。</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十五、诉讼</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双方在执行合同中所发生的一切争议，应通过协商解决。如协商不成，可向甲方所在地法院起诉。</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十六、合同生效及其它</w:t>
      </w:r>
    </w:p>
    <w:p>
      <w:pPr>
        <w:pStyle w:val="9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、合同经双方法定代表人或授权代表签字并加盖单位公章后生效。</w:t>
      </w:r>
    </w:p>
    <w:p>
      <w:pPr>
        <w:pStyle w:val="9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合同执行中涉及采购资金和采购内容修改或补充的，须经财政部门审批，并签书面补充协议报政府采购监督管理部门备案，方可作为主合同不可分割的一部分。</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3、招标文件、投标文件及评标过程中形成的文字资料、询标纪要均作为本合同的组成部分，具有同等效力。本合同未尽事宜，遵照《合同法》有关条文执行。</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4、本合同一式肆份，具有同等法律效力，甲乙双方各执两份。</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甲方（盖章）：                             乙方（盖章）：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法定代表人：                              法定代表人：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或受委托人（签字）：                       或受委托人（签字）：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                                  联系人：</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地址：                                    地址：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电话：                                    电话：</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传真：                                    传真：</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帐号：                                    帐号：</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签订时间：                                签订时间：</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签订地点：</w:t>
      </w:r>
    </w:p>
    <w:p>
      <w:pPr>
        <w:rPr>
          <w:rFonts w:cs="宋体" w:asciiTheme="minorEastAsia" w:hAnsiTheme="minorEastAsia" w:eastAsiaTheme="minorEastAsia"/>
        </w:rPr>
      </w:pPr>
    </w:p>
    <w:p>
      <w:pPr>
        <w:pStyle w:val="968"/>
        <w:rPr>
          <w:rFonts w:cs="宋体" w:asciiTheme="minorEastAsia" w:hAnsiTheme="minorEastAsia" w:eastAsiaTheme="minorEastAsia"/>
        </w:rPr>
      </w:pPr>
    </w:p>
    <w:p>
      <w:pPr>
        <w:spacing w:line="360" w:lineRule="auto"/>
        <w:ind w:left="720" w:firstLine="723" w:firstLineChars="200"/>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第六部分</w:t>
      </w:r>
      <w:bookmarkEnd w:id="395"/>
      <w:bookmarkEnd w:id="396"/>
      <w:r>
        <w:rPr>
          <w:rFonts w:hint="eastAsia" w:cs="宋体" w:asciiTheme="minorEastAsia" w:hAnsiTheme="minorEastAsia" w:eastAsiaTheme="minorEastAsia"/>
          <w:b/>
          <w:sz w:val="36"/>
          <w:szCs w:val="20"/>
        </w:rPr>
        <w:t>应提交的有关格式范例</w:t>
      </w:r>
    </w:p>
    <w:p>
      <w:pPr>
        <w:spacing w:line="360" w:lineRule="auto"/>
        <w:jc w:val="center"/>
        <w:outlineLvl w:val="0"/>
        <w:rPr>
          <w:rFonts w:cs="宋体" w:asciiTheme="minorEastAsia" w:hAnsiTheme="minorEastAsia" w:eastAsiaTheme="minorEastAsia"/>
          <w:b/>
          <w:kern w:val="0"/>
          <w:sz w:val="36"/>
          <w:szCs w:val="36"/>
        </w:rPr>
      </w:pP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资格文件部分</w:t>
      </w: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（1）符合参加政府采购活动应当具备的一般条件的承诺函……………（页码）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（2）落实政府采购政策需满足的资格要求………………………………（页码）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（3）本项目的特定资格要求………………………………………………（页码）</w:t>
      </w:r>
    </w:p>
    <w:p>
      <w:pPr>
        <w:snapToGrid w:val="0"/>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kern w:val="0"/>
          <w:sz w:val="24"/>
        </w:rPr>
        <w:br w:type="page"/>
      </w:r>
      <w:r>
        <w:rPr>
          <w:rFonts w:hint="eastAsia" w:cs="宋体" w:asciiTheme="minorEastAsia" w:hAnsiTheme="minorEastAsia" w:eastAsiaTheme="minorEastAsia"/>
          <w:b/>
          <w:kern w:val="0"/>
          <w:sz w:val="32"/>
          <w:szCs w:val="32"/>
        </w:rPr>
        <w:t xml:space="preserve">  一、 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我方参与（项目名称）【招标编号：（采购编号）】政府采购活动，郑重承诺：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投标人名称(电子签名)：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月日</w:t>
      </w: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rPr>
          <w:rFonts w:cs="宋体" w:asciiTheme="minorEastAsia" w:hAnsiTheme="minorEastAsia" w:eastAsiaTheme="minorEastAsia"/>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二、落实政府采购政策需满足的资格要求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kern w:val="0"/>
          <w:sz w:val="32"/>
          <w:szCs w:val="32"/>
          <w:lang w:val="zh-CN"/>
        </w:rPr>
        <w:t>联合协议</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组成一个联合体，以一个投标人的身份</w:t>
      </w:r>
      <w:r>
        <w:rPr>
          <w:rFonts w:hint="eastAsia" w:cs="宋体" w:asciiTheme="minorEastAsia" w:hAnsiTheme="minorEastAsia" w:eastAsiaTheme="minorEastAsia"/>
          <w:kern w:val="0"/>
          <w:sz w:val="24"/>
        </w:rPr>
        <w:t>参加</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 xml:space="preserve">投标。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，代表所有联合体成员负责投标和合同实施阶段的主办、协调工作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三、本次联合投标中，分工如下：</w:t>
      </w:r>
      <w:r>
        <w:rPr>
          <w:rFonts w:hint="eastAsia" w:cs="宋体" w:asciiTheme="minorEastAsia" w:hAnsiTheme="minorEastAsia" w:eastAsiaTheme="minorEastAsia"/>
          <w:kern w:val="0"/>
          <w:sz w:val="24"/>
          <w:u w:val="single"/>
        </w:rPr>
        <w:t>（联合体其中一方成员名称）</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kern w:val="0"/>
          <w:sz w:val="24"/>
          <w:u w:val="single"/>
        </w:rPr>
        <w:t>（联合体其中一方成员名称）</w:t>
      </w:r>
      <w:r>
        <w:rPr>
          <w:rFonts w:hint="eastAsia" w:cs="宋体" w:asciiTheme="minorEastAsia" w:hAnsiTheme="minorEastAsia" w:eastAsiaTheme="minorEastAsia"/>
          <w:kern w:val="0"/>
          <w:sz w:val="24"/>
          <w:lang w:val="zh-CN"/>
        </w:rPr>
        <w:t>承担的工作和义务为：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w:t>
      </w:r>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五、如果中标，</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六、有关本次联合投标的其他事宜：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spacing w:line="360" w:lineRule="auto"/>
        <w:ind w:firstLine="480" w:firstLineChars="200"/>
        <w:rPr>
          <w:rFonts w:cs="宋体" w:asciiTheme="minorEastAsia" w:hAnsiTheme="minorEastAsia" w:eastAsiaTheme="minorEastAsia"/>
          <w:sz w:val="24"/>
        </w:rPr>
      </w:pP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分包意向协议</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的中标供应商，将依法采取分包方式履行合同。</w:t>
      </w: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（某分包供应商名称）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（某分包供应商名称），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5"/>
        <w:ind w:left="664" w:leftChars="316" w:firstLine="229" w:firstLineChars="95"/>
        <w:rPr>
          <w:rFonts w:cs="宋体" w:asciiTheme="minorEastAsia" w:hAnsiTheme="minorEastAsia" w:eastAsiaTheme="minorEastAsia"/>
        </w:rPr>
      </w:pPr>
      <w:r>
        <w:rPr>
          <w:rFonts w:hint="eastAsia" w:cs="宋体" w:asciiTheme="minorEastAsia" w:hAnsiTheme="minorEastAsia" w:eastAsiaTheme="minorEastAsia"/>
          <w:kern w:val="0"/>
          <w:sz w:val="24"/>
          <w:szCs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二、分包工作履行期限、地点、方式</w:t>
      </w:r>
    </w:p>
    <w:p>
      <w:pPr>
        <w:snapToGrid w:val="0"/>
        <w:spacing w:line="360" w:lineRule="auto"/>
        <w:ind w:firstLine="576"/>
        <w:rPr>
          <w:rFonts w:cs="宋体" w:asciiTheme="minorEastAsia" w:hAnsiTheme="minorEastAsia" w:eastAsiaTheme="minorEastAsia"/>
          <w:u w:val="single"/>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三、质量</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四、价款或者报酬</w:t>
      </w:r>
    </w:p>
    <w:p>
      <w:pPr>
        <w:snapToGrid w:val="0"/>
        <w:spacing w:line="360" w:lineRule="auto"/>
        <w:ind w:left="573" w:leftChars="273"/>
        <w:rPr>
          <w:rFonts w:cs="宋体" w:asciiTheme="minorEastAsia" w:hAnsiTheme="minorEastAsia" w:eastAsiaTheme="minorEastAsia"/>
          <w:kern w:val="0"/>
          <w:sz w:val="24"/>
          <w:lang w:val="zh-CN"/>
        </w:rPr>
      </w:pP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五、违约责任</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六、争议解决的办法</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 xml:space="preserve">  。                                           投标人名称(电子签名)：</w:t>
      </w:r>
    </w:p>
    <w:p>
      <w:pPr>
        <w:snapToGrid w:val="0"/>
        <w:spacing w:line="360" w:lineRule="auto"/>
        <w:ind w:firstLine="5640" w:firstLineChars="235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spacing w:line="360" w:lineRule="auto"/>
        <w:ind w:left="150"/>
        <w:jc w:val="center"/>
        <w:rPr>
          <w:rFonts w:cs="宋体" w:asciiTheme="minorEastAsia" w:hAnsiTheme="minorEastAsia" w:eastAsiaTheme="minorEastAsia"/>
          <w:b/>
          <w:kern w:val="0"/>
          <w:sz w:val="32"/>
          <w:szCs w:val="32"/>
        </w:rPr>
      </w:pPr>
    </w:p>
    <w:p>
      <w:pPr>
        <w:pStyle w:val="2"/>
        <w:ind w:firstLine="643"/>
        <w:rPr>
          <w:rFonts w:cs="宋体" w:asciiTheme="minorEastAsia" w:hAnsiTheme="minorEastAsia" w:eastAsiaTheme="minorEastAsia"/>
          <w:b/>
          <w:kern w:val="0"/>
          <w:sz w:val="32"/>
          <w:szCs w:val="32"/>
        </w:rPr>
      </w:pPr>
    </w:p>
    <w:p/>
    <w:p>
      <w:pPr>
        <w:widowControl/>
        <w:spacing w:line="360" w:lineRule="auto"/>
        <w:ind w:left="15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三、本项目的特定资格要求</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（根据招标公告本项目的特定资格要求提供相应的材料；未要求的，无需提供）</w:t>
      </w:r>
    </w:p>
    <w:p>
      <w:pPr>
        <w:rPr>
          <w:rFonts w:cs="宋体" w:asciiTheme="minorEastAsia" w:hAnsiTheme="minorEastAsia" w:eastAsiaTheme="minorEastAsia"/>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ind w:right="480"/>
        <w:jc w:val="center"/>
        <w:rPr>
          <w:rFonts w:cs="宋体" w:asciiTheme="minorEastAsia" w:hAnsiTheme="minorEastAsia" w:eastAsiaTheme="minorEastAsia"/>
          <w:b/>
          <w:kern w:val="0"/>
          <w:sz w:val="32"/>
          <w:szCs w:val="32"/>
        </w:rPr>
      </w:pP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ind w:right="480"/>
        <w:jc w:val="center"/>
        <w:rPr>
          <w:rFonts w:cs="宋体" w:asciiTheme="minorEastAsia" w:hAnsiTheme="minorEastAsia" w:eastAsiaTheme="minorEastAsia"/>
          <w:b/>
          <w:kern w:val="0"/>
          <w:sz w:val="32"/>
          <w:szCs w:val="32"/>
        </w:rPr>
      </w:pPr>
    </w:p>
    <w:p>
      <w:pPr>
        <w:pStyle w:val="2"/>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2"/>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2"/>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2"/>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2"/>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2"/>
        <w:ind w:firstLine="643"/>
        <w:rPr>
          <w:rFonts w:cs="宋体" w:asciiTheme="minorEastAsia" w:hAnsiTheme="minorEastAsia" w:eastAsiaTheme="minorEastAsia"/>
          <w:b/>
          <w:kern w:val="0"/>
          <w:sz w:val="32"/>
          <w:szCs w:val="32"/>
        </w:rPr>
      </w:pPr>
    </w:p>
    <w:p/>
    <w:p>
      <w:pPr>
        <w:spacing w:line="360" w:lineRule="auto"/>
        <w:jc w:val="center"/>
        <w:outlineLvl w:val="0"/>
        <w:rPr>
          <w:rFonts w:cs="宋体" w:asciiTheme="minorEastAsia" w:hAnsiTheme="minorEastAsia" w:eastAsiaTheme="minorEastAsia"/>
          <w:b/>
          <w:kern w:val="0"/>
          <w:sz w:val="36"/>
          <w:szCs w:val="36"/>
        </w:rPr>
      </w:pPr>
    </w:p>
    <w:p>
      <w:pPr>
        <w:spacing w:line="360" w:lineRule="auto"/>
        <w:ind w:right="420" w:firstLine="3614" w:firstLineChars="100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商务技术文件部分</w:t>
      </w:r>
    </w:p>
    <w:p>
      <w:pPr>
        <w:spacing w:line="360" w:lineRule="auto"/>
        <w:jc w:val="center"/>
        <w:outlineLvl w:val="0"/>
        <w:rPr>
          <w:rFonts w:cs="宋体" w:asciiTheme="minorEastAsia" w:hAnsiTheme="minorEastAsia" w:eastAsiaTheme="minorEastAsia"/>
          <w:b/>
          <w:kern w:val="0"/>
          <w:sz w:val="24"/>
        </w:rPr>
      </w:pPr>
    </w:p>
    <w:p>
      <w:pPr>
        <w:spacing w:line="360" w:lineRule="auto"/>
        <w:jc w:val="center"/>
        <w:outlineLvl w:val="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目录</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（1）投标函</w:t>
      </w:r>
      <w:r>
        <w:rPr>
          <w:rFonts w:hint="eastAsia" w:cs="宋体" w:asciiTheme="minorEastAsia" w:hAnsiTheme="minorEastAsia" w:eastAsiaTheme="minorEastAsia"/>
        </w:rPr>
        <w:t>…………………………………………………………………………………（页码）</w:t>
      </w:r>
      <w:r>
        <w:rPr>
          <w:rFonts w:hint="eastAsia" w:cs="宋体" w:asciiTheme="minorEastAsia" w:hAnsiTheme="minorEastAsia" w:eastAsiaTheme="minorEastAsia"/>
          <w:sz w:val="24"/>
        </w:rPr>
        <w:t>（2）授权委托书或法定代表人（单位负责人、自然人本人）身份证明</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（3）联合协议</w:t>
      </w:r>
      <w:r>
        <w:rPr>
          <w:rFonts w:hint="eastAsia" w:cs="宋体" w:asciiTheme="minorEastAsia" w:hAnsiTheme="minorEastAsia" w:eastAsiaTheme="minorEastAsia"/>
        </w:rPr>
        <w:t>………………………………………………………………………………（页码）</w:t>
      </w:r>
    </w:p>
    <w:p>
      <w:p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（5）符合性审查资料</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（6）评标标准相应的商务技术资料</w:t>
      </w:r>
      <w:r>
        <w:rPr>
          <w:rFonts w:hint="eastAsia" w:cs="宋体" w:asciiTheme="minorEastAsia" w:hAnsiTheme="minorEastAsia" w:eastAsiaTheme="minorEastAsia"/>
        </w:rPr>
        <w:t>…………………………</w:t>
      </w:r>
      <w:r>
        <w:rPr>
          <w:rFonts w:hint="eastAsia" w:cs="宋体" w:asciiTheme="minorEastAsia" w:hAnsiTheme="minorEastAsia" w:eastAsiaTheme="minorEastAsia"/>
          <w:sz w:val="24"/>
        </w:rPr>
        <w:t>………</w:t>
      </w:r>
      <w:r>
        <w:rPr>
          <w:rFonts w:hint="eastAsia" w:cs="宋体" w:asciiTheme="minorEastAsia" w:hAnsiTheme="minorEastAsia" w:eastAsiaTheme="minorEastAsia"/>
        </w:rPr>
        <w:t>…</w:t>
      </w:r>
      <w:r>
        <w:rPr>
          <w:rFonts w:hint="eastAsia" w:cs="宋体" w:asciiTheme="minorEastAsia" w:hAnsiTheme="minorEastAsia" w:eastAsiaTheme="minorEastAsia"/>
          <w:sz w:val="24"/>
        </w:rPr>
        <w:t>…</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（7）商务技术偏离表</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r>
        <w:rPr>
          <w:rFonts w:hint="eastAsia" w:cs="宋体" w:asciiTheme="minorEastAsia" w:hAnsiTheme="minorEastAsia" w:eastAsiaTheme="minorEastAsia"/>
        </w:rPr>
        <w:t>…………………………………………………（页码）</w:t>
      </w: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rPr>
          <w:rFonts w:cs="宋体" w:asciiTheme="minorEastAsia" w:hAnsiTheme="minorEastAsia" w:eastAsiaTheme="minorEastAsia"/>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sz w:val="32"/>
          <w:szCs w:val="32"/>
        </w:rPr>
      </w:pPr>
      <w:r>
        <w:rPr>
          <w:rFonts w:hint="eastAsia" w:cs="宋体" w:asciiTheme="minorEastAsia" w:hAnsiTheme="minorEastAsia" w:eastAsiaTheme="minorEastAsia"/>
          <w:b/>
          <w:kern w:val="0"/>
          <w:sz w:val="32"/>
          <w:szCs w:val="32"/>
        </w:rPr>
        <w:t>一、投标</w:t>
      </w:r>
      <w:r>
        <w:rPr>
          <w:rFonts w:hint="eastAsia" w:cs="宋体" w:asciiTheme="minorEastAsia" w:hAnsiTheme="minorEastAsia" w:eastAsiaTheme="minorEastAsia"/>
          <w:b/>
          <w:sz w:val="32"/>
          <w:szCs w:val="32"/>
        </w:rPr>
        <w:t>函</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我方参加你方组织的（项目名称）【招标编号：（采购编号）】招标的有关活动，并对此项目进行投标。为此：</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1、我方承诺投标有效期从提交投标文件的截止之日起天（不少于90天）</w:t>
      </w:r>
      <w:r>
        <w:rPr>
          <w:rFonts w:hint="eastAsia" w:cs="宋体" w:asciiTheme="minorEastAsia" w:hAnsiTheme="minorEastAsia" w:eastAsiaTheme="minorEastAsia"/>
        </w:rPr>
        <w:t>，</w:t>
      </w:r>
      <w:r>
        <w:rPr>
          <w:rFonts w:hint="eastAsia" w:cs="宋体" w:asciiTheme="minorEastAsia" w:hAnsiTheme="minorEastAsia" w:eastAsiaTheme="minorEastAsia"/>
          <w:sz w:val="24"/>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2.1资格文件：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2.1.1承诺函；</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2.1.2落实政府采购政策需满足的资格要求（如果有）；</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2.1.3本项目的特定资格要求（如果有）。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2商务技术</w:t>
      </w:r>
      <w:r>
        <w:rPr>
          <w:rFonts w:hint="eastAsia" w:cs="宋体" w:asciiTheme="minorEastAsia" w:hAnsiTheme="minorEastAsia" w:eastAsiaTheme="minorEastAsia"/>
          <w:sz w:val="24"/>
          <w:lang w:val="zh-CN"/>
        </w:rPr>
        <w:t>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2.2.1投标函；</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2.2.3联合协议（如果有）；</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2.2.4分包意向协议（如果有）；</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2.2.5符合性审查资料；</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2.2.6评标标准相应的商务技术资料；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2.2.7商务技术偏离表；</w:t>
      </w:r>
    </w:p>
    <w:p>
      <w:pPr>
        <w:snapToGrid w:val="0"/>
        <w:spacing w:line="360" w:lineRule="auto"/>
        <w:ind w:left="420" w:leftChars="2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3报价文件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2.3.1开标一览表（报价表）；</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2.3.2中小企业声明函（如果有）。</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4、如我方中标，我方承诺：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5、其他补充说明:。</w:t>
      </w:r>
    </w:p>
    <w:p>
      <w:pPr>
        <w:spacing w:line="360" w:lineRule="auto"/>
        <w:ind w:firstLine="3600" w:firstLineChars="15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投标人名称（电子签名）：                          </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u w:val="single"/>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rPr>
          <w:rFonts w:cs="宋体" w:asciiTheme="minorEastAsia" w:hAnsiTheme="minorEastAsia" w:eastAsiaTheme="minorEastAsia"/>
          <w:sz w:val="24"/>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pStyle w:val="2"/>
        <w:rPr>
          <w:rFonts w:cs="宋体" w:asciiTheme="minorEastAsia" w:hAnsiTheme="minorEastAsia" w:eastAsiaTheme="minorEastAsia"/>
          <w:b/>
          <w:kern w:val="0"/>
          <w:sz w:val="32"/>
          <w:szCs w:val="32"/>
          <w:lang w:val="zh-CN"/>
        </w:rPr>
      </w:pPr>
    </w:p>
    <w:p>
      <w:pPr>
        <w:rPr>
          <w:rFonts w:cs="宋体" w:asciiTheme="minorEastAsia" w:hAnsiTheme="minorEastAsia" w:eastAsiaTheme="minorEastAsia"/>
          <w:b/>
          <w:kern w:val="0"/>
          <w:sz w:val="32"/>
          <w:szCs w:val="32"/>
          <w:lang w:val="zh-CN"/>
        </w:rPr>
      </w:pPr>
    </w:p>
    <w:p>
      <w:pPr>
        <w:pStyle w:val="2"/>
        <w:rPr>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kern w:val="0"/>
          <w:sz w:val="32"/>
          <w:szCs w:val="32"/>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rPr>
      </w:pPr>
    </w:p>
    <w:p>
      <w:pPr>
        <w:snapToGrid w:val="0"/>
        <w:spacing w:line="360" w:lineRule="auto"/>
        <w:ind w:firstLine="2872" w:firstLineChars="894"/>
        <w:rPr>
          <w:rFonts w:cs="宋体" w:asciiTheme="minorEastAsia" w:hAnsiTheme="minorEastAsia" w:eastAsiaTheme="minorEastAsia"/>
        </w:rPr>
      </w:pPr>
      <w:r>
        <w:rPr>
          <w:rFonts w:hint="eastAsia" w:cs="宋体" w:asciiTheme="minorEastAsia" w:hAnsiTheme="minorEastAsia" w:eastAsiaTheme="minorEastAsia"/>
          <w:b/>
          <w:kern w:val="0"/>
          <w:sz w:val="32"/>
          <w:szCs w:val="32"/>
          <w:lang w:val="zh-CN"/>
        </w:rPr>
        <w:t>授权委托书（适用于非联合体投标）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政府采购投标的一切事项，其法律后果由我方承担。</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委托期限</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自年月日起至年月日止。</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特此告知。</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投标人名称(电子签名)：</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签发日期：  年  月   日</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sz w:val="24"/>
        </w:rPr>
      </w:pP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lang w:val="zh-CN"/>
        </w:rPr>
        <w:t>授权委托书（适用于联合体投标）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政府采购投标的一切事项，其法律后果由我方承担。</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委托期限</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自年月日起至年月日止。</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特此告知。</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rPr>
          <w:rFonts w:cs="宋体" w:asciiTheme="minorEastAsia" w:hAnsiTheme="minorEastAsia" w:eastAsiaTheme="minorEastAsia"/>
        </w:rPr>
      </w:pP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autoSpaceDE w:val="0"/>
        <w:autoSpaceDN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kern w:val="0"/>
          <w:sz w:val="32"/>
          <w:szCs w:val="32"/>
          <w:lang w:val="zh-CN"/>
        </w:rPr>
        <w:t>法定代表人、单位负责人或自然人本人</w:t>
      </w:r>
      <w:r>
        <w:rPr>
          <w:rFonts w:hint="eastAsia" w:cs="宋体" w:asciiTheme="minorEastAsia" w:hAnsiTheme="minorEastAsia" w:eastAsiaTheme="minorEastAsia"/>
          <w:b/>
          <w:sz w:val="30"/>
          <w:szCs w:val="30"/>
        </w:rPr>
        <w:t>的身份证明（适用于法定代表人、单位负责人或者自然人本人代表投标人参加投标）</w:t>
      </w:r>
    </w:p>
    <w:p>
      <w:pPr>
        <w:pStyle w:val="91"/>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91"/>
              <w:adjustRightIn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正面：                                 反面：</w:t>
            </w:r>
          </w:p>
          <w:p>
            <w:pPr>
              <w:pStyle w:val="91"/>
              <w:adjustRightInd w:val="0"/>
              <w:spacing w:line="360" w:lineRule="auto"/>
              <w:rPr>
                <w:rFonts w:cs="宋体" w:asciiTheme="minorEastAsia" w:hAnsiTheme="minorEastAsia" w:eastAsiaTheme="minorEastAsia"/>
                <w:bCs/>
                <w:sz w:val="24"/>
              </w:rPr>
            </w:pPr>
          </w:p>
        </w:tc>
      </w:tr>
    </w:tbl>
    <w:p>
      <w:pPr>
        <w:snapToGrid w:val="0"/>
        <w:spacing w:line="360" w:lineRule="auto"/>
        <w:ind w:firstLine="576"/>
        <w:jc w:val="center"/>
        <w:rPr>
          <w:rFonts w:cs="宋体" w:asciiTheme="minorEastAsia" w:hAnsiTheme="minorEastAsia" w:eastAsiaTheme="minorEastAsia"/>
          <w:kern w:val="0"/>
          <w:sz w:val="24"/>
          <w:lang w:val="zh-CN"/>
        </w:rPr>
      </w:pPr>
    </w:p>
    <w:p>
      <w:pPr>
        <w:snapToGrid w:val="0"/>
        <w:spacing w:line="360" w:lineRule="auto"/>
        <w:ind w:firstLine="576"/>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                              </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pStyle w:val="2"/>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四、分包意向协议</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的中标供应商，将依法采取分包方式履行合同。</w:t>
      </w: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（某分包供应商名称）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（某分包供应商名称），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5"/>
        <w:ind w:left="664" w:leftChars="316" w:firstLine="229" w:firstLineChars="95"/>
        <w:rPr>
          <w:rFonts w:cs="宋体" w:asciiTheme="minorEastAsia" w:hAnsiTheme="minorEastAsia" w:eastAsiaTheme="minorEastAsia"/>
        </w:rPr>
      </w:pPr>
      <w:r>
        <w:rPr>
          <w:rFonts w:hint="eastAsia" w:cs="宋体" w:asciiTheme="minorEastAsia" w:hAnsiTheme="minorEastAsia" w:eastAsiaTheme="minorEastAsia"/>
          <w:kern w:val="0"/>
          <w:sz w:val="24"/>
          <w:szCs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二、分包工作履行期限、地点、方式</w:t>
      </w:r>
    </w:p>
    <w:p>
      <w:pPr>
        <w:snapToGrid w:val="0"/>
        <w:spacing w:line="360" w:lineRule="auto"/>
        <w:ind w:firstLine="576"/>
        <w:rPr>
          <w:rFonts w:cs="宋体" w:asciiTheme="minorEastAsia" w:hAnsiTheme="minorEastAsia" w:eastAsiaTheme="minorEastAsia"/>
          <w:u w:val="single"/>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三、质量</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四、价款或者报酬</w:t>
      </w:r>
    </w:p>
    <w:p>
      <w:pPr>
        <w:snapToGrid w:val="0"/>
        <w:spacing w:line="360" w:lineRule="auto"/>
        <w:ind w:left="573" w:leftChars="273"/>
        <w:rPr>
          <w:rFonts w:cs="宋体" w:asciiTheme="minorEastAsia" w:hAnsiTheme="minorEastAsia" w:eastAsiaTheme="minorEastAsia"/>
          <w:kern w:val="0"/>
          <w:sz w:val="24"/>
          <w:lang w:val="zh-CN"/>
        </w:rPr>
      </w:pP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五、违约责任</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六、争议解决的办法</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七、其他</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u w:val="single"/>
        </w:rPr>
        <w:t>（分包供应商名称）提供的货物全部由小微企业制造，</w:t>
      </w:r>
      <w:r>
        <w:rPr>
          <w:rFonts w:hint="eastAsia" w:cs="宋体" w:asciiTheme="minorEastAsia" w:hAnsiTheme="minorEastAsia" w:eastAsiaTheme="minorEastAsia"/>
          <w:kern w:val="0"/>
          <w:sz w:val="24"/>
        </w:rPr>
        <w:t>其合同份额占到合同总金额%以上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w:t>
      </w:r>
    </w:p>
    <w:p>
      <w:pPr>
        <w:snapToGrid w:val="0"/>
        <w:spacing w:line="360" w:lineRule="auto"/>
        <w:ind w:firstLine="5640" w:firstLineChars="235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五、符合性审查资料</w:t>
      </w:r>
    </w:p>
    <w:p>
      <w:pPr>
        <w:jc w:val="center"/>
        <w:rPr>
          <w:rFonts w:cs="宋体" w:asciiTheme="minorEastAsia" w:hAnsiTheme="minorEastAsia" w:eastAsiaTheme="minorEastAsia"/>
          <w:b/>
          <w:kern w:val="0"/>
          <w:sz w:val="32"/>
          <w:szCs w:val="32"/>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4991"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投标文件中的</w:t>
            </w:r>
          </w:p>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991"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投标文件按照招标文件要求签署、盖章。</w:t>
            </w:r>
          </w:p>
        </w:tc>
        <w:tc>
          <w:tcPr>
            <w:tcW w:w="2551"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需要使用电子签名或者签字盖章的投标文件的组成部分</w:t>
            </w:r>
          </w:p>
        </w:tc>
        <w:tc>
          <w:tcPr>
            <w:tcW w:w="1418" w:type="dxa"/>
          </w:tcPr>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pPr>
              <w:rPr>
                <w:rFonts w:cs="宋体" w:asciiTheme="minorEastAsia" w:hAnsiTheme="minorEastAsia" w:eastAsiaTheme="minorEastAsia"/>
              </w:rPr>
            </w:pPr>
            <w:r>
              <w:rPr>
                <w:rFonts w:hint="eastAsia" w:cs="宋体" w:asciiTheme="minorEastAsia" w:hAnsiTheme="minorEastAsia" w:eastAsiaTheme="min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4991"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节能产品认证证书（本项目拟采购的产品不属于政府强制采购的节能产品品目清单范围的，无需提供）</w:t>
            </w:r>
          </w:p>
        </w:tc>
        <w:tc>
          <w:tcPr>
            <w:tcW w:w="1418" w:type="dxa"/>
          </w:tcPr>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pPr>
              <w:pStyle w:val="5"/>
              <w:rPr>
                <w:rFonts w:cs="宋体" w:asciiTheme="minorEastAsia" w:hAnsiTheme="minorEastAsia" w:eastAsiaTheme="minorEastAsia"/>
                <w:lang w:val="en-US"/>
              </w:rPr>
            </w:pPr>
            <w:r>
              <w:rPr>
                <w:rFonts w:hint="eastAsia" w:cs="宋体" w:asciiTheme="minorEastAsia" w:hAnsiTheme="minorEastAsia" w:eastAsiaTheme="minorEastAsia"/>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4991"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投标文件中承诺的投标有效期不少于招标文件中载明的投标有效期。</w:t>
            </w:r>
          </w:p>
        </w:tc>
        <w:tc>
          <w:tcPr>
            <w:tcW w:w="2551"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投标函</w:t>
            </w:r>
          </w:p>
        </w:tc>
        <w:tc>
          <w:tcPr>
            <w:tcW w:w="1418" w:type="dxa"/>
          </w:tcPr>
          <w:p>
            <w:pPr>
              <w:rPr>
                <w:rFonts w:cs="宋体" w:asciiTheme="minorEastAsia" w:hAnsiTheme="minorEastAsia" w:eastAsiaTheme="minorEastAsia"/>
              </w:rPr>
            </w:pPr>
            <w:r>
              <w:rPr>
                <w:rFonts w:hint="eastAsia" w:cs="宋体" w:asciiTheme="minorEastAsia" w:hAnsiTheme="minorEastAsia" w:eastAsiaTheme="min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4991"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投标文件满足招标文件的其它实质性要求。</w:t>
            </w:r>
          </w:p>
        </w:tc>
        <w:tc>
          <w:tcPr>
            <w:tcW w:w="2551"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kern w:val="0"/>
                <w:sz w:val="24"/>
              </w:rPr>
              <w:t>招标文件其它实质性要求相应的材料（“▲” 系指实质性要求条款，招标文件无其它实质性要求的，无需提供）</w:t>
            </w:r>
          </w:p>
        </w:tc>
        <w:tc>
          <w:tcPr>
            <w:tcW w:w="1418" w:type="dxa"/>
          </w:tcPr>
          <w:p>
            <w:pPr>
              <w:rPr>
                <w:rFonts w:cs="宋体" w:asciiTheme="minorEastAsia" w:hAnsiTheme="minorEastAsia" w:eastAsiaTheme="minorEastAsia"/>
              </w:rPr>
            </w:pPr>
            <w:r>
              <w:rPr>
                <w:rFonts w:hint="eastAsia" w:cs="宋体" w:asciiTheme="minorEastAsia" w:hAnsiTheme="minorEastAsia" w:eastAsiaTheme="minorEastAsia"/>
                <w:sz w:val="24"/>
              </w:rPr>
              <w:t>见投标文件第页</w:t>
            </w:r>
          </w:p>
        </w:tc>
      </w:tr>
    </w:tbl>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rPr>
      </w:pPr>
      <w:r>
        <w:rPr>
          <w:rFonts w:hint="eastAsia" w:cs="宋体" w:asciiTheme="minorEastAsia" w:hAnsiTheme="minorEastAsia" w:eastAsiaTheme="minorEastAsia"/>
          <w:b/>
          <w:kern w:val="0"/>
          <w:sz w:val="32"/>
          <w:szCs w:val="32"/>
        </w:rPr>
        <w:t>六、评标标准相应的商务技术资料</w:t>
      </w:r>
    </w:p>
    <w:p>
      <w:pPr>
        <w:snapToGrid w:val="0"/>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七、商务技术偏离表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序号</w:t>
            </w:r>
          </w:p>
        </w:tc>
        <w:tc>
          <w:tcPr>
            <w:tcW w:w="3683"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招标文件章节及具体内容</w:t>
            </w:r>
          </w:p>
        </w:tc>
        <w:tc>
          <w:tcPr>
            <w:tcW w:w="3546"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投标文件章节及具体内容</w:t>
            </w:r>
          </w:p>
        </w:tc>
        <w:tc>
          <w:tcPr>
            <w:tcW w:w="1276"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bl>
    <w:p>
      <w:pPr>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pStyle w:val="2"/>
        <w:ind w:firstLine="643"/>
        <w:rPr>
          <w:rFonts w:cs="宋体" w:asciiTheme="minorEastAsia" w:hAnsiTheme="minorEastAsia" w:eastAsiaTheme="minorEastAsia"/>
          <w:b/>
          <w:kern w:val="0"/>
          <w:sz w:val="32"/>
          <w:szCs w:val="32"/>
        </w:rPr>
      </w:pPr>
    </w:p>
    <w:p/>
    <w:p>
      <w:pPr>
        <w:ind w:firstLine="2891" w:firstLineChars="900"/>
        <w:rPr>
          <w:rFonts w:cs="宋体" w:asciiTheme="minorEastAsia" w:hAnsiTheme="minorEastAsia" w:eastAsiaTheme="minorEastAsia"/>
          <w:b/>
          <w:kern w:val="0"/>
          <w:sz w:val="32"/>
          <w:szCs w:val="32"/>
        </w:rPr>
      </w:pPr>
    </w:p>
    <w:p>
      <w:pPr>
        <w:ind w:firstLine="1911" w:firstLineChars="595"/>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八、</w:t>
      </w:r>
      <w:r>
        <w:rPr>
          <w:rFonts w:hint="eastAsia" w:cs="宋体" w:asciiTheme="minorEastAsia" w:hAnsiTheme="minorEastAsia" w:eastAsiaTheme="minorEastAsia"/>
          <w:b/>
          <w:kern w:val="0"/>
          <w:sz w:val="32"/>
          <w:szCs w:val="32"/>
          <w:lang w:val="zh-CN"/>
        </w:rPr>
        <w:t>政府采购供应商廉洁自律承诺书</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我单位响应你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六、严格遵守《</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政府采购法》《</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招标投标</w:t>
      </w:r>
    </w:p>
    <w:p>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法》</w:t>
      </w:r>
      <w:r>
        <w:rPr>
          <w:rFonts w:hint="eastAsia" w:cs="宋体" w:asciiTheme="minorEastAsia" w:hAnsiTheme="minorEastAsia" w:eastAsiaTheme="minorEastAsia"/>
          <w:sz w:val="24"/>
          <w:lang w:val="zh-CN"/>
        </w:rPr>
        <w:t>《中华人民共和国民法典》</w:t>
      </w:r>
      <w:r>
        <w:rPr>
          <w:rFonts w:hint="eastAsia" w:cs="宋体" w:asciiTheme="minorEastAsia" w:hAnsiTheme="minorEastAsia" w:eastAsia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如违反上述承诺，你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有权立即取消我单位投标、中标或在建项目的建设资格，有权拒绝我单位在一定时期内进入你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投标人名称（</w:t>
      </w:r>
      <w:r>
        <w:rPr>
          <w:rFonts w:hint="eastAsia" w:cs="宋体" w:asciiTheme="minorEastAsia" w:hAnsiTheme="minorEastAsia" w:eastAsiaTheme="minorEastAsia"/>
          <w:sz w:val="24"/>
        </w:rPr>
        <w:t>电子签名</w:t>
      </w:r>
      <w:r>
        <w:rPr>
          <w:rFonts w:hint="eastAsia" w:cs="宋体" w:asciiTheme="minorEastAsia" w:hAnsiTheme="minorEastAsia" w:eastAsiaTheme="minorEastAsia"/>
          <w:kern w:val="0"/>
          <w:sz w:val="24"/>
          <w:lang w:val="zh-CN"/>
        </w:rPr>
        <w:t xml:space="preserve">）：                                                                                                                                                                                                               </w:t>
      </w:r>
    </w:p>
    <w:p>
      <w:pPr>
        <w:spacing w:line="360" w:lineRule="auto"/>
        <w:ind w:left="4620" w:leftChars="2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 xml:space="preserve">   年   月   日</w:t>
      </w:r>
    </w:p>
    <w:p>
      <w:pPr>
        <w:spacing w:line="360" w:lineRule="auto"/>
        <w:jc w:val="center"/>
        <w:rPr>
          <w:rFonts w:cs="宋体" w:asciiTheme="minorEastAsia" w:hAnsiTheme="minorEastAsia" w:eastAsiaTheme="minorEastAsia"/>
          <w:b/>
          <w:bCs/>
          <w:sz w:val="24"/>
        </w:rPr>
      </w:pPr>
    </w:p>
    <w:p>
      <w:pPr>
        <w:spacing w:line="360" w:lineRule="auto"/>
        <w:jc w:val="center"/>
        <w:rPr>
          <w:rFonts w:cs="宋体" w:asciiTheme="minorEastAsia" w:hAnsiTheme="minorEastAsia" w:eastAsiaTheme="minorEastAsia"/>
          <w:b/>
          <w:bCs/>
          <w:sz w:val="24"/>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报价文件部分</w:t>
      </w: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pPr>
        <w:spacing w:line="360" w:lineRule="auto"/>
        <w:jc w:val="center"/>
        <w:outlineLvl w:val="0"/>
        <w:rPr>
          <w:rFonts w:cs="宋体" w:asciiTheme="minorEastAsia" w:hAnsiTheme="minorEastAsia" w:eastAsiaTheme="minorEastAsia"/>
          <w:b/>
          <w:kern w:val="0"/>
          <w:sz w:val="36"/>
          <w:szCs w:val="36"/>
        </w:rPr>
      </w:pPr>
    </w:p>
    <w:p>
      <w:pPr>
        <w:numPr>
          <w:ilvl w:val="0"/>
          <w:numId w:val="4"/>
        </w:num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开标一览表（报价表）………………………………………………………（页码）</w:t>
      </w:r>
    </w:p>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sz w:val="24"/>
        </w:rPr>
        <w:t>（2）报价明细清单………………………………………………………………（页码）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（3）中小企业声明函………………………………………………………………（页码）</w:t>
      </w: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pStyle w:val="380"/>
        <w:tabs>
          <w:tab w:val="clear" w:pos="720"/>
        </w:tabs>
        <w:snapToGrid w:val="0"/>
        <w:spacing w:before="120" w:after="120"/>
        <w:ind w:firstLine="643"/>
        <w:outlineLvl w:val="9"/>
        <w:rPr>
          <w:rFonts w:cs="宋体" w:asciiTheme="minorEastAsia" w:hAnsiTheme="minorEastAsia" w:eastAsiaTheme="minorEastAsia"/>
          <w:kern w:val="2"/>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cs="宋体" w:asciiTheme="minorEastAsia" w:hAnsiTheme="minorEastAsia" w:eastAsiaTheme="minorEastAsia"/>
          <w:kern w:val="2"/>
          <w:sz w:val="32"/>
          <w:szCs w:val="32"/>
        </w:rPr>
      </w:pPr>
      <w:r>
        <w:rPr>
          <w:rFonts w:hint="eastAsia" w:cs="宋体" w:asciiTheme="minorEastAsia" w:hAnsiTheme="minorEastAsia" w:eastAsiaTheme="minorEastAsia"/>
          <w:kern w:val="2"/>
          <w:sz w:val="32"/>
          <w:szCs w:val="32"/>
        </w:rPr>
        <w:t>一、开标一览表（报价表）</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snapToGrid w:val="0"/>
        <w:spacing w:line="360" w:lineRule="auto"/>
        <w:ind w:firstLine="482"/>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rPr>
        <w:t>（项目名称）</w:t>
      </w:r>
      <w:r>
        <w:rPr>
          <w:rFonts w:hint="eastAsia" w:cs="宋体" w:asciiTheme="minorEastAsia" w:hAnsiTheme="minorEastAsia" w:eastAsiaTheme="minorEastAsia"/>
          <w:kern w:val="0"/>
          <w:sz w:val="24"/>
          <w:lang w:val="zh-CN"/>
        </w:rPr>
        <w:t>【招标编号：</w:t>
      </w:r>
      <w:r>
        <w:rPr>
          <w:rFonts w:hint="eastAsia" w:cs="宋体" w:asciiTheme="minorEastAsia" w:hAnsiTheme="minorEastAsia" w:eastAsiaTheme="minorEastAsia"/>
          <w:sz w:val="24"/>
        </w:rPr>
        <w:t>（采购编号）】的实施</w:t>
      </w: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lang w:val="zh-CN"/>
        </w:rPr>
      </w:pP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一</w:t>
      </w:r>
      <w:r>
        <w:rPr>
          <w:rFonts w:hint="eastAsia" w:cs="宋体" w:asciiTheme="minorEastAsia" w:hAnsiTheme="minorEastAsia" w:eastAsiaTheme="minorEastAsia"/>
          <w:b/>
          <w:kern w:val="0"/>
          <w:sz w:val="24"/>
          <w:lang w:val="zh-CN"/>
        </w:rPr>
        <w:t>）开标一览表(单位均为人民币元)</w:t>
      </w:r>
    </w:p>
    <w:tbl>
      <w:tblPr>
        <w:tblStyle w:val="66"/>
        <w:tblW w:w="14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239"/>
        <w:gridCol w:w="2905"/>
        <w:gridCol w:w="638"/>
        <w:gridCol w:w="543"/>
        <w:gridCol w:w="1144"/>
        <w:gridCol w:w="7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序号</w:t>
            </w:r>
          </w:p>
        </w:tc>
        <w:tc>
          <w:tcPr>
            <w:tcW w:w="4144"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项目</w:t>
            </w:r>
          </w:p>
        </w:tc>
        <w:tc>
          <w:tcPr>
            <w:tcW w:w="638" w:type="dxa"/>
            <w:tcBorders>
              <w:top w:val="single" w:color="000000" w:sz="4" w:space="0"/>
              <w:left w:val="single" w:color="auto" w:sz="4" w:space="0"/>
              <w:bottom w:val="single" w:color="000000" w:sz="4" w:space="0"/>
              <w:right w:val="single" w:color="auto"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单位</w:t>
            </w:r>
          </w:p>
        </w:tc>
        <w:tc>
          <w:tcPr>
            <w:tcW w:w="543" w:type="dxa"/>
            <w:tcBorders>
              <w:top w:val="single" w:color="000000" w:sz="4" w:space="0"/>
              <w:left w:val="single" w:color="auto"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数量</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合计（元）</w:t>
            </w:r>
          </w:p>
        </w:tc>
        <w:tc>
          <w:tcPr>
            <w:tcW w:w="7125"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4" w:hRule="atLeast"/>
        </w:trPr>
        <w:tc>
          <w:tcPr>
            <w:tcW w:w="600" w:type="dxa"/>
            <w:vMerge w:val="restart"/>
            <w:tcBorders>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1239" w:type="dxa"/>
            <w:vMerge w:val="restart"/>
            <w:tcBorders>
              <w:left w:val="single" w:color="000000" w:sz="4" w:space="0"/>
              <w:right w:val="single" w:color="auto" w:sz="4" w:space="0"/>
            </w:tcBorders>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绿化养护费</w:t>
            </w:r>
          </w:p>
        </w:tc>
        <w:tc>
          <w:tcPr>
            <w:tcW w:w="2905" w:type="dxa"/>
            <w:tcBorders>
              <w:left w:val="single" w:color="auto" w:sz="4" w:space="0"/>
              <w:right w:val="single" w:color="auto"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rPr>
              <w:t>日常养护费</w:t>
            </w:r>
          </w:p>
        </w:tc>
        <w:tc>
          <w:tcPr>
            <w:tcW w:w="638" w:type="dxa"/>
            <w:tcBorders>
              <w:left w:val="single" w:color="auto" w:sz="4" w:space="0"/>
              <w:right w:val="single" w:color="auto"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项</w:t>
            </w:r>
          </w:p>
        </w:tc>
        <w:tc>
          <w:tcPr>
            <w:tcW w:w="543" w:type="dxa"/>
            <w:tcBorders>
              <w:left w:val="single" w:color="auto"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1144" w:type="dxa"/>
            <w:tcBorders>
              <w:top w:val="single" w:color="000000" w:sz="4" w:space="0"/>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p>
        </w:tc>
        <w:tc>
          <w:tcPr>
            <w:tcW w:w="7125"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rPr>
              <w:t>要求总人数不少于50人，养护期按24个月进行报价。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5" w:hRule="atLeast"/>
        </w:trPr>
        <w:tc>
          <w:tcPr>
            <w:tcW w:w="600" w:type="dxa"/>
            <w:vMerge w:val="continue"/>
            <w:tcBorders>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p>
        </w:tc>
        <w:tc>
          <w:tcPr>
            <w:tcW w:w="1239" w:type="dxa"/>
            <w:vMerge w:val="continue"/>
            <w:tcBorders>
              <w:left w:val="single" w:color="000000" w:sz="4" w:space="0"/>
              <w:right w:val="single" w:color="auto" w:sz="4" w:space="0"/>
            </w:tcBorders>
            <w:noWrap/>
            <w:vAlign w:val="center"/>
          </w:tcPr>
          <w:p>
            <w:pPr>
              <w:jc w:val="left"/>
              <w:rPr>
                <w:rFonts w:cs="宋体" w:asciiTheme="minorEastAsia" w:hAnsiTheme="minorEastAsia" w:eastAsiaTheme="minorEastAsia"/>
                <w:sz w:val="18"/>
                <w:szCs w:val="18"/>
              </w:rPr>
            </w:pPr>
          </w:p>
        </w:tc>
        <w:tc>
          <w:tcPr>
            <w:tcW w:w="2905" w:type="dxa"/>
            <w:tcBorders>
              <w:left w:val="single" w:color="auto" w:sz="4" w:space="0"/>
              <w:right w:val="single" w:color="auto" w:sz="4" w:space="0"/>
            </w:tcBorders>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其他养护费用</w:t>
            </w:r>
          </w:p>
        </w:tc>
        <w:tc>
          <w:tcPr>
            <w:tcW w:w="638" w:type="dxa"/>
            <w:tcBorders>
              <w:left w:val="single" w:color="auto" w:sz="4" w:space="0"/>
              <w:right w:val="single" w:color="auto"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项</w:t>
            </w:r>
          </w:p>
        </w:tc>
        <w:tc>
          <w:tcPr>
            <w:tcW w:w="543" w:type="dxa"/>
            <w:tcBorders>
              <w:left w:val="single" w:color="auto"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1144" w:type="dxa"/>
            <w:tcBorders>
              <w:top w:val="single" w:color="000000" w:sz="4" w:space="0"/>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p>
        </w:tc>
        <w:tc>
          <w:tcPr>
            <w:tcW w:w="7125"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r>
              <w:rPr>
                <w:rFonts w:cs="宋体" w:asciiTheme="minorEastAsia" w:hAnsiTheme="minorEastAsia" w:eastAsiaTheme="minorEastAsia"/>
                <w:sz w:val="18"/>
                <w:szCs w:val="18"/>
                <w:lang w:val="zh-CN"/>
              </w:rPr>
              <w:t>其他养护费不低于绿化养护费的4</w:t>
            </w:r>
            <w:r>
              <w:rPr>
                <w:rFonts w:hint="eastAsia" w:cs="宋体" w:asciiTheme="minorEastAsia" w:hAnsiTheme="minorEastAsia" w:eastAsiaTheme="minorEastAsia"/>
                <w:sz w:val="18"/>
                <w:szCs w:val="18"/>
              </w:rPr>
              <w:t>5</w:t>
            </w:r>
            <w:r>
              <w:rPr>
                <w:rFonts w:cs="宋体" w:asciiTheme="minorEastAsia" w:hAnsiTheme="minorEastAsia" w:eastAsiaTheme="minorEastAsia"/>
                <w:sz w:val="18"/>
                <w:szCs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8" w:hRule="atLeast"/>
        </w:trPr>
        <w:tc>
          <w:tcPr>
            <w:tcW w:w="600" w:type="dxa"/>
            <w:tcBorders>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w:t>
            </w:r>
          </w:p>
        </w:tc>
        <w:tc>
          <w:tcPr>
            <w:tcW w:w="1239" w:type="dxa"/>
            <w:tcBorders>
              <w:left w:val="single" w:color="000000" w:sz="4" w:space="0"/>
              <w:right w:val="single" w:color="auto"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rPr>
              <w:t xml:space="preserve">更新改造费 </w:t>
            </w:r>
          </w:p>
        </w:tc>
        <w:tc>
          <w:tcPr>
            <w:tcW w:w="2905" w:type="dxa"/>
            <w:tcBorders>
              <w:left w:val="single" w:color="auto" w:sz="4" w:space="0"/>
              <w:right w:val="single" w:color="auto"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rPr>
              <w:t>绿化养护费的10%</w:t>
            </w:r>
          </w:p>
        </w:tc>
        <w:tc>
          <w:tcPr>
            <w:tcW w:w="638" w:type="dxa"/>
            <w:tcBorders>
              <w:left w:val="single" w:color="auto" w:sz="4" w:space="0"/>
              <w:right w:val="single" w:color="auto"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项</w:t>
            </w:r>
          </w:p>
        </w:tc>
        <w:tc>
          <w:tcPr>
            <w:tcW w:w="543" w:type="dxa"/>
            <w:tcBorders>
              <w:left w:val="single" w:color="auto"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1144" w:type="dxa"/>
            <w:tcBorders>
              <w:top w:val="single" w:color="000000" w:sz="4" w:space="0"/>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p>
        </w:tc>
        <w:tc>
          <w:tcPr>
            <w:tcW w:w="7125"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5925" w:type="dxa"/>
            <w:gridSpan w:val="5"/>
            <w:vMerge w:val="restart"/>
            <w:tcBorders>
              <w:top w:val="single" w:color="000000" w:sz="4" w:space="0"/>
              <w:left w:val="single" w:color="000000" w:sz="4" w:space="0"/>
              <w:bottom w:val="single" w:color="000000" w:sz="4" w:space="0"/>
              <w:right w:val="single" w:color="000000" w:sz="4" w:space="0"/>
            </w:tcBorders>
            <w:noWrap/>
            <w:vAlign w:val="center"/>
          </w:tcPr>
          <w:p>
            <w:pPr>
              <w:ind w:firstLine="180" w:firstLineChars="100"/>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合计总价（1+2）</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小写（元）</w:t>
            </w:r>
          </w:p>
        </w:tc>
        <w:tc>
          <w:tcPr>
            <w:tcW w:w="7125" w:type="dxa"/>
            <w:tcBorders>
              <w:top w:val="single" w:color="000000" w:sz="4" w:space="0"/>
              <w:left w:val="single" w:color="000000" w:sz="4" w:space="0"/>
              <w:bottom w:val="single" w:color="auto" w:sz="4" w:space="0"/>
              <w:right w:val="single" w:color="000000" w:sz="4" w:space="0"/>
            </w:tcBorders>
            <w:noWrap/>
            <w:vAlign w:val="center"/>
          </w:tcPr>
          <w:p>
            <w:pPr>
              <w:jc w:val="left"/>
              <w:rPr>
                <w:rFonts w:cs="宋体" w:asciiTheme="minorEastAsia" w:hAnsiTheme="minorEastAsia" w:eastAsiaTheme="minorEastAsia"/>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9" w:hRule="atLeast"/>
        </w:trPr>
        <w:tc>
          <w:tcPr>
            <w:tcW w:w="5925" w:type="dxa"/>
            <w:gridSpan w:val="5"/>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cs="宋体" w:asciiTheme="minorEastAsia" w:hAnsiTheme="minorEastAsia" w:eastAsiaTheme="minorEastAsia"/>
                <w:sz w:val="18"/>
                <w:szCs w:val="18"/>
                <w:lang w:val="zh-CN"/>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大写（元）</w:t>
            </w:r>
          </w:p>
        </w:tc>
        <w:tc>
          <w:tcPr>
            <w:tcW w:w="7125" w:type="dxa"/>
            <w:tcBorders>
              <w:top w:val="single" w:color="auto" w:sz="4" w:space="0"/>
              <w:left w:val="single" w:color="000000" w:sz="4" w:space="0"/>
              <w:right w:val="single" w:color="000000" w:sz="4" w:space="0"/>
            </w:tcBorders>
            <w:noWrap/>
            <w:vAlign w:val="center"/>
          </w:tcPr>
          <w:p>
            <w:pPr>
              <w:jc w:val="left"/>
              <w:rPr>
                <w:rFonts w:cs="宋体" w:asciiTheme="minorEastAsia" w:hAnsiTheme="minorEastAsia" w:eastAsiaTheme="minorEastAsia"/>
                <w:sz w:val="18"/>
                <w:szCs w:val="18"/>
                <w:lang w:val="zh-CN"/>
              </w:rPr>
            </w:pPr>
          </w:p>
        </w:tc>
      </w:tr>
    </w:tbl>
    <w:p>
      <w:pPr>
        <w:snapToGrid w:val="0"/>
        <w:spacing w:line="360" w:lineRule="auto"/>
        <w:ind w:left="480"/>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注：</w:t>
      </w:r>
    </w:p>
    <w:p>
      <w:pPr>
        <w:numPr>
          <w:ilvl w:val="0"/>
          <w:numId w:val="5"/>
        </w:numPr>
        <w:spacing w:line="360" w:lineRule="auto"/>
        <w:ind w:left="-2" w:firstLine="480" w:firstLineChars="200"/>
        <w:rPr>
          <w:rFonts w:asciiTheme="minorEastAsia" w:hAnsiTheme="minorEastAsia" w:eastAsiaTheme="minorEastAsia"/>
        </w:rPr>
      </w:pPr>
      <w:r>
        <w:rPr>
          <w:rFonts w:hint="eastAsia" w:cs="宋体" w:asciiTheme="minorEastAsia" w:hAnsiTheme="minorEastAsia" w:eastAsiaTheme="minorEastAsia"/>
          <w:kern w:val="0"/>
          <w:sz w:val="24"/>
          <w:lang w:val="zh-CN"/>
        </w:rPr>
        <w:t>投标人需按本表格式填写，不得自行更改。</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采购人将以合同形式有偿取得货物或服务，不接受投标人给予的赠品、回扣或者与采购无关的其他商品、服务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投标文件含有采购人不能接受的附加条件的，投标无效</w:t>
      </w:r>
      <w:r>
        <w:rPr>
          <w:rFonts w:hint="eastAsia" w:cs="宋体" w:asciiTheme="minorEastAsia" w:hAnsiTheme="minorEastAsia" w:eastAsiaTheme="minorEastAsia"/>
          <w:b/>
          <w:kern w:val="0"/>
          <w:sz w:val="24"/>
          <w:lang w:val="zh-CN"/>
        </w:rPr>
        <w:t>。</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szCs w:val="22"/>
          <w:lang w:val="zh-CN"/>
        </w:rPr>
        <w:t>5、</w:t>
      </w:r>
      <w:r>
        <w:rPr>
          <w:rFonts w:hint="eastAsia" w:cs="宋体" w:asciiTheme="minorEastAsia" w:hAnsiTheme="minorEastAsia" w:eastAsiaTheme="minor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ind w:firstLine="482"/>
        <w:rPr>
          <w:rFonts w:asciiTheme="minorEastAsia" w:hAnsiTheme="minorEastAsia" w:eastAsiaTheme="minorEastAsia"/>
          <w:b/>
          <w:color w:val="FF0000"/>
        </w:rPr>
      </w:pPr>
      <w:r>
        <w:rPr>
          <w:rFonts w:hint="eastAsia" w:cs="宋体" w:asciiTheme="minorEastAsia" w:hAnsiTheme="minorEastAsia" w:eastAsiaTheme="minorEastAsia"/>
          <w:b/>
          <w:color w:val="FF0000"/>
          <w:kern w:val="0"/>
        </w:rPr>
        <w:t>6、绿化养护人工工资报价不得低于杭州市最低工资标准，根据《浙江省人民政府关于调整全省最低工资标准的通知》（浙政发〔2021〕22号）最低月工资标准为2280元。</w:t>
      </w:r>
    </w:p>
    <w:p>
      <w:pPr>
        <w:pStyle w:val="968"/>
        <w:jc w:val="center"/>
        <w:rPr>
          <w:rFonts w:cs="宋体" w:asciiTheme="minorEastAsia" w:hAnsiTheme="minorEastAsia" w:eastAsiaTheme="minorEastAsia"/>
          <w:lang w:val="en-US"/>
        </w:rPr>
      </w:pPr>
    </w:p>
    <w:p>
      <w:pPr>
        <w:pStyle w:val="382"/>
        <w:snapToGrid w:val="0"/>
        <w:spacing w:before="120" w:after="120"/>
        <w:ind w:firstLine="0"/>
        <w:rPr>
          <w:rFonts w:cs="宋体" w:asciiTheme="minorEastAsia" w:hAnsiTheme="minorEastAsia" w:eastAsiaTheme="minorEastAsia"/>
        </w:rPr>
      </w:pP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独立投标：投标人名称(电子签名)：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或</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采用联合体投标：联合体牵头人名称(电子签名/盖章)：</w:t>
      </w:r>
    </w:p>
    <w:p>
      <w:pPr>
        <w:pStyle w:val="382"/>
        <w:snapToGrid w:val="0"/>
        <w:spacing w:before="120" w:after="120"/>
        <w:ind w:firstLine="0"/>
        <w:jc w:val="right"/>
        <w:rPr>
          <w:rFonts w:cs="宋体" w:asciiTheme="minorEastAsia" w:hAnsiTheme="minorEastAsia" w:eastAsiaTheme="minorEastAsia"/>
        </w:rPr>
        <w:sectPr>
          <w:pgSz w:w="16838" w:h="11906" w:orient="landscape"/>
          <w:pgMar w:top="1418" w:right="1247" w:bottom="1418" w:left="1276" w:header="851" w:footer="992" w:gutter="0"/>
          <w:cols w:space="720" w:num="1"/>
          <w:titlePg/>
          <w:docGrid w:linePitch="312" w:charSpace="0"/>
        </w:sectPr>
      </w:pPr>
      <w:r>
        <w:rPr>
          <w:rFonts w:hint="eastAsia" w:cs="宋体" w:asciiTheme="minorEastAsia" w:hAnsiTheme="minorEastAsia" w:eastAsiaTheme="minorEastAsia"/>
        </w:rPr>
        <w:t xml:space="preserve">   日期：  年   月  </w:t>
      </w:r>
    </w:p>
    <w:p>
      <w:pPr>
        <w:pStyle w:val="968"/>
        <w:jc w:val="center"/>
        <w:rPr>
          <w:rFonts w:asciiTheme="minorEastAsia" w:hAnsiTheme="minorEastAsia" w:eastAsiaTheme="minorEastAsia" w:cstheme="minorEastAsia"/>
          <w:szCs w:val="24"/>
          <w:lang w:val="en-US"/>
        </w:rPr>
      </w:pPr>
      <w:r>
        <w:rPr>
          <w:rFonts w:hint="eastAsia" w:asciiTheme="minorEastAsia" w:hAnsiTheme="minorEastAsia" w:eastAsiaTheme="minorEastAsia" w:cstheme="minorEastAsia"/>
          <w:b/>
          <w:szCs w:val="24"/>
          <w:lang w:val="en-US"/>
        </w:rPr>
        <w:t>（二）</w:t>
      </w:r>
      <w:r>
        <w:rPr>
          <w:rFonts w:hint="eastAsia" w:asciiTheme="minorEastAsia" w:hAnsiTheme="minorEastAsia" w:eastAsiaTheme="minorEastAsia"/>
          <w:lang w:val="en-US"/>
        </w:rPr>
        <w:t>养护</w:t>
      </w:r>
      <w:r>
        <w:rPr>
          <w:rFonts w:hint="eastAsia" w:asciiTheme="minorEastAsia" w:hAnsiTheme="minorEastAsia" w:eastAsiaTheme="minorEastAsia" w:cstheme="minorEastAsia"/>
          <w:szCs w:val="24"/>
          <w:lang w:val="en-US"/>
        </w:rPr>
        <w:t>报价明细清单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养护</w:t>
      </w:r>
      <w:r>
        <w:rPr>
          <w:rFonts w:hint="eastAsia" w:asciiTheme="minorEastAsia" w:hAnsiTheme="minorEastAsia" w:eastAsiaTheme="minorEastAsia"/>
          <w:sz w:val="24"/>
        </w:rPr>
        <w:t>面积及类别</w:t>
      </w:r>
    </w:p>
    <w:tbl>
      <w:tblPr>
        <w:tblStyle w:val="67"/>
        <w:tblW w:w="1426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538"/>
        <w:gridCol w:w="2737"/>
        <w:gridCol w:w="2979"/>
        <w:gridCol w:w="1280"/>
        <w:gridCol w:w="246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jc w:val="center"/>
              <w:rPr>
                <w:rFonts w:asciiTheme="minorEastAsia" w:hAnsiTheme="minorEastAsia"/>
                <w:sz w:val="24"/>
              </w:rPr>
            </w:pPr>
            <w:r>
              <w:rPr>
                <w:rFonts w:hint="eastAsia" w:asciiTheme="minorEastAsia" w:hAnsiTheme="minorEastAsia"/>
                <w:sz w:val="24"/>
              </w:rPr>
              <w:t>序号</w:t>
            </w:r>
          </w:p>
        </w:tc>
        <w:tc>
          <w:tcPr>
            <w:tcW w:w="1538" w:type="dxa"/>
          </w:tcPr>
          <w:p>
            <w:pPr>
              <w:jc w:val="center"/>
              <w:rPr>
                <w:rFonts w:asciiTheme="minorEastAsia" w:hAnsiTheme="minorEastAsia"/>
                <w:sz w:val="24"/>
              </w:rPr>
            </w:pPr>
            <w:r>
              <w:rPr>
                <w:rFonts w:hint="eastAsia" w:asciiTheme="minorEastAsia" w:hAnsiTheme="minorEastAsia"/>
                <w:sz w:val="24"/>
              </w:rPr>
              <w:t>名称</w:t>
            </w:r>
          </w:p>
        </w:tc>
        <w:tc>
          <w:tcPr>
            <w:tcW w:w="2737" w:type="dxa"/>
          </w:tcPr>
          <w:p>
            <w:pPr>
              <w:jc w:val="center"/>
              <w:rPr>
                <w:rFonts w:asciiTheme="minorEastAsia" w:hAnsiTheme="minorEastAsia"/>
                <w:sz w:val="24"/>
              </w:rPr>
            </w:pPr>
            <w:r>
              <w:rPr>
                <w:rFonts w:hint="eastAsia" w:asciiTheme="minorEastAsia" w:hAnsiTheme="minorEastAsia"/>
                <w:sz w:val="24"/>
              </w:rPr>
              <w:t>地块</w:t>
            </w:r>
          </w:p>
        </w:tc>
        <w:tc>
          <w:tcPr>
            <w:tcW w:w="2979" w:type="dxa"/>
          </w:tcPr>
          <w:p>
            <w:pPr>
              <w:jc w:val="center"/>
              <w:rPr>
                <w:rFonts w:asciiTheme="minorEastAsia" w:hAnsiTheme="minorEastAsia"/>
                <w:sz w:val="24"/>
              </w:rPr>
            </w:pPr>
            <w:r>
              <w:rPr>
                <w:rFonts w:hint="eastAsia" w:asciiTheme="minorEastAsia" w:hAnsiTheme="minorEastAsia"/>
                <w:sz w:val="24"/>
              </w:rPr>
              <w:t>面积（㎡）</w:t>
            </w:r>
          </w:p>
        </w:tc>
        <w:tc>
          <w:tcPr>
            <w:tcW w:w="1280" w:type="dxa"/>
          </w:tcPr>
          <w:p>
            <w:pPr>
              <w:jc w:val="center"/>
              <w:rPr>
                <w:rFonts w:asciiTheme="minorEastAsia" w:hAnsiTheme="minorEastAsia"/>
                <w:sz w:val="24"/>
              </w:rPr>
            </w:pPr>
            <w:r>
              <w:rPr>
                <w:rFonts w:hint="eastAsia" w:asciiTheme="minorEastAsia" w:hAnsiTheme="minorEastAsia"/>
                <w:sz w:val="24"/>
              </w:rPr>
              <w:t>绿化类别</w:t>
            </w:r>
          </w:p>
        </w:tc>
        <w:tc>
          <w:tcPr>
            <w:tcW w:w="2460" w:type="dxa"/>
          </w:tcPr>
          <w:p>
            <w:pPr>
              <w:jc w:val="center"/>
              <w:rPr>
                <w:rFonts w:asciiTheme="minorEastAsia" w:hAnsiTheme="minorEastAsia"/>
                <w:sz w:val="24"/>
              </w:rPr>
            </w:pPr>
            <w:r>
              <w:rPr>
                <w:rFonts w:hint="eastAsia" w:asciiTheme="minorEastAsia" w:hAnsiTheme="minorEastAsia"/>
                <w:sz w:val="24"/>
              </w:rPr>
              <w:t>养护周期（月）</w:t>
            </w:r>
          </w:p>
        </w:tc>
        <w:tc>
          <w:tcPr>
            <w:tcW w:w="2493" w:type="dxa"/>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restart"/>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1</w:t>
            </w:r>
          </w:p>
          <w:p>
            <w:pPr>
              <w:jc w:val="center"/>
              <w:rPr>
                <w:rFonts w:asciiTheme="minorEastAsia" w:hAnsiTheme="minorEastAsia"/>
                <w:sz w:val="24"/>
              </w:rPr>
            </w:pPr>
          </w:p>
        </w:tc>
        <w:tc>
          <w:tcPr>
            <w:tcW w:w="1538" w:type="dxa"/>
            <w:vMerge w:val="restart"/>
          </w:tcPr>
          <w:p>
            <w:pPr>
              <w:jc w:val="center"/>
              <w:rPr>
                <w:rFonts w:asciiTheme="minorEastAsia" w:hAnsiTheme="minorEastAsia"/>
                <w:sz w:val="24"/>
              </w:rPr>
            </w:pPr>
          </w:p>
          <w:p>
            <w:pP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道路两侧绿化</w:t>
            </w:r>
          </w:p>
        </w:tc>
        <w:tc>
          <w:tcPr>
            <w:tcW w:w="2737" w:type="dxa"/>
          </w:tcPr>
          <w:p>
            <w:pPr>
              <w:jc w:val="center"/>
              <w:rPr>
                <w:rFonts w:asciiTheme="minorEastAsia" w:hAnsiTheme="minorEastAsia"/>
                <w:sz w:val="24"/>
              </w:rPr>
            </w:pPr>
            <w:r>
              <w:rPr>
                <w:rFonts w:hint="eastAsia" w:asciiTheme="minorEastAsia" w:hAnsiTheme="minorEastAsia"/>
                <w:sz w:val="24"/>
              </w:rPr>
              <w:t>一</w:t>
            </w:r>
          </w:p>
        </w:tc>
        <w:tc>
          <w:tcPr>
            <w:tcW w:w="2979" w:type="dxa"/>
          </w:tcPr>
          <w:p>
            <w:pPr>
              <w:jc w:val="center"/>
              <w:rPr>
                <w:rFonts w:asciiTheme="minorEastAsia" w:hAnsiTheme="minorEastAsia"/>
                <w:sz w:val="24"/>
              </w:rPr>
            </w:pPr>
            <w:r>
              <w:rPr>
                <w:rFonts w:hint="eastAsia" w:asciiTheme="minorEastAsia" w:hAnsiTheme="minorEastAsia"/>
                <w:sz w:val="24"/>
              </w:rPr>
              <w:t>58075</w:t>
            </w:r>
          </w:p>
        </w:tc>
        <w:tc>
          <w:tcPr>
            <w:tcW w:w="1280" w:type="dxa"/>
            <w:vMerge w:val="restart"/>
          </w:tcPr>
          <w:p>
            <w:pPr>
              <w:jc w:val="center"/>
              <w:rPr>
                <w:rFonts w:asciiTheme="minorEastAsia" w:hAnsiTheme="minorEastAsia"/>
                <w:sz w:val="24"/>
              </w:rPr>
            </w:pPr>
          </w:p>
          <w:p>
            <w:pP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二类</w:t>
            </w:r>
          </w:p>
          <w:p>
            <w:pPr>
              <w:jc w:val="center"/>
              <w:rPr>
                <w:rFonts w:asciiTheme="minorEastAsia" w:hAnsiTheme="minorEastAsia"/>
                <w:sz w:val="24"/>
              </w:rPr>
            </w:pPr>
          </w:p>
        </w:tc>
        <w:tc>
          <w:tcPr>
            <w:tcW w:w="2460" w:type="dxa"/>
            <w:vMerge w:val="restart"/>
          </w:tcPr>
          <w:p>
            <w:pPr>
              <w:jc w:val="center"/>
              <w:rPr>
                <w:rFonts w:asciiTheme="minorEastAsia" w:hAnsiTheme="minorEastAsia"/>
                <w:sz w:val="24"/>
              </w:rPr>
            </w:pPr>
          </w:p>
          <w:p>
            <w:pPr>
              <w:pStyle w:val="2"/>
            </w:pPr>
          </w:p>
          <w:p>
            <w:pPr>
              <w:jc w:val="center"/>
            </w:pPr>
            <w:r>
              <w:rPr>
                <w:rFonts w:hint="eastAsia" w:asciiTheme="minorEastAsia" w:hAnsiTheme="minorEastAsia"/>
                <w:sz w:val="24"/>
              </w:rPr>
              <w:t>24</w:t>
            </w: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二</w:t>
            </w:r>
          </w:p>
        </w:tc>
        <w:tc>
          <w:tcPr>
            <w:tcW w:w="2979" w:type="dxa"/>
          </w:tcPr>
          <w:p>
            <w:pPr>
              <w:jc w:val="center"/>
              <w:rPr>
                <w:rFonts w:asciiTheme="minorEastAsia" w:hAnsiTheme="minorEastAsia"/>
                <w:sz w:val="24"/>
              </w:rPr>
            </w:pPr>
            <w:r>
              <w:rPr>
                <w:rFonts w:hint="eastAsia" w:asciiTheme="minorEastAsia" w:hAnsiTheme="minorEastAsia"/>
                <w:sz w:val="24"/>
              </w:rPr>
              <w:t>5918</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三</w:t>
            </w:r>
          </w:p>
        </w:tc>
        <w:tc>
          <w:tcPr>
            <w:tcW w:w="2979" w:type="dxa"/>
          </w:tcPr>
          <w:p>
            <w:pPr>
              <w:jc w:val="center"/>
              <w:rPr>
                <w:rFonts w:asciiTheme="minorEastAsia" w:hAnsiTheme="minorEastAsia"/>
                <w:sz w:val="24"/>
              </w:rPr>
            </w:pPr>
            <w:r>
              <w:rPr>
                <w:rFonts w:hint="eastAsia" w:asciiTheme="minorEastAsia" w:hAnsiTheme="minorEastAsia"/>
                <w:sz w:val="24"/>
              </w:rPr>
              <w:t>4702</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四</w:t>
            </w:r>
          </w:p>
        </w:tc>
        <w:tc>
          <w:tcPr>
            <w:tcW w:w="2979" w:type="dxa"/>
          </w:tcPr>
          <w:p>
            <w:pPr>
              <w:jc w:val="center"/>
              <w:rPr>
                <w:rFonts w:asciiTheme="minorEastAsia" w:hAnsiTheme="minorEastAsia"/>
                <w:sz w:val="24"/>
              </w:rPr>
            </w:pPr>
            <w:r>
              <w:rPr>
                <w:rFonts w:hint="eastAsia" w:asciiTheme="minorEastAsia" w:hAnsiTheme="minorEastAsia"/>
                <w:sz w:val="24"/>
              </w:rPr>
              <w:t>3460</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五</w:t>
            </w:r>
          </w:p>
        </w:tc>
        <w:tc>
          <w:tcPr>
            <w:tcW w:w="2979" w:type="dxa"/>
          </w:tcPr>
          <w:p>
            <w:pPr>
              <w:jc w:val="center"/>
              <w:rPr>
                <w:rFonts w:asciiTheme="minorEastAsia" w:hAnsiTheme="minorEastAsia"/>
                <w:sz w:val="24"/>
              </w:rPr>
            </w:pPr>
            <w:r>
              <w:rPr>
                <w:rFonts w:hint="eastAsia" w:asciiTheme="minorEastAsia" w:hAnsiTheme="minorEastAsia"/>
                <w:sz w:val="24"/>
              </w:rPr>
              <w:t>4613</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六</w:t>
            </w:r>
          </w:p>
        </w:tc>
        <w:tc>
          <w:tcPr>
            <w:tcW w:w="2979" w:type="dxa"/>
          </w:tcPr>
          <w:p>
            <w:pPr>
              <w:jc w:val="center"/>
              <w:rPr>
                <w:rFonts w:asciiTheme="minorEastAsia" w:hAnsiTheme="minorEastAsia"/>
                <w:sz w:val="24"/>
              </w:rPr>
            </w:pPr>
            <w:r>
              <w:rPr>
                <w:rFonts w:hint="eastAsia" w:asciiTheme="minorEastAsia" w:hAnsiTheme="minorEastAsia"/>
                <w:sz w:val="24"/>
              </w:rPr>
              <w:t>441</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b/>
                <w:sz w:val="24"/>
              </w:rPr>
            </w:pPr>
            <w:r>
              <w:rPr>
                <w:rFonts w:hint="eastAsia" w:asciiTheme="minorEastAsia" w:hAnsiTheme="minorEastAsia"/>
                <w:b/>
                <w:sz w:val="24"/>
              </w:rPr>
              <w:t>小计</w:t>
            </w:r>
          </w:p>
        </w:tc>
        <w:tc>
          <w:tcPr>
            <w:tcW w:w="2979" w:type="dxa"/>
          </w:tcPr>
          <w:p>
            <w:pPr>
              <w:jc w:val="center"/>
              <w:rPr>
                <w:rFonts w:asciiTheme="minorEastAsia" w:hAnsiTheme="minorEastAsia"/>
                <w:b/>
                <w:sz w:val="24"/>
              </w:rPr>
            </w:pPr>
            <w:r>
              <w:rPr>
                <w:rFonts w:hint="eastAsia" w:asciiTheme="minorEastAsia" w:hAnsiTheme="minorEastAsia"/>
                <w:b/>
                <w:sz w:val="24"/>
              </w:rPr>
              <w:t>77209</w:t>
            </w:r>
          </w:p>
        </w:tc>
        <w:tc>
          <w:tcPr>
            <w:tcW w:w="1280" w:type="dxa"/>
          </w:tcPr>
          <w:p>
            <w:pPr>
              <w:jc w:val="center"/>
              <w:rPr>
                <w:rFonts w:asciiTheme="minorEastAsia" w:hAnsiTheme="minorEastAsia"/>
                <w:b/>
                <w:sz w:val="24"/>
              </w:rPr>
            </w:pPr>
          </w:p>
        </w:tc>
        <w:tc>
          <w:tcPr>
            <w:tcW w:w="2460" w:type="dxa"/>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restart"/>
          </w:tcPr>
          <w:p>
            <w:pPr>
              <w:jc w:val="center"/>
              <w:rPr>
                <w:rFonts w:asciiTheme="minorEastAsia" w:hAnsiTheme="minorEastAsia"/>
                <w:sz w:val="24"/>
              </w:rPr>
            </w:pPr>
          </w:p>
          <w:p>
            <w:pPr>
              <w:jc w:val="center"/>
              <w:rPr>
                <w:rFonts w:asciiTheme="minorEastAsia" w:hAnsiTheme="minorEastAsia"/>
                <w:sz w:val="24"/>
              </w:rPr>
            </w:pPr>
          </w:p>
          <w:p>
            <w:pP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2</w:t>
            </w:r>
          </w:p>
        </w:tc>
        <w:tc>
          <w:tcPr>
            <w:tcW w:w="1538" w:type="dxa"/>
            <w:vMerge w:val="restart"/>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机非带绿化</w:t>
            </w:r>
          </w:p>
        </w:tc>
        <w:tc>
          <w:tcPr>
            <w:tcW w:w="2737" w:type="dxa"/>
          </w:tcPr>
          <w:p>
            <w:pPr>
              <w:jc w:val="center"/>
              <w:rPr>
                <w:rFonts w:asciiTheme="minorEastAsia" w:hAnsiTheme="minorEastAsia"/>
                <w:sz w:val="24"/>
              </w:rPr>
            </w:pPr>
            <w:r>
              <w:rPr>
                <w:rFonts w:hint="eastAsia" w:asciiTheme="minorEastAsia" w:hAnsiTheme="minorEastAsia"/>
                <w:sz w:val="24"/>
              </w:rPr>
              <w:t>一</w:t>
            </w:r>
          </w:p>
        </w:tc>
        <w:tc>
          <w:tcPr>
            <w:tcW w:w="2979" w:type="dxa"/>
          </w:tcPr>
          <w:p>
            <w:pPr>
              <w:jc w:val="center"/>
              <w:rPr>
                <w:rFonts w:asciiTheme="minorEastAsia" w:hAnsiTheme="minorEastAsia"/>
                <w:sz w:val="24"/>
              </w:rPr>
            </w:pPr>
            <w:r>
              <w:rPr>
                <w:rFonts w:hint="eastAsia" w:asciiTheme="minorEastAsia" w:hAnsiTheme="minorEastAsia"/>
                <w:sz w:val="24"/>
              </w:rPr>
              <w:t>779</w:t>
            </w:r>
          </w:p>
        </w:tc>
        <w:tc>
          <w:tcPr>
            <w:tcW w:w="1280" w:type="dxa"/>
            <w:vMerge w:val="restart"/>
          </w:tcPr>
          <w:p>
            <w:pPr>
              <w:jc w:val="center"/>
              <w:rPr>
                <w:rFonts w:asciiTheme="minorEastAsia" w:hAnsiTheme="minorEastAsia"/>
                <w:sz w:val="24"/>
              </w:rPr>
            </w:pPr>
          </w:p>
          <w:p>
            <w:pP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二类</w:t>
            </w:r>
          </w:p>
          <w:p>
            <w:pPr>
              <w:jc w:val="center"/>
              <w:rPr>
                <w:rFonts w:asciiTheme="minorEastAsia" w:hAnsiTheme="minorEastAsia"/>
                <w:sz w:val="24"/>
              </w:rPr>
            </w:pPr>
          </w:p>
        </w:tc>
        <w:tc>
          <w:tcPr>
            <w:tcW w:w="2460" w:type="dxa"/>
            <w:vMerge w:val="restart"/>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24</w:t>
            </w: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二</w:t>
            </w:r>
          </w:p>
        </w:tc>
        <w:tc>
          <w:tcPr>
            <w:tcW w:w="2979" w:type="dxa"/>
          </w:tcPr>
          <w:p>
            <w:pPr>
              <w:jc w:val="center"/>
              <w:rPr>
                <w:rFonts w:asciiTheme="minorEastAsia" w:hAnsiTheme="minorEastAsia"/>
                <w:sz w:val="24"/>
              </w:rPr>
            </w:pPr>
            <w:r>
              <w:rPr>
                <w:rFonts w:hint="eastAsia" w:asciiTheme="minorEastAsia" w:hAnsiTheme="minorEastAsia"/>
                <w:sz w:val="24"/>
              </w:rPr>
              <w:t>93</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三</w:t>
            </w:r>
          </w:p>
        </w:tc>
        <w:tc>
          <w:tcPr>
            <w:tcW w:w="2979" w:type="dxa"/>
          </w:tcPr>
          <w:p>
            <w:pPr>
              <w:jc w:val="center"/>
              <w:rPr>
                <w:rFonts w:asciiTheme="minorEastAsia" w:hAnsiTheme="minorEastAsia"/>
                <w:sz w:val="24"/>
              </w:rPr>
            </w:pPr>
            <w:r>
              <w:rPr>
                <w:rFonts w:hint="eastAsia" w:asciiTheme="minorEastAsia" w:hAnsiTheme="minorEastAsia"/>
                <w:sz w:val="24"/>
              </w:rPr>
              <w:t>184</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四</w:t>
            </w:r>
          </w:p>
        </w:tc>
        <w:tc>
          <w:tcPr>
            <w:tcW w:w="2979" w:type="dxa"/>
          </w:tcPr>
          <w:p>
            <w:pPr>
              <w:jc w:val="center"/>
              <w:rPr>
                <w:rFonts w:asciiTheme="minorEastAsia" w:hAnsiTheme="minorEastAsia"/>
                <w:sz w:val="24"/>
              </w:rPr>
            </w:pPr>
            <w:r>
              <w:rPr>
                <w:rFonts w:hint="eastAsia" w:asciiTheme="minorEastAsia" w:hAnsiTheme="minorEastAsia"/>
                <w:sz w:val="24"/>
              </w:rPr>
              <w:t>727</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五</w:t>
            </w:r>
          </w:p>
        </w:tc>
        <w:tc>
          <w:tcPr>
            <w:tcW w:w="2979" w:type="dxa"/>
          </w:tcPr>
          <w:p>
            <w:pPr>
              <w:jc w:val="center"/>
              <w:rPr>
                <w:rFonts w:asciiTheme="minorEastAsia" w:hAnsiTheme="minorEastAsia"/>
                <w:sz w:val="24"/>
              </w:rPr>
            </w:pPr>
            <w:r>
              <w:rPr>
                <w:rFonts w:hint="eastAsia" w:asciiTheme="minorEastAsia" w:hAnsiTheme="minorEastAsia"/>
                <w:sz w:val="24"/>
              </w:rPr>
              <w:t>1739</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六</w:t>
            </w:r>
          </w:p>
        </w:tc>
        <w:tc>
          <w:tcPr>
            <w:tcW w:w="2979" w:type="dxa"/>
          </w:tcPr>
          <w:p>
            <w:pPr>
              <w:jc w:val="center"/>
              <w:rPr>
                <w:rFonts w:asciiTheme="minorEastAsia" w:hAnsiTheme="minorEastAsia"/>
                <w:sz w:val="24"/>
              </w:rPr>
            </w:pPr>
            <w:r>
              <w:rPr>
                <w:rFonts w:hint="eastAsia" w:asciiTheme="minorEastAsia" w:hAnsiTheme="minorEastAsia"/>
                <w:sz w:val="24"/>
              </w:rPr>
              <w:t>570</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b/>
                <w:sz w:val="24"/>
              </w:rPr>
            </w:pPr>
            <w:r>
              <w:rPr>
                <w:rFonts w:hint="eastAsia" w:asciiTheme="minorEastAsia" w:hAnsiTheme="minorEastAsia"/>
                <w:b/>
                <w:sz w:val="24"/>
              </w:rPr>
              <w:t>小计</w:t>
            </w:r>
          </w:p>
        </w:tc>
        <w:tc>
          <w:tcPr>
            <w:tcW w:w="2979" w:type="dxa"/>
          </w:tcPr>
          <w:p>
            <w:pPr>
              <w:jc w:val="center"/>
              <w:rPr>
                <w:rFonts w:asciiTheme="minorEastAsia" w:hAnsiTheme="minorEastAsia"/>
                <w:b/>
                <w:sz w:val="24"/>
              </w:rPr>
            </w:pPr>
            <w:r>
              <w:rPr>
                <w:rFonts w:hint="eastAsia" w:asciiTheme="minorEastAsia" w:hAnsiTheme="minorEastAsia"/>
                <w:b/>
                <w:sz w:val="24"/>
              </w:rPr>
              <w:t>4092</w:t>
            </w:r>
          </w:p>
        </w:tc>
        <w:tc>
          <w:tcPr>
            <w:tcW w:w="1280" w:type="dxa"/>
          </w:tcPr>
          <w:p>
            <w:pPr>
              <w:jc w:val="center"/>
              <w:rPr>
                <w:rFonts w:asciiTheme="minorEastAsia" w:hAnsiTheme="minorEastAsia"/>
                <w:b/>
                <w:sz w:val="24"/>
              </w:rPr>
            </w:pPr>
          </w:p>
        </w:tc>
        <w:tc>
          <w:tcPr>
            <w:tcW w:w="2460" w:type="dxa"/>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restart"/>
          </w:tcPr>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3</w:t>
            </w:r>
          </w:p>
        </w:tc>
        <w:tc>
          <w:tcPr>
            <w:tcW w:w="1538" w:type="dxa"/>
            <w:vMerge w:val="restart"/>
          </w:tcPr>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桥下绿化</w:t>
            </w:r>
          </w:p>
        </w:tc>
        <w:tc>
          <w:tcPr>
            <w:tcW w:w="2737" w:type="dxa"/>
          </w:tcPr>
          <w:p>
            <w:pPr>
              <w:jc w:val="center"/>
              <w:rPr>
                <w:rFonts w:asciiTheme="minorEastAsia" w:hAnsiTheme="minorEastAsia"/>
                <w:sz w:val="24"/>
              </w:rPr>
            </w:pPr>
            <w:r>
              <w:rPr>
                <w:rFonts w:hint="eastAsia" w:asciiTheme="minorEastAsia" w:hAnsiTheme="minorEastAsia"/>
                <w:sz w:val="24"/>
              </w:rPr>
              <w:t>一</w:t>
            </w:r>
          </w:p>
        </w:tc>
        <w:tc>
          <w:tcPr>
            <w:tcW w:w="2979" w:type="dxa"/>
          </w:tcPr>
          <w:p>
            <w:pPr>
              <w:jc w:val="center"/>
              <w:rPr>
                <w:rFonts w:asciiTheme="minorEastAsia" w:hAnsiTheme="minorEastAsia"/>
                <w:sz w:val="24"/>
              </w:rPr>
            </w:pPr>
            <w:r>
              <w:rPr>
                <w:rFonts w:hint="eastAsia" w:asciiTheme="minorEastAsia" w:hAnsiTheme="minorEastAsia"/>
                <w:sz w:val="24"/>
              </w:rPr>
              <w:t>5034</w:t>
            </w:r>
          </w:p>
        </w:tc>
        <w:tc>
          <w:tcPr>
            <w:tcW w:w="1280" w:type="dxa"/>
            <w:vMerge w:val="restart"/>
          </w:tcPr>
          <w:p>
            <w:pPr>
              <w:jc w:val="center"/>
              <w:rPr>
                <w:rFonts w:asciiTheme="minorEastAsia" w:hAnsiTheme="minorEastAsia"/>
                <w:sz w:val="24"/>
              </w:rPr>
            </w:pPr>
          </w:p>
          <w:p>
            <w:pPr>
              <w:jc w:val="center"/>
              <w:rPr>
                <w:rFonts w:asciiTheme="minorEastAsia" w:hAnsiTheme="minorEastAsia"/>
                <w:sz w:val="24"/>
              </w:rPr>
            </w:pPr>
            <w:r>
              <w:rPr>
                <w:rFonts w:hint="eastAsia" w:asciiTheme="minorEastAsia" w:hAnsiTheme="minorEastAsia"/>
                <w:sz w:val="24"/>
              </w:rPr>
              <w:t>二类</w:t>
            </w:r>
          </w:p>
          <w:p>
            <w:pPr>
              <w:jc w:val="center"/>
              <w:rPr>
                <w:rFonts w:asciiTheme="minorEastAsia" w:hAnsiTheme="minorEastAsia"/>
                <w:sz w:val="24"/>
              </w:rPr>
            </w:pPr>
          </w:p>
        </w:tc>
        <w:tc>
          <w:tcPr>
            <w:tcW w:w="2460" w:type="dxa"/>
            <w:vMerge w:val="restart"/>
          </w:tcPr>
          <w:p>
            <w:pPr>
              <w:jc w:val="center"/>
              <w:rPr>
                <w:rFonts w:asciiTheme="minorEastAsia" w:hAnsiTheme="minorEastAsia"/>
                <w:sz w:val="24"/>
              </w:rPr>
            </w:pPr>
          </w:p>
          <w:p>
            <w:pPr>
              <w:pStyle w:val="2"/>
              <w:ind w:firstLine="960" w:firstLineChars="400"/>
            </w:pPr>
            <w:r>
              <w:rPr>
                <w:rFonts w:hint="eastAsia" w:asciiTheme="minorEastAsia" w:hAnsiTheme="minorEastAsia"/>
              </w:rPr>
              <w:t>24</w:t>
            </w: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二</w:t>
            </w:r>
          </w:p>
        </w:tc>
        <w:tc>
          <w:tcPr>
            <w:tcW w:w="2979" w:type="dxa"/>
          </w:tcPr>
          <w:p>
            <w:pPr>
              <w:jc w:val="center"/>
              <w:rPr>
                <w:rFonts w:asciiTheme="minorEastAsia" w:hAnsiTheme="minorEastAsia"/>
                <w:sz w:val="24"/>
              </w:rPr>
            </w:pPr>
            <w:r>
              <w:rPr>
                <w:rFonts w:hint="eastAsia" w:asciiTheme="minorEastAsia" w:hAnsiTheme="minorEastAsia"/>
                <w:sz w:val="24"/>
              </w:rPr>
              <w:t>5794</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sz w:val="24"/>
              </w:rPr>
            </w:pPr>
            <w:r>
              <w:rPr>
                <w:rFonts w:hint="eastAsia" w:asciiTheme="minorEastAsia" w:hAnsiTheme="minorEastAsia"/>
                <w:sz w:val="24"/>
              </w:rPr>
              <w:t>三</w:t>
            </w:r>
          </w:p>
        </w:tc>
        <w:tc>
          <w:tcPr>
            <w:tcW w:w="2979" w:type="dxa"/>
          </w:tcPr>
          <w:p>
            <w:pPr>
              <w:jc w:val="center"/>
              <w:rPr>
                <w:rFonts w:asciiTheme="minorEastAsia" w:hAnsiTheme="minorEastAsia"/>
                <w:sz w:val="24"/>
              </w:rPr>
            </w:pPr>
            <w:r>
              <w:rPr>
                <w:rFonts w:hint="eastAsia" w:asciiTheme="minorEastAsia" w:hAnsiTheme="minorEastAsia"/>
                <w:sz w:val="24"/>
              </w:rPr>
              <w:t>214</w:t>
            </w:r>
          </w:p>
        </w:tc>
        <w:tc>
          <w:tcPr>
            <w:tcW w:w="1280" w:type="dxa"/>
            <w:vMerge w:val="continue"/>
          </w:tcPr>
          <w:p>
            <w:pPr>
              <w:jc w:val="center"/>
              <w:rPr>
                <w:rFonts w:asciiTheme="minorEastAsia" w:hAnsiTheme="minorEastAsia"/>
                <w:sz w:val="24"/>
              </w:rPr>
            </w:pPr>
          </w:p>
        </w:tc>
        <w:tc>
          <w:tcPr>
            <w:tcW w:w="2460" w:type="dxa"/>
            <w:vMerge w:val="continue"/>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continue"/>
          </w:tcPr>
          <w:p>
            <w:pPr>
              <w:jc w:val="center"/>
              <w:rPr>
                <w:rFonts w:asciiTheme="minorEastAsia" w:hAnsiTheme="minorEastAsia"/>
                <w:sz w:val="24"/>
              </w:rPr>
            </w:pPr>
          </w:p>
        </w:tc>
        <w:tc>
          <w:tcPr>
            <w:tcW w:w="1538" w:type="dxa"/>
            <w:vMerge w:val="continue"/>
          </w:tcPr>
          <w:p>
            <w:pPr>
              <w:jc w:val="center"/>
              <w:rPr>
                <w:rFonts w:asciiTheme="minorEastAsia" w:hAnsiTheme="minorEastAsia"/>
                <w:sz w:val="24"/>
              </w:rPr>
            </w:pPr>
          </w:p>
        </w:tc>
        <w:tc>
          <w:tcPr>
            <w:tcW w:w="2737" w:type="dxa"/>
          </w:tcPr>
          <w:p>
            <w:pPr>
              <w:jc w:val="center"/>
              <w:rPr>
                <w:rFonts w:asciiTheme="minorEastAsia" w:hAnsiTheme="minorEastAsia"/>
                <w:b/>
                <w:sz w:val="24"/>
              </w:rPr>
            </w:pPr>
            <w:r>
              <w:rPr>
                <w:rFonts w:hint="eastAsia" w:asciiTheme="minorEastAsia" w:hAnsiTheme="minorEastAsia"/>
                <w:b/>
                <w:sz w:val="24"/>
              </w:rPr>
              <w:t>小计</w:t>
            </w:r>
          </w:p>
        </w:tc>
        <w:tc>
          <w:tcPr>
            <w:tcW w:w="2979" w:type="dxa"/>
          </w:tcPr>
          <w:p>
            <w:pPr>
              <w:jc w:val="center"/>
              <w:rPr>
                <w:rFonts w:asciiTheme="minorEastAsia" w:hAnsiTheme="minorEastAsia"/>
                <w:b/>
                <w:sz w:val="24"/>
              </w:rPr>
            </w:pPr>
            <w:r>
              <w:rPr>
                <w:rFonts w:hint="eastAsia" w:asciiTheme="minorEastAsia" w:hAnsiTheme="minorEastAsia"/>
                <w:b/>
                <w:sz w:val="24"/>
              </w:rPr>
              <w:t>11042</w:t>
            </w:r>
          </w:p>
        </w:tc>
        <w:tc>
          <w:tcPr>
            <w:tcW w:w="1280" w:type="dxa"/>
          </w:tcPr>
          <w:p>
            <w:pPr>
              <w:jc w:val="center"/>
              <w:rPr>
                <w:rFonts w:asciiTheme="minorEastAsia" w:hAnsiTheme="minorEastAsia"/>
                <w:b/>
                <w:sz w:val="24"/>
              </w:rPr>
            </w:pPr>
          </w:p>
        </w:tc>
        <w:tc>
          <w:tcPr>
            <w:tcW w:w="2460" w:type="dxa"/>
          </w:tcPr>
          <w:p>
            <w:pPr>
              <w:jc w:val="center"/>
              <w:rPr>
                <w:rFonts w:asciiTheme="minorEastAsia" w:hAnsiTheme="minorEastAsia"/>
                <w:sz w:val="24"/>
              </w:rPr>
            </w:pP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jc w:val="center"/>
              <w:rPr>
                <w:rFonts w:asciiTheme="minorEastAsia" w:hAnsiTheme="minorEastAsia"/>
                <w:sz w:val="24"/>
              </w:rPr>
            </w:pPr>
            <w:r>
              <w:rPr>
                <w:rFonts w:hint="eastAsia" w:asciiTheme="minorEastAsia" w:hAnsiTheme="minorEastAsia"/>
                <w:sz w:val="24"/>
              </w:rPr>
              <w:t>4</w:t>
            </w:r>
          </w:p>
        </w:tc>
        <w:tc>
          <w:tcPr>
            <w:tcW w:w="1538" w:type="dxa"/>
          </w:tcPr>
          <w:p>
            <w:pPr>
              <w:jc w:val="center"/>
              <w:rPr>
                <w:rFonts w:asciiTheme="minorEastAsia" w:hAnsiTheme="minorEastAsia"/>
                <w:sz w:val="24"/>
              </w:rPr>
            </w:pPr>
            <w:r>
              <w:rPr>
                <w:rFonts w:hint="eastAsia" w:asciiTheme="minorEastAsia" w:hAnsiTheme="minorEastAsia"/>
                <w:sz w:val="24"/>
              </w:rPr>
              <w:t>原道路两侧绿化</w:t>
            </w:r>
          </w:p>
        </w:tc>
        <w:tc>
          <w:tcPr>
            <w:tcW w:w="2737" w:type="dxa"/>
            <w:vAlign w:val="center"/>
          </w:tcPr>
          <w:p>
            <w:pPr>
              <w:jc w:val="center"/>
              <w:rPr>
                <w:rFonts w:asciiTheme="minorEastAsia" w:hAnsiTheme="minorEastAsia"/>
                <w:sz w:val="24"/>
              </w:rPr>
            </w:pPr>
            <w:r>
              <w:rPr>
                <w:rFonts w:hint="eastAsia" w:asciiTheme="minorEastAsia" w:hAnsiTheme="minorEastAsia"/>
                <w:sz w:val="24"/>
              </w:rPr>
              <w:t>一</w:t>
            </w:r>
          </w:p>
        </w:tc>
        <w:tc>
          <w:tcPr>
            <w:tcW w:w="2979" w:type="dxa"/>
            <w:vAlign w:val="center"/>
          </w:tcPr>
          <w:p>
            <w:pPr>
              <w:jc w:val="center"/>
              <w:rPr>
                <w:rFonts w:asciiTheme="minorEastAsia" w:hAnsiTheme="minorEastAsia"/>
                <w:sz w:val="24"/>
              </w:rPr>
            </w:pPr>
            <w:r>
              <w:rPr>
                <w:rFonts w:hint="eastAsia" w:ascii="宋体" w:hAnsi="宋体" w:cs="宋体"/>
                <w:kern w:val="0"/>
                <w:sz w:val="24"/>
              </w:rPr>
              <w:t>348167.27</w:t>
            </w:r>
          </w:p>
        </w:tc>
        <w:tc>
          <w:tcPr>
            <w:tcW w:w="1280" w:type="dxa"/>
          </w:tcPr>
          <w:p>
            <w:pPr>
              <w:jc w:val="center"/>
              <w:rPr>
                <w:rFonts w:asciiTheme="minorEastAsia" w:hAnsiTheme="minorEastAsia"/>
                <w:sz w:val="24"/>
              </w:rPr>
            </w:pPr>
            <w:r>
              <w:rPr>
                <w:rFonts w:hint="eastAsia" w:asciiTheme="minorEastAsia" w:hAnsiTheme="minorEastAsia"/>
                <w:sz w:val="24"/>
              </w:rPr>
              <w:t>三类</w:t>
            </w:r>
          </w:p>
        </w:tc>
        <w:tc>
          <w:tcPr>
            <w:tcW w:w="2460" w:type="dxa"/>
          </w:tcPr>
          <w:p>
            <w:pPr>
              <w:jc w:val="center"/>
              <w:rPr>
                <w:rFonts w:asciiTheme="minorEastAsia" w:hAnsiTheme="minorEastAsia"/>
                <w:sz w:val="24"/>
              </w:rPr>
            </w:pPr>
            <w:r>
              <w:rPr>
                <w:rFonts w:hint="eastAsia" w:asciiTheme="minorEastAsia" w:hAnsiTheme="minorEastAsia"/>
                <w:sz w:val="24"/>
              </w:rPr>
              <w:t>24</w:t>
            </w:r>
          </w:p>
        </w:tc>
        <w:tc>
          <w:tcPr>
            <w:tcW w:w="2493" w:type="dxa"/>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77" w:type="dxa"/>
          </w:tcPr>
          <w:p>
            <w:pPr>
              <w:jc w:val="center"/>
              <w:rPr>
                <w:rFonts w:asciiTheme="minorEastAsia" w:hAnsiTheme="minorEastAsia"/>
                <w:sz w:val="24"/>
              </w:rPr>
            </w:pPr>
          </w:p>
        </w:tc>
        <w:tc>
          <w:tcPr>
            <w:tcW w:w="1538" w:type="dxa"/>
          </w:tcPr>
          <w:p>
            <w:pPr>
              <w:jc w:val="center"/>
              <w:rPr>
                <w:rFonts w:asciiTheme="minorEastAsia" w:hAnsiTheme="minorEastAsia"/>
                <w:sz w:val="24"/>
              </w:rPr>
            </w:pPr>
          </w:p>
        </w:tc>
        <w:tc>
          <w:tcPr>
            <w:tcW w:w="2737" w:type="dxa"/>
          </w:tcPr>
          <w:p>
            <w:pPr>
              <w:jc w:val="center"/>
              <w:rPr>
                <w:rFonts w:asciiTheme="minorEastAsia" w:hAnsiTheme="minorEastAsia"/>
                <w:b/>
                <w:sz w:val="24"/>
              </w:rPr>
            </w:pPr>
            <w:r>
              <w:rPr>
                <w:rFonts w:hint="eastAsia" w:asciiTheme="minorEastAsia" w:hAnsiTheme="minorEastAsia"/>
                <w:b/>
                <w:sz w:val="24"/>
              </w:rPr>
              <w:t>合计</w:t>
            </w:r>
          </w:p>
        </w:tc>
        <w:tc>
          <w:tcPr>
            <w:tcW w:w="2979" w:type="dxa"/>
          </w:tcPr>
          <w:p>
            <w:pPr>
              <w:jc w:val="center"/>
              <w:rPr>
                <w:rFonts w:asciiTheme="minorEastAsia" w:hAnsiTheme="minorEastAsia"/>
                <w:b/>
                <w:sz w:val="24"/>
              </w:rPr>
            </w:pPr>
            <w:r>
              <w:rPr>
                <w:rFonts w:hint="eastAsia" w:asciiTheme="minorEastAsia" w:hAnsiTheme="minorEastAsia"/>
                <w:b/>
                <w:sz w:val="24"/>
              </w:rPr>
              <w:t>440510.27</w:t>
            </w:r>
          </w:p>
        </w:tc>
        <w:tc>
          <w:tcPr>
            <w:tcW w:w="1280" w:type="dxa"/>
          </w:tcPr>
          <w:p>
            <w:pPr>
              <w:jc w:val="center"/>
              <w:rPr>
                <w:rFonts w:asciiTheme="minorEastAsia" w:hAnsiTheme="minorEastAsia"/>
                <w:b/>
                <w:sz w:val="24"/>
              </w:rPr>
            </w:pPr>
          </w:p>
        </w:tc>
        <w:tc>
          <w:tcPr>
            <w:tcW w:w="2460" w:type="dxa"/>
          </w:tcPr>
          <w:p>
            <w:pPr>
              <w:jc w:val="center"/>
              <w:rPr>
                <w:rFonts w:asciiTheme="minorEastAsia" w:hAnsiTheme="minorEastAsia"/>
                <w:sz w:val="24"/>
              </w:rPr>
            </w:pPr>
          </w:p>
        </w:tc>
        <w:tc>
          <w:tcPr>
            <w:tcW w:w="2493" w:type="dxa"/>
          </w:tcPr>
          <w:p>
            <w:pPr>
              <w:jc w:val="center"/>
              <w:rPr>
                <w:rFonts w:asciiTheme="minorEastAsia" w:hAnsiTheme="minorEastAsia"/>
                <w:sz w:val="24"/>
              </w:rPr>
            </w:pPr>
          </w:p>
        </w:tc>
      </w:tr>
    </w:tbl>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独立投标：投标人名称(电子签名)：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或采用联合体投标：联合体牵头人名称(电子签名/盖章)：</w:t>
      </w:r>
    </w:p>
    <w:p>
      <w:pPr>
        <w:pStyle w:val="382"/>
        <w:wordWrap w:val="0"/>
        <w:snapToGrid w:val="0"/>
        <w:spacing w:before="120" w:after="120"/>
        <w:ind w:firstLine="0"/>
        <w:jc w:val="right"/>
        <w:rPr>
          <w:rFonts w:cs="宋体" w:asciiTheme="minorEastAsia" w:hAnsiTheme="minorEastAsia" w:eastAsiaTheme="minorEastAsia"/>
          <w:kern w:val="2"/>
          <w:szCs w:val="24"/>
        </w:rPr>
        <w:sectPr>
          <w:pgSz w:w="16838" w:h="11906" w:orient="landscape"/>
          <w:pgMar w:top="1417" w:right="1247" w:bottom="1077" w:left="1276" w:header="851" w:footer="992" w:gutter="0"/>
          <w:cols w:space="0" w:num="1"/>
          <w:titlePg/>
          <w:docGrid w:linePitch="312" w:charSpace="0"/>
        </w:sectPr>
      </w:pPr>
      <w:r>
        <w:rPr>
          <w:rFonts w:hint="eastAsia" w:cs="宋体" w:asciiTheme="minorEastAsia" w:hAnsiTheme="minorEastAsia" w:eastAsiaTheme="minorEastAsia"/>
          <w:szCs w:val="24"/>
        </w:rPr>
        <w:t xml:space="preserve"> 日期：  年   月   日</w:t>
      </w:r>
    </w:p>
    <w:p>
      <w:pPr>
        <w:pStyle w:val="380"/>
        <w:tabs>
          <w:tab w:val="clear" w:pos="720"/>
        </w:tabs>
        <w:snapToGrid w:val="0"/>
        <w:spacing w:before="120" w:after="120"/>
        <w:ind w:firstLine="3534" w:firstLineChars="1100"/>
        <w:jc w:val="both"/>
        <w:outlineLvl w:val="9"/>
        <w:rPr>
          <w:rFonts w:cs="宋体" w:asciiTheme="minorEastAsia" w:hAnsiTheme="minorEastAsia" w:eastAsiaTheme="minorEastAsia"/>
          <w:sz w:val="32"/>
          <w:szCs w:val="32"/>
        </w:rPr>
      </w:pPr>
      <w:r>
        <w:rPr>
          <w:rFonts w:hint="eastAsia" w:cs="宋体" w:asciiTheme="minorEastAsia" w:hAnsiTheme="minorEastAsia" w:eastAsiaTheme="minorEastAsia"/>
          <w:kern w:val="2"/>
          <w:sz w:val="32"/>
          <w:szCs w:val="32"/>
        </w:rPr>
        <w:t>二、</w:t>
      </w:r>
      <w:r>
        <w:rPr>
          <w:rFonts w:hint="eastAsia" w:cs="宋体" w:asciiTheme="minorEastAsia" w:hAnsiTheme="minorEastAsia" w:eastAsiaTheme="minorEastAsia"/>
          <w:sz w:val="32"/>
          <w:szCs w:val="32"/>
        </w:rPr>
        <w:t>中小企业声明函</w:t>
      </w: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政府采购支持中小企业信用融资相关事项通知</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一、适用对象</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二、相关信息获取方式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三、　政府采购信用融资操作流程：</w:t>
      </w:r>
    </w:p>
    <w:p>
      <w:pPr>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（一）线上融资模式：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1.供应商根据合作银行提供的方案，自行选择金融产品，并办理开户等手续；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2.供应商中标后，可通过杭州市政府采购网或“浙里办”测算授信额度；</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3.采购合同签订后，供应商在杭州市政府采购网或“浙里办”向合作银行发出融资申请；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4.审批通过后，在线办理放贷手续。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（二）线下融资模式：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1.供应商根据合作银行提供的方案，自行选择金融产品，向合作银行提出信用资格预审，并办理开户等手续；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2.采购合同签订后，供应商在杭州市政府采购网或“浙里办”向合作银行发出融资申请；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4.审批通过后，合作银行应按照合作备忘录中约定的审批放款期限和优惠利率及时予以放款。</w:t>
      </w:r>
    </w:p>
    <w:p>
      <w:pPr>
        <w:pStyle w:val="5"/>
        <w:ind w:left="0" w:firstLine="960" w:firstLineChars="400"/>
        <w:rPr>
          <w:rFonts w:cs="宋体"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sz w:val="24"/>
          <w:szCs w:val="24"/>
          <w:lang w:val="en-US"/>
        </w:rPr>
        <w:t>（三）杭州e融平台申请融资</w:t>
      </w:r>
    </w:p>
    <w:p>
      <w:pPr>
        <w:pStyle w:val="5"/>
        <w:ind w:left="0" w:firstLine="960" w:firstLineChars="400"/>
        <w:rPr>
          <w:rFonts w:cs="宋体"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sz w:val="24"/>
          <w:szCs w:val="24"/>
          <w:lang w:val="en-US"/>
        </w:rPr>
        <w:t>供应商通过杭州e融平台政采贷专区，自行选择金融产品，按规定手续办理贷款流程。</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四、注意事项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cs="宋体" w:asciiTheme="minorEastAsia" w:hAnsiTheme="minorEastAsia" w:eastAsiaTheme="minorEastAsia"/>
          <w:b/>
          <w:bCs/>
          <w:kern w:val="0"/>
          <w:sz w:val="24"/>
        </w:rPr>
      </w:pPr>
    </w:p>
    <w:p>
      <w:pPr>
        <w:pStyle w:val="4"/>
        <w:pageBreakBefore/>
        <w:widowControl/>
        <w:spacing w:before="100" w:beforeAutospacing="1" w:after="100" w:afterAutospacing="1" w:line="360" w:lineRule="auto"/>
        <w:ind w:left="1290" w:firstLine="3092" w:firstLineChars="700"/>
        <w:rPr>
          <w:rFonts w:cs="宋体" w:asciiTheme="minorEastAsia" w:hAnsiTheme="minorEastAsia" w:eastAsiaTheme="minorEastAsia"/>
        </w:rPr>
      </w:pPr>
      <w:bookmarkStart w:id="398" w:name="_Toc465665161"/>
      <w:r>
        <w:rPr>
          <w:rFonts w:hint="eastAsia" w:cs="宋体" w:asciiTheme="minorEastAsia" w:hAnsiTheme="minorEastAsia" w:eastAsiaTheme="minorEastAsia"/>
        </w:rPr>
        <w:t>附件</w:t>
      </w:r>
      <w:bookmarkEnd w:id="398"/>
    </w:p>
    <w:p>
      <w:pPr>
        <w:spacing w:line="360" w:lineRule="auto"/>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附件1：</w:t>
      </w:r>
    </w:p>
    <w:p>
      <w:pPr>
        <w:spacing w:line="360" w:lineRule="auto"/>
        <w:jc w:val="center"/>
        <w:rPr>
          <w:rFonts w:cs="宋体" w:asciiTheme="minorEastAsia" w:hAnsiTheme="minorEastAsia" w:eastAsiaTheme="minorEastAsia"/>
          <w:b/>
          <w:spacing w:val="6"/>
          <w:sz w:val="32"/>
          <w:szCs w:val="32"/>
        </w:rPr>
      </w:pPr>
      <w:bookmarkStart w:id="399" w:name="OLE_LINK13"/>
      <w:bookmarkStart w:id="400" w:name="OLE_LINK14"/>
      <w:r>
        <w:rPr>
          <w:rFonts w:hint="eastAsia" w:cs="宋体" w:asciiTheme="minorEastAsia" w:hAnsiTheme="minorEastAsia" w:eastAsiaTheme="minorEastAsia"/>
          <w:b/>
          <w:spacing w:val="6"/>
          <w:sz w:val="32"/>
          <w:szCs w:val="32"/>
        </w:rPr>
        <w:t>残疾人福利性单位声明函</w:t>
      </w:r>
    </w:p>
    <w:bookmarkEnd w:id="399"/>
    <w:bookmarkEnd w:id="400"/>
    <w:p>
      <w:pPr>
        <w:spacing w:line="360" w:lineRule="auto"/>
        <w:rPr>
          <w:rFonts w:cs="宋体" w:asciiTheme="minorEastAsia" w:hAnsiTheme="minorEastAsia" w:eastAsiaTheme="minorEastAsia"/>
          <w:b/>
          <w:spacing w:val="6"/>
          <w:sz w:val="30"/>
          <w:szCs w:val="30"/>
        </w:rPr>
      </w:pP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投标人名称（电子签名）</w:t>
      </w:r>
      <w:r>
        <w:rPr>
          <w:rFonts w:hint="eastAsia" w:cs="宋体" w:asciiTheme="minorEastAsia" w:hAnsiTheme="minorEastAsia" w:eastAsiaTheme="minorEastAsia"/>
          <w:sz w:val="24"/>
        </w:rPr>
        <w:t>：</w:t>
      </w:r>
    </w:p>
    <w:p>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w:t>
      </w:r>
    </w:p>
    <w:p>
      <w:pPr>
        <w:spacing w:line="360" w:lineRule="auto"/>
        <w:ind w:firstLine="480" w:firstLineChars="200"/>
        <w:rPr>
          <w:rFonts w:cs="宋体" w:asciiTheme="minorEastAsia" w:hAnsiTheme="minorEastAsia" w:eastAsiaTheme="minorEastAsia"/>
          <w:sz w:val="24"/>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附件2：质疑函范本及制作说明</w:t>
      </w:r>
    </w:p>
    <w:p>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质疑函范本</w:t>
      </w:r>
    </w:p>
    <w:p>
      <w:pPr>
        <w:snapToGrid w:val="0"/>
        <w:spacing w:beforeLines="100"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一、质疑供应商基本信息</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质疑供应商：</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地址：邮编：</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联系人：联系电话：</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 邮编：</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二、质疑项目基本情况</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质疑项目的编号：包号：</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采购人名称：</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采购文件获取日期：</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三、质疑事项具体内容</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质疑事项1：</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事实依据：</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法律依据：</w:t>
      </w:r>
    </w:p>
    <w:p>
      <w:pPr>
        <w:snapToGrid w:val="0"/>
        <w:spacing w:line="360" w:lineRule="auto"/>
        <w:rPr>
          <w:rFonts w:cs="宋体" w:asciiTheme="minorEastAsia" w:hAnsiTheme="minorEastAsia" w:eastAsiaTheme="minorEastAsia"/>
          <w:sz w:val="24"/>
          <w:u w:val="dotted"/>
        </w:rPr>
      </w:pP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质疑事项2</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四、与质疑事项相关的质疑请求</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请求：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pPr>
        <w:spacing w:line="360" w:lineRule="auto"/>
        <w:jc w:val="center"/>
        <w:rPr>
          <w:rFonts w:cs="宋体" w:asciiTheme="minorEastAsia" w:hAnsiTheme="minorEastAsia" w:eastAsiaTheme="minorEastAsia"/>
          <w:b/>
          <w:bCs/>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质疑函制作说明：</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附件3：投诉书范本及制作说明</w:t>
      </w:r>
    </w:p>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投诉书范本</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一、投诉相关主体基本情况</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tabs>
          <w:tab w:val="left" w:pos="6510"/>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法定代表人/主要负责人：</w:t>
      </w:r>
    </w:p>
    <w:p>
      <w:pPr>
        <w:tabs>
          <w:tab w:val="left" w:pos="6510"/>
        </w:tabs>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联系电话：</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授权代表：联系电话</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被投诉人1：</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联系人：联系电话：</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被投诉人2</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相关供应商：</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联系人：联系电话：</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二、投诉项目基本情况</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采购项目名称：</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采购项目编号：包号：</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采购人名称：</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代理机构名称：</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采购文件公告: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采购结果公告: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三、质疑基本情况</w:t>
      </w:r>
    </w:p>
    <w:p>
      <w:pPr>
        <w:spacing w:line="360" w:lineRule="auto"/>
        <w:ind w:firstLine="480" w:firstLineChars="200"/>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投诉人于年月日,向提出质疑，质疑事项为：</w:t>
      </w:r>
    </w:p>
    <w:p>
      <w:pPr>
        <w:spacing w:line="360" w:lineRule="auto"/>
        <w:rPr>
          <w:rFonts w:cs="宋体" w:asciiTheme="minorEastAsia" w:hAnsiTheme="minorEastAsia" w:eastAsiaTheme="minorEastAsia"/>
          <w:sz w:val="24"/>
          <w:u w:val="dotted"/>
        </w:rPr>
      </w:pP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u w:val="dotted"/>
        </w:rPr>
        <w:t>采购人/代理机构</w:t>
      </w:r>
      <w:r>
        <w:rPr>
          <w:rFonts w:hint="eastAsia" w:cs="宋体" w:asciiTheme="minorEastAsia" w:hAnsiTheme="minorEastAsia" w:eastAsiaTheme="minorEastAsia"/>
          <w:sz w:val="24"/>
        </w:rPr>
        <w:t>于年月日,就质疑事项作出了答复/没有在法定期限内作出答复。</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四、投诉事项具体内容</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投诉事项 1：</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pPr>
        <w:spacing w:line="360" w:lineRule="auto"/>
        <w:rPr>
          <w:rFonts w:cs="宋体" w:asciiTheme="minorEastAsia" w:hAnsiTheme="minorEastAsia" w:eastAsiaTheme="minorEastAsia"/>
          <w:sz w:val="24"/>
          <w:u w:val="dotted"/>
        </w:rPr>
      </w:pP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法律依据：</w:t>
      </w:r>
    </w:p>
    <w:p>
      <w:pPr>
        <w:spacing w:line="360" w:lineRule="auto"/>
        <w:rPr>
          <w:rFonts w:cs="宋体" w:asciiTheme="minorEastAsia" w:hAnsiTheme="minorEastAsia" w:eastAsiaTheme="minorEastAsia"/>
          <w:sz w:val="24"/>
          <w:u w:val="dotted"/>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投诉事项2</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五、与投诉事项相关的投诉请求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请求：</w:t>
      </w:r>
    </w:p>
    <w:p>
      <w:pPr>
        <w:spacing w:line="360" w:lineRule="auto"/>
        <w:rPr>
          <w:rFonts w:cs="宋体" w:asciiTheme="minorEastAsia" w:hAnsiTheme="minorEastAsia" w:eastAsiaTheme="minorEastAsia"/>
          <w:sz w:val="24"/>
          <w:u w:val="single"/>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投诉书制作说明：</w:t>
      </w:r>
    </w:p>
    <w:p>
      <w:pPr>
        <w:widowControl/>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pStyle w:val="2"/>
        <w:ind w:firstLine="667"/>
        <w:rPr>
          <w:rFonts w:cs="宋体" w:asciiTheme="minorEastAsia" w:hAnsiTheme="minorEastAsia" w:eastAsiaTheme="minorEastAsia"/>
          <w:b/>
          <w:spacing w:val="6"/>
          <w:sz w:val="32"/>
          <w:szCs w:val="32"/>
        </w:rPr>
      </w:pPr>
    </w:p>
    <w:p/>
    <w:p>
      <w:pPr>
        <w:pStyle w:val="2"/>
      </w:pPr>
    </w:p>
    <w:p>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附件4：</w:t>
      </w:r>
      <w:r>
        <w:rPr>
          <w:rFonts w:hint="eastAsia" w:cs="宋体" w:asciiTheme="minorEastAsia" w:hAnsiTheme="minorEastAsia" w:eastAsiaTheme="minorEastAsia"/>
          <w:b/>
          <w:bCs/>
          <w:sz w:val="32"/>
          <w:szCs w:val="32"/>
        </w:rPr>
        <w:t>业务专用章使用说明函</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u w:val="single"/>
        </w:rPr>
        <w:t>（采购人）、（采购代理机构）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我方</w:t>
      </w:r>
      <w:r>
        <w:rPr>
          <w:rFonts w:hint="eastAsia" w:cs="宋体" w:asciiTheme="minorEastAsia" w:hAnsiTheme="minorEastAsia" w:eastAsiaTheme="minorEastAsia"/>
          <w:sz w:val="24"/>
        </w:rPr>
        <w:t>(投标人全称)是中华人民共和国依法登记注册的合法企业，</w:t>
      </w:r>
      <w:r>
        <w:rPr>
          <w:rFonts w:hint="eastAsia" w:cs="宋体" w:asciiTheme="minorEastAsia" w:hAnsiTheme="minorEastAsia" w:eastAsiaTheme="minorEastAsia"/>
          <w:bCs/>
          <w:sz w:val="24"/>
        </w:rPr>
        <w:t>在参加</w:t>
      </w:r>
      <w:r>
        <w:rPr>
          <w:rFonts w:hint="eastAsia" w:cs="宋体" w:asciiTheme="minorEastAsia" w:hAnsiTheme="minorEastAsia" w:eastAsiaTheme="minorEastAsia"/>
          <w:sz w:val="24"/>
        </w:rPr>
        <w:t>你方组织的（项目名称）项目【招标编号：（采购编号）】</w:t>
      </w:r>
      <w:r>
        <w:rPr>
          <w:rFonts w:hint="eastAsia" w:cs="宋体" w:asciiTheme="minorEastAsia" w:hAnsiTheme="minorEastAsia" w:eastAsiaTheme="minorEastAsia"/>
          <w:bCs/>
          <w:sz w:val="24"/>
        </w:rPr>
        <w:t>投标活动中作如下说明：</w:t>
      </w:r>
      <w:r>
        <w:rPr>
          <w:rFonts w:hint="eastAsia" w:cs="宋体" w:asciiTheme="minorEastAsia" w:hAnsiTheme="minorEastAsia" w:eastAsia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0"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投标单位（法定名称章）：</w:t>
      </w:r>
    </w:p>
    <w:p>
      <w:pPr>
        <w:ind w:right="1440" w:firstLine="494"/>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cs="宋体" w:asciiTheme="minorEastAsia" w:hAnsiTheme="minorEastAsia" w:eastAsiaTheme="minorEastAsia"/>
          <w:bCs/>
          <w:sz w:val="24"/>
        </w:rPr>
      </w:pPr>
      <w:r>
        <w:rPr>
          <w:rFonts w:cs="宋体" w:asciiTheme="minorEastAsia" w:hAnsiTheme="minorEastAsia" w:eastAsiaTheme="minorEastAsia"/>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path/>
            <v:fill focussize="0,0"/>
            <v:stroke/>
            <v:imagedata o:title=""/>
            <o:lock v:ext="edit"/>
            <v:textbox>
              <w:txbxContent>
                <w:p>
                  <w:pPr>
                    <w:jc w:val="center"/>
                  </w:pPr>
                </w:p>
              </w:txbxContent>
            </v:textbox>
          </v:rect>
        </w:pict>
      </w:r>
      <w:r>
        <w:rPr>
          <w:rFonts w:cs="宋体" w:asciiTheme="minorEastAsia" w:hAnsiTheme="minorEastAsia" w:eastAsiaTheme="minorEastAsia"/>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path/>
            <v:fill focussize="0,0"/>
            <v:stroke/>
            <v:imagedata o:title=""/>
            <o:lock v:ext="edit"/>
            <v:textbox>
              <w:txbxContent>
                <w:p>
                  <w:pPr>
                    <w:jc w:val="center"/>
                  </w:pPr>
                </w:p>
              </w:txbxContent>
            </v:textbox>
          </v:rect>
        </w:pict>
      </w:r>
      <w:r>
        <w:rPr>
          <w:rFonts w:hint="eastAsia" w:cs="宋体" w:asciiTheme="minorEastAsia" w:hAnsiTheme="minorEastAsia" w:eastAsiaTheme="minorEastAsia"/>
          <w:sz w:val="24"/>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附件5：</w:t>
      </w:r>
      <w:r>
        <w:rPr>
          <w:rFonts w:hint="eastAsia" w:cs="宋体" w:asciiTheme="minorEastAsia" w:hAnsiTheme="minorEastAsia" w:eastAsiaTheme="minorEastAsia"/>
          <w:b/>
          <w:sz w:val="32"/>
          <w:szCs w:val="32"/>
        </w:rPr>
        <w:t>中小企业声明函</w:t>
      </w:r>
    </w:p>
    <w:p>
      <w:pPr>
        <w:spacing w:line="360" w:lineRule="auto"/>
        <w:jc w:val="center"/>
        <w:rPr>
          <w:rFonts w:cs="宋体" w:asciiTheme="minorEastAsia" w:hAnsiTheme="minorEastAsia" w:eastAsiaTheme="minorEastAsia"/>
          <w:sz w:val="24"/>
          <w:u w:val="single"/>
        </w:rPr>
      </w:pP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中小企业声明函（货物）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 ，属于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行业 ；制造商为</w:t>
      </w:r>
      <w:r>
        <w:rPr>
          <w:rFonts w:hint="eastAsia" w:cs="宋体" w:asciiTheme="minorEastAsia" w:hAnsiTheme="minorEastAsia" w:eastAsiaTheme="minorEastAsia"/>
          <w:sz w:val="24"/>
          <w:u w:val="single"/>
        </w:rPr>
        <w:t xml:space="preserve"> （企业名称）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w:t>
      </w: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 ，属于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行业 ；制造商为</w:t>
      </w:r>
      <w:r>
        <w:rPr>
          <w:rFonts w:hint="eastAsia" w:cs="宋体" w:asciiTheme="minorEastAsia" w:hAnsiTheme="minorEastAsia" w:eastAsiaTheme="minorEastAsia"/>
          <w:sz w:val="24"/>
          <w:u w:val="single"/>
        </w:rPr>
        <w:t xml:space="preserve"> （企业名称）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w:t>
      </w: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napToGrid w:val="0"/>
        <w:spacing w:line="360" w:lineRule="auto"/>
        <w:ind w:firstLine="5160" w:firstLineChars="215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投标人名称(电子签名)：</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月日</w:t>
      </w:r>
    </w:p>
    <w:p>
      <w:pPr>
        <w:spacing w:line="360" w:lineRule="auto"/>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从业人员、营业收入、资产总额填报上一年度数据，无上一年度数据的新成立企业可不填报。</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cs="宋体" w:asciiTheme="minorEastAsia" w:hAnsiTheme="minorEastAsia" w:eastAsiaTheme="minorEastAsia"/>
          <w:b/>
          <w:sz w:val="32"/>
          <w:szCs w:val="32"/>
        </w:rPr>
      </w:pPr>
    </w:p>
    <w:p>
      <w:pPr>
        <w:spacing w:line="360" w:lineRule="auto"/>
        <w:jc w:val="center"/>
        <w:rPr>
          <w:rFonts w:cs="宋体" w:asciiTheme="minorEastAsia" w:hAnsiTheme="minorEastAsia" w:eastAsiaTheme="minorEastAsia"/>
          <w:b/>
          <w:sz w:val="32"/>
          <w:szCs w:val="32"/>
        </w:rPr>
      </w:pPr>
    </w:p>
    <w:p>
      <w:pPr>
        <w:spacing w:line="360" w:lineRule="auto"/>
        <w:jc w:val="center"/>
        <w:rPr>
          <w:rFonts w:cs="宋体" w:asciiTheme="minorEastAsia" w:hAnsiTheme="minorEastAsia" w:eastAsiaTheme="minorEastAsia"/>
          <w:b/>
          <w:sz w:val="32"/>
          <w:szCs w:val="32"/>
        </w:rPr>
      </w:pPr>
    </w:p>
    <w:p>
      <w:pPr>
        <w:pStyle w:val="2"/>
      </w:pP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中小企业声明函（工程、服务）</w:t>
      </w:r>
    </w:p>
    <w:p>
      <w:pPr>
        <w:spacing w:line="360" w:lineRule="auto"/>
        <w:rPr>
          <w:rFonts w:cs="宋体" w:asciiTheme="minorEastAsia" w:hAnsiTheme="minorEastAsia" w:eastAsiaTheme="minorEastAsia"/>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投标人名称（电子签名）：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cs="宋体" w:asciiTheme="minorEastAsia" w:hAnsiTheme="minorEastAsia" w:eastAsiaTheme="minorEastAsia"/>
          <w:lang w:val="en-US"/>
        </w:rPr>
      </w:pPr>
    </w:p>
    <w:p>
      <w:pPr>
        <w:spacing w:line="360" w:lineRule="auto"/>
        <w:ind w:right="420"/>
        <w:rPr>
          <w:rFonts w:cs="宋体" w:asciiTheme="minorEastAsia" w:hAnsiTheme="minorEastAsia" w:eastAsiaTheme="minorEastAsia"/>
        </w:rPr>
      </w:pPr>
    </w:p>
    <w:p>
      <w:pPr>
        <w:spacing w:line="360" w:lineRule="auto"/>
        <w:rPr>
          <w:rFonts w:cs="宋体" w:asciiTheme="minorEastAsia" w:hAnsiTheme="minorEastAsia" w:eastAsiaTheme="minorEastAsia"/>
          <w:bCs/>
          <w:sz w:val="24"/>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6"/>
      </w:rPr>
    </w:pPr>
    <w:r>
      <w:fldChar w:fldCharType="begin"/>
    </w:r>
    <w:r>
      <w:rPr>
        <w:rStyle w:val="76"/>
      </w:rPr>
      <w:instrText xml:space="preserve">PAGE  </w:instrText>
    </w:r>
    <w:r>
      <w:fldChar w:fldCharType="end"/>
    </w:r>
  </w:p>
  <w:p>
    <w:pPr>
      <w:pStyle w:val="4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bookmarkStart w:id="401" w:name="_Toc164085800"/>
    <w:bookmarkStart w:id="402" w:name="_Toc131845147"/>
    <w:bookmarkStart w:id="403" w:name="_Toc36110187"/>
    <w:bookmarkStart w:id="404" w:name="_Toc91899912"/>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6"/>
      </w:rPr>
    </w:pPr>
    <w:r>
      <w:fldChar w:fldCharType="begin"/>
    </w:r>
    <w:r>
      <w:rPr>
        <w:rStyle w:val="76"/>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pict>
        <v:shape id="Quad Arrow 4" o:spid="_x0000_s2049"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PlfknQAAAAAwEAAA8AAAAAAAAAAQAgAAAAIgAAAGRycy9kb3ducmV2LnhtbFBLAQIU&#10;ABQAAAAIAIdO4kCPs+D1+wEAAAMEAAAOAAAAAAAAAAEAIAAAAB8BAABkcnMvZTJvRG9jLnhtbFBL&#10;BQYAAAAABgAGAFkBAACM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26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p>
  <w:p>
    <w:pPr>
      <w:pStyle w:val="44"/>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D58E8"/>
    <w:multiLevelType w:val="singleLevel"/>
    <w:tmpl w:val="F59D58E8"/>
    <w:lvl w:ilvl="0" w:tentative="0">
      <w:start w:val="1"/>
      <w:numFmt w:val="decimal"/>
      <w:suff w:val="nothing"/>
      <w:lvlText w:val="（%1）"/>
      <w:lvlJc w:val="left"/>
    </w:lvl>
  </w:abstractNum>
  <w:abstractNum w:abstractNumId="1">
    <w:nsid w:val="12D353ED"/>
    <w:multiLevelType w:val="multilevel"/>
    <w:tmpl w:val="12D353ED"/>
    <w:lvl w:ilvl="0" w:tentative="0">
      <w:start w:val="1"/>
      <w:numFmt w:val="decimal"/>
      <w:lvlText w:val="%1."/>
      <w:lvlJc w:val="left"/>
      <w:pPr>
        <w:ind w:left="360" w:hanging="36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2">
    <w:nsid w:val="28601490"/>
    <w:multiLevelType w:val="singleLevel"/>
    <w:tmpl w:val="28601490"/>
    <w:lvl w:ilvl="0" w:tentative="0">
      <w:start w:val="1"/>
      <w:numFmt w:val="decimal"/>
      <w:suff w:val="nothing"/>
      <w:lvlText w:val="%1、"/>
      <w:lvlJc w:val="left"/>
    </w:lvl>
  </w:abstractNum>
  <w:abstractNum w:abstractNumId="3">
    <w:nsid w:val="601AB719"/>
    <w:multiLevelType w:val="singleLevel"/>
    <w:tmpl w:val="601AB719"/>
    <w:lvl w:ilvl="0" w:tentative="0">
      <w:start w:val="2"/>
      <w:numFmt w:val="decimal"/>
      <w:suff w:val="nothing"/>
      <w:lvlText w:val="%1、"/>
      <w:lvlJc w:val="left"/>
    </w:lvl>
  </w:abstractNum>
  <w:abstractNum w:abstractNumId="4">
    <w:nsid w:val="63F824D2"/>
    <w:multiLevelType w:val="singleLevel"/>
    <w:tmpl w:val="63F824D2"/>
    <w:lvl w:ilvl="0" w:tentative="0">
      <w:start w:val="3"/>
      <w:numFmt w:val="chineseCounting"/>
      <w:suff w:val="space"/>
      <w:lvlText w:val="第%1部分"/>
      <w:lvlJc w:val="left"/>
      <w:rPr>
        <w:rFonts w:hint="eastAsia"/>
      </w:rPr>
    </w:lvl>
  </w:abstractNum>
  <w:num w:numId="1">
    <w:abstractNumId w:val="4"/>
  </w:num>
  <w:num w:numId="2">
    <w:abstractNumId w:val="1"/>
    <w:lvlOverride w:ilvl="0">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gyY2Y5Y2UxZjkwY2NiYzg1MTM4ZmQzOTFhYWJhY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5CD7"/>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42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E9E"/>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4E82"/>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A2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30D"/>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208"/>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0EB"/>
    <w:rsid w:val="003703BB"/>
    <w:rsid w:val="003705EA"/>
    <w:rsid w:val="00370A56"/>
    <w:rsid w:val="00371213"/>
    <w:rsid w:val="00372842"/>
    <w:rsid w:val="003729A5"/>
    <w:rsid w:val="00372C89"/>
    <w:rsid w:val="00372E9A"/>
    <w:rsid w:val="003735B9"/>
    <w:rsid w:val="00373634"/>
    <w:rsid w:val="00374677"/>
    <w:rsid w:val="0037510C"/>
    <w:rsid w:val="00375850"/>
    <w:rsid w:val="00375C33"/>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B66"/>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60B"/>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3B26"/>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02A"/>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A9"/>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ED1"/>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8F1"/>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A7F00"/>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1764"/>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0B"/>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8F7A44"/>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2F0F"/>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576"/>
    <w:rsid w:val="009D4207"/>
    <w:rsid w:val="009D4E4A"/>
    <w:rsid w:val="009D5130"/>
    <w:rsid w:val="009D53D1"/>
    <w:rsid w:val="009D53FB"/>
    <w:rsid w:val="009D56A4"/>
    <w:rsid w:val="009D6081"/>
    <w:rsid w:val="009D678C"/>
    <w:rsid w:val="009D6B9A"/>
    <w:rsid w:val="009D6D30"/>
    <w:rsid w:val="009D7523"/>
    <w:rsid w:val="009D76B5"/>
    <w:rsid w:val="009D773A"/>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5C74"/>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0CC4"/>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FED"/>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3E3"/>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891"/>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7E6"/>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A23"/>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D66"/>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5D9"/>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A71"/>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6B20"/>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F3B4F"/>
    <w:rsid w:val="011F6449"/>
    <w:rsid w:val="01236AFB"/>
    <w:rsid w:val="019451DA"/>
    <w:rsid w:val="019F7441"/>
    <w:rsid w:val="01B37585"/>
    <w:rsid w:val="01BA1319"/>
    <w:rsid w:val="01D55165"/>
    <w:rsid w:val="01DF6BF8"/>
    <w:rsid w:val="01E15354"/>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E36894"/>
    <w:rsid w:val="060E5941"/>
    <w:rsid w:val="06110FAF"/>
    <w:rsid w:val="06493CA7"/>
    <w:rsid w:val="065A6178"/>
    <w:rsid w:val="066F1CF3"/>
    <w:rsid w:val="06930BB8"/>
    <w:rsid w:val="06E50CCC"/>
    <w:rsid w:val="07245D42"/>
    <w:rsid w:val="07264C62"/>
    <w:rsid w:val="0768220B"/>
    <w:rsid w:val="0779354C"/>
    <w:rsid w:val="07AA2823"/>
    <w:rsid w:val="07D23B28"/>
    <w:rsid w:val="07D73528"/>
    <w:rsid w:val="08061376"/>
    <w:rsid w:val="081F7F59"/>
    <w:rsid w:val="08452D77"/>
    <w:rsid w:val="0849203C"/>
    <w:rsid w:val="086401F8"/>
    <w:rsid w:val="08650413"/>
    <w:rsid w:val="08751CAA"/>
    <w:rsid w:val="087E4C40"/>
    <w:rsid w:val="08D66AD6"/>
    <w:rsid w:val="08DA33A3"/>
    <w:rsid w:val="08E11701"/>
    <w:rsid w:val="08E80F13"/>
    <w:rsid w:val="08F47AEB"/>
    <w:rsid w:val="09012EFA"/>
    <w:rsid w:val="09335624"/>
    <w:rsid w:val="094445B2"/>
    <w:rsid w:val="0944690F"/>
    <w:rsid w:val="09535675"/>
    <w:rsid w:val="095F057D"/>
    <w:rsid w:val="09642282"/>
    <w:rsid w:val="09733572"/>
    <w:rsid w:val="09772C16"/>
    <w:rsid w:val="097A0F86"/>
    <w:rsid w:val="098353B5"/>
    <w:rsid w:val="09A92330"/>
    <w:rsid w:val="09B06B87"/>
    <w:rsid w:val="09C13146"/>
    <w:rsid w:val="09E04166"/>
    <w:rsid w:val="0A1C0718"/>
    <w:rsid w:val="0A3E7710"/>
    <w:rsid w:val="0A5B7E63"/>
    <w:rsid w:val="0A642BB8"/>
    <w:rsid w:val="0AA374A5"/>
    <w:rsid w:val="0AAB7649"/>
    <w:rsid w:val="0ABC5606"/>
    <w:rsid w:val="0B30404E"/>
    <w:rsid w:val="0B4C6C14"/>
    <w:rsid w:val="0B631A88"/>
    <w:rsid w:val="0B683D45"/>
    <w:rsid w:val="0B7F3F11"/>
    <w:rsid w:val="0B884417"/>
    <w:rsid w:val="0BAC1CF5"/>
    <w:rsid w:val="0BB56FE4"/>
    <w:rsid w:val="0BF40511"/>
    <w:rsid w:val="0BF6188C"/>
    <w:rsid w:val="0BF73C91"/>
    <w:rsid w:val="0C062ACC"/>
    <w:rsid w:val="0C117D32"/>
    <w:rsid w:val="0C170175"/>
    <w:rsid w:val="0C4B5C57"/>
    <w:rsid w:val="0C571A41"/>
    <w:rsid w:val="0C5C1171"/>
    <w:rsid w:val="0C5E1CBC"/>
    <w:rsid w:val="0C615B50"/>
    <w:rsid w:val="0C8445DA"/>
    <w:rsid w:val="0C87121B"/>
    <w:rsid w:val="0CA065CC"/>
    <w:rsid w:val="0CC007F7"/>
    <w:rsid w:val="0CC62AA3"/>
    <w:rsid w:val="0CFE707A"/>
    <w:rsid w:val="0D063BDA"/>
    <w:rsid w:val="0D08375F"/>
    <w:rsid w:val="0D0923B0"/>
    <w:rsid w:val="0D184CFB"/>
    <w:rsid w:val="0D4A7419"/>
    <w:rsid w:val="0D827401"/>
    <w:rsid w:val="0D84094E"/>
    <w:rsid w:val="0D8A00E9"/>
    <w:rsid w:val="0D8D589E"/>
    <w:rsid w:val="0DA01C73"/>
    <w:rsid w:val="0DA6235F"/>
    <w:rsid w:val="0DD2300E"/>
    <w:rsid w:val="0DD63300"/>
    <w:rsid w:val="0DF50604"/>
    <w:rsid w:val="0DF702FE"/>
    <w:rsid w:val="0E060E51"/>
    <w:rsid w:val="0E5604B2"/>
    <w:rsid w:val="0E6D5D79"/>
    <w:rsid w:val="0E9D0089"/>
    <w:rsid w:val="0EB803EE"/>
    <w:rsid w:val="0EE815E2"/>
    <w:rsid w:val="0EF94D4B"/>
    <w:rsid w:val="0F4958DC"/>
    <w:rsid w:val="0F515DF7"/>
    <w:rsid w:val="0F596BA8"/>
    <w:rsid w:val="0F6248D2"/>
    <w:rsid w:val="0F693536"/>
    <w:rsid w:val="0F7B0511"/>
    <w:rsid w:val="0F7B76D9"/>
    <w:rsid w:val="0F816ACD"/>
    <w:rsid w:val="0F9832DB"/>
    <w:rsid w:val="0FBF3FD2"/>
    <w:rsid w:val="0FBF7FF3"/>
    <w:rsid w:val="10460ECD"/>
    <w:rsid w:val="10646583"/>
    <w:rsid w:val="107D4B15"/>
    <w:rsid w:val="108A3C80"/>
    <w:rsid w:val="109F0AC7"/>
    <w:rsid w:val="10C26171"/>
    <w:rsid w:val="10F33360"/>
    <w:rsid w:val="10FC16EA"/>
    <w:rsid w:val="110F1D40"/>
    <w:rsid w:val="11266F33"/>
    <w:rsid w:val="118963A1"/>
    <w:rsid w:val="11A55E09"/>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F6008"/>
    <w:rsid w:val="146D271E"/>
    <w:rsid w:val="14982588"/>
    <w:rsid w:val="149A5AD9"/>
    <w:rsid w:val="14A7619D"/>
    <w:rsid w:val="150536C3"/>
    <w:rsid w:val="150C1963"/>
    <w:rsid w:val="151447A0"/>
    <w:rsid w:val="154A6454"/>
    <w:rsid w:val="15762120"/>
    <w:rsid w:val="157D79BE"/>
    <w:rsid w:val="16A8729C"/>
    <w:rsid w:val="16B33777"/>
    <w:rsid w:val="16BC70A7"/>
    <w:rsid w:val="16C6339E"/>
    <w:rsid w:val="16C66908"/>
    <w:rsid w:val="16E95660"/>
    <w:rsid w:val="172F2D79"/>
    <w:rsid w:val="17557BEF"/>
    <w:rsid w:val="178C5650"/>
    <w:rsid w:val="17BF5F86"/>
    <w:rsid w:val="17D349C1"/>
    <w:rsid w:val="1830729E"/>
    <w:rsid w:val="1870062C"/>
    <w:rsid w:val="18817102"/>
    <w:rsid w:val="18830A15"/>
    <w:rsid w:val="18852B28"/>
    <w:rsid w:val="188B5321"/>
    <w:rsid w:val="197A6E2C"/>
    <w:rsid w:val="19932372"/>
    <w:rsid w:val="19A20DD5"/>
    <w:rsid w:val="19AE03F1"/>
    <w:rsid w:val="1A023DF9"/>
    <w:rsid w:val="1A071A03"/>
    <w:rsid w:val="1A1F16AE"/>
    <w:rsid w:val="1A3B5C77"/>
    <w:rsid w:val="1A984BAD"/>
    <w:rsid w:val="1AB8220E"/>
    <w:rsid w:val="1ABF0FF7"/>
    <w:rsid w:val="1AE4166C"/>
    <w:rsid w:val="1AE814E1"/>
    <w:rsid w:val="1AF06CFB"/>
    <w:rsid w:val="1AF11B8D"/>
    <w:rsid w:val="1B11359C"/>
    <w:rsid w:val="1B2A271F"/>
    <w:rsid w:val="1B530544"/>
    <w:rsid w:val="1B713184"/>
    <w:rsid w:val="1BA209CF"/>
    <w:rsid w:val="1BB4777D"/>
    <w:rsid w:val="1BD75AB8"/>
    <w:rsid w:val="1C0459C2"/>
    <w:rsid w:val="1C1B3B4A"/>
    <w:rsid w:val="1C88086E"/>
    <w:rsid w:val="1D266CE1"/>
    <w:rsid w:val="1D3963AF"/>
    <w:rsid w:val="1D5822E5"/>
    <w:rsid w:val="1D6A673C"/>
    <w:rsid w:val="1D816151"/>
    <w:rsid w:val="1D9247AE"/>
    <w:rsid w:val="1DB567EC"/>
    <w:rsid w:val="1DBF6192"/>
    <w:rsid w:val="1DF51A98"/>
    <w:rsid w:val="1E3D060F"/>
    <w:rsid w:val="1E3F7D2E"/>
    <w:rsid w:val="1E4134E4"/>
    <w:rsid w:val="1E5062B3"/>
    <w:rsid w:val="1E523514"/>
    <w:rsid w:val="1E714A66"/>
    <w:rsid w:val="1E802593"/>
    <w:rsid w:val="1EA703CC"/>
    <w:rsid w:val="1EB7330C"/>
    <w:rsid w:val="1F0A0FF3"/>
    <w:rsid w:val="1F5771FF"/>
    <w:rsid w:val="1F771C14"/>
    <w:rsid w:val="1FE868A9"/>
    <w:rsid w:val="20034907"/>
    <w:rsid w:val="20173E4B"/>
    <w:rsid w:val="204E48BC"/>
    <w:rsid w:val="208921B3"/>
    <w:rsid w:val="20973DEB"/>
    <w:rsid w:val="20B26522"/>
    <w:rsid w:val="20B44310"/>
    <w:rsid w:val="211116EB"/>
    <w:rsid w:val="211641D5"/>
    <w:rsid w:val="216133FC"/>
    <w:rsid w:val="21CE589C"/>
    <w:rsid w:val="21D56769"/>
    <w:rsid w:val="21E52EF3"/>
    <w:rsid w:val="21E93F72"/>
    <w:rsid w:val="21FB5D7B"/>
    <w:rsid w:val="220B1C3D"/>
    <w:rsid w:val="221D1D20"/>
    <w:rsid w:val="22334A87"/>
    <w:rsid w:val="2245341D"/>
    <w:rsid w:val="2273680D"/>
    <w:rsid w:val="22BE6801"/>
    <w:rsid w:val="233500BF"/>
    <w:rsid w:val="23377FF7"/>
    <w:rsid w:val="23515DF1"/>
    <w:rsid w:val="236B425F"/>
    <w:rsid w:val="23836192"/>
    <w:rsid w:val="23901F29"/>
    <w:rsid w:val="239C0061"/>
    <w:rsid w:val="23B908A4"/>
    <w:rsid w:val="23E95BEF"/>
    <w:rsid w:val="23F5286D"/>
    <w:rsid w:val="23FD0064"/>
    <w:rsid w:val="245375B0"/>
    <w:rsid w:val="24642C0A"/>
    <w:rsid w:val="24B22173"/>
    <w:rsid w:val="24B95AD9"/>
    <w:rsid w:val="24BE24DA"/>
    <w:rsid w:val="24CF5825"/>
    <w:rsid w:val="24D663E6"/>
    <w:rsid w:val="24D77F2B"/>
    <w:rsid w:val="251A78C3"/>
    <w:rsid w:val="25224658"/>
    <w:rsid w:val="253D662D"/>
    <w:rsid w:val="256E2C8A"/>
    <w:rsid w:val="258B00E2"/>
    <w:rsid w:val="25A917A6"/>
    <w:rsid w:val="25BE27CC"/>
    <w:rsid w:val="25F74A5C"/>
    <w:rsid w:val="2628662C"/>
    <w:rsid w:val="262D45DE"/>
    <w:rsid w:val="26A53EF9"/>
    <w:rsid w:val="26A94201"/>
    <w:rsid w:val="26AC274F"/>
    <w:rsid w:val="27044A29"/>
    <w:rsid w:val="271D34C8"/>
    <w:rsid w:val="27256712"/>
    <w:rsid w:val="276142BF"/>
    <w:rsid w:val="27783712"/>
    <w:rsid w:val="27907362"/>
    <w:rsid w:val="28333E1D"/>
    <w:rsid w:val="28454BD6"/>
    <w:rsid w:val="28455253"/>
    <w:rsid w:val="28551971"/>
    <w:rsid w:val="285B1C53"/>
    <w:rsid w:val="289B4B81"/>
    <w:rsid w:val="289F7086"/>
    <w:rsid w:val="28C32028"/>
    <w:rsid w:val="28CC490F"/>
    <w:rsid w:val="28DE40AA"/>
    <w:rsid w:val="290A21EE"/>
    <w:rsid w:val="29345E77"/>
    <w:rsid w:val="294C65AD"/>
    <w:rsid w:val="296465C0"/>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BFF1D8B"/>
    <w:rsid w:val="2C09049E"/>
    <w:rsid w:val="2C0A653C"/>
    <w:rsid w:val="2C167BD8"/>
    <w:rsid w:val="2C191F85"/>
    <w:rsid w:val="2CBB4911"/>
    <w:rsid w:val="2CE82D6F"/>
    <w:rsid w:val="2D343236"/>
    <w:rsid w:val="2DD15014"/>
    <w:rsid w:val="2DF72DE4"/>
    <w:rsid w:val="2E0220AF"/>
    <w:rsid w:val="2E4B082A"/>
    <w:rsid w:val="2E4B710B"/>
    <w:rsid w:val="2E5D4E86"/>
    <w:rsid w:val="2E5D790B"/>
    <w:rsid w:val="2E9A3C18"/>
    <w:rsid w:val="2EBB0FEE"/>
    <w:rsid w:val="2EC63002"/>
    <w:rsid w:val="2ED463CF"/>
    <w:rsid w:val="2F0A6B38"/>
    <w:rsid w:val="2F946CCB"/>
    <w:rsid w:val="2FD25781"/>
    <w:rsid w:val="2FFD7934"/>
    <w:rsid w:val="301D0D4E"/>
    <w:rsid w:val="30733ACD"/>
    <w:rsid w:val="308C3862"/>
    <w:rsid w:val="309379D8"/>
    <w:rsid w:val="30A270F7"/>
    <w:rsid w:val="30D57F70"/>
    <w:rsid w:val="30D910F0"/>
    <w:rsid w:val="30DF1478"/>
    <w:rsid w:val="30EC586F"/>
    <w:rsid w:val="31824D42"/>
    <w:rsid w:val="319C6071"/>
    <w:rsid w:val="31AC537E"/>
    <w:rsid w:val="31E3679B"/>
    <w:rsid w:val="31E732FD"/>
    <w:rsid w:val="31FB3BEE"/>
    <w:rsid w:val="32517576"/>
    <w:rsid w:val="32900E04"/>
    <w:rsid w:val="32AB4D4D"/>
    <w:rsid w:val="32AD7029"/>
    <w:rsid w:val="32B93BE1"/>
    <w:rsid w:val="32BE5C2C"/>
    <w:rsid w:val="32FB6478"/>
    <w:rsid w:val="33263B3F"/>
    <w:rsid w:val="336963EB"/>
    <w:rsid w:val="33816EEB"/>
    <w:rsid w:val="338F55F3"/>
    <w:rsid w:val="33AB42D4"/>
    <w:rsid w:val="33AB6E04"/>
    <w:rsid w:val="33EB55CD"/>
    <w:rsid w:val="33EC4C02"/>
    <w:rsid w:val="340D2360"/>
    <w:rsid w:val="3410665D"/>
    <w:rsid w:val="34211214"/>
    <w:rsid w:val="342E63AB"/>
    <w:rsid w:val="34303663"/>
    <w:rsid w:val="343D057B"/>
    <w:rsid w:val="34950E68"/>
    <w:rsid w:val="34986E94"/>
    <w:rsid w:val="34AF62C9"/>
    <w:rsid w:val="34CB4388"/>
    <w:rsid w:val="34E32DF3"/>
    <w:rsid w:val="34FA6E12"/>
    <w:rsid w:val="35016021"/>
    <w:rsid w:val="358D5588"/>
    <w:rsid w:val="363A3B40"/>
    <w:rsid w:val="365302AE"/>
    <w:rsid w:val="36607A0A"/>
    <w:rsid w:val="366E227C"/>
    <w:rsid w:val="366F2E0D"/>
    <w:rsid w:val="367B6A5C"/>
    <w:rsid w:val="36A74ADA"/>
    <w:rsid w:val="36AD60D5"/>
    <w:rsid w:val="36B224F9"/>
    <w:rsid w:val="36EC0CC9"/>
    <w:rsid w:val="3724539E"/>
    <w:rsid w:val="3737440E"/>
    <w:rsid w:val="373F410B"/>
    <w:rsid w:val="37606C26"/>
    <w:rsid w:val="379320DC"/>
    <w:rsid w:val="37B815FD"/>
    <w:rsid w:val="37EE7094"/>
    <w:rsid w:val="38296C89"/>
    <w:rsid w:val="383002EB"/>
    <w:rsid w:val="38586797"/>
    <w:rsid w:val="38BC0149"/>
    <w:rsid w:val="38D87D1C"/>
    <w:rsid w:val="394F6A60"/>
    <w:rsid w:val="39636459"/>
    <w:rsid w:val="396B7F6C"/>
    <w:rsid w:val="39B417A9"/>
    <w:rsid w:val="39FC5695"/>
    <w:rsid w:val="3A006D8E"/>
    <w:rsid w:val="3A3651E5"/>
    <w:rsid w:val="3A744481"/>
    <w:rsid w:val="3A8C7BEF"/>
    <w:rsid w:val="3A906246"/>
    <w:rsid w:val="3B11572B"/>
    <w:rsid w:val="3B2349B7"/>
    <w:rsid w:val="3B616CFF"/>
    <w:rsid w:val="3B6259F6"/>
    <w:rsid w:val="3B976654"/>
    <w:rsid w:val="3BA55FCD"/>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3FFA2134"/>
    <w:rsid w:val="4019356B"/>
    <w:rsid w:val="40592157"/>
    <w:rsid w:val="406E1CAE"/>
    <w:rsid w:val="40A0133A"/>
    <w:rsid w:val="40C31A53"/>
    <w:rsid w:val="40FF545D"/>
    <w:rsid w:val="410067C8"/>
    <w:rsid w:val="418F0D2A"/>
    <w:rsid w:val="41D01505"/>
    <w:rsid w:val="41EF4B15"/>
    <w:rsid w:val="42352838"/>
    <w:rsid w:val="42474939"/>
    <w:rsid w:val="424C3C57"/>
    <w:rsid w:val="42613FF3"/>
    <w:rsid w:val="42660D96"/>
    <w:rsid w:val="428667D2"/>
    <w:rsid w:val="42CD1CE0"/>
    <w:rsid w:val="42E1381E"/>
    <w:rsid w:val="42ED6459"/>
    <w:rsid w:val="42FE58DD"/>
    <w:rsid w:val="43170510"/>
    <w:rsid w:val="43174B3D"/>
    <w:rsid w:val="434B790E"/>
    <w:rsid w:val="4360274F"/>
    <w:rsid w:val="43707776"/>
    <w:rsid w:val="43977AB6"/>
    <w:rsid w:val="43A3342B"/>
    <w:rsid w:val="43C77C27"/>
    <w:rsid w:val="43DB1093"/>
    <w:rsid w:val="43DE09EE"/>
    <w:rsid w:val="44002FAD"/>
    <w:rsid w:val="449101DD"/>
    <w:rsid w:val="44CA4FBC"/>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7C288A"/>
    <w:rsid w:val="46893F2B"/>
    <w:rsid w:val="46C4686E"/>
    <w:rsid w:val="475064D9"/>
    <w:rsid w:val="477B778F"/>
    <w:rsid w:val="478203EC"/>
    <w:rsid w:val="47B025FA"/>
    <w:rsid w:val="47E013C4"/>
    <w:rsid w:val="4809698F"/>
    <w:rsid w:val="4811697D"/>
    <w:rsid w:val="487A3E25"/>
    <w:rsid w:val="488B5503"/>
    <w:rsid w:val="48937E21"/>
    <w:rsid w:val="489A0361"/>
    <w:rsid w:val="48B94FF3"/>
    <w:rsid w:val="48E37AAB"/>
    <w:rsid w:val="48FD4B4C"/>
    <w:rsid w:val="490A68E0"/>
    <w:rsid w:val="491055FE"/>
    <w:rsid w:val="49531510"/>
    <w:rsid w:val="495F5B3E"/>
    <w:rsid w:val="496124ED"/>
    <w:rsid w:val="496F77D7"/>
    <w:rsid w:val="497654FD"/>
    <w:rsid w:val="498429AA"/>
    <w:rsid w:val="49B64211"/>
    <w:rsid w:val="49F6167F"/>
    <w:rsid w:val="4A064FA0"/>
    <w:rsid w:val="4A16615C"/>
    <w:rsid w:val="4A1D0657"/>
    <w:rsid w:val="4A23396F"/>
    <w:rsid w:val="4A4424D7"/>
    <w:rsid w:val="4A6B7C50"/>
    <w:rsid w:val="4AB82D0F"/>
    <w:rsid w:val="4AEB7664"/>
    <w:rsid w:val="4AF6258E"/>
    <w:rsid w:val="4AFD7C19"/>
    <w:rsid w:val="4B0567D1"/>
    <w:rsid w:val="4B1B18ED"/>
    <w:rsid w:val="4B236AAE"/>
    <w:rsid w:val="4B707271"/>
    <w:rsid w:val="4B9739F7"/>
    <w:rsid w:val="4BEE2503"/>
    <w:rsid w:val="4C245A30"/>
    <w:rsid w:val="4CB6685F"/>
    <w:rsid w:val="4CC367FE"/>
    <w:rsid w:val="4D077F3C"/>
    <w:rsid w:val="4D123355"/>
    <w:rsid w:val="4D260D93"/>
    <w:rsid w:val="4D2A3B31"/>
    <w:rsid w:val="4D312C52"/>
    <w:rsid w:val="4D461C73"/>
    <w:rsid w:val="4D905305"/>
    <w:rsid w:val="4D964A72"/>
    <w:rsid w:val="4D9C1254"/>
    <w:rsid w:val="4E3E0B1E"/>
    <w:rsid w:val="4E6D66C7"/>
    <w:rsid w:val="4E76105A"/>
    <w:rsid w:val="4E793892"/>
    <w:rsid w:val="4E800872"/>
    <w:rsid w:val="4E8A3839"/>
    <w:rsid w:val="4EBE0CBF"/>
    <w:rsid w:val="4EC569ED"/>
    <w:rsid w:val="4ED50EA1"/>
    <w:rsid w:val="4EEC050C"/>
    <w:rsid w:val="4F104EC3"/>
    <w:rsid w:val="4F47354A"/>
    <w:rsid w:val="4F911C54"/>
    <w:rsid w:val="4FC87F99"/>
    <w:rsid w:val="4FE41CC0"/>
    <w:rsid w:val="4FE625E0"/>
    <w:rsid w:val="501D2551"/>
    <w:rsid w:val="5021480F"/>
    <w:rsid w:val="503724AD"/>
    <w:rsid w:val="50750E8F"/>
    <w:rsid w:val="50962ECB"/>
    <w:rsid w:val="50A42E38"/>
    <w:rsid w:val="50A4577F"/>
    <w:rsid w:val="50B73D1F"/>
    <w:rsid w:val="50BD5BC9"/>
    <w:rsid w:val="50C11EEE"/>
    <w:rsid w:val="50E97CFC"/>
    <w:rsid w:val="50F525C8"/>
    <w:rsid w:val="50FA4028"/>
    <w:rsid w:val="510D65B7"/>
    <w:rsid w:val="511157AB"/>
    <w:rsid w:val="5142540C"/>
    <w:rsid w:val="518832C8"/>
    <w:rsid w:val="51966964"/>
    <w:rsid w:val="51A0432A"/>
    <w:rsid w:val="51A86090"/>
    <w:rsid w:val="51B7396D"/>
    <w:rsid w:val="522E4CC3"/>
    <w:rsid w:val="5244713B"/>
    <w:rsid w:val="52615633"/>
    <w:rsid w:val="52977FD4"/>
    <w:rsid w:val="52A20C63"/>
    <w:rsid w:val="52A25790"/>
    <w:rsid w:val="52A96B6F"/>
    <w:rsid w:val="52B45975"/>
    <w:rsid w:val="52D94AA4"/>
    <w:rsid w:val="52EA3A62"/>
    <w:rsid w:val="52F50BB8"/>
    <w:rsid w:val="53097272"/>
    <w:rsid w:val="53544462"/>
    <w:rsid w:val="5397158E"/>
    <w:rsid w:val="54013861"/>
    <w:rsid w:val="54487265"/>
    <w:rsid w:val="544D6070"/>
    <w:rsid w:val="545B726A"/>
    <w:rsid w:val="54605E1E"/>
    <w:rsid w:val="54B3506A"/>
    <w:rsid w:val="54CA0D16"/>
    <w:rsid w:val="54DD4057"/>
    <w:rsid w:val="54E7490F"/>
    <w:rsid w:val="550764A4"/>
    <w:rsid w:val="550B2BF6"/>
    <w:rsid w:val="55214EB5"/>
    <w:rsid w:val="55364EFD"/>
    <w:rsid w:val="555D4828"/>
    <w:rsid w:val="556E0802"/>
    <w:rsid w:val="557A4C8B"/>
    <w:rsid w:val="558931E1"/>
    <w:rsid w:val="55923347"/>
    <w:rsid w:val="55925180"/>
    <w:rsid w:val="55970E8B"/>
    <w:rsid w:val="55983B1B"/>
    <w:rsid w:val="55A8376B"/>
    <w:rsid w:val="55C2414A"/>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9F73C0"/>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C964CAD"/>
    <w:rsid w:val="5D0C4701"/>
    <w:rsid w:val="5D0F0395"/>
    <w:rsid w:val="5D170F36"/>
    <w:rsid w:val="5D221076"/>
    <w:rsid w:val="5D26732D"/>
    <w:rsid w:val="5D2D5D20"/>
    <w:rsid w:val="5D397964"/>
    <w:rsid w:val="5D5A391C"/>
    <w:rsid w:val="5D5F10C0"/>
    <w:rsid w:val="5D5F17A5"/>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011A2A"/>
    <w:rsid w:val="60232584"/>
    <w:rsid w:val="607330CE"/>
    <w:rsid w:val="607D7B55"/>
    <w:rsid w:val="60825176"/>
    <w:rsid w:val="609F2AC4"/>
    <w:rsid w:val="60FA2EE8"/>
    <w:rsid w:val="610024DD"/>
    <w:rsid w:val="61054A27"/>
    <w:rsid w:val="610A52BC"/>
    <w:rsid w:val="611D2366"/>
    <w:rsid w:val="61421856"/>
    <w:rsid w:val="615227C4"/>
    <w:rsid w:val="61654E3F"/>
    <w:rsid w:val="6182292A"/>
    <w:rsid w:val="619F7F92"/>
    <w:rsid w:val="61B7248C"/>
    <w:rsid w:val="61D45648"/>
    <w:rsid w:val="61F30B1D"/>
    <w:rsid w:val="61F94C26"/>
    <w:rsid w:val="62000E56"/>
    <w:rsid w:val="620152D8"/>
    <w:rsid w:val="622301BA"/>
    <w:rsid w:val="624F3E49"/>
    <w:rsid w:val="62632286"/>
    <w:rsid w:val="62885958"/>
    <w:rsid w:val="629E17B2"/>
    <w:rsid w:val="62F40B65"/>
    <w:rsid w:val="62FC2CFE"/>
    <w:rsid w:val="62FC3643"/>
    <w:rsid w:val="63024505"/>
    <w:rsid w:val="63501431"/>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C56262"/>
    <w:rsid w:val="66195831"/>
    <w:rsid w:val="662E75B1"/>
    <w:rsid w:val="66342C2E"/>
    <w:rsid w:val="663D3CE4"/>
    <w:rsid w:val="663E784C"/>
    <w:rsid w:val="668B6A45"/>
    <w:rsid w:val="672F3F24"/>
    <w:rsid w:val="673632F5"/>
    <w:rsid w:val="673E055F"/>
    <w:rsid w:val="67551CE3"/>
    <w:rsid w:val="67917D9F"/>
    <w:rsid w:val="67A22552"/>
    <w:rsid w:val="67B22DCC"/>
    <w:rsid w:val="67BE71AA"/>
    <w:rsid w:val="67D43295"/>
    <w:rsid w:val="67D90273"/>
    <w:rsid w:val="67DE5875"/>
    <w:rsid w:val="67E55852"/>
    <w:rsid w:val="67EB1AB4"/>
    <w:rsid w:val="67FA1285"/>
    <w:rsid w:val="68345480"/>
    <w:rsid w:val="68551F4F"/>
    <w:rsid w:val="687C10C9"/>
    <w:rsid w:val="68840C16"/>
    <w:rsid w:val="68876EFB"/>
    <w:rsid w:val="68884654"/>
    <w:rsid w:val="689F444F"/>
    <w:rsid w:val="68B96DBB"/>
    <w:rsid w:val="68CA2805"/>
    <w:rsid w:val="68DB3760"/>
    <w:rsid w:val="68E937A3"/>
    <w:rsid w:val="693E15D3"/>
    <w:rsid w:val="69627681"/>
    <w:rsid w:val="6977531D"/>
    <w:rsid w:val="69CC2BFF"/>
    <w:rsid w:val="69FD55B8"/>
    <w:rsid w:val="6A0905B5"/>
    <w:rsid w:val="6A0B1C62"/>
    <w:rsid w:val="6A22716C"/>
    <w:rsid w:val="6A2406C8"/>
    <w:rsid w:val="6ACE29D5"/>
    <w:rsid w:val="6ADE0BD1"/>
    <w:rsid w:val="6AE96859"/>
    <w:rsid w:val="6AEA1A38"/>
    <w:rsid w:val="6B147746"/>
    <w:rsid w:val="6B1B42E7"/>
    <w:rsid w:val="6B24787C"/>
    <w:rsid w:val="6B573233"/>
    <w:rsid w:val="6B5B6274"/>
    <w:rsid w:val="6B935D53"/>
    <w:rsid w:val="6C074500"/>
    <w:rsid w:val="6C196F71"/>
    <w:rsid w:val="6C1A63E9"/>
    <w:rsid w:val="6C226FCB"/>
    <w:rsid w:val="6C31226F"/>
    <w:rsid w:val="6C552F0B"/>
    <w:rsid w:val="6C8C67B7"/>
    <w:rsid w:val="6C9D744C"/>
    <w:rsid w:val="6D167928"/>
    <w:rsid w:val="6D26299B"/>
    <w:rsid w:val="6D4772EC"/>
    <w:rsid w:val="6D601F43"/>
    <w:rsid w:val="6D9078AF"/>
    <w:rsid w:val="6D9F5F45"/>
    <w:rsid w:val="6DAA3FEF"/>
    <w:rsid w:val="6DC0172B"/>
    <w:rsid w:val="6DCB690C"/>
    <w:rsid w:val="6DD41A5B"/>
    <w:rsid w:val="6DF43C2E"/>
    <w:rsid w:val="6DF51CA3"/>
    <w:rsid w:val="6E4E08F3"/>
    <w:rsid w:val="6E8335BD"/>
    <w:rsid w:val="6E8E12EF"/>
    <w:rsid w:val="6E972936"/>
    <w:rsid w:val="6EB91122"/>
    <w:rsid w:val="6ED446C5"/>
    <w:rsid w:val="6F2153A0"/>
    <w:rsid w:val="6F2A7D94"/>
    <w:rsid w:val="6F354CD2"/>
    <w:rsid w:val="6F8331F1"/>
    <w:rsid w:val="6FAE1A09"/>
    <w:rsid w:val="6FD75BF8"/>
    <w:rsid w:val="707723D0"/>
    <w:rsid w:val="708741CD"/>
    <w:rsid w:val="7099559A"/>
    <w:rsid w:val="70AB4566"/>
    <w:rsid w:val="70AE66B7"/>
    <w:rsid w:val="70F5661B"/>
    <w:rsid w:val="71260E18"/>
    <w:rsid w:val="71360107"/>
    <w:rsid w:val="713B688E"/>
    <w:rsid w:val="71687B5B"/>
    <w:rsid w:val="71A36DE5"/>
    <w:rsid w:val="71D43752"/>
    <w:rsid w:val="71E272BF"/>
    <w:rsid w:val="71F1796A"/>
    <w:rsid w:val="72154626"/>
    <w:rsid w:val="72262B5D"/>
    <w:rsid w:val="72283FF7"/>
    <w:rsid w:val="722E7212"/>
    <w:rsid w:val="723A0474"/>
    <w:rsid w:val="725923E4"/>
    <w:rsid w:val="72864BF7"/>
    <w:rsid w:val="729023FC"/>
    <w:rsid w:val="72A116D3"/>
    <w:rsid w:val="734A077D"/>
    <w:rsid w:val="73C0646E"/>
    <w:rsid w:val="73CA48B0"/>
    <w:rsid w:val="742222F5"/>
    <w:rsid w:val="74476126"/>
    <w:rsid w:val="74706664"/>
    <w:rsid w:val="747F3682"/>
    <w:rsid w:val="749C4185"/>
    <w:rsid w:val="75067759"/>
    <w:rsid w:val="752D31A7"/>
    <w:rsid w:val="752E6DCD"/>
    <w:rsid w:val="7551380D"/>
    <w:rsid w:val="75600BE5"/>
    <w:rsid w:val="7564475C"/>
    <w:rsid w:val="7583797F"/>
    <w:rsid w:val="75C849BF"/>
    <w:rsid w:val="75D20F1D"/>
    <w:rsid w:val="75DA2C18"/>
    <w:rsid w:val="75F54412"/>
    <w:rsid w:val="761D08E0"/>
    <w:rsid w:val="765D347C"/>
    <w:rsid w:val="76826699"/>
    <w:rsid w:val="76B13D52"/>
    <w:rsid w:val="76C87133"/>
    <w:rsid w:val="76CD08D5"/>
    <w:rsid w:val="76DB4B92"/>
    <w:rsid w:val="77052AA4"/>
    <w:rsid w:val="77136511"/>
    <w:rsid w:val="77340A39"/>
    <w:rsid w:val="77351FD0"/>
    <w:rsid w:val="77380D5E"/>
    <w:rsid w:val="77472422"/>
    <w:rsid w:val="774A3380"/>
    <w:rsid w:val="777F31F2"/>
    <w:rsid w:val="77D1700D"/>
    <w:rsid w:val="77D830C0"/>
    <w:rsid w:val="77EC04CC"/>
    <w:rsid w:val="77ED1FE6"/>
    <w:rsid w:val="78727511"/>
    <w:rsid w:val="78775729"/>
    <w:rsid w:val="78A42DB0"/>
    <w:rsid w:val="78A656AB"/>
    <w:rsid w:val="78B2245C"/>
    <w:rsid w:val="78E172CC"/>
    <w:rsid w:val="78EA1D1F"/>
    <w:rsid w:val="7904172F"/>
    <w:rsid w:val="790F7E27"/>
    <w:rsid w:val="792A231A"/>
    <w:rsid w:val="79316829"/>
    <w:rsid w:val="797E66A9"/>
    <w:rsid w:val="79960FDD"/>
    <w:rsid w:val="79A97383"/>
    <w:rsid w:val="79E27E8B"/>
    <w:rsid w:val="79E85CDC"/>
    <w:rsid w:val="79F850CE"/>
    <w:rsid w:val="79FD443C"/>
    <w:rsid w:val="7A1D1975"/>
    <w:rsid w:val="7A342CD0"/>
    <w:rsid w:val="7A3E5150"/>
    <w:rsid w:val="7A4670D6"/>
    <w:rsid w:val="7A534B63"/>
    <w:rsid w:val="7A54529A"/>
    <w:rsid w:val="7A615382"/>
    <w:rsid w:val="7A67303B"/>
    <w:rsid w:val="7AAB1D04"/>
    <w:rsid w:val="7ABA4368"/>
    <w:rsid w:val="7AD05746"/>
    <w:rsid w:val="7B257FFD"/>
    <w:rsid w:val="7B343476"/>
    <w:rsid w:val="7B3F5F83"/>
    <w:rsid w:val="7B5A2978"/>
    <w:rsid w:val="7B5A7E4C"/>
    <w:rsid w:val="7B667AF9"/>
    <w:rsid w:val="7B7468F8"/>
    <w:rsid w:val="7B986BE5"/>
    <w:rsid w:val="7BAD6ADF"/>
    <w:rsid w:val="7BEE0103"/>
    <w:rsid w:val="7C0A0FE4"/>
    <w:rsid w:val="7C254906"/>
    <w:rsid w:val="7C590818"/>
    <w:rsid w:val="7C7A122F"/>
    <w:rsid w:val="7C7C10F6"/>
    <w:rsid w:val="7C853BEA"/>
    <w:rsid w:val="7C881368"/>
    <w:rsid w:val="7CAD556F"/>
    <w:rsid w:val="7CBA4FE2"/>
    <w:rsid w:val="7CBC4742"/>
    <w:rsid w:val="7CE27788"/>
    <w:rsid w:val="7D0C32F1"/>
    <w:rsid w:val="7D0F408D"/>
    <w:rsid w:val="7D491C6C"/>
    <w:rsid w:val="7D5429C0"/>
    <w:rsid w:val="7D6E6D43"/>
    <w:rsid w:val="7DB57A34"/>
    <w:rsid w:val="7DE60973"/>
    <w:rsid w:val="7DEF0916"/>
    <w:rsid w:val="7E1E5218"/>
    <w:rsid w:val="7E7D1A26"/>
    <w:rsid w:val="7E9A4E1F"/>
    <w:rsid w:val="7EA7723A"/>
    <w:rsid w:val="7EF56FBB"/>
    <w:rsid w:val="7EF944E8"/>
    <w:rsid w:val="7F0768EB"/>
    <w:rsid w:val="7F143BEC"/>
    <w:rsid w:val="7F715AF2"/>
    <w:rsid w:val="7F886E69"/>
    <w:rsid w:val="7FE676AC"/>
    <w:rsid w:val="7FEC5DFB"/>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3"/>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7">
    <w:name w:val="Normal Indent"/>
    <w:basedOn w:val="1"/>
    <w:next w:val="8"/>
    <w:link w:val="720"/>
    <w:qFormat/>
    <w:uiPriority w:val="0"/>
    <w:pPr>
      <w:widowControl/>
      <w:snapToGrid w:val="0"/>
      <w:spacing w:line="480" w:lineRule="exact"/>
      <w:ind w:firstLine="567"/>
    </w:pPr>
    <w:rPr>
      <w:rFonts w:ascii="宋体"/>
      <w:snapToGrid w:val="0"/>
      <w:color w:val="000000"/>
      <w:kern w:val="28"/>
      <w:sz w:val="28"/>
      <w:szCs w:val="20"/>
    </w:rPr>
  </w:style>
  <w:style w:type="paragraph" w:styleId="8">
    <w:name w:val="Body Text Indent"/>
    <w:basedOn w:val="1"/>
    <w:next w:val="9"/>
    <w:link w:val="783"/>
    <w:qFormat/>
    <w:uiPriority w:val="0"/>
    <w:pPr>
      <w:spacing w:line="480" w:lineRule="exact"/>
      <w:ind w:firstLine="480" w:firstLineChars="200"/>
    </w:pPr>
    <w:rPr>
      <w:rFonts w:ascii="宋体" w:hAnsi="宋体"/>
      <w:sz w:val="24"/>
    </w:rPr>
  </w:style>
  <w:style w:type="paragraph" w:customStyle="1" w:styleId="9">
    <w:name w:val="正文文本首行缩进 2"/>
    <w:basedOn w:val="8"/>
    <w:qFormat/>
    <w:uiPriority w:val="99"/>
    <w:pPr>
      <w:spacing w:line="200" w:lineRule="atLeast"/>
      <w:ind w:firstLine="420"/>
    </w:pPr>
    <w:rPr>
      <w:rFonts w:hAnsi="Courier New"/>
      <w:spacing w:val="-4"/>
      <w:sz w:val="18"/>
    </w:r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caption"/>
    <w:basedOn w:val="1"/>
    <w:next w:val="1"/>
    <w:link w:val="752"/>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7"/>
    <w:qFormat/>
    <w:uiPriority w:val="0"/>
    <w:pPr>
      <w:shd w:val="clear" w:color="auto" w:fill="000080"/>
    </w:pPr>
  </w:style>
  <w:style w:type="paragraph" w:styleId="23">
    <w:name w:val="annotation text"/>
    <w:basedOn w:val="1"/>
    <w:link w:val="855"/>
    <w:qFormat/>
    <w:uiPriority w:val="99"/>
    <w:pPr>
      <w:jc w:val="left"/>
    </w:pPr>
  </w:style>
  <w:style w:type="paragraph" w:styleId="24">
    <w:name w:val="Salutation"/>
    <w:basedOn w:val="1"/>
    <w:next w:val="1"/>
    <w:link w:val="815"/>
    <w:qFormat/>
    <w:uiPriority w:val="0"/>
    <w:rPr>
      <w:rFonts w:ascii="仿宋_GB2312" w:eastAsia="仿宋_GB2312"/>
      <w:sz w:val="28"/>
      <w:szCs w:val="20"/>
    </w:rPr>
  </w:style>
  <w:style w:type="paragraph" w:styleId="25">
    <w:name w:val="Body Text 3"/>
    <w:basedOn w:val="1"/>
    <w:link w:val="843"/>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Body Text"/>
    <w:basedOn w:val="1"/>
    <w:next w:val="28"/>
    <w:link w:val="932"/>
    <w:qFormat/>
    <w:uiPriority w:val="0"/>
    <w:pPr>
      <w:autoSpaceDE w:val="0"/>
      <w:autoSpaceDN w:val="0"/>
      <w:spacing w:line="360" w:lineRule="auto"/>
    </w:pPr>
    <w:rPr>
      <w:rFonts w:ascii="宋体" w:hAnsi="Arial" w:cs="Arial"/>
      <w:snapToGrid w:val="0"/>
      <w:sz w:val="24"/>
      <w:szCs w:val="21"/>
      <w:lang w:val="zh-CN"/>
    </w:rPr>
  </w:style>
  <w:style w:type="paragraph" w:styleId="28">
    <w:name w:val="Body Text First Indent"/>
    <w:basedOn w:val="27"/>
    <w:next w:val="1"/>
    <w:link w:val="834"/>
    <w:qFormat/>
    <w:uiPriority w:val="0"/>
    <w:pPr>
      <w:ind w:firstLine="420"/>
    </w:pPr>
    <w:rPr>
      <w:rFonts w:hAnsi="Calibri" w:cs="Times New Roman"/>
      <w:szCs w:val="20"/>
    </w:rPr>
  </w:style>
  <w:style w:type="paragraph" w:styleId="29">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Plain Text"/>
    <w:basedOn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envelope return"/>
    <w:basedOn w:val="1"/>
    <w:qFormat/>
    <w:uiPriority w:val="99"/>
    <w:pPr>
      <w:snapToGrid w:val="0"/>
    </w:pPr>
    <w:rPr>
      <w:rFonts w:ascii="Arial" w:hAnsi="Arial" w:cs="Arial"/>
    </w:rPr>
  </w:style>
  <w:style w:type="paragraph" w:styleId="44">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7"/>
    <w:link w:val="825"/>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4"/>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19"/>
    <w:qFormat/>
    <w:uiPriority w:val="0"/>
    <w:pPr>
      <w:spacing w:after="120" w:line="480" w:lineRule="auto"/>
    </w:pPr>
  </w:style>
  <w:style w:type="paragraph" w:styleId="60">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3"/>
    <w:next w:val="23"/>
    <w:link w:val="632"/>
    <w:qFormat/>
    <w:uiPriority w:val="0"/>
    <w:rPr>
      <w:b/>
      <w:bCs/>
    </w:rPr>
  </w:style>
  <w:style w:type="paragraph" w:styleId="64">
    <w:name w:val="Body Text First Indent 2"/>
    <w:basedOn w:val="8"/>
    <w:next w:val="65"/>
    <w:link w:val="655"/>
    <w:qFormat/>
    <w:uiPriority w:val="0"/>
    <w:pPr>
      <w:adjustRightInd/>
      <w:spacing w:after="120" w:line="240" w:lineRule="auto"/>
      <w:ind w:left="420" w:leftChars="200" w:firstLine="210"/>
    </w:pPr>
    <w:rPr>
      <w:sz w:val="21"/>
    </w:rPr>
  </w:style>
  <w:style w:type="paragraph" w:customStyle="1" w:styleId="65">
    <w:name w:val="xl53"/>
    <w:basedOn w:val="1"/>
    <w:next w:val="1"/>
    <w:qFormat/>
    <w:uiPriority w:val="0"/>
    <w:pPr>
      <w:spacing w:before="280" w:after="280" w:line="100" w:lineRule="exact"/>
      <w:jc w:val="center"/>
    </w:pPr>
    <w:rPr>
      <w:b/>
      <w:sz w:val="20"/>
    </w:rPr>
  </w:style>
  <w:style w:type="table" w:styleId="67">
    <w:name w:val="Table Grid"/>
    <w:basedOn w:val="6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character" w:styleId="83">
    <w:name w:val="HTML Sample"/>
    <w:basedOn w:val="73"/>
    <w:qFormat/>
    <w:uiPriority w:val="0"/>
    <w:rPr>
      <w:rFonts w:ascii="Courier New" w:hAnsi="Courier New"/>
    </w:rPr>
  </w:style>
  <w:style w:type="paragraph" w:customStyle="1" w:styleId="84">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4"/>
    <w:qFormat/>
    <w:uiPriority w:val="0"/>
    <w:pPr>
      <w:spacing w:before="156" w:line="360" w:lineRule="auto"/>
      <w:ind w:firstLine="510" w:firstLineChars="200"/>
    </w:pPr>
    <w:rPr>
      <w:sz w:val="24"/>
      <w:szCs w:val="20"/>
    </w:rPr>
  </w:style>
  <w:style w:type="paragraph" w:customStyle="1" w:styleId="90">
    <w:name w:val="无间隔1"/>
    <w:link w:val="672"/>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0"/>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5"/>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5"/>
    <w:qFormat/>
    <w:uiPriority w:val="0"/>
    <w:pPr>
      <w:ind w:left="0" w:right="466" w:firstLine="288"/>
    </w:pPr>
    <w:rPr>
      <w:rFonts w:hAnsi="宋体"/>
    </w:rPr>
  </w:style>
  <w:style w:type="paragraph" w:customStyle="1" w:styleId="97">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10"/>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7"/>
    <w:qFormat/>
    <w:uiPriority w:val="0"/>
    <w:pPr>
      <w:adjustRightInd/>
      <w:spacing w:line="360" w:lineRule="auto"/>
      <w:ind w:firstLine="480" w:firstLineChars="200"/>
    </w:pPr>
    <w:rPr>
      <w:kern w:val="0"/>
      <w:sz w:val="24"/>
    </w:rPr>
  </w:style>
  <w:style w:type="paragraph" w:customStyle="1" w:styleId="102">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列出段落1"/>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8"/>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0"/>
    <w:qFormat/>
    <w:uiPriority w:val="0"/>
    <w:pPr>
      <w:tabs>
        <w:tab w:val="left" w:pos="2356"/>
      </w:tabs>
    </w:pPr>
  </w:style>
  <w:style w:type="paragraph" w:customStyle="1" w:styleId="107">
    <w:name w:val="样式 标题 4h4H4Fab-4T5Ref Heading 1rh1Heading sqlsect 1.2.3...."/>
    <w:basedOn w:val="10"/>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3"/>
    <w:qFormat/>
    <w:uiPriority w:val="0"/>
    <w:pPr>
      <w:adjustRightInd/>
    </w:pPr>
    <w:rPr>
      <w:rFonts w:ascii="宋体" w:hAnsi="Courier New"/>
      <w:kern w:val="0"/>
      <w:sz w:val="20"/>
      <w:szCs w:val="20"/>
    </w:rPr>
  </w:style>
  <w:style w:type="paragraph" w:customStyle="1" w:styleId="110">
    <w:name w:val="正文说明"/>
    <w:basedOn w:val="1"/>
    <w:link w:val="845"/>
    <w:qFormat/>
    <w:uiPriority w:val="0"/>
    <w:pPr>
      <w:adjustRightInd/>
      <w:spacing w:line="360" w:lineRule="auto"/>
    </w:pPr>
    <w:rPr>
      <w:kern w:val="0"/>
      <w:sz w:val="24"/>
    </w:rPr>
  </w:style>
  <w:style w:type="paragraph" w:customStyle="1" w:styleId="111">
    <w:name w:val="Table Text"/>
    <w:basedOn w:val="1"/>
    <w:link w:val="851"/>
    <w:qFormat/>
    <w:uiPriority w:val="0"/>
    <w:pPr>
      <w:widowControl/>
      <w:spacing w:before="60" w:after="60"/>
      <w:jc w:val="left"/>
    </w:pPr>
    <w:rPr>
      <w:kern w:val="0"/>
      <w:sz w:val="24"/>
    </w:rPr>
  </w:style>
  <w:style w:type="paragraph" w:customStyle="1" w:styleId="112">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3"/>
    <w:qFormat/>
    <w:uiPriority w:val="0"/>
    <w:pPr>
      <w:widowControl/>
      <w:snapToGrid w:val="0"/>
      <w:spacing w:afterLines="50"/>
      <w:ind w:firstLine="200" w:firstLineChars="200"/>
    </w:pPr>
    <w:rPr>
      <w:kern w:val="0"/>
      <w:sz w:val="24"/>
      <w:szCs w:val="20"/>
    </w:rPr>
  </w:style>
  <w:style w:type="paragraph" w:customStyle="1" w:styleId="117">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7"/>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10"/>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5"/>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outlineLvl w:val="5"/>
    </w:pPr>
  </w:style>
  <w:style w:type="paragraph" w:customStyle="1" w:styleId="161">
    <w:name w:val="5级标题"/>
    <w:basedOn w:val="162"/>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12"/>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无间隔2"/>
    <w:basedOn w:val="1"/>
    <w:link w:val="941"/>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6"/>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11"/>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6"/>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8"/>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10"/>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Lines="50"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8"/>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9"/>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4"/>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10"/>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2"/>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Lines="0" w:afterLines="0"/>
      <w:ind w:left="1680"/>
      <w:outlineLvl w:val="2"/>
    </w:pPr>
  </w:style>
  <w:style w:type="paragraph" w:customStyle="1" w:styleId="345">
    <w:name w:val="章标题"/>
    <w:next w:val="32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10"/>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Lines="50"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7"/>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9"/>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6"/>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7"/>
    <w:qFormat/>
    <w:uiPriority w:val="0"/>
    <w:pPr>
      <w:snapToGrid w:val="0"/>
      <w:ind w:firstLine="480" w:firstLineChars="200"/>
    </w:pPr>
    <w:rPr>
      <w:rFonts w:ascii="Times New Roman"/>
      <w:szCs w:val="24"/>
      <w:lang w:val="en-US"/>
    </w:rPr>
  </w:style>
  <w:style w:type="paragraph" w:customStyle="1" w:styleId="45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2"/>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6"/>
    <w:next w:val="56"/>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7"/>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qFormat/>
    <w:uiPriority w:val="0"/>
    <w:pPr>
      <w:tabs>
        <w:tab w:val="left" w:pos="294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1"/>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7"/>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10"/>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8"/>
    <w:qFormat/>
    <w:uiPriority w:val="0"/>
    <w:pPr>
      <w:adjustRightInd/>
      <w:spacing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22"/>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9"/>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5"/>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27"/>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11"/>
    <w:next w:val="1"/>
    <w:qFormat/>
    <w:uiPriority w:val="0"/>
    <w:pPr>
      <w:tabs>
        <w:tab w:val="left" w:pos="1080"/>
        <w:tab w:val="clear" w:pos="1008"/>
      </w:tabs>
      <w:ind w:left="1080" w:hanging="1080"/>
    </w:pPr>
  </w:style>
  <w:style w:type="paragraph" w:customStyle="1" w:styleId="583">
    <w:name w:val="数字标题1"/>
    <w:basedOn w:val="4"/>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0"/>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9"/>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9">
    <w:name w:val="_Style 947"/>
    <w:basedOn w:val="1"/>
    <w:next w:val="104"/>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1">
    <w:name w:val="表格非标题文字 Char"/>
    <w:link w:val="84"/>
    <w:qFormat/>
    <w:uiPriority w:val="0"/>
    <w:rPr>
      <w:rFonts w:ascii="Futura Bk" w:hAnsi="Futura Bk"/>
      <w:kern w:val="2"/>
      <w:sz w:val="18"/>
      <w:szCs w:val="21"/>
      <w:lang w:val="en-US" w:eastAsia="zh-CN" w:bidi="ar-SA"/>
    </w:rPr>
  </w:style>
  <w:style w:type="character" w:customStyle="1" w:styleId="622">
    <w:name w:val="*正文 Char"/>
    <w:link w:val="85"/>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6"/>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3"/>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7"/>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8"/>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4"/>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3"/>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9"/>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50"/>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0"/>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12"/>
    <w:qFormat/>
    <w:uiPriority w:val="0"/>
    <w:rPr>
      <w:rFonts w:ascii="Arial" w:hAnsi="Arial" w:eastAsia="黑体"/>
      <w:b/>
      <w:bCs/>
      <w:kern w:val="2"/>
      <w:sz w:val="24"/>
      <w:szCs w:val="24"/>
    </w:rPr>
  </w:style>
  <w:style w:type="character" w:customStyle="1" w:styleId="680">
    <w:name w:val="纯文本 Char_0"/>
    <w:link w:val="91"/>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3"/>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4"/>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5"/>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5"/>
    <w:qFormat/>
    <w:locked/>
    <w:uiPriority w:val="0"/>
    <w:rPr>
      <w:rFonts w:ascii="Tahoma" w:hAnsi="Tahoma"/>
      <w:sz w:val="24"/>
      <w:szCs w:val="24"/>
    </w:rPr>
  </w:style>
  <w:style w:type="character" w:customStyle="1" w:styleId="720">
    <w:name w:val="正文缩进 Char2"/>
    <w:link w:val="7"/>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6"/>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22"/>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3"/>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3"/>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8"/>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9"/>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20"/>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100"/>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1"/>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2"/>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3"/>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8"/>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5"/>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4"/>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2"/>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11"/>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4"/>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60"/>
    <w:qFormat/>
    <w:uiPriority w:val="0"/>
    <w:rPr>
      <w:rFonts w:ascii="黑体" w:hAnsi="Courier New" w:eastAsia="黑体"/>
    </w:rPr>
  </w:style>
  <w:style w:type="character" w:customStyle="1" w:styleId="819">
    <w:name w:val="正文文本 2 Char1"/>
    <w:link w:val="59"/>
    <w:qFormat/>
    <w:uiPriority w:val="0"/>
    <w:rPr>
      <w:kern w:val="2"/>
      <w:sz w:val="21"/>
      <w:szCs w:val="24"/>
    </w:rPr>
  </w:style>
  <w:style w:type="character" w:customStyle="1" w:styleId="820">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3"/>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3"/>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8"/>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9"/>
    <w:qFormat/>
    <w:uiPriority w:val="0"/>
    <w:rPr>
      <w:rFonts w:ascii="宋体" w:hAnsi="Courier New"/>
    </w:rPr>
  </w:style>
  <w:style w:type="character" w:customStyle="1" w:styleId="834">
    <w:name w:val="正文首行缩进 Char"/>
    <w:link w:val="28"/>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10"/>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5"/>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10"/>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1"/>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3"/>
    <w:qFormat/>
    <w:uiPriority w:val="0"/>
    <w:rPr>
      <w:kern w:val="2"/>
      <w:sz w:val="21"/>
      <w:szCs w:val="24"/>
    </w:rPr>
  </w:style>
  <w:style w:type="character" w:customStyle="1" w:styleId="856">
    <w:name w:val="签名 Char"/>
    <w:link w:val="45"/>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2"/>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3"/>
    <w:qFormat/>
    <w:uiPriority w:val="0"/>
    <w:rPr>
      <w:rFonts w:ascii="宋体"/>
    </w:rPr>
  </w:style>
  <w:style w:type="character" w:customStyle="1" w:styleId="867">
    <w:name w:val="标题 8 Char"/>
    <w:link w:val="14"/>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6"/>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4"/>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5"/>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4"/>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6"/>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7"/>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8"/>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9"/>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3"/>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0"/>
    <w:qFormat/>
    <w:uiPriority w:val="0"/>
    <w:rPr>
      <w:rFonts w:cs="宋体"/>
      <w:kern w:val="2"/>
      <w:sz w:val="24"/>
    </w:rPr>
  </w:style>
  <w:style w:type="character" w:customStyle="1" w:styleId="932">
    <w:name w:val="正文文本 Char1"/>
    <w:link w:val="27"/>
    <w:qFormat/>
    <w:uiPriority w:val="0"/>
    <w:rPr>
      <w:rFonts w:ascii="宋体" w:hAnsi="Arial" w:eastAsia="宋体" w:cs="Arial"/>
      <w:snapToGrid w:val="0"/>
      <w:kern w:val="2"/>
      <w:sz w:val="24"/>
      <w:szCs w:val="21"/>
      <w:lang w:val="zh-CN" w:eastAsia="zh-CN" w:bidi="ar-SA"/>
    </w:rPr>
  </w:style>
  <w:style w:type="character" w:customStyle="1" w:styleId="933">
    <w:name w:val="gray6"/>
    <w:basedOn w:val="73"/>
    <w:qFormat/>
    <w:uiPriority w:val="0"/>
    <w:rPr>
      <w:rFonts w:ascii="Arial" w:hAnsi="Arial" w:eastAsia="黑体" w:cs="Arial"/>
      <w:snapToGrid w:val="0"/>
      <w:kern w:val="0"/>
      <w:szCs w:val="21"/>
    </w:rPr>
  </w:style>
  <w:style w:type="character" w:customStyle="1" w:styleId="934">
    <w:name w:val="hui"/>
    <w:basedOn w:val="73"/>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70"/>
    <w:qFormat/>
    <w:uiPriority w:val="99"/>
    <w:rPr>
      <w:kern w:val="2"/>
      <w:sz w:val="21"/>
      <w:szCs w:val="22"/>
    </w:rPr>
  </w:style>
  <w:style w:type="character" w:customStyle="1" w:styleId="942">
    <w:name w:val="标准文本 Char Char"/>
    <w:link w:val="608"/>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3"/>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table" w:customStyle="1" w:styleId="959">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Normal"/>
    <w:qFormat/>
    <w:uiPriority w:val="0"/>
    <w:tblPr>
      <w:tblCellMar>
        <w:top w:w="0" w:type="dxa"/>
        <w:left w:w="0" w:type="dxa"/>
        <w:bottom w:w="0" w:type="dxa"/>
        <w:right w:w="0" w:type="dxa"/>
      </w:tblCellMar>
    </w:tblPr>
  </w:style>
  <w:style w:type="paragraph" w:customStyle="1" w:styleId="966">
    <w:name w:val="正文文本首行缩进 21"/>
    <w:basedOn w:val="8"/>
    <w:qFormat/>
    <w:uiPriority w:val="99"/>
    <w:pPr>
      <w:spacing w:line="200" w:lineRule="atLeast"/>
      <w:ind w:firstLine="420"/>
    </w:pPr>
    <w:rPr>
      <w:rFonts w:hAnsi="Courier New"/>
      <w:spacing w:val="-4"/>
      <w:sz w:val="18"/>
    </w:rPr>
  </w:style>
  <w:style w:type="paragraph" w:customStyle="1" w:styleId="967">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968">
    <w:name w:val="[Normal]"/>
    <w:qFormat/>
    <w:uiPriority w:val="0"/>
    <w:rPr>
      <w:rFonts w:ascii="宋体" w:hAnsi="宋体" w:eastAsia="宋体" w:cs="Times New Roman"/>
      <w:sz w:val="24"/>
      <w:szCs w:val="22"/>
      <w:lang w:val="zh-CN" w:eastAsia="zh-CN" w:bidi="ar-SA"/>
    </w:rPr>
  </w:style>
  <w:style w:type="character" w:customStyle="1" w:styleId="969">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70">
    <w:name w:val="BodyTextIndent"/>
    <w:basedOn w:val="1"/>
    <w:next w:val="971"/>
    <w:qFormat/>
    <w:uiPriority w:val="0"/>
    <w:pPr>
      <w:spacing w:line="480" w:lineRule="atLeast"/>
      <w:ind w:firstLine="570"/>
      <w:textAlignment w:val="baseline"/>
    </w:pPr>
    <w:rPr>
      <w:rFonts w:ascii="??" w:hAnsi="??" w:eastAsia="??"/>
      <w:sz w:val="28"/>
      <w:szCs w:val="28"/>
    </w:rPr>
  </w:style>
  <w:style w:type="paragraph" w:customStyle="1" w:styleId="971">
    <w:name w:val="UserStyle_460"/>
    <w:basedOn w:val="970"/>
    <w:qFormat/>
    <w:uiPriority w:val="0"/>
    <w:pPr>
      <w:spacing w:line="240" w:lineRule="atLeast"/>
      <w:ind w:firstLine="420"/>
    </w:pPr>
    <w:rPr>
      <w:rFonts w:ascii="宋体" w:hAnsi="Courier New"/>
      <w:spacing w:val="-4"/>
      <w:sz w:val="18"/>
    </w:rPr>
  </w:style>
  <w:style w:type="paragraph" w:customStyle="1" w:styleId="972">
    <w:name w:val="BodyText"/>
    <w:basedOn w:val="1"/>
    <w:qFormat/>
    <w:uiPriority w:val="0"/>
    <w:pPr>
      <w:textAlignment w:val="baseline"/>
    </w:pPr>
    <w:rPr>
      <w:rFonts w:ascii="等线" w:hAnsi="等线" w:eastAsia="??"/>
      <w:sz w:val="24"/>
      <w:szCs w:val="28"/>
    </w:rPr>
  </w:style>
  <w:style w:type="paragraph" w:customStyle="1" w:styleId="973">
    <w:name w:val="UserStyle_16"/>
    <w:basedOn w:val="1"/>
    <w:qFormat/>
    <w:uiPriority w:val="0"/>
    <w:pPr>
      <w:widowControl/>
      <w:spacing w:before="156" w:line="360" w:lineRule="auto"/>
      <w:ind w:firstLine="510" w:firstLineChars="200"/>
    </w:pPr>
    <w:rPr>
      <w:rFonts w:ascii="Calibri" w:hAnsi="Calibri"/>
      <w:kern w:val="0"/>
      <w:sz w:val="24"/>
      <w:szCs w:val="20"/>
    </w:rPr>
  </w:style>
  <w:style w:type="paragraph" w:styleId="974">
    <w:name w:val="List Paragraph"/>
    <w:basedOn w:val="1"/>
    <w:unhideWhenUsed/>
    <w:qFormat/>
    <w:uiPriority w:val="99"/>
    <w:pPr>
      <w:ind w:firstLine="420" w:firstLineChars="200"/>
    </w:pPr>
  </w:style>
  <w:style w:type="paragraph" w:customStyle="1" w:styleId="975">
    <w:name w:val="2"/>
    <w:basedOn w:val="1"/>
    <w:next w:val="1"/>
    <w:qFormat/>
    <w:uiPriority w:val="0"/>
    <w:pPr>
      <w:adjustRightInd/>
    </w:pPr>
    <w:rPr>
      <w:rFonts w:ascii="Calibri" w:hAnsi="Calibri" w:eastAsia="仿宋_GB2312"/>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86</Pages>
  <Words>42518</Words>
  <Characters>44608</Characters>
  <Lines>51</Lines>
  <Paragraphs>97</Paragraphs>
  <TotalTime>10</TotalTime>
  <ScaleCrop>false</ScaleCrop>
  <LinksUpToDate>false</LinksUpToDate>
  <CharactersWithSpaces>46373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Mr.Z</cp:lastModifiedBy>
  <cp:lastPrinted>2022-08-19T05:40:00Z</cp:lastPrinted>
  <dcterms:modified xsi:type="dcterms:W3CDTF">2022-09-08T03:30:09Z</dcterms:modified>
  <dc:title>杭州市市民卡扩大发卡工程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0CEBA4B2770A41F682CC7C509F913628</vt:lpwstr>
  </property>
  <property fmtid="{D5CDD505-2E9C-101B-9397-08002B2CF9AE}" pid="5" name="commondata">
    <vt:lpwstr>eyJoZGlkIjoiMmE3NTc1MTljMDA0ZWI0ZjljNTEwZjI5MzUwYjAxOTgifQ==</vt:lpwstr>
  </property>
</Properties>
</file>