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val="0"/>
          <w:sz w:val="52"/>
          <w:szCs w:val="52"/>
          <w:highlight w:val="none"/>
        </w:rPr>
      </w:pPr>
    </w:p>
    <w:p>
      <w:pPr>
        <w:adjustRightInd/>
        <w:spacing w:line="360" w:lineRule="auto"/>
        <w:jc w:val="center"/>
        <w:rPr>
          <w:rFonts w:hint="eastAsia" w:ascii="宋体" w:hAnsi="宋体" w:eastAsia="宋体" w:cs="宋体"/>
          <w:b/>
          <w:bCs w:val="0"/>
          <w:sz w:val="44"/>
          <w:szCs w:val="44"/>
          <w:highlight w:val="none"/>
          <w:lang w:eastAsia="zh-CN"/>
        </w:rPr>
      </w:pPr>
      <w:r>
        <w:rPr>
          <w:rFonts w:hint="eastAsia" w:ascii="宋体" w:hAnsi="宋体" w:cs="宋体"/>
          <w:b/>
          <w:bCs w:val="0"/>
          <w:sz w:val="44"/>
          <w:szCs w:val="44"/>
          <w:highlight w:val="none"/>
          <w:lang w:eastAsia="zh-CN"/>
        </w:rPr>
        <w:t>乔司街道迎宾路（01省道）保洁项目</w:t>
      </w:r>
    </w:p>
    <w:p>
      <w:pPr>
        <w:adjustRightInd/>
        <w:spacing w:line="360" w:lineRule="auto"/>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招标文件</w:t>
      </w:r>
    </w:p>
    <w:p>
      <w:pPr>
        <w:adjustRightInd/>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 xml:space="preserve"> （电子招投标）</w:t>
      </w:r>
    </w:p>
    <w:p>
      <w:pPr>
        <w:widowControl/>
        <w:spacing w:line="360" w:lineRule="auto"/>
        <w:ind w:right="-2"/>
        <w:jc w:val="center"/>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rPr>
        <w:t>招标编号：</w:t>
      </w:r>
      <w:r>
        <w:rPr>
          <w:rFonts w:hint="eastAsia" w:ascii="宋体" w:hAnsi="宋体" w:cs="宋体"/>
          <w:b/>
          <w:bCs/>
          <w:sz w:val="36"/>
          <w:szCs w:val="36"/>
          <w:highlight w:val="none"/>
          <w:lang w:eastAsia="zh-CN"/>
        </w:rPr>
        <w:t>XCXCG-2022-003</w:t>
      </w:r>
    </w:p>
    <w:p>
      <w:pPr>
        <w:snapToGrid w:val="0"/>
        <w:spacing w:line="360" w:lineRule="auto"/>
        <w:jc w:val="center"/>
        <w:rPr>
          <w:rFonts w:ascii="仿宋" w:hAnsi="仿宋" w:eastAsia="仿宋" w:cs="仿宋_GB2312"/>
          <w:sz w:val="30"/>
          <w:szCs w:val="30"/>
          <w:highlight w:val="none"/>
        </w:rPr>
      </w:pPr>
      <w:r>
        <w:rPr>
          <w:rFonts w:hint="eastAsia" w:ascii="宋体" w:hAnsi="宋体" w:eastAsia="宋体" w:cs="宋体"/>
          <w:sz w:val="30"/>
          <w:szCs w:val="30"/>
          <w:highlight w:val="none"/>
          <w:lang w:val="en-US" w:eastAsia="zh-CN"/>
        </w:rPr>
        <w:t xml:space="preserve"> </w:t>
      </w:r>
      <w:r>
        <w:rPr>
          <w:rFonts w:hint="eastAsia" w:ascii="仿宋" w:hAnsi="仿宋" w:eastAsia="仿宋" w:cs="仿宋_GB2312"/>
          <w:sz w:val="30"/>
          <w:szCs w:val="30"/>
          <w:highlight w:val="none"/>
          <w:lang w:val="en-US" w:eastAsia="zh-CN"/>
        </w:rPr>
        <w:t xml:space="preserve"> </w:t>
      </w:r>
    </w:p>
    <w:p>
      <w:pPr>
        <w:adjustRightInd/>
        <w:spacing w:line="360" w:lineRule="auto"/>
        <w:rPr>
          <w:rFonts w:ascii="仿宋" w:hAnsi="仿宋" w:eastAsia="仿宋" w:cs="仿宋_GB2312"/>
          <w:sz w:val="28"/>
          <w:szCs w:val="20"/>
          <w:highlight w:val="none"/>
        </w:rPr>
      </w:pPr>
    </w:p>
    <w:p>
      <w:pPr>
        <w:spacing w:line="360" w:lineRule="auto"/>
        <w:jc w:val="center"/>
        <w:rPr>
          <w:rFonts w:ascii="仿宋" w:hAnsi="仿宋" w:eastAsia="仿宋" w:cs="仿宋_GB2312"/>
          <w:b/>
          <w:sz w:val="44"/>
          <w:szCs w:val="44"/>
          <w:highlight w:val="none"/>
        </w:rPr>
      </w:pPr>
    </w:p>
    <w:p>
      <w:pPr>
        <w:spacing w:line="360" w:lineRule="auto"/>
        <w:jc w:val="center"/>
        <w:rPr>
          <w:rFonts w:ascii="仿宋" w:hAnsi="仿宋" w:eastAsia="仿宋" w:cs="仿宋_GB2312"/>
          <w:sz w:val="24"/>
          <w:highlight w:val="none"/>
        </w:rPr>
      </w:pPr>
    </w:p>
    <w:p>
      <w:pPr>
        <w:pStyle w:val="4"/>
        <w:rPr>
          <w:rFonts w:ascii="仿宋" w:hAnsi="仿宋" w:eastAsia="仿宋" w:cs="仿宋_GB2312"/>
          <w:sz w:val="24"/>
          <w:highlight w:val="none"/>
        </w:rPr>
      </w:pPr>
    </w:p>
    <w:p>
      <w:pPr>
        <w:rPr>
          <w:rFonts w:ascii="仿宋" w:hAnsi="仿宋" w:eastAsia="仿宋" w:cs="仿宋_GB2312"/>
          <w:sz w:val="24"/>
          <w:highlight w:val="none"/>
        </w:rPr>
      </w:pPr>
    </w:p>
    <w:p>
      <w:pPr>
        <w:pStyle w:val="25"/>
        <w:rPr>
          <w:rFonts w:ascii="仿宋" w:hAnsi="仿宋" w:eastAsia="仿宋" w:cs="仿宋_GB2312"/>
          <w:sz w:val="24"/>
          <w:highlight w:val="none"/>
        </w:rPr>
      </w:pPr>
    </w:p>
    <w:p>
      <w:pPr>
        <w:pStyle w:val="26"/>
        <w:rPr>
          <w:rFonts w:ascii="仿宋" w:hAnsi="仿宋" w:eastAsia="仿宋" w:cs="仿宋_GB2312"/>
          <w:sz w:val="24"/>
          <w:highlight w:val="none"/>
        </w:rPr>
      </w:pPr>
    </w:p>
    <w:p>
      <w:pPr>
        <w:pStyle w:val="27"/>
        <w:rPr>
          <w:rFonts w:ascii="仿宋" w:hAnsi="仿宋" w:eastAsia="仿宋" w:cs="仿宋_GB2312"/>
          <w:sz w:val="24"/>
          <w:highlight w:val="none"/>
        </w:rPr>
      </w:pPr>
    </w:p>
    <w:p>
      <w:pPr>
        <w:rPr>
          <w:highlight w:val="none"/>
        </w:rPr>
      </w:pPr>
    </w:p>
    <w:p>
      <w:pPr>
        <w:rPr>
          <w:rFonts w:ascii="仿宋" w:hAnsi="仿宋" w:eastAsia="仿宋" w:cs="仿宋_GB2312"/>
          <w:sz w:val="24"/>
          <w:highlight w:val="none"/>
        </w:rPr>
      </w:pP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 xml:space="preserve"> 招标人：</w:t>
      </w:r>
      <w:r>
        <w:rPr>
          <w:rFonts w:hint="eastAsia" w:ascii="宋体" w:hAnsi="宋体" w:cs="宋体"/>
          <w:b/>
          <w:bCs/>
          <w:color w:val="auto"/>
          <w:sz w:val="32"/>
          <w:szCs w:val="32"/>
          <w:highlight w:val="none"/>
          <w:lang w:eastAsia="zh-CN"/>
        </w:rPr>
        <w:t>杭州市临平区人民政府乔司街道办事处</w:t>
      </w: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招标代理机构：</w:t>
      </w:r>
      <w:r>
        <w:rPr>
          <w:rFonts w:hint="eastAsia" w:ascii="宋体" w:hAnsi="宋体" w:cs="宋体"/>
          <w:b/>
          <w:bCs/>
          <w:color w:val="auto"/>
          <w:sz w:val="32"/>
          <w:szCs w:val="32"/>
          <w:highlight w:val="none"/>
          <w:lang w:eastAsia="zh-CN"/>
        </w:rPr>
        <w:t>浙江新诚信工程咨询有限公司</w:t>
      </w:r>
    </w:p>
    <w:p>
      <w:pPr>
        <w:snapToGrid w:val="0"/>
        <w:spacing w:line="360" w:lineRule="auto"/>
        <w:jc w:val="center"/>
        <w:rPr>
          <w:rFonts w:hint="eastAsia" w:ascii="宋体" w:hAnsi="宋体" w:cs="宋体"/>
          <w:b/>
          <w:bCs/>
          <w:sz w:val="32"/>
          <w:szCs w:val="32"/>
          <w:highlight w:val="none"/>
        </w:rPr>
      </w:pPr>
    </w:p>
    <w:p>
      <w:pPr>
        <w:snapToGrid w:val="0"/>
        <w:spacing w:line="360" w:lineRule="auto"/>
        <w:jc w:val="center"/>
        <w:rPr>
          <w:rFonts w:hint="eastAsia" w:ascii="宋体" w:hAnsi="宋体" w:cs="宋体"/>
          <w:b/>
          <w:bCs/>
          <w:sz w:val="32"/>
          <w:szCs w:val="32"/>
          <w:highlight w:val="none"/>
        </w:rPr>
      </w:pPr>
      <w:r>
        <w:rPr>
          <w:rFonts w:hint="eastAsia" w:ascii="宋体" w:hAnsi="宋体" w:cs="宋体"/>
          <w:b/>
          <w:bCs/>
          <w:sz w:val="32"/>
          <w:szCs w:val="32"/>
          <w:highlight w:val="none"/>
        </w:rPr>
        <w:t>二〇二</w:t>
      </w:r>
      <w:r>
        <w:rPr>
          <w:rFonts w:hint="eastAsia" w:ascii="宋体" w:hAnsi="宋体" w:cs="宋体"/>
          <w:b/>
          <w:bCs/>
          <w:sz w:val="32"/>
          <w:szCs w:val="32"/>
          <w:highlight w:val="none"/>
          <w:lang w:val="en-US" w:eastAsia="zh-CN"/>
        </w:rPr>
        <w:t>二</w:t>
      </w:r>
      <w:r>
        <w:rPr>
          <w:rFonts w:hint="eastAsia" w:ascii="宋体" w:hAnsi="宋体" w:cs="宋体"/>
          <w:b/>
          <w:bCs/>
          <w:sz w:val="32"/>
          <w:szCs w:val="32"/>
          <w:highlight w:val="none"/>
        </w:rPr>
        <w:t>年</w:t>
      </w:r>
      <w:r>
        <w:rPr>
          <w:rFonts w:hint="eastAsia" w:ascii="宋体" w:hAnsi="宋体" w:cs="宋体"/>
          <w:b/>
          <w:bCs/>
          <w:sz w:val="32"/>
          <w:szCs w:val="32"/>
          <w:highlight w:val="none"/>
          <w:lang w:val="en-US" w:eastAsia="zh-CN"/>
        </w:rPr>
        <w:t>四</w:t>
      </w:r>
      <w:r>
        <w:rPr>
          <w:rFonts w:hint="eastAsia" w:ascii="宋体" w:hAnsi="宋体" w:cs="宋体"/>
          <w:b/>
          <w:bCs/>
          <w:sz w:val="32"/>
          <w:szCs w:val="32"/>
          <w:highlight w:val="none"/>
        </w:rPr>
        <w:t>月</w:t>
      </w:r>
    </w:p>
    <w:p>
      <w:pPr>
        <w:spacing w:line="360" w:lineRule="auto"/>
        <w:jc w:val="center"/>
        <w:rPr>
          <w:rFonts w:ascii="仿宋" w:hAnsi="仿宋" w:eastAsia="仿宋" w:cs="仿宋_GB2312"/>
          <w:sz w:val="24"/>
          <w:highlight w:val="none"/>
        </w:rPr>
      </w:pPr>
      <w:r>
        <w:rPr>
          <w:rFonts w:ascii="仿宋" w:hAnsi="仿宋" w:eastAsia="仿宋" w:cs="仿宋_GB2312"/>
          <w:sz w:val="24"/>
          <w:highlight w:val="none"/>
        </w:rPr>
        <w:br w:type="page"/>
      </w:r>
      <w:bookmarkStart w:id="0" w:name="_Hlt67893495"/>
      <w:bookmarkEnd w:id="0"/>
    </w:p>
    <w:p>
      <w:pPr>
        <w:spacing w:line="360" w:lineRule="auto"/>
        <w:jc w:val="center"/>
        <w:rPr>
          <w:rFonts w:ascii="仿宋" w:hAnsi="仿宋" w:eastAsia="仿宋" w:cs="仿宋_GB2312"/>
          <w:sz w:val="24"/>
          <w:highlight w:val="none"/>
        </w:rPr>
      </w:pPr>
    </w:p>
    <w:p>
      <w:pPr>
        <w:spacing w:line="360" w:lineRule="auto"/>
        <w:jc w:val="center"/>
        <w:rPr>
          <w:rFonts w:ascii="仿宋" w:hAnsi="仿宋" w:eastAsia="仿宋" w:cs="仿宋_GB2312"/>
          <w:b/>
          <w:sz w:val="48"/>
          <w:szCs w:val="48"/>
          <w:highlight w:val="none"/>
        </w:rPr>
      </w:pPr>
      <w:r>
        <w:rPr>
          <w:rFonts w:hint="eastAsia" w:ascii="仿宋" w:hAnsi="仿宋" w:eastAsia="仿宋" w:cs="仿宋_GB2312"/>
          <w:b/>
          <w:sz w:val="48"/>
          <w:szCs w:val="48"/>
          <w:highlight w:val="none"/>
        </w:rPr>
        <w:t>目</w:t>
      </w:r>
      <w:r>
        <w:rPr>
          <w:rFonts w:ascii="仿宋" w:hAnsi="仿宋" w:eastAsia="仿宋" w:cs="仿宋_GB2312"/>
          <w:b/>
          <w:sz w:val="48"/>
          <w:szCs w:val="48"/>
          <w:highlight w:val="none"/>
        </w:rPr>
        <w:t xml:space="preserve">  </w:t>
      </w:r>
      <w:r>
        <w:rPr>
          <w:rFonts w:hint="eastAsia" w:ascii="仿宋" w:hAnsi="仿宋" w:eastAsia="仿宋" w:cs="仿宋_GB2312"/>
          <w:b/>
          <w:sz w:val="48"/>
          <w:szCs w:val="48"/>
          <w:highlight w:val="none"/>
        </w:rPr>
        <w:t>录</w:t>
      </w:r>
    </w:p>
    <w:p>
      <w:pPr>
        <w:spacing w:line="360" w:lineRule="auto"/>
        <w:rPr>
          <w:rFonts w:ascii="仿宋" w:hAnsi="仿宋" w:eastAsia="仿宋" w:cs="仿宋_GB2312"/>
          <w:sz w:val="32"/>
          <w:szCs w:val="32"/>
          <w:highlight w:val="none"/>
        </w:rPr>
      </w:pPr>
    </w:p>
    <w:p>
      <w:pPr>
        <w:spacing w:line="360" w:lineRule="auto"/>
        <w:rPr>
          <w:rFonts w:ascii="仿宋" w:hAnsi="仿宋" w:eastAsia="仿宋" w:cs="仿宋_GB2312"/>
          <w:sz w:val="32"/>
          <w:szCs w:val="32"/>
          <w:highlight w:val="none"/>
        </w:rPr>
      </w:pP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第一部分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招标公告</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第二部分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投标人须知</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第三部分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采购需求</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第四部分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评标办法</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第五部分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拟签订的合同文本</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第六部分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应提交的有关格式范例</w:t>
      </w:r>
    </w:p>
    <w:p>
      <w:pPr>
        <w:spacing w:line="360" w:lineRule="auto"/>
        <w:ind w:firstLine="549" w:firstLineChars="229"/>
        <w:rPr>
          <w:rFonts w:ascii="仿宋" w:hAnsi="仿宋" w:eastAsia="仿宋" w:cs="仿宋_GB2312"/>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pStyle w:val="2"/>
        <w:rPr>
          <w:rFonts w:ascii="仿宋" w:hAnsi="仿宋" w:eastAsia="仿宋" w:cs="仿宋_GB2312"/>
          <w:sz w:val="24"/>
          <w:highlight w:val="none"/>
        </w:rPr>
      </w:pPr>
    </w:p>
    <w:p>
      <w:pPr>
        <w:rPr>
          <w:rFonts w:ascii="仿宋" w:hAnsi="仿宋" w:eastAsia="仿宋" w:cs="仿宋_GB2312"/>
          <w:sz w:val="24"/>
          <w:highlight w:val="none"/>
        </w:rPr>
      </w:pPr>
    </w:p>
    <w:p>
      <w:pPr>
        <w:pStyle w:val="2"/>
      </w:pPr>
    </w:p>
    <w:p>
      <w:pPr>
        <w:spacing w:line="360" w:lineRule="auto"/>
        <w:rPr>
          <w:rFonts w:ascii="仿宋" w:hAnsi="仿宋" w:eastAsia="仿宋" w:cs="仿宋_GB2312"/>
          <w:sz w:val="24"/>
          <w:highlight w:val="none"/>
        </w:rPr>
      </w:pPr>
    </w:p>
    <w:bookmarkEnd w:id="2"/>
    <w:p>
      <w:pPr>
        <w:adjustRightInd/>
        <w:spacing w:line="360" w:lineRule="auto"/>
        <w:jc w:val="center"/>
        <w:outlineLvl w:val="0"/>
        <w:rPr>
          <w:rFonts w:ascii="仿宋_GB2312" w:hAnsi="仿宋" w:eastAsia="仿宋_GB2312" w:cs="仿宋_GB2312"/>
          <w:b/>
          <w:sz w:val="36"/>
          <w:szCs w:val="20"/>
          <w:highlight w:val="none"/>
        </w:rPr>
      </w:pPr>
      <w:bookmarkStart w:id="3" w:name="_Hlt74729822"/>
      <w:bookmarkEnd w:id="3"/>
      <w:bookmarkStart w:id="4" w:name="_Hlt74649545"/>
      <w:bookmarkEnd w:id="4"/>
      <w:bookmarkStart w:id="5" w:name="_Hlt74728647"/>
      <w:bookmarkEnd w:id="5"/>
      <w:bookmarkStart w:id="6" w:name="_Hlt74707423"/>
      <w:bookmarkEnd w:id="6"/>
      <w:bookmarkStart w:id="7" w:name="第二部分"/>
      <w:bookmarkStart w:id="8" w:name="_Toc91899870"/>
      <w:bookmarkStart w:id="9" w:name="_Toc91899871"/>
      <w:r>
        <w:rPr>
          <w:rFonts w:hint="eastAsia" w:ascii="仿宋" w:hAnsi="仿宋" w:eastAsia="仿宋" w:cs="仿宋_GB2312"/>
          <w:b/>
          <w:sz w:val="36"/>
          <w:szCs w:val="20"/>
          <w:highlight w:val="none"/>
        </w:rPr>
        <w:t>第一部分</w:t>
      </w:r>
      <w:r>
        <w:rPr>
          <w:rFonts w:ascii="仿宋" w:hAnsi="仿宋" w:eastAsia="仿宋" w:cs="仿宋_GB2312"/>
          <w:b/>
          <w:sz w:val="36"/>
          <w:szCs w:val="20"/>
          <w:highlight w:val="none"/>
        </w:rPr>
        <w:t xml:space="preserve"> </w:t>
      </w:r>
      <w:r>
        <w:rPr>
          <w:rFonts w:hint="eastAsia" w:ascii="仿宋_GB2312" w:hAnsi="仿宋" w:eastAsia="仿宋_GB2312" w:cs="仿宋_GB2312"/>
          <w:b/>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lang w:eastAsia="zh-CN"/>
        </w:rPr>
        <w:t>乔司街道迎宾路（01省道）保洁项目</w:t>
      </w:r>
      <w:r>
        <w:rPr>
          <w:rFonts w:hint="eastAsia" w:ascii="仿宋" w:hAnsi="仿宋" w:eastAsia="仿宋" w:cs="仿宋"/>
          <w:sz w:val="24"/>
          <w:szCs w:val="24"/>
          <w:highlight w:val="none"/>
        </w:rPr>
        <w:t>的潜在投标人应在政采云平台（</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"https://www.zcygov.cn/）获取（下载）招标文件，并于2021年" </w:instrText>
      </w:r>
      <w:r>
        <w:rPr>
          <w:rFonts w:hint="eastAsia" w:ascii="仿宋" w:hAnsi="仿宋" w:eastAsia="仿宋" w:cs="仿宋"/>
          <w:sz w:val="24"/>
          <w:szCs w:val="24"/>
          <w:highlight w:val="none"/>
        </w:rPr>
        <w:fldChar w:fldCharType="separate"/>
      </w:r>
      <w:r>
        <w:rPr>
          <w:rStyle w:val="79"/>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sz w:val="24"/>
          <w:szCs w:val="24"/>
          <w:highlight w:val="none"/>
          <w:u w:val="single"/>
        </w:rPr>
        <w:t>20</w:t>
      </w:r>
      <w:r>
        <w:rPr>
          <w:rFonts w:hint="eastAsia" w:ascii="仿宋" w:hAnsi="仿宋" w:eastAsia="仿宋" w:cs="仿宋"/>
          <w:sz w:val="24"/>
          <w:szCs w:val="24"/>
          <w:highlight w:val="none"/>
          <w:u w:val="single"/>
          <w:lang w:val="en-US" w:eastAsia="zh-CN"/>
        </w:rPr>
        <w:t>22</w:t>
      </w:r>
      <w:r>
        <w:rPr>
          <w:rFonts w:hint="eastAsia" w:ascii="仿宋" w:hAnsi="仿宋" w:eastAsia="仿宋" w:cs="仿宋"/>
          <w:sz w:val="24"/>
          <w:szCs w:val="24"/>
          <w:highlight w:val="none"/>
          <w:u w:val="single"/>
        </w:rPr>
        <w:t>年</w:t>
      </w:r>
      <w:r>
        <w:rPr>
          <w:rFonts w:hint="eastAsia" w:ascii="仿宋" w:hAnsi="仿宋" w:eastAsia="仿宋" w:cs="仿宋"/>
          <w:sz w:val="24"/>
          <w:szCs w:val="24"/>
          <w:highlight w:val="none"/>
          <w:u w:val="single"/>
          <w:lang w:val="en-US" w:eastAsia="zh-CN"/>
        </w:rPr>
        <w:t>06</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10</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u w:val="single"/>
          <w:lang w:val="en-US" w:eastAsia="zh-CN"/>
        </w:rPr>
        <w:t>9</w:t>
      </w:r>
      <w:r>
        <w:rPr>
          <w:rFonts w:hint="eastAsia" w:ascii="仿宋" w:hAnsi="仿宋" w:eastAsia="仿宋" w:cs="仿宋"/>
          <w:sz w:val="24"/>
          <w:szCs w:val="24"/>
          <w:highlight w:val="none"/>
          <w:u w:val="single"/>
        </w:rPr>
        <w:t>点</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u w:val="single"/>
        </w:rPr>
        <w:t>分</w:t>
      </w:r>
      <w:r>
        <w:rPr>
          <w:rFonts w:hint="eastAsia" w:ascii="仿宋" w:hAnsi="仿宋" w:eastAsia="仿宋" w:cs="仿宋"/>
          <w:bCs/>
          <w:sz w:val="24"/>
          <w:szCs w:val="24"/>
          <w:highlight w:val="none"/>
          <w:u w:val="single"/>
        </w:rPr>
        <w:t>00秒</w:t>
      </w:r>
      <w:r>
        <w:rPr>
          <w:rFonts w:hint="eastAsia" w:ascii="仿宋" w:hAnsi="仿宋" w:eastAsia="仿宋" w:cs="仿宋"/>
          <w:bCs/>
          <w:sz w:val="24"/>
          <w:szCs w:val="24"/>
          <w:highlight w:val="none"/>
          <w:u w:val="single"/>
        </w:rPr>
        <w:fldChar w:fldCharType="end"/>
      </w:r>
      <w:r>
        <w:rPr>
          <w:rFonts w:hint="eastAsia" w:ascii="仿宋" w:hAnsi="仿宋" w:eastAsia="仿宋" w:cs="仿宋"/>
          <w:bCs/>
          <w:sz w:val="24"/>
          <w:szCs w:val="24"/>
          <w:highlight w:val="none"/>
        </w:rPr>
        <w:t>（北京时间）前</w:t>
      </w:r>
      <w:r>
        <w:rPr>
          <w:rFonts w:hint="eastAsia" w:ascii="仿宋" w:hAnsi="仿宋" w:eastAsia="仿宋" w:cs="仿宋"/>
          <w:sz w:val="24"/>
          <w:szCs w:val="24"/>
          <w:highlight w:val="none"/>
        </w:rPr>
        <w:t>递交（上传）投标文件。</w:t>
      </w:r>
    </w:p>
    <w:p>
      <w:pPr>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 xml:space="preserve">一、项目基本情况                                            </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b/>
          <w:sz w:val="24"/>
          <w:szCs w:val="24"/>
          <w:highlight w:val="none"/>
        </w:rPr>
        <w:t>项目编号：</w:t>
      </w:r>
      <w:r>
        <w:rPr>
          <w:rFonts w:hint="eastAsia" w:ascii="仿宋" w:hAnsi="仿宋" w:eastAsia="仿宋" w:cs="仿宋"/>
          <w:i w:val="0"/>
          <w:iCs w:val="0"/>
          <w:caps w:val="0"/>
          <w:color w:val="000000"/>
          <w:spacing w:val="0"/>
          <w:sz w:val="27"/>
          <w:szCs w:val="27"/>
          <w:highlight w:val="none"/>
          <w:lang w:eastAsia="zh-CN"/>
        </w:rPr>
        <w:t>XCXCG-2022-003</w:t>
      </w:r>
    </w:p>
    <w:p>
      <w:pPr>
        <w:spacing w:line="360" w:lineRule="auto"/>
        <w:ind w:firstLine="480"/>
        <w:rPr>
          <w:rFonts w:hint="eastAsia" w:ascii="仿宋" w:hAnsi="仿宋" w:eastAsia="仿宋" w:cs="仿宋"/>
          <w:i w:val="0"/>
          <w:iCs w:val="0"/>
          <w:caps w:val="0"/>
          <w:color w:val="000000"/>
          <w:spacing w:val="0"/>
          <w:sz w:val="27"/>
          <w:szCs w:val="27"/>
          <w:highlight w:val="none"/>
          <w:lang w:eastAsia="zh-CN"/>
        </w:rPr>
      </w:pPr>
      <w:r>
        <w:rPr>
          <w:rFonts w:hint="eastAsia" w:ascii="仿宋" w:hAnsi="仿宋" w:eastAsia="仿宋" w:cs="仿宋"/>
          <w:b/>
          <w:sz w:val="24"/>
          <w:szCs w:val="24"/>
          <w:highlight w:val="none"/>
        </w:rPr>
        <w:t>项目名称：</w:t>
      </w:r>
      <w:r>
        <w:rPr>
          <w:rFonts w:hint="eastAsia" w:ascii="仿宋" w:hAnsi="仿宋" w:eastAsia="仿宋" w:cs="仿宋"/>
          <w:i w:val="0"/>
          <w:iCs w:val="0"/>
          <w:caps w:val="0"/>
          <w:color w:val="000000"/>
          <w:spacing w:val="0"/>
          <w:sz w:val="27"/>
          <w:szCs w:val="27"/>
          <w:highlight w:val="none"/>
          <w:lang w:eastAsia="zh-CN"/>
        </w:rPr>
        <w:t>乔司街道迎宾路（01省道）保洁项目</w:t>
      </w:r>
    </w:p>
    <w:p>
      <w:pPr>
        <w:spacing w:line="360" w:lineRule="auto"/>
        <w:ind w:firstLine="480"/>
        <w:rPr>
          <w:rFonts w:hint="eastAsia" w:ascii="仿宋" w:hAnsi="仿宋" w:eastAsia="仿宋" w:cs="仿宋"/>
          <w:i w:val="0"/>
          <w:iCs w:val="0"/>
          <w:caps w:val="0"/>
          <w:color w:val="000000"/>
          <w:spacing w:val="0"/>
          <w:sz w:val="27"/>
          <w:szCs w:val="27"/>
          <w:highlight w:val="none"/>
          <w:lang w:eastAsia="zh-CN"/>
        </w:rPr>
      </w:pPr>
      <w:r>
        <w:rPr>
          <w:rFonts w:hint="eastAsia" w:ascii="仿宋" w:hAnsi="仿宋" w:eastAsia="仿宋" w:cs="仿宋"/>
          <w:b/>
          <w:sz w:val="24"/>
          <w:szCs w:val="24"/>
          <w:highlight w:val="none"/>
        </w:rPr>
        <w:t>预算金额（元）：</w:t>
      </w:r>
      <w:r>
        <w:rPr>
          <w:rFonts w:hint="eastAsia" w:ascii="仿宋" w:hAnsi="仿宋" w:eastAsia="仿宋" w:cs="仿宋"/>
          <w:i w:val="0"/>
          <w:iCs w:val="0"/>
          <w:caps w:val="0"/>
          <w:color w:val="000000"/>
          <w:spacing w:val="0"/>
          <w:sz w:val="27"/>
          <w:szCs w:val="27"/>
          <w:highlight w:val="none"/>
          <w:lang w:eastAsia="zh-CN"/>
        </w:rPr>
        <w:t>24539556</w:t>
      </w:r>
    </w:p>
    <w:p>
      <w:pPr>
        <w:spacing w:line="360" w:lineRule="auto"/>
        <w:ind w:firstLine="480"/>
        <w:rPr>
          <w:rFonts w:hint="eastAsia" w:ascii="仿宋" w:hAnsi="仿宋" w:eastAsia="仿宋" w:cs="仿宋"/>
          <w:sz w:val="24"/>
          <w:szCs w:val="24"/>
          <w:highlight w:val="none"/>
          <w:lang w:eastAsia="zh-CN"/>
        </w:rPr>
      </w:pPr>
      <w:r>
        <w:rPr>
          <w:rFonts w:hint="eastAsia" w:ascii="仿宋" w:hAnsi="仿宋" w:eastAsia="仿宋" w:cs="仿宋"/>
          <w:b/>
          <w:sz w:val="24"/>
          <w:szCs w:val="24"/>
          <w:highlight w:val="none"/>
        </w:rPr>
        <w:t>最高限价（元）：</w:t>
      </w:r>
      <w:r>
        <w:rPr>
          <w:rFonts w:hint="eastAsia" w:ascii="仿宋" w:hAnsi="仿宋" w:eastAsia="仿宋" w:cs="仿宋"/>
          <w:i w:val="0"/>
          <w:iCs w:val="0"/>
          <w:caps w:val="0"/>
          <w:color w:val="000000"/>
          <w:spacing w:val="0"/>
          <w:sz w:val="27"/>
          <w:szCs w:val="27"/>
          <w:highlight w:val="none"/>
          <w:lang w:eastAsia="zh-CN"/>
        </w:rPr>
        <w:t>24539556</w:t>
      </w:r>
    </w:p>
    <w:p>
      <w:pPr>
        <w:pStyle w:val="7"/>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szCs w:val="24"/>
          <w:highlight w:val="none"/>
        </w:rPr>
        <w:t>采购需求：</w:t>
      </w:r>
      <w:r>
        <w:rPr>
          <w:rFonts w:hint="eastAsia" w:ascii="仿宋" w:hAnsi="仿宋" w:eastAsia="仿宋" w:cs="仿宋"/>
          <w:i w:val="0"/>
          <w:iCs w:val="0"/>
          <w:caps w:val="0"/>
          <w:color w:val="000000"/>
          <w:spacing w:val="0"/>
          <w:sz w:val="24"/>
          <w:szCs w:val="24"/>
          <w:highlight w:val="none"/>
          <w:lang w:eastAsia="zh-CN"/>
        </w:rPr>
        <w:t>乔司街道迎宾路（01省道）保洁项目</w:t>
      </w:r>
      <w:r>
        <w:rPr>
          <w:rFonts w:hint="eastAsia" w:ascii="仿宋" w:hAnsi="仿宋" w:eastAsia="仿宋" w:cs="仿宋"/>
          <w:bCs/>
          <w:snapToGrid/>
          <w:color w:val="auto"/>
          <w:kern w:val="2"/>
          <w:sz w:val="24"/>
          <w:szCs w:val="24"/>
          <w:highlight w:val="none"/>
        </w:rPr>
        <w:t>主要内容：详见招标文件第三部分采购需求。</w:t>
      </w:r>
    </w:p>
    <w:p>
      <w:pPr>
        <w:pStyle w:val="132"/>
        <w:ind w:firstLine="482"/>
        <w:outlineLvl w:val="2"/>
        <w:rPr>
          <w:rFonts w:hint="eastAsia" w:ascii="仿宋" w:hAnsi="仿宋" w:eastAsia="仿宋" w:cs="仿宋"/>
          <w:highlight w:val="none"/>
          <w:lang w:val="en-US" w:eastAsia="zh-CN"/>
        </w:rPr>
      </w:pPr>
      <w:r>
        <w:rPr>
          <w:rFonts w:hint="eastAsia" w:ascii="仿宋" w:hAnsi="仿宋" w:eastAsia="仿宋" w:cs="仿宋"/>
          <w:b/>
          <w:highlight w:val="none"/>
        </w:rPr>
        <w:t>合同履约期限：</w:t>
      </w:r>
      <w:r>
        <w:rPr>
          <w:rFonts w:hint="eastAsia" w:ascii="仿宋" w:hAnsi="仿宋" w:eastAsia="仿宋" w:cs="仿宋"/>
          <w:b/>
          <w:highlight w:val="none"/>
          <w:lang w:val="en-US" w:eastAsia="zh-CN"/>
        </w:rPr>
        <w:t>3年</w:t>
      </w:r>
    </w:p>
    <w:p>
      <w:pPr>
        <w:pStyle w:val="7"/>
        <w:spacing w:line="360" w:lineRule="auto"/>
        <w:ind w:firstLine="480"/>
        <w:rPr>
          <w:rFonts w:ascii="仿宋_GB2312" w:hAnsi="仿宋" w:eastAsia="仿宋_GB2312" w:cs="Times New Roman"/>
          <w:b/>
          <w:bCs/>
          <w:color w:val="auto"/>
          <w:sz w:val="24"/>
          <w:szCs w:val="24"/>
          <w:highlight w:val="none"/>
        </w:rPr>
      </w:pPr>
      <w:r>
        <w:rPr>
          <w:rFonts w:hint="eastAsia" w:ascii="仿宋_GB2312" w:hAnsi="仿宋" w:eastAsia="仿宋_GB2312" w:cs="仿宋_GB2312"/>
          <w:b/>
          <w:bCs/>
          <w:color w:val="auto"/>
          <w:sz w:val="24"/>
          <w:szCs w:val="24"/>
          <w:highlight w:val="none"/>
        </w:rPr>
        <w:t>本项目接受联合体投标：</w:t>
      </w:r>
      <w:r>
        <w:rPr>
          <w:rFonts w:hint="eastAsia" w:ascii="MS Gothic" w:hAnsi="Wingdings" w:eastAsia="MS Gothic" w:cs="Times New Roman"/>
          <w:color w:val="auto"/>
          <w:kern w:val="0"/>
          <w:sz w:val="24"/>
          <w:szCs w:val="24"/>
          <w:highlight w:val="none"/>
        </w:rPr>
        <w:sym w:font="Wingdings" w:char="00A8"/>
      </w:r>
      <w:r>
        <w:rPr>
          <w:rFonts w:hint="eastAsia" w:ascii="仿宋_GB2312" w:hAnsi="仿宋" w:eastAsia="仿宋_GB2312" w:cs="仿宋_GB2312"/>
          <w:b/>
          <w:bCs/>
          <w:color w:val="auto"/>
          <w:sz w:val="24"/>
          <w:szCs w:val="24"/>
          <w:highlight w:val="none"/>
        </w:rPr>
        <w:t>是，</w:t>
      </w:r>
      <w:r>
        <w:rPr>
          <w:rFonts w:hint="eastAsia" w:ascii="MS Gothic" w:hAnsi="Wingdings" w:eastAsia="MS Gothic" w:cs="Times New Roman"/>
          <w:color w:val="auto"/>
          <w:kern w:val="0"/>
          <w:sz w:val="24"/>
          <w:szCs w:val="24"/>
          <w:highlight w:val="none"/>
        </w:rPr>
        <w:sym w:font="Wingdings" w:char="00FE"/>
      </w:r>
      <w:r>
        <w:rPr>
          <w:rFonts w:hint="eastAsia" w:ascii="仿宋_GB2312" w:hAnsi="仿宋" w:eastAsia="仿宋_GB2312" w:cs="仿宋_GB2312"/>
          <w:b/>
          <w:bCs/>
          <w:color w:val="auto"/>
          <w:sz w:val="24"/>
          <w:szCs w:val="24"/>
          <w:highlight w:val="none"/>
        </w:rPr>
        <w:t>否</w:t>
      </w:r>
      <w:r>
        <w:rPr>
          <w:rFonts w:hint="eastAsia" w:hAnsi="宋体"/>
          <w:color w:val="auto"/>
          <w:kern w:val="0"/>
          <w:sz w:val="24"/>
          <w:szCs w:val="24"/>
          <w:highlight w:val="none"/>
        </w:rPr>
        <w:t>。</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二、申请人的资格要求：</w:t>
      </w:r>
    </w:p>
    <w:p>
      <w:pPr>
        <w:spacing w:line="360" w:lineRule="auto"/>
        <w:ind w:firstLine="480"/>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2.落实政府采购政策需满足的资格要求：</w:t>
      </w:r>
    </w:p>
    <w:p>
      <w:pPr>
        <w:spacing w:line="360" w:lineRule="auto"/>
        <w:ind w:firstLine="480" w:firstLineChars="200"/>
        <w:rPr>
          <w:rFonts w:ascii="仿宋_GB2312" w:hAnsi="仿宋" w:eastAsia="仿宋_GB2312"/>
          <w:color w:val="auto"/>
          <w:sz w:val="24"/>
          <w:szCs w:val="24"/>
          <w:highlight w:val="none"/>
        </w:rPr>
      </w:pPr>
      <w:r>
        <w:rPr>
          <w:rFonts w:hint="eastAsia" w:ascii="MS Gothic" w:hAnsi="Wingdings" w:eastAsia="MS Gothic"/>
          <w:color w:val="auto"/>
          <w:kern w:val="0"/>
          <w:sz w:val="24"/>
          <w:szCs w:val="24"/>
          <w:highlight w:val="none"/>
        </w:rPr>
        <w:sym w:font="Wingdings" w:char="00FE"/>
      </w:r>
      <w:r>
        <w:rPr>
          <w:rFonts w:hint="eastAsia" w:ascii="仿宋_GB2312" w:hAnsi="仿宋" w:eastAsia="仿宋_GB2312" w:cs="仿宋_GB2312"/>
          <w:color w:val="auto"/>
          <w:sz w:val="24"/>
          <w:szCs w:val="24"/>
          <w:highlight w:val="none"/>
        </w:rPr>
        <w:t>无；</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szCs w:val="24"/>
          <w:highlight w:val="none"/>
          <w:lang w:val="en-US" w:eastAsia="zh-CN" w:bidi="ar-SA"/>
        </w:rPr>
        <w:t>☐</w:t>
      </w:r>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spacing w:line="360" w:lineRule="auto"/>
        <w:ind w:firstLine="897" w:firstLineChars="374"/>
        <w:rPr>
          <w:rFonts w:hint="eastAsia" w:ascii="仿宋" w:hAnsi="仿宋" w:eastAsia="仿宋" w:cs="仿宋"/>
          <w:sz w:val="24"/>
          <w:highlight w:val="none"/>
          <w:u w:val="single"/>
        </w:rPr>
      </w:pPr>
      <w:r>
        <w:rPr>
          <w:rFonts w:hint="eastAsia" w:ascii="仿宋" w:hAnsi="仿宋" w:eastAsia="仿宋" w:cs="仿宋"/>
          <w:kern w:val="0"/>
          <w:sz w:val="24"/>
          <w:szCs w:val="24"/>
          <w:highlight w:val="none"/>
          <w:lang w:val="en-US" w:eastAsia="zh-CN" w:bidi="ar-SA"/>
        </w:rPr>
        <w:t>☐</w:t>
      </w:r>
      <w:r>
        <w:rPr>
          <w:rFonts w:hint="eastAsia" w:ascii="仿宋" w:hAnsi="仿宋" w:eastAsia="仿宋" w:cs="仿宋"/>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服务全部由符合政策要求的小微企业承接，提供中小企业声明函；</w:t>
      </w:r>
    </w:p>
    <w:p>
      <w:pPr>
        <w:rPr>
          <w:rFonts w:hint="eastAsia" w:ascii="仿宋" w:hAnsi="仿宋" w:eastAsia="仿宋" w:cs="仿宋"/>
          <w:highlight w:val="none"/>
        </w:rPr>
      </w:pP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要求以联合体形式参加，提供联合协议和中小企业声明函，联合协议中中小企业合同金额应当达到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要求合同分包，提供分包意向协议和中小企业声明函，分包意向协议中中小企业合同金额应当达到达到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w:t>
      </w:r>
      <w:r>
        <w:rPr>
          <w:rFonts w:hint="eastAsia" w:ascii="仿宋" w:hAnsi="仿宋" w:eastAsia="仿宋" w:cs="仿宋"/>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3.本项目的特定资格要求：无；</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06</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szCs w:val="24"/>
          <w:highlight w:val="none"/>
          <w:u w:val="single"/>
        </w:rPr>
        <w:t>20</w:t>
      </w:r>
      <w:r>
        <w:rPr>
          <w:rFonts w:hint="eastAsia" w:ascii="仿宋" w:hAnsi="仿宋" w:eastAsia="仿宋" w:cs="仿宋"/>
          <w:sz w:val="24"/>
          <w:szCs w:val="24"/>
          <w:highlight w:val="none"/>
          <w:u w:val="single"/>
          <w:lang w:val="en-US" w:eastAsia="zh-CN"/>
        </w:rPr>
        <w:t>22</w:t>
      </w:r>
      <w:r>
        <w:rPr>
          <w:rFonts w:hint="eastAsia" w:ascii="仿宋" w:hAnsi="仿宋" w:eastAsia="仿宋" w:cs="仿宋"/>
          <w:sz w:val="24"/>
          <w:szCs w:val="24"/>
          <w:highlight w:val="none"/>
          <w:u w:val="single"/>
        </w:rPr>
        <w:t>年</w:t>
      </w:r>
      <w:r>
        <w:rPr>
          <w:rFonts w:hint="eastAsia" w:ascii="仿宋" w:hAnsi="仿宋" w:eastAsia="仿宋" w:cs="仿宋"/>
          <w:sz w:val="24"/>
          <w:szCs w:val="24"/>
          <w:highlight w:val="none"/>
          <w:u w:val="single"/>
          <w:lang w:val="en-US" w:eastAsia="zh-CN"/>
        </w:rPr>
        <w:t>06</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10</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u w:val="single"/>
          <w:lang w:val="en-US" w:eastAsia="zh-CN"/>
        </w:rPr>
        <w:t>9</w:t>
      </w:r>
      <w:r>
        <w:rPr>
          <w:rFonts w:hint="eastAsia" w:ascii="仿宋" w:hAnsi="仿宋" w:eastAsia="仿宋" w:cs="仿宋"/>
          <w:sz w:val="24"/>
          <w:szCs w:val="24"/>
          <w:highlight w:val="none"/>
          <w:u w:val="single"/>
        </w:rPr>
        <w:t>点</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u w:val="single"/>
        </w:rPr>
        <w:t>分</w:t>
      </w:r>
      <w:r>
        <w:rPr>
          <w:rFonts w:hint="eastAsia" w:ascii="仿宋" w:hAnsi="仿宋" w:eastAsia="仿宋" w:cs="仿宋"/>
          <w:bCs/>
          <w:sz w:val="24"/>
          <w:szCs w:val="24"/>
          <w:highlight w:val="none"/>
          <w:u w:val="single"/>
        </w:rPr>
        <w:t>00秒</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bCs/>
          <w:sz w:val="24"/>
          <w:szCs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szCs w:val="24"/>
          <w:highlight w:val="none"/>
          <w:u w:val="single"/>
        </w:rPr>
        <w:t>20</w:t>
      </w:r>
      <w:r>
        <w:rPr>
          <w:rFonts w:hint="eastAsia" w:ascii="仿宋" w:hAnsi="仿宋" w:eastAsia="仿宋" w:cs="仿宋"/>
          <w:sz w:val="24"/>
          <w:szCs w:val="24"/>
          <w:highlight w:val="none"/>
          <w:u w:val="single"/>
          <w:lang w:val="en-US" w:eastAsia="zh-CN"/>
        </w:rPr>
        <w:t>22</w:t>
      </w:r>
      <w:r>
        <w:rPr>
          <w:rFonts w:hint="eastAsia" w:ascii="仿宋" w:hAnsi="仿宋" w:eastAsia="仿宋" w:cs="仿宋"/>
          <w:sz w:val="24"/>
          <w:szCs w:val="24"/>
          <w:highlight w:val="none"/>
          <w:u w:val="single"/>
        </w:rPr>
        <w:t>年</w:t>
      </w:r>
      <w:r>
        <w:rPr>
          <w:rFonts w:hint="eastAsia" w:ascii="仿宋" w:hAnsi="仿宋" w:eastAsia="仿宋" w:cs="仿宋"/>
          <w:sz w:val="24"/>
          <w:szCs w:val="24"/>
          <w:highlight w:val="none"/>
          <w:u w:val="single"/>
          <w:lang w:val="en-US" w:eastAsia="zh-CN"/>
        </w:rPr>
        <w:t>06</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10</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u w:val="single"/>
          <w:lang w:val="en-US" w:eastAsia="zh-CN"/>
        </w:rPr>
        <w:t>9</w:t>
      </w:r>
      <w:r>
        <w:rPr>
          <w:rFonts w:hint="eastAsia" w:ascii="仿宋" w:hAnsi="仿宋" w:eastAsia="仿宋" w:cs="仿宋"/>
          <w:sz w:val="24"/>
          <w:szCs w:val="24"/>
          <w:highlight w:val="none"/>
          <w:u w:val="single"/>
        </w:rPr>
        <w:t>点</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u w:val="single"/>
        </w:rPr>
        <w:t>分</w:t>
      </w:r>
      <w:r>
        <w:rPr>
          <w:rFonts w:hint="eastAsia" w:ascii="仿宋" w:hAnsi="仿宋" w:eastAsia="仿宋" w:cs="仿宋"/>
          <w:bCs/>
          <w:sz w:val="24"/>
          <w:szCs w:val="24"/>
          <w:highlight w:val="none"/>
          <w:u w:val="single"/>
        </w:rPr>
        <w:t>00秒</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开标地点（网址）：</w:t>
      </w:r>
      <w:r>
        <w:rPr>
          <w:rFonts w:hint="eastAsia" w:ascii="仿宋" w:hAnsi="仿宋" w:eastAsia="仿宋" w:cs="仿宋"/>
          <w:sz w:val="24"/>
          <w:highlight w:val="none"/>
        </w:rPr>
        <w:t>政采云平台（https://www.zcygov.cn/）</w:t>
      </w:r>
    </w:p>
    <w:p>
      <w:pPr>
        <w:spacing w:line="360" w:lineRule="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bookmarkStart w:id="402" w:name="_GoBack"/>
      <w:bookmarkEnd w:id="402"/>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1.采购人信息</w:t>
      </w:r>
    </w:p>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    名    称：</w:t>
      </w:r>
      <w:r>
        <w:rPr>
          <w:rFonts w:hint="eastAsia" w:ascii="仿宋" w:hAnsi="仿宋" w:eastAsia="仿宋" w:cs="仿宋"/>
          <w:sz w:val="24"/>
          <w:highlight w:val="none"/>
          <w:lang w:eastAsia="zh-CN"/>
        </w:rPr>
        <w:t>杭州市临平区人民政府乔司街道办事处</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地    址：</w:t>
      </w:r>
      <w:r>
        <w:rPr>
          <w:rFonts w:hint="eastAsia" w:ascii="仿宋" w:hAnsi="仿宋" w:eastAsia="仿宋" w:cs="仿宋"/>
          <w:sz w:val="24"/>
          <w:highlight w:val="none"/>
          <w:lang w:eastAsia="zh-CN"/>
        </w:rPr>
        <w:t>乔司街道乔井路268号 </w:t>
      </w:r>
      <w:r>
        <w:rPr>
          <w:rFonts w:hint="eastAsia" w:ascii="仿宋" w:hAnsi="仿宋" w:eastAsia="仿宋" w:cs="仿宋"/>
          <w:sz w:val="24"/>
          <w:highlight w:val="none"/>
        </w:rPr>
        <w:t xml:space="preserve">      </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传    真： /</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项目联系人（询问）：</w:t>
      </w:r>
      <w:r>
        <w:rPr>
          <w:rFonts w:hint="eastAsia" w:ascii="仿宋" w:hAnsi="仿宋" w:eastAsia="仿宋" w:cs="仿宋"/>
          <w:sz w:val="24"/>
          <w:highlight w:val="none"/>
          <w:lang w:val="en-US" w:eastAsia="zh-CN"/>
        </w:rPr>
        <w:t xml:space="preserve">梅晓林 </w:t>
      </w:r>
      <w:r>
        <w:rPr>
          <w:rFonts w:hint="eastAsia" w:ascii="仿宋" w:hAnsi="仿宋" w:eastAsia="仿宋" w:cs="仿宋"/>
          <w:sz w:val="24"/>
          <w:highlight w:val="none"/>
        </w:rPr>
        <w:t xml:space="preserve">  </w:t>
      </w:r>
    </w:p>
    <w:p>
      <w:pPr>
        <w:spacing w:line="360" w:lineRule="auto"/>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rPr>
        <w:t>项目联系方式（询问）：</w:t>
      </w:r>
      <w:r>
        <w:rPr>
          <w:rFonts w:hint="eastAsia" w:ascii="仿宋" w:hAnsi="仿宋" w:eastAsia="仿宋" w:cs="仿宋"/>
          <w:sz w:val="24"/>
          <w:highlight w:val="none"/>
          <w:lang w:val="en-US" w:eastAsia="zh-CN"/>
        </w:rPr>
        <w:t>18758110299</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质疑联质疑联系人：翁振泉    </w:t>
      </w:r>
    </w:p>
    <w:p>
      <w:pPr>
        <w:spacing w:line="360" w:lineRule="auto"/>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rPr>
        <w:t>系方式：0571-86296891</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2.采购代理机构信息            </w:t>
      </w:r>
    </w:p>
    <w:p>
      <w:pPr>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名    称：</w:t>
      </w:r>
      <w:r>
        <w:rPr>
          <w:rFonts w:hint="eastAsia" w:ascii="仿宋" w:hAnsi="仿宋" w:eastAsia="仿宋" w:cs="仿宋"/>
          <w:sz w:val="24"/>
          <w:highlight w:val="none"/>
          <w:lang w:val="en-US" w:eastAsia="zh-CN"/>
        </w:rPr>
        <w:t>浙江新诚信工程咨询有限公司</w:t>
      </w:r>
    </w:p>
    <w:p>
      <w:pPr>
        <w:spacing w:line="360" w:lineRule="auto"/>
        <w:ind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地    址：杭州市临平区南苑街道香雪路38号香雪铭座7楼</w:t>
      </w:r>
    </w:p>
    <w:p>
      <w:pPr>
        <w:spacing w:line="360" w:lineRule="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 xml:space="preserve">    传    真：/             </w:t>
      </w:r>
    </w:p>
    <w:p>
      <w:pPr>
        <w:spacing w:line="360" w:lineRule="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 xml:space="preserve">    项目联系人（询问）：施伟强     </w:t>
      </w:r>
    </w:p>
    <w:p>
      <w:pPr>
        <w:spacing w:line="360" w:lineRule="auto"/>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 xml:space="preserve">    项目联系方式（询问）：17757107246</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质疑联系人：戚东升        </w:t>
      </w: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质疑联系方式：</w:t>
      </w:r>
      <w:r>
        <w:rPr>
          <w:rFonts w:hint="eastAsia" w:ascii="仿宋" w:hAnsi="仿宋" w:eastAsia="仿宋" w:cs="仿宋"/>
          <w:sz w:val="24"/>
          <w:highlight w:val="none"/>
          <w:lang w:val="en-US" w:eastAsia="zh-CN"/>
        </w:rPr>
        <w:t>0571-89183725</w:t>
      </w: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3.同级政府采购监督管理部门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名    称： 杭州市</w:t>
      </w:r>
      <w:r>
        <w:rPr>
          <w:rFonts w:hint="eastAsia" w:ascii="仿宋" w:hAnsi="仿宋" w:eastAsia="仿宋" w:cs="仿宋"/>
          <w:b w:val="0"/>
          <w:bCs/>
          <w:color w:val="000000"/>
          <w:kern w:val="0"/>
          <w:sz w:val="24"/>
          <w:highlight w:val="none"/>
          <w:lang w:val="en-US" w:eastAsia="zh-CN"/>
        </w:rPr>
        <w:t>临平区政府采购办公室</w:t>
      </w:r>
      <w:r>
        <w:rPr>
          <w:rFonts w:hint="eastAsia" w:ascii="仿宋" w:hAnsi="仿宋" w:eastAsia="仿宋" w:cs="仿宋"/>
          <w:sz w:val="24"/>
          <w:highlight w:val="none"/>
        </w:rPr>
        <w:t>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地    址：杭州市</w:t>
      </w:r>
      <w:r>
        <w:rPr>
          <w:rFonts w:hint="eastAsia" w:ascii="仿宋" w:hAnsi="仿宋" w:eastAsia="仿宋" w:cs="仿宋"/>
          <w:sz w:val="24"/>
          <w:highlight w:val="none"/>
          <w:lang w:val="en-US" w:eastAsia="zh-CN"/>
        </w:rPr>
        <w:t>临平</w:t>
      </w:r>
      <w:r>
        <w:rPr>
          <w:rFonts w:hint="eastAsia" w:ascii="仿宋" w:hAnsi="仿宋" w:eastAsia="仿宋" w:cs="仿宋"/>
          <w:sz w:val="24"/>
          <w:highlight w:val="none"/>
          <w:lang w:eastAsia="zh-CN"/>
        </w:rPr>
        <w:t>区</w:t>
      </w:r>
      <w:r>
        <w:rPr>
          <w:rFonts w:hint="eastAsia" w:ascii="仿宋" w:hAnsi="仿宋" w:eastAsia="仿宋" w:cs="仿宋"/>
          <w:sz w:val="24"/>
          <w:highlight w:val="none"/>
        </w:rPr>
        <w:t xml:space="preserve">临平东湖中路236号余杭财税大楼 </w:t>
      </w:r>
    </w:p>
    <w:p>
      <w:pPr>
        <w:spacing w:line="360" w:lineRule="auto"/>
        <w:ind w:firstLine="240" w:firstLineChars="100"/>
        <w:rPr>
          <w:rFonts w:hint="eastAsia" w:ascii="仿宋" w:hAnsi="仿宋" w:eastAsia="仿宋" w:cs="仿宋"/>
          <w:sz w:val="24"/>
          <w:highlight w:val="none"/>
          <w:lang w:val="en-US" w:eastAsia="zh-CN"/>
        </w:rPr>
      </w:pPr>
      <w:r>
        <w:rPr>
          <w:rFonts w:hint="eastAsia" w:ascii="仿宋" w:hAnsi="仿宋" w:eastAsia="仿宋" w:cs="仿宋"/>
          <w:sz w:val="24"/>
          <w:highlight w:val="none"/>
        </w:rPr>
        <w:t xml:space="preserve">  传    真： </w:t>
      </w:r>
      <w:r>
        <w:rPr>
          <w:rFonts w:hint="eastAsia" w:ascii="仿宋" w:hAnsi="仿宋" w:eastAsia="仿宋" w:cs="仿宋"/>
          <w:sz w:val="24"/>
          <w:highlight w:val="none"/>
          <w:lang w:val="en-US" w:eastAsia="zh-CN"/>
        </w:rPr>
        <w:t>/</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联系人 ： </w:t>
      </w:r>
      <w:r>
        <w:rPr>
          <w:rFonts w:hint="eastAsia" w:ascii="仿宋" w:hAnsi="仿宋" w:eastAsia="仿宋" w:cs="仿宋"/>
          <w:sz w:val="24"/>
          <w:highlight w:val="none"/>
          <w:lang w:val="en-US" w:eastAsia="zh-CN"/>
        </w:rPr>
        <w:t>俞征</w:t>
      </w:r>
      <w:r>
        <w:rPr>
          <w:rFonts w:hint="eastAsia" w:ascii="仿宋" w:hAnsi="仿宋" w:eastAsia="仿宋" w:cs="仿宋"/>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监督投诉电话：0571-89185312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CA问题联系电话（人工）：汇信CA 400-888-4636；天谷CA 400-087-8198。</w:t>
      </w:r>
    </w:p>
    <w:p>
      <w:pPr>
        <w:pStyle w:val="37"/>
        <w:spacing w:line="360" w:lineRule="auto"/>
        <w:ind w:firstLine="480" w:firstLineChars="200"/>
        <w:rPr>
          <w:rFonts w:ascii="仿宋" w:hAnsi="仿宋" w:eastAsia="仿宋" w:cs="仿宋_GB2312"/>
          <w:sz w:val="24"/>
          <w:szCs w:val="24"/>
          <w:highlight w:val="none"/>
        </w:rPr>
      </w:pPr>
      <w:r>
        <w:rPr>
          <w:rFonts w:ascii="仿宋" w:hAnsi="仿宋" w:eastAsia="仿宋" w:cs="仿宋_GB2312"/>
          <w:sz w:val="24"/>
          <w:highlight w:val="none"/>
        </w:rPr>
        <w:t xml:space="preserve">                              </w:t>
      </w:r>
    </w:p>
    <w:p>
      <w:pPr>
        <w:adjustRightInd/>
        <w:spacing w:line="360" w:lineRule="auto"/>
        <w:jc w:val="center"/>
        <w:outlineLvl w:val="0"/>
        <w:rPr>
          <w:rFonts w:ascii="仿宋" w:hAnsi="仿宋" w:eastAsia="仿宋" w:cs="仿宋_GB2312"/>
          <w:b/>
          <w:sz w:val="36"/>
          <w:szCs w:val="20"/>
          <w:highlight w:val="none"/>
        </w:rPr>
      </w:pPr>
      <w:r>
        <w:rPr>
          <w:rFonts w:ascii="仿宋" w:hAnsi="仿宋" w:eastAsia="仿宋" w:cs="仿宋_GB2312"/>
          <w:b/>
          <w:sz w:val="36"/>
          <w:szCs w:val="20"/>
          <w:highlight w:val="none"/>
        </w:rPr>
        <w:br w:type="page"/>
      </w:r>
      <w:r>
        <w:rPr>
          <w:rFonts w:hint="eastAsia" w:ascii="仿宋" w:hAnsi="仿宋" w:eastAsia="仿宋" w:cs="仿宋_GB2312"/>
          <w:b/>
          <w:sz w:val="36"/>
          <w:szCs w:val="20"/>
          <w:highlight w:val="none"/>
        </w:rPr>
        <w:t>第二部分</w:t>
      </w:r>
      <w:bookmarkEnd w:id="7"/>
      <w:r>
        <w:rPr>
          <w:rFonts w:ascii="仿宋" w:hAnsi="仿宋" w:eastAsia="仿宋" w:cs="仿宋_GB2312"/>
          <w:b/>
          <w:sz w:val="36"/>
          <w:szCs w:val="20"/>
          <w:highlight w:val="none"/>
        </w:rPr>
        <w:t xml:space="preserve"> 投标人须知</w:t>
      </w:r>
      <w:bookmarkEnd w:id="8"/>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前附表</w:t>
      </w:r>
    </w:p>
    <w:tbl>
      <w:tblPr>
        <w:tblStyle w:val="6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34"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kern w:val="0"/>
                <w:sz w:val="24"/>
                <w:highlight w:val="none"/>
                <w:lang w:val="zh-CN"/>
              </w:rPr>
            </w:pPr>
            <w:r>
              <w:rPr>
                <w:rFonts w:hint="eastAsia" w:ascii="仿宋" w:hAnsi="仿宋" w:eastAsia="仿宋" w:cs="仿宋"/>
                <w:kern w:val="0"/>
                <w:sz w:val="24"/>
                <w:highlight w:val="none"/>
                <w:lang w:val="zh-CN"/>
              </w:rPr>
              <w:t>有关本项目实施所需的所有费用（含税费）均计入报价。</w:t>
            </w:r>
            <w:r>
              <w:rPr>
                <w:rFonts w:hint="eastAsia" w:ascii="仿宋" w:hAnsi="仿宋" w:eastAsia="仿宋" w:cs="仿宋"/>
                <w:sz w:val="24"/>
                <w:highlight w:val="none"/>
              </w:rPr>
              <w:t>开标一览表（报价表）是报价的唯一载体</w:t>
            </w:r>
            <w:r>
              <w:rPr>
                <w:rFonts w:hint="eastAsia" w:ascii="仿宋" w:hAnsi="仿宋" w:eastAsia="仿宋" w:cs="仿宋"/>
                <w:kern w:val="0"/>
                <w:sz w:val="24"/>
                <w:highlight w:val="none"/>
                <w:lang w:val="zh-CN"/>
              </w:rPr>
              <w:t>。投标文件中价格全部采用人民币报价。招标文件未列明，而投标人认为必需的费用也需列入报价。</w:t>
            </w:r>
            <w:r>
              <w:rPr>
                <w:rFonts w:hint="eastAsia" w:ascii="仿宋" w:hAnsi="仿宋" w:eastAsia="仿宋" w:cs="仿宋"/>
                <w:b/>
                <w:kern w:val="0"/>
                <w:sz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400" w:lineRule="exact"/>
              <w:ind w:firstLine="241" w:firstLineChars="100"/>
              <w:jc w:val="left"/>
              <w:textAlignment w:val="auto"/>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400" w:lineRule="exact"/>
              <w:ind w:firstLine="241" w:firstLineChars="100"/>
              <w:jc w:val="left"/>
              <w:textAlignment w:val="auto"/>
              <w:rPr>
                <w:rFonts w:hint="eastAsia" w:ascii="仿宋" w:hAnsi="仿宋" w:eastAsia="仿宋" w:cs="仿宋"/>
                <w:kern w:val="0"/>
                <w:sz w:val="24"/>
                <w:highlight w:val="none"/>
                <w:lang w:val="zh-CN"/>
              </w:rPr>
            </w:pPr>
            <w:r>
              <w:rPr>
                <w:rFonts w:hint="eastAsia" w:ascii="仿宋" w:hAnsi="仿宋" w:eastAsia="仿宋" w:cs="仿宋"/>
                <w:b/>
                <w:kern w:val="0"/>
                <w:sz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400" w:lineRule="exact"/>
              <w:ind w:firstLine="241" w:firstLineChars="100"/>
              <w:textAlignment w:val="auto"/>
              <w:rPr>
                <w:rFonts w:hint="eastAsia" w:ascii="仿宋" w:hAnsi="仿宋" w:eastAsia="仿宋" w:cs="仿宋"/>
                <w:b/>
                <w:sz w:val="24"/>
                <w:highlight w:val="none"/>
              </w:rPr>
            </w:pPr>
            <w:r>
              <w:rPr>
                <w:rFonts w:hint="eastAsia" w:ascii="仿宋" w:hAnsi="仿宋" w:eastAsia="仿宋" w:cs="仿宋"/>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highlight w:val="none"/>
              </w:rPr>
              <w:t>;</w:t>
            </w:r>
          </w:p>
          <w:p>
            <w:pPr>
              <w:keepNext w:val="0"/>
              <w:keepLines w:val="0"/>
              <w:pageBreakBefore w:val="0"/>
              <w:widowControl w:val="0"/>
              <w:kinsoku/>
              <w:wordWrap/>
              <w:overflowPunct/>
              <w:topLinePunct w:val="0"/>
              <w:autoSpaceDE/>
              <w:autoSpaceDN/>
              <w:bidi w:val="0"/>
              <w:adjustRightInd w:val="0"/>
              <w:spacing w:line="400" w:lineRule="exact"/>
              <w:ind w:firstLine="241" w:firstLineChars="100"/>
              <w:textAlignment w:val="auto"/>
              <w:rPr>
                <w:rFonts w:hint="eastAsia" w:ascii="仿宋" w:hAnsi="仿宋" w:eastAsia="仿宋" w:cs="仿宋"/>
                <w:sz w:val="24"/>
                <w:highlight w:val="none"/>
              </w:rPr>
            </w:pPr>
            <w:r>
              <w:rPr>
                <w:rFonts w:hint="eastAsia" w:ascii="仿宋" w:hAnsi="仿宋" w:eastAsia="仿宋" w:cs="仿宋"/>
                <w:b/>
                <w:kern w:val="0"/>
                <w:sz w:val="24"/>
                <w:highlight w:val="none"/>
              </w:rPr>
              <w:t>投标人对根据修正原则修正后的报价不确认的</w:t>
            </w:r>
            <w:r>
              <w:rPr>
                <w:rFonts w:hint="eastAsia" w:ascii="仿宋" w:hAnsi="仿宋" w:eastAsia="仿宋" w:cs="仿宋"/>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仿宋" w:hAnsi="仿宋" w:eastAsia="仿宋" w:cs="仿宋"/>
                <w:kern w:val="0"/>
                <w:sz w:val="24"/>
                <w:highlight w:val="none"/>
              </w:rPr>
              <w:t>☐ A</w:t>
            </w:r>
            <w:r>
              <w:rPr>
                <w:rFonts w:hint="eastAsia" w:ascii="仿宋" w:hAnsi="仿宋" w:eastAsia="仿宋" w:cs="仿宋"/>
                <w:sz w:val="24"/>
                <w:highlight w:val="none"/>
              </w:rPr>
              <w:t>同意将非主体、非关键性的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工作分包。</w:t>
            </w:r>
            <w:r>
              <w:rPr>
                <w:rFonts w:hint="eastAsia" w:ascii="仿宋" w:hAnsi="仿宋" w:eastAsia="仿宋" w:cs="仿宋"/>
                <w:kern w:val="0"/>
                <w:sz w:val="24"/>
                <w:highlight w:val="none"/>
              </w:rPr>
              <w:sym w:font="Wingdings" w:char="F0FE"/>
            </w:r>
            <w:r>
              <w:rPr>
                <w:rFonts w:hint="eastAsia" w:ascii="仿宋" w:hAnsi="仿宋" w:eastAsia="仿宋" w:cs="仿宋"/>
                <w:kern w:val="0"/>
                <w:sz w:val="24"/>
                <w:highlight w:val="none"/>
              </w:rPr>
              <w:t xml:space="preserve"> B</w:t>
            </w:r>
            <w:r>
              <w:rPr>
                <w:rFonts w:hint="eastAsia" w:ascii="仿宋" w:hAnsi="仿宋" w:eastAsia="仿宋" w:cs="仿宋"/>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5" w:hRule="atLeast"/>
          <w:tblHeader/>
        </w:trPr>
        <w:tc>
          <w:tcPr>
            <w:tcW w:w="629" w:type="dxa"/>
            <w:vMerge w:val="restart"/>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napToGrid w:val="0"/>
                <w:kern w:val="0"/>
                <w:szCs w:val="21"/>
                <w:highlight w:val="none"/>
              </w:rPr>
            </w:pPr>
            <w:r>
              <w:rPr>
                <w:rFonts w:hint="eastAsia" w:ascii="仿宋" w:hAnsi="仿宋" w:eastAsia="仿宋" w:cs="仿宋"/>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0" w:hRule="atLeast"/>
          <w:tblHeader/>
        </w:trPr>
        <w:tc>
          <w:tcPr>
            <w:tcW w:w="629"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F0FE"/>
            </w:r>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szCs w:val="20"/>
                <w:highlight w:val="none"/>
              </w:rPr>
            </w:pPr>
            <w:r>
              <w:rPr>
                <w:rFonts w:hint="eastAsia" w:ascii="仿宋" w:hAnsi="仿宋" w:eastAsia="仿宋" w:cs="仿宋"/>
                <w:kern w:val="0"/>
                <w:sz w:val="24"/>
                <w:highlight w:val="none"/>
              </w:rPr>
              <w:t>☐B组织，</w:t>
            </w:r>
            <w:r>
              <w:rPr>
                <w:rFonts w:hint="eastAsia" w:ascii="仿宋" w:hAnsi="仿宋" w:eastAsia="仿宋" w:cs="仿宋"/>
                <w:sz w:val="24"/>
                <w:highlight w:val="none"/>
              </w:rPr>
              <w:t>时间：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，联系方式：</w:t>
            </w:r>
            <w:r>
              <w:rPr>
                <w:rFonts w:hint="eastAsia" w:ascii="仿宋" w:hAnsi="仿宋" w:eastAsia="仿宋" w:cs="仿宋"/>
                <w:sz w:val="24"/>
                <w:highlight w:val="none"/>
                <w:u w:val="single"/>
              </w:rPr>
              <w:t xml:space="preserve">      </w:t>
            </w:r>
            <w:r>
              <w:rPr>
                <w:rFonts w:hint="eastAsia" w:ascii="仿宋" w:hAnsi="仿宋" w:eastAsia="仿宋" w:cs="仿宋"/>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1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MS Gothic" w:hAnsi="Wingdings" w:eastAsia="MS Gothic"/>
                <w:color w:val="auto"/>
                <w:kern w:val="0"/>
                <w:sz w:val="24"/>
                <w:szCs w:val="24"/>
                <w:highlight w:val="none"/>
              </w:rPr>
              <w:sym w:font="Wingdings" w:char="00FE"/>
            </w:r>
            <w:r>
              <w:rPr>
                <w:rFonts w:ascii="仿宋_GB2312" w:hAnsi="仿宋" w:eastAsia="仿宋_GB2312" w:cs="仿宋_GB2312"/>
                <w:color w:val="auto"/>
                <w:kern w:val="0"/>
                <w:sz w:val="24"/>
                <w:szCs w:val="24"/>
                <w:highlight w:val="none"/>
              </w:rPr>
              <w:t>A</w:t>
            </w:r>
            <w:r>
              <w:rPr>
                <w:rFonts w:hint="eastAsia" w:ascii="仿宋_GB2312" w:hAnsi="仿宋" w:eastAsia="仿宋_GB2312" w:cs="仿宋_GB2312"/>
                <w:color w:val="auto"/>
                <w:sz w:val="24"/>
                <w:szCs w:val="24"/>
                <w:highlight w:val="none"/>
              </w:rPr>
              <w:t>不要求提供。</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szCs w:val="24"/>
                <w:highlight w:val="none"/>
                <w:lang w:val="en-US" w:eastAsia="zh-CN" w:bidi="ar-SA"/>
              </w:rPr>
              <w:t>☐</w:t>
            </w:r>
            <w:r>
              <w:rPr>
                <w:rFonts w:hint="eastAsia" w:ascii="仿宋" w:hAnsi="仿宋" w:eastAsia="仿宋" w:cs="仿宋"/>
                <w:kern w:val="0"/>
                <w:sz w:val="24"/>
                <w:highlight w:val="none"/>
              </w:rPr>
              <w:t>B要求提供，</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（1）</w:t>
            </w:r>
            <w:r>
              <w:rPr>
                <w:rFonts w:hint="eastAsia" w:ascii="仿宋" w:hAnsi="仿宋" w:eastAsia="仿宋" w:cs="仿宋"/>
                <w:snapToGrid w:val="0"/>
                <w:kern w:val="28"/>
                <w:sz w:val="24"/>
                <w:highlight w:val="none"/>
              </w:rPr>
              <w:t>样品：</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（2）</w:t>
            </w:r>
            <w:r>
              <w:rPr>
                <w:rFonts w:hint="eastAsia" w:ascii="仿宋" w:hAnsi="仿宋" w:eastAsia="仿宋" w:cs="仿宋"/>
                <w:snapToGrid w:val="0"/>
                <w:kern w:val="28"/>
                <w:sz w:val="24"/>
                <w:highlight w:val="none"/>
              </w:rPr>
              <w:t>样品制作的标准和要求：</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（3）样品的评审方法以及评审标准</w:t>
            </w:r>
            <w:r>
              <w:rPr>
                <w:rFonts w:hint="eastAsia" w:ascii="仿宋" w:hAnsi="仿宋" w:eastAsia="仿宋" w:cs="仿宋"/>
                <w:snapToGrid w:val="0"/>
                <w:kern w:val="28"/>
                <w:sz w:val="24"/>
                <w:highlight w:val="none"/>
              </w:rPr>
              <w:t>：详见</w:t>
            </w:r>
            <w:r>
              <w:rPr>
                <w:rFonts w:hint="eastAsia" w:ascii="仿宋" w:hAnsi="仿宋" w:eastAsia="仿宋" w:cs="仿宋"/>
                <w:sz w:val="24"/>
                <w:highlight w:val="none"/>
                <w:u w:val="single"/>
              </w:rPr>
              <w:t>评标办法</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（4）是否需要随样品提交检测报告：</w:t>
            </w:r>
            <w:r>
              <w:rPr>
                <w:rFonts w:hint="eastAsia" w:ascii="仿宋" w:hAnsi="仿宋" w:eastAsia="仿宋" w:cs="仿宋"/>
                <w:kern w:val="0"/>
                <w:sz w:val="24"/>
                <w:highlight w:val="none"/>
              </w:rPr>
              <w:sym w:font="Wingdings" w:char="F0FE"/>
            </w:r>
            <w:r>
              <w:rPr>
                <w:rFonts w:hint="eastAsia" w:ascii="仿宋" w:hAnsi="仿宋" w:eastAsia="仿宋" w:cs="仿宋"/>
                <w:kern w:val="0"/>
                <w:sz w:val="24"/>
                <w:highlight w:val="none"/>
              </w:rPr>
              <w:t>否；☐是，检测机构的要求</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；检测内容</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（5）提供样品的时间：</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；联系人</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28"/>
                <w:sz w:val="24"/>
                <w:highlight w:val="none"/>
              </w:rPr>
              <w:t>联系电话：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sz w:val="24"/>
                <w:highlight w:val="none"/>
              </w:rPr>
            </w:pPr>
            <w:r>
              <w:rPr>
                <w:rFonts w:hint="eastAsia" w:ascii="仿宋" w:hAnsi="仿宋" w:eastAsia="仿宋" w:cs="仿宋"/>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Cs/>
                <w:sz w:val="24"/>
                <w:highlight w:val="none"/>
              </w:rPr>
            </w:pPr>
            <w:r>
              <w:rPr>
                <w:rFonts w:hint="eastAsia" w:ascii="仿宋" w:hAnsi="仿宋" w:eastAsia="仿宋" w:cs="仿宋"/>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Wingdings" w:hAnsi="Wingdings" w:eastAsia="仿宋" w:cs="仿宋"/>
                <w:kern w:val="0"/>
                <w:sz w:val="24"/>
                <w:szCs w:val="24"/>
                <w:highlight w:val="none"/>
                <w:lang w:val="en-US" w:eastAsia="zh-CN" w:bidi="ar-SA"/>
              </w:rPr>
              <w:t>þ</w:t>
            </w:r>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☐B组织。</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（2）方案讲解演示可选择以下其中一种方式：</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方式一：政采云平台在线讲解演示。政采云平台在线讲解需投标人根据政采云平台操作要求做好准备工作，提前完善软硬件配置环境。</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方式二：交易中心现场讲解演示。现场讲解地点为</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，讲解演示所用电脑等设备由投标人自备。现场讲解演示人员进场时提供讲解人员名单（加盖公章）及身份证明，否则不得讲解演示。</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b/>
                <w:kern w:val="0"/>
                <w:sz w:val="24"/>
                <w:highlight w:val="none"/>
                <w:lang w:val="zh-CN"/>
              </w:rPr>
            </w:pPr>
            <w:r>
              <w:rPr>
                <w:rFonts w:hint="eastAsia" w:ascii="仿宋" w:hAnsi="仿宋" w:eastAsia="仿宋" w:cs="仿宋"/>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sym w:font="Wingdings" w:char="F0FE"/>
            </w:r>
            <w:r>
              <w:rPr>
                <w:rFonts w:hint="eastAsia" w:ascii="仿宋" w:hAnsi="仿宋" w:eastAsia="仿宋" w:cs="仿宋"/>
                <w:kern w:val="0"/>
                <w:sz w:val="24"/>
                <w:highlight w:val="none"/>
              </w:rPr>
              <w:t>本项目不允许采购进口产品。</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highlight w:val="none"/>
              </w:rPr>
            </w:pPr>
            <w:r>
              <w:rPr>
                <w:rFonts w:hint="eastAsia" w:ascii="仿宋" w:hAnsi="仿宋" w:eastAsia="仿宋" w:cs="仿宋"/>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仿宋" w:hAnsi="仿宋" w:eastAsia="仿宋" w:cs="仿宋"/>
                <w:kern w:val="0"/>
                <w:sz w:val="24"/>
                <w:szCs w:val="24"/>
                <w:highlight w:val="none"/>
                <w:lang w:val="en-US" w:eastAsia="zh-CN" w:bidi="ar-SA"/>
              </w:rPr>
              <w:t>☐</w:t>
            </w:r>
            <w:r>
              <w:rPr>
                <w:rFonts w:hint="eastAsia" w:ascii="仿宋" w:hAnsi="仿宋" w:eastAsia="仿宋" w:cs="仿宋"/>
                <w:kern w:val="0"/>
                <w:sz w:val="24"/>
                <w:highlight w:val="none"/>
              </w:rPr>
              <w:t>A</w:t>
            </w:r>
            <w:r>
              <w:rPr>
                <w:rFonts w:hint="eastAsia" w:ascii="仿宋" w:hAnsi="仿宋" w:eastAsia="仿宋" w:cs="仿宋"/>
                <w:sz w:val="24"/>
                <w:highlight w:val="none"/>
              </w:rPr>
              <w:t>货物类，单一产品或</w:t>
            </w:r>
            <w:r>
              <w:rPr>
                <w:rFonts w:hint="eastAsia" w:ascii="仿宋" w:hAnsi="仿宋" w:eastAsia="仿宋" w:cs="仿宋"/>
                <w:kern w:val="0"/>
                <w:sz w:val="24"/>
                <w:highlight w:val="none"/>
              </w:rPr>
              <w:t>核心产品为：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highlight w:val="none"/>
              </w:rPr>
            </w:pPr>
            <w:r>
              <w:rPr>
                <w:rFonts w:hint="eastAsia" w:ascii="Wingdings" w:hAnsi="Wingdings" w:eastAsia="仿宋" w:cs="仿宋"/>
                <w:kern w:val="0"/>
                <w:sz w:val="24"/>
                <w:szCs w:val="24"/>
                <w:highlight w:val="none"/>
                <w:lang w:val="en-US" w:eastAsia="zh-CN" w:bidi="ar-SA"/>
              </w:rPr>
              <w:t>þ</w:t>
            </w:r>
            <w:r>
              <w:rPr>
                <w:rFonts w:hint="eastAsia" w:ascii="仿宋" w:hAnsi="仿宋" w:eastAsia="仿宋" w:cs="仿宋"/>
                <w:kern w:val="0"/>
                <w:sz w:val="24"/>
                <w:highlight w:val="none"/>
              </w:rPr>
              <w:t>B</w:t>
            </w:r>
            <w:r>
              <w:rPr>
                <w:rFonts w:hint="eastAsia" w:ascii="仿宋" w:hAnsi="仿宋" w:eastAsia="仿宋" w:cs="仿宋"/>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highlight w:val="none"/>
                <w:lang w:val="en-US" w:eastAsia="zh-CN"/>
              </w:rPr>
            </w:pPr>
            <w:r>
              <w:rPr>
                <w:rFonts w:hint="eastAsia" w:ascii="仿宋" w:hAnsi="仿宋" w:eastAsia="仿宋" w:cs="仿宋"/>
                <w:kern w:val="0"/>
                <w:sz w:val="24"/>
                <w:highlight w:val="none"/>
              </w:rPr>
              <w:t>（1）标的：</w:t>
            </w:r>
            <w:r>
              <w:rPr>
                <w:rFonts w:hint="eastAsia" w:ascii="仿宋" w:hAnsi="仿宋" w:eastAsia="仿宋" w:cs="仿宋"/>
                <w:kern w:val="0"/>
                <w:sz w:val="24"/>
                <w:highlight w:val="none"/>
                <w:u w:val="single"/>
                <w:lang w:val="en-US" w:eastAsia="zh-CN"/>
              </w:rPr>
              <w:t>保洁服务</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，属于</w:t>
            </w:r>
            <w:r>
              <w:rPr>
                <w:rFonts w:hint="eastAsia" w:ascii="仿宋" w:hAnsi="仿宋" w:eastAsia="仿宋" w:cs="仿宋"/>
                <w:b w:val="0"/>
                <w:bCs/>
                <w:sz w:val="24"/>
                <w:szCs w:val="24"/>
                <w:highlight w:val="none"/>
                <w:u w:val="single"/>
              </w:rPr>
              <w:t>其他未列明行业</w:t>
            </w:r>
            <w:r>
              <w:rPr>
                <w:rFonts w:hint="eastAsia" w:ascii="仿宋" w:hAnsi="仿宋" w:eastAsia="仿宋" w:cs="仿宋"/>
                <w:b w:val="0"/>
                <w:bCs/>
                <w:sz w:val="24"/>
                <w:szCs w:val="24"/>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highlight w:val="none"/>
              </w:rPr>
            </w:pPr>
            <w:r>
              <w:rPr>
                <w:rFonts w:hint="eastAsia" w:ascii="仿宋" w:hAnsi="仿宋" w:eastAsia="仿宋" w:cs="仿宋"/>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pacing w:line="400" w:lineRule="exact"/>
              <w:ind w:firstLine="420" w:firstLineChars="200"/>
              <w:jc w:val="center"/>
              <w:textAlignment w:val="auto"/>
              <w:rPr>
                <w:rFonts w:hint="eastAsia" w:ascii="仿宋" w:hAnsi="仿宋" w:eastAsia="仿宋" w:cs="仿宋"/>
                <w:highlight w:val="none"/>
              </w:rPr>
            </w:pPr>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ind w:firstLine="420" w:firstLineChars="200"/>
              <w:textAlignment w:val="auto"/>
              <w:rPr>
                <w:rFonts w:hint="eastAsia" w:ascii="仿宋" w:hAnsi="仿宋" w:eastAsia="仿宋" w:cs="仿宋"/>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8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28"/>
                <w:sz w:val="24"/>
                <w:highlight w:val="none"/>
              </w:rPr>
            </w:pPr>
            <w:r>
              <w:rPr>
                <w:rFonts w:hint="eastAsia" w:ascii="仿宋" w:hAnsi="仿宋" w:eastAsia="仿宋" w:cs="仿宋"/>
                <w:kern w:val="28"/>
                <w:sz w:val="24"/>
                <w:szCs w:val="24"/>
                <w:highlight w:val="none"/>
              </w:rPr>
              <w:t>备份投标文件送达地点：</w:t>
            </w:r>
            <w:r>
              <w:rPr>
                <w:rFonts w:hint="eastAsia" w:ascii="仿宋" w:hAnsi="仿宋" w:eastAsia="仿宋" w:cs="仿宋"/>
                <w:color w:val="000000"/>
                <w:sz w:val="24"/>
                <w:szCs w:val="21"/>
                <w:highlight w:val="none"/>
                <w:u w:val="single"/>
                <w:lang w:val="zh-CN"/>
              </w:rPr>
              <w:t>杭州市</w:t>
            </w:r>
            <w:r>
              <w:rPr>
                <w:rFonts w:hint="eastAsia" w:ascii="仿宋" w:hAnsi="仿宋" w:eastAsia="仿宋" w:cs="仿宋"/>
                <w:color w:val="000000"/>
                <w:sz w:val="24"/>
                <w:szCs w:val="21"/>
                <w:highlight w:val="none"/>
                <w:u w:val="single"/>
              </w:rPr>
              <w:t>临平</w:t>
            </w:r>
            <w:r>
              <w:rPr>
                <w:rFonts w:hint="eastAsia" w:ascii="仿宋" w:hAnsi="仿宋" w:eastAsia="仿宋" w:cs="仿宋"/>
                <w:color w:val="000000"/>
                <w:sz w:val="24"/>
                <w:szCs w:val="21"/>
                <w:highlight w:val="none"/>
                <w:u w:val="single"/>
                <w:lang w:val="zh-CN"/>
              </w:rPr>
              <w:t>区</w:t>
            </w:r>
            <w:r>
              <w:rPr>
                <w:rFonts w:hint="eastAsia" w:ascii="仿宋" w:hAnsi="仿宋" w:eastAsia="仿宋" w:cs="仿宋"/>
                <w:color w:val="000000"/>
                <w:sz w:val="24"/>
                <w:szCs w:val="21"/>
                <w:highlight w:val="none"/>
                <w:u w:val="single"/>
                <w:lang w:val="en-US" w:eastAsia="zh-CN"/>
              </w:rPr>
              <w:t>南苑</w:t>
            </w:r>
            <w:r>
              <w:rPr>
                <w:rFonts w:hint="eastAsia" w:ascii="仿宋" w:hAnsi="仿宋" w:eastAsia="仿宋" w:cs="仿宋"/>
                <w:color w:val="000000"/>
                <w:sz w:val="24"/>
                <w:szCs w:val="21"/>
                <w:highlight w:val="none"/>
                <w:u w:val="single"/>
                <w:lang w:val="zh-CN"/>
              </w:rPr>
              <w:t>街道</w:t>
            </w:r>
            <w:r>
              <w:rPr>
                <w:rFonts w:hint="eastAsia" w:ascii="仿宋" w:hAnsi="仿宋" w:eastAsia="仿宋" w:cs="仿宋"/>
                <w:color w:val="000000"/>
                <w:sz w:val="24"/>
                <w:szCs w:val="21"/>
                <w:highlight w:val="none"/>
                <w:u w:val="single"/>
                <w:lang w:val="en-US" w:eastAsia="zh-CN"/>
              </w:rPr>
              <w:t>香雪路38</w:t>
            </w:r>
            <w:r>
              <w:rPr>
                <w:rFonts w:hint="eastAsia" w:ascii="仿宋" w:hAnsi="仿宋" w:eastAsia="仿宋" w:cs="仿宋"/>
                <w:color w:val="000000"/>
                <w:sz w:val="24"/>
                <w:szCs w:val="21"/>
                <w:highlight w:val="none"/>
                <w:u w:val="single"/>
                <w:lang w:val="zh-CN"/>
              </w:rPr>
              <w:t>号</w:t>
            </w:r>
            <w:r>
              <w:rPr>
                <w:rFonts w:hint="eastAsia" w:ascii="仿宋" w:hAnsi="仿宋" w:eastAsia="仿宋" w:cs="仿宋"/>
                <w:color w:val="000000"/>
                <w:sz w:val="24"/>
                <w:szCs w:val="21"/>
                <w:highlight w:val="none"/>
                <w:u w:val="single"/>
                <w:lang w:val="en-US" w:eastAsia="zh-CN"/>
              </w:rPr>
              <w:t>香雪铭座7</w:t>
            </w:r>
            <w:r>
              <w:rPr>
                <w:rFonts w:hint="eastAsia" w:ascii="仿宋" w:hAnsi="仿宋" w:eastAsia="仿宋" w:cs="仿宋"/>
                <w:color w:val="000000"/>
                <w:sz w:val="24"/>
                <w:szCs w:val="21"/>
                <w:highlight w:val="none"/>
                <w:u w:val="single"/>
                <w:lang w:val="zh-CN"/>
              </w:rPr>
              <w:t>楼</w:t>
            </w:r>
            <w:r>
              <w:rPr>
                <w:rFonts w:hint="eastAsia" w:ascii="仿宋" w:hAnsi="仿宋" w:eastAsia="仿宋" w:cs="仿宋"/>
                <w:color w:val="000000"/>
                <w:sz w:val="24"/>
                <w:szCs w:val="21"/>
                <w:highlight w:val="none"/>
                <w:u w:val="single"/>
              </w:rPr>
              <w:t>招标代理部</w:t>
            </w:r>
            <w:r>
              <w:rPr>
                <w:rFonts w:hint="eastAsia" w:ascii="仿宋" w:hAnsi="仿宋" w:eastAsia="仿宋" w:cs="仿宋"/>
                <w:sz w:val="24"/>
                <w:highlight w:val="none"/>
                <w:u w:val="single"/>
              </w:rPr>
              <w:t xml:space="preserve"> </w:t>
            </w:r>
            <w:r>
              <w:rPr>
                <w:rFonts w:hint="eastAsia" w:ascii="仿宋" w:hAnsi="仿宋" w:eastAsia="仿宋" w:cs="仿宋"/>
                <w:kern w:val="28"/>
                <w:sz w:val="24"/>
                <w:szCs w:val="24"/>
                <w:highlight w:val="none"/>
              </w:rPr>
              <w:t>；备份投标文件签收人员</w:t>
            </w:r>
            <w:r>
              <w:rPr>
                <w:rFonts w:hint="eastAsia" w:ascii="仿宋" w:hAnsi="仿宋" w:eastAsia="仿宋" w:cs="仿宋"/>
                <w:kern w:val="28"/>
                <w:sz w:val="24"/>
                <w:szCs w:val="24"/>
                <w:highlight w:val="none"/>
                <w:lang w:eastAsia="zh-CN"/>
              </w:rPr>
              <w:t>：</w:t>
            </w:r>
            <w:r>
              <w:rPr>
                <w:rFonts w:hint="eastAsia" w:ascii="仿宋" w:hAnsi="仿宋" w:eastAsia="仿宋" w:cs="仿宋"/>
                <w:kern w:val="28"/>
                <w:sz w:val="24"/>
                <w:szCs w:val="24"/>
                <w:highlight w:val="none"/>
                <w:u w:val="single"/>
                <w:lang w:val="en-US" w:eastAsia="zh-CN"/>
              </w:rPr>
              <w:t>施伟强，</w:t>
            </w:r>
            <w:r>
              <w:rPr>
                <w:rFonts w:hint="eastAsia" w:ascii="仿宋" w:hAnsi="仿宋" w:eastAsia="仿宋" w:cs="仿宋"/>
                <w:kern w:val="28"/>
                <w:sz w:val="24"/>
                <w:szCs w:val="24"/>
                <w:highlight w:val="none"/>
                <w:u w:val="single"/>
              </w:rPr>
              <w:t>联系电话：89183725</w:t>
            </w:r>
            <w:r>
              <w:rPr>
                <w:rFonts w:hint="eastAsia" w:ascii="仿宋" w:hAnsi="仿宋" w:eastAsia="仿宋" w:cs="仿宋"/>
                <w:sz w:val="24"/>
                <w:highlight w:val="none"/>
                <w:u w:val="single"/>
              </w:rPr>
              <w:t xml:space="preserve"> </w:t>
            </w:r>
            <w:r>
              <w:rPr>
                <w:rFonts w:hint="eastAsia" w:ascii="仿宋" w:hAnsi="仿宋" w:eastAsia="仿宋" w:cs="仿宋"/>
                <w:sz w:val="24"/>
                <w:szCs w:val="24"/>
                <w:highlight w:val="none"/>
                <w:u w:val="single"/>
              </w:rPr>
              <w:t>。</w:t>
            </w:r>
            <w:r>
              <w:rPr>
                <w:rFonts w:hint="eastAsia" w:ascii="仿宋" w:hAnsi="仿宋" w:eastAsia="仿宋" w:cs="仿宋"/>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highlight w:val="none"/>
              </w:rPr>
            </w:pPr>
            <w:r>
              <w:rPr>
                <w:rFonts w:hint="eastAsia" w:ascii="仿宋" w:hAnsi="仿宋" w:eastAsia="仿宋" w:cs="仿宋"/>
                <w:b/>
                <w:bCs/>
                <w:color w:val="000000"/>
                <w:highlight w:val="none"/>
              </w:rPr>
              <w:t>招标服务费：</w:t>
            </w:r>
            <w:r>
              <w:rPr>
                <w:rFonts w:hint="eastAsia" w:ascii="仿宋" w:hAnsi="仿宋" w:eastAsia="仿宋" w:cs="仿宋"/>
                <w:sz w:val="24"/>
                <w:highlight w:val="none"/>
              </w:rPr>
              <w:t>本次招标代理服务费由中标人支付，招标代理服务费按照国家计委印发的《招标代理服务收费管理暂行办法》计价格[2002]1980号、发改办价格[2003]857号规定收费，招标代理</w:t>
            </w:r>
            <w:r>
              <w:rPr>
                <w:rFonts w:hint="eastAsia" w:ascii="仿宋" w:hAnsi="仿宋" w:eastAsia="仿宋" w:cs="仿宋"/>
                <w:color w:val="auto"/>
                <w:sz w:val="24"/>
                <w:highlight w:val="none"/>
              </w:rPr>
              <w:t>服</w:t>
            </w:r>
            <w:r>
              <w:rPr>
                <w:rFonts w:hint="eastAsia" w:ascii="仿宋" w:hAnsi="仿宋" w:eastAsia="仿宋" w:cs="仿宋"/>
                <w:sz w:val="24"/>
                <w:highlight w:val="none"/>
              </w:rPr>
              <w:t>务费</w:t>
            </w:r>
            <w:r>
              <w:rPr>
                <w:rFonts w:hint="eastAsia" w:ascii="仿宋" w:hAnsi="仿宋" w:eastAsia="仿宋" w:cs="仿宋"/>
                <w:sz w:val="24"/>
                <w:highlight w:val="none"/>
                <w:lang w:val="en-US" w:eastAsia="zh-CN"/>
              </w:rPr>
              <w:t>105849</w:t>
            </w:r>
            <w:r>
              <w:rPr>
                <w:rFonts w:hint="eastAsia" w:ascii="仿宋" w:hAnsi="仿宋" w:eastAsia="仿宋" w:cs="仿宋"/>
                <w:sz w:val="24"/>
                <w:highlight w:val="none"/>
              </w:rPr>
              <w:t>元</w:t>
            </w:r>
            <w:r>
              <w:rPr>
                <w:rFonts w:hint="eastAsia" w:ascii="仿宋" w:hAnsi="仿宋" w:eastAsia="仿宋" w:cs="仿宋"/>
                <w:color w:val="auto"/>
                <w:sz w:val="24"/>
                <w:highlight w:val="none"/>
              </w:rPr>
              <w:t>。</w:t>
            </w:r>
            <w:r>
              <w:rPr>
                <w:rFonts w:hint="eastAsia" w:ascii="仿宋" w:hAnsi="仿宋" w:eastAsia="仿宋" w:cs="仿宋"/>
                <w:sz w:val="24"/>
                <w:highlight w:val="none"/>
              </w:rPr>
              <w:t>招标代理服务费由中标人在领取中标通知书前支付给招标代理机构，各投标人应在投标报价中予以考虑。</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napToGrid w:val="0"/>
                <w:kern w:val="28"/>
                <w:sz w:val="24"/>
                <w:highlight w:val="none"/>
              </w:rPr>
            </w:pPr>
            <w:r>
              <w:rPr>
                <w:rFonts w:hint="eastAsia" w:ascii="宋体" w:hAnsi="宋体" w:cs="宋体"/>
                <w:b/>
                <w:bCs/>
                <w:color w:val="auto"/>
                <w:highlight w:val="none"/>
              </w:rPr>
              <w:t>中标服务费的交纳方式：以转帐或支票的形式支付</w:t>
            </w:r>
            <w:r>
              <w:rPr>
                <w:rFonts w:hint="eastAsia" w:ascii="宋体" w:hAnsi="宋体" w:cs="宋体"/>
                <w:b/>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000000" w:sz="8"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中标单位需在领取中标通知书时，提供本项目纸质投标文件（资格文件”、“报价文件”和“商务技术文件”）</w:t>
            </w:r>
            <w:r>
              <w:rPr>
                <w:rFonts w:hint="eastAsia" w:ascii="仿宋" w:hAnsi="仿宋" w:eastAsia="仿宋" w:cs="仿宋"/>
                <w:sz w:val="24"/>
                <w:highlight w:val="none"/>
                <w:lang w:val="en-US" w:eastAsia="zh-CN"/>
              </w:rPr>
              <w:t>四</w:t>
            </w:r>
            <w:r>
              <w:rPr>
                <w:rFonts w:hint="eastAsia" w:ascii="仿宋" w:hAnsi="仿宋" w:eastAsia="仿宋" w:cs="仿宋"/>
                <w:sz w:val="24"/>
                <w:highlight w:val="none"/>
              </w:rPr>
              <w:t>份（正本一份，副本</w:t>
            </w:r>
            <w:r>
              <w:rPr>
                <w:rFonts w:hint="eastAsia" w:ascii="仿宋" w:hAnsi="仿宋" w:eastAsia="仿宋" w:cs="仿宋"/>
                <w:sz w:val="24"/>
                <w:highlight w:val="none"/>
                <w:lang w:val="en-US" w:eastAsia="zh-CN"/>
              </w:rPr>
              <w:t>三</w:t>
            </w:r>
            <w:r>
              <w:rPr>
                <w:rFonts w:hint="eastAsia" w:ascii="仿宋" w:hAnsi="仿宋" w:eastAsia="仿宋" w:cs="仿宋"/>
                <w:sz w:val="24"/>
                <w:highlight w:val="none"/>
              </w:rPr>
              <w:t>份）并提供电子投标文件与纸质投标文件内容一致承诺书四份（格式详见采购文件）。</w:t>
            </w:r>
          </w:p>
        </w:tc>
      </w:tr>
    </w:tbl>
    <w:p>
      <w:pPr>
        <w:snapToGrid w:val="0"/>
        <w:spacing w:line="360" w:lineRule="auto"/>
        <w:jc w:val="center"/>
        <w:rPr>
          <w:rFonts w:ascii="仿宋" w:hAnsi="仿宋" w:eastAsia="仿宋" w:cs="仿宋_GB2312"/>
          <w:b/>
          <w:sz w:val="32"/>
          <w:szCs w:val="20"/>
          <w:highlight w:val="none"/>
        </w:rPr>
      </w:pPr>
    </w:p>
    <w:p>
      <w:pPr>
        <w:pStyle w:val="5"/>
      </w:pPr>
    </w:p>
    <w:bookmarkEnd w:id="9"/>
    <w:p>
      <w:pPr>
        <w:adjustRightInd/>
        <w:spacing w:line="360" w:lineRule="auto"/>
        <w:ind w:firstLine="3845" w:firstLineChars="1197"/>
        <w:outlineLvl w:val="0"/>
        <w:rPr>
          <w:rFonts w:hint="eastAsia" w:ascii="仿宋_GB2312" w:hAnsi="仿宋" w:eastAsia="仿宋_GB2312" w:cs="仿宋_GB2312"/>
          <w:b/>
          <w:sz w:val="32"/>
          <w:szCs w:val="20"/>
          <w:highlight w:val="none"/>
        </w:rPr>
      </w:pPr>
      <w:bookmarkStart w:id="10" w:name="_Toc164416483"/>
      <w:bookmarkStart w:id="11" w:name="第三部分"/>
    </w:p>
    <w:p>
      <w:pPr>
        <w:adjustRightInd/>
        <w:spacing w:line="360" w:lineRule="auto"/>
        <w:ind w:firstLine="3845" w:firstLineChars="1197"/>
        <w:outlineLvl w:val="0"/>
        <w:rPr>
          <w:rFonts w:hint="eastAsia" w:ascii="仿宋_GB2312" w:hAnsi="仿宋" w:eastAsia="仿宋_GB2312" w:cs="仿宋_GB2312"/>
          <w:b/>
          <w:sz w:val="32"/>
          <w:szCs w:val="20"/>
          <w:highlight w:val="none"/>
        </w:rPr>
      </w:pPr>
    </w:p>
    <w:p>
      <w:pPr>
        <w:adjustRightInd/>
        <w:spacing w:line="360" w:lineRule="auto"/>
        <w:ind w:firstLine="3845" w:firstLineChars="1197"/>
        <w:outlineLvl w:val="0"/>
        <w:rPr>
          <w:rFonts w:hint="eastAsia" w:ascii="仿宋_GB2312" w:hAnsi="仿宋" w:eastAsia="仿宋_GB2312" w:cs="仿宋_GB2312"/>
          <w:b/>
          <w:sz w:val="32"/>
          <w:szCs w:val="20"/>
          <w:highlight w:val="none"/>
        </w:rPr>
      </w:pPr>
    </w:p>
    <w:p>
      <w:pPr>
        <w:adjustRightInd/>
        <w:spacing w:line="360" w:lineRule="auto"/>
        <w:ind w:firstLine="3845" w:firstLineChars="1197"/>
        <w:outlineLvl w:val="0"/>
        <w:rPr>
          <w:rFonts w:ascii="仿宋_GB2312" w:hAnsi="仿宋" w:eastAsia="仿宋_GB2312" w:cs="仿宋_GB2312"/>
          <w:b/>
          <w:sz w:val="32"/>
          <w:szCs w:val="20"/>
          <w:highlight w:val="none"/>
        </w:rPr>
      </w:pPr>
      <w:r>
        <w:rPr>
          <w:rFonts w:hint="eastAsia" w:ascii="仿宋_GB2312" w:hAnsi="仿宋" w:eastAsia="仿宋_GB2312" w:cs="仿宋_GB2312"/>
          <w:b/>
          <w:sz w:val="32"/>
          <w:szCs w:val="20"/>
          <w:highlight w:val="none"/>
        </w:rPr>
        <w:t>一、总则</w:t>
      </w:r>
    </w:p>
    <w:p>
      <w:pPr>
        <w:snapToGrid w:val="0"/>
        <w:spacing w:line="360" w:lineRule="auto"/>
        <w:ind w:firstLine="361" w:firstLineChars="150"/>
        <w:jc w:val="left"/>
        <w:outlineLvl w:val="1"/>
        <w:rPr>
          <w:rFonts w:ascii="仿宋_GB2312" w:hAnsi="仿宋" w:eastAsia="仿宋_GB2312"/>
          <w:b/>
          <w:sz w:val="24"/>
          <w:highlight w:val="none"/>
        </w:rPr>
      </w:pPr>
      <w:r>
        <w:rPr>
          <w:rFonts w:ascii="仿宋_GB2312" w:hAnsi="仿宋" w:eastAsia="仿宋_GB2312"/>
          <w:b/>
          <w:sz w:val="24"/>
          <w:highlight w:val="none"/>
        </w:rPr>
        <w:t xml:space="preserve">1. </w:t>
      </w:r>
      <w:r>
        <w:rPr>
          <w:rFonts w:hint="eastAsia" w:ascii="仿宋_GB2312" w:hAnsi="仿宋" w:eastAsia="仿宋_GB2312"/>
          <w:b/>
          <w:sz w:val="24"/>
          <w:highlight w:val="none"/>
        </w:rPr>
        <w:t>适用范围</w:t>
      </w:r>
    </w:p>
    <w:p>
      <w:pPr>
        <w:snapToGrid w:val="0"/>
        <w:spacing w:line="360" w:lineRule="auto"/>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highlight w:val="none"/>
        </w:rPr>
      </w:pPr>
      <w:r>
        <w:rPr>
          <w:rFonts w:ascii="仿宋_GB2312" w:hAnsi="仿宋" w:eastAsia="仿宋_GB2312" w:cs="仿宋_GB2312"/>
          <w:b/>
          <w:sz w:val="24"/>
          <w:highlight w:val="none"/>
        </w:rPr>
        <w:t xml:space="preserve">   2.定义</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2.1 </w:t>
      </w:r>
      <w:r>
        <w:rPr>
          <w:rFonts w:hint="eastAsia" w:ascii="仿宋_GB2312" w:hAnsi="仿宋" w:eastAsia="仿宋_GB2312"/>
          <w:sz w:val="24"/>
          <w:highlight w:val="none"/>
        </w:rPr>
        <w:t>“采购人”系指招标公告中载明的本项目的采购人。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2.2 </w:t>
      </w:r>
      <w:r>
        <w:rPr>
          <w:rFonts w:hint="eastAsia" w:ascii="仿宋_GB2312" w:hAnsi="仿宋" w:eastAsia="仿宋_GB2312"/>
          <w:sz w:val="24"/>
          <w:highlight w:val="none"/>
        </w:rPr>
        <w:t>“采购机构”系指招标公告中载明的本项目的采购机构。</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2.3 </w:t>
      </w:r>
      <w:r>
        <w:rPr>
          <w:rFonts w:hint="eastAsia" w:ascii="仿宋_GB2312" w:hAnsi="仿宋" w:eastAsia="仿宋_GB2312"/>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2.4 </w:t>
      </w:r>
      <w:r>
        <w:rPr>
          <w:rFonts w:hint="eastAsia" w:ascii="仿宋_GB2312" w:hAnsi="仿宋" w:eastAsia="仿宋_GB2312"/>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2.5“电子签名”系指数据电文中以电子形式所含、所附用于识别签名人身份并表明签名人认可其中内容的数据；</w:t>
      </w:r>
      <w:r>
        <w:rPr>
          <w:rFonts w:hint="eastAsia" w:ascii="仿宋" w:hAnsi="仿宋" w:eastAsia="仿宋"/>
          <w:sz w:val="24"/>
          <w:highlight w:val="none"/>
        </w:rPr>
        <w:t>“公章”系指单位法定名称章。因特殊原因需要使用冠以法定名称的业务专用章的，投标时须提供《业务专用章使用说明函》（附件</w:t>
      </w:r>
      <w:r>
        <w:rPr>
          <w:rFonts w:ascii="仿宋" w:hAnsi="仿宋" w:eastAsia="仿宋"/>
          <w:sz w:val="24"/>
          <w:highlight w:val="none"/>
        </w:rPr>
        <w:t>4）</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2.7 </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系指实质性要求条款，“★”系产品采购项目中单一产品或核心产品，“</w:t>
      </w:r>
      <w:r>
        <w:rPr>
          <w:rFonts w:ascii="Wingdings" w:hAnsi="Wingdings" w:eastAsia="仿宋_GB2312" w:cs="Arial"/>
          <w:kern w:val="0"/>
          <w:sz w:val="24"/>
          <w:highlight w:val="none"/>
        </w:rPr>
        <w:t></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系指适用本项目的要求，“</w:t>
      </w:r>
      <w:r>
        <w:rPr>
          <w:rFonts w:ascii="MS Gothic" w:hAnsi="MS Gothic" w:eastAsia="MS Gothic" w:cs="Arial"/>
          <w:kern w:val="0"/>
          <w:sz w:val="24"/>
          <w:highlight w:val="none"/>
        </w:rPr>
        <w:t>☐</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系指不适用本项目的要求。</w:t>
      </w:r>
    </w:p>
    <w:p>
      <w:pPr>
        <w:spacing w:line="360" w:lineRule="auto"/>
        <w:ind w:firstLine="241" w:firstLineChars="100"/>
        <w:rPr>
          <w:rFonts w:ascii="仿宋_GB2312" w:hAnsi="仿宋" w:eastAsia="仿宋_GB2312"/>
          <w:b/>
          <w:sz w:val="24"/>
          <w:highlight w:val="none"/>
        </w:rPr>
      </w:pPr>
      <w:r>
        <w:rPr>
          <w:rFonts w:ascii="仿宋_GB2312" w:hAnsi="仿宋" w:eastAsia="仿宋_GB2312"/>
          <w:b/>
          <w:sz w:val="24"/>
          <w:highlight w:val="none"/>
        </w:rPr>
        <w:t>3.</w:t>
      </w:r>
      <w:r>
        <w:rPr>
          <w:rFonts w:ascii="仿宋_GB2312" w:hAnsi="仿宋" w:eastAsia="仿宋_GB2312"/>
          <w:highlight w:val="none"/>
        </w:rPr>
        <w:t xml:space="preserve"> </w:t>
      </w:r>
      <w:r>
        <w:rPr>
          <w:rFonts w:hint="eastAsia" w:ascii="仿宋_GB2312" w:hAnsi="仿宋" w:eastAsia="仿宋_GB2312"/>
          <w:b/>
          <w:sz w:val="24"/>
          <w:highlight w:val="none"/>
        </w:rPr>
        <w:t>采购项目需要落实的政府采购政策</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3.1 </w:t>
      </w:r>
      <w:r>
        <w:rPr>
          <w:rFonts w:hint="eastAsia" w:ascii="仿宋_GB2312" w:hAnsi="仿宋" w:eastAsia="仿宋_GB2312"/>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3.2 </w:t>
      </w:r>
      <w:r>
        <w:rPr>
          <w:rFonts w:hint="eastAsia" w:ascii="仿宋_GB2312" w:hAnsi="仿宋" w:eastAsia="仿宋_GB2312"/>
          <w:sz w:val="24"/>
          <w:highlight w:val="none"/>
        </w:rPr>
        <w:t>支持绿色发展</w:t>
      </w:r>
    </w:p>
    <w:p>
      <w:pPr>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highlight w:val="none"/>
        </w:rPr>
      </w:pPr>
      <w:r>
        <w:rPr>
          <w:rFonts w:ascii="仿宋_GB2312" w:hAnsi="仿宋" w:eastAsia="仿宋_GB2312"/>
          <w:sz w:val="24"/>
          <w:highlight w:val="none"/>
        </w:rPr>
        <w:t xml:space="preserve">3.2.2 </w:t>
      </w:r>
      <w:r>
        <w:rPr>
          <w:rFonts w:hint="eastAsia" w:ascii="仿宋_GB2312" w:hAnsi="仿宋" w:eastAsia="仿宋_GB2312"/>
          <w:sz w:val="24"/>
          <w:highlight w:val="none"/>
        </w:rPr>
        <w:t>修缮、装修类项目采购建材的，采购人应将绿色建筑和绿色建材性能、指标等作为实质性条件纳入招标文件和合同。</w:t>
      </w:r>
    </w:p>
    <w:p>
      <w:pPr>
        <w:spacing w:line="360" w:lineRule="auto"/>
        <w:ind w:firstLine="480" w:firstLineChars="200"/>
        <w:rPr>
          <w:sz w:val="24"/>
          <w:highlight w:val="none"/>
        </w:rPr>
      </w:pPr>
      <w:r>
        <w:rPr>
          <w:rFonts w:ascii="仿宋_GB2312" w:hAnsi="仿宋" w:eastAsia="仿宋_GB2312"/>
          <w:sz w:val="24"/>
          <w:highlight w:val="none"/>
        </w:rPr>
        <w:t>3.2.3</w:t>
      </w:r>
      <w:r>
        <w:rPr>
          <w:rFonts w:hint="eastAsia" w:ascii="仿宋_GB2312" w:hAnsi="仿宋" w:eastAsia="仿宋_GB2312"/>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3.3支持中小企业发展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eastAsia="仿宋_GB2312"/>
          <w:bCs/>
          <w:sz w:val="24"/>
          <w:highlight w:val="none"/>
        </w:rPr>
        <w:t>3.3.2</w:t>
      </w:r>
      <w:r>
        <w:rPr>
          <w:rFonts w:hint="eastAsia" w:ascii="仿宋_GB2312" w:hAnsi="宋体" w:eastAsia="仿宋_GB2312"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3.3.3</w:t>
      </w:r>
      <w:r>
        <w:rPr>
          <w:rFonts w:hint="eastAsia" w:ascii="仿宋_GB2312" w:hAnsi="仿宋" w:eastAsia="仿宋_GB2312"/>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sz w:val="24"/>
          <w:highlight w:val="none"/>
        </w:rPr>
        <w:t>政府</w:t>
      </w:r>
      <w:r>
        <w:rPr>
          <w:rFonts w:ascii="仿宋_GB2312" w:hAnsi="仿宋" w:eastAsia="仿宋_GB2312"/>
          <w:sz w:val="24"/>
          <w:highlight w:val="none"/>
        </w:rPr>
        <w:t>采购</w:t>
      </w:r>
      <w:r>
        <w:rPr>
          <w:rFonts w:hint="eastAsia" w:ascii="仿宋_GB2312" w:hAnsi="仿宋" w:eastAsia="仿宋_GB2312"/>
          <w:sz w:val="24"/>
          <w:highlight w:val="none"/>
        </w:rPr>
        <w:t>货物或服务</w:t>
      </w:r>
      <w:r>
        <w:rPr>
          <w:rFonts w:ascii="仿宋_GB2312" w:hAnsi="仿宋" w:eastAsia="仿宋_GB2312"/>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3.3.6</w:t>
      </w:r>
      <w:r>
        <w:rPr>
          <w:rFonts w:hint="eastAsia" w:ascii="仿宋_GB2312" w:hAnsi="仿宋" w:eastAsia="仿宋_GB2312"/>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sz w:val="24"/>
          <w:highlight w:val="none"/>
        </w:rPr>
        <w:t>。</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3.4</w:t>
      </w:r>
      <w:r>
        <w:rPr>
          <w:rFonts w:hint="eastAsia" w:ascii="仿宋_GB2312" w:eastAsia="仿宋_GB2312"/>
          <w:bCs/>
          <w:sz w:val="24"/>
          <w:highlight w:val="none"/>
        </w:rPr>
        <w:t>支持创新发展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3.4.1 采购人优先采购被认定</w:t>
      </w:r>
      <w:r>
        <w:rPr>
          <w:rFonts w:hint="eastAsia" w:ascii="仿宋_GB2312" w:hAnsi="仿宋" w:eastAsia="仿宋_GB2312"/>
          <w:sz w:val="24"/>
          <w:highlight w:val="none"/>
        </w:rPr>
        <w:t>为首台套产品和“制造精品”的自主创新产品。</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3.4.2首台套产品</w:t>
      </w:r>
      <w:r>
        <w:rPr>
          <w:rFonts w:hint="eastAsia" w:ascii="仿宋_GB2312" w:hAnsi="仿宋" w:eastAsia="仿宋_GB2312"/>
          <w:sz w:val="24"/>
          <w:highlight w:val="none"/>
        </w:rPr>
        <w:t>被纳入《首台套产品推广应用指导目录》之日起</w:t>
      </w:r>
      <w:r>
        <w:rPr>
          <w:rFonts w:ascii="仿宋_GB2312" w:hAnsi="仿宋" w:eastAsia="仿宋_GB2312"/>
          <w:sz w:val="24"/>
          <w:highlight w:val="none"/>
        </w:rPr>
        <w:t>2年内，以及产品核心技术高于国内领先水平，并具有明晰自主知识产权的“制造精品”产品，</w:t>
      </w:r>
      <w:r>
        <w:rPr>
          <w:rFonts w:hint="eastAsia" w:ascii="仿宋_GB2312" w:hAnsi="仿宋" w:eastAsia="仿宋_GB2312"/>
          <w:sz w:val="24"/>
          <w:highlight w:val="none"/>
        </w:rPr>
        <w:t>自认定之日起</w:t>
      </w:r>
      <w:r>
        <w:rPr>
          <w:rFonts w:ascii="仿宋_GB2312" w:hAnsi="仿宋" w:eastAsia="仿宋_GB2312"/>
          <w:sz w:val="24"/>
          <w:highlight w:val="none"/>
        </w:rPr>
        <w:t>2年内视同已具备相应销售业绩，参加政府采购活动</w:t>
      </w:r>
      <w:r>
        <w:rPr>
          <w:rFonts w:hint="eastAsia" w:ascii="仿宋_GB2312" w:hAnsi="仿宋" w:eastAsia="仿宋_GB2312"/>
          <w:sz w:val="24"/>
          <w:highlight w:val="none"/>
        </w:rPr>
        <w:t>时业绩分值为满分。</w:t>
      </w:r>
    </w:p>
    <w:p>
      <w:pPr>
        <w:spacing w:line="360" w:lineRule="auto"/>
        <w:rPr>
          <w:rFonts w:ascii="仿宋_GB2312" w:hAnsi="仿宋" w:eastAsia="仿宋_GB2312"/>
          <w:b/>
          <w:sz w:val="24"/>
          <w:highlight w:val="none"/>
        </w:rPr>
      </w:pPr>
      <w:r>
        <w:rPr>
          <w:rFonts w:ascii="仿宋_GB2312" w:hAnsi="仿宋" w:eastAsia="仿宋_GB2312"/>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highlight w:val="none"/>
        </w:rPr>
        <w:t>登录</w:t>
      </w:r>
      <w:r>
        <w:rPr>
          <w:rFonts w:ascii="仿宋_GB2312" w:hAnsi="仿宋" w:eastAsia="仿宋_GB2312"/>
          <w:sz w:val="24"/>
          <w:highlight w:val="none"/>
        </w:rPr>
        <w:t>杭州市政府采购网“中小企业信用融资”模块，查看信用融资政策文件及各相关银行服务方案。</w:t>
      </w:r>
      <w:r>
        <w:rPr>
          <w:rFonts w:ascii="仿宋_GB2312" w:hAnsi="仿宋" w:eastAsia="仿宋_GB2312"/>
          <w:sz w:val="24"/>
          <w:highlight w:val="none"/>
        </w:rPr>
        <w:cr/>
      </w:r>
      <w:r>
        <w:rPr>
          <w:rFonts w:ascii="仿宋_GB2312" w:hAnsi="仿宋" w:eastAsia="仿宋_GB2312"/>
          <w:b/>
          <w:sz w:val="24"/>
          <w:highlight w:val="none"/>
        </w:rPr>
        <w:t xml:space="preserve">4. </w:t>
      </w:r>
      <w:r>
        <w:rPr>
          <w:rFonts w:hint="eastAsia" w:ascii="仿宋_GB2312" w:hAnsi="仿宋" w:eastAsia="仿宋_GB2312"/>
          <w:b/>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供应商对政府采购活动事项有疑问的，可以提出询问，采购人或者采购代理机构应当在</w:t>
      </w:r>
      <w:r>
        <w:rPr>
          <w:rFonts w:ascii="仿宋_GB2312" w:hAnsi="仿宋" w:eastAsia="仿宋_GB2312" w:cs="微软雅黑"/>
          <w:kern w:val="0"/>
          <w:sz w:val="24"/>
          <w:highlight w:val="none"/>
          <w:lang w:val="zh-CN"/>
        </w:rPr>
        <w:t>3个工作日内对供应</w:t>
      </w:r>
      <w:r>
        <w:rPr>
          <w:rFonts w:hint="eastAsia" w:ascii="仿宋_GB2312" w:hAnsi="仿宋" w:eastAsia="仿宋_GB2312" w:cs="微软雅黑"/>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4.2供应商质疑</w:t>
      </w:r>
    </w:p>
    <w:p>
      <w:pPr>
        <w:pStyle w:val="37"/>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7"/>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4.2.2.2对采购过程提出质疑的，质疑期限为各采购程序环节结束之日起计算。对同一采购程序环节的质疑，供应商须一次性提出。</w:t>
      </w:r>
    </w:p>
    <w:p>
      <w:pPr>
        <w:pStyle w:val="37"/>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4.2.2.3对采购结果提出质疑的，质疑期限自采购结果公告期限届满之日起计算。</w:t>
      </w:r>
    </w:p>
    <w:p>
      <w:pPr>
        <w:pStyle w:val="37"/>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w:t>
      </w:r>
      <w:r>
        <w:rPr>
          <w:rFonts w:hint="eastAsia" w:ascii="仿宋_GB2312" w:hAnsi="仿宋" w:eastAsia="仿宋_GB2312"/>
          <w:sz w:val="24"/>
          <w:highlight w:val="none"/>
        </w:rPr>
        <w:t>供应商提出质疑应当提交质疑函和必要的证明材料。质疑函应当包括下列内容：</w:t>
      </w:r>
    </w:p>
    <w:p>
      <w:pPr>
        <w:pStyle w:val="37"/>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4.2.3.1</w:t>
      </w:r>
      <w:r>
        <w:rPr>
          <w:rFonts w:hint="eastAsia" w:ascii="仿宋_GB2312" w:hAnsi="仿宋" w:eastAsia="仿宋_GB2312" w:cs="微软雅黑"/>
          <w:kern w:val="0"/>
          <w:sz w:val="24"/>
          <w:highlight w:val="none"/>
          <w:lang w:val="zh-CN"/>
        </w:rPr>
        <w:t>供应商的姓名或者名称、地址、邮编、联系人及联系电话；</w:t>
      </w:r>
    </w:p>
    <w:p>
      <w:pPr>
        <w:pStyle w:val="37"/>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4.2.3.2</w:t>
      </w:r>
      <w:r>
        <w:rPr>
          <w:rFonts w:hint="eastAsia" w:ascii="仿宋_GB2312" w:hAnsi="仿宋" w:eastAsia="仿宋_GB2312" w:cs="微软雅黑"/>
          <w:kern w:val="0"/>
          <w:sz w:val="24"/>
          <w:highlight w:val="none"/>
          <w:lang w:val="zh-CN"/>
        </w:rPr>
        <w:t>质疑项目的名称、编号；</w:t>
      </w:r>
    </w:p>
    <w:p>
      <w:pPr>
        <w:pStyle w:val="37"/>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4.2.3.3</w:t>
      </w:r>
      <w:r>
        <w:rPr>
          <w:rFonts w:hint="eastAsia" w:ascii="仿宋_GB2312" w:hAnsi="仿宋" w:eastAsia="仿宋_GB2312" w:cs="微软雅黑"/>
          <w:kern w:val="0"/>
          <w:sz w:val="24"/>
          <w:highlight w:val="none"/>
          <w:lang w:val="zh-CN"/>
        </w:rPr>
        <w:t>具体、明确的质疑事项和与质疑事项相关的请求；</w:t>
      </w:r>
    </w:p>
    <w:p>
      <w:pPr>
        <w:pStyle w:val="37"/>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4.2.3.4</w:t>
      </w:r>
      <w:r>
        <w:rPr>
          <w:rFonts w:hint="eastAsia" w:ascii="仿宋_GB2312" w:hAnsi="仿宋" w:eastAsia="仿宋_GB2312" w:cs="微软雅黑"/>
          <w:kern w:val="0"/>
          <w:sz w:val="24"/>
          <w:highlight w:val="none"/>
          <w:lang w:val="zh-CN"/>
        </w:rPr>
        <w:t>事实依据；</w:t>
      </w:r>
    </w:p>
    <w:p>
      <w:pPr>
        <w:pStyle w:val="37"/>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4.2.3.5</w:t>
      </w:r>
      <w:r>
        <w:rPr>
          <w:rFonts w:hint="eastAsia" w:ascii="仿宋_GB2312" w:hAnsi="仿宋" w:eastAsia="仿宋_GB2312" w:cs="微软雅黑"/>
          <w:kern w:val="0"/>
          <w:sz w:val="24"/>
          <w:highlight w:val="none"/>
          <w:lang w:val="zh-CN"/>
        </w:rPr>
        <w:t>必要的法律依据；</w:t>
      </w:r>
    </w:p>
    <w:p>
      <w:pPr>
        <w:pStyle w:val="37"/>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4.2.3.6</w:t>
      </w:r>
      <w:r>
        <w:rPr>
          <w:rFonts w:hint="eastAsia" w:ascii="仿宋_GB2312" w:hAnsi="仿宋" w:eastAsia="仿宋_GB2312" w:cs="微软雅黑"/>
          <w:kern w:val="0"/>
          <w:sz w:val="24"/>
          <w:highlight w:val="none"/>
          <w:lang w:val="zh-CN"/>
        </w:rPr>
        <w:t>提出质疑的日期。</w:t>
      </w:r>
    </w:p>
    <w:p>
      <w:pPr>
        <w:pStyle w:val="88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质疑函范本及制作说明详见附件</w:t>
      </w:r>
      <w:r>
        <w:rPr>
          <w:rFonts w:ascii="仿宋_GB2312" w:hAnsi="仿宋" w:eastAsia="仿宋_GB2312"/>
          <w:highlight w:val="none"/>
        </w:rPr>
        <w:t>2。</w:t>
      </w:r>
    </w:p>
    <w:p>
      <w:pPr>
        <w:pStyle w:val="888"/>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4.2</w:t>
      </w:r>
      <w:r>
        <w:rPr>
          <w:rFonts w:ascii="仿宋_GB2312" w:hAnsi="仿宋" w:eastAsia="仿宋_GB2312"/>
          <w:highlight w:val="none"/>
        </w:rPr>
        <w:t>.4</w:t>
      </w:r>
      <w:r>
        <w:rPr>
          <w:rFonts w:hint="eastAsia" w:ascii="仿宋_GB2312" w:hAnsi="仿宋" w:eastAsia="仿宋_GB2312"/>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highlight w:val="none"/>
        </w:rPr>
        <w:t>2021〕17号）,</w:t>
      </w:r>
      <w:r>
        <w:rPr>
          <w:rFonts w:hint="eastAsia" w:ascii="仿宋_GB2312" w:hAnsi="仿宋" w:eastAsia="仿宋_GB2312"/>
          <w:highlight w:val="none"/>
        </w:rPr>
        <w:t>采购人或者采购机构在质疑回复后</w:t>
      </w:r>
      <w:r>
        <w:rPr>
          <w:rFonts w:ascii="仿宋_GB2312" w:hAnsi="仿宋" w:eastAsia="仿宋_GB2312"/>
          <w:highlight w:val="none"/>
        </w:rPr>
        <w:t>5个工作日内，在浙江政府采购网的“其他公告”栏目公开质疑答复，答复内容应当完整。质疑</w:t>
      </w:r>
      <w:r>
        <w:rPr>
          <w:rFonts w:hint="eastAsia" w:ascii="仿宋_GB2312" w:hAnsi="仿宋" w:eastAsia="仿宋_GB2312"/>
          <w:highlight w:val="none"/>
        </w:rPr>
        <w:t>函作为附件上传。</w:t>
      </w:r>
    </w:p>
    <w:p>
      <w:pPr>
        <w:pStyle w:val="888"/>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4.2</w:t>
      </w:r>
      <w:r>
        <w:rPr>
          <w:rFonts w:ascii="仿宋_GB2312" w:hAnsi="仿宋" w:eastAsia="仿宋_GB2312"/>
          <w:highlight w:val="none"/>
        </w:rPr>
        <w:t>.5询问或者质疑事项可能影响采购结果的，采购人应当暂停签订合同，已经签订合同的，应当中止履行合同。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ascii="仿宋_GB2312" w:hAnsi="仿宋" w:eastAsia="仿宋_GB2312" w:cs="微软雅黑"/>
          <w:highlight w:val="none"/>
          <w:lang w:val="zh-CN"/>
        </w:rPr>
      </w:pPr>
      <w:r>
        <w:rPr>
          <w:rFonts w:ascii="仿宋_GB2312" w:hAnsi="仿宋" w:eastAsia="仿宋_GB2312" w:cs="微软雅黑"/>
          <w:highlight w:val="none"/>
          <w:lang w:val="zh-CN"/>
        </w:rPr>
        <w:t>4.3供应商投诉</w:t>
      </w:r>
    </w:p>
    <w:p>
      <w:pPr>
        <w:pStyle w:val="888"/>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4.3.1质疑供应商对采购人、采购机构的答复不满意或者采购人、采购机构未在规定的时间内</w:t>
      </w:r>
      <w:r>
        <w:rPr>
          <w:rFonts w:hint="eastAsia" w:ascii="仿宋_GB2312" w:hAnsi="仿宋" w:eastAsia="仿宋_GB2312"/>
          <w:highlight w:val="none"/>
        </w:rPr>
        <w:t>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w:t>
      </w:r>
      <w:r>
        <w:rPr>
          <w:rFonts w:ascii="仿宋_GB2312" w:hAnsi="仿宋" w:eastAsia="仿宋_GB2312" w:cs="微软雅黑"/>
          <w:highlight w:val="none"/>
          <w:lang w:val="zh-CN"/>
        </w:rPr>
        <w:t>2</w:t>
      </w:r>
      <w:r>
        <w:rPr>
          <w:rFonts w:hint="eastAsia" w:ascii="仿宋_GB2312" w:hAnsi="仿宋" w:eastAsia="仿宋_GB2312"/>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4.3.3供应</w:t>
      </w:r>
      <w:r>
        <w:rPr>
          <w:rFonts w:hint="eastAsia" w:ascii="仿宋_GB2312" w:hAnsi="仿宋" w:eastAsia="仿宋_GB2312"/>
          <w:highlight w:val="none"/>
        </w:rPr>
        <w:t>商投诉应当有明确的请求和必要的证明材料。</w:t>
      </w:r>
    </w:p>
    <w:p>
      <w:pPr>
        <w:pStyle w:val="888"/>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 xml:space="preserve">4.3.5 </w:t>
      </w:r>
      <w:r>
        <w:rPr>
          <w:rFonts w:hint="eastAsia" w:ascii="仿宋_GB2312" w:hAnsi="仿宋" w:eastAsia="仿宋_GB2312"/>
          <w:highlight w:val="none"/>
        </w:rPr>
        <w:t>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投诉书范本及制作说明详见附件</w:t>
      </w:r>
      <w:r>
        <w:rPr>
          <w:rFonts w:ascii="仿宋_GB2312" w:hAnsi="仿宋" w:eastAsia="仿宋_GB2312"/>
          <w:highlight w:val="none"/>
        </w:rPr>
        <w:t>3。</w:t>
      </w:r>
    </w:p>
    <w:p>
      <w:pPr>
        <w:pStyle w:val="132"/>
        <w:snapToGrid w:val="0"/>
        <w:spacing w:before="0"/>
        <w:ind w:firstLine="360"/>
        <w:rPr>
          <w:rFonts w:ascii="仿宋_GB2312" w:hAnsi="仿宋" w:eastAsia="仿宋_GB2312" w:cs="仿宋_GB2312"/>
          <w:sz w:val="18"/>
          <w:szCs w:val="18"/>
          <w:highlight w:val="none"/>
        </w:rPr>
      </w:pPr>
    </w:p>
    <w:p>
      <w:pPr>
        <w:adjustRightInd/>
        <w:spacing w:line="360" w:lineRule="auto"/>
        <w:jc w:val="center"/>
        <w:outlineLvl w:val="0"/>
        <w:rPr>
          <w:rFonts w:ascii="仿宋_GB2312" w:hAnsi="仿宋" w:eastAsia="仿宋_GB2312" w:cs="仿宋_GB2312"/>
          <w:b/>
          <w:sz w:val="32"/>
          <w:szCs w:val="20"/>
          <w:highlight w:val="none"/>
        </w:rPr>
      </w:pPr>
      <w:r>
        <w:rPr>
          <w:rFonts w:ascii="仿宋_GB2312" w:hAnsi="仿宋" w:eastAsia="仿宋_GB2312" w:cs="仿宋_GB2312"/>
          <w:b/>
          <w:sz w:val="32"/>
          <w:szCs w:val="20"/>
          <w:highlight w:val="none"/>
        </w:rPr>
        <w:t xml:space="preserve">      二、招标文件的构成、澄清、修改</w:t>
      </w:r>
    </w:p>
    <w:p>
      <w:pPr>
        <w:pStyle w:val="37"/>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5．招标文件的构成</w:t>
      </w:r>
    </w:p>
    <w:p>
      <w:pPr>
        <w:pStyle w:val="37"/>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 xml:space="preserve">5.1 </w:t>
      </w:r>
      <w:r>
        <w:rPr>
          <w:rFonts w:hint="eastAsia" w:ascii="仿宋_GB2312" w:hAnsi="仿宋" w:eastAsia="仿宋_GB2312" w:cs="仿宋_GB2312"/>
          <w:sz w:val="24"/>
          <w:szCs w:val="24"/>
          <w:highlight w:val="none"/>
        </w:rPr>
        <w:t>招标文件包括下列文件及附件：</w:t>
      </w:r>
    </w:p>
    <w:p>
      <w:pPr>
        <w:pStyle w:val="37"/>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5.1.1招标公告；</w:t>
      </w:r>
    </w:p>
    <w:p>
      <w:pPr>
        <w:pStyle w:val="37"/>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5.1.2投标人须知；</w:t>
      </w:r>
    </w:p>
    <w:p>
      <w:pPr>
        <w:pStyle w:val="37"/>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5.1.3采购需求；</w:t>
      </w:r>
    </w:p>
    <w:p>
      <w:pPr>
        <w:pStyle w:val="37"/>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5.1.4评标</w:t>
      </w:r>
      <w:r>
        <w:rPr>
          <w:rFonts w:hint="eastAsia" w:ascii="仿宋_GB2312" w:hAnsi="仿宋" w:eastAsia="仿宋_GB2312" w:cs="仿宋_GB2312"/>
          <w:sz w:val="24"/>
          <w:szCs w:val="24"/>
          <w:highlight w:val="none"/>
        </w:rPr>
        <w:t>办</w:t>
      </w:r>
      <w:r>
        <w:rPr>
          <w:rFonts w:ascii="仿宋_GB2312" w:hAnsi="仿宋" w:eastAsia="仿宋_GB2312" w:cs="仿宋_GB2312"/>
          <w:sz w:val="24"/>
          <w:szCs w:val="24"/>
          <w:highlight w:val="none"/>
        </w:rPr>
        <w:t>法；</w:t>
      </w:r>
    </w:p>
    <w:p>
      <w:pPr>
        <w:pStyle w:val="37"/>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5.1.5</w:t>
      </w:r>
      <w:r>
        <w:rPr>
          <w:rFonts w:hint="eastAsia" w:ascii="仿宋_GB2312" w:hAnsi="仿宋" w:eastAsia="仿宋_GB2312" w:cs="仿宋_GB2312"/>
          <w:sz w:val="24"/>
          <w:szCs w:val="24"/>
          <w:highlight w:val="none"/>
        </w:rPr>
        <w:t>拟签订的合同文本；</w:t>
      </w:r>
    </w:p>
    <w:p>
      <w:pPr>
        <w:pStyle w:val="37"/>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highlight w:val="none"/>
        </w:rPr>
        <w:t>5.1.6</w:t>
      </w:r>
      <w:r>
        <w:rPr>
          <w:rFonts w:hint="eastAsia" w:ascii="仿宋_GB2312" w:hAnsi="仿宋" w:eastAsia="仿宋_GB2312" w:cs="仿宋_GB2312"/>
          <w:sz w:val="24"/>
          <w:szCs w:val="24"/>
          <w:highlight w:val="none"/>
        </w:rPr>
        <w:t>应提交的有关格式范例。</w:t>
      </w:r>
    </w:p>
    <w:p>
      <w:pPr>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5.2与本项目有关的</w:t>
      </w:r>
      <w:r>
        <w:rPr>
          <w:rFonts w:hint="eastAsia" w:ascii="仿宋_GB2312" w:hAnsi="仿宋" w:eastAsia="仿宋_GB2312"/>
          <w:bCs/>
          <w:sz w:val="24"/>
          <w:highlight w:val="none"/>
        </w:rPr>
        <w:t>澄清或者修改的内容为招标文件的组成部分</w:t>
      </w:r>
      <w:r>
        <w:rPr>
          <w:rFonts w:hint="eastAsia" w:ascii="仿宋_GB2312" w:hAnsi="仿宋" w:eastAsia="仿宋_GB2312" w:cs="仿宋_GB2312"/>
          <w:sz w:val="24"/>
          <w:highlight w:val="none"/>
        </w:rPr>
        <w:t>。</w:t>
      </w:r>
    </w:p>
    <w:p>
      <w:pPr>
        <w:pStyle w:val="37"/>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6. </w:t>
      </w:r>
      <w:r>
        <w:rPr>
          <w:rFonts w:hint="eastAsia" w:ascii="仿宋_GB2312" w:hAnsi="仿宋" w:eastAsia="仿宋_GB2312" w:cs="仿宋_GB2312"/>
          <w:b/>
          <w:sz w:val="24"/>
          <w:szCs w:val="24"/>
          <w:highlight w:val="none"/>
        </w:rPr>
        <w:t>招标文件的澄清、修改</w:t>
      </w:r>
    </w:p>
    <w:p>
      <w:pPr>
        <w:pStyle w:val="132"/>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6.1已获取招标文件的潜在投标人，若有问题需要澄清，应于投标截止时间前，以书面形式向采购机构提出。</w:t>
      </w:r>
    </w:p>
    <w:p>
      <w:pPr>
        <w:pStyle w:val="132"/>
        <w:snapToGrid w:val="0"/>
        <w:spacing w:before="0"/>
        <w:ind w:firstLine="480"/>
        <w:rPr>
          <w:rFonts w:ascii="仿宋_GB2312" w:hAnsi="仿宋" w:eastAsia="仿宋_GB2312"/>
          <w:highlight w:val="none"/>
        </w:rPr>
      </w:pPr>
      <w:r>
        <w:rPr>
          <w:rFonts w:ascii="仿宋_GB2312" w:hAnsi="仿宋" w:eastAsia="仿宋_GB2312"/>
          <w:highlight w:val="none"/>
        </w:rPr>
        <w:t xml:space="preserve">6.2 </w:t>
      </w:r>
      <w:r>
        <w:rPr>
          <w:rFonts w:hint="eastAsia" w:ascii="仿宋_GB2312" w:hAnsi="仿宋" w:eastAsia="仿宋_GB2312"/>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sz w:val="18"/>
          <w:szCs w:val="18"/>
          <w:highlight w:val="none"/>
          <w:lang w:val="en-US"/>
        </w:rPr>
      </w:pPr>
      <w:r>
        <w:rPr>
          <w:rFonts w:ascii="仿宋_GB2312" w:hAnsi="仿宋" w:eastAsia="仿宋_GB2312" w:cs="仿宋_GB2312"/>
          <w:szCs w:val="24"/>
          <w:highlight w:val="none"/>
          <w:lang w:val="en-US"/>
        </w:rPr>
        <w:t xml:space="preserve">    </w:t>
      </w:r>
    </w:p>
    <w:p>
      <w:pPr>
        <w:adjustRightInd/>
        <w:spacing w:line="360" w:lineRule="auto"/>
        <w:jc w:val="center"/>
        <w:outlineLvl w:val="0"/>
        <w:rPr>
          <w:rFonts w:ascii="仿宋_GB2312" w:hAnsi="仿宋" w:eastAsia="仿宋_GB2312" w:cs="仿宋_GB2312"/>
          <w:b/>
          <w:sz w:val="30"/>
          <w:szCs w:val="20"/>
          <w:highlight w:val="none"/>
        </w:rPr>
      </w:pPr>
      <w:r>
        <w:rPr>
          <w:rFonts w:hint="eastAsia" w:ascii="仿宋_GB2312" w:hAnsi="仿宋" w:eastAsia="仿宋_GB2312" w:cs="仿宋_GB2312"/>
          <w:b/>
          <w:sz w:val="30"/>
          <w:szCs w:val="20"/>
          <w:highlight w:val="none"/>
        </w:rPr>
        <w:t>三、投标</w:t>
      </w:r>
    </w:p>
    <w:p>
      <w:pPr>
        <w:pStyle w:val="37"/>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7. </w:t>
      </w:r>
      <w:r>
        <w:rPr>
          <w:rFonts w:hint="eastAsia" w:ascii="仿宋_GB2312" w:hAnsi="仿宋" w:eastAsia="仿宋_GB2312" w:cs="仿宋_GB2312"/>
          <w:b/>
          <w:sz w:val="24"/>
          <w:szCs w:val="24"/>
          <w:highlight w:val="none"/>
        </w:rPr>
        <w:t>招标文件的获取</w:t>
      </w:r>
    </w:p>
    <w:p>
      <w:pPr>
        <w:spacing w:line="360" w:lineRule="auto"/>
        <w:ind w:firstLine="480" w:firstLineChars="200"/>
        <w:rPr>
          <w:rFonts w:ascii="仿宋_GB2312" w:hAnsi="仿宋" w:eastAsia="仿宋_GB2312" w:cs="仿宋_GB2312"/>
          <w:snapToGrid w:val="0"/>
          <w:kern w:val="28"/>
          <w:sz w:val="24"/>
          <w:highlight w:val="none"/>
        </w:rPr>
      </w:pPr>
      <w:r>
        <w:rPr>
          <w:rFonts w:hint="eastAsia" w:ascii="仿宋_GB2312" w:hAnsi="仿宋" w:eastAsia="仿宋_GB2312" w:cs="仿宋_GB2312"/>
          <w:snapToGrid w:val="0"/>
          <w:kern w:val="28"/>
          <w:sz w:val="24"/>
          <w:highlight w:val="none"/>
        </w:rPr>
        <w:t>详见招标公告中获取招标文件的时间期限、地点、方式及招标文件售价。</w:t>
      </w:r>
    </w:p>
    <w:p>
      <w:pPr>
        <w:pStyle w:val="37"/>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8.开标前答疑会或现场考察</w:t>
      </w:r>
    </w:p>
    <w:p>
      <w:pPr>
        <w:pStyle w:val="37"/>
        <w:spacing w:line="360" w:lineRule="auto"/>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采购人组织潜在投标人现场考察或者召开开标前答疑会的，潜在投标人按第二部分投标人须知前附表的规定参加现场考察或者开标前答疑会。</w:t>
      </w:r>
    </w:p>
    <w:p>
      <w:pPr>
        <w:pStyle w:val="37"/>
        <w:spacing w:line="360" w:lineRule="auto"/>
        <w:rPr>
          <w:rFonts w:ascii="仿宋_GB2312" w:hAnsi="仿宋" w:eastAsia="仿宋_GB2312" w:cs="仿宋_GB2312"/>
          <w:b/>
          <w:szCs w:val="24"/>
          <w:highlight w:val="none"/>
        </w:rPr>
      </w:pPr>
      <w:r>
        <w:rPr>
          <w:rFonts w:ascii="仿宋_GB2312" w:hAnsi="仿宋" w:eastAsia="仿宋_GB2312"/>
          <w:b/>
          <w:kern w:val="28"/>
          <w:sz w:val="24"/>
          <w:szCs w:val="24"/>
          <w:highlight w:val="none"/>
        </w:rPr>
        <w:t>9.投标保证金</w:t>
      </w:r>
    </w:p>
    <w:p>
      <w:pPr>
        <w:pStyle w:val="7"/>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7"/>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10. </w:t>
      </w:r>
      <w:r>
        <w:rPr>
          <w:rFonts w:hint="eastAsia" w:ascii="仿宋_GB2312" w:hAnsi="仿宋" w:eastAsia="仿宋_GB2312" w:cs="仿宋_GB2312"/>
          <w:b/>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sz w:val="24"/>
          <w:highlight w:val="none"/>
          <w:lang w:val="zh-CN"/>
        </w:rPr>
      </w:pPr>
      <w:r>
        <w:rPr>
          <w:rFonts w:hint="eastAsia" w:ascii="仿宋_GB2312" w:hAnsi="仿宋" w:eastAsia="仿宋_GB2312" w:cs="仿宋_GB2312"/>
          <w:sz w:val="24"/>
          <w:highlight w:val="none"/>
        </w:rPr>
        <w:t>投标文件及投标人与采购有关的来往通知、函件和文件均应使用中文。</w:t>
      </w:r>
    </w:p>
    <w:p>
      <w:pPr>
        <w:pStyle w:val="37"/>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11. </w:t>
      </w:r>
      <w:r>
        <w:rPr>
          <w:rFonts w:hint="eastAsia" w:ascii="仿宋_GB2312" w:hAnsi="仿宋" w:eastAsia="仿宋_GB2312" w:cs="仿宋_GB2312"/>
          <w:b/>
          <w:sz w:val="24"/>
          <w:szCs w:val="24"/>
          <w:highlight w:val="none"/>
        </w:rPr>
        <w:t>投标文件的组成</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w:t>
      </w:r>
      <w:r>
        <w:rPr>
          <w:rFonts w:hint="eastAsia" w:ascii="仿宋_GB2312" w:hAnsi="仿宋" w:eastAsia="仿宋_GB2312" w:cs="仿宋_GB2312"/>
          <w:b/>
          <w:sz w:val="24"/>
          <w:highlight w:val="none"/>
        </w:rPr>
        <w:t>资格文件</w:t>
      </w:r>
      <w:r>
        <w:rPr>
          <w:rFonts w:hint="eastAsia" w:ascii="仿宋_GB2312" w:hAnsi="仿宋" w:eastAsia="仿宋_GB2312" w:cs="仿宋_GB2312"/>
          <w:sz w:val="24"/>
          <w:highlight w:val="none"/>
        </w:rPr>
        <w:t>：</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11.1.3本项目的特定资格要求。</w:t>
      </w:r>
    </w:p>
    <w:p>
      <w:pPr>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11.2.1投标函；</w:t>
      </w:r>
      <w:r>
        <w:rPr>
          <w:rFonts w:ascii="仿宋_GB2312" w:hAnsi="仿宋" w:eastAsia="仿宋_GB2312" w:cs="仿宋_GB2312"/>
          <w:sz w:val="24"/>
          <w:highlight w:val="none"/>
          <w:lang w:val="zh-CN"/>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11.2.3联合协议；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11.2.4分包意向协议；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11.2.5符合性审查资料；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11.2.6评标标准相应的商务技术资料；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11.2.7商务技术偏离表；</w:t>
      </w:r>
    </w:p>
    <w:p>
      <w:pPr>
        <w:snapToGrid w:val="0"/>
        <w:spacing w:line="360" w:lineRule="auto"/>
        <w:ind w:firstLine="960" w:firstLineChars="4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sz w:val="24"/>
          <w:highlight w:val="none"/>
          <w:u w:val="single"/>
          <w:lang w:val="zh-CN"/>
        </w:rPr>
      </w:pPr>
      <w:r>
        <w:rPr>
          <w:rFonts w:ascii="仿宋_GB2312" w:hAnsi="仿宋" w:eastAsia="仿宋_GB2312" w:cs="仿宋_GB2312"/>
          <w:kern w:val="0"/>
          <w:sz w:val="24"/>
          <w:highlight w:val="none"/>
          <w:lang w:val="zh-CN"/>
        </w:rPr>
        <w:t>11.</w:t>
      </w:r>
      <w:r>
        <w:rPr>
          <w:rFonts w:ascii="仿宋_GB2312" w:hAnsi="仿宋" w:eastAsia="仿宋_GB2312" w:cs="仿宋_GB2312"/>
          <w:kern w:val="0"/>
          <w:sz w:val="24"/>
          <w:highlight w:val="none"/>
        </w:rPr>
        <w:t>3</w:t>
      </w:r>
      <w:r>
        <w:rPr>
          <w:rFonts w:hint="eastAsia" w:ascii="仿宋_GB2312" w:hAnsi="仿宋" w:eastAsia="仿宋_GB2312" w:cs="仿宋_GB2312"/>
          <w:b/>
          <w:sz w:val="24"/>
          <w:highlight w:val="none"/>
        </w:rPr>
        <w:t>报价文件：</w:t>
      </w:r>
      <w:r>
        <w:rPr>
          <w:rFonts w:ascii="仿宋_GB2312" w:hAnsi="仿宋" w:eastAsia="仿宋_GB2312" w:cs="仿宋_GB2312"/>
          <w:sz w:val="24"/>
          <w:highlight w:val="none"/>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11.3.1开标一览表（报价表）；</w:t>
      </w:r>
    </w:p>
    <w:p>
      <w:pPr>
        <w:snapToGrid w:val="0"/>
        <w:spacing w:line="360" w:lineRule="auto"/>
        <w:ind w:firstLine="960" w:firstLineChars="400"/>
        <w:rPr>
          <w:rFonts w:hint="eastAsia" w:ascii="仿宋_GB2312" w:hAnsi="仿宋" w:eastAsia="仿宋" w:cs="仿宋_GB2312"/>
          <w:sz w:val="24"/>
          <w:highlight w:val="none"/>
          <w:lang w:val="en-US" w:eastAsia="zh-CN"/>
        </w:rPr>
      </w:pPr>
      <w:r>
        <w:rPr>
          <w:rFonts w:hint="eastAsia" w:ascii="仿宋_GB2312" w:hAnsi="仿宋" w:eastAsia="仿宋_GB2312" w:cs="仿宋_GB2312"/>
          <w:sz w:val="24"/>
          <w:highlight w:val="none"/>
          <w:lang w:val="en-US" w:eastAsia="zh-CN"/>
        </w:rPr>
        <w:t>11.3.2</w:t>
      </w:r>
      <w:r>
        <w:rPr>
          <w:rFonts w:hint="eastAsia" w:ascii="仿宋" w:hAnsi="仿宋" w:eastAsia="仿宋" w:cs="仿宋"/>
          <w:kern w:val="0"/>
          <w:sz w:val="24"/>
          <w:highlight w:val="none"/>
        </w:rPr>
        <w:t>报价明细清单</w:t>
      </w:r>
      <w:r>
        <w:rPr>
          <w:rFonts w:hint="eastAsia" w:ascii="仿宋" w:hAnsi="仿宋" w:eastAsia="仿宋" w:cs="仿宋"/>
          <w:kern w:val="0"/>
          <w:sz w:val="24"/>
          <w:highlight w:val="none"/>
          <w:lang w:eastAsia="zh-CN"/>
        </w:rPr>
        <w:t>；</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w:t>
      </w:r>
      <w:r>
        <w:rPr>
          <w:rFonts w:hint="eastAsia" w:ascii="仿宋_GB2312" w:hAnsi="仿宋" w:eastAsia="仿宋_GB2312" w:cs="仿宋_GB2312"/>
          <w:sz w:val="24"/>
          <w:highlight w:val="none"/>
          <w:lang w:val="en-US" w:eastAsia="zh-CN"/>
        </w:rPr>
        <w:t>3</w:t>
      </w:r>
      <w:r>
        <w:rPr>
          <w:rFonts w:ascii="仿宋_GB2312" w:hAnsi="仿宋" w:eastAsia="仿宋_GB2312" w:cs="仿宋_GB2312"/>
          <w:sz w:val="24"/>
          <w:highlight w:val="none"/>
        </w:rPr>
        <w:t>中小企业声明函。</w:t>
      </w:r>
    </w:p>
    <w:p>
      <w:pPr>
        <w:spacing w:line="360" w:lineRule="auto"/>
        <w:ind w:firstLine="723" w:firstLineChars="300"/>
        <w:rPr>
          <w:rFonts w:ascii="仿宋_GB2312" w:hAnsi="仿宋" w:eastAsia="仿宋_GB2312"/>
          <w:b/>
          <w:sz w:val="24"/>
          <w:highlight w:val="none"/>
        </w:rPr>
      </w:pPr>
      <w:r>
        <w:rPr>
          <w:rFonts w:hint="eastAsia" w:ascii="仿宋_GB2312" w:hAnsi="仿宋" w:eastAsia="仿宋_GB2312"/>
          <w:b/>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sz w:val="24"/>
          <w:szCs w:val="21"/>
          <w:highlight w:val="none"/>
        </w:rPr>
      </w:pPr>
      <w:r>
        <w:rPr>
          <w:rFonts w:hint="eastAsia" w:ascii="仿宋_GB2312" w:hAnsi="仿宋" w:eastAsia="仿宋_GB2312"/>
          <w:b/>
          <w:sz w:val="24"/>
          <w:highlight w:val="none"/>
        </w:rPr>
        <w:t>投标人提供虚假材料投标的，投标无效。</w:t>
      </w:r>
    </w:p>
    <w:p>
      <w:pPr>
        <w:pStyle w:val="132"/>
        <w:snapToGrid w:val="0"/>
        <w:spacing w:before="0"/>
        <w:ind w:firstLine="0" w:firstLineChars="0"/>
        <w:outlineLvl w:val="0"/>
        <w:rPr>
          <w:rFonts w:ascii="仿宋_GB2312" w:hAnsi="仿宋" w:eastAsia="仿宋_GB2312" w:cs="仿宋_GB2312"/>
          <w:b/>
          <w:szCs w:val="24"/>
          <w:highlight w:val="none"/>
        </w:rPr>
      </w:pPr>
      <w:r>
        <w:rPr>
          <w:rFonts w:ascii="仿宋_GB2312" w:hAnsi="仿宋" w:eastAsia="仿宋_GB2312" w:cs="仿宋_GB2312"/>
          <w:b/>
          <w:szCs w:val="24"/>
          <w:highlight w:val="none"/>
        </w:rPr>
        <w:t>12</w:t>
      </w:r>
      <w:r>
        <w:rPr>
          <w:rFonts w:ascii="仿宋_GB2312" w:hAnsi="仿宋" w:eastAsia="仿宋_GB2312" w:cs="仿宋_GB2312"/>
          <w:b/>
          <w:kern w:val="0"/>
          <w:szCs w:val="24"/>
          <w:highlight w:val="none"/>
          <w:lang w:val="zh-CN"/>
        </w:rPr>
        <w:t xml:space="preserve">. </w:t>
      </w:r>
      <w:r>
        <w:rPr>
          <w:rFonts w:hint="eastAsia" w:ascii="仿宋_GB2312" w:hAnsi="仿宋" w:eastAsia="仿宋_GB2312" w:cs="仿宋_GB2312"/>
          <w:b/>
          <w:szCs w:val="24"/>
          <w:highlight w:val="none"/>
        </w:rPr>
        <w:t>投标文件的编制</w:t>
      </w:r>
    </w:p>
    <w:p>
      <w:pPr>
        <w:spacing w:line="360" w:lineRule="auto"/>
        <w:ind w:firstLine="480" w:firstLineChars="200"/>
        <w:rPr>
          <w:rFonts w:ascii="仿宋_GB2312" w:hAnsi="仿宋" w:eastAsia="仿宋_GB2312" w:cs="仿宋_GB2312"/>
          <w:b/>
          <w:sz w:val="24"/>
          <w:highlight w:val="none"/>
        </w:rPr>
      </w:pPr>
      <w:r>
        <w:rPr>
          <w:rFonts w:ascii="仿宋_GB2312" w:hAnsi="仿宋" w:eastAsia="仿宋_GB2312" w:cs="仿宋_GB2312"/>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12.2投标人进行电子投标应安装客户端软件—“政</w:t>
      </w:r>
      <w:r>
        <w:rPr>
          <w:rFonts w:hint="eastAsia" w:ascii="仿宋_GB2312" w:hAnsi="仿宋" w:eastAsia="仿宋_GB2312" w:cs="仿宋_GB2312"/>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12.3使用“政</w:t>
      </w:r>
      <w:r>
        <w:rPr>
          <w:rFonts w:hint="eastAsia" w:ascii="仿宋_GB2312" w:hAnsi="仿宋" w:eastAsia="仿宋_GB2312" w:cs="仿宋_GB2312"/>
          <w:kern w:val="0"/>
          <w:sz w:val="24"/>
          <w:highlight w:val="none"/>
          <w:lang w:val="zh-CN"/>
        </w:rPr>
        <w:t>采云电子交易客户端”需要提前申领</w:t>
      </w:r>
      <w:r>
        <w:rPr>
          <w:rFonts w:ascii="仿宋_GB2312" w:hAnsi="仿宋" w:eastAsia="仿宋_GB2312" w:cs="仿宋_GB2312"/>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highlight w:val="none"/>
        </w:rPr>
      </w:pPr>
      <w:r>
        <w:rPr>
          <w:rFonts w:ascii="仿宋_GB2312" w:hAnsi="仿宋" w:eastAsia="仿宋_GB2312"/>
          <w:b/>
          <w:sz w:val="24"/>
          <w:highlight w:val="none"/>
        </w:rPr>
        <w:t>13.投标文件的签署、盖章</w:t>
      </w:r>
    </w:p>
    <w:p>
      <w:pPr>
        <w:pStyle w:val="132"/>
        <w:snapToGrid w:val="0"/>
        <w:spacing w:before="0"/>
        <w:ind w:firstLine="480"/>
        <w:rPr>
          <w:rFonts w:ascii="仿宋_GB2312" w:hAnsi="仿宋" w:eastAsia="仿宋_GB2312" w:cs="仿宋_GB2312"/>
          <w:b/>
          <w:highlight w:val="none"/>
        </w:rPr>
      </w:pPr>
      <w:r>
        <w:rPr>
          <w:rFonts w:ascii="仿宋_GB2312" w:hAnsi="仿宋" w:eastAsia="仿宋_GB2312" w:cs="仿宋_GB2312"/>
          <w:szCs w:val="24"/>
          <w:highlight w:val="none"/>
        </w:rPr>
        <w:t>13.1投标文件按照招标文件第六部分格式要</w:t>
      </w:r>
      <w:r>
        <w:rPr>
          <w:rFonts w:hint="eastAsia" w:ascii="仿宋_GB2312" w:hAnsi="仿宋" w:eastAsia="仿宋_GB2312" w:cs="仿宋_GB2312"/>
          <w:highlight w:val="none"/>
        </w:rPr>
        <w:t>求进行签署、盖章。</w:t>
      </w:r>
      <w:r>
        <w:rPr>
          <w:rFonts w:hint="eastAsia" w:ascii="仿宋_GB2312" w:hAnsi="仿宋" w:eastAsia="仿宋_GB2312"/>
          <w:b/>
          <w:highlight w:val="none"/>
        </w:rPr>
        <w:t>▲</w:t>
      </w:r>
      <w:r>
        <w:rPr>
          <w:rFonts w:hint="eastAsia" w:ascii="仿宋_GB2312" w:hAnsi="仿宋" w:eastAsia="仿宋_GB2312" w:cs="仿宋_GB2312"/>
          <w:b/>
          <w:highlight w:val="none"/>
        </w:rPr>
        <w:t>投标人的投标文件未按照招标文件要求签署、盖章的，其投标无效</w:t>
      </w:r>
      <w:r>
        <w:rPr>
          <w:rFonts w:hint="eastAsia" w:ascii="仿宋_GB2312" w:hAnsi="仿宋" w:eastAsia="仿宋_GB2312" w:cs="仿宋_GB2312"/>
          <w:szCs w:val="24"/>
          <w:highlight w:val="none"/>
        </w:rPr>
        <w:t>。</w:t>
      </w:r>
    </w:p>
    <w:p>
      <w:pPr>
        <w:pStyle w:val="132"/>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仿宋_GB2312" w:hAnsi="仿宋" w:eastAsia="仿宋_GB2312" w:cs="仿宋_GB2312"/>
          <w:szCs w:val="24"/>
          <w:highlight w:val="none"/>
        </w:rPr>
      </w:pPr>
      <w:r>
        <w:rPr>
          <w:rFonts w:ascii="仿宋_GB2312" w:hAnsi="仿宋" w:eastAsia="仿宋_GB2312" w:cs="仿宋_GB2312"/>
          <w:highlight w:val="none"/>
        </w:rPr>
        <w:t>13.3招标文件对投标文件签署、盖章的要求适用于电子签名。</w:t>
      </w:r>
    </w:p>
    <w:p>
      <w:pPr>
        <w:pStyle w:val="132"/>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14. </w:t>
      </w:r>
      <w:r>
        <w:rPr>
          <w:rFonts w:hint="eastAsia" w:ascii="仿宋_GB2312" w:hAnsi="仿宋" w:eastAsia="仿宋_GB2312" w:cs="仿宋_GB2312"/>
          <w:b/>
          <w:szCs w:val="24"/>
          <w:highlight w:val="none"/>
        </w:rPr>
        <w:t>投标文件的提交、补充、修改、撤回</w:t>
      </w:r>
    </w:p>
    <w:p>
      <w:pPr>
        <w:pStyle w:val="132"/>
        <w:ind w:firstLine="480"/>
        <w:rPr>
          <w:rFonts w:ascii="仿宋_GB2312" w:hAnsi="仿宋" w:eastAsia="仿宋_GB2312" w:cs="仿宋_GB2312"/>
          <w:szCs w:val="24"/>
          <w:highlight w:val="none"/>
        </w:rPr>
      </w:pPr>
      <w:r>
        <w:rPr>
          <w:rFonts w:ascii="仿宋_GB2312" w:hAnsi="仿宋" w:eastAsia="仿宋_GB2312" w:cs="仿宋_GB2312"/>
          <w:szCs w:val="24"/>
          <w:highlight w:val="none"/>
        </w:rPr>
        <w:t xml:space="preserve">14.1 </w:t>
      </w:r>
      <w:r>
        <w:rPr>
          <w:rFonts w:hint="eastAsia" w:ascii="仿宋_GB2312" w:hAnsi="仿宋" w:eastAsia="仿宋_GB2312" w:cs="仿宋_GB2312"/>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15.备份投标文件</w:t>
      </w:r>
    </w:p>
    <w:p>
      <w:pPr>
        <w:pStyle w:val="37"/>
        <w:spacing w:line="360" w:lineRule="auto"/>
        <w:ind w:firstLine="360" w:firstLineChars="15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highlight w:val="none"/>
        </w:rPr>
        <w:t>但采购人、采购机构不强制或变相强制投标人提交备份投标文件。</w:t>
      </w:r>
    </w:p>
    <w:p>
      <w:pPr>
        <w:pStyle w:val="37"/>
        <w:spacing w:line="360" w:lineRule="auto"/>
        <w:ind w:firstLine="480" w:firstLineChars="20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15.2备份投标文件须在“政</w:t>
      </w:r>
      <w:r>
        <w:rPr>
          <w:rFonts w:hint="eastAsia" w:ascii="仿宋_GB2312" w:hAnsi="仿宋" w:eastAsia="仿宋_GB2312" w:cs="仿宋_GB2312"/>
          <w:sz w:val="24"/>
          <w:szCs w:val="24"/>
          <w:highlight w:val="none"/>
        </w:rPr>
        <w:t>采云投标客户端”制作生成，并储存在</w:t>
      </w:r>
      <w:r>
        <w:rPr>
          <w:rFonts w:ascii="仿宋_GB2312" w:hAnsi="仿宋" w:eastAsia="仿宋_GB2312"/>
          <w:sz w:val="24"/>
          <w:highlight w:val="none"/>
        </w:rPr>
        <w:t>DVD光盘</w:t>
      </w:r>
      <w:r>
        <w:rPr>
          <w:rFonts w:hint="eastAsia" w:ascii="仿宋_GB2312" w:hAnsi="仿宋" w:eastAsia="仿宋_GB2312" w:cs="仿宋_GB2312"/>
          <w:sz w:val="24"/>
          <w:szCs w:val="24"/>
          <w:highlight w:val="none"/>
        </w:rPr>
        <w:t>中。备份投标文件应当密封包装并在包装上加盖公章并注明投标项目名称，投标人名称</w:t>
      </w:r>
      <w:r>
        <w:rPr>
          <w:rFonts w:ascii="仿宋_GB2312" w:hAnsi="仿宋" w:eastAsia="仿宋_GB2312" w:cs="仿宋_GB2312"/>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sz w:val="24"/>
          <w:highlight w:val="none"/>
        </w:rPr>
        <w:t>不符合上述制作、</w:t>
      </w:r>
      <w:r>
        <w:rPr>
          <w:rFonts w:hint="eastAsia" w:ascii="仿宋_GB2312" w:hAnsi="仿宋" w:eastAsia="仿宋_GB2312" w:cs="仿宋_GB2312"/>
          <w:b/>
          <w:sz w:val="24"/>
          <w:szCs w:val="24"/>
          <w:highlight w:val="none"/>
        </w:rPr>
        <w:t>存储、密封规定的备份投标文件将被视为无效或者被拒绝接收。</w:t>
      </w:r>
    </w:p>
    <w:p>
      <w:pPr>
        <w:pStyle w:val="37"/>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7"/>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highlight w:val="none"/>
        </w:rPr>
        <w:t>招标文件第二部分投标人须知前附表规定的备份投标文件送达地点；</w:t>
      </w:r>
      <w:r>
        <w:rPr>
          <w:rFonts w:hint="eastAsia" w:ascii="仿宋_GB2312" w:hAnsi="仿宋" w:eastAsia="仿宋_GB2312" w:cs="仿宋_GB2312"/>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15.5投标人仅提交备份投标文件，没有在电子交易平台传输递交投标文件的，投标无效。</w:t>
      </w:r>
    </w:p>
    <w:p>
      <w:pPr>
        <w:pStyle w:val="132"/>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16.投标文件的无效处理</w:t>
      </w:r>
    </w:p>
    <w:p>
      <w:pPr>
        <w:pStyle w:val="28"/>
        <w:spacing w:line="360" w:lineRule="auto"/>
        <w:ind w:firstLine="360" w:firstLineChars="150"/>
        <w:rPr>
          <w:rFonts w:ascii="仿宋_GB2312" w:hAnsi="仿宋" w:eastAsia="仿宋_GB2312" w:cs="仿宋_GB2312"/>
          <w:szCs w:val="21"/>
          <w:highlight w:val="none"/>
        </w:rPr>
      </w:pPr>
      <w:r>
        <w:rPr>
          <w:rFonts w:hint="eastAsia" w:ascii="仿宋_GB2312" w:hAnsi="仿宋" w:eastAsia="仿宋_GB2312" w:cs="仿宋_GB2312"/>
          <w:szCs w:val="21"/>
          <w:highlight w:val="none"/>
        </w:rPr>
        <w:t>有招标文件第四部分</w:t>
      </w:r>
      <w:r>
        <w:rPr>
          <w:rFonts w:hint="eastAsia" w:ascii="仿宋_GB2312" w:hAnsi="仿宋" w:eastAsia="仿宋_GB2312"/>
          <w:highlight w:val="none"/>
        </w:rPr>
        <w:t>第</w:t>
      </w:r>
      <w:r>
        <w:rPr>
          <w:rFonts w:ascii="仿宋_GB2312" w:hAnsi="仿宋" w:eastAsia="仿宋_GB2312"/>
          <w:highlight w:val="none"/>
        </w:rPr>
        <w:t>13项规定</w:t>
      </w:r>
      <w:r>
        <w:rPr>
          <w:rFonts w:hint="eastAsia" w:ascii="仿宋_GB2312" w:hAnsi="仿宋" w:eastAsia="仿宋_GB2312" w:cs="仿宋_GB2312"/>
          <w:szCs w:val="21"/>
          <w:highlight w:val="none"/>
        </w:rPr>
        <w:t>的情形之一的，投标无效：</w:t>
      </w:r>
    </w:p>
    <w:p>
      <w:pPr>
        <w:pStyle w:val="132"/>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17.投标有效期</w:t>
      </w:r>
    </w:p>
    <w:p>
      <w:pPr>
        <w:spacing w:line="360" w:lineRule="auto"/>
        <w:ind w:firstLine="480" w:firstLineChars="200"/>
        <w:rPr>
          <w:rFonts w:ascii="仿宋_GB2312" w:hAnsi="仿宋" w:eastAsia="仿宋_GB2312" w:cs="仿宋_GB2312"/>
          <w:b/>
          <w:sz w:val="24"/>
          <w:szCs w:val="21"/>
          <w:highlight w:val="none"/>
        </w:rPr>
      </w:pPr>
      <w:r>
        <w:rPr>
          <w:rFonts w:ascii="仿宋_GB2312" w:hAnsi="仿宋" w:eastAsia="仿宋_GB2312" w:cs="仿宋_GB2312"/>
          <w:sz w:val="24"/>
          <w:szCs w:val="20"/>
          <w:highlight w:val="none"/>
        </w:rPr>
        <w:t>17.1投标有效期为从提交投标文件的截止之日起90天。▲</w:t>
      </w:r>
      <w:r>
        <w:rPr>
          <w:rFonts w:hint="eastAsia" w:ascii="仿宋_GB2312" w:hAnsi="仿宋" w:eastAsia="仿宋_GB2312" w:cs="仿宋_GB2312"/>
          <w:b/>
          <w:sz w:val="24"/>
          <w:szCs w:val="20"/>
          <w:highlight w:val="none"/>
        </w:rPr>
        <w:t>投标人的投标文件中承</w:t>
      </w:r>
      <w:r>
        <w:rPr>
          <w:rFonts w:hint="eastAsia" w:ascii="仿宋_GB2312" w:hAnsi="仿宋" w:eastAsia="仿宋_GB2312" w:cs="仿宋_GB2312"/>
          <w:b/>
          <w:sz w:val="24"/>
          <w:szCs w:val="21"/>
          <w:highlight w:val="none"/>
        </w:rPr>
        <w:t>诺的投标有效期少于招标文件中载明的投标有效期的，投标无效。</w:t>
      </w:r>
    </w:p>
    <w:p>
      <w:pPr>
        <w:pStyle w:val="132"/>
        <w:spacing w:before="0"/>
        <w:ind w:firstLine="480"/>
        <w:rPr>
          <w:rFonts w:ascii="仿宋_GB2312" w:hAnsi="仿宋" w:eastAsia="仿宋_GB2312" w:cs="仿宋_GB2312"/>
          <w:highlight w:val="none"/>
        </w:rPr>
      </w:pPr>
      <w:r>
        <w:rPr>
          <w:rFonts w:ascii="仿宋_GB2312" w:hAnsi="仿宋" w:eastAsia="仿宋_GB2312" w:cs="仿宋_GB2312"/>
          <w:highlight w:val="none"/>
        </w:rPr>
        <w:t>17.2投标文件合格投递后，自投标截止日期起，在投标有效期内有效。</w:t>
      </w:r>
    </w:p>
    <w:p>
      <w:pPr>
        <w:pStyle w:val="132"/>
        <w:spacing w:before="0"/>
        <w:ind w:firstLine="480"/>
        <w:rPr>
          <w:rFonts w:ascii="仿宋_GB2312" w:hAnsi="仿宋" w:eastAsia="仿宋_GB2312" w:cs="仿宋_GB2312"/>
          <w:highlight w:val="none"/>
        </w:rPr>
      </w:pPr>
      <w:r>
        <w:rPr>
          <w:rFonts w:ascii="仿宋_GB2312" w:hAnsi="仿宋" w:eastAsia="仿宋_GB2312" w:cs="仿宋_GB2312"/>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2"/>
        <w:spacing w:before="0"/>
        <w:ind w:firstLine="643"/>
        <w:rPr>
          <w:rFonts w:ascii="仿宋_GB2312" w:hAnsi="仿宋" w:eastAsia="仿宋_GB2312" w:cs="仿宋_GB2312"/>
          <w:b/>
          <w:sz w:val="32"/>
          <w:highlight w:val="none"/>
        </w:rPr>
      </w:pPr>
    </w:p>
    <w:p>
      <w:pPr>
        <w:pStyle w:val="132"/>
        <w:spacing w:before="0"/>
        <w:ind w:firstLine="1928" w:firstLineChars="600"/>
        <w:rPr>
          <w:rFonts w:ascii="仿宋_GB2312" w:hAnsi="仿宋" w:eastAsia="仿宋_GB2312" w:cs="仿宋_GB2312"/>
          <w:b/>
          <w:sz w:val="32"/>
          <w:highlight w:val="none"/>
        </w:rPr>
      </w:pPr>
      <w:r>
        <w:rPr>
          <w:rFonts w:hint="eastAsia" w:ascii="仿宋_GB2312" w:hAnsi="仿宋" w:eastAsia="仿宋_GB2312" w:cs="仿宋_GB2312"/>
          <w:b/>
          <w:sz w:val="32"/>
          <w:highlight w:val="none"/>
        </w:rPr>
        <w:t>四、开标、资格审查与信用信息查询</w:t>
      </w:r>
    </w:p>
    <w:p>
      <w:pPr>
        <w:pStyle w:val="558"/>
        <w:spacing w:before="0" w:line="360" w:lineRule="auto"/>
        <w:ind w:left="0" w:firstLine="241" w:firstLineChars="100"/>
        <w:contextualSpacing/>
        <w:rPr>
          <w:rFonts w:ascii="仿宋_GB2312" w:eastAsia="仿宋_GB2312"/>
          <w:sz w:val="24"/>
          <w:highlight w:val="none"/>
        </w:rPr>
      </w:pPr>
      <w:r>
        <w:rPr>
          <w:rFonts w:ascii="仿宋_GB2312" w:hAnsi="仿宋" w:eastAsia="仿宋_GB2312" w:cs="仿宋_GB2312"/>
          <w:b/>
          <w:sz w:val="24"/>
          <w:szCs w:val="24"/>
          <w:highlight w:val="none"/>
        </w:rPr>
        <w:t>18.开标</w:t>
      </w:r>
      <w:r>
        <w:rPr>
          <w:rFonts w:ascii="仿宋_GB2312" w:eastAsia="仿宋_GB2312"/>
          <w:sz w:val="24"/>
          <w:highlight w:val="none"/>
        </w:rPr>
        <w:t xml:space="preserve"> </w:t>
      </w:r>
    </w:p>
    <w:p>
      <w:pPr>
        <w:pStyle w:val="558"/>
        <w:spacing w:before="0" w:line="360" w:lineRule="auto"/>
        <w:ind w:left="0" w:firstLine="480" w:firstLineChars="200"/>
        <w:contextualSpacing/>
        <w:rPr>
          <w:rFonts w:ascii="仿宋_GB2312" w:hAnsi="仿宋" w:eastAsia="仿宋_GB2312" w:cs="仿宋_GB2312"/>
          <w:sz w:val="24"/>
          <w:highlight w:val="none"/>
        </w:rPr>
      </w:pPr>
      <w:r>
        <w:rPr>
          <w:rFonts w:ascii="仿宋_GB2312" w:hAnsi="仿宋" w:eastAsia="仿宋_GB2312" w:cs="仿宋_GB2312"/>
          <w:sz w:val="24"/>
          <w:highlight w:val="none"/>
        </w:rPr>
        <w:t>18.1采购机构按照招标文件规定的时间通过电子交易平台组织开标，所有投标人均应当准时在线参加。投标人不足3家的，不得开标。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仿宋_GB2312" w:hAnsi="仿宋" w:eastAsia="仿宋_GB2312" w:cs="仿宋_GB2312"/>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仿宋_GB2312" w:hAnsi="仿宋" w:eastAsia="仿宋_GB2312" w:cs="仿宋_GB2312"/>
          <w:b/>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18.3</w:t>
      </w:r>
      <w:r>
        <w:rPr>
          <w:rFonts w:hint="eastAsia" w:ascii="仿宋_GB2312" w:hAnsi="仿宋" w:eastAsia="仿宋_GB2312" w:cs="仿宋_GB2312"/>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　</w:t>
      </w:r>
      <w:r>
        <w:rPr>
          <w:rFonts w:ascii="仿宋_GB2312" w:hAnsi="仿宋" w:eastAsia="仿宋_GB2312" w:cs="仿宋_GB2312"/>
          <w:b/>
          <w:sz w:val="24"/>
          <w:szCs w:val="20"/>
          <w:highlight w:val="none"/>
        </w:rPr>
        <w:t>19、资格审查</w:t>
      </w:r>
    </w:p>
    <w:p>
      <w:pPr>
        <w:pStyle w:val="132"/>
        <w:spacing w:before="0"/>
        <w:ind w:firstLine="480"/>
        <w:rPr>
          <w:rFonts w:ascii="仿宋_GB2312" w:hAnsi="仿宋" w:eastAsia="仿宋_GB2312" w:cs="Arial"/>
          <w:kern w:val="0"/>
          <w:szCs w:val="24"/>
          <w:highlight w:val="none"/>
        </w:rPr>
      </w:pPr>
      <w:r>
        <w:rPr>
          <w:rFonts w:ascii="仿宋_GB2312" w:hAnsi="仿宋" w:eastAsia="仿宋_GB2312" w:cs="Arial"/>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Arial"/>
          <w:kern w:val="0"/>
          <w:sz w:val="24"/>
          <w:highlight w:val="none"/>
        </w:rPr>
        <w:t>19.2</w:t>
      </w:r>
      <w:r>
        <w:rPr>
          <w:rFonts w:hint="eastAsia" w:ascii="仿宋_GB2312" w:hAnsi="仿宋" w:eastAsia="仿宋_GB2312" w:cs="仿宋_GB2312"/>
          <w:sz w:val="24"/>
          <w:highlight w:val="none"/>
        </w:rPr>
        <w:t>采购人或采购机构依据法律法规和招标文件的规定，对投标人的基本资格条件、特定资格条件进行审查。</w:t>
      </w:r>
    </w:p>
    <w:p>
      <w:pPr>
        <w:pStyle w:val="132"/>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19.3投标人未按照招标文件要求提供与</w:t>
      </w:r>
      <w:r>
        <w:rPr>
          <w:rFonts w:hint="eastAsia" w:ascii="仿宋_GB2312" w:hAnsi="仿宋" w:eastAsia="仿宋_GB2312" w:cs="仿宋_GB2312"/>
          <w:highlight w:val="none"/>
        </w:rPr>
        <w:t>基本资格条件、特定资格条件相应的</w:t>
      </w:r>
      <w:r>
        <w:rPr>
          <w:rFonts w:hint="eastAsia" w:ascii="仿宋_GB2312" w:hAnsi="仿宋" w:eastAsia="仿宋_GB2312" w:cs="Arial"/>
          <w:kern w:val="0"/>
          <w:szCs w:val="24"/>
          <w:highlight w:val="none"/>
        </w:rPr>
        <w:t>有效资格证明材料的，视为</w:t>
      </w:r>
      <w:r>
        <w:rPr>
          <w:rFonts w:hint="eastAsia" w:ascii="仿宋_GB2312" w:hAnsi="仿宋" w:eastAsia="仿宋_GB2312" w:cs="仿宋_GB2312"/>
          <w:highlight w:val="none"/>
        </w:rPr>
        <w:t>投标人不具备招标文件中规定的资格要求，其投标无效。</w:t>
      </w:r>
    </w:p>
    <w:p>
      <w:pPr>
        <w:pStyle w:val="132"/>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4对未通过资格审查的投标人，采购人或采购机构告知其未通过的原因。</w:t>
      </w:r>
    </w:p>
    <w:p>
      <w:pPr>
        <w:pStyle w:val="132"/>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5合格投标人不足3家的，不再评标。</w:t>
      </w:r>
    </w:p>
    <w:p>
      <w:pPr>
        <w:pStyle w:val="132"/>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20、信用信息查询</w:t>
      </w:r>
    </w:p>
    <w:p>
      <w:pPr>
        <w:pStyle w:val="132"/>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20.1信用信息查询渠道及截止时间：采购机构将通过“信用中国”网站(www.creditchina.gov.cn)、中国政府采购网(www.ccgp.gov.cn)渠道查询投标人投标截止时间当天的信用记录。</w:t>
      </w:r>
    </w:p>
    <w:p>
      <w:pPr>
        <w:pStyle w:val="132"/>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20.2信用信息查询记录和证据留存的具体方式：现场查询的投标人的信用记录、查询结果经确认后将与采购文件一起存档。</w:t>
      </w:r>
    </w:p>
    <w:p>
      <w:pPr>
        <w:pStyle w:val="132"/>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highlight w:val="none"/>
        </w:rPr>
        <w:t>。</w:t>
      </w:r>
    </w:p>
    <w:p>
      <w:pPr>
        <w:pStyle w:val="132"/>
        <w:spacing w:before="0"/>
        <w:ind w:firstLine="0" w:firstLineChars="0"/>
        <w:rPr>
          <w:rFonts w:ascii="仿宋_GB2312" w:hAnsi="仿宋" w:eastAsia="仿宋_GB2312" w:cs="Arial"/>
          <w:kern w:val="0"/>
          <w:szCs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五、评标</w:t>
      </w:r>
    </w:p>
    <w:p>
      <w:pPr>
        <w:spacing w:line="360" w:lineRule="auto"/>
        <w:rPr>
          <w:rFonts w:ascii="仿宋_GB2312" w:hAnsi="仿宋" w:eastAsia="仿宋_GB2312" w:cs="仿宋_GB2312"/>
          <w:b/>
          <w:sz w:val="24"/>
          <w:highlight w:val="none"/>
        </w:rPr>
      </w:pPr>
      <w:bookmarkStart w:id="12" w:name="_Toc91899903"/>
      <w:r>
        <w:rPr>
          <w:rFonts w:ascii="仿宋_GB2312" w:hAnsi="仿宋" w:eastAsia="仿宋_GB2312" w:cs="仿宋_GB2312"/>
          <w:b/>
          <w:sz w:val="24"/>
          <w:highlight w:val="none"/>
        </w:rPr>
        <w:t>21.</w:t>
      </w:r>
      <w:r>
        <w:rPr>
          <w:rFonts w:ascii="仿宋_GB2312" w:eastAsia="仿宋_GB2312"/>
          <w:highlight w:val="none"/>
        </w:rPr>
        <w:t xml:space="preserve"> </w:t>
      </w:r>
      <w:r>
        <w:rPr>
          <w:rFonts w:hint="eastAsia" w:ascii="仿宋_GB2312" w:hAnsi="仿宋" w:eastAsia="仿宋_GB2312" w:cs="仿宋_GB2312"/>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highlight w:val="none"/>
        </w:rPr>
        <w:t>详见招标文件第四部分评标办法。</w:t>
      </w:r>
    </w:p>
    <w:p>
      <w:pPr>
        <w:spacing w:line="360" w:lineRule="auto"/>
        <w:rPr>
          <w:rFonts w:ascii="仿宋_GB2312" w:hAnsi="仿宋" w:eastAsia="仿宋_GB2312" w:cs="仿宋_GB2312"/>
          <w:b/>
          <w:sz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六、定</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标</w:t>
      </w:r>
    </w:p>
    <w:p>
      <w:pPr>
        <w:pStyle w:val="2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22. </w:t>
      </w:r>
      <w:r>
        <w:rPr>
          <w:rFonts w:hint="eastAsia" w:ascii="仿宋_GB2312" w:hAnsi="仿宋" w:eastAsia="仿宋_GB2312" w:cs="仿宋_GB2312"/>
          <w:b/>
          <w:highlight w:val="none"/>
        </w:rPr>
        <w:t>确定中标供应商</w:t>
      </w:r>
    </w:p>
    <w:p>
      <w:pPr>
        <w:pStyle w:val="132"/>
        <w:snapToGrid w:val="0"/>
        <w:spacing w:before="0"/>
        <w:ind w:firstLine="480"/>
        <w:rPr>
          <w:rFonts w:ascii="仿宋_GB2312" w:hAnsi="仿宋" w:eastAsia="仿宋_GB2312" w:cs="仿宋_GB2312"/>
          <w:b/>
          <w:szCs w:val="24"/>
          <w:highlight w:val="none"/>
        </w:rPr>
      </w:pPr>
      <w:r>
        <w:rPr>
          <w:rFonts w:hint="eastAsia" w:ascii="仿宋_GB2312" w:hAnsi="仿宋" w:eastAsia="仿宋_GB2312" w:cs="仿宋_GB2312"/>
          <w:szCs w:val="24"/>
          <w:highlight w:val="none"/>
        </w:rPr>
        <w:t>采购人将自收到评审报告之日起</w:t>
      </w:r>
      <w:r>
        <w:rPr>
          <w:rFonts w:ascii="仿宋_GB2312" w:hAnsi="仿宋" w:eastAsia="仿宋_GB2312" w:cs="仿宋_GB2312"/>
          <w:szCs w:val="24"/>
          <w:highlight w:val="none"/>
        </w:rPr>
        <w:t>5个工作日内通过电子交易平台在评审报告推荐的中标候选人中按顺序确定中标供应商。</w:t>
      </w:r>
    </w:p>
    <w:p>
      <w:pPr>
        <w:pStyle w:val="132"/>
        <w:snapToGrid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23. </w:t>
      </w:r>
      <w:r>
        <w:rPr>
          <w:rFonts w:hint="eastAsia" w:ascii="仿宋_GB2312" w:hAnsi="仿宋" w:eastAsia="仿宋_GB2312" w:cs="仿宋_GB2312"/>
          <w:b/>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23.1自中标人确定之日起2个工作日内，采购机构通过电子交易平台向中标人发出中标通知书，</w:t>
      </w:r>
      <w:r>
        <w:rPr>
          <w:rFonts w:hint="eastAsia" w:ascii="仿宋_GB2312" w:hAnsi="仿宋" w:eastAsia="仿宋_GB2312" w:cs="仿宋_GB2312"/>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七、合同授予</w:t>
      </w:r>
    </w:p>
    <w:p>
      <w:pPr>
        <w:pStyle w:val="2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24. </w:t>
      </w:r>
      <w:r>
        <w:rPr>
          <w:rFonts w:hint="eastAsia" w:ascii="仿宋_GB2312" w:hAnsi="仿宋" w:eastAsia="仿宋_GB2312" w:cs="仿宋_GB2312"/>
          <w:highlight w:val="none"/>
        </w:rPr>
        <w:t>合同主要条款详见第五部分拟签订的合同文本。</w:t>
      </w:r>
    </w:p>
    <w:p>
      <w:pPr>
        <w:pStyle w:val="2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25. </w:t>
      </w:r>
      <w:r>
        <w:rPr>
          <w:rFonts w:hint="eastAsia" w:ascii="仿宋_GB2312" w:hAnsi="仿宋" w:eastAsia="仿宋_GB2312" w:cs="仿宋_GB2312"/>
          <w:b/>
          <w:highlight w:val="none"/>
        </w:rPr>
        <w:t>合同的签订</w:t>
      </w:r>
    </w:p>
    <w:p>
      <w:pPr>
        <w:widowControl/>
        <w:shd w:val="clear" w:color="auto" w:fill="FFFFFF"/>
        <w:spacing w:line="360" w:lineRule="auto"/>
        <w:ind w:firstLine="480"/>
        <w:jc w:val="left"/>
        <w:rPr>
          <w:rFonts w:ascii="仿宋_GB2312" w:hAnsi="仿宋" w:eastAsia="仿宋_GB2312" w:cs="Arial"/>
          <w:kern w:val="0"/>
          <w:sz w:val="24"/>
          <w:highlight w:val="none"/>
        </w:rPr>
      </w:pPr>
      <w:r>
        <w:rPr>
          <w:rFonts w:ascii="仿宋_GB2312" w:hAnsi="仿宋" w:eastAsia="仿宋_GB2312" w:cs="仿宋_GB2312"/>
          <w:sz w:val="24"/>
          <w:highlight w:val="none"/>
        </w:rPr>
        <w:t>25.1</w:t>
      </w:r>
      <w:r>
        <w:rPr>
          <w:rFonts w:ascii="仿宋_GB2312" w:hAnsi="仿宋" w:eastAsia="仿宋_GB2312" w:cs="Arial"/>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highlight w:val="none"/>
        </w:rPr>
        <w:t>合同签订之日起2个工作日</w:t>
      </w:r>
      <w:r>
        <w:rPr>
          <w:rFonts w:ascii="仿宋_GB2312" w:hAnsi="仿宋" w:eastAsia="仿宋_GB2312" w:cs="Arial"/>
          <w:kern w:val="0"/>
          <w:sz w:val="24"/>
          <w:highlight w:val="none"/>
        </w:rPr>
        <w:t>内依法发布合同公告。</w:t>
      </w:r>
    </w:p>
    <w:p>
      <w:pPr>
        <w:pStyle w:val="132"/>
        <w:snapToGrid w:val="0"/>
        <w:spacing w:before="0"/>
        <w:ind w:firstLine="480"/>
        <w:rPr>
          <w:rFonts w:ascii="仿宋_GB2312" w:hAnsi="仿宋" w:eastAsia="仿宋_GB2312"/>
          <w:kern w:val="0"/>
          <w:highlight w:val="none"/>
        </w:rPr>
      </w:pPr>
      <w:r>
        <w:rPr>
          <w:rFonts w:ascii="仿宋_GB2312" w:hAnsi="仿宋" w:eastAsia="仿宋_GB2312" w:cs="仿宋_GB2312"/>
          <w:kern w:val="0"/>
          <w:highlight w:val="none"/>
          <w:lang w:val="zh-CN"/>
        </w:rPr>
        <w:t>25.2</w:t>
      </w:r>
      <w:r>
        <w:rPr>
          <w:rFonts w:hint="eastAsia" w:ascii="仿宋_GB2312" w:hAnsi="仿宋" w:eastAsia="仿宋_GB2312"/>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25.3如签订合同并生效后，供应商无故拒绝或延期，除按照合同条款处理外，列入不良行为记录一次，并给予通报。</w:t>
      </w:r>
    </w:p>
    <w:p>
      <w:pPr>
        <w:pStyle w:val="132"/>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25.4中标供应</w:t>
      </w:r>
      <w:r>
        <w:rPr>
          <w:rFonts w:hint="eastAsia" w:ascii="仿宋_GB2312" w:hAnsi="仿宋" w:eastAsia="仿宋_GB2312" w:cs="仿宋_GB2312"/>
          <w:highlight w:val="none"/>
        </w:rPr>
        <w:t>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仿宋_GB2312" w:hAnsi="仿宋" w:eastAsia="仿宋_GB2312" w:cs="仿宋_GB2312"/>
          <w:highlight w:val="none"/>
        </w:rPr>
      </w:pPr>
      <w:r>
        <w:rPr>
          <w:rFonts w:ascii="仿宋_GB2312" w:hAnsi="仿宋" w:eastAsia="仿宋_GB2312" w:cs="仿宋_GB2312"/>
          <w:highlight w:val="none"/>
        </w:rPr>
        <w:t>25.5采购合同由采购人与中标供应商根据</w:t>
      </w:r>
      <w:r>
        <w:rPr>
          <w:rFonts w:hint="eastAsia" w:ascii="仿宋_GB2312" w:hAnsi="仿宋" w:eastAsia="仿宋_GB2312" w:cs="仿宋_GB2312"/>
          <w:highlight w:val="none"/>
        </w:rPr>
        <w:t>招标文件、投标文件等内容通过政府采购电子交易平台在线签订，自动备案。</w:t>
      </w:r>
    </w:p>
    <w:p>
      <w:pPr>
        <w:pStyle w:val="2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26. </w:t>
      </w:r>
      <w:r>
        <w:rPr>
          <w:rFonts w:hint="eastAsia" w:ascii="仿宋_GB2312" w:hAnsi="仿宋" w:eastAsia="仿宋_GB2312" w:cs="仿宋_GB2312"/>
          <w:b/>
          <w:highlight w:val="none"/>
        </w:rPr>
        <w:t>履约保证金</w:t>
      </w:r>
    </w:p>
    <w:p>
      <w:pPr>
        <w:tabs>
          <w:tab w:val="left" w:pos="0"/>
        </w:tabs>
        <w:spacing w:line="360" w:lineRule="auto"/>
        <w:ind w:firstLine="482"/>
        <w:rPr>
          <w:rFonts w:ascii="仿宋_GB2312" w:hAnsi="仿宋" w:eastAsia="仿宋_GB2312"/>
          <w:b/>
          <w:sz w:val="24"/>
          <w:highlight w:val="none"/>
        </w:rPr>
      </w:pPr>
      <w:r>
        <w:rPr>
          <w:rFonts w:hint="eastAsia" w:ascii="仿宋_GB2312" w:hAnsi="仿宋" w:eastAsia="仿宋_GB2312" w:cs="Helvetica"/>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highlight w:val="none"/>
        </w:rPr>
        <w:t>。履约保证金的数额不得超过政府采购合同金额的</w:t>
      </w:r>
      <w:r>
        <w:rPr>
          <w:rFonts w:ascii="仿宋_GB2312" w:hAnsi="仿宋" w:eastAsia="仿宋_GB2312"/>
          <w:sz w:val="24"/>
          <w:highlight w:val="none"/>
        </w:rPr>
        <w:t>5%。</w:t>
      </w:r>
      <w:r>
        <w:rPr>
          <w:rFonts w:hint="eastAsia" w:ascii="仿宋_GB2312" w:hAnsi="仿宋" w:eastAsia="仿宋_GB2312"/>
          <w:sz w:val="24"/>
          <w:highlight w:val="none"/>
        </w:rPr>
        <w:t>鼓励和支持供应商以银行、保险公司出具的保函形式提供履约保证金。</w:t>
      </w:r>
      <w:r>
        <w:rPr>
          <w:rFonts w:hint="eastAsia" w:ascii="仿宋_GB2312" w:hAnsi="仿宋" w:eastAsia="仿宋_GB2312"/>
          <w:b/>
          <w:sz w:val="24"/>
          <w:highlight w:val="none"/>
        </w:rPr>
        <w:t>采购人不得拒收履约保函。</w:t>
      </w:r>
    </w:p>
    <w:p>
      <w:pPr>
        <w:tabs>
          <w:tab w:val="left" w:pos="0"/>
        </w:tabs>
        <w:spacing w:line="360" w:lineRule="auto"/>
        <w:ind w:firstLine="482"/>
        <w:rPr>
          <w:rFonts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5"/>
        <w:ind w:left="0" w:firstLine="480" w:firstLineChars="200"/>
        <w:rPr>
          <w:highlight w:val="none"/>
          <w:lang w:val="en-US"/>
        </w:rPr>
      </w:pPr>
      <w:r>
        <w:rPr>
          <w:rFonts w:hint="eastAsia"/>
          <w:b w:val="0"/>
          <w:bCs w:val="0"/>
          <w:snapToGrid w:val="0"/>
          <w:kern w:val="28"/>
          <w:sz w:val="24"/>
          <w:highlight w:val="none"/>
        </w:rPr>
        <w:t>供应商</w:t>
      </w:r>
      <w:r>
        <w:rPr>
          <w:rFonts w:hint="eastAsia"/>
          <w:b w:val="0"/>
          <w:bCs w:val="0"/>
          <w:snapToGrid w:val="0"/>
          <w:kern w:val="28"/>
          <w:sz w:val="24"/>
          <w:highlight w:val="none"/>
          <w:lang w:val="en-US"/>
        </w:rPr>
        <w:t>可</w:t>
      </w:r>
      <w:r>
        <w:rPr>
          <w:rFonts w:hint="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highlight w:val="none"/>
        </w:rPr>
      </w:pPr>
    </w:p>
    <w:p>
      <w:pPr>
        <w:snapToGrid w:val="0"/>
        <w:spacing w:line="360" w:lineRule="auto"/>
        <w:ind w:firstLine="3357" w:firstLineChars="1045"/>
        <w:rPr>
          <w:rFonts w:ascii="仿宋_GB2312" w:hAnsi="仿宋" w:eastAsia="仿宋_GB2312"/>
          <w:b/>
          <w:sz w:val="24"/>
          <w:highlight w:val="none"/>
        </w:rPr>
      </w:pPr>
      <w:r>
        <w:rPr>
          <w:rFonts w:hint="eastAsia" w:ascii="仿宋_GB2312" w:hAnsi="仿宋" w:eastAsia="仿宋_GB2312" w:cs="仿宋_GB2312"/>
          <w:b/>
          <w:sz w:val="32"/>
          <w:highlight w:val="none"/>
        </w:rPr>
        <w:t>八、电子交易活动的中止</w:t>
      </w:r>
    </w:p>
    <w:p>
      <w:pPr>
        <w:pStyle w:val="132"/>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2</w:t>
      </w:r>
      <w:r>
        <w:rPr>
          <w:rFonts w:ascii="仿宋_GB2312" w:hAnsi="仿宋" w:eastAsia="仿宋_GB2312" w:cs="仿宋_GB2312"/>
          <w:b/>
          <w:szCs w:val="24"/>
          <w:highlight w:val="none"/>
        </w:rPr>
        <w:t xml:space="preserve">7. </w:t>
      </w:r>
      <w:r>
        <w:rPr>
          <w:rFonts w:hint="eastAsia" w:ascii="仿宋_GB2312" w:hAnsi="仿宋" w:eastAsia="仿宋_GB2312" w:cs="仿宋_GB2312"/>
          <w:b/>
          <w:szCs w:val="24"/>
          <w:highlight w:val="none"/>
        </w:rPr>
        <w:t>电子交易活动的中止。</w:t>
      </w:r>
      <w:r>
        <w:rPr>
          <w:rFonts w:hint="eastAsia" w:ascii="仿宋_GB2312" w:hAnsi="仿宋" w:eastAsia="仿宋_GB2312" w:cs="仿宋_GB2312"/>
          <w:highlight w:val="none"/>
        </w:rPr>
        <w:t>采购过程中出现以下情形，导致电子交易平台无法正常运行，或者无法保证电子交易的公平、公正和安全时，采购机构可中止电子交易活动：</w:t>
      </w:r>
    </w:p>
    <w:p>
      <w:pPr>
        <w:pStyle w:val="132"/>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27.1电子交易平台发生故障而无法登录访问的； </w:t>
      </w:r>
    </w:p>
    <w:p>
      <w:pPr>
        <w:pStyle w:val="132"/>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27.2电子交易平台应用或数据库出现错误，不能进行正常操作的；</w:t>
      </w:r>
    </w:p>
    <w:p>
      <w:pPr>
        <w:pStyle w:val="132"/>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27.3电子交易平台发现严重安全漏洞，有潜在泄密危险的；</w:t>
      </w:r>
    </w:p>
    <w:p>
      <w:pPr>
        <w:pStyle w:val="132"/>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27.4病毒发作导致不能进行正常操作的； </w:t>
      </w:r>
    </w:p>
    <w:p>
      <w:pPr>
        <w:pStyle w:val="132"/>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27.5其他无法保证电子交易的公平、公正和安全的情况。</w:t>
      </w:r>
    </w:p>
    <w:p>
      <w:pPr>
        <w:pStyle w:val="132"/>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九、验收</w:t>
      </w:r>
    </w:p>
    <w:p>
      <w:pPr>
        <w:pStyle w:val="28"/>
        <w:spacing w:line="360" w:lineRule="auto"/>
        <w:ind w:firstLine="0" w:firstLineChars="0"/>
        <w:rPr>
          <w:rFonts w:ascii="仿宋_GB2312" w:hAnsi="仿宋" w:eastAsia="仿宋_GB2312" w:cs="仿宋_GB2312"/>
          <w:b/>
          <w:highlight w:val="none"/>
        </w:rPr>
      </w:pPr>
      <w:r>
        <w:rPr>
          <w:rFonts w:ascii="仿宋_GB2312" w:hAnsi="仿宋" w:eastAsia="仿宋_GB2312" w:cs="仿宋_GB2312"/>
          <w:b/>
          <w:highlight w:val="none"/>
        </w:rPr>
        <w:t>29.验收</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highlight w:val="none"/>
        </w:rPr>
        <w:t>验收书的参考资料一并存档。</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highlight w:val="none"/>
        </w:rPr>
      </w:pPr>
      <w:r>
        <w:rPr>
          <w:rFonts w:ascii="仿宋_GB2312" w:hAnsi="仿宋" w:eastAsia="仿宋_GB2312" w:cs="Helvetica"/>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3" w:name="_Hlt74707468"/>
      <w:bookmarkEnd w:id="13"/>
      <w:bookmarkStart w:id="14" w:name="_Hlt68057669"/>
      <w:bookmarkEnd w:id="14"/>
      <w:bookmarkStart w:id="15" w:name="_Hlt74714665"/>
      <w:bookmarkEnd w:id="15"/>
      <w:bookmarkStart w:id="16" w:name="_Hlt75236011"/>
      <w:bookmarkEnd w:id="16"/>
      <w:bookmarkStart w:id="17" w:name="_Hlt68072990"/>
      <w:bookmarkEnd w:id="17"/>
      <w:bookmarkStart w:id="18" w:name="_Hlt75236290"/>
      <w:bookmarkEnd w:id="18"/>
      <w:bookmarkStart w:id="19" w:name="_Hlt68073093"/>
      <w:bookmarkEnd w:id="19"/>
      <w:bookmarkStart w:id="20" w:name="_Hlt74729768"/>
      <w:bookmarkEnd w:id="20"/>
      <w:bookmarkStart w:id="21" w:name="_Hlt75236101"/>
      <w:bookmarkEnd w:id="21"/>
      <w:bookmarkStart w:id="22" w:name="_Hlt74730295"/>
      <w:bookmarkEnd w:id="22"/>
      <w:bookmarkStart w:id="23" w:name="_Hlt68072998"/>
      <w:bookmarkEnd w:id="23"/>
      <w:bookmarkStart w:id="24" w:name="_Hlt68403820"/>
      <w:bookmarkEnd w:id="24"/>
    </w:p>
    <w:bookmarkEnd w:id="10"/>
    <w:bookmarkEnd w:id="11"/>
    <w:p>
      <w:pPr>
        <w:spacing w:line="360" w:lineRule="auto"/>
        <w:jc w:val="center"/>
        <w:outlineLvl w:val="0"/>
        <w:rPr>
          <w:rFonts w:ascii="仿宋" w:hAnsi="仿宋" w:eastAsia="仿宋" w:cs="仿宋_GB2312"/>
          <w:b/>
          <w:sz w:val="36"/>
          <w:szCs w:val="36"/>
          <w:highlight w:val="none"/>
        </w:rPr>
      </w:pPr>
      <w:bookmarkStart w:id="25" w:name="第四部分"/>
      <w:r>
        <w:rPr>
          <w:rFonts w:hint="eastAsia" w:ascii="仿宋" w:hAnsi="仿宋" w:eastAsia="仿宋" w:cs="仿宋_GB2312"/>
          <w:b/>
          <w:sz w:val="36"/>
          <w:szCs w:val="36"/>
          <w:highlight w:val="none"/>
        </w:rPr>
        <w:t>第三部分</w:t>
      </w:r>
      <w:r>
        <w:rPr>
          <w:rFonts w:ascii="仿宋" w:hAnsi="仿宋" w:eastAsia="仿宋" w:cs="仿宋_GB2312"/>
          <w:b/>
          <w:sz w:val="36"/>
          <w:szCs w:val="36"/>
          <w:highlight w:val="none"/>
        </w:rPr>
        <w:t xml:space="preserve">   </w:t>
      </w:r>
      <w:r>
        <w:rPr>
          <w:rFonts w:hint="eastAsia" w:ascii="仿宋" w:hAnsi="仿宋" w:eastAsia="仿宋" w:cs="仿宋_GB2312"/>
          <w:b/>
          <w:sz w:val="36"/>
          <w:szCs w:val="36"/>
          <w:highlight w:val="none"/>
        </w:rPr>
        <w:t>采购需求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outlineLvl w:val="9"/>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本部分带“●”条款为实质性条款，投标人须提供《实质性内容响应表》，如有任意一条未响应或不满足或未按要求提供证明材料，将被视为投标无效。</w:t>
      </w:r>
    </w:p>
    <w:p>
      <w:pPr>
        <w:spacing w:line="600" w:lineRule="exact"/>
        <w:rPr>
          <w:rFonts w:hint="eastAsia" w:ascii="宋体" w:hAnsi="宋体" w:eastAsia="宋体" w:cs="宋体"/>
          <w:b/>
          <w:sz w:val="24"/>
        </w:rPr>
      </w:pPr>
      <w:bookmarkStart w:id="26" w:name="_Toc33194401"/>
      <w:r>
        <w:rPr>
          <w:rFonts w:hint="eastAsia" w:ascii="宋体" w:hAnsi="宋体" w:eastAsia="宋体" w:cs="宋体"/>
          <w:b/>
          <w:sz w:val="24"/>
          <w:highlight w:val="none"/>
          <w:lang w:val="en-US" w:eastAsia="zh-CN"/>
        </w:rPr>
        <w:t>一、</w:t>
      </w:r>
      <w:r>
        <w:rPr>
          <w:rFonts w:hint="eastAsia" w:ascii="宋体" w:hAnsi="宋体" w:eastAsia="宋体" w:cs="宋体"/>
          <w:b/>
          <w:sz w:val="24"/>
          <w:highlight w:val="none"/>
        </w:rPr>
        <w:t>采购项目概</w:t>
      </w:r>
      <w:r>
        <w:rPr>
          <w:rFonts w:hint="eastAsia" w:ascii="宋体" w:hAnsi="宋体" w:eastAsia="宋体" w:cs="宋体"/>
          <w:b/>
          <w:sz w:val="24"/>
        </w:rPr>
        <w:t>述：</w:t>
      </w:r>
    </w:p>
    <w:p>
      <w:pPr>
        <w:pStyle w:val="2"/>
        <w:spacing w:before="0"/>
        <w:ind w:left="0" w:firstLine="480" w:firstLineChars="200"/>
        <w:rPr>
          <w:rFonts w:hint="eastAsia" w:ascii="宋体" w:hAnsi="宋体" w:eastAsia="宋体" w:cs="宋体"/>
          <w:i w:val="0"/>
          <w:iCs w:val="0"/>
          <w:szCs w:val="24"/>
        </w:rPr>
      </w:pPr>
      <w:r>
        <w:rPr>
          <w:rFonts w:hint="eastAsia" w:ascii="宋体" w:hAnsi="宋体" w:eastAsia="宋体" w:cs="宋体"/>
          <w:i w:val="0"/>
          <w:iCs w:val="0"/>
          <w:szCs w:val="24"/>
        </w:rPr>
        <w:t>本项目采购内容</w:t>
      </w:r>
      <w:bookmarkEnd w:id="26"/>
      <w:r>
        <w:rPr>
          <w:rFonts w:hint="eastAsia" w:ascii="宋体" w:hAnsi="宋体" w:eastAsia="宋体" w:cs="宋体"/>
          <w:i w:val="0"/>
          <w:iCs w:val="0"/>
          <w:szCs w:val="24"/>
        </w:rPr>
        <w:t>主要为道路保洁及养护。</w:t>
      </w:r>
    </w:p>
    <w:p>
      <w:pPr>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、保洁</w:t>
      </w:r>
      <w:r>
        <w:rPr>
          <w:rFonts w:hint="eastAsia" w:ascii="宋体" w:hAnsi="宋体" w:cs="宋体"/>
          <w:b/>
          <w:bCs/>
          <w:color w:val="auto"/>
          <w:sz w:val="24"/>
          <w:highlight w:val="none"/>
          <w:lang w:val="en-US" w:eastAsia="zh-CN"/>
        </w:rPr>
        <w:t>范围</w:t>
      </w:r>
      <w:r>
        <w:rPr>
          <w:rFonts w:hint="eastAsia" w:ascii="宋体" w:hAnsi="宋体" w:cs="宋体"/>
          <w:b/>
          <w:bCs/>
          <w:color w:val="auto"/>
          <w:sz w:val="24"/>
          <w:highlight w:val="none"/>
        </w:rPr>
        <w:t>：</w:t>
      </w:r>
    </w:p>
    <w:tbl>
      <w:tblPr>
        <w:tblStyle w:val="65"/>
        <w:tblpPr w:leftFromText="180" w:rightFromText="180" w:vertAnchor="text" w:horzAnchor="page" w:tblpX="1430" w:tblpY="231"/>
        <w:tblOverlap w:val="never"/>
        <w:tblW w:w="957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0"/>
        <w:gridCol w:w="2865"/>
        <w:gridCol w:w="1620"/>
        <w:gridCol w:w="1485"/>
        <w:gridCol w:w="1440"/>
        <w:gridCol w:w="1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1" w:hRule="atLeast"/>
        </w:trPr>
        <w:tc>
          <w:tcPr>
            <w:tcW w:w="740" w:type="dxa"/>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序号</w:t>
            </w:r>
          </w:p>
        </w:tc>
        <w:tc>
          <w:tcPr>
            <w:tcW w:w="2865" w:type="dxa"/>
            <w:tcBorders>
              <w:right w:val="single" w:color="auto" w:sz="4" w:space="0"/>
            </w:tcBorders>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道路名称</w:t>
            </w:r>
          </w:p>
        </w:tc>
        <w:tc>
          <w:tcPr>
            <w:tcW w:w="1620" w:type="dxa"/>
            <w:tcBorders>
              <w:left w:val="single" w:color="auto" w:sz="4" w:space="0"/>
            </w:tcBorders>
            <w:vAlign w:val="center"/>
          </w:tcPr>
          <w:p>
            <w:pPr>
              <w:widowControl/>
              <w:spacing w:line="360" w:lineRule="auto"/>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道路长度</w:t>
            </w:r>
          </w:p>
        </w:tc>
        <w:tc>
          <w:tcPr>
            <w:tcW w:w="1485" w:type="dxa"/>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道路面积㎡</w:t>
            </w:r>
          </w:p>
        </w:tc>
        <w:tc>
          <w:tcPr>
            <w:tcW w:w="1440" w:type="dxa"/>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绿化面积㎡</w:t>
            </w:r>
          </w:p>
        </w:tc>
        <w:tc>
          <w:tcPr>
            <w:tcW w:w="1425" w:type="dxa"/>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合计面积㎡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9" w:hRule="atLeast"/>
        </w:trPr>
        <w:tc>
          <w:tcPr>
            <w:tcW w:w="74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1</w:t>
            </w:r>
          </w:p>
        </w:tc>
        <w:tc>
          <w:tcPr>
            <w:tcW w:w="2865" w:type="dxa"/>
            <w:tcBorders>
              <w:top w:val="single" w:color="auto" w:sz="8" w:space="0"/>
              <w:left w:val="single" w:color="auto" w:sz="8" w:space="0"/>
              <w:bottom w:val="single" w:color="auto" w:sz="8" w:space="0"/>
              <w:right w:val="single" w:color="auto" w:sz="4" w:space="0"/>
            </w:tcBorders>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迎宾路（三卫路-乔司港）</w:t>
            </w:r>
          </w:p>
        </w:tc>
        <w:tc>
          <w:tcPr>
            <w:tcW w:w="1620"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双向约9公里</w:t>
            </w:r>
          </w:p>
        </w:tc>
        <w:tc>
          <w:tcPr>
            <w:tcW w:w="148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302652</w:t>
            </w:r>
          </w:p>
        </w:tc>
        <w:tc>
          <w:tcPr>
            <w:tcW w:w="144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173843</w:t>
            </w:r>
          </w:p>
        </w:tc>
        <w:tc>
          <w:tcPr>
            <w:tcW w:w="142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476495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1" w:hRule="atLeast"/>
        </w:trPr>
        <w:tc>
          <w:tcPr>
            <w:tcW w:w="5225" w:type="dxa"/>
            <w:gridSpan w:val="3"/>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eastAsia="宋体" w:cs="宋体"/>
                <w:b/>
                <w:bCs/>
                <w:kern w:val="0"/>
                <w:sz w:val="24"/>
              </w:rPr>
            </w:pPr>
            <w:r>
              <w:rPr>
                <w:rFonts w:hint="eastAsia" w:ascii="宋体" w:hAnsi="宋体" w:eastAsia="宋体" w:cs="宋体"/>
                <w:b/>
                <w:bCs/>
                <w:kern w:val="0"/>
                <w:sz w:val="24"/>
              </w:rPr>
              <w:t>总面积合计</w:t>
            </w:r>
          </w:p>
        </w:tc>
        <w:tc>
          <w:tcPr>
            <w:tcW w:w="1485" w:type="dxa"/>
            <w:tcBorders>
              <w:top w:val="single" w:color="auto" w:sz="8" w:space="0"/>
              <w:left w:val="single" w:color="auto" w:sz="8" w:space="0"/>
              <w:bottom w:val="single" w:color="auto" w:sz="8" w:space="0"/>
              <w:right w:val="single" w:color="auto" w:sz="4" w:space="0"/>
            </w:tcBorders>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302652</w:t>
            </w:r>
          </w:p>
        </w:tc>
        <w:tc>
          <w:tcPr>
            <w:tcW w:w="1440"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173843</w:t>
            </w:r>
          </w:p>
        </w:tc>
        <w:tc>
          <w:tcPr>
            <w:tcW w:w="1425"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476495</w:t>
            </w:r>
          </w:p>
        </w:tc>
      </w:tr>
    </w:tbl>
    <w:p>
      <w:pPr>
        <w:pStyle w:val="5"/>
        <w:numPr>
          <w:ilvl w:val="0"/>
          <w:numId w:val="0"/>
        </w:numPr>
        <w:tabs>
          <w:tab w:val="clear" w:pos="432"/>
        </w:tabs>
        <w:ind w:leftChars="0"/>
        <w:jc w:val="both"/>
        <w:rPr>
          <w:rFonts w:hint="eastAsia" w:ascii="宋体" w:hAnsi="宋体" w:eastAsia="仿宋" w:cs="宋体"/>
          <w:color w:val="auto"/>
          <w:sz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人员配备要求：</w:t>
      </w:r>
      <w:r>
        <w:rPr>
          <w:rFonts w:hint="eastAsia" w:ascii="宋体" w:hAnsi="宋体" w:eastAsia="宋体" w:cs="宋体"/>
          <w:color w:val="auto"/>
          <w:sz w:val="24"/>
          <w:szCs w:val="24"/>
        </w:rPr>
        <w:t>项目负责人（管理人员）1人，保洁人员</w:t>
      </w:r>
      <w:r>
        <w:rPr>
          <w:rFonts w:hint="eastAsia" w:ascii="宋体" w:hAnsi="宋体" w:eastAsia="宋体" w:cs="宋体"/>
          <w:color w:val="auto"/>
          <w:sz w:val="24"/>
          <w:szCs w:val="24"/>
          <w:lang w:val="en-US" w:eastAsia="zh-CN"/>
        </w:rPr>
        <w:t>95</w:t>
      </w:r>
      <w:r>
        <w:rPr>
          <w:rFonts w:hint="eastAsia" w:ascii="宋体" w:hAnsi="宋体" w:eastAsia="宋体" w:cs="宋体"/>
          <w:color w:val="auto"/>
          <w:sz w:val="24"/>
          <w:szCs w:val="24"/>
        </w:rPr>
        <w:t>人，其他人员自行酌情考虑。</w:t>
      </w:r>
    </w:p>
    <w:p>
      <w:pPr>
        <w:widowControl/>
        <w:spacing w:line="360" w:lineRule="auto"/>
        <w:jc w:val="left"/>
        <w:rPr>
          <w:rFonts w:hint="eastAsia" w:ascii="宋体" w:hAnsi="宋体" w:cs="宋体"/>
          <w:color w:val="auto"/>
          <w:sz w:val="24"/>
          <w:highlight w:val="none"/>
          <w:lang w:val="en-US" w:eastAsia="zh-CN"/>
        </w:rPr>
      </w:pPr>
      <w:r>
        <w:rPr>
          <w:rFonts w:hint="eastAsia" w:ascii="宋体" w:hAnsi="宋体" w:cs="宋体"/>
          <w:b/>
          <w:bCs/>
          <w:color w:val="auto"/>
          <w:sz w:val="24"/>
          <w:highlight w:val="none"/>
          <w:lang w:val="en-US" w:eastAsia="zh-CN"/>
        </w:rPr>
        <w:t>四、费用支付：</w:t>
      </w:r>
    </w:p>
    <w:p>
      <w:pPr>
        <w:widowControl/>
        <w:spacing w:line="360" w:lineRule="auto"/>
        <w:ind w:firstLine="540"/>
        <w:jc w:val="left"/>
        <w:rPr>
          <w:rFonts w:hint="eastAsia" w:ascii="宋体" w:hAnsi="宋体" w:cs="宋体"/>
          <w:color w:val="auto"/>
          <w:sz w:val="24"/>
          <w:highlight w:val="none"/>
        </w:rPr>
      </w:pPr>
      <w:r>
        <w:rPr>
          <w:rFonts w:hint="eastAsia" w:ascii="宋体" w:hAnsi="宋体" w:cs="宋体"/>
          <w:color w:val="auto"/>
          <w:sz w:val="24"/>
          <w:highlight w:val="none"/>
        </w:rPr>
        <w:t>为确保运营工作正常开展，服务费以季度为结算周期，对每月平均分进行汇总，每个季度期满后的第一个月10日前完成支付。甲方逾期支付服务费用的，按应付费用的日万分之五向乙方支付违约金直至逾期费用付清为止。如遇延期2个月未支付的，乙方有权停止服务。</w:t>
      </w:r>
    </w:p>
    <w:p>
      <w:pPr>
        <w:spacing w:line="360" w:lineRule="auto"/>
        <w:rPr>
          <w:rFonts w:hint="eastAsia" w:ascii="宋体" w:hAnsi="宋体" w:cs="宋体"/>
          <w:b/>
          <w:bCs/>
          <w:color w:val="auto"/>
          <w:sz w:val="24"/>
          <w:highlight w:val="none"/>
        </w:rPr>
      </w:pPr>
      <w:r>
        <w:rPr>
          <w:rFonts w:hint="eastAsia" w:ascii="宋体" w:hAnsi="宋体" w:cs="宋体"/>
          <w:color w:val="auto"/>
          <w:sz w:val="24"/>
          <w:highlight w:val="none"/>
          <w:lang w:val="en-US" w:eastAsia="zh-CN"/>
        </w:rPr>
        <w:t>五</w:t>
      </w:r>
      <w:r>
        <w:rPr>
          <w:rFonts w:hint="eastAsia" w:ascii="宋体" w:hAnsi="宋体" w:cs="宋体"/>
          <w:color w:val="auto"/>
          <w:sz w:val="24"/>
          <w:highlight w:val="none"/>
        </w:rPr>
        <w:t>、</w:t>
      </w:r>
      <w:r>
        <w:rPr>
          <w:rFonts w:hint="eastAsia" w:ascii="宋体" w:hAnsi="宋体" w:cs="宋体"/>
          <w:b/>
          <w:bCs/>
          <w:color w:val="auto"/>
          <w:sz w:val="24"/>
          <w:highlight w:val="none"/>
        </w:rPr>
        <w:t>招标技术需求</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（一）保洁范围:</w:t>
      </w:r>
    </w:p>
    <w:p>
      <w:pPr>
        <w:widowControl/>
        <w:spacing w:line="360" w:lineRule="auto"/>
        <w:ind w:firstLine="540"/>
        <w:jc w:val="left"/>
        <w:rPr>
          <w:rFonts w:hint="eastAsia" w:ascii="宋体" w:hAnsi="宋体" w:cs="宋体"/>
          <w:color w:val="auto"/>
          <w:sz w:val="24"/>
          <w:highlight w:val="none"/>
        </w:rPr>
      </w:pPr>
      <w:r>
        <w:rPr>
          <w:rFonts w:hint="eastAsia" w:ascii="宋体" w:hAnsi="宋体" w:cs="宋体"/>
          <w:color w:val="auto"/>
          <w:sz w:val="24"/>
          <w:highlight w:val="none"/>
        </w:rPr>
        <w:t>道路路面的机动车道、非机动车道、人行道及两侧可视范围（包括果皮、纸屑、塑模、痰迹、污水、人畜粪便、泥沙等影响路面整洁的各类废弃物、垃圾和牛皮癣等）、公益性宣传牌、候车亭、交通护栏、绿化护栏、大理石隔离墩、公共设施、桥梁栏杆、隔离栏杆、果壳箱、垃圾桶、垃圾中转（集中）点，城市家具、乱涂画张贴、雨水口、绿化带内垃圾等纳入环卫保洁范围。</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（二）保洁标准及要求：</w:t>
      </w:r>
    </w:p>
    <w:p>
      <w:pPr>
        <w:widowControl/>
        <w:spacing w:line="360" w:lineRule="auto"/>
        <w:ind w:firstLine="723" w:firstLineChars="300"/>
        <w:jc w:val="left"/>
        <w:rPr>
          <w:rFonts w:hint="eastAsia"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保洁标准：</w:t>
      </w:r>
    </w:p>
    <w:p>
      <w:pPr>
        <w:widowControl/>
        <w:spacing w:line="360" w:lineRule="auto"/>
        <w:ind w:firstLine="540"/>
        <w:jc w:val="left"/>
        <w:rPr>
          <w:rFonts w:hint="eastAsia" w:ascii="宋体" w:hAnsi="宋体" w:cs="宋体"/>
          <w:color w:val="auto"/>
          <w:sz w:val="24"/>
          <w:highlight w:val="none"/>
        </w:rPr>
      </w:pPr>
      <w:r>
        <w:rPr>
          <w:rFonts w:hint="eastAsia" w:ascii="宋体" w:hAnsi="宋体" w:cs="宋体"/>
          <w:color w:val="auto"/>
          <w:sz w:val="24"/>
          <w:highlight w:val="none"/>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刺落(或严重褪色)、垃圾满溢，表面清洁无污垢，周围地面无暴露垃圾、污水现象。⑤在规定时间内(夏季6：30前，其它季节上午7点前)完成第一遍普扫，然后进行全天巡回保洁以及中午、晚上的两次普扫。一类道路每日18小时保洁，二类道路每日16小时保洁，24小时响应甲方要求，人均保洁面积5000㎡，每日洒水5次(夏季6次)、机械化清扫3次(夏季4次)，每周清洗道路2次、清洗城市家具1次。</w:t>
      </w:r>
    </w:p>
    <w:p>
      <w:pPr>
        <w:widowControl/>
        <w:spacing w:line="360" w:lineRule="auto"/>
        <w:ind w:firstLine="540"/>
        <w:jc w:val="left"/>
        <w:rPr>
          <w:rFonts w:hint="eastAsia"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1保洁员在道路清扫保洁时必须穿着反光安全背心作业。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2垃圾应倾倒在规定地点，不得焚烧垃圾、树叶。落叶旺季做到及时清扫，并按指定地点堆放和转运树叶。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3道路清扫保洁作业严格按照《城市道路标准化清扫保洁作业规范程序表》的要求执行。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4中标单位需配备专属封闭式垃圾清运车一辆，所属的垃圾运输车辆（含机动车、非机动车）应印有编号、监督电话、责任单位等信息。</w:t>
      </w:r>
    </w:p>
    <w:p>
      <w:pPr>
        <w:pStyle w:val="2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5垃圾收集清运车辆（含机动车和非机动车）车容车貌整洁，无破损，运输过程中应密闭运输，无吊挂，无抛、撒垃圾现象，垃圾压缩车填塞器内不得装载垃圾行驶。</w:t>
      </w:r>
    </w:p>
    <w:p>
      <w:pPr>
        <w:pStyle w:val="2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垃圾运输车辆运输过程中不得滴漏污水。车辆应匀速行驶，不得急停急起，防止污水外溢。垃圾运输车出中转站作业前、在垃圾处理场所倾倒垃圾后须及时排空污水箱中的污水，并将污水排水口密闭，遮挡板盖合，连接桥连接污水槽后，才能执行垃圾清运任务。</w:t>
      </w:r>
    </w:p>
    <w:p>
      <w:pPr>
        <w:pStyle w:val="2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7垃圾运输车辆（含机动车、非机动车）作业完毕后应冲洗干净，做到车厢无积存垃圾、无污垢、无油污，底盘无垃圾、无污物、无油污、无泥浆。</w:t>
      </w:r>
    </w:p>
    <w:p>
      <w:pPr>
        <w:pStyle w:val="64"/>
        <w:numPr>
          <w:ilvl w:val="0"/>
          <w:numId w:val="0"/>
        </w:numPr>
        <w:ind w:firstLine="480" w:firstLineChars="200"/>
        <w:rPr>
          <w:rFonts w:hint="eastAsia" w:hAnsi="宋体" w:eastAsia="宋体" w:cs="宋体"/>
          <w:color w:val="auto"/>
          <w:sz w:val="24"/>
          <w:szCs w:val="24"/>
          <w:highlight w:val="none"/>
        </w:rPr>
      </w:pPr>
      <w:r>
        <w:rPr>
          <w:rFonts w:hint="eastAsia" w:cs="宋体"/>
          <w:color w:val="auto"/>
          <w:sz w:val="24"/>
          <w:szCs w:val="24"/>
          <w:highlight w:val="none"/>
          <w:lang w:val="en-US" w:eastAsia="zh-CN"/>
        </w:rPr>
        <w:t>8</w:t>
      </w:r>
      <w:r>
        <w:rPr>
          <w:rFonts w:hint="eastAsia" w:hAnsi="宋体" w:eastAsia="宋体" w:cs="宋体"/>
          <w:color w:val="auto"/>
          <w:sz w:val="24"/>
          <w:szCs w:val="24"/>
          <w:highlight w:val="none"/>
        </w:rPr>
        <w:t>所有车辆驾驶员必须持有有效驾驶证件。</w:t>
      </w:r>
    </w:p>
    <w:p>
      <w:pPr>
        <w:pStyle w:val="64"/>
        <w:numPr>
          <w:ilvl w:val="0"/>
          <w:numId w:val="0"/>
        </w:numPr>
        <w:ind w:firstLine="480" w:firstLineChars="200"/>
        <w:rPr>
          <w:rFonts w:hAnsi="宋体" w:eastAsia="宋体" w:cs="宋体"/>
          <w:color w:val="auto"/>
          <w:sz w:val="24"/>
          <w:szCs w:val="24"/>
          <w:highlight w:val="none"/>
        </w:rPr>
      </w:pPr>
      <w:r>
        <w:rPr>
          <w:rFonts w:hint="eastAsia" w:cs="宋体"/>
          <w:color w:val="auto"/>
          <w:sz w:val="24"/>
          <w:szCs w:val="24"/>
          <w:highlight w:val="none"/>
          <w:lang w:val="en-US" w:eastAsia="zh-CN"/>
        </w:rPr>
        <w:t>9</w:t>
      </w:r>
      <w:r>
        <w:rPr>
          <w:rFonts w:hint="eastAsia" w:hAnsi="宋体" w:eastAsia="宋体" w:cs="宋体"/>
          <w:color w:val="auto"/>
          <w:sz w:val="24"/>
          <w:szCs w:val="24"/>
          <w:highlight w:val="none"/>
        </w:rPr>
        <w:t>所有人员、机械设备、作业车辆须带有GPS并接入数字城管系统，产生费用由中标单位自行承担。</w:t>
      </w:r>
    </w:p>
    <w:p>
      <w:pPr>
        <w:spacing w:line="360" w:lineRule="auto"/>
        <w:ind w:left="420" w:leftChars="200"/>
        <w:rPr>
          <w:rFonts w:hint="eastAsia" w:ascii="宋体" w:hAnsi="宋体" w:cs="宋体"/>
          <w:b/>
          <w:bCs/>
          <w:color w:val="auto"/>
          <w:sz w:val="24"/>
          <w:highlight w:val="none"/>
        </w:rPr>
      </w:pPr>
      <w:r>
        <w:rPr>
          <w:rFonts w:hint="eastAsia" w:ascii="宋体" w:hAnsi="宋体" w:cs="宋体"/>
          <w:color w:val="auto"/>
          <w:sz w:val="24"/>
          <w:highlight w:val="none"/>
        </w:rPr>
        <w:t>（三）</w:t>
      </w:r>
      <w:r>
        <w:rPr>
          <w:rFonts w:hint="eastAsia" w:ascii="宋体" w:hAnsi="宋体" w:cs="宋体"/>
          <w:bCs/>
          <w:color w:val="auto"/>
          <w:sz w:val="24"/>
          <w:highlight w:val="none"/>
        </w:rPr>
        <w:t>保洁机械设备要求：</w:t>
      </w:r>
    </w:p>
    <w:p>
      <w:pPr>
        <w:spacing w:line="360" w:lineRule="auto"/>
        <w:ind w:firstLine="720"/>
        <w:rPr>
          <w:rFonts w:hint="eastAsia" w:ascii="宋体" w:hAnsi="宋体" w:cs="宋体"/>
          <w:color w:val="auto"/>
          <w:sz w:val="24"/>
          <w:highlight w:val="none"/>
        </w:rPr>
      </w:pPr>
      <w:r>
        <w:rPr>
          <w:rFonts w:hint="eastAsia" w:ascii="宋体" w:hAnsi="宋体" w:cs="宋体"/>
          <w:color w:val="auto"/>
          <w:sz w:val="24"/>
          <w:highlight w:val="none"/>
        </w:rPr>
        <w:t>保洁单位自行解决作业工具、设备及保洁用品。一切费用由保洁单位自理。</w:t>
      </w:r>
    </w:p>
    <w:p>
      <w:pPr>
        <w:spacing w:line="360" w:lineRule="auto"/>
        <w:ind w:left="420" w:leftChars="200"/>
        <w:rPr>
          <w:rFonts w:hint="eastAsia" w:ascii="宋体" w:hAnsi="宋体" w:cs="宋体"/>
          <w:color w:val="auto"/>
          <w:sz w:val="24"/>
          <w:highlight w:val="none"/>
        </w:rPr>
      </w:pPr>
      <w:r>
        <w:rPr>
          <w:rFonts w:hint="eastAsia" w:ascii="宋体" w:hAnsi="宋体" w:cs="宋体"/>
          <w:color w:val="auto"/>
          <w:sz w:val="24"/>
          <w:highlight w:val="none"/>
        </w:rPr>
        <w:t>（四）台帐资料管理：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1保洁单位年度、季度、月度有报表、工作计划，年终有总结。</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2保洁单位与主管单位有工作联系单制度和工作落实情况记录。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保洁单位本着以保证环卫保洁管理项目达到优良的标准进行管理，应建立相应管理系统、健全的业务管理制度和标准作业规范，加强对作业队伍和作业机械的管理，分工明确，认真落实质量岗位责任制，各项基础设施台帐资料齐全，真实可信，并如实上报。</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4保洁单位要建立巡查制度，完善巡查日报，建立月报制度。</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（五）组织管理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1环卫保洁工作由街道城管办统一管理，并负责日常监管和月度、季度、年度考核等工作。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2保洁单位应强化内部作业和管理制度，加强对内部人员的安全和责任教育，建立完善的作业和巡查登记制度，强化责任考核和整改制度，自觉接受政府、媒体和社会团体的监督。</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3各社区、企事业单位和个人对环卫保洁工作负有监督责任，中标单位应对各社区、企事业单位和个人提出的建议进行整改、落实。</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outlineLvl w:val="9"/>
        <w:rPr>
          <w:rFonts w:hint="eastAsia" w:ascii="仿宋" w:hAnsi="仿宋" w:eastAsia="仿宋" w:cs="仿宋"/>
          <w:sz w:val="24"/>
          <w:highlight w:val="none"/>
          <w:lang w:val="en-US" w:eastAsia="zh-CN"/>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、●服务期限：</w:t>
      </w:r>
      <w:r>
        <w:rPr>
          <w:rFonts w:hint="eastAsia" w:ascii="仿宋" w:hAnsi="仿宋" w:eastAsia="仿宋" w:cs="仿宋"/>
          <w:sz w:val="24"/>
          <w:highlight w:val="none"/>
          <w:lang w:val="en-US" w:eastAsia="zh-CN"/>
        </w:rPr>
        <w:t>养护期限为三年</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合同为一年一签，具体以合同签订日期为准。</w:t>
      </w:r>
    </w:p>
    <w:p>
      <w:pPr>
        <w:spacing w:line="360" w:lineRule="auto"/>
        <w:rPr>
          <w:rFonts w:hint="eastAsia" w:ascii="宋体" w:hAnsi="宋体" w:cs="宋体"/>
          <w:b/>
          <w:color w:val="auto"/>
          <w:sz w:val="24"/>
          <w:highlight w:val="none"/>
          <w:lang w:eastAsia="zh-CN"/>
        </w:rPr>
      </w:pPr>
      <w:r>
        <w:rPr>
          <w:rFonts w:hint="eastAsia" w:ascii="宋体" w:hAnsi="宋体" w:cs="宋体"/>
          <w:b/>
          <w:color w:val="auto"/>
          <w:sz w:val="24"/>
          <w:highlight w:val="none"/>
        </w:rPr>
        <w:t>如中标单位在一年内保洁考核</w:t>
      </w:r>
      <w:r>
        <w:rPr>
          <w:rFonts w:hint="eastAsia" w:ascii="宋体" w:hAnsi="宋体" w:cs="宋体"/>
          <w:b/>
          <w:color w:val="auto"/>
          <w:sz w:val="24"/>
          <w:highlight w:val="none"/>
          <w:lang w:val="en-US" w:eastAsia="zh-CN"/>
        </w:rPr>
        <w:t>通过</w:t>
      </w:r>
      <w:r>
        <w:rPr>
          <w:rFonts w:hint="eastAsia" w:ascii="宋体" w:hAnsi="宋体" w:cs="宋体"/>
          <w:b/>
          <w:color w:val="auto"/>
          <w:sz w:val="24"/>
          <w:highlight w:val="none"/>
        </w:rPr>
        <w:t>，通过相应程序续签</w:t>
      </w:r>
      <w:r>
        <w:rPr>
          <w:rFonts w:hint="eastAsia" w:ascii="宋体" w:hAnsi="宋体" w:cs="宋体"/>
          <w:b/>
          <w:color w:val="auto"/>
          <w:sz w:val="24"/>
          <w:highlight w:val="none"/>
          <w:lang w:val="en-US" w:eastAsia="zh-CN"/>
        </w:rPr>
        <w:t>下一</w:t>
      </w:r>
      <w:r>
        <w:rPr>
          <w:rFonts w:hint="eastAsia" w:ascii="宋体" w:hAnsi="宋体" w:cs="宋体"/>
          <w:b/>
          <w:color w:val="auto"/>
          <w:sz w:val="24"/>
          <w:highlight w:val="none"/>
        </w:rPr>
        <w:t>年合同</w:t>
      </w:r>
      <w:r>
        <w:rPr>
          <w:rFonts w:hint="eastAsia" w:ascii="宋体" w:hAnsi="宋体" w:cs="宋体"/>
          <w:b/>
          <w:color w:val="auto"/>
          <w:sz w:val="24"/>
          <w:highlight w:val="none"/>
          <w:lang w:eastAsia="zh-CN"/>
        </w:rPr>
        <w:t>。</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七</w:t>
      </w:r>
      <w:r>
        <w:rPr>
          <w:rFonts w:hint="eastAsia" w:ascii="宋体" w:hAnsi="宋体" w:cs="宋体"/>
          <w:b/>
          <w:bCs/>
          <w:color w:val="auto"/>
          <w:sz w:val="24"/>
          <w:highlight w:val="none"/>
        </w:rPr>
        <w:t>、服务要求：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1、中标供应商在履行合同义务期间，应遵守国家有关法律、法规、维护招标人的合法权益。</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2、中标供应商应组建能够满足本项目服务需要的项目组，按照工作范围和内容完成服务工作，并按约定向招标人汇报工作进展。</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八</w:t>
      </w:r>
      <w:r>
        <w:rPr>
          <w:rFonts w:hint="eastAsia" w:ascii="宋体" w:hAnsi="宋体" w:cs="宋体"/>
          <w:b/>
          <w:bCs/>
          <w:color w:val="auto"/>
          <w:sz w:val="24"/>
          <w:highlight w:val="none"/>
        </w:rPr>
        <w:t>、中标供应商违约责任：</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中标供应商提供的技术及方案不符合招标人要求的，中标供应商应负责无偿给予调整及安排。中标供应商应对因此造成的直接损失负赔偿责任，并承担相应的法律责任（由于招标人提供的资料原因产生的责任由招标人自己负责）。</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2.对于招标人提供的信息及相关材料，中标供应商方有义务保密，未经招标人许可，不得擅自使用，不得向第三方转让，否则招标人有权对此追究责任。</w:t>
      </w:r>
    </w:p>
    <w:p>
      <w:pPr>
        <w:adjustRightInd w:val="0"/>
        <w:snapToGrid w:val="0"/>
        <w:spacing w:line="360" w:lineRule="auto"/>
        <w:rPr>
          <w:rFonts w:hint="eastAsia" w:ascii="宋体" w:hAnsi="宋体" w:cs="宋体"/>
          <w:b/>
          <w:bCs/>
          <w:color w:val="auto"/>
          <w:sz w:val="24"/>
          <w:highlight w:val="none"/>
        </w:rPr>
      </w:pPr>
      <w:r>
        <w:rPr>
          <w:rFonts w:hint="eastAsia" w:ascii="宋体" w:hAnsi="宋体" w:cs="宋体"/>
          <w:b/>
          <w:color w:val="auto"/>
          <w:sz w:val="24"/>
          <w:highlight w:val="none"/>
          <w:lang w:val="en-US" w:eastAsia="zh-CN"/>
        </w:rPr>
        <w:t>九</w:t>
      </w:r>
      <w:r>
        <w:rPr>
          <w:rFonts w:hint="eastAsia" w:ascii="宋体" w:hAnsi="宋体" w:cs="宋体"/>
          <w:b/>
          <w:bCs/>
          <w:color w:val="auto"/>
          <w:sz w:val="24"/>
          <w:highlight w:val="none"/>
        </w:rPr>
        <w:t>、履约保证金：</w:t>
      </w:r>
    </w:p>
    <w:p>
      <w:pPr>
        <w:adjustRightInd w:val="0"/>
        <w:snapToGrid w:val="0"/>
        <w:spacing w:line="360" w:lineRule="auto"/>
        <w:ind w:firstLine="352" w:firstLineChars="147"/>
        <w:rPr>
          <w:rFonts w:hint="eastAsia" w:ascii="宋体" w:hAnsi="宋体" w:cs="宋体"/>
          <w:bCs/>
          <w:color w:val="auto"/>
          <w:sz w:val="24"/>
          <w:highlight w:val="none"/>
        </w:rPr>
      </w:pPr>
      <w:r>
        <w:rPr>
          <w:rFonts w:hint="eastAsia" w:ascii="宋体" w:hAnsi="宋体" w:cs="宋体"/>
          <w:bCs/>
          <w:color w:val="auto"/>
          <w:sz w:val="24"/>
          <w:highlight w:val="none"/>
        </w:rPr>
        <w:t xml:space="preserve">在合同签订以前供应商向采购人缴纳合同金额5%的履约保证金或银行保函，项目完成后，满足招标人考核要求的， </w:t>
      </w:r>
      <w:r>
        <w:rPr>
          <w:rFonts w:hint="eastAsia" w:ascii="宋体" w:hAnsi="宋体" w:cs="宋体"/>
          <w:color w:val="auto"/>
          <w:sz w:val="24"/>
          <w:highlight w:val="none"/>
        </w:rPr>
        <w:t>7个工作日内</w:t>
      </w:r>
      <w:r>
        <w:rPr>
          <w:rFonts w:hint="eastAsia" w:ascii="宋体" w:hAnsi="宋体" w:cs="宋体"/>
          <w:bCs/>
          <w:color w:val="auto"/>
          <w:sz w:val="24"/>
          <w:highlight w:val="none"/>
        </w:rPr>
        <w:t>无息退还。</w:t>
      </w:r>
    </w:p>
    <w:p>
      <w:pPr>
        <w:adjustRightInd w:val="0"/>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十</w:t>
      </w:r>
      <w:r>
        <w:rPr>
          <w:rFonts w:hint="eastAsia" w:ascii="宋体" w:hAnsi="宋体" w:cs="宋体"/>
          <w:b/>
          <w:bCs/>
          <w:color w:val="auto"/>
          <w:sz w:val="24"/>
          <w:highlight w:val="none"/>
        </w:rPr>
        <w:t>、服务标准、考核方式和内容</w:t>
      </w:r>
      <w:r>
        <w:rPr>
          <w:rFonts w:hint="eastAsia" w:ascii="宋体" w:hAnsi="宋体" w:cs="宋体"/>
          <w:b/>
          <w:bCs/>
          <w:color w:val="auto"/>
          <w:sz w:val="24"/>
          <w:highlight w:val="none"/>
          <w:lang w:eastAsia="zh-CN"/>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1、服务标准主要依据余城管（2020）50号文件、城市公共厕所保洁与服务规范（DB 3301/T 74—2019）、余城组办（2020）9号文件执行，如上级主管有新文件的，按新文件执行，（详见附件，以上文件要求不一致时，以标准高的为准）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各项服务内容运营服务费划分为服务保障费及服务考核费，其中服务保障费占各项服务费的70%，不纳入考核；服务考核费占各项服务费的30%，服务考核费支付与考核结果挂钩，根据各项服务的考核得分进行折算。具体考核办法详见附件</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如遇街道最新考核办法按最新考核办法执行）</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3、甲方根据考核办法每月组织人员对乙方各项服务内容进行现场单项检查考核，次月5日前未反馈考核情况的视作考核满分。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为了鼓励先进，针对区内通报的红榜或优秀提名，在区奖励的基础上，甲方给予同等的加倍奖励。</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洒水车、扫路车、三位一体车、抑尘车需</w:t>
      </w:r>
      <w:r>
        <w:rPr>
          <w:rFonts w:hint="eastAsia" w:ascii="宋体" w:hAnsi="宋体" w:cs="宋体"/>
          <w:color w:val="auto"/>
          <w:sz w:val="24"/>
          <w:highlight w:val="none"/>
          <w:lang w:val="en-US" w:eastAsia="zh-CN"/>
        </w:rPr>
        <w:t>在合同签订后5日内</w:t>
      </w:r>
      <w:r>
        <w:rPr>
          <w:rFonts w:hint="eastAsia" w:ascii="宋体" w:hAnsi="宋体" w:cs="宋体"/>
          <w:color w:val="auto"/>
          <w:sz w:val="24"/>
          <w:highlight w:val="none"/>
        </w:rPr>
        <w:t>安装GPS且养护期间GPS轨迹只能显示在标项区域内。</w:t>
      </w:r>
    </w:p>
    <w:p>
      <w:pPr>
        <w:pStyle w:val="28"/>
        <w:numPr>
          <w:ilvl w:val="0"/>
          <w:numId w:val="0"/>
        </w:numPr>
        <w:ind w:firstLine="480" w:firstLineChars="200"/>
        <w:rPr>
          <w:rFonts w:hint="default" w:ascii="仿宋" w:hAnsi="仿宋" w:eastAsia="仿宋" w:cs="仿宋"/>
          <w:b/>
          <w:bCs w:val="0"/>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w:t>
      </w:r>
      <w:r>
        <w:rPr>
          <w:rFonts w:hint="eastAsia" w:ascii="宋体" w:hAnsi="宋体" w:cs="宋体"/>
          <w:color w:val="auto"/>
          <w:sz w:val="24"/>
          <w:highlight w:val="none"/>
        </w:rPr>
        <w:t>、</w:t>
      </w:r>
      <w:r>
        <w:rPr>
          <w:rFonts w:hint="eastAsia" w:ascii="仿宋" w:hAnsi="仿宋" w:eastAsia="仿宋" w:cs="仿宋"/>
          <w:bCs/>
          <w:color w:val="auto"/>
          <w:sz w:val="24"/>
          <w:szCs w:val="24"/>
          <w:highlight w:val="none"/>
        </w:rPr>
        <w:t>环卫保洁管理要求:(1)按《杭州市人民政府办公厅转发市城管委关于杭州城区整洁度检查考核试行办法的通知》(杭政办函(2012)177号)、《关于印发2020年度各区、县(市)政府(管委会)城市管理目标考核办法的通知》(杭城管局(2020)42号)、《关于进一步明确城市各类保洁相关要求的通知》(杭城管局(2020)49号)和《关于印发(杭州市环卫作业人员着装与作业行为规范〉及(杭州市环卫作业车辆标识与作业管理规范〉的通知》(杭城管委(2016)130号)中明确的相关要求执行，如市、区相应规范标准有更新，按照最新版本执行。(2)按照以人为本原则关心职工，严格遵守《劳动法》、《劳动合同法》等劳动法规，保障职工合法权益。认真贯彻杭政办《浙江省人民政府办公厅关于进一步改善环卫工人工作生活条件促进环卫事业持续健康发展的若干意见》(浙政办发(2009)190号)和《杭州市人民政府办公厅关于进一步解决环卫工人实际困难 保障其合法权益的意见》((2008)14号)文件精神，环卫工人工资不得低于文件规定的工资标准，落实职工劳保福利待遇。(3)环卫职工的工资、岗位津贴、加班工资等必须确保按月发放。本次招标项目要求作业期间同一时段内道路保洁作业人数不得少于</w:t>
      </w:r>
      <w:r>
        <w:rPr>
          <w:rFonts w:hint="eastAsia" w:ascii="仿宋" w:hAnsi="仿宋" w:eastAsia="仿宋" w:cs="仿宋"/>
          <w:bCs/>
          <w:color w:val="auto"/>
          <w:sz w:val="24"/>
          <w:szCs w:val="24"/>
          <w:highlight w:val="none"/>
          <w:lang w:val="en-US" w:eastAsia="zh-CN"/>
        </w:rPr>
        <w:t>48</w:t>
      </w:r>
      <w:r>
        <w:rPr>
          <w:rFonts w:hint="eastAsia" w:ascii="仿宋" w:hAnsi="仿宋" w:eastAsia="仿宋" w:cs="仿宋"/>
          <w:bCs/>
          <w:color w:val="auto"/>
          <w:sz w:val="24"/>
          <w:szCs w:val="24"/>
          <w:highlight w:val="none"/>
        </w:rPr>
        <w:t>人，作业人员(含保洁项目现场管理人员)总人数不得少于</w:t>
      </w:r>
      <w:r>
        <w:rPr>
          <w:rFonts w:hint="eastAsia" w:ascii="仿宋" w:hAnsi="仿宋" w:eastAsia="仿宋" w:cs="仿宋"/>
          <w:bCs/>
          <w:color w:val="auto"/>
          <w:sz w:val="24"/>
          <w:szCs w:val="24"/>
          <w:highlight w:val="none"/>
          <w:lang w:val="en-US" w:eastAsia="zh-CN"/>
        </w:rPr>
        <w:t>95</w:t>
      </w:r>
      <w:r>
        <w:rPr>
          <w:rFonts w:hint="eastAsia" w:ascii="仿宋" w:hAnsi="仿宋" w:eastAsia="仿宋" w:cs="仿宋"/>
          <w:bCs/>
          <w:color w:val="auto"/>
          <w:sz w:val="24"/>
          <w:szCs w:val="24"/>
          <w:highlight w:val="none"/>
        </w:rPr>
        <w:t>人。</w:t>
      </w:r>
      <w:r>
        <w:rPr>
          <w:rFonts w:hint="eastAsia" w:ascii="仿宋" w:hAnsi="仿宋" w:eastAsia="仿宋" w:cs="仿宋"/>
          <w:b/>
          <w:bCs w:val="0"/>
          <w:color w:val="auto"/>
          <w:sz w:val="24"/>
          <w:szCs w:val="24"/>
          <w:highlight w:val="none"/>
        </w:rPr>
        <w:t>本次招标要求的班组人员、机具设备固定用于本项目，不能与其它标段重复。如发有作业人员、机具在其它道路标段兼职或使用的，采购人有权解除合同。</w:t>
      </w:r>
    </w:p>
    <w:p>
      <w:pPr>
        <w:pStyle w:val="62"/>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附件：各项考核标准：</w:t>
      </w:r>
    </w:p>
    <w:p>
      <w:pPr>
        <w:pStyle w:val="62"/>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（1）环卫道路清扫考核标准</w:t>
      </w:r>
      <w:r>
        <w:rPr>
          <w:rFonts w:hint="eastAsia" w:ascii="宋体" w:hAnsi="宋体" w:cs="宋体"/>
          <w:sz w:val="24"/>
          <w:szCs w:val="24"/>
          <w:highlight w:val="none"/>
          <w:lang w:eastAsia="zh-CN"/>
        </w:rPr>
        <w:t>（考核根据街道最新考核办法执行）</w:t>
      </w:r>
    </w:p>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考核要求及方式：</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为促进乔司街道城市管理提升，加强各管养单位的工作能力，现对乔司街道下属管养单位制定考核方案。</w:t>
      </w:r>
    </w:p>
    <w:p>
      <w:pPr>
        <w:pStyle w:val="62"/>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 xml:space="preserve">     </w:t>
      </w:r>
      <w:r>
        <w:rPr>
          <w:rFonts w:hint="eastAsia" w:ascii="宋体" w:hAnsi="宋体" w:eastAsia="宋体" w:cs="宋体"/>
          <w:b/>
          <w:bCs/>
          <w:kern w:val="2"/>
          <w:sz w:val="24"/>
          <w:szCs w:val="24"/>
          <w:highlight w:val="none"/>
          <w:lang w:val="en-US" w:eastAsia="zh-CN" w:bidi="ar-SA"/>
        </w:rPr>
        <w:t>1.考核成绩计算</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保洁、绿化管养单位城市化区域内月度成绩=街道巡查队伍自查行业线成绩（占50%）+社区评价成绩（10%）+区级综合普查件成绩（占40%）；城市化区域外月度成绩=街道巡查队伍自查行业线成绩（占60%）+区级综合普查件成绩（占40%）</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备注：①街道巡查队伍自查行业线成绩考核方式：由街道巡查队伍加上中队共三人在每月的不固定时间日进行检查，无需管养单位上报检查路段，所有保洁、绿化养护单位的养护范围路段定为一个月检查两轮或两轮以上（具体看当时情况决定），每个标段每一次检查不少于2条道路（包括背街），检查到的问题依照《保洁、市政、绿化、牛皮癣单位考核评分细则》进行扣分。智慧城管小程序上日常拍到的问题如在整改期限内整改则不扣分，如超过整改时间未整改或整改不到位则依照《保洁、市政、绿化、牛皮癣单位考核评分细则》进行扣分。②社区评价成绩由社区每月对属地涉及到的管养单位进行评分，并向街道提供纸质考核依据。③区级综合普查件交办街道后直接依照《保洁、市政、绿化、牛皮癣单位考核评分细则》对保洁、绿化单位进行扣分。</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cs="宋体"/>
          <w:b w:val="0"/>
          <w:kern w:val="2"/>
          <w:sz w:val="24"/>
          <w:szCs w:val="24"/>
          <w:highlight w:val="none"/>
          <w:lang w:val="en-US" w:eastAsia="zh-CN" w:bidi="ar-SA"/>
        </w:rPr>
        <w:t>（2）</w:t>
      </w:r>
      <w:r>
        <w:rPr>
          <w:rFonts w:hint="eastAsia" w:ascii="宋体" w:hAnsi="宋体" w:eastAsia="宋体" w:cs="宋体"/>
          <w:b w:val="0"/>
          <w:kern w:val="2"/>
          <w:sz w:val="24"/>
          <w:szCs w:val="24"/>
          <w:highlight w:val="none"/>
          <w:lang w:val="en-US" w:eastAsia="zh-CN" w:bidi="ar-SA"/>
        </w:rPr>
        <w:t>市政管养单位月度考核成绩=区级月度考核成绩（市政类别成绩），月度成绩在95分以上不扣钱，95分扣1000元，小于95分每扣一分扣款1000元。</w:t>
      </w:r>
    </w:p>
    <w:p>
      <w:pPr>
        <w:pStyle w:val="62"/>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备注：市政单位因管养不到位引起的责任事故，应积极予以配合赔偿。</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（3）牛皮癣管养单位月度考核成绩依据《保洁、市政、绿化、牛皮癣单位考核评分细则》（详见附件1）进行扣分。</w:t>
      </w:r>
    </w:p>
    <w:p>
      <w:pPr>
        <w:pStyle w:val="62"/>
        <w:jc w:val="left"/>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 xml:space="preserve"> </w:t>
      </w:r>
      <w:r>
        <w:rPr>
          <w:rFonts w:hint="eastAsia" w:ascii="宋体" w:hAnsi="宋体" w:cs="宋体"/>
          <w:b/>
          <w:bCs/>
          <w:kern w:val="2"/>
          <w:sz w:val="24"/>
          <w:szCs w:val="24"/>
          <w:highlight w:val="none"/>
          <w:lang w:val="en-US" w:eastAsia="zh-CN" w:bidi="ar-SA"/>
        </w:rPr>
        <w:t xml:space="preserve">    </w:t>
      </w:r>
      <w:r>
        <w:rPr>
          <w:rFonts w:hint="eastAsia" w:ascii="宋体" w:hAnsi="宋体" w:eastAsia="宋体" w:cs="宋体"/>
          <w:b/>
          <w:bCs/>
          <w:kern w:val="2"/>
          <w:sz w:val="24"/>
          <w:szCs w:val="24"/>
          <w:highlight w:val="none"/>
          <w:lang w:val="en-US" w:eastAsia="zh-CN" w:bidi="ar-SA"/>
        </w:rPr>
        <w:t>2.成绩奖惩机制：</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经街道部门会议决定，将管养单位（绿化、保洁单位）合同金额的100%作为考核费用,每一年分为四个考核周期，每个考核周期为三个月。第一个考核周期支付合同金额（单年）的10%，第二个考核周期支付合同金额（单年）的20%，第三个考核周期支付合同金额（单年）的30%，第四个考核周期支付合同金额（单年）的40%。</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每月区级考核成绩出来后，对各单项考核成绩进行排名，在扣分奖罚机制上，针对保洁、绿化管养单位城市化区域内、城市化区域外月度考核成绩，排名第一可免除扣分，排名第二加2分后乘0.4系数，排名第三加1分后乘0.8系数，排名第四正常扣分不加分不减分，排名第五再扣1分后乘1.2系数，排名第六再扣2分后乘1.4系数，排名第七再扣3分后乘1.8系数，排名第八再扣4分后乘2.0系数。</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考核奖=管养单位考核成绩*0.01*当前周期的考核费用</w:t>
      </w:r>
    </w:p>
    <w:p>
      <w:pPr>
        <w:pStyle w:val="62"/>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 xml:space="preserve"> </w:t>
      </w:r>
      <w:r>
        <w:rPr>
          <w:rFonts w:hint="eastAsia" w:ascii="宋体" w:hAnsi="宋体" w:eastAsia="宋体" w:cs="宋体"/>
          <w:b/>
          <w:bCs/>
          <w:kern w:val="2"/>
          <w:sz w:val="24"/>
          <w:szCs w:val="24"/>
          <w:highlight w:val="none"/>
          <w:lang w:val="en-US" w:eastAsia="zh-CN" w:bidi="ar-SA"/>
        </w:rPr>
        <w:t xml:space="preserve"> </w:t>
      </w:r>
      <w:r>
        <w:rPr>
          <w:rFonts w:hint="eastAsia" w:ascii="宋体" w:hAnsi="宋体" w:cs="宋体"/>
          <w:b/>
          <w:bCs/>
          <w:kern w:val="2"/>
          <w:sz w:val="24"/>
          <w:szCs w:val="24"/>
          <w:highlight w:val="none"/>
          <w:lang w:val="en-US" w:eastAsia="zh-CN" w:bidi="ar-SA"/>
        </w:rPr>
        <w:t xml:space="preserve">  </w:t>
      </w:r>
      <w:r>
        <w:rPr>
          <w:rFonts w:hint="eastAsia" w:ascii="宋体" w:hAnsi="宋体" w:eastAsia="宋体" w:cs="宋体"/>
          <w:b/>
          <w:bCs/>
          <w:kern w:val="2"/>
          <w:sz w:val="24"/>
          <w:szCs w:val="24"/>
          <w:highlight w:val="none"/>
          <w:lang w:val="en-US" w:eastAsia="zh-CN" w:bidi="ar-SA"/>
        </w:rPr>
        <w:t>3.直接奖罚机制：</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领导交办件：街道交办一个点位问题扣10000元，区级交办一个点位问题扣20000元，市级交办一个点位问题扣40000元。</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市级抄告单：（1）街道自查复核点位问题：复核点位及周边20米未通过罚款300元一处。（2）区级复核未通过一个问题罚款1000元。（3）市级复核未通过一个问题罚款10000元。</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区级卫生死角普查件：发现一处B类问题罚款300元，发现一处C类问题罚款1000元。</w:t>
      </w:r>
    </w:p>
    <w:p>
      <w:pPr>
        <w:pStyle w:val="62"/>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区、市级红黑榜：管养单位区级红榜奖励10000元，市级红榜奖励20000元；区级黑榜罚款20000元，市级黑榜罚款40000元。</w:t>
      </w:r>
    </w:p>
    <w:p>
      <w:pPr>
        <w:pStyle w:val="62"/>
        <w:ind w:firstLine="480" w:firstLineChars="200"/>
        <w:jc w:val="left"/>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问题点位媒体曝光：媒体平台(区城管局、市城管局微信公众号，新闻媒体）区级问题曝光扣20000元，市级问题曝光扣30000元，省级问题曝光扣40000元。</w:t>
      </w:r>
    </w:p>
    <w:p>
      <w:pP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 xml:space="preserve"> </w:t>
      </w:r>
    </w:p>
    <w:p>
      <w:pPr>
        <w:spacing w:line="500" w:lineRule="exact"/>
        <w:jc w:val="center"/>
        <w:rPr>
          <w:rFonts w:hint="eastAsia" w:ascii="仿宋_GB2312" w:eastAsia="仿宋_GB2312"/>
          <w:color w:val="auto"/>
          <w:szCs w:val="21"/>
        </w:rPr>
      </w:pPr>
      <w:r>
        <w:rPr>
          <w:rFonts w:hint="eastAsia" w:ascii="方正小标宋_GBK" w:hAnsi="仿宋" w:eastAsia="方正小标宋_GBK" w:cs="仿宋"/>
          <w:b/>
          <w:color w:val="auto"/>
          <w:sz w:val="28"/>
          <w:szCs w:val="28"/>
          <w:lang w:eastAsia="zh-CN"/>
        </w:rPr>
        <w:t>保洁单位现场检查</w:t>
      </w:r>
      <w:r>
        <w:rPr>
          <w:rFonts w:hint="eastAsia" w:ascii="方正小标宋_GBK" w:hAnsi="仿宋" w:eastAsia="方正小标宋_GBK" w:cs="仿宋"/>
          <w:b/>
          <w:color w:val="auto"/>
          <w:sz w:val="28"/>
          <w:szCs w:val="28"/>
        </w:rPr>
        <w:t>评分细则</w:t>
      </w:r>
      <w:r>
        <w:rPr>
          <w:rFonts w:hint="eastAsia" w:ascii="仿宋_GB2312" w:hAnsi="仿宋" w:eastAsia="仿宋_GB2312" w:cs="仿宋"/>
          <w:b/>
          <w:bCs/>
          <w:color w:val="auto"/>
          <w:szCs w:val="21"/>
        </w:rPr>
        <w:t xml:space="preserve">                                  </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494"/>
        <w:gridCol w:w="6732"/>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22" w:type="dxa"/>
            <w:vAlign w:val="center"/>
          </w:tcPr>
          <w:p>
            <w:pPr>
              <w:spacing w:line="300" w:lineRule="exact"/>
              <w:jc w:val="center"/>
              <w:rPr>
                <w:rFonts w:hint="eastAsia" w:ascii="仿宋_GB2312" w:hAnsi="仿宋" w:eastAsia="仿宋_GB2312" w:cs="仿宋"/>
                <w:b/>
                <w:color w:val="auto"/>
                <w:szCs w:val="21"/>
                <w:lang w:eastAsia="zh-CN"/>
              </w:rPr>
            </w:pPr>
            <w:r>
              <w:rPr>
                <w:rFonts w:hint="eastAsia" w:ascii="仿宋_GB2312" w:hAnsi="仿宋" w:eastAsia="仿宋_GB2312" w:cs="仿宋"/>
                <w:b/>
                <w:color w:val="auto"/>
                <w:szCs w:val="21"/>
                <w:lang w:eastAsia="zh-CN"/>
              </w:rPr>
              <w:t>项目</w:t>
            </w:r>
          </w:p>
        </w:tc>
        <w:tc>
          <w:tcPr>
            <w:tcW w:w="494" w:type="dxa"/>
            <w:vAlign w:val="center"/>
          </w:tcPr>
          <w:p>
            <w:pPr>
              <w:spacing w:line="300" w:lineRule="exact"/>
              <w:jc w:val="center"/>
              <w:rPr>
                <w:rFonts w:hint="eastAsia" w:ascii="仿宋_GB2312" w:hAnsi="仿宋" w:eastAsia="仿宋_GB2312" w:cs="仿宋"/>
                <w:b/>
                <w:color w:val="auto"/>
                <w:szCs w:val="21"/>
                <w:lang w:eastAsia="zh-CN"/>
              </w:rPr>
            </w:pPr>
            <w:r>
              <w:rPr>
                <w:rFonts w:hint="eastAsia" w:ascii="仿宋_GB2312" w:hAnsi="仿宋" w:eastAsia="仿宋_GB2312" w:cs="仿宋"/>
                <w:b/>
                <w:color w:val="auto"/>
                <w:szCs w:val="21"/>
                <w:lang w:eastAsia="zh-CN"/>
              </w:rPr>
              <w:t>序号</w:t>
            </w:r>
          </w:p>
        </w:tc>
        <w:tc>
          <w:tcPr>
            <w:tcW w:w="6732" w:type="dxa"/>
            <w:vAlign w:val="center"/>
          </w:tcPr>
          <w:p>
            <w:pPr>
              <w:spacing w:line="300" w:lineRule="exact"/>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评分标准</w:t>
            </w:r>
          </w:p>
        </w:tc>
        <w:tc>
          <w:tcPr>
            <w:tcW w:w="707" w:type="dxa"/>
            <w:vAlign w:val="center"/>
          </w:tcPr>
          <w:p>
            <w:pPr>
              <w:spacing w:line="300" w:lineRule="exact"/>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考核</w:t>
            </w:r>
          </w:p>
          <w:p>
            <w:pPr>
              <w:spacing w:line="300" w:lineRule="exact"/>
              <w:jc w:val="center"/>
              <w:rPr>
                <w:rFonts w:hint="eastAsia" w:ascii="仿宋_GB2312" w:hAnsi="仿宋" w:eastAsia="仿宋_GB2312" w:cs="仿宋"/>
                <w:b/>
                <w:color w:val="auto"/>
                <w:szCs w:val="21"/>
                <w:lang w:eastAsia="zh-CN"/>
              </w:rPr>
            </w:pPr>
            <w:r>
              <w:rPr>
                <w:rFonts w:hint="eastAsia" w:ascii="仿宋_GB2312" w:hAnsi="仿宋" w:eastAsia="仿宋_GB2312" w:cs="仿宋"/>
                <w:b/>
                <w:color w:val="auto"/>
                <w:szCs w:val="21"/>
              </w:rPr>
              <w:t>分</w:t>
            </w:r>
            <w:r>
              <w:rPr>
                <w:rFonts w:hint="eastAsia" w:ascii="仿宋_GB2312" w:hAnsi="仿宋" w:eastAsia="仿宋_GB2312" w:cs="仿宋"/>
                <w:b/>
                <w:color w:val="auto"/>
                <w:szCs w:val="21"/>
                <w:lang w:eastAsia="zh-CN"/>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022" w:type="dxa"/>
            <w:vMerge w:val="restart"/>
            <w:shd w:val="clear" w:color="auto" w:fill="auto"/>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有色垃圾40分</w:t>
            </w:r>
          </w:p>
        </w:tc>
        <w:tc>
          <w:tcPr>
            <w:tcW w:w="494" w:type="dxa"/>
            <w:shd w:val="clear" w:color="auto" w:fill="auto"/>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1</w:t>
            </w:r>
          </w:p>
        </w:tc>
        <w:tc>
          <w:tcPr>
            <w:tcW w:w="6732" w:type="dxa"/>
            <w:shd w:val="clear" w:color="auto" w:fill="FFFFFF"/>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人行道板间、人行道各类井盖间等缝隙有高出道板缝隙的杂草(景观道路单列),扣1.5/处。</w:t>
            </w:r>
          </w:p>
        </w:tc>
        <w:tc>
          <w:tcPr>
            <w:tcW w:w="707"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022" w:type="dxa"/>
            <w:vMerge w:val="continue"/>
            <w:shd w:val="clear" w:color="auto" w:fill="auto"/>
            <w:vAlign w:val="center"/>
          </w:tcPr>
          <w:p>
            <w:pPr>
              <w:spacing w:line="320" w:lineRule="exact"/>
              <w:jc w:val="center"/>
              <w:rPr>
                <w:rFonts w:hint="default" w:ascii="仿宋_GB2312" w:eastAsia="仿宋_GB2312"/>
                <w:color w:val="auto"/>
                <w:szCs w:val="21"/>
                <w:lang w:val="en-US" w:eastAsia="zh-CN"/>
              </w:rPr>
            </w:pPr>
          </w:p>
        </w:tc>
        <w:tc>
          <w:tcPr>
            <w:tcW w:w="494" w:type="dxa"/>
            <w:shd w:val="clear" w:color="auto" w:fill="auto"/>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2</w:t>
            </w:r>
          </w:p>
        </w:tc>
        <w:tc>
          <w:tcPr>
            <w:tcW w:w="6732" w:type="dxa"/>
            <w:shd w:val="clear" w:color="auto" w:fill="FFFFFF"/>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路面垃圾(杂物)</w:t>
            </w:r>
            <w:r>
              <w:rPr>
                <w:rFonts w:hint="default" w:ascii="仿宋_GB2312" w:eastAsia="仿宋_GB2312"/>
                <w:color w:val="auto"/>
                <w:szCs w:val="21"/>
                <w:lang w:val="en-US" w:eastAsia="zh-CN"/>
              </w:rPr>
              <w:t>≤</w:t>
            </w:r>
            <w:r>
              <w:rPr>
                <w:rFonts w:hint="eastAsia" w:ascii="仿宋_GB2312" w:eastAsia="仿宋_GB2312"/>
                <w:color w:val="auto"/>
                <w:szCs w:val="21"/>
                <w:lang w:val="en-US" w:eastAsia="zh-CN"/>
              </w:rPr>
              <w:t xml:space="preserve">3个，扣1分/处。 </w:t>
            </w:r>
          </w:p>
        </w:tc>
        <w:tc>
          <w:tcPr>
            <w:tcW w:w="707"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22" w:type="dxa"/>
            <w:vMerge w:val="continue"/>
            <w:shd w:val="clear" w:color="auto" w:fill="auto"/>
            <w:vAlign w:val="center"/>
          </w:tcPr>
          <w:p>
            <w:pPr>
              <w:spacing w:line="320" w:lineRule="exact"/>
              <w:jc w:val="center"/>
              <w:rPr>
                <w:rFonts w:hint="eastAsia" w:ascii="仿宋_GB2312" w:eastAsia="仿宋_GB2312"/>
                <w:color w:val="auto"/>
                <w:szCs w:val="21"/>
                <w:lang w:val="en-US" w:eastAsia="zh-CN"/>
              </w:rPr>
            </w:pPr>
          </w:p>
        </w:tc>
        <w:tc>
          <w:tcPr>
            <w:tcW w:w="494" w:type="dxa"/>
            <w:shd w:val="clear" w:color="auto" w:fill="auto"/>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3</w:t>
            </w:r>
          </w:p>
        </w:tc>
        <w:tc>
          <w:tcPr>
            <w:tcW w:w="6732" w:type="dxa"/>
            <w:shd w:val="clear" w:color="auto" w:fill="FFFFFF"/>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路面垃圾(杂物)&lt;5个，扣1.5分/处。</w:t>
            </w:r>
          </w:p>
        </w:tc>
        <w:tc>
          <w:tcPr>
            <w:tcW w:w="707"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022" w:type="dxa"/>
            <w:vMerge w:val="continue"/>
            <w:shd w:val="clear" w:color="auto" w:fill="auto"/>
            <w:vAlign w:val="center"/>
          </w:tcPr>
          <w:p>
            <w:pPr>
              <w:spacing w:line="320" w:lineRule="exact"/>
              <w:jc w:val="center"/>
              <w:rPr>
                <w:rFonts w:hint="eastAsia" w:ascii="仿宋_GB2312" w:eastAsia="仿宋_GB2312"/>
                <w:color w:val="auto"/>
                <w:szCs w:val="21"/>
                <w:lang w:val="en-US" w:eastAsia="zh-CN"/>
              </w:rPr>
            </w:pPr>
          </w:p>
        </w:tc>
        <w:tc>
          <w:tcPr>
            <w:tcW w:w="494" w:type="dxa"/>
            <w:shd w:val="clear" w:color="auto" w:fill="auto"/>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4</w:t>
            </w:r>
          </w:p>
        </w:tc>
        <w:tc>
          <w:tcPr>
            <w:tcW w:w="6732" w:type="dxa"/>
            <w:tcBorders>
              <w:bottom w:val="single" w:color="auto" w:sz="4" w:space="0"/>
            </w:tcBorders>
            <w:shd w:val="clear" w:color="auto" w:fill="FFFFFF"/>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路面垃圾(杂物)≥5个,扣2/处。 </w:t>
            </w:r>
          </w:p>
        </w:tc>
        <w:tc>
          <w:tcPr>
            <w:tcW w:w="707" w:type="dxa"/>
            <w:tcBorders>
              <w:bottom w:val="single" w:color="auto" w:sz="4" w:space="0"/>
            </w:tcBorders>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022" w:type="dxa"/>
            <w:vMerge w:val="continue"/>
            <w:shd w:val="clear" w:color="auto" w:fill="auto"/>
            <w:vAlign w:val="center"/>
          </w:tcPr>
          <w:p>
            <w:pPr>
              <w:spacing w:line="320" w:lineRule="exact"/>
              <w:jc w:val="center"/>
              <w:rPr>
                <w:rFonts w:hint="eastAsia" w:ascii="仿宋_GB2312" w:eastAsia="仿宋_GB2312"/>
                <w:color w:val="auto"/>
                <w:szCs w:val="21"/>
                <w:lang w:val="en-US" w:eastAsia="zh-CN"/>
              </w:rPr>
            </w:pPr>
          </w:p>
        </w:tc>
        <w:tc>
          <w:tcPr>
            <w:tcW w:w="494" w:type="dxa"/>
            <w:shd w:val="clear" w:color="auto" w:fill="auto"/>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5</w:t>
            </w:r>
          </w:p>
        </w:tc>
        <w:tc>
          <w:tcPr>
            <w:tcW w:w="6732" w:type="dxa"/>
            <w:shd w:val="clear" w:color="auto" w:fill="FFFFFF"/>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有暴露垃圾堆(面积≥0.5㎡),扣3分/处。</w:t>
            </w:r>
          </w:p>
        </w:tc>
        <w:tc>
          <w:tcPr>
            <w:tcW w:w="707"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022" w:type="dxa"/>
            <w:vMerge w:val="continue"/>
            <w:shd w:val="clear" w:color="auto" w:fill="auto"/>
            <w:vAlign w:val="center"/>
          </w:tcPr>
          <w:p>
            <w:pPr>
              <w:spacing w:line="320" w:lineRule="exact"/>
              <w:jc w:val="center"/>
              <w:rPr>
                <w:rFonts w:hint="eastAsia" w:ascii="仿宋_GB2312" w:eastAsia="仿宋_GB2312"/>
                <w:color w:val="auto"/>
                <w:szCs w:val="21"/>
                <w:lang w:val="en-US" w:eastAsia="zh-CN"/>
              </w:rPr>
            </w:pPr>
          </w:p>
        </w:tc>
        <w:tc>
          <w:tcPr>
            <w:tcW w:w="494" w:type="dxa"/>
            <w:shd w:val="clear" w:color="auto" w:fill="auto"/>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6</w:t>
            </w:r>
          </w:p>
        </w:tc>
        <w:tc>
          <w:tcPr>
            <w:tcW w:w="6732" w:type="dxa"/>
            <w:shd w:val="clear" w:color="auto" w:fill="FFFFFF"/>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树圈有垃圾(杂物),烟蒂≧3个，扣1分/处。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22" w:type="dxa"/>
            <w:vMerge w:val="continue"/>
            <w:shd w:val="clear" w:color="auto" w:fill="auto"/>
            <w:vAlign w:val="center"/>
          </w:tcPr>
          <w:p>
            <w:pPr>
              <w:spacing w:line="320" w:lineRule="exact"/>
              <w:jc w:val="center"/>
              <w:rPr>
                <w:rFonts w:hint="eastAsia" w:ascii="仿宋_GB2312" w:eastAsia="仿宋_GB2312"/>
                <w:color w:val="auto"/>
                <w:szCs w:val="21"/>
                <w:lang w:val="en-US" w:eastAsia="zh-CN"/>
              </w:rPr>
            </w:pPr>
          </w:p>
        </w:tc>
        <w:tc>
          <w:tcPr>
            <w:tcW w:w="494" w:type="dxa"/>
            <w:shd w:val="clear" w:color="auto" w:fill="auto"/>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7</w:t>
            </w:r>
          </w:p>
        </w:tc>
        <w:tc>
          <w:tcPr>
            <w:tcW w:w="6732" w:type="dxa"/>
            <w:shd w:val="clear" w:color="auto" w:fill="FFFFFF"/>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道路路面烟蒂≧4个/200米，街巷路面烟蒂6个/200米。超过1个，扣0.2分/处;超过100%,扣1分/处;超过200%,扣3分/处。</w:t>
            </w:r>
          </w:p>
        </w:tc>
        <w:tc>
          <w:tcPr>
            <w:tcW w:w="707"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2" w:type="dxa"/>
            <w:vMerge w:val="continue"/>
            <w:shd w:val="clear" w:color="auto" w:fill="auto"/>
            <w:vAlign w:val="center"/>
          </w:tcPr>
          <w:p>
            <w:pPr>
              <w:spacing w:line="320" w:lineRule="exact"/>
              <w:jc w:val="center"/>
              <w:rPr>
                <w:rFonts w:hint="eastAsia" w:ascii="仿宋_GB2312" w:eastAsia="仿宋_GB2312"/>
                <w:color w:val="auto"/>
                <w:szCs w:val="21"/>
                <w:lang w:val="en-US" w:eastAsia="zh-CN"/>
              </w:rPr>
            </w:pPr>
          </w:p>
        </w:tc>
        <w:tc>
          <w:tcPr>
            <w:tcW w:w="494" w:type="dxa"/>
            <w:shd w:val="clear" w:color="auto" w:fill="auto"/>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8</w:t>
            </w:r>
          </w:p>
        </w:tc>
        <w:tc>
          <w:tcPr>
            <w:tcW w:w="6732" w:type="dxa"/>
            <w:shd w:val="clear" w:color="auto" w:fill="FFFFFF"/>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道路(人行道)绿地内垃圾(杂物)</w:t>
            </w:r>
            <w:r>
              <w:rPr>
                <w:rFonts w:hint="default" w:ascii="仿宋_GB2312" w:eastAsia="仿宋_GB2312"/>
                <w:color w:val="auto"/>
                <w:szCs w:val="21"/>
                <w:lang w:val="en-US" w:eastAsia="zh-CN"/>
              </w:rPr>
              <w:t>≤</w:t>
            </w:r>
            <w:r>
              <w:rPr>
                <w:rFonts w:hint="eastAsia" w:ascii="仿宋_GB2312" w:eastAsia="仿宋_GB2312"/>
                <w:color w:val="auto"/>
                <w:szCs w:val="21"/>
                <w:lang w:val="en-US" w:eastAsia="zh-CN"/>
              </w:rPr>
              <w:t xml:space="preserve">3个(隔离栏内1米),扣1分/处。 </w:t>
            </w:r>
          </w:p>
        </w:tc>
        <w:tc>
          <w:tcPr>
            <w:tcW w:w="707"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9</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道路(人行道)绿地内垃圾(杂物)&lt;5个(隔离栏内1米),扣1.5分/处。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10</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道路(人行道)绿地内垃圾(杂物)≥5个(隔离栏内1米),扣2分/处。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11</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道路(人行道)绿地内有暴露垃圾堆(面积≥0.5㎡)(隔离栏内1米),扣3分/处。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12</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人行道板间、人行道各类井盖间等缝隙有垃圾(杂物),扣1.5分/处。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022" w:type="dxa"/>
            <w:vMerge w:val="restart"/>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污水</w:t>
            </w:r>
          </w:p>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污渍</w:t>
            </w:r>
          </w:p>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10分</w:t>
            </w: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13</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机动车道、非机动车道、人行道(店前道路)路面油污、污渍&lt;1㎡,扣1.5分/处。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14</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机动车道、非机动车道、人行道(含店道路)路面油污、污渍&gt;≥1㎡，扣3分/处。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15</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生活污水污染路面&lt;1㎡，扣1.5分/处。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16</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生活污水污染路面&gt;1㎡，扣2分/处。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restart"/>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普扫</w:t>
            </w:r>
          </w:p>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10分</w:t>
            </w:r>
          </w:p>
          <w:p>
            <w:pPr>
              <w:spacing w:line="320" w:lineRule="exact"/>
              <w:jc w:val="center"/>
              <w:rPr>
                <w:rFonts w:hint="default"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17</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未在规定时间内完成普扫(每条)，扣4分/处。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18</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未全路段普扫(每条),扣3分/处。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19</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机扫路面应干净,清扫后垃圾未吸净而有成条或小堆，扣3分/处。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道路、人行道(含店前道路)漏扫,扣1.5分/处。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21</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垃圾归拢、归堆未清除，扣2分/处。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22</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清扫保洁时将垃圾扫入窨井、雨水井、河道绿地、沟渠，扣3分/处。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23</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环卫工人未使用统一的保洁工具扣1.5分/处。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24</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将作业工具堆在绿化带等露天场所现象，扣1.5分/处。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25</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垃圾未倾倒在规定地点或焚烧垃圾、树叶扣5分/处。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26</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落叶旺季(落叶景观道路除外)未及时清扫转运、处理树叶，扣2分/处。</w:t>
            </w:r>
          </w:p>
          <w:p>
            <w:pPr>
              <w:spacing w:line="320" w:lineRule="exact"/>
              <w:rPr>
                <w:rFonts w:hint="eastAsia" w:ascii="仿宋_GB2312" w:eastAsia="仿宋_GB2312"/>
                <w:color w:val="auto"/>
                <w:szCs w:val="21"/>
                <w:lang w:val="en-US" w:eastAsia="zh-CN"/>
              </w:rPr>
            </w:pP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022" w:type="dxa"/>
            <w:vMerge w:val="restart"/>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垃圾</w:t>
            </w:r>
          </w:p>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清运</w:t>
            </w:r>
          </w:p>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20分</w:t>
            </w: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27</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路面果壳箱、垃圾桶垃圾未日产日清，扣2分/处。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28</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垃圾超出果壳箱、垃圾桶投放口平面，扣1.5分/处。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29</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垃圾收集容器边有暴露垃圾，扣2分/处。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30</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周边地面有垃圾污水，扣2分/处。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31</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垃圾清运小车将垃圾直接接触路面(或地面)进行转运,扣2分/处。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32</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垃圾接驳时混装混运，扣3分/处。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restart"/>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积水</w:t>
            </w:r>
          </w:p>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积尘</w:t>
            </w:r>
          </w:p>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积泥</w:t>
            </w:r>
          </w:p>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10分</w:t>
            </w: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33</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道路晴天积水&lt;3㎡,扣3分/处。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34</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道路晴天积水≥3㎡,扣4分/处。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35</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冬季路面积水导致路面结冰，扣4分/处。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36</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冬季路面积水导致路面结冰,导致有责交通事故,扣7分/处。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default"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37</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雨水井沟眼积泥(嵌石),扣1分/处。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38</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道路路面积尘≧8克/平方米,街巷路面积尘≧10克/平方米。超10%，扣1分/处;超过50%,扣2分/处。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39</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道路积泥(沙石)长度&lt;5米,扣1.5分/处。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40</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道路积泥(沙石)长度&lt;10,扣2分/处。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41</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道路积泥(沙石)长度&lt;20米,扣2.5分/处。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42</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道路积泥(沙石)长度≥20米,扣4分/处。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43</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道路侧石积尘、积泥≤0.2cm,扣2分/处。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44</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0.5cm≥道路侧石积尘、积泥≥0.2cm，扣3分/处。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45</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道路侧石积尘、积泥≥0.5cm,扣4分/处。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jc w:val="center"/>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46</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路面清洗质量不到位未见本色，扣5分/处。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restart"/>
            <w:vAlign w:val="center"/>
          </w:tcPr>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环卫</w:t>
            </w:r>
          </w:p>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设施</w:t>
            </w:r>
          </w:p>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10分</w:t>
            </w: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47</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果壳箱破损、垃圾桶破损，扣1.5分/处。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48</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果壳箱油漆剥落(或严重褪色)、歪斜,扣1.5分/处。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49</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桶盖未盖好、圾房门敞开未关闭，扣1.5分/处。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022" w:type="dxa"/>
            <w:vMerge w:val="continue"/>
            <w:vAlign w:val="center"/>
          </w:tcPr>
          <w:p>
            <w:pPr>
              <w:spacing w:line="320" w:lineRule="exact"/>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50</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垃圾房破损、锈蚀、外墙面和地面有积存污垢,周围地面有积存污水，扣2分/处。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51</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垃圾桶乱堆放,扣2分1处。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52</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垃圾桶未在规定时限内修复，扣1.5分/处。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22" w:type="dxa"/>
            <w:vMerge w:val="continue"/>
            <w:vAlign w:val="center"/>
          </w:tcPr>
          <w:p>
            <w:pPr>
              <w:spacing w:line="320" w:lineRule="exact"/>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53</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果壳箱(垃圾箱、桶)等垃圾收集容器清洗不到位，外观不洁有污垢，扣2分/处。 </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22" w:type="dxa"/>
            <w:vMerge w:val="continue"/>
            <w:vAlign w:val="center"/>
          </w:tcPr>
          <w:p>
            <w:pPr>
              <w:spacing w:line="320" w:lineRule="exact"/>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54</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环卫作业车辆外观不洁、积尘、破损、车身油 漆剥落(剥落面积大于15cmx15cm),扣2.5分/处。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22" w:type="dxa"/>
            <w:vMerge w:val="continue"/>
            <w:vAlign w:val="center"/>
          </w:tcPr>
          <w:p>
            <w:pPr>
              <w:spacing w:line="320" w:lineRule="exact"/>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55</w:t>
            </w:r>
          </w:p>
        </w:tc>
        <w:tc>
          <w:tcPr>
            <w:tcW w:w="6732" w:type="dxa"/>
            <w:vAlign w:val="center"/>
          </w:tcPr>
          <w:p>
            <w:pPr>
              <w:spacing w:line="320" w:lineRule="exact"/>
              <w:rPr>
                <w:rFonts w:hint="eastAsia" w:ascii="仿宋_GB2312" w:eastAsia="仿宋_GB2312"/>
                <w:color w:val="auto"/>
                <w:szCs w:val="21"/>
                <w:lang w:val="en-US" w:eastAsia="zh-CN"/>
              </w:rPr>
            </w:pPr>
            <w:r>
              <w:rPr>
                <w:rFonts w:hint="eastAsia" w:ascii="仿宋_GB2312" w:eastAsia="仿宋_GB2312"/>
                <w:color w:val="auto"/>
                <w:szCs w:val="21"/>
                <w:lang w:val="en-US" w:eastAsia="zh-CN"/>
              </w:rPr>
              <w:t>发生垃圾抛洒滴漏污染路面，车厢外有吊挂垃圾，扫把外露，作业时车辆压盲道等问题（每发生1次），扣2.5分/处。</w:t>
            </w:r>
          </w:p>
          <w:p>
            <w:pPr>
              <w:spacing w:line="320" w:lineRule="exact"/>
              <w:rPr>
                <w:rFonts w:hint="eastAsia" w:ascii="仿宋_GB2312" w:eastAsia="仿宋_GB2312"/>
                <w:color w:val="auto"/>
                <w:szCs w:val="21"/>
                <w:lang w:val="en-US" w:eastAsia="zh-CN"/>
              </w:rPr>
            </w:pP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22" w:type="dxa"/>
            <w:vMerge w:val="continue"/>
            <w:vAlign w:val="center"/>
          </w:tcPr>
          <w:p>
            <w:pPr>
              <w:spacing w:line="320" w:lineRule="exact"/>
              <w:rPr>
                <w:rFonts w:hint="eastAsia" w:ascii="仿宋_GB2312" w:eastAsia="仿宋_GB2312"/>
                <w:color w:val="auto"/>
                <w:szCs w:val="21"/>
                <w:lang w:val="en-US" w:eastAsia="zh-CN"/>
              </w:rPr>
            </w:pPr>
          </w:p>
        </w:tc>
        <w:tc>
          <w:tcPr>
            <w:tcW w:w="494" w:type="dxa"/>
            <w:vAlign w:val="center"/>
          </w:tcPr>
          <w:p>
            <w:pPr>
              <w:spacing w:line="320" w:lineRule="exact"/>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56</w:t>
            </w:r>
          </w:p>
        </w:tc>
        <w:tc>
          <w:tcPr>
            <w:tcW w:w="6732" w:type="dxa"/>
          </w:tcPr>
          <w:p>
            <w:pPr>
              <w:spacing w:line="320" w:lineRule="exact"/>
              <w:rPr>
                <w:rFonts w:hint="default" w:ascii="仿宋_GB2312" w:eastAsia="仿宋_GB2312"/>
                <w:color w:val="auto"/>
                <w:szCs w:val="21"/>
                <w:lang w:val="en-US" w:eastAsia="zh-CN"/>
              </w:rPr>
            </w:pPr>
            <w:r>
              <w:rPr>
                <w:rFonts w:hint="eastAsia" w:ascii="仿宋_GB2312" w:eastAsia="仿宋_GB2312"/>
                <w:color w:val="auto"/>
                <w:szCs w:val="21"/>
                <w:lang w:val="en-US" w:eastAsia="zh-CN"/>
              </w:rPr>
              <w:t>道路两侧、机动车道、非机动车道、人行道、侧石有乱涂写招贴，扣1分/处。</w:t>
            </w:r>
          </w:p>
        </w:tc>
        <w:tc>
          <w:tcPr>
            <w:tcW w:w="707" w:type="dxa"/>
            <w:vAlign w:val="center"/>
          </w:tcPr>
          <w:p>
            <w:pPr>
              <w:spacing w:line="320" w:lineRule="exact"/>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22" w:type="dxa"/>
            <w:vAlign w:val="center"/>
          </w:tcPr>
          <w:p>
            <w:pPr>
              <w:spacing w:line="320" w:lineRule="exact"/>
              <w:rPr>
                <w:rFonts w:hint="default" w:ascii="仿宋_GB2312" w:eastAsia="仿宋_GB2312"/>
                <w:color w:val="auto"/>
                <w:szCs w:val="21"/>
                <w:lang w:val="en-US" w:eastAsia="zh-CN"/>
              </w:rPr>
            </w:pPr>
            <w:r>
              <w:rPr>
                <w:rFonts w:hint="eastAsia" w:ascii="仿宋_GB2312" w:eastAsia="仿宋_GB2312"/>
                <w:color w:val="auto"/>
                <w:szCs w:val="21"/>
                <w:lang w:val="en-US" w:eastAsia="zh-CN"/>
              </w:rPr>
              <w:t>评分合计100分</w:t>
            </w:r>
          </w:p>
        </w:tc>
        <w:tc>
          <w:tcPr>
            <w:tcW w:w="494" w:type="dxa"/>
            <w:vAlign w:val="center"/>
          </w:tcPr>
          <w:p>
            <w:pPr>
              <w:spacing w:line="320" w:lineRule="exact"/>
              <w:rPr>
                <w:rFonts w:hint="eastAsia" w:ascii="仿宋_GB2312" w:eastAsia="仿宋_GB2312"/>
                <w:color w:val="auto"/>
                <w:szCs w:val="21"/>
                <w:lang w:val="en-US" w:eastAsia="zh-CN"/>
              </w:rPr>
            </w:pPr>
          </w:p>
        </w:tc>
        <w:tc>
          <w:tcPr>
            <w:tcW w:w="6732" w:type="dxa"/>
          </w:tcPr>
          <w:p>
            <w:pPr>
              <w:spacing w:line="320" w:lineRule="exact"/>
              <w:rPr>
                <w:rFonts w:hint="eastAsia" w:ascii="仿宋_GB2312" w:eastAsia="仿宋_GB2312"/>
                <w:color w:val="auto"/>
                <w:szCs w:val="21"/>
                <w:lang w:val="en-US" w:eastAsia="zh-CN"/>
              </w:rPr>
            </w:pPr>
          </w:p>
        </w:tc>
        <w:tc>
          <w:tcPr>
            <w:tcW w:w="707" w:type="dxa"/>
            <w:vAlign w:val="center"/>
          </w:tcPr>
          <w:p>
            <w:pPr>
              <w:spacing w:line="320" w:lineRule="exact"/>
              <w:rPr>
                <w:rFonts w:hint="eastAsia" w:ascii="仿宋_GB2312" w:eastAsia="仿宋_GB2312"/>
                <w:color w:val="auto"/>
                <w:szCs w:val="21"/>
                <w:lang w:val="en-US" w:eastAsia="zh-CN"/>
              </w:rPr>
            </w:pPr>
          </w:p>
        </w:tc>
      </w:tr>
    </w:tbl>
    <w:p>
      <w:pPr>
        <w:pStyle w:val="62"/>
        <w:jc w:val="left"/>
        <w:rPr>
          <w:rFonts w:hint="eastAsia" w:ascii="仿宋" w:hAnsi="仿宋" w:eastAsia="仿宋" w:cs="仿宋"/>
          <w:sz w:val="24"/>
          <w:szCs w:val="24"/>
          <w:highlight w:val="none"/>
        </w:rPr>
      </w:pPr>
    </w:p>
    <w:p>
      <w:pPr>
        <w:snapToGrid w:val="0"/>
        <w:spacing w:line="360" w:lineRule="auto"/>
        <w:jc w:val="center"/>
        <w:rPr>
          <w:rFonts w:hint="eastAsia" w:ascii="仿宋" w:hAnsi="仿宋" w:eastAsia="仿宋" w:cs="仿宋_GB2312"/>
          <w:b/>
          <w:sz w:val="36"/>
          <w:szCs w:val="36"/>
          <w:highlight w:val="none"/>
        </w:rPr>
      </w:pPr>
    </w:p>
    <w:p>
      <w:pPr>
        <w:pStyle w:val="2"/>
        <w:rPr>
          <w:rFonts w:hint="eastAsia" w:ascii="仿宋" w:hAnsi="仿宋" w:eastAsia="仿宋" w:cs="仿宋_GB2312"/>
          <w:b/>
          <w:sz w:val="36"/>
          <w:szCs w:val="36"/>
          <w:highlight w:val="none"/>
        </w:rPr>
      </w:pPr>
    </w:p>
    <w:p>
      <w:pPr>
        <w:rPr>
          <w:rFonts w:hint="eastAsia" w:ascii="仿宋" w:hAnsi="仿宋" w:eastAsia="仿宋" w:cs="仿宋_GB2312"/>
          <w:b/>
          <w:sz w:val="36"/>
          <w:szCs w:val="36"/>
          <w:highlight w:val="none"/>
        </w:rPr>
      </w:pPr>
    </w:p>
    <w:p>
      <w:pPr>
        <w:pStyle w:val="2"/>
        <w:rPr>
          <w:rFonts w:hint="eastAsia" w:ascii="仿宋" w:hAnsi="仿宋" w:eastAsia="仿宋" w:cs="仿宋_GB2312"/>
          <w:b/>
          <w:sz w:val="36"/>
          <w:szCs w:val="36"/>
          <w:highlight w:val="none"/>
        </w:rPr>
      </w:pPr>
    </w:p>
    <w:p>
      <w:pPr>
        <w:rPr>
          <w:rFonts w:hint="eastAsia" w:ascii="仿宋" w:hAnsi="仿宋" w:eastAsia="仿宋" w:cs="仿宋_GB2312"/>
          <w:b/>
          <w:sz w:val="36"/>
          <w:szCs w:val="36"/>
          <w:highlight w:val="none"/>
        </w:rPr>
      </w:pPr>
    </w:p>
    <w:p>
      <w:pPr>
        <w:pStyle w:val="2"/>
        <w:rPr>
          <w:rFonts w:hint="eastAsia" w:ascii="仿宋" w:hAnsi="仿宋" w:eastAsia="仿宋" w:cs="仿宋_GB2312"/>
          <w:b/>
          <w:sz w:val="36"/>
          <w:szCs w:val="36"/>
          <w:highlight w:val="none"/>
        </w:rPr>
      </w:pPr>
    </w:p>
    <w:p>
      <w:pPr>
        <w:rPr>
          <w:rFonts w:hint="eastAsia" w:ascii="仿宋" w:hAnsi="仿宋" w:eastAsia="仿宋" w:cs="仿宋_GB2312"/>
          <w:b/>
          <w:sz w:val="36"/>
          <w:szCs w:val="36"/>
          <w:highlight w:val="none"/>
        </w:rPr>
      </w:pPr>
    </w:p>
    <w:p>
      <w:pPr>
        <w:pStyle w:val="2"/>
        <w:rPr>
          <w:rFonts w:hint="eastAsia" w:ascii="仿宋" w:hAnsi="仿宋" w:eastAsia="仿宋" w:cs="仿宋_GB2312"/>
          <w:b/>
          <w:sz w:val="36"/>
          <w:szCs w:val="36"/>
          <w:highlight w:val="none"/>
        </w:rPr>
      </w:pPr>
    </w:p>
    <w:p>
      <w:pPr>
        <w:rPr>
          <w:rFonts w:hint="eastAsia" w:ascii="仿宋" w:hAnsi="仿宋" w:eastAsia="仿宋" w:cs="仿宋_GB2312"/>
          <w:b/>
          <w:sz w:val="36"/>
          <w:szCs w:val="36"/>
          <w:highlight w:val="none"/>
        </w:rPr>
      </w:pPr>
    </w:p>
    <w:p>
      <w:pPr>
        <w:pStyle w:val="2"/>
        <w:rPr>
          <w:rFonts w:hint="eastAsia" w:ascii="仿宋" w:hAnsi="仿宋" w:eastAsia="仿宋" w:cs="仿宋_GB2312"/>
          <w:b/>
          <w:sz w:val="36"/>
          <w:szCs w:val="36"/>
          <w:highlight w:val="none"/>
        </w:rPr>
      </w:pPr>
    </w:p>
    <w:p>
      <w:pPr>
        <w:rPr>
          <w:rFonts w:hint="eastAsia" w:ascii="仿宋" w:hAnsi="仿宋" w:eastAsia="仿宋" w:cs="仿宋_GB2312"/>
          <w:b/>
          <w:sz w:val="36"/>
          <w:szCs w:val="36"/>
          <w:highlight w:val="none"/>
        </w:rPr>
      </w:pPr>
    </w:p>
    <w:p>
      <w:pPr>
        <w:pStyle w:val="2"/>
        <w:rPr>
          <w:rFonts w:hint="eastAsia" w:ascii="仿宋" w:hAnsi="仿宋" w:eastAsia="仿宋" w:cs="仿宋_GB2312"/>
          <w:b/>
          <w:sz w:val="36"/>
          <w:szCs w:val="36"/>
          <w:highlight w:val="none"/>
        </w:rPr>
      </w:pPr>
    </w:p>
    <w:p>
      <w:pPr>
        <w:rPr>
          <w:rFonts w:hint="eastAsia" w:ascii="仿宋" w:hAnsi="仿宋" w:eastAsia="仿宋" w:cs="仿宋_GB2312"/>
          <w:b/>
          <w:sz w:val="36"/>
          <w:szCs w:val="36"/>
          <w:highlight w:val="none"/>
        </w:rPr>
      </w:pPr>
    </w:p>
    <w:p>
      <w:pPr>
        <w:pStyle w:val="2"/>
        <w:rPr>
          <w:rFonts w:hint="eastAsia"/>
        </w:rPr>
      </w:pPr>
    </w:p>
    <w:p>
      <w:pPr>
        <w:rPr>
          <w:rFonts w:hint="eastAsia" w:ascii="仿宋" w:hAnsi="仿宋" w:eastAsia="仿宋" w:cs="仿宋_GB2312"/>
          <w:b/>
          <w:sz w:val="36"/>
          <w:szCs w:val="36"/>
          <w:highlight w:val="none"/>
        </w:rPr>
      </w:pPr>
      <w:r>
        <w:rPr>
          <w:rFonts w:hint="eastAsia" w:ascii="仿宋" w:hAnsi="仿宋" w:eastAsia="仿宋" w:cs="仿宋_GB2312"/>
          <w:b/>
          <w:sz w:val="36"/>
          <w:szCs w:val="36"/>
          <w:highlight w:val="none"/>
        </w:rPr>
        <w:br w:type="page"/>
      </w:r>
    </w:p>
    <w:p>
      <w:pPr>
        <w:snapToGrid w:val="0"/>
        <w:spacing w:line="360" w:lineRule="auto"/>
        <w:jc w:val="center"/>
        <w:rPr>
          <w:rFonts w:ascii="仿宋" w:hAnsi="仿宋" w:eastAsia="仿宋" w:cs="仿宋_GB2312"/>
          <w:b/>
          <w:sz w:val="36"/>
          <w:szCs w:val="36"/>
          <w:highlight w:val="none"/>
        </w:rPr>
      </w:pPr>
      <w:r>
        <w:rPr>
          <w:rFonts w:hint="eastAsia" w:ascii="仿宋" w:hAnsi="仿宋" w:eastAsia="仿宋" w:cs="仿宋_GB2312"/>
          <w:b/>
          <w:sz w:val="36"/>
          <w:szCs w:val="36"/>
          <w:highlight w:val="none"/>
        </w:rPr>
        <w:t>第四部分</w:t>
      </w:r>
      <w:r>
        <w:rPr>
          <w:rFonts w:ascii="仿宋" w:hAnsi="仿宋" w:eastAsia="仿宋" w:cs="仿宋_GB2312"/>
          <w:b/>
          <w:sz w:val="36"/>
          <w:szCs w:val="36"/>
          <w:highlight w:val="none"/>
        </w:rPr>
        <w:t xml:space="preserve">   </w:t>
      </w:r>
      <w:bookmarkStart w:id="27" w:name="_Toc184314449"/>
      <w:bookmarkEnd w:id="27"/>
      <w:bookmarkStart w:id="28" w:name="_Toc184310334"/>
      <w:bookmarkEnd w:id="28"/>
      <w:bookmarkStart w:id="29" w:name="_Toc184313255"/>
      <w:bookmarkEnd w:id="29"/>
      <w:bookmarkStart w:id="30" w:name="_Toc184312137"/>
      <w:bookmarkEnd w:id="30"/>
      <w:bookmarkStart w:id="31" w:name="_Toc184313292"/>
      <w:bookmarkEnd w:id="31"/>
      <w:bookmarkStart w:id="32" w:name="_Toc184312127"/>
      <w:bookmarkEnd w:id="32"/>
      <w:bookmarkStart w:id="33" w:name="_Toc184313300"/>
      <w:bookmarkEnd w:id="33"/>
      <w:bookmarkStart w:id="34" w:name="_Toc184310336"/>
      <w:bookmarkEnd w:id="34"/>
      <w:bookmarkStart w:id="35" w:name="_Toc184308077"/>
      <w:bookmarkEnd w:id="35"/>
      <w:bookmarkStart w:id="36" w:name="_Toc184308053"/>
      <w:bookmarkEnd w:id="36"/>
      <w:bookmarkStart w:id="37" w:name="_Toc184310326"/>
      <w:bookmarkEnd w:id="37"/>
      <w:bookmarkStart w:id="38" w:name="_Toc184314434"/>
      <w:bookmarkEnd w:id="38"/>
      <w:bookmarkStart w:id="39" w:name="_Toc184313298"/>
      <w:bookmarkEnd w:id="39"/>
      <w:bookmarkStart w:id="40" w:name="_Toc184314464"/>
      <w:bookmarkEnd w:id="40"/>
      <w:bookmarkStart w:id="41" w:name="_Toc184308092"/>
      <w:bookmarkEnd w:id="41"/>
      <w:bookmarkStart w:id="42" w:name="_Toc184314432"/>
      <w:bookmarkEnd w:id="42"/>
      <w:bookmarkStart w:id="43" w:name="_Toc184313288"/>
      <w:bookmarkEnd w:id="43"/>
      <w:bookmarkStart w:id="44" w:name="_Toc184312087"/>
      <w:bookmarkEnd w:id="44"/>
      <w:bookmarkStart w:id="45" w:name="_Toc184310315"/>
      <w:bookmarkEnd w:id="45"/>
      <w:bookmarkStart w:id="46" w:name="_Toc184314481"/>
      <w:bookmarkEnd w:id="46"/>
      <w:bookmarkStart w:id="47" w:name="_Toc184314427"/>
      <w:bookmarkEnd w:id="47"/>
      <w:bookmarkStart w:id="48" w:name="_Toc184310300"/>
      <w:bookmarkEnd w:id="48"/>
      <w:bookmarkStart w:id="49" w:name="_Toc184313301"/>
      <w:bookmarkEnd w:id="49"/>
      <w:bookmarkStart w:id="50" w:name="_Toc184308085"/>
      <w:bookmarkEnd w:id="50"/>
      <w:bookmarkStart w:id="51" w:name="_Toc184313240"/>
      <w:bookmarkEnd w:id="51"/>
      <w:bookmarkStart w:id="52" w:name="_Toc184313254"/>
      <w:bookmarkEnd w:id="52"/>
      <w:bookmarkStart w:id="53" w:name="_Toc184312094"/>
      <w:bookmarkEnd w:id="53"/>
      <w:bookmarkStart w:id="54" w:name="_Toc184312081"/>
      <w:bookmarkEnd w:id="54"/>
      <w:bookmarkStart w:id="55" w:name="_Toc184310310"/>
      <w:bookmarkEnd w:id="55"/>
      <w:bookmarkStart w:id="56" w:name="_Toc184308103"/>
      <w:bookmarkEnd w:id="56"/>
      <w:bookmarkStart w:id="57" w:name="_Toc184313251"/>
      <w:bookmarkEnd w:id="57"/>
      <w:bookmarkStart w:id="58" w:name="_Toc184308081"/>
      <w:bookmarkEnd w:id="58"/>
      <w:bookmarkStart w:id="59" w:name="_Toc184308061"/>
      <w:bookmarkEnd w:id="59"/>
      <w:bookmarkStart w:id="60" w:name="_Toc184314457"/>
      <w:bookmarkEnd w:id="60"/>
      <w:bookmarkStart w:id="61" w:name="_Toc184308045"/>
      <w:bookmarkEnd w:id="61"/>
      <w:bookmarkStart w:id="62" w:name="_Toc184308099"/>
      <w:bookmarkEnd w:id="62"/>
      <w:bookmarkStart w:id="63" w:name="_Toc184314426"/>
      <w:bookmarkEnd w:id="63"/>
      <w:bookmarkStart w:id="64" w:name="_Toc184308093"/>
      <w:bookmarkEnd w:id="64"/>
      <w:bookmarkStart w:id="65" w:name="_Toc184314451"/>
      <w:bookmarkEnd w:id="65"/>
      <w:bookmarkStart w:id="66" w:name="_Toc184313266"/>
      <w:bookmarkEnd w:id="66"/>
      <w:bookmarkStart w:id="67" w:name="_Toc184313268"/>
      <w:bookmarkEnd w:id="67"/>
      <w:bookmarkStart w:id="68" w:name="_Toc184314455"/>
      <w:bookmarkEnd w:id="68"/>
      <w:bookmarkStart w:id="69" w:name="_Toc184310311"/>
      <w:bookmarkEnd w:id="69"/>
      <w:bookmarkStart w:id="70" w:name="_Toc184313286"/>
      <w:bookmarkEnd w:id="70"/>
      <w:bookmarkStart w:id="71" w:name="_Toc184308058"/>
      <w:bookmarkEnd w:id="71"/>
      <w:bookmarkStart w:id="72" w:name="_Toc184308054"/>
      <w:bookmarkEnd w:id="72"/>
      <w:bookmarkStart w:id="73" w:name="_Toc184310341"/>
      <w:bookmarkEnd w:id="73"/>
      <w:bookmarkStart w:id="74" w:name="_Toc184312071"/>
      <w:bookmarkEnd w:id="74"/>
      <w:bookmarkStart w:id="75" w:name="_Toc184310292"/>
      <w:bookmarkEnd w:id="75"/>
      <w:bookmarkStart w:id="76" w:name="_Toc184310308"/>
      <w:bookmarkEnd w:id="76"/>
      <w:bookmarkStart w:id="77" w:name="_Toc184314439"/>
      <w:bookmarkEnd w:id="77"/>
      <w:bookmarkStart w:id="78" w:name="_Toc184310299"/>
      <w:bookmarkEnd w:id="78"/>
      <w:bookmarkStart w:id="79" w:name="_Toc184312119"/>
      <w:bookmarkEnd w:id="79"/>
      <w:bookmarkStart w:id="80" w:name="_Toc184312067"/>
      <w:bookmarkEnd w:id="80"/>
      <w:bookmarkStart w:id="81" w:name="_Toc184308090"/>
      <w:bookmarkEnd w:id="81"/>
      <w:bookmarkStart w:id="82" w:name="_Toc184310331"/>
      <w:bookmarkEnd w:id="82"/>
      <w:bookmarkStart w:id="83" w:name="_Toc184310273"/>
      <w:bookmarkEnd w:id="83"/>
      <w:bookmarkStart w:id="84" w:name="_Toc184314477"/>
      <w:bookmarkEnd w:id="84"/>
      <w:bookmarkStart w:id="85" w:name="_Toc184313247"/>
      <w:bookmarkEnd w:id="85"/>
      <w:bookmarkStart w:id="86" w:name="_Toc184313256"/>
      <w:bookmarkEnd w:id="86"/>
      <w:bookmarkStart w:id="87" w:name="_Toc184313297"/>
      <w:bookmarkEnd w:id="87"/>
      <w:bookmarkStart w:id="88" w:name="_Toc184312118"/>
      <w:bookmarkEnd w:id="88"/>
      <w:bookmarkStart w:id="89" w:name="_Toc184314452"/>
      <w:bookmarkEnd w:id="89"/>
      <w:bookmarkStart w:id="90" w:name="_Toc184310325"/>
      <w:bookmarkEnd w:id="90"/>
      <w:bookmarkStart w:id="91" w:name="_Toc184312083"/>
      <w:bookmarkEnd w:id="91"/>
      <w:bookmarkStart w:id="92" w:name="_Toc184313307"/>
      <w:bookmarkEnd w:id="92"/>
      <w:bookmarkStart w:id="93" w:name="_Toc184312106"/>
      <w:bookmarkEnd w:id="93"/>
      <w:bookmarkStart w:id="94" w:name="_Toc184313277"/>
      <w:bookmarkEnd w:id="94"/>
      <w:bookmarkStart w:id="95" w:name="_Toc184310321"/>
      <w:bookmarkEnd w:id="95"/>
      <w:bookmarkStart w:id="96" w:name="_Toc184310312"/>
      <w:bookmarkEnd w:id="96"/>
      <w:bookmarkStart w:id="97" w:name="_Toc184314445"/>
      <w:bookmarkEnd w:id="97"/>
      <w:bookmarkStart w:id="98" w:name="_Toc184310330"/>
      <w:bookmarkEnd w:id="98"/>
      <w:bookmarkStart w:id="99" w:name="_Toc184313291"/>
      <w:bookmarkEnd w:id="99"/>
      <w:bookmarkStart w:id="100" w:name="_Toc184314461"/>
      <w:bookmarkEnd w:id="100"/>
      <w:bookmarkStart w:id="101" w:name="_Toc184314466"/>
      <w:bookmarkEnd w:id="101"/>
      <w:bookmarkStart w:id="102" w:name="_Toc184314450"/>
      <w:bookmarkEnd w:id="102"/>
      <w:bookmarkStart w:id="103" w:name="_Toc184308037"/>
      <w:bookmarkEnd w:id="103"/>
      <w:bookmarkStart w:id="104" w:name="_Toc184314474"/>
      <w:bookmarkEnd w:id="104"/>
      <w:bookmarkStart w:id="105" w:name="_Toc184310304"/>
      <w:bookmarkEnd w:id="105"/>
      <w:bookmarkStart w:id="106" w:name="_Toc184312088"/>
      <w:bookmarkEnd w:id="106"/>
      <w:bookmarkStart w:id="107" w:name="_Toc184312095"/>
      <w:bookmarkEnd w:id="107"/>
      <w:bookmarkStart w:id="108" w:name="_Toc184313275"/>
      <w:bookmarkEnd w:id="108"/>
      <w:bookmarkStart w:id="109" w:name="_Toc184308070"/>
      <w:bookmarkEnd w:id="109"/>
      <w:bookmarkStart w:id="110" w:name="_Toc184312069"/>
      <w:bookmarkEnd w:id="110"/>
      <w:bookmarkStart w:id="111" w:name="_Toc184310296"/>
      <w:bookmarkEnd w:id="111"/>
      <w:bookmarkStart w:id="112" w:name="_Toc184314473"/>
      <w:bookmarkEnd w:id="112"/>
      <w:bookmarkStart w:id="113" w:name="_Toc184314428"/>
      <w:bookmarkEnd w:id="113"/>
      <w:bookmarkStart w:id="114" w:name="_Toc184314412"/>
      <w:bookmarkEnd w:id="114"/>
      <w:bookmarkStart w:id="115" w:name="_Toc184312102"/>
      <w:bookmarkEnd w:id="115"/>
      <w:bookmarkStart w:id="116" w:name="_Toc184312098"/>
      <w:bookmarkEnd w:id="116"/>
      <w:bookmarkStart w:id="117" w:name="_Toc184312133"/>
      <w:bookmarkEnd w:id="117"/>
      <w:bookmarkStart w:id="118" w:name="_Toc184314440"/>
      <w:bookmarkEnd w:id="118"/>
      <w:bookmarkStart w:id="119" w:name="_Toc184312109"/>
      <w:bookmarkEnd w:id="119"/>
      <w:bookmarkStart w:id="120" w:name="_Toc184312079"/>
      <w:bookmarkEnd w:id="120"/>
      <w:bookmarkStart w:id="121" w:name="_Toc184313264"/>
      <w:bookmarkEnd w:id="121"/>
      <w:bookmarkStart w:id="122" w:name="_Toc184313253"/>
      <w:bookmarkEnd w:id="122"/>
      <w:bookmarkStart w:id="123" w:name="_Toc184308100"/>
      <w:bookmarkEnd w:id="123"/>
      <w:bookmarkStart w:id="124" w:name="_Toc184313283"/>
      <w:bookmarkEnd w:id="124"/>
      <w:bookmarkStart w:id="125" w:name="_Toc184308064"/>
      <w:bookmarkEnd w:id="125"/>
      <w:bookmarkStart w:id="126" w:name="_Toc184308074"/>
      <w:bookmarkEnd w:id="126"/>
      <w:bookmarkStart w:id="127" w:name="_Toc184310274"/>
      <w:bookmarkEnd w:id="127"/>
      <w:bookmarkStart w:id="128" w:name="_Toc184312074"/>
      <w:bookmarkEnd w:id="128"/>
      <w:bookmarkStart w:id="129" w:name="_Toc184314438"/>
      <w:bookmarkEnd w:id="129"/>
      <w:bookmarkStart w:id="130" w:name="_Toc184313281"/>
      <w:bookmarkEnd w:id="130"/>
      <w:bookmarkStart w:id="131" w:name="_Toc184313271"/>
      <w:bookmarkEnd w:id="131"/>
      <w:bookmarkStart w:id="132" w:name="_Toc184314417"/>
      <w:bookmarkEnd w:id="132"/>
      <w:bookmarkStart w:id="133" w:name="_Toc184312111"/>
      <w:bookmarkEnd w:id="133"/>
      <w:bookmarkStart w:id="134" w:name="_Toc184314460"/>
      <w:bookmarkEnd w:id="134"/>
      <w:bookmarkStart w:id="135" w:name="_Toc184310275"/>
      <w:bookmarkEnd w:id="135"/>
      <w:bookmarkStart w:id="136" w:name="_Toc184313250"/>
      <w:bookmarkEnd w:id="136"/>
      <w:bookmarkStart w:id="137" w:name="_Toc184313270"/>
      <w:bookmarkEnd w:id="137"/>
      <w:bookmarkStart w:id="138" w:name="_Toc184314423"/>
      <w:bookmarkEnd w:id="138"/>
      <w:bookmarkStart w:id="139" w:name="_Toc184312130"/>
      <w:bookmarkEnd w:id="139"/>
      <w:bookmarkStart w:id="140" w:name="_Toc184308097"/>
      <w:bookmarkEnd w:id="140"/>
      <w:bookmarkStart w:id="141" w:name="_Toc184308062"/>
      <w:bookmarkEnd w:id="141"/>
      <w:bookmarkStart w:id="142" w:name="_Toc184310329"/>
      <w:bookmarkEnd w:id="142"/>
      <w:bookmarkStart w:id="143" w:name="_Toc184314435"/>
      <w:bookmarkEnd w:id="143"/>
      <w:bookmarkStart w:id="144" w:name="_Toc184314447"/>
      <w:bookmarkEnd w:id="144"/>
      <w:bookmarkStart w:id="145" w:name="_Toc184314416"/>
      <w:bookmarkEnd w:id="145"/>
      <w:bookmarkStart w:id="146" w:name="_Toc184308069"/>
      <w:bookmarkEnd w:id="146"/>
      <w:bookmarkStart w:id="147" w:name="_Toc184310291"/>
      <w:bookmarkEnd w:id="147"/>
      <w:bookmarkStart w:id="148" w:name="_Toc184312117"/>
      <w:bookmarkEnd w:id="148"/>
      <w:bookmarkStart w:id="149" w:name="_Toc184312126"/>
      <w:bookmarkEnd w:id="149"/>
      <w:bookmarkStart w:id="150" w:name="_Toc184308082"/>
      <w:bookmarkEnd w:id="150"/>
      <w:bookmarkStart w:id="151" w:name="_Toc184310285"/>
      <w:bookmarkEnd w:id="151"/>
      <w:bookmarkStart w:id="152" w:name="_Toc184314446"/>
      <w:bookmarkEnd w:id="152"/>
      <w:bookmarkStart w:id="153" w:name="_Toc184310294"/>
      <w:bookmarkEnd w:id="153"/>
      <w:bookmarkStart w:id="154" w:name="_Toc184313260"/>
      <w:bookmarkEnd w:id="154"/>
      <w:bookmarkStart w:id="155" w:name="_Toc184313290"/>
      <w:bookmarkEnd w:id="155"/>
      <w:bookmarkStart w:id="156" w:name="_Toc184312091"/>
      <w:bookmarkEnd w:id="156"/>
      <w:bookmarkStart w:id="157" w:name="_Toc184310295"/>
      <w:bookmarkEnd w:id="157"/>
      <w:bookmarkStart w:id="158" w:name="_Toc184313302"/>
      <w:bookmarkEnd w:id="158"/>
      <w:bookmarkStart w:id="159" w:name="_Toc184314471"/>
      <w:bookmarkEnd w:id="159"/>
      <w:bookmarkStart w:id="160" w:name="_Toc184314467"/>
      <w:bookmarkEnd w:id="160"/>
      <w:bookmarkStart w:id="161" w:name="_Toc184314448"/>
      <w:bookmarkEnd w:id="161"/>
      <w:bookmarkStart w:id="162" w:name="_Toc184314422"/>
      <w:bookmarkEnd w:id="162"/>
      <w:bookmarkStart w:id="163" w:name="_Toc184308089"/>
      <w:bookmarkEnd w:id="163"/>
      <w:bookmarkStart w:id="164" w:name="_Toc184308052"/>
      <w:bookmarkEnd w:id="164"/>
      <w:bookmarkStart w:id="165" w:name="_Toc184313269"/>
      <w:bookmarkEnd w:id="165"/>
      <w:bookmarkStart w:id="166" w:name="_Toc184314429"/>
      <w:bookmarkEnd w:id="166"/>
      <w:bookmarkStart w:id="167" w:name="_Toc184312128"/>
      <w:bookmarkEnd w:id="167"/>
      <w:bookmarkStart w:id="168" w:name="_Toc184313280"/>
      <w:bookmarkEnd w:id="168"/>
      <w:bookmarkStart w:id="169" w:name="_Toc184308088"/>
      <w:bookmarkEnd w:id="169"/>
      <w:bookmarkStart w:id="170" w:name="_Toc184308071"/>
      <w:bookmarkEnd w:id="170"/>
      <w:bookmarkStart w:id="171" w:name="_Toc184310337"/>
      <w:bookmarkEnd w:id="171"/>
      <w:bookmarkStart w:id="172" w:name="_Toc184312121"/>
      <w:bookmarkEnd w:id="172"/>
      <w:bookmarkStart w:id="173" w:name="_Toc184313293"/>
      <w:bookmarkEnd w:id="173"/>
      <w:bookmarkStart w:id="174" w:name="_Toc184308080"/>
      <w:bookmarkEnd w:id="174"/>
      <w:bookmarkStart w:id="175" w:name="_Toc184310333"/>
      <w:bookmarkEnd w:id="175"/>
      <w:bookmarkStart w:id="176" w:name="_Toc184313305"/>
      <w:bookmarkEnd w:id="176"/>
      <w:bookmarkStart w:id="177" w:name="_Toc184314443"/>
      <w:bookmarkEnd w:id="177"/>
      <w:bookmarkStart w:id="178" w:name="_Toc184310313"/>
      <w:bookmarkEnd w:id="178"/>
      <w:bookmarkStart w:id="179" w:name="_Toc184313259"/>
      <w:bookmarkEnd w:id="179"/>
      <w:bookmarkStart w:id="180" w:name="_Toc184310303"/>
      <w:bookmarkEnd w:id="180"/>
      <w:bookmarkStart w:id="181" w:name="_Toc184308091"/>
      <w:bookmarkEnd w:id="181"/>
      <w:bookmarkStart w:id="182" w:name="_Toc184314431"/>
      <w:bookmarkEnd w:id="182"/>
      <w:bookmarkStart w:id="183" w:name="_Toc184308040"/>
      <w:bookmarkEnd w:id="183"/>
      <w:bookmarkStart w:id="184" w:name="_Toc184312092"/>
      <w:bookmarkEnd w:id="184"/>
      <w:bookmarkStart w:id="185" w:name="_Toc184310343"/>
      <w:bookmarkEnd w:id="185"/>
      <w:bookmarkStart w:id="186" w:name="_Toc184310317"/>
      <w:bookmarkEnd w:id="186"/>
      <w:bookmarkStart w:id="187" w:name="_Toc184310335"/>
      <w:bookmarkEnd w:id="187"/>
      <w:bookmarkStart w:id="188" w:name="_Toc184310282"/>
      <w:bookmarkEnd w:id="188"/>
      <w:bookmarkStart w:id="189" w:name="_Toc184310320"/>
      <w:bookmarkEnd w:id="189"/>
      <w:bookmarkStart w:id="190" w:name="_Toc184310298"/>
      <w:bookmarkEnd w:id="190"/>
      <w:bookmarkStart w:id="191" w:name="_Toc184312078"/>
      <w:bookmarkEnd w:id="191"/>
      <w:bookmarkStart w:id="192" w:name="_Toc184310302"/>
      <w:bookmarkEnd w:id="192"/>
      <w:bookmarkStart w:id="193" w:name="_Toc184310338"/>
      <w:bookmarkEnd w:id="193"/>
      <w:bookmarkStart w:id="194" w:name="_Toc184312132"/>
      <w:bookmarkEnd w:id="194"/>
      <w:bookmarkStart w:id="195" w:name="_Toc184313306"/>
      <w:bookmarkEnd w:id="195"/>
      <w:bookmarkStart w:id="196" w:name="_Toc184310301"/>
      <w:bookmarkEnd w:id="196"/>
      <w:bookmarkStart w:id="197" w:name="_Toc184313267"/>
      <w:bookmarkEnd w:id="197"/>
      <w:bookmarkStart w:id="198" w:name="_Toc184308107"/>
      <w:bookmarkEnd w:id="198"/>
      <w:bookmarkStart w:id="199" w:name="_Toc184310278"/>
      <w:bookmarkEnd w:id="199"/>
      <w:bookmarkStart w:id="200" w:name="_Toc184314413"/>
      <w:bookmarkEnd w:id="200"/>
      <w:bookmarkStart w:id="201" w:name="_Toc184312108"/>
      <w:bookmarkEnd w:id="201"/>
      <w:bookmarkStart w:id="202" w:name="_Toc184310322"/>
      <w:bookmarkEnd w:id="202"/>
      <w:bookmarkStart w:id="203" w:name="_Toc184313273"/>
      <w:bookmarkEnd w:id="203"/>
      <w:bookmarkStart w:id="204" w:name="_Toc184313248"/>
      <w:bookmarkEnd w:id="204"/>
      <w:bookmarkStart w:id="205" w:name="_Toc184312097"/>
      <w:bookmarkEnd w:id="205"/>
      <w:bookmarkStart w:id="206" w:name="_Toc184312135"/>
      <w:bookmarkEnd w:id="206"/>
      <w:bookmarkStart w:id="207" w:name="_Toc184314424"/>
      <w:bookmarkEnd w:id="207"/>
      <w:bookmarkStart w:id="208" w:name="_Toc184310305"/>
      <w:bookmarkEnd w:id="208"/>
      <w:bookmarkStart w:id="209" w:name="_Toc184308048"/>
      <w:bookmarkEnd w:id="209"/>
      <w:bookmarkStart w:id="210" w:name="_Toc184308049"/>
      <w:bookmarkEnd w:id="210"/>
      <w:bookmarkStart w:id="211" w:name="_Toc184308066"/>
      <w:bookmarkEnd w:id="211"/>
      <w:bookmarkStart w:id="212" w:name="_Toc184308055"/>
      <w:bookmarkEnd w:id="212"/>
      <w:bookmarkStart w:id="213" w:name="_Toc184313257"/>
      <w:bookmarkEnd w:id="213"/>
      <w:bookmarkStart w:id="214" w:name="_Toc184308039"/>
      <w:bookmarkEnd w:id="214"/>
      <w:bookmarkStart w:id="215" w:name="_Toc184312131"/>
      <w:bookmarkEnd w:id="215"/>
      <w:bookmarkStart w:id="216" w:name="_Toc184310280"/>
      <w:bookmarkEnd w:id="216"/>
      <w:bookmarkStart w:id="217" w:name="_Toc184312077"/>
      <w:bookmarkEnd w:id="217"/>
      <w:bookmarkStart w:id="218" w:name="_Toc184310332"/>
      <w:bookmarkEnd w:id="218"/>
      <w:bookmarkStart w:id="219" w:name="_Toc184313310"/>
      <w:bookmarkEnd w:id="219"/>
      <w:bookmarkStart w:id="220" w:name="_Toc184308067"/>
      <w:bookmarkEnd w:id="220"/>
      <w:bookmarkStart w:id="221" w:name="_Toc184308036"/>
      <w:bookmarkEnd w:id="221"/>
      <w:bookmarkStart w:id="222" w:name="_Toc184312138"/>
      <w:bookmarkEnd w:id="222"/>
      <w:bookmarkStart w:id="223" w:name="_Toc184310344"/>
      <w:bookmarkEnd w:id="223"/>
      <w:bookmarkStart w:id="224" w:name="_Toc184310286"/>
      <w:bookmarkEnd w:id="224"/>
      <w:bookmarkStart w:id="225" w:name="_Toc184308086"/>
      <w:bookmarkEnd w:id="225"/>
      <w:bookmarkStart w:id="226" w:name="_Toc184313287"/>
      <w:bookmarkEnd w:id="226"/>
      <w:bookmarkStart w:id="227" w:name="_Toc184310281"/>
      <w:bookmarkEnd w:id="227"/>
      <w:bookmarkStart w:id="228" w:name="_Toc184314430"/>
      <w:bookmarkEnd w:id="228"/>
      <w:bookmarkStart w:id="229" w:name="_Toc184314458"/>
      <w:bookmarkEnd w:id="229"/>
      <w:bookmarkStart w:id="230" w:name="_Toc184308050"/>
      <w:bookmarkEnd w:id="230"/>
      <w:bookmarkStart w:id="231" w:name="_Toc184313296"/>
      <w:bookmarkEnd w:id="231"/>
      <w:bookmarkStart w:id="232" w:name="_Toc184308096"/>
      <w:bookmarkEnd w:id="232"/>
      <w:bookmarkStart w:id="233" w:name="_Toc184308095"/>
      <w:bookmarkEnd w:id="233"/>
      <w:bookmarkStart w:id="234" w:name="_Toc184310307"/>
      <w:bookmarkEnd w:id="234"/>
      <w:bookmarkStart w:id="235" w:name="_Toc184310324"/>
      <w:bookmarkEnd w:id="235"/>
      <w:bookmarkStart w:id="236" w:name="_Toc184313276"/>
      <w:bookmarkEnd w:id="236"/>
      <w:bookmarkStart w:id="237" w:name="_Toc184312070"/>
      <w:bookmarkEnd w:id="237"/>
      <w:bookmarkStart w:id="238" w:name="_Toc184310290"/>
      <w:bookmarkEnd w:id="238"/>
      <w:bookmarkStart w:id="239" w:name="_Toc184313272"/>
      <w:bookmarkEnd w:id="239"/>
      <w:bookmarkStart w:id="240" w:name="_Toc184308060"/>
      <w:bookmarkEnd w:id="240"/>
      <w:bookmarkStart w:id="241" w:name="_Toc184308041"/>
      <w:bookmarkEnd w:id="241"/>
      <w:bookmarkStart w:id="242" w:name="_Toc184314469"/>
      <w:bookmarkEnd w:id="242"/>
      <w:bookmarkStart w:id="243" w:name="_Toc184308044"/>
      <w:bookmarkEnd w:id="243"/>
      <w:bookmarkStart w:id="244" w:name="_Toc184312085"/>
      <w:bookmarkEnd w:id="244"/>
      <w:bookmarkStart w:id="245" w:name="_Toc184308057"/>
      <w:bookmarkEnd w:id="245"/>
      <w:bookmarkStart w:id="246" w:name="_Toc184313294"/>
      <w:bookmarkEnd w:id="246"/>
      <w:bookmarkStart w:id="247" w:name="_Toc184314462"/>
      <w:bookmarkEnd w:id="247"/>
      <w:bookmarkStart w:id="248" w:name="_Toc184308102"/>
      <w:bookmarkEnd w:id="248"/>
      <w:bookmarkStart w:id="249" w:name="_Toc184313299"/>
      <w:bookmarkEnd w:id="249"/>
      <w:bookmarkStart w:id="250" w:name="_Toc184313262"/>
      <w:bookmarkEnd w:id="250"/>
      <w:bookmarkStart w:id="251" w:name="_Toc184314419"/>
      <w:bookmarkEnd w:id="251"/>
      <w:bookmarkStart w:id="252" w:name="_Toc184313261"/>
      <w:bookmarkEnd w:id="252"/>
      <w:bookmarkStart w:id="253" w:name="_Toc184310276"/>
      <w:bookmarkEnd w:id="253"/>
      <w:bookmarkStart w:id="254" w:name="_Toc184313295"/>
      <w:bookmarkEnd w:id="254"/>
      <w:bookmarkStart w:id="255" w:name="_Toc184314475"/>
      <w:bookmarkEnd w:id="255"/>
      <w:bookmarkStart w:id="256" w:name="_Toc184308063"/>
      <w:bookmarkEnd w:id="256"/>
      <w:bookmarkStart w:id="257" w:name="_Toc184312072"/>
      <w:bookmarkEnd w:id="257"/>
      <w:bookmarkStart w:id="258" w:name="_Toc184314463"/>
      <w:bookmarkEnd w:id="258"/>
      <w:bookmarkStart w:id="259" w:name="_Toc184313289"/>
      <w:bookmarkEnd w:id="259"/>
      <w:bookmarkStart w:id="260" w:name="_Toc184312124"/>
      <w:bookmarkEnd w:id="260"/>
      <w:bookmarkStart w:id="261" w:name="_Toc184313249"/>
      <w:bookmarkEnd w:id="261"/>
      <w:bookmarkStart w:id="262" w:name="_Toc184314444"/>
      <w:bookmarkEnd w:id="262"/>
      <w:bookmarkStart w:id="263" w:name="_Toc184308079"/>
      <w:bookmarkEnd w:id="263"/>
      <w:bookmarkStart w:id="264" w:name="_Toc184312123"/>
      <w:bookmarkEnd w:id="264"/>
      <w:bookmarkStart w:id="265" w:name="_Toc184310319"/>
      <w:bookmarkEnd w:id="265"/>
      <w:bookmarkStart w:id="266" w:name="_Toc184308065"/>
      <w:bookmarkEnd w:id="266"/>
      <w:bookmarkStart w:id="267" w:name="_Toc184312122"/>
      <w:bookmarkEnd w:id="267"/>
      <w:bookmarkStart w:id="268" w:name="_Toc184313282"/>
      <w:bookmarkEnd w:id="268"/>
      <w:bookmarkStart w:id="269" w:name="_Toc184313278"/>
      <w:bookmarkEnd w:id="269"/>
      <w:bookmarkStart w:id="270" w:name="_Toc184313303"/>
      <w:bookmarkEnd w:id="270"/>
      <w:bookmarkStart w:id="271" w:name="_Toc184308083"/>
      <w:bookmarkEnd w:id="271"/>
      <w:bookmarkStart w:id="272" w:name="_Toc184308075"/>
      <w:bookmarkEnd w:id="272"/>
      <w:bookmarkStart w:id="273" w:name="_Toc184314433"/>
      <w:bookmarkEnd w:id="273"/>
      <w:bookmarkStart w:id="274" w:name="_Toc184308073"/>
      <w:bookmarkEnd w:id="274"/>
      <w:bookmarkStart w:id="275" w:name="_Toc184308087"/>
      <w:bookmarkEnd w:id="275"/>
      <w:bookmarkStart w:id="276" w:name="_Toc184310272"/>
      <w:bookmarkEnd w:id="276"/>
      <w:bookmarkStart w:id="277" w:name="_Toc184312080"/>
      <w:bookmarkEnd w:id="277"/>
      <w:bookmarkStart w:id="278" w:name="_Toc184312136"/>
      <w:bookmarkEnd w:id="278"/>
      <w:bookmarkStart w:id="279" w:name="_Toc184308105"/>
      <w:bookmarkEnd w:id="279"/>
      <w:bookmarkStart w:id="280" w:name="_Toc184310309"/>
      <w:bookmarkEnd w:id="280"/>
      <w:bookmarkStart w:id="281" w:name="_Toc184312082"/>
      <w:bookmarkEnd w:id="281"/>
      <w:bookmarkStart w:id="282" w:name="_Toc184313279"/>
      <w:bookmarkEnd w:id="282"/>
      <w:bookmarkStart w:id="283" w:name="_Toc184313243"/>
      <w:bookmarkEnd w:id="283"/>
      <w:bookmarkStart w:id="284" w:name="_Toc184313304"/>
      <w:bookmarkEnd w:id="284"/>
      <w:bookmarkStart w:id="285" w:name="_Toc184310293"/>
      <w:bookmarkEnd w:id="285"/>
      <w:bookmarkStart w:id="286" w:name="_Toc184310279"/>
      <w:bookmarkEnd w:id="286"/>
      <w:bookmarkStart w:id="287" w:name="_Toc184310277"/>
      <w:bookmarkEnd w:id="287"/>
      <w:bookmarkStart w:id="288" w:name="_Toc184312134"/>
      <w:bookmarkEnd w:id="288"/>
      <w:bookmarkStart w:id="289" w:name="_Toc184312113"/>
      <w:bookmarkEnd w:id="289"/>
      <w:bookmarkStart w:id="290" w:name="_Toc184314472"/>
      <w:bookmarkEnd w:id="290"/>
      <w:bookmarkStart w:id="291" w:name="_Toc184312129"/>
      <w:bookmarkEnd w:id="291"/>
      <w:bookmarkStart w:id="292" w:name="_Toc184308059"/>
      <w:bookmarkEnd w:id="292"/>
      <w:bookmarkStart w:id="293" w:name="_Toc184312076"/>
      <w:bookmarkEnd w:id="293"/>
      <w:bookmarkStart w:id="294" w:name="_Toc184312120"/>
      <w:bookmarkEnd w:id="294"/>
      <w:bookmarkStart w:id="295" w:name="_Toc184313258"/>
      <w:bookmarkEnd w:id="295"/>
      <w:bookmarkStart w:id="296" w:name="_Toc184314421"/>
      <w:bookmarkEnd w:id="296"/>
      <w:bookmarkStart w:id="297" w:name="_Toc184314436"/>
      <w:bookmarkEnd w:id="297"/>
      <w:bookmarkStart w:id="298" w:name="_Toc184308106"/>
      <w:bookmarkEnd w:id="298"/>
      <w:bookmarkStart w:id="299" w:name="_Toc184314420"/>
      <w:bookmarkEnd w:id="299"/>
      <w:bookmarkStart w:id="300" w:name="_Toc184313244"/>
      <w:bookmarkEnd w:id="300"/>
      <w:bookmarkStart w:id="301" w:name="_Toc184310318"/>
      <w:bookmarkEnd w:id="301"/>
      <w:bookmarkStart w:id="302" w:name="_Toc184314437"/>
      <w:bookmarkEnd w:id="302"/>
      <w:bookmarkStart w:id="303" w:name="_Toc184314414"/>
      <w:bookmarkEnd w:id="303"/>
      <w:bookmarkStart w:id="304" w:name="_Toc184310339"/>
      <w:bookmarkEnd w:id="304"/>
      <w:bookmarkStart w:id="305" w:name="_Toc184313252"/>
      <w:bookmarkEnd w:id="305"/>
      <w:bookmarkStart w:id="306" w:name="_Toc184314465"/>
      <w:bookmarkEnd w:id="306"/>
      <w:bookmarkStart w:id="307" w:name="_Toc184313245"/>
      <w:bookmarkEnd w:id="307"/>
      <w:bookmarkStart w:id="308" w:name="_Toc184308104"/>
      <w:bookmarkEnd w:id="308"/>
      <w:bookmarkStart w:id="309" w:name="_Toc184313246"/>
      <w:bookmarkEnd w:id="309"/>
      <w:bookmarkStart w:id="310" w:name="_Toc184313242"/>
      <w:bookmarkEnd w:id="310"/>
      <w:bookmarkStart w:id="311" w:name="_Toc184314479"/>
      <w:bookmarkEnd w:id="311"/>
      <w:bookmarkStart w:id="312" w:name="_Toc184314411"/>
      <w:bookmarkEnd w:id="312"/>
      <w:bookmarkStart w:id="313" w:name="_Toc184310289"/>
      <w:bookmarkEnd w:id="313"/>
      <w:bookmarkStart w:id="314" w:name="_Toc184310283"/>
      <w:bookmarkEnd w:id="314"/>
      <w:bookmarkStart w:id="315" w:name="_Toc184313274"/>
      <w:bookmarkEnd w:id="315"/>
      <w:bookmarkStart w:id="316" w:name="_Toc184313309"/>
      <w:bookmarkEnd w:id="316"/>
      <w:bookmarkStart w:id="317" w:name="_Toc184312086"/>
      <w:bookmarkEnd w:id="317"/>
      <w:bookmarkStart w:id="318" w:name="_Toc184312093"/>
      <w:bookmarkEnd w:id="318"/>
      <w:bookmarkStart w:id="319" w:name="_Toc184312099"/>
      <w:bookmarkEnd w:id="319"/>
      <w:bookmarkStart w:id="320" w:name="_Toc184312116"/>
      <w:bookmarkEnd w:id="320"/>
      <w:bookmarkStart w:id="321" w:name="_Toc184308047"/>
      <w:bookmarkEnd w:id="321"/>
      <w:bookmarkStart w:id="322" w:name="_Toc184312096"/>
      <w:bookmarkEnd w:id="322"/>
      <w:bookmarkStart w:id="323" w:name="_Toc184308098"/>
      <w:bookmarkEnd w:id="323"/>
      <w:bookmarkStart w:id="324" w:name="_Toc184312125"/>
      <w:bookmarkEnd w:id="324"/>
      <w:bookmarkStart w:id="325" w:name="_Toc184310327"/>
      <w:bookmarkEnd w:id="325"/>
      <w:bookmarkStart w:id="326" w:name="_Toc184308108"/>
      <w:bookmarkEnd w:id="326"/>
      <w:bookmarkStart w:id="327" w:name="_Toc184308094"/>
      <w:bookmarkEnd w:id="327"/>
      <w:bookmarkStart w:id="328" w:name="_Toc184310284"/>
      <w:bookmarkEnd w:id="328"/>
      <w:bookmarkStart w:id="329" w:name="_Toc184314480"/>
      <w:bookmarkEnd w:id="329"/>
      <w:bookmarkStart w:id="330" w:name="_Toc184308051"/>
      <w:bookmarkEnd w:id="330"/>
      <w:bookmarkStart w:id="331" w:name="_Toc184313285"/>
      <w:bookmarkEnd w:id="331"/>
      <w:bookmarkStart w:id="332" w:name="_Toc184313263"/>
      <w:bookmarkEnd w:id="332"/>
      <w:bookmarkStart w:id="333" w:name="_Toc184312073"/>
      <w:bookmarkEnd w:id="333"/>
      <w:bookmarkStart w:id="334" w:name="_Toc184310323"/>
      <w:bookmarkEnd w:id="334"/>
      <w:bookmarkStart w:id="335" w:name="_Toc184314456"/>
      <w:bookmarkEnd w:id="335"/>
      <w:bookmarkStart w:id="336" w:name="_Toc184314425"/>
      <w:bookmarkEnd w:id="336"/>
      <w:bookmarkStart w:id="337" w:name="_Toc184312103"/>
      <w:bookmarkEnd w:id="337"/>
      <w:bookmarkStart w:id="338" w:name="_Toc184312139"/>
      <w:bookmarkEnd w:id="338"/>
      <w:bookmarkStart w:id="339" w:name="_Toc184310316"/>
      <w:bookmarkEnd w:id="339"/>
      <w:bookmarkStart w:id="340" w:name="_Toc184308043"/>
      <w:bookmarkEnd w:id="340"/>
      <w:bookmarkStart w:id="341" w:name="_Toc184312115"/>
      <w:bookmarkEnd w:id="341"/>
      <w:bookmarkStart w:id="342" w:name="_Toc184312101"/>
      <w:bookmarkEnd w:id="342"/>
      <w:bookmarkStart w:id="343" w:name="_Toc184312110"/>
      <w:bookmarkEnd w:id="343"/>
      <w:bookmarkStart w:id="344" w:name="_Toc184310297"/>
      <w:bookmarkEnd w:id="344"/>
      <w:bookmarkStart w:id="345" w:name="_Toc184314410"/>
      <w:bookmarkEnd w:id="345"/>
      <w:bookmarkStart w:id="346" w:name="_Toc184308046"/>
      <w:bookmarkEnd w:id="346"/>
      <w:bookmarkStart w:id="347" w:name="_Toc184308038"/>
      <w:bookmarkEnd w:id="347"/>
      <w:bookmarkStart w:id="348" w:name="_Toc184314468"/>
      <w:bookmarkEnd w:id="348"/>
      <w:bookmarkStart w:id="349" w:name="_Toc184314415"/>
      <w:bookmarkEnd w:id="349"/>
      <w:bookmarkStart w:id="350" w:name="_Toc184314459"/>
      <w:bookmarkEnd w:id="350"/>
      <w:bookmarkStart w:id="351" w:name="_Toc184308068"/>
      <w:bookmarkEnd w:id="351"/>
      <w:bookmarkStart w:id="352" w:name="_Toc184308056"/>
      <w:bookmarkEnd w:id="352"/>
      <w:bookmarkStart w:id="353" w:name="_Toc184312112"/>
      <w:bookmarkEnd w:id="353"/>
      <w:bookmarkStart w:id="354" w:name="_Toc184314453"/>
      <w:bookmarkEnd w:id="354"/>
      <w:bookmarkStart w:id="355" w:name="_Toc184312100"/>
      <w:bookmarkEnd w:id="355"/>
      <w:bookmarkStart w:id="356" w:name="_Toc184308042"/>
      <w:bookmarkEnd w:id="356"/>
      <w:bookmarkStart w:id="357" w:name="_Toc184310287"/>
      <w:bookmarkEnd w:id="357"/>
      <w:bookmarkStart w:id="358" w:name="_Toc184312104"/>
      <w:bookmarkEnd w:id="358"/>
      <w:bookmarkStart w:id="359" w:name="_Toc184312090"/>
      <w:bookmarkEnd w:id="359"/>
      <w:bookmarkStart w:id="360" w:name="_Toc184313238"/>
      <w:bookmarkEnd w:id="360"/>
      <w:bookmarkStart w:id="361" w:name="_Toc184312114"/>
      <w:bookmarkEnd w:id="361"/>
      <w:bookmarkStart w:id="362" w:name="_Toc184314442"/>
      <w:bookmarkEnd w:id="362"/>
      <w:bookmarkStart w:id="363" w:name="_Toc184314478"/>
      <w:bookmarkEnd w:id="363"/>
      <w:bookmarkStart w:id="364" w:name="_Toc184310342"/>
      <w:bookmarkEnd w:id="364"/>
      <w:bookmarkStart w:id="365" w:name="_Toc184310288"/>
      <w:bookmarkEnd w:id="365"/>
      <w:bookmarkStart w:id="366" w:name="_Toc184310314"/>
      <w:bookmarkEnd w:id="366"/>
      <w:bookmarkStart w:id="367" w:name="_Toc184308072"/>
      <w:bookmarkEnd w:id="367"/>
      <w:bookmarkStart w:id="368" w:name="_Toc184313284"/>
      <w:bookmarkEnd w:id="368"/>
      <w:bookmarkStart w:id="369" w:name="_Toc184314470"/>
      <w:bookmarkEnd w:id="369"/>
      <w:bookmarkStart w:id="370" w:name="_Toc184312107"/>
      <w:bookmarkEnd w:id="370"/>
      <w:bookmarkStart w:id="371" w:name="_Toc184310328"/>
      <w:bookmarkEnd w:id="371"/>
      <w:bookmarkStart w:id="372" w:name="_Toc184312084"/>
      <w:bookmarkEnd w:id="372"/>
      <w:bookmarkStart w:id="373" w:name="_Toc184308076"/>
      <w:bookmarkEnd w:id="373"/>
      <w:bookmarkStart w:id="374" w:name="_Toc184314418"/>
      <w:bookmarkEnd w:id="374"/>
      <w:bookmarkStart w:id="375" w:name="_Toc184308084"/>
      <w:bookmarkEnd w:id="375"/>
      <w:bookmarkStart w:id="376" w:name="_Toc184313265"/>
      <w:bookmarkEnd w:id="376"/>
      <w:bookmarkStart w:id="377" w:name="_Toc184308101"/>
      <w:bookmarkEnd w:id="377"/>
      <w:bookmarkStart w:id="378" w:name="_Toc184308078"/>
      <w:bookmarkEnd w:id="378"/>
      <w:bookmarkStart w:id="379" w:name="_Toc184314454"/>
      <w:bookmarkEnd w:id="379"/>
      <w:bookmarkStart w:id="380" w:name="_Toc184313241"/>
      <w:bookmarkEnd w:id="380"/>
      <w:bookmarkStart w:id="381" w:name="_Toc184312068"/>
      <w:bookmarkEnd w:id="381"/>
      <w:bookmarkStart w:id="382" w:name="_Toc184312089"/>
      <w:bookmarkEnd w:id="382"/>
      <w:bookmarkStart w:id="383" w:name="_Toc184314441"/>
      <w:bookmarkEnd w:id="383"/>
      <w:bookmarkStart w:id="384" w:name="_Toc184314476"/>
      <w:bookmarkEnd w:id="384"/>
      <w:bookmarkStart w:id="385" w:name="_Toc184310340"/>
      <w:bookmarkEnd w:id="385"/>
      <w:bookmarkStart w:id="386" w:name="_Toc184310306"/>
      <w:bookmarkEnd w:id="386"/>
      <w:bookmarkStart w:id="387" w:name="_Toc184313239"/>
      <w:bookmarkEnd w:id="387"/>
      <w:bookmarkStart w:id="388" w:name="_Toc184312075"/>
      <w:bookmarkEnd w:id="388"/>
      <w:bookmarkStart w:id="389" w:name="_Toc184312105"/>
      <w:bookmarkEnd w:id="389"/>
      <w:bookmarkStart w:id="390" w:name="_Toc184314482"/>
      <w:bookmarkEnd w:id="390"/>
      <w:bookmarkStart w:id="391" w:name="_Toc184313308"/>
      <w:bookmarkEnd w:id="391"/>
      <w:r>
        <w:rPr>
          <w:rFonts w:hint="eastAsia" w:ascii="仿宋" w:hAnsi="仿宋" w:eastAsia="仿宋" w:cs="仿宋_GB2312"/>
          <w:b/>
          <w:sz w:val="36"/>
          <w:szCs w:val="36"/>
          <w:highlight w:val="none"/>
        </w:rPr>
        <w:t>评标办法</w:t>
      </w:r>
    </w:p>
    <w:p>
      <w:pPr>
        <w:snapToGrid w:val="0"/>
        <w:spacing w:line="360" w:lineRule="auto"/>
        <w:jc w:val="center"/>
        <w:rPr>
          <w:rFonts w:hint="eastAsia" w:ascii="仿宋" w:hAnsi="仿宋" w:eastAsia="仿宋" w:cs="仿宋"/>
          <w:b/>
          <w:bCs/>
          <w:highlight w:val="none"/>
        </w:rPr>
      </w:pPr>
      <w:r>
        <w:rPr>
          <w:rFonts w:hint="eastAsia" w:ascii="仿宋" w:hAnsi="仿宋" w:eastAsia="仿宋" w:cs="仿宋"/>
          <w:b/>
          <w:sz w:val="32"/>
          <w:szCs w:val="20"/>
          <w:highlight w:val="none"/>
        </w:rPr>
        <w:t>评标办法前附表</w:t>
      </w:r>
    </w:p>
    <w:p>
      <w:pPr>
        <w:snapToGrid w:val="0"/>
        <w:spacing w:line="360" w:lineRule="auto"/>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1、</w:t>
      </w:r>
      <w:r>
        <w:rPr>
          <w:rFonts w:hint="eastAsia" w:ascii="仿宋" w:hAnsi="仿宋" w:eastAsia="仿宋" w:cs="仿宋"/>
          <w:b/>
          <w:color w:val="000000"/>
          <w:sz w:val="24"/>
          <w:highlight w:val="none"/>
        </w:rPr>
        <w:t>商务评标细则（</w:t>
      </w:r>
      <w:r>
        <w:rPr>
          <w:rFonts w:hint="eastAsia" w:ascii="仿宋" w:hAnsi="仿宋" w:eastAsia="仿宋" w:cs="仿宋"/>
          <w:b/>
          <w:color w:val="000000"/>
          <w:sz w:val="24"/>
          <w:highlight w:val="none"/>
          <w:lang w:val="en-US" w:eastAsia="zh-CN"/>
        </w:rPr>
        <w:t>18</w:t>
      </w:r>
      <w:r>
        <w:rPr>
          <w:rFonts w:hint="eastAsia" w:ascii="仿宋" w:hAnsi="仿宋" w:eastAsia="仿宋" w:cs="仿宋"/>
          <w:b/>
          <w:color w:val="000000"/>
          <w:sz w:val="24"/>
          <w:highlight w:val="none"/>
        </w:rPr>
        <w:t>分）</w:t>
      </w:r>
    </w:p>
    <w:tbl>
      <w:tblPr>
        <w:tblStyle w:val="65"/>
        <w:tblW w:w="9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017"/>
        <w:gridCol w:w="6860"/>
        <w:gridCol w:w="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56"/>
              <w:spacing w:line="360" w:lineRule="auto"/>
              <w:ind w:left="0" w:leftChars="0" w:firstLine="0" w:firstLineChars="0"/>
              <w:jc w:val="both"/>
              <w:rPr>
                <w:rFonts w:hint="eastAsia" w:ascii="仿宋" w:hAnsi="仿宋" w:eastAsia="仿宋" w:cs="仿宋"/>
                <w:b/>
                <w:sz w:val="24"/>
                <w:szCs w:val="20"/>
                <w:highlight w:val="none"/>
                <w:lang w:val="en-US" w:eastAsia="zh-CN"/>
              </w:rPr>
            </w:pPr>
            <w:r>
              <w:rPr>
                <w:rFonts w:hint="eastAsia" w:ascii="仿宋" w:hAnsi="仿宋" w:eastAsia="仿宋" w:cs="仿宋"/>
                <w:b/>
                <w:sz w:val="24"/>
                <w:szCs w:val="20"/>
                <w:highlight w:val="none"/>
                <w:lang w:val="en-US" w:eastAsia="zh-CN"/>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pStyle w:val="56"/>
              <w:spacing w:line="360" w:lineRule="auto"/>
              <w:ind w:left="0" w:leftChars="0" w:firstLine="0" w:firstLineChars="0"/>
              <w:jc w:val="both"/>
              <w:rPr>
                <w:rFonts w:hint="eastAsia" w:ascii="仿宋" w:hAnsi="仿宋" w:eastAsia="仿宋" w:cs="仿宋"/>
                <w:b/>
                <w:sz w:val="24"/>
                <w:szCs w:val="20"/>
                <w:highlight w:val="none"/>
                <w:lang w:val="en-US" w:eastAsia="zh-CN"/>
              </w:rPr>
            </w:pPr>
            <w:r>
              <w:rPr>
                <w:rFonts w:hint="eastAsia" w:ascii="仿宋" w:hAnsi="仿宋" w:eastAsia="仿宋" w:cs="仿宋"/>
                <w:b/>
                <w:sz w:val="24"/>
                <w:szCs w:val="20"/>
                <w:highlight w:val="none"/>
                <w:lang w:val="en-US" w:eastAsia="zh-CN"/>
              </w:rPr>
              <w:t>评审</w:t>
            </w:r>
          </w:p>
          <w:p>
            <w:pPr>
              <w:pStyle w:val="56"/>
              <w:spacing w:line="360" w:lineRule="auto"/>
              <w:ind w:left="0" w:leftChars="0" w:firstLine="0" w:firstLineChars="0"/>
              <w:jc w:val="both"/>
              <w:rPr>
                <w:rFonts w:hint="eastAsia" w:ascii="仿宋" w:hAnsi="仿宋" w:eastAsia="仿宋" w:cs="仿宋"/>
                <w:b/>
                <w:sz w:val="24"/>
                <w:szCs w:val="20"/>
                <w:highlight w:val="none"/>
                <w:lang w:val="en-US" w:eastAsia="zh-CN"/>
              </w:rPr>
            </w:pPr>
            <w:r>
              <w:rPr>
                <w:rFonts w:hint="eastAsia" w:ascii="仿宋" w:hAnsi="仿宋" w:eastAsia="仿宋" w:cs="仿宋"/>
                <w:b/>
                <w:sz w:val="24"/>
                <w:szCs w:val="20"/>
                <w:highlight w:val="none"/>
                <w:lang w:val="en-US" w:eastAsia="zh-CN"/>
              </w:rPr>
              <w:t>内容</w:t>
            </w:r>
          </w:p>
        </w:tc>
        <w:tc>
          <w:tcPr>
            <w:tcW w:w="6860" w:type="dxa"/>
            <w:tcBorders>
              <w:top w:val="single" w:color="auto" w:sz="4" w:space="0"/>
              <w:left w:val="single" w:color="auto" w:sz="4" w:space="0"/>
              <w:bottom w:val="single" w:color="auto" w:sz="4" w:space="0"/>
              <w:right w:val="single" w:color="auto" w:sz="4" w:space="0"/>
            </w:tcBorders>
            <w:vAlign w:val="center"/>
          </w:tcPr>
          <w:p>
            <w:pPr>
              <w:pStyle w:val="56"/>
              <w:spacing w:line="360" w:lineRule="auto"/>
              <w:ind w:left="0"/>
              <w:jc w:val="center"/>
              <w:rPr>
                <w:rFonts w:hint="eastAsia" w:ascii="仿宋" w:hAnsi="仿宋" w:eastAsia="仿宋" w:cs="仿宋"/>
                <w:b/>
                <w:sz w:val="24"/>
                <w:szCs w:val="20"/>
                <w:highlight w:val="none"/>
                <w:lang w:val="en-US" w:eastAsia="zh-CN"/>
              </w:rPr>
            </w:pPr>
            <w:r>
              <w:rPr>
                <w:rFonts w:hint="eastAsia" w:ascii="仿宋" w:hAnsi="仿宋" w:eastAsia="仿宋" w:cs="仿宋"/>
                <w:b/>
                <w:sz w:val="24"/>
                <w:szCs w:val="20"/>
                <w:highlight w:val="none"/>
                <w:lang w:val="en-US" w:eastAsia="zh-CN"/>
              </w:rPr>
              <w:t>评分标准</w:t>
            </w:r>
          </w:p>
        </w:tc>
        <w:tc>
          <w:tcPr>
            <w:tcW w:w="990" w:type="dxa"/>
            <w:tcBorders>
              <w:top w:val="single" w:color="auto" w:sz="4" w:space="0"/>
              <w:left w:val="single" w:color="auto" w:sz="4" w:space="0"/>
              <w:bottom w:val="single" w:color="auto" w:sz="4" w:space="0"/>
              <w:right w:val="single" w:color="auto" w:sz="4" w:space="0"/>
            </w:tcBorders>
            <w:vAlign w:val="center"/>
          </w:tcPr>
          <w:p>
            <w:pPr>
              <w:pStyle w:val="56"/>
              <w:spacing w:line="360" w:lineRule="auto"/>
              <w:ind w:left="0" w:leftChars="0" w:firstLine="0" w:firstLineChars="0"/>
              <w:jc w:val="center"/>
              <w:rPr>
                <w:rFonts w:hint="eastAsia" w:ascii="仿宋" w:hAnsi="仿宋" w:eastAsia="仿宋" w:cs="仿宋"/>
                <w:b/>
                <w:sz w:val="24"/>
                <w:szCs w:val="20"/>
                <w:highlight w:val="none"/>
                <w:lang w:val="en-US" w:eastAsia="zh-CN"/>
              </w:rPr>
            </w:pPr>
            <w:r>
              <w:rPr>
                <w:rFonts w:hint="eastAsia" w:ascii="仿宋" w:hAnsi="仿宋" w:eastAsia="仿宋" w:cs="仿宋"/>
                <w:b/>
                <w:sz w:val="24"/>
                <w:szCs w:val="20"/>
                <w:highlight w:val="none"/>
                <w:lang w:val="en-US" w:eastAsia="zh-CN"/>
              </w:rPr>
              <w:t>评分分值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3" w:hRule="atLeast"/>
          <w:jc w:val="center"/>
        </w:trPr>
        <w:tc>
          <w:tcPr>
            <w:tcW w:w="71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sz w:val="24"/>
                <w:szCs w:val="20"/>
                <w:highlight w:val="none"/>
                <w:lang w:eastAsia="zh-CN"/>
              </w:rPr>
            </w:pPr>
            <w:r>
              <w:rPr>
                <w:rFonts w:hint="eastAsia" w:ascii="仿宋" w:hAnsi="仿宋" w:eastAsia="仿宋" w:cs="仿宋"/>
                <w:sz w:val="24"/>
                <w:szCs w:val="20"/>
                <w:highlight w:val="none"/>
                <w:lang w:val="en-US" w:eastAsia="zh-CN"/>
              </w:rPr>
              <w:t>1</w:t>
            </w:r>
          </w:p>
        </w:tc>
        <w:tc>
          <w:tcPr>
            <w:tcW w:w="1017"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企业综合评价及业绩</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投标人具有的ISO9001质量管理体系认证证书得2分、ISO14001环境管理体系认证证书得2分、OHSAS18001职业健康安全管理体系认证证书得2分；本项最高得6分。</w:t>
            </w:r>
          </w:p>
          <w:p>
            <w:pPr>
              <w:spacing w:line="360" w:lineRule="exact"/>
              <w:jc w:val="both"/>
              <w:rPr>
                <w:rFonts w:hint="eastAsia" w:ascii="仿宋" w:hAnsi="仿宋" w:eastAsia="仿宋" w:cs="仿宋"/>
                <w:sz w:val="24"/>
                <w:highlight w:val="none"/>
              </w:rPr>
            </w:pPr>
            <w:r>
              <w:rPr>
                <w:rFonts w:hint="eastAsia" w:ascii="仿宋" w:hAnsi="仿宋" w:eastAsia="仿宋" w:cs="仿宋"/>
                <w:b/>
                <w:bCs/>
                <w:sz w:val="24"/>
                <w:highlight w:val="none"/>
                <w:lang w:val="en-US" w:eastAsia="zh-CN"/>
              </w:rPr>
              <w:t>（在投标文件中提供有效认证证书复印件或扫描打印件并提供网络查询截图加盖公章，否则不得分）</w:t>
            </w:r>
          </w:p>
        </w:tc>
        <w:tc>
          <w:tcPr>
            <w:tcW w:w="990" w:type="dxa"/>
            <w:vMerge w:val="restart"/>
            <w:tcBorders>
              <w:top w:val="single" w:color="auto" w:sz="4" w:space="0"/>
              <w:left w:val="single" w:color="auto" w:sz="4" w:space="0"/>
              <w:right w:val="single" w:color="auto" w:sz="4" w:space="0"/>
            </w:tcBorders>
            <w:vAlign w:val="center"/>
          </w:tcPr>
          <w:p>
            <w:pPr>
              <w:pStyle w:val="56"/>
              <w:spacing w:line="360" w:lineRule="auto"/>
              <w:ind w:left="0" w:leftChars="0" w:firstLine="0" w:firstLineChars="0"/>
              <w:jc w:val="center"/>
              <w:rPr>
                <w:rFonts w:hint="eastAsia" w:ascii="仿宋" w:hAnsi="仿宋" w:eastAsia="仿宋" w:cs="仿宋"/>
                <w:sz w:val="24"/>
                <w:szCs w:val="20"/>
                <w:highlight w:val="none"/>
                <w:lang w:val="en-US" w:eastAsia="zh-CN"/>
              </w:rPr>
            </w:pPr>
            <w:r>
              <w:rPr>
                <w:rFonts w:hint="eastAsia" w:ascii="仿宋" w:hAnsi="仿宋" w:eastAsia="仿宋" w:cs="仿宋"/>
                <w:sz w:val="24"/>
                <w:szCs w:val="20"/>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7" w:hRule="atLeast"/>
          <w:jc w:val="center"/>
        </w:trPr>
        <w:tc>
          <w:tcPr>
            <w:tcW w:w="71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Cs w:val="21"/>
                <w:highlight w:val="none"/>
              </w:rPr>
            </w:pPr>
          </w:p>
        </w:tc>
        <w:tc>
          <w:tcPr>
            <w:tcW w:w="1017"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highlight w:val="none"/>
              </w:rPr>
            </w:pP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rPr>
              <w:t>201</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日起至今（时间以合同签订时间或中标通知书发出的时间为准），</w:t>
            </w:r>
            <w:r>
              <w:rPr>
                <w:rFonts w:hint="eastAsia" w:ascii="仿宋" w:hAnsi="仿宋" w:eastAsia="仿宋" w:cs="仿宋"/>
                <w:sz w:val="24"/>
                <w:highlight w:val="none"/>
                <w:lang w:eastAsia="zh-CN"/>
              </w:rPr>
              <w:t>具备</w:t>
            </w:r>
            <w:r>
              <w:rPr>
                <w:rFonts w:hint="eastAsia" w:ascii="仿宋" w:hAnsi="仿宋" w:eastAsia="仿宋" w:cs="仿宋"/>
                <w:sz w:val="24"/>
                <w:highlight w:val="none"/>
              </w:rPr>
              <w:t>政府财政资金投资道路保洁作业</w:t>
            </w:r>
            <w:r>
              <w:rPr>
                <w:rFonts w:hint="eastAsia" w:ascii="仿宋" w:hAnsi="仿宋" w:eastAsia="仿宋" w:cs="仿宋"/>
                <w:sz w:val="24"/>
                <w:highlight w:val="none"/>
                <w:lang w:eastAsia="zh-CN"/>
              </w:rPr>
              <w:t>项目</w:t>
            </w:r>
            <w:r>
              <w:rPr>
                <w:rFonts w:hint="eastAsia" w:ascii="仿宋" w:hAnsi="仿宋" w:eastAsia="仿宋" w:cs="仿宋"/>
                <w:sz w:val="24"/>
                <w:highlight w:val="none"/>
              </w:rPr>
              <w:t>经验的，每个得</w:t>
            </w:r>
            <w:r>
              <w:rPr>
                <w:rFonts w:hint="eastAsia" w:ascii="仿宋" w:hAnsi="仿宋" w:eastAsia="仿宋" w:cs="仿宋"/>
                <w:sz w:val="24"/>
                <w:highlight w:val="none"/>
                <w:lang w:val="en-US" w:eastAsia="zh-CN"/>
              </w:rPr>
              <w:t>0.5</w:t>
            </w:r>
            <w:r>
              <w:rPr>
                <w:rFonts w:hint="eastAsia" w:ascii="仿宋" w:hAnsi="仿宋" w:eastAsia="仿宋" w:cs="仿宋"/>
                <w:sz w:val="24"/>
                <w:highlight w:val="none"/>
              </w:rPr>
              <w:t>分。本项最高</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分。</w:t>
            </w:r>
          </w:p>
          <w:p>
            <w:pPr>
              <w:spacing w:line="360" w:lineRule="exact"/>
              <w:jc w:val="both"/>
              <w:rPr>
                <w:rFonts w:hint="eastAsia" w:ascii="仿宋" w:hAnsi="仿宋" w:eastAsia="仿宋" w:cs="仿宋"/>
                <w:sz w:val="24"/>
                <w:highlight w:val="none"/>
              </w:rPr>
            </w:pPr>
            <w:r>
              <w:rPr>
                <w:rFonts w:hint="eastAsia" w:ascii="仿宋" w:hAnsi="仿宋" w:eastAsia="仿宋" w:cs="仿宋"/>
                <w:b/>
                <w:bCs/>
                <w:sz w:val="24"/>
                <w:highlight w:val="none"/>
              </w:rPr>
              <w:t>（</w:t>
            </w:r>
            <w:r>
              <w:rPr>
                <w:rFonts w:hint="eastAsia" w:ascii="仿宋" w:hAnsi="仿宋" w:eastAsia="仿宋" w:cs="仿宋"/>
                <w:b/>
                <w:bCs/>
                <w:sz w:val="24"/>
                <w:highlight w:val="none"/>
                <w:lang w:val="en-US" w:eastAsia="zh-CN"/>
              </w:rPr>
              <w:t>在投标文件中需提供</w:t>
            </w:r>
            <w:r>
              <w:rPr>
                <w:rFonts w:hint="eastAsia" w:ascii="仿宋" w:hAnsi="仿宋" w:eastAsia="仿宋" w:cs="仿宋"/>
                <w:b/>
                <w:bCs/>
                <w:sz w:val="24"/>
                <w:highlight w:val="none"/>
              </w:rPr>
              <w:t>中标通知书及合同复印件并加盖公章，否则不得分。）</w:t>
            </w:r>
          </w:p>
        </w:tc>
        <w:tc>
          <w:tcPr>
            <w:tcW w:w="990" w:type="dxa"/>
            <w:vMerge w:val="continue"/>
            <w:tcBorders>
              <w:left w:val="single" w:color="auto" w:sz="4" w:space="0"/>
              <w:bottom w:val="single" w:color="auto" w:sz="4" w:space="0"/>
              <w:right w:val="single" w:color="auto" w:sz="4" w:space="0"/>
            </w:tcBorders>
            <w:vAlign w:val="center"/>
          </w:tcPr>
          <w:p>
            <w:pPr>
              <w:pStyle w:val="56"/>
              <w:spacing w:line="360" w:lineRule="auto"/>
              <w:ind w:left="0"/>
              <w:jc w:val="center"/>
              <w:rPr>
                <w:rFonts w:hint="eastAsia" w:ascii="仿宋" w:hAnsi="仿宋" w:eastAsia="仿宋" w:cs="仿宋"/>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8"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highlight w:val="none"/>
              </w:rPr>
            </w:pPr>
            <w:r>
              <w:rPr>
                <w:rFonts w:hint="eastAsia" w:ascii="仿宋" w:hAnsi="仿宋" w:eastAsia="仿宋" w:cs="仿宋"/>
                <w:szCs w:val="24"/>
                <w:highlight w:val="none"/>
              </w:rPr>
              <w:t>拟派项目实施人员的配备情况</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rPr>
              <w:t>①项目经理拥有</w:t>
            </w:r>
            <w:r>
              <w:rPr>
                <w:rFonts w:hint="eastAsia" w:ascii="仿宋" w:hAnsi="仿宋" w:eastAsia="仿宋" w:cs="仿宋"/>
                <w:sz w:val="24"/>
                <w:highlight w:val="none"/>
                <w:lang w:eastAsia="zh-CN"/>
              </w:rPr>
              <w:t>环卫作业</w:t>
            </w:r>
            <w:r>
              <w:rPr>
                <w:rFonts w:hint="eastAsia" w:ascii="仿宋" w:hAnsi="仿宋" w:eastAsia="仿宋" w:cs="仿宋"/>
                <w:sz w:val="24"/>
                <w:highlight w:val="none"/>
              </w:rPr>
              <w:t>项目经理证书的得1分，具有大专及以上学历的得1分</w:t>
            </w:r>
            <w:r>
              <w:rPr>
                <w:rFonts w:hint="eastAsia" w:ascii="仿宋" w:hAnsi="仿宋" w:eastAsia="仿宋" w:cs="仿宋"/>
                <w:sz w:val="24"/>
                <w:highlight w:val="none"/>
                <w:lang w:eastAsia="zh-CN"/>
              </w:rPr>
              <w:t>，满分</w:t>
            </w:r>
            <w:r>
              <w:rPr>
                <w:rFonts w:hint="eastAsia" w:ascii="仿宋" w:hAnsi="仿宋" w:eastAsia="仿宋" w:cs="仿宋"/>
                <w:sz w:val="24"/>
                <w:highlight w:val="none"/>
                <w:lang w:val="en-US" w:eastAsia="zh-CN"/>
              </w:rPr>
              <w:t>2分</w:t>
            </w:r>
            <w:r>
              <w:rPr>
                <w:rFonts w:hint="eastAsia" w:ascii="仿宋" w:hAnsi="仿宋" w:eastAsia="仿宋" w:cs="仿宋"/>
                <w:sz w:val="24"/>
                <w:highlight w:val="none"/>
              </w:rPr>
              <w:t>；20</w:t>
            </w:r>
            <w:r>
              <w:rPr>
                <w:rFonts w:hint="eastAsia" w:ascii="仿宋" w:hAnsi="仿宋" w:eastAsia="仿宋" w:cs="仿宋"/>
                <w:sz w:val="24"/>
                <w:highlight w:val="none"/>
                <w:lang w:val="en-US" w:eastAsia="zh-CN"/>
              </w:rPr>
              <w:t>18</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日起至今项目经理有政府财政资金投资的</w:t>
            </w:r>
            <w:r>
              <w:rPr>
                <w:rFonts w:hint="eastAsia" w:ascii="仿宋" w:hAnsi="仿宋" w:eastAsia="仿宋" w:cs="仿宋"/>
                <w:sz w:val="24"/>
                <w:highlight w:val="none"/>
                <w:lang w:eastAsia="zh-CN"/>
              </w:rPr>
              <w:t>公建道路或公园</w:t>
            </w:r>
            <w:r>
              <w:rPr>
                <w:rFonts w:hint="eastAsia" w:ascii="仿宋" w:hAnsi="仿宋" w:eastAsia="仿宋" w:cs="仿宋"/>
                <w:sz w:val="24"/>
                <w:highlight w:val="none"/>
              </w:rPr>
              <w:t>保洁业绩得1分，满分</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分。没有则不得分；（需提供</w:t>
            </w:r>
            <w:r>
              <w:rPr>
                <w:rFonts w:hint="eastAsia" w:ascii="仿宋" w:hAnsi="仿宋" w:eastAsia="仿宋" w:cs="仿宋"/>
                <w:sz w:val="24"/>
                <w:highlight w:val="none"/>
                <w:lang w:eastAsia="zh-CN"/>
              </w:rPr>
              <w:t>项目经理</w:t>
            </w:r>
            <w:r>
              <w:rPr>
                <w:rFonts w:hint="eastAsia" w:ascii="仿宋" w:hAnsi="仿宋" w:eastAsia="仿宋" w:cs="仿宋"/>
                <w:sz w:val="24"/>
                <w:highlight w:val="none"/>
              </w:rPr>
              <w:t>证书、</w:t>
            </w:r>
            <w:r>
              <w:rPr>
                <w:rFonts w:hint="eastAsia" w:ascii="仿宋" w:hAnsi="仿宋" w:eastAsia="仿宋" w:cs="仿宋"/>
                <w:sz w:val="24"/>
                <w:highlight w:val="none"/>
                <w:lang w:eastAsia="zh-CN"/>
              </w:rPr>
              <w:t>学历</w:t>
            </w:r>
            <w:r>
              <w:rPr>
                <w:rFonts w:hint="eastAsia" w:ascii="仿宋" w:hAnsi="仿宋" w:eastAsia="仿宋" w:cs="仿宋"/>
                <w:sz w:val="24"/>
                <w:highlight w:val="none"/>
              </w:rPr>
              <w:t>证书、保洁业绩中标通知书</w:t>
            </w:r>
            <w:r>
              <w:rPr>
                <w:rFonts w:hint="eastAsia" w:ascii="仿宋" w:hAnsi="仿宋" w:eastAsia="仿宋" w:cs="仿宋"/>
                <w:sz w:val="24"/>
                <w:highlight w:val="none"/>
                <w:lang w:eastAsia="zh-CN"/>
              </w:rPr>
              <w:t>等</w:t>
            </w:r>
            <w:r>
              <w:rPr>
                <w:rFonts w:hint="eastAsia" w:ascii="仿宋" w:hAnsi="仿宋" w:eastAsia="仿宋" w:cs="仿宋"/>
                <w:sz w:val="24"/>
                <w:highlight w:val="none"/>
              </w:rPr>
              <w:t>复印件。同时提供项目经理6个月以上社保缴纳证明）。</w:t>
            </w:r>
          </w:p>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rPr>
              <w:t>②项目团队成员拥有垃圾</w:t>
            </w:r>
            <w:r>
              <w:rPr>
                <w:rFonts w:hint="eastAsia" w:ascii="仿宋" w:hAnsi="仿宋" w:eastAsia="仿宋" w:cs="仿宋"/>
                <w:sz w:val="24"/>
                <w:highlight w:val="none"/>
                <w:lang w:eastAsia="zh-CN"/>
              </w:rPr>
              <w:t>清运保洁工程师</w:t>
            </w:r>
            <w:r>
              <w:rPr>
                <w:rFonts w:hint="eastAsia" w:ascii="仿宋" w:hAnsi="仿宋" w:eastAsia="仿宋" w:cs="仿宋"/>
                <w:sz w:val="24"/>
                <w:highlight w:val="none"/>
              </w:rPr>
              <w:t>、垃圾处理工程师证书的</w:t>
            </w:r>
            <w:r>
              <w:rPr>
                <w:rFonts w:hint="eastAsia" w:ascii="仿宋" w:hAnsi="仿宋" w:eastAsia="仿宋" w:cs="仿宋"/>
                <w:sz w:val="24"/>
                <w:highlight w:val="none"/>
                <w:lang w:eastAsia="zh-CN"/>
              </w:rPr>
              <w:t>每项</w:t>
            </w:r>
            <w:r>
              <w:rPr>
                <w:rFonts w:hint="eastAsia" w:ascii="仿宋" w:hAnsi="仿宋" w:eastAsia="仿宋" w:cs="仿宋"/>
                <w:sz w:val="24"/>
                <w:highlight w:val="none"/>
              </w:rPr>
              <w:t>得</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分，满分4分。</w:t>
            </w:r>
          </w:p>
          <w:p>
            <w:pPr>
              <w:spacing w:line="360" w:lineRule="exact"/>
              <w:jc w:val="both"/>
              <w:rPr>
                <w:rFonts w:hint="eastAsia" w:ascii="仿宋" w:hAnsi="仿宋" w:eastAsia="仿宋" w:cs="仿宋"/>
                <w:sz w:val="24"/>
                <w:highlight w:val="none"/>
              </w:rPr>
            </w:pPr>
            <w:r>
              <w:rPr>
                <w:rFonts w:hint="eastAsia" w:ascii="仿宋" w:hAnsi="仿宋" w:eastAsia="仿宋" w:cs="仿宋"/>
                <w:b/>
                <w:bCs/>
                <w:sz w:val="24"/>
                <w:highlight w:val="none"/>
              </w:rPr>
              <w:t>（</w:t>
            </w:r>
            <w:r>
              <w:rPr>
                <w:rFonts w:hint="eastAsia" w:ascii="仿宋" w:hAnsi="仿宋" w:eastAsia="仿宋" w:cs="仿宋"/>
                <w:b/>
                <w:bCs/>
                <w:sz w:val="24"/>
                <w:highlight w:val="none"/>
                <w:lang w:val="en-US" w:eastAsia="zh-CN"/>
              </w:rPr>
              <w:t>在投标文件中</w:t>
            </w:r>
            <w:r>
              <w:rPr>
                <w:rFonts w:hint="eastAsia" w:ascii="仿宋" w:hAnsi="仿宋" w:eastAsia="仿宋" w:cs="仿宋"/>
                <w:b/>
                <w:bCs/>
                <w:sz w:val="24"/>
                <w:highlight w:val="none"/>
              </w:rPr>
              <w:t>需提供相关证书复印件，同时提供相关人员6个月以上社保缴纳证明）。</w:t>
            </w:r>
          </w:p>
        </w:tc>
        <w:tc>
          <w:tcPr>
            <w:tcW w:w="990" w:type="dxa"/>
            <w:tcBorders>
              <w:top w:val="single" w:color="auto" w:sz="4" w:space="0"/>
              <w:left w:val="single" w:color="auto" w:sz="4" w:space="0"/>
              <w:bottom w:val="single" w:color="auto" w:sz="4" w:space="0"/>
              <w:right w:val="single" w:color="auto" w:sz="4" w:space="0"/>
            </w:tcBorders>
            <w:vAlign w:val="center"/>
          </w:tcPr>
          <w:p>
            <w:pPr>
              <w:pStyle w:val="56"/>
              <w:spacing w:line="360" w:lineRule="auto"/>
              <w:ind w:left="0" w:leftChars="0" w:firstLine="0" w:firstLineChars="0"/>
              <w:jc w:val="center"/>
              <w:rPr>
                <w:rFonts w:hint="eastAsia" w:ascii="仿宋" w:hAnsi="仿宋" w:eastAsia="仿宋" w:cs="仿宋"/>
                <w:sz w:val="24"/>
                <w:szCs w:val="20"/>
                <w:highlight w:val="none"/>
                <w:lang w:val="en-US" w:eastAsia="zh-CN"/>
              </w:rPr>
            </w:pPr>
            <w:r>
              <w:rPr>
                <w:rFonts w:hint="eastAsia" w:ascii="仿宋" w:hAnsi="仿宋" w:eastAsia="仿宋" w:cs="仿宋"/>
                <w:sz w:val="24"/>
                <w:szCs w:val="20"/>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8"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3</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szCs w:val="24"/>
                <w:highlight w:val="none"/>
                <w:lang w:val="en-US" w:eastAsia="zh-CN"/>
              </w:rPr>
            </w:pPr>
            <w:r>
              <w:rPr>
                <w:rFonts w:hint="eastAsia" w:ascii="仿宋" w:hAnsi="仿宋" w:eastAsia="仿宋" w:cs="仿宋"/>
                <w:szCs w:val="24"/>
                <w:highlight w:val="none"/>
                <w:lang w:val="en-US" w:eastAsia="zh-CN"/>
              </w:rPr>
              <w:t>企业荣誉</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rPr>
              <w:t>201</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1月1</w:t>
            </w:r>
            <w:r>
              <w:rPr>
                <w:rFonts w:hint="eastAsia" w:ascii="仿宋" w:hAnsi="仿宋" w:eastAsia="仿宋" w:cs="仿宋"/>
                <w:sz w:val="24"/>
                <w:highlight w:val="none"/>
              </w:rPr>
              <w:t>日至今，投标人获得区（县）级及以上</w:t>
            </w:r>
            <w:r>
              <w:rPr>
                <w:rFonts w:hint="eastAsia" w:ascii="仿宋" w:hAnsi="仿宋" w:eastAsia="仿宋" w:cs="仿宋"/>
                <w:sz w:val="24"/>
                <w:highlight w:val="none"/>
                <w:lang w:eastAsia="zh-CN"/>
              </w:rPr>
              <w:t>政府行政主管部门</w:t>
            </w:r>
            <w:r>
              <w:rPr>
                <w:rFonts w:hint="eastAsia" w:ascii="仿宋" w:hAnsi="仿宋" w:eastAsia="仿宋" w:cs="仿宋"/>
                <w:sz w:val="24"/>
                <w:highlight w:val="none"/>
              </w:rPr>
              <w:t>颁发的</w:t>
            </w:r>
            <w:r>
              <w:rPr>
                <w:rFonts w:hint="eastAsia" w:ascii="仿宋" w:hAnsi="仿宋" w:eastAsia="仿宋" w:cs="仿宋"/>
                <w:sz w:val="24"/>
                <w:highlight w:val="none"/>
                <w:lang w:eastAsia="zh-CN"/>
              </w:rPr>
              <w:t>城市公建道路或公园保洁类项目荣誉</w:t>
            </w:r>
            <w:r>
              <w:rPr>
                <w:rFonts w:hint="eastAsia" w:ascii="仿宋" w:hAnsi="仿宋" w:eastAsia="仿宋" w:cs="仿宋"/>
                <w:sz w:val="24"/>
                <w:highlight w:val="none"/>
                <w:lang w:val="en-US" w:eastAsia="zh-CN"/>
              </w:rPr>
              <w:t>表彰有一个得1</w:t>
            </w:r>
            <w:r>
              <w:rPr>
                <w:rFonts w:hint="eastAsia" w:ascii="仿宋" w:hAnsi="仿宋" w:eastAsia="仿宋" w:cs="仿宋"/>
                <w:sz w:val="24"/>
                <w:highlight w:val="none"/>
              </w:rPr>
              <w:t>分，</w:t>
            </w:r>
            <w:r>
              <w:rPr>
                <w:rFonts w:hint="eastAsia" w:ascii="仿宋" w:hAnsi="仿宋" w:eastAsia="仿宋" w:cs="仿宋"/>
                <w:sz w:val="24"/>
                <w:highlight w:val="none"/>
                <w:lang w:val="en-US" w:eastAsia="zh-CN"/>
              </w:rPr>
              <w:t>本项最高得3分。</w:t>
            </w:r>
          </w:p>
          <w:p>
            <w:pPr>
              <w:spacing w:line="360" w:lineRule="exact"/>
              <w:jc w:val="both"/>
              <w:rPr>
                <w:rFonts w:hint="eastAsia" w:ascii="仿宋" w:hAnsi="仿宋" w:eastAsia="仿宋" w:cs="仿宋"/>
                <w:sz w:val="24"/>
                <w:highlight w:val="none"/>
              </w:rPr>
            </w:pPr>
            <w:r>
              <w:rPr>
                <w:rFonts w:hint="eastAsia" w:ascii="仿宋" w:hAnsi="仿宋" w:eastAsia="仿宋" w:cs="仿宋"/>
                <w:b/>
                <w:bCs/>
                <w:sz w:val="24"/>
                <w:highlight w:val="none"/>
              </w:rPr>
              <w:t>（</w:t>
            </w:r>
            <w:r>
              <w:rPr>
                <w:rFonts w:hint="eastAsia" w:ascii="仿宋" w:hAnsi="仿宋" w:eastAsia="仿宋" w:cs="仿宋"/>
                <w:b/>
                <w:bCs/>
                <w:sz w:val="24"/>
                <w:highlight w:val="none"/>
                <w:lang w:val="en-US" w:eastAsia="zh-CN"/>
              </w:rPr>
              <w:t>在投标文件中</w:t>
            </w:r>
            <w:r>
              <w:rPr>
                <w:rFonts w:hint="eastAsia" w:ascii="仿宋" w:hAnsi="仿宋" w:eastAsia="仿宋" w:cs="仿宋"/>
                <w:b/>
                <w:bCs/>
                <w:sz w:val="24"/>
                <w:highlight w:val="none"/>
              </w:rPr>
              <w:t>需提供相关证明材料扫描件，否则不得分）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pStyle w:val="56"/>
              <w:spacing w:line="360" w:lineRule="auto"/>
              <w:ind w:left="0" w:leftChars="0" w:firstLine="0" w:firstLineChars="0"/>
              <w:jc w:val="center"/>
              <w:rPr>
                <w:rFonts w:hint="default" w:ascii="仿宋" w:hAnsi="仿宋" w:eastAsia="仿宋" w:cs="仿宋"/>
                <w:sz w:val="24"/>
                <w:szCs w:val="20"/>
                <w:highlight w:val="none"/>
                <w:lang w:val="en-US" w:eastAsia="zh-CN"/>
              </w:rPr>
            </w:pPr>
            <w:r>
              <w:rPr>
                <w:rFonts w:hint="eastAsia" w:ascii="仿宋" w:hAnsi="仿宋" w:eastAsia="仿宋" w:cs="仿宋"/>
                <w:sz w:val="24"/>
                <w:szCs w:val="20"/>
                <w:highlight w:val="none"/>
                <w:lang w:val="en-US" w:eastAsia="zh-CN"/>
              </w:rPr>
              <w:t>3</w:t>
            </w:r>
          </w:p>
        </w:tc>
      </w:tr>
    </w:tbl>
    <w:p>
      <w:pPr>
        <w:spacing w:line="360" w:lineRule="auto"/>
        <w:rPr>
          <w:rFonts w:hint="eastAsia" w:ascii="仿宋" w:hAnsi="仿宋" w:eastAsia="仿宋" w:cs="仿宋"/>
          <w:b/>
          <w:sz w:val="24"/>
          <w:szCs w:val="20"/>
          <w:highlight w:val="none"/>
          <w:lang w:val="en-US" w:eastAsia="zh-CN"/>
        </w:rPr>
      </w:pPr>
    </w:p>
    <w:p>
      <w:pPr>
        <w:spacing w:line="360" w:lineRule="auto"/>
        <w:rPr>
          <w:rFonts w:hint="eastAsia" w:ascii="仿宋" w:hAnsi="仿宋" w:eastAsia="仿宋" w:cs="仿宋"/>
          <w:b/>
          <w:sz w:val="24"/>
          <w:szCs w:val="20"/>
          <w:highlight w:val="none"/>
        </w:rPr>
      </w:pPr>
      <w:r>
        <w:rPr>
          <w:rFonts w:hint="eastAsia" w:ascii="仿宋" w:hAnsi="仿宋" w:eastAsia="仿宋" w:cs="仿宋"/>
          <w:b/>
          <w:sz w:val="24"/>
          <w:szCs w:val="20"/>
          <w:highlight w:val="none"/>
          <w:lang w:val="en-US" w:eastAsia="zh-CN"/>
        </w:rPr>
        <w:t>2、</w:t>
      </w:r>
      <w:r>
        <w:rPr>
          <w:rFonts w:hint="eastAsia" w:ascii="仿宋" w:hAnsi="仿宋" w:eastAsia="仿宋" w:cs="仿宋"/>
          <w:b/>
          <w:sz w:val="24"/>
          <w:szCs w:val="20"/>
          <w:highlight w:val="none"/>
        </w:rPr>
        <w:t>技术</w:t>
      </w:r>
      <w:r>
        <w:rPr>
          <w:rFonts w:hint="eastAsia" w:ascii="仿宋" w:hAnsi="仿宋" w:eastAsia="仿宋" w:cs="仿宋"/>
          <w:b/>
          <w:sz w:val="24"/>
          <w:szCs w:val="20"/>
          <w:highlight w:val="none"/>
          <w:lang w:eastAsia="zh-CN"/>
        </w:rPr>
        <w:t>标评分细则（</w:t>
      </w:r>
      <w:r>
        <w:rPr>
          <w:rFonts w:hint="eastAsia" w:ascii="仿宋" w:hAnsi="仿宋" w:eastAsia="仿宋" w:cs="仿宋"/>
          <w:b/>
          <w:sz w:val="24"/>
          <w:szCs w:val="20"/>
          <w:highlight w:val="none"/>
          <w:lang w:val="en-US" w:eastAsia="zh-CN"/>
        </w:rPr>
        <w:t>72</w:t>
      </w:r>
      <w:r>
        <w:rPr>
          <w:rFonts w:hint="eastAsia" w:ascii="仿宋" w:hAnsi="仿宋" w:eastAsia="仿宋" w:cs="仿宋"/>
          <w:b/>
          <w:sz w:val="24"/>
          <w:szCs w:val="20"/>
          <w:highlight w:val="none"/>
        </w:rPr>
        <w:t>分</w:t>
      </w:r>
      <w:r>
        <w:rPr>
          <w:rFonts w:hint="eastAsia" w:ascii="仿宋" w:hAnsi="仿宋" w:eastAsia="仿宋" w:cs="仿宋"/>
          <w:b/>
          <w:sz w:val="24"/>
          <w:szCs w:val="20"/>
          <w:highlight w:val="none"/>
          <w:lang w:eastAsia="zh-CN"/>
        </w:rPr>
        <w:t>）</w:t>
      </w:r>
      <w:r>
        <w:rPr>
          <w:rFonts w:hint="eastAsia" w:ascii="仿宋" w:hAnsi="仿宋" w:eastAsia="仿宋" w:cs="仿宋"/>
          <w:b/>
          <w:sz w:val="24"/>
          <w:szCs w:val="20"/>
          <w:highlight w:val="none"/>
        </w:rPr>
        <w:t xml:space="preserve"> </w:t>
      </w:r>
    </w:p>
    <w:tbl>
      <w:tblPr>
        <w:tblStyle w:val="65"/>
        <w:tblW w:w="95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065"/>
        <w:gridCol w:w="6808"/>
        <w:gridCol w:w="9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序号</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评审</w:t>
            </w:r>
          </w:p>
          <w:p>
            <w:pPr>
              <w:spacing w:line="360" w:lineRule="auto"/>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内容</w:t>
            </w:r>
          </w:p>
        </w:tc>
        <w:tc>
          <w:tcPr>
            <w:tcW w:w="6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评分标准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评分</w:t>
            </w:r>
          </w:p>
          <w:p>
            <w:pPr>
              <w:spacing w:line="360" w:lineRule="auto"/>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2" w:hRule="atLeast"/>
          <w:jc w:val="center"/>
        </w:trPr>
        <w:tc>
          <w:tcPr>
            <w:tcW w:w="709"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0"/>
                <w:highlight w:val="none"/>
                <w:lang w:eastAsia="zh-CN"/>
              </w:rPr>
            </w:pPr>
            <w:r>
              <w:rPr>
                <w:rFonts w:hint="eastAsia" w:ascii="仿宋" w:hAnsi="仿宋" w:eastAsia="仿宋" w:cs="仿宋"/>
                <w:sz w:val="24"/>
                <w:szCs w:val="20"/>
                <w:highlight w:val="none"/>
                <w:lang w:val="en-US" w:eastAsia="zh-CN"/>
              </w:rPr>
              <w:t>1</w:t>
            </w:r>
          </w:p>
        </w:tc>
        <w:tc>
          <w:tcPr>
            <w:tcW w:w="1065"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0"/>
                <w:highlight w:val="none"/>
              </w:rPr>
            </w:pPr>
            <w:r>
              <w:rPr>
                <w:rFonts w:hint="eastAsia" w:ascii="仿宋" w:hAnsi="仿宋" w:eastAsia="仿宋" w:cs="仿宋"/>
                <w:sz w:val="24"/>
                <w:szCs w:val="20"/>
                <w:highlight w:val="none"/>
                <w:lang w:val="en-US" w:eastAsia="zh-CN"/>
              </w:rPr>
              <w:t>投入机械设备、车辆</w:t>
            </w:r>
          </w:p>
        </w:tc>
        <w:tc>
          <w:tcPr>
            <w:tcW w:w="6808" w:type="dxa"/>
            <w:tcBorders>
              <w:top w:val="single" w:color="auto" w:sz="4" w:space="0"/>
              <w:left w:val="single" w:color="auto" w:sz="4" w:space="0"/>
              <w:right w:val="single" w:color="auto" w:sz="4" w:space="0"/>
            </w:tcBorders>
          </w:tcPr>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rPr>
              <w:t>1、多功能洗扫车（集洒、扫、吸三种功能为一体，车辆总质量18吨及以上）的1辆得</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分，本项最高得</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分；</w:t>
            </w:r>
          </w:p>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rPr>
              <w:t>2、扫地车（车辆总质量</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吨及以上）1辆的得</w:t>
            </w:r>
            <w:r>
              <w:rPr>
                <w:rFonts w:hint="default" w:ascii="仿宋" w:hAnsi="仿宋" w:eastAsia="仿宋" w:cs="仿宋"/>
                <w:sz w:val="24"/>
                <w:highlight w:val="none"/>
                <w:lang w:val="en-US"/>
              </w:rPr>
              <w:t>2</w:t>
            </w:r>
            <w:r>
              <w:rPr>
                <w:rFonts w:hint="eastAsia" w:ascii="仿宋" w:hAnsi="仿宋" w:eastAsia="仿宋" w:cs="仿宋"/>
                <w:sz w:val="24"/>
                <w:highlight w:val="none"/>
              </w:rPr>
              <w:t>分</w:t>
            </w:r>
            <w:r>
              <w:rPr>
                <w:rFonts w:hint="eastAsia" w:ascii="仿宋" w:hAnsi="仿宋" w:eastAsia="仿宋" w:cs="仿宋"/>
                <w:sz w:val="24"/>
                <w:highlight w:val="none"/>
                <w:lang w:eastAsia="zh-CN"/>
              </w:rPr>
              <w:t>，</w:t>
            </w:r>
            <w:r>
              <w:rPr>
                <w:rFonts w:hint="eastAsia" w:ascii="仿宋" w:hAnsi="仿宋" w:eastAsia="仿宋" w:cs="仿宋"/>
                <w:sz w:val="24"/>
                <w:highlight w:val="none"/>
              </w:rPr>
              <w:t>本项最高得</w:t>
            </w:r>
            <w:r>
              <w:rPr>
                <w:rFonts w:hint="default" w:ascii="仿宋" w:hAnsi="仿宋" w:eastAsia="仿宋" w:cs="仿宋"/>
                <w:sz w:val="24"/>
                <w:highlight w:val="none"/>
                <w:lang w:val="en-US"/>
              </w:rPr>
              <w:t>4</w:t>
            </w:r>
            <w:r>
              <w:rPr>
                <w:rFonts w:hint="eastAsia" w:ascii="仿宋" w:hAnsi="仿宋" w:eastAsia="仿宋" w:cs="仿宋"/>
                <w:sz w:val="24"/>
                <w:highlight w:val="none"/>
              </w:rPr>
              <w:t>分；</w:t>
            </w:r>
          </w:p>
          <w:p>
            <w:pPr>
              <w:spacing w:line="360" w:lineRule="exact"/>
              <w:jc w:val="both"/>
              <w:rPr>
                <w:rFonts w:hint="eastAsia" w:ascii="仿宋" w:hAnsi="仿宋" w:eastAsia="仿宋"/>
                <w:color w:val="auto"/>
                <w:sz w:val="24"/>
                <w:szCs w:val="24"/>
                <w:highlight w:val="none"/>
              </w:rPr>
            </w:pPr>
            <w:r>
              <w:rPr>
                <w:rFonts w:hint="eastAsia" w:ascii="仿宋" w:hAnsi="仿宋" w:eastAsia="仿宋" w:cs="仿宋"/>
                <w:sz w:val="24"/>
                <w:highlight w:val="none"/>
              </w:rPr>
              <w:t>3、</w:t>
            </w:r>
            <w:r>
              <w:rPr>
                <w:rFonts w:hint="eastAsia" w:ascii="仿宋" w:hAnsi="仿宋" w:eastAsia="仿宋"/>
                <w:color w:val="auto"/>
                <w:sz w:val="24"/>
                <w:szCs w:val="24"/>
                <w:highlight w:val="none"/>
              </w:rPr>
              <w:t>抑尘车</w:t>
            </w:r>
            <w:r>
              <w:rPr>
                <w:rFonts w:hint="eastAsia" w:ascii="仿宋" w:hAnsi="仿宋" w:eastAsia="仿宋"/>
                <w:color w:val="auto"/>
                <w:sz w:val="24"/>
                <w:szCs w:val="24"/>
                <w:highlight w:val="none"/>
                <w:lang w:val="en-US" w:eastAsia="zh-CN"/>
              </w:rPr>
              <w:t>(车辆</w:t>
            </w:r>
            <w:r>
              <w:rPr>
                <w:rFonts w:hint="eastAsia" w:ascii="仿宋" w:hAnsi="仿宋" w:eastAsia="仿宋"/>
                <w:color w:val="auto"/>
                <w:sz w:val="24"/>
                <w:szCs w:val="24"/>
                <w:highlight w:val="none"/>
              </w:rPr>
              <w:t xml:space="preserve">总质量 </w:t>
            </w:r>
            <w:r>
              <w:rPr>
                <w:rFonts w:hint="eastAsia" w:ascii="仿宋" w:hAnsi="仿宋" w:eastAsia="仿宋"/>
                <w:color w:val="auto"/>
                <w:sz w:val="24"/>
                <w:szCs w:val="24"/>
                <w:highlight w:val="none"/>
                <w:lang w:val="en-US" w:eastAsia="zh-CN"/>
              </w:rPr>
              <w:t>18</w:t>
            </w:r>
            <w:r>
              <w:rPr>
                <w:rFonts w:hint="eastAsia" w:ascii="仿宋" w:hAnsi="仿宋" w:eastAsia="仿宋"/>
                <w:color w:val="auto"/>
                <w:sz w:val="24"/>
                <w:szCs w:val="24"/>
                <w:highlight w:val="none"/>
              </w:rPr>
              <w:t>吨及以上</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1辆</w:t>
            </w:r>
            <w:r>
              <w:rPr>
                <w:rFonts w:hint="eastAsia" w:ascii="仿宋" w:hAnsi="仿宋" w:eastAsia="仿宋"/>
                <w:color w:val="auto"/>
                <w:sz w:val="24"/>
                <w:szCs w:val="24"/>
                <w:highlight w:val="none"/>
              </w:rPr>
              <w:t xml:space="preserve">的得 </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分</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 xml:space="preserve">最高得 </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 xml:space="preserve"> 分；</w:t>
            </w:r>
          </w:p>
          <w:p>
            <w:pPr>
              <w:spacing w:line="360" w:lineRule="exact"/>
              <w:jc w:val="both"/>
              <w:rPr>
                <w:rFonts w:hint="eastAsia" w:ascii="仿宋" w:hAnsi="仿宋" w:eastAsia="仿宋" w:cs="仿宋"/>
                <w:sz w:val="24"/>
                <w:highlight w:val="none"/>
              </w:rPr>
            </w:pPr>
            <w:r>
              <w:rPr>
                <w:rFonts w:hint="eastAsia" w:ascii="仿宋" w:hAnsi="仿宋" w:eastAsia="仿宋"/>
                <w:color w:val="auto"/>
                <w:sz w:val="24"/>
                <w:szCs w:val="24"/>
                <w:highlight w:val="none"/>
                <w:lang w:val="en-US" w:eastAsia="zh-CN"/>
              </w:rPr>
              <w:t>4、</w:t>
            </w:r>
            <w:r>
              <w:rPr>
                <w:rFonts w:hint="eastAsia" w:ascii="仿宋" w:hAnsi="仿宋" w:eastAsia="仿宋" w:cs="仿宋"/>
                <w:sz w:val="24"/>
                <w:highlight w:val="none"/>
              </w:rPr>
              <w:t>洒水车（车辆总质量1</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吨及以上）1辆得</w:t>
            </w:r>
            <w:r>
              <w:rPr>
                <w:rFonts w:hint="default" w:ascii="仿宋" w:hAnsi="仿宋" w:eastAsia="仿宋" w:cs="仿宋"/>
                <w:sz w:val="24"/>
                <w:highlight w:val="none"/>
                <w:lang w:val="en-US"/>
              </w:rPr>
              <w:t>2</w:t>
            </w:r>
            <w:r>
              <w:rPr>
                <w:rFonts w:hint="eastAsia" w:ascii="仿宋" w:hAnsi="仿宋" w:eastAsia="仿宋" w:cs="仿宋"/>
                <w:sz w:val="24"/>
                <w:highlight w:val="none"/>
              </w:rPr>
              <w:t>分，最高得</w:t>
            </w:r>
            <w:r>
              <w:rPr>
                <w:rFonts w:hint="default" w:ascii="仿宋" w:hAnsi="仿宋" w:eastAsia="仿宋" w:cs="仿宋"/>
                <w:sz w:val="24"/>
                <w:highlight w:val="none"/>
                <w:lang w:val="en-US"/>
              </w:rPr>
              <w:t>4</w:t>
            </w:r>
            <w:r>
              <w:rPr>
                <w:rFonts w:hint="eastAsia" w:ascii="仿宋" w:hAnsi="仿宋" w:eastAsia="仿宋" w:cs="仿宋"/>
                <w:sz w:val="24"/>
                <w:highlight w:val="none"/>
              </w:rPr>
              <w:t>分；</w:t>
            </w:r>
          </w:p>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、压缩式垃圾直运车</w:t>
            </w:r>
            <w:r>
              <w:rPr>
                <w:rFonts w:hint="eastAsia" w:ascii="仿宋" w:hAnsi="仿宋" w:eastAsia="仿宋" w:cs="仿宋"/>
                <w:color w:val="FF0000"/>
                <w:sz w:val="24"/>
                <w:highlight w:val="none"/>
              </w:rPr>
              <w:t>（车辆总质量</w:t>
            </w:r>
            <w:r>
              <w:rPr>
                <w:rFonts w:hint="eastAsia" w:ascii="仿宋" w:hAnsi="仿宋" w:eastAsia="仿宋" w:cs="仿宋"/>
                <w:color w:val="FF0000"/>
                <w:sz w:val="24"/>
                <w:highlight w:val="none"/>
                <w:lang w:val="en-US" w:eastAsia="zh-CN"/>
              </w:rPr>
              <w:t>3</w:t>
            </w:r>
            <w:r>
              <w:rPr>
                <w:rFonts w:hint="eastAsia" w:ascii="仿宋" w:hAnsi="仿宋" w:eastAsia="仿宋" w:cs="仿宋"/>
                <w:color w:val="FF0000"/>
                <w:sz w:val="24"/>
                <w:highlight w:val="none"/>
              </w:rPr>
              <w:t>吨及以上）</w:t>
            </w:r>
            <w:r>
              <w:rPr>
                <w:rFonts w:hint="eastAsia" w:ascii="仿宋" w:hAnsi="仿宋" w:eastAsia="仿宋" w:cs="仿宋"/>
                <w:sz w:val="24"/>
                <w:highlight w:val="none"/>
              </w:rPr>
              <w:t>1辆得</w:t>
            </w:r>
            <w:r>
              <w:rPr>
                <w:rFonts w:hint="default" w:ascii="仿宋" w:hAnsi="仿宋" w:eastAsia="仿宋" w:cs="仿宋"/>
                <w:sz w:val="24"/>
                <w:highlight w:val="none"/>
                <w:lang w:val="en-US"/>
              </w:rPr>
              <w:t>2</w:t>
            </w:r>
            <w:r>
              <w:rPr>
                <w:rFonts w:hint="eastAsia" w:ascii="仿宋" w:hAnsi="仿宋" w:eastAsia="仿宋" w:cs="仿宋"/>
                <w:sz w:val="24"/>
                <w:highlight w:val="none"/>
              </w:rPr>
              <w:t>分</w:t>
            </w:r>
            <w:r>
              <w:rPr>
                <w:rFonts w:hint="eastAsia" w:ascii="仿宋" w:hAnsi="仿宋" w:eastAsia="仿宋" w:cs="仿宋"/>
                <w:sz w:val="24"/>
                <w:highlight w:val="none"/>
                <w:lang w:eastAsia="zh-CN"/>
              </w:rPr>
              <w:t>，</w:t>
            </w:r>
            <w:r>
              <w:rPr>
                <w:rFonts w:hint="eastAsia" w:ascii="仿宋" w:hAnsi="仿宋" w:eastAsia="仿宋" w:cs="仿宋"/>
                <w:sz w:val="24"/>
                <w:highlight w:val="none"/>
              </w:rPr>
              <w:t>压缩式垃圾直运车</w:t>
            </w:r>
            <w:r>
              <w:rPr>
                <w:rFonts w:hint="eastAsia" w:ascii="仿宋" w:hAnsi="仿宋" w:eastAsia="仿宋" w:cs="仿宋"/>
                <w:color w:val="FF0000"/>
                <w:sz w:val="24"/>
                <w:highlight w:val="none"/>
              </w:rPr>
              <w:t>（车辆总质量</w:t>
            </w:r>
            <w:r>
              <w:rPr>
                <w:rFonts w:hint="eastAsia" w:ascii="仿宋" w:hAnsi="仿宋" w:eastAsia="仿宋" w:cs="仿宋"/>
                <w:color w:val="FF0000"/>
                <w:sz w:val="24"/>
                <w:highlight w:val="none"/>
                <w:lang w:val="en-US" w:eastAsia="zh-CN"/>
              </w:rPr>
              <w:t>5</w:t>
            </w:r>
            <w:r>
              <w:rPr>
                <w:rFonts w:hint="eastAsia" w:ascii="仿宋" w:hAnsi="仿宋" w:eastAsia="仿宋" w:cs="仿宋"/>
                <w:color w:val="FF0000"/>
                <w:sz w:val="24"/>
                <w:highlight w:val="none"/>
              </w:rPr>
              <w:t>吨及以上）</w:t>
            </w:r>
            <w:r>
              <w:rPr>
                <w:rFonts w:hint="eastAsia" w:ascii="仿宋" w:hAnsi="仿宋" w:eastAsia="仿宋" w:cs="仿宋"/>
                <w:sz w:val="24"/>
                <w:highlight w:val="none"/>
              </w:rPr>
              <w:t>1辆得</w:t>
            </w:r>
            <w:r>
              <w:rPr>
                <w:rFonts w:hint="default" w:ascii="仿宋" w:hAnsi="仿宋" w:eastAsia="仿宋" w:cs="仿宋"/>
                <w:sz w:val="24"/>
                <w:highlight w:val="none"/>
                <w:lang w:val="en-US"/>
              </w:rPr>
              <w:t>2</w:t>
            </w:r>
            <w:r>
              <w:rPr>
                <w:rFonts w:hint="eastAsia" w:ascii="仿宋" w:hAnsi="仿宋" w:eastAsia="仿宋" w:cs="仿宋"/>
                <w:sz w:val="24"/>
                <w:highlight w:val="none"/>
              </w:rPr>
              <w:t>分</w:t>
            </w:r>
            <w:r>
              <w:rPr>
                <w:rFonts w:hint="eastAsia" w:ascii="仿宋" w:hAnsi="仿宋" w:eastAsia="仿宋" w:cs="仿宋"/>
                <w:sz w:val="24"/>
                <w:highlight w:val="none"/>
                <w:lang w:eastAsia="zh-CN"/>
              </w:rPr>
              <w:t>，</w:t>
            </w:r>
            <w:r>
              <w:rPr>
                <w:rFonts w:hint="eastAsia" w:ascii="仿宋" w:hAnsi="仿宋" w:eastAsia="仿宋" w:cs="仿宋"/>
                <w:sz w:val="24"/>
                <w:highlight w:val="none"/>
              </w:rPr>
              <w:t>本项最高得</w:t>
            </w:r>
            <w:r>
              <w:rPr>
                <w:rFonts w:hint="default" w:ascii="仿宋" w:hAnsi="仿宋" w:eastAsia="仿宋" w:cs="仿宋"/>
                <w:sz w:val="24"/>
                <w:highlight w:val="none"/>
                <w:lang w:val="en-US"/>
              </w:rPr>
              <w:t>4</w:t>
            </w:r>
            <w:r>
              <w:rPr>
                <w:rFonts w:hint="eastAsia" w:ascii="仿宋" w:hAnsi="仿宋" w:eastAsia="仿宋" w:cs="仿宋"/>
                <w:sz w:val="24"/>
                <w:highlight w:val="none"/>
              </w:rPr>
              <w:t>分；</w:t>
            </w:r>
          </w:p>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、四轮全封闭</w:t>
            </w:r>
            <w:r>
              <w:rPr>
                <w:rFonts w:hint="eastAsia" w:ascii="仿宋" w:hAnsi="仿宋" w:eastAsia="仿宋" w:cs="仿宋"/>
                <w:sz w:val="24"/>
                <w:highlight w:val="none"/>
                <w:lang w:eastAsia="zh-CN"/>
              </w:rPr>
              <w:t>人行道</w:t>
            </w:r>
            <w:r>
              <w:rPr>
                <w:rFonts w:hint="eastAsia" w:ascii="仿宋" w:hAnsi="仿宋" w:eastAsia="仿宋" w:cs="仿宋"/>
                <w:sz w:val="24"/>
                <w:highlight w:val="none"/>
              </w:rPr>
              <w:t>扫地机1辆得</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分</w:t>
            </w:r>
            <w:r>
              <w:rPr>
                <w:rFonts w:hint="eastAsia" w:ascii="仿宋" w:hAnsi="仿宋" w:eastAsia="仿宋" w:cs="仿宋"/>
                <w:sz w:val="24"/>
                <w:highlight w:val="none"/>
                <w:lang w:eastAsia="zh-CN"/>
              </w:rPr>
              <w:t>，</w:t>
            </w:r>
            <w:r>
              <w:rPr>
                <w:rFonts w:hint="eastAsia" w:ascii="仿宋" w:hAnsi="仿宋" w:eastAsia="仿宋" w:cs="仿宋"/>
                <w:sz w:val="24"/>
                <w:highlight w:val="none"/>
              </w:rPr>
              <w:t>本项最高得</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w:t>
            </w:r>
          </w:p>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lang w:val="en-US" w:eastAsia="zh-CN"/>
              </w:rPr>
              <w:t>7</w:t>
            </w:r>
            <w:r>
              <w:rPr>
                <w:rFonts w:hint="eastAsia" w:ascii="仿宋" w:hAnsi="仿宋" w:eastAsia="仿宋" w:cs="仿宋"/>
                <w:sz w:val="24"/>
                <w:highlight w:val="none"/>
              </w:rPr>
              <w:t>、护栏清洗机1辆得</w:t>
            </w:r>
            <w:r>
              <w:rPr>
                <w:rFonts w:hint="default" w:ascii="仿宋" w:hAnsi="仿宋" w:eastAsia="仿宋" w:cs="仿宋"/>
                <w:sz w:val="24"/>
                <w:highlight w:val="none"/>
                <w:lang w:val="en-US"/>
              </w:rPr>
              <w:t>2</w:t>
            </w:r>
            <w:r>
              <w:rPr>
                <w:rFonts w:hint="eastAsia" w:ascii="仿宋" w:hAnsi="仿宋" w:eastAsia="仿宋" w:cs="仿宋"/>
                <w:sz w:val="24"/>
                <w:highlight w:val="none"/>
              </w:rPr>
              <w:t>分，本项最高得</w:t>
            </w:r>
            <w:r>
              <w:rPr>
                <w:rFonts w:hint="default" w:ascii="仿宋" w:hAnsi="仿宋" w:eastAsia="仿宋" w:cs="仿宋"/>
                <w:sz w:val="24"/>
                <w:highlight w:val="none"/>
                <w:lang w:val="en-US"/>
              </w:rPr>
              <w:t>2</w:t>
            </w:r>
            <w:r>
              <w:rPr>
                <w:rFonts w:hint="eastAsia" w:ascii="仿宋" w:hAnsi="仿宋" w:eastAsia="仿宋" w:cs="仿宋"/>
                <w:sz w:val="24"/>
                <w:highlight w:val="none"/>
              </w:rPr>
              <w:t>分。</w:t>
            </w:r>
          </w:p>
          <w:p>
            <w:pPr>
              <w:spacing w:line="360" w:lineRule="exact"/>
              <w:jc w:val="both"/>
              <w:rPr>
                <w:rFonts w:hint="default" w:ascii="仿宋" w:hAnsi="仿宋" w:eastAsia="仿宋" w:cs="仿宋"/>
                <w:sz w:val="24"/>
                <w:highlight w:val="none"/>
                <w:lang w:val="en-US"/>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四轮除雪车一辆得</w:t>
            </w:r>
            <w:r>
              <w:rPr>
                <w:rFonts w:hint="default" w:ascii="仿宋" w:hAnsi="仿宋" w:eastAsia="仿宋" w:cs="仿宋"/>
                <w:sz w:val="24"/>
                <w:highlight w:val="none"/>
                <w:lang w:val="en-US" w:eastAsia="zh-CN"/>
              </w:rPr>
              <w:t>2</w:t>
            </w:r>
            <w:r>
              <w:rPr>
                <w:rFonts w:hint="eastAsia" w:ascii="仿宋" w:hAnsi="仿宋" w:eastAsia="仿宋" w:cs="仿宋"/>
                <w:sz w:val="24"/>
                <w:highlight w:val="none"/>
                <w:lang w:val="en-US" w:eastAsia="zh-CN"/>
              </w:rPr>
              <w:t>分，最高得</w:t>
            </w:r>
            <w:r>
              <w:rPr>
                <w:rFonts w:hint="default" w:ascii="仿宋" w:hAnsi="仿宋" w:eastAsia="仿宋" w:cs="仿宋"/>
                <w:sz w:val="24"/>
                <w:highlight w:val="none"/>
                <w:lang w:val="en-US" w:eastAsia="zh-CN"/>
              </w:rPr>
              <w:t>2</w:t>
            </w:r>
            <w:r>
              <w:rPr>
                <w:rFonts w:hint="eastAsia" w:ascii="仿宋" w:hAnsi="仿宋" w:eastAsia="仿宋" w:cs="仿宋"/>
                <w:sz w:val="24"/>
                <w:highlight w:val="none"/>
                <w:lang w:val="en-US" w:eastAsia="zh-CN"/>
              </w:rPr>
              <w:t>分；（可以采用皮卡车或其他动力车辆前加装除雪滚筒）</w:t>
            </w:r>
          </w:p>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lang w:val="en-US" w:eastAsia="zh-CN"/>
              </w:rPr>
              <w:t>9</w:t>
            </w:r>
            <w:r>
              <w:rPr>
                <w:rFonts w:hint="eastAsia" w:ascii="仿宋" w:hAnsi="仿宋" w:eastAsia="仿宋" w:cs="仿宋"/>
                <w:sz w:val="24"/>
                <w:highlight w:val="none"/>
              </w:rPr>
              <w:t>、电动高压冲洗车1辆得</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分，本项最高得</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w:t>
            </w:r>
          </w:p>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lang w:val="en-US" w:eastAsia="zh-CN"/>
              </w:rPr>
              <w:t>10</w:t>
            </w:r>
            <w:r>
              <w:rPr>
                <w:rFonts w:hint="eastAsia" w:ascii="仿宋" w:hAnsi="仿宋" w:eastAsia="仿宋" w:cs="仿宋"/>
                <w:sz w:val="24"/>
                <w:highlight w:val="none"/>
              </w:rPr>
              <w:t>、电动四轮巡逻车1辆得</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分，本项最高得</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w:t>
            </w:r>
          </w:p>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、管理用车：轻型载货汽车（车辆总质量4吨</w:t>
            </w:r>
            <w:r>
              <w:rPr>
                <w:rFonts w:hint="eastAsia" w:ascii="仿宋" w:hAnsi="仿宋" w:eastAsia="仿宋" w:cs="仿宋"/>
                <w:sz w:val="24"/>
                <w:highlight w:val="none"/>
                <w:lang w:eastAsia="zh-CN"/>
              </w:rPr>
              <w:t>及</w:t>
            </w:r>
            <w:r>
              <w:rPr>
                <w:rFonts w:hint="eastAsia" w:ascii="仿宋" w:hAnsi="仿宋" w:eastAsia="仿宋" w:cs="仿宋"/>
                <w:sz w:val="24"/>
                <w:highlight w:val="none"/>
              </w:rPr>
              <w:t>以上）1辆得</w:t>
            </w:r>
            <w:r>
              <w:rPr>
                <w:rFonts w:hint="default" w:ascii="仿宋" w:hAnsi="仿宋" w:eastAsia="仿宋" w:cs="仿宋"/>
                <w:sz w:val="24"/>
                <w:highlight w:val="none"/>
                <w:lang w:val="en-US"/>
              </w:rPr>
              <w:t>1</w:t>
            </w:r>
            <w:r>
              <w:rPr>
                <w:rFonts w:hint="eastAsia" w:ascii="仿宋" w:hAnsi="仿宋" w:eastAsia="仿宋" w:cs="仿宋"/>
                <w:sz w:val="24"/>
                <w:highlight w:val="none"/>
              </w:rPr>
              <w:t>分；本项最高得</w:t>
            </w:r>
            <w:r>
              <w:rPr>
                <w:rFonts w:hint="default" w:ascii="仿宋" w:hAnsi="仿宋" w:eastAsia="仿宋" w:cs="仿宋"/>
                <w:sz w:val="24"/>
                <w:highlight w:val="none"/>
                <w:lang w:val="en-US"/>
              </w:rPr>
              <w:t>2</w:t>
            </w:r>
            <w:r>
              <w:rPr>
                <w:rFonts w:hint="eastAsia" w:ascii="仿宋" w:hAnsi="仿宋" w:eastAsia="仿宋" w:cs="仿宋"/>
                <w:sz w:val="24"/>
                <w:highlight w:val="none"/>
              </w:rPr>
              <w:t>分；</w:t>
            </w:r>
          </w:p>
          <w:p>
            <w:pPr>
              <w:spacing w:line="360" w:lineRule="exact"/>
              <w:jc w:val="both"/>
              <w:rPr>
                <w:rFonts w:hint="default" w:ascii="仿宋" w:hAnsi="仿宋" w:eastAsia="仿宋" w:cs="仿宋"/>
                <w:color w:val="FF0000"/>
                <w:sz w:val="24"/>
                <w:highlight w:val="none"/>
                <w:lang w:val="en-US" w:eastAsia="zh-CN"/>
              </w:rPr>
            </w:pPr>
            <w:r>
              <w:rPr>
                <w:rFonts w:hint="eastAsia" w:ascii="仿宋" w:hAnsi="仿宋" w:eastAsia="仿宋" w:cs="仿宋"/>
                <w:color w:val="FF0000"/>
                <w:sz w:val="24"/>
                <w:highlight w:val="none"/>
              </w:rPr>
              <w:t>1</w:t>
            </w:r>
            <w:r>
              <w:rPr>
                <w:rFonts w:hint="eastAsia" w:ascii="仿宋" w:hAnsi="仿宋" w:eastAsia="仿宋" w:cs="仿宋"/>
                <w:color w:val="FF0000"/>
                <w:sz w:val="24"/>
                <w:highlight w:val="none"/>
                <w:lang w:val="en-US" w:eastAsia="zh-CN"/>
              </w:rPr>
              <w:t>2</w:t>
            </w:r>
            <w:r>
              <w:rPr>
                <w:rFonts w:hint="eastAsia" w:ascii="仿宋" w:hAnsi="仿宋" w:eastAsia="仿宋" w:cs="仿宋"/>
                <w:color w:val="FF0000"/>
                <w:sz w:val="24"/>
                <w:highlight w:val="none"/>
              </w:rPr>
              <w:t>、</w:t>
            </w:r>
            <w:r>
              <w:rPr>
                <w:rFonts w:hint="eastAsia" w:ascii="仿宋" w:hAnsi="仿宋" w:eastAsia="仿宋" w:cs="仿宋"/>
                <w:color w:val="FF0000"/>
                <w:sz w:val="24"/>
                <w:highlight w:val="none"/>
                <w:lang w:val="en-US" w:eastAsia="zh-CN"/>
              </w:rPr>
              <w:t>1-7项中配备车辆是</w:t>
            </w:r>
            <w:r>
              <w:rPr>
                <w:rFonts w:hint="eastAsia" w:ascii="仿宋" w:hAnsi="仿宋" w:eastAsia="仿宋" w:cs="仿宋"/>
                <w:color w:val="FF0000"/>
                <w:sz w:val="24"/>
                <w:highlight w:val="none"/>
              </w:rPr>
              <w:t>“国六天然气清洁能源”或新能源</w:t>
            </w:r>
            <w:r>
              <w:rPr>
                <w:rFonts w:hint="eastAsia" w:ascii="仿宋" w:hAnsi="仿宋" w:eastAsia="仿宋" w:cs="仿宋"/>
                <w:color w:val="FF0000"/>
                <w:sz w:val="24"/>
                <w:highlight w:val="none"/>
                <w:lang w:eastAsia="zh-CN"/>
              </w:rPr>
              <w:t>（含电动）</w:t>
            </w:r>
            <w:r>
              <w:rPr>
                <w:rFonts w:hint="eastAsia" w:ascii="仿宋" w:hAnsi="仿宋" w:eastAsia="仿宋" w:cs="仿宋"/>
                <w:color w:val="FF0000"/>
                <w:sz w:val="24"/>
                <w:highlight w:val="none"/>
              </w:rPr>
              <w:t>环卫车（国家工信部目录内）的</w:t>
            </w:r>
            <w:r>
              <w:rPr>
                <w:rFonts w:hint="eastAsia" w:ascii="仿宋" w:hAnsi="仿宋" w:eastAsia="仿宋" w:cs="仿宋"/>
                <w:color w:val="FF0000"/>
                <w:sz w:val="24"/>
                <w:highlight w:val="none"/>
                <w:lang w:val="en-US" w:eastAsia="zh-CN"/>
              </w:rPr>
              <w:t>每辆</w:t>
            </w:r>
            <w:r>
              <w:rPr>
                <w:rFonts w:hint="eastAsia" w:ascii="仿宋" w:hAnsi="仿宋" w:eastAsia="仿宋" w:cs="仿宋"/>
                <w:color w:val="FF0000"/>
                <w:sz w:val="24"/>
                <w:highlight w:val="none"/>
              </w:rPr>
              <w:t>得</w:t>
            </w:r>
            <w:r>
              <w:rPr>
                <w:rFonts w:hint="eastAsia" w:ascii="仿宋" w:hAnsi="仿宋" w:eastAsia="仿宋" w:cs="仿宋"/>
                <w:color w:val="FF0000"/>
                <w:sz w:val="24"/>
                <w:highlight w:val="none"/>
                <w:lang w:val="en-US" w:eastAsia="zh-CN"/>
              </w:rPr>
              <w:t>1</w:t>
            </w:r>
            <w:r>
              <w:rPr>
                <w:rFonts w:hint="eastAsia" w:ascii="仿宋" w:hAnsi="仿宋" w:eastAsia="仿宋" w:cs="仿宋"/>
                <w:color w:val="FF0000"/>
                <w:sz w:val="24"/>
                <w:highlight w:val="none"/>
              </w:rPr>
              <w:t>分</w:t>
            </w:r>
            <w:r>
              <w:rPr>
                <w:rFonts w:hint="eastAsia" w:ascii="仿宋" w:hAnsi="仿宋" w:eastAsia="仿宋" w:cs="仿宋"/>
                <w:color w:val="FF0000"/>
                <w:sz w:val="24"/>
                <w:highlight w:val="none"/>
                <w:lang w:eastAsia="zh-CN"/>
              </w:rPr>
              <w:t>，</w:t>
            </w:r>
            <w:r>
              <w:rPr>
                <w:rFonts w:hint="eastAsia" w:ascii="仿宋" w:hAnsi="仿宋" w:eastAsia="仿宋" w:cs="仿宋"/>
                <w:color w:val="FF0000"/>
                <w:sz w:val="24"/>
                <w:highlight w:val="none"/>
                <w:lang w:val="en-US" w:eastAsia="zh-CN"/>
              </w:rPr>
              <w:t>本项最高得5分。</w:t>
            </w:r>
          </w:p>
          <w:p>
            <w:pPr>
              <w:spacing w:line="360" w:lineRule="exact"/>
              <w:jc w:val="both"/>
              <w:rPr>
                <w:rFonts w:hint="eastAsia" w:ascii="仿宋" w:hAnsi="仿宋" w:eastAsia="仿宋" w:cs="仿宋"/>
                <w:sz w:val="24"/>
                <w:szCs w:val="20"/>
                <w:highlight w:val="none"/>
              </w:rPr>
            </w:pPr>
            <w:r>
              <w:rPr>
                <w:rFonts w:hint="eastAsia" w:ascii="仿宋" w:hAnsi="仿宋" w:eastAsia="仿宋" w:cs="仿宋"/>
                <w:b/>
                <w:bCs/>
                <w:sz w:val="24"/>
                <w:highlight w:val="none"/>
              </w:rPr>
              <w:t>（需提供投标单位自有车辆行驶证、车辆登记证、购车发票扫描件以及车辆实物照片，无行驶证的</w:t>
            </w:r>
            <w:r>
              <w:rPr>
                <w:rFonts w:hint="eastAsia" w:ascii="仿宋" w:hAnsi="仿宋" w:eastAsia="仿宋" w:cs="仿宋"/>
                <w:b/>
                <w:bCs/>
                <w:sz w:val="24"/>
                <w:highlight w:val="none"/>
                <w:lang w:eastAsia="zh-CN"/>
              </w:rPr>
              <w:t>车辆</w:t>
            </w:r>
            <w:r>
              <w:rPr>
                <w:rFonts w:hint="eastAsia" w:ascii="仿宋" w:hAnsi="仿宋" w:eastAsia="仿宋" w:cs="仿宋"/>
                <w:b/>
                <w:bCs/>
                <w:sz w:val="24"/>
                <w:highlight w:val="none"/>
              </w:rPr>
              <w:t>设备需提供发票扫描件和车辆实物照片</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lang w:val="en-US" w:eastAsia="zh-CN"/>
              </w:rPr>
              <w:t>以上车辆</w:t>
            </w:r>
            <w:r>
              <w:rPr>
                <w:rFonts w:hint="eastAsia" w:ascii="华文仿宋" w:hAnsi="华文仿宋" w:eastAsia="华文仿宋" w:cs="仿宋_GB2312"/>
                <w:b/>
                <w:sz w:val="24"/>
                <w:highlight w:val="none"/>
              </w:rPr>
              <w:t>仅用于本保洁项目的书面承诺书（格式自拟）</w:t>
            </w:r>
            <w:r>
              <w:rPr>
                <w:rFonts w:hint="eastAsia" w:ascii="仿宋" w:hAnsi="仿宋" w:eastAsia="仿宋" w:cs="仿宋"/>
                <w:b/>
                <w:bCs/>
                <w:sz w:val="24"/>
                <w:highlight w:val="none"/>
              </w:rPr>
              <w:t>不提供的，该项不得分。）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0"/>
                <w:highlight w:val="none"/>
                <w:lang w:val="en-US" w:eastAsia="zh-CN"/>
              </w:rPr>
            </w:pPr>
            <w:r>
              <w:rPr>
                <w:rFonts w:hint="default" w:ascii="仿宋" w:hAnsi="仿宋" w:eastAsia="仿宋" w:cs="仿宋"/>
                <w:sz w:val="24"/>
                <w:szCs w:val="20"/>
                <w:highlight w:val="none"/>
                <w:lang w:val="en-US" w:eastAsia="zh-CN"/>
              </w:rPr>
              <w:t>3</w:t>
            </w:r>
            <w:r>
              <w:rPr>
                <w:rFonts w:hint="eastAsia" w:ascii="仿宋" w:hAnsi="仿宋" w:eastAsia="仿宋" w:cs="仿宋"/>
                <w:sz w:val="24"/>
                <w:szCs w:val="20"/>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0"/>
                <w:highlight w:val="none"/>
                <w:lang w:val="en-US" w:eastAsia="zh-CN"/>
              </w:rPr>
            </w:pPr>
            <w:r>
              <w:rPr>
                <w:rFonts w:hint="eastAsia" w:ascii="仿宋" w:hAnsi="仿宋" w:eastAsia="仿宋" w:cs="仿宋"/>
                <w:sz w:val="24"/>
                <w:szCs w:val="20"/>
                <w:highlight w:val="none"/>
                <w:lang w:val="en-US" w:eastAsia="zh-CN"/>
              </w:rPr>
              <w:t>2</w:t>
            </w:r>
          </w:p>
        </w:tc>
        <w:tc>
          <w:tcPr>
            <w:tcW w:w="1065"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0"/>
                <w:highlight w:val="none"/>
                <w:lang w:val="en-US" w:eastAsia="zh-CN"/>
              </w:rPr>
            </w:pPr>
            <w:r>
              <w:rPr>
                <w:rFonts w:hint="eastAsia" w:ascii="仿宋" w:hAnsi="仿宋" w:eastAsia="仿宋" w:cs="仿宋"/>
                <w:sz w:val="24"/>
                <w:szCs w:val="20"/>
                <w:highlight w:val="none"/>
              </w:rPr>
              <w:t>项目实施方案</w:t>
            </w:r>
          </w:p>
        </w:tc>
        <w:tc>
          <w:tcPr>
            <w:tcW w:w="6808" w:type="dxa"/>
            <w:tcBorders>
              <w:top w:val="single" w:color="auto" w:sz="4" w:space="0"/>
              <w:left w:val="single" w:color="auto" w:sz="4" w:space="0"/>
              <w:right w:val="single" w:color="auto" w:sz="4" w:space="0"/>
            </w:tcBorders>
            <w:vAlign w:val="center"/>
          </w:tcPr>
          <w:p>
            <w:pPr>
              <w:numPr>
                <w:ilvl w:val="0"/>
                <w:numId w:val="2"/>
              </w:numPr>
              <w:spacing w:line="360" w:lineRule="exact"/>
              <w:jc w:val="both"/>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根据健全</w:t>
            </w:r>
            <w:r>
              <w:rPr>
                <w:rFonts w:hint="eastAsia" w:ascii="仿宋" w:hAnsi="仿宋" w:eastAsia="仿宋" w:cs="仿宋"/>
                <w:sz w:val="24"/>
                <w:highlight w:val="none"/>
              </w:rPr>
              <w:t>的管理组织</w:t>
            </w:r>
            <w:r>
              <w:rPr>
                <w:rFonts w:hint="eastAsia" w:ascii="仿宋" w:hAnsi="仿宋" w:eastAsia="仿宋" w:cs="仿宋"/>
                <w:sz w:val="24"/>
                <w:highlight w:val="none"/>
                <w:lang w:val="en-US" w:eastAsia="zh-CN"/>
              </w:rPr>
              <w:t>和制度方案；0-5分进行打分</w:t>
            </w:r>
          </w:p>
          <w:p>
            <w:pPr>
              <w:numPr>
                <w:ilvl w:val="0"/>
                <w:numId w:val="0"/>
              </w:numPr>
              <w:spacing w:line="360" w:lineRule="exact"/>
              <w:jc w:val="both"/>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进场作业机构</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0-5分进行打分</w:t>
            </w:r>
          </w:p>
          <w:p>
            <w:pPr>
              <w:numPr>
                <w:ilvl w:val="0"/>
                <w:numId w:val="0"/>
              </w:num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道路保洁作业方案</w:t>
            </w:r>
            <w:r>
              <w:rPr>
                <w:rFonts w:hint="eastAsia" w:ascii="仿宋" w:hAnsi="仿宋" w:eastAsia="仿宋" w:cs="仿宋"/>
                <w:sz w:val="24"/>
                <w:highlight w:val="none"/>
                <w:lang w:val="en-US" w:eastAsia="zh-CN"/>
              </w:rPr>
              <w:t>，0-5分进行打分</w:t>
            </w:r>
          </w:p>
          <w:p>
            <w:pPr>
              <w:numPr>
                <w:ilvl w:val="0"/>
                <w:numId w:val="0"/>
              </w:numPr>
              <w:spacing w:line="360" w:lineRule="exact"/>
              <w:jc w:val="both"/>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根据文明</w:t>
            </w:r>
            <w:r>
              <w:rPr>
                <w:rFonts w:hint="eastAsia" w:ascii="仿宋" w:hAnsi="仿宋" w:eastAsia="仿宋" w:cs="仿宋"/>
                <w:sz w:val="24"/>
                <w:highlight w:val="none"/>
              </w:rPr>
              <w:t>安全保证体系和安全保证措施</w:t>
            </w:r>
            <w:r>
              <w:rPr>
                <w:rFonts w:hint="eastAsia" w:ascii="仿宋" w:hAnsi="仿宋" w:eastAsia="仿宋" w:cs="仿宋"/>
                <w:sz w:val="24"/>
                <w:highlight w:val="none"/>
                <w:lang w:val="en-US" w:eastAsia="zh-CN"/>
              </w:rPr>
              <w:t>方案；0-5分进行打分</w:t>
            </w:r>
          </w:p>
          <w:p>
            <w:pPr>
              <w:numPr>
                <w:ilvl w:val="0"/>
                <w:numId w:val="0"/>
              </w:numPr>
              <w:spacing w:line="360" w:lineRule="exact"/>
              <w:jc w:val="both"/>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台账</w:t>
            </w:r>
            <w:r>
              <w:rPr>
                <w:rFonts w:hint="eastAsia" w:ascii="仿宋" w:hAnsi="仿宋" w:eastAsia="仿宋" w:cs="仿宋"/>
                <w:sz w:val="24"/>
                <w:highlight w:val="none"/>
              </w:rPr>
              <w:t>管理</w:t>
            </w:r>
            <w:r>
              <w:rPr>
                <w:rFonts w:hint="eastAsia" w:ascii="仿宋" w:hAnsi="仿宋" w:eastAsia="仿宋" w:cs="仿宋"/>
                <w:b/>
                <w:bCs/>
                <w:sz w:val="24"/>
                <w:highlight w:val="none"/>
              </w:rPr>
              <w:t>、</w:t>
            </w:r>
            <w:r>
              <w:rPr>
                <w:rFonts w:hint="eastAsia" w:ascii="仿宋" w:hAnsi="仿宋" w:eastAsia="仿宋" w:cs="仿宋"/>
                <w:sz w:val="24"/>
                <w:highlight w:val="none"/>
                <w:lang w:val="en-US" w:eastAsia="zh-CN"/>
              </w:rPr>
              <w:t>建立各项检查制度</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0-5分进行打分</w:t>
            </w:r>
          </w:p>
          <w:p>
            <w:pPr>
              <w:numPr>
                <w:ilvl w:val="0"/>
                <w:numId w:val="0"/>
              </w:numPr>
              <w:spacing w:line="360" w:lineRule="exact"/>
              <w:jc w:val="both"/>
              <w:rPr>
                <w:rFonts w:hint="eastAsia" w:ascii="仿宋" w:hAnsi="仿宋" w:eastAsia="仿宋" w:cs="仿宋"/>
                <w:highlight w:val="none"/>
                <w:lang w:eastAsia="zh-CN"/>
              </w:rPr>
            </w:pPr>
            <w:r>
              <w:rPr>
                <w:rFonts w:hint="eastAsia" w:ascii="仿宋" w:hAnsi="仿宋" w:eastAsia="仿宋" w:cs="仿宋"/>
                <w:sz w:val="24"/>
                <w:highlight w:val="none"/>
              </w:rPr>
              <w:t>6）财务管理制度</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0-5分进行打分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0"/>
                <w:highlight w:val="none"/>
                <w:lang w:val="en-US" w:eastAsia="zh-CN"/>
              </w:rPr>
            </w:pPr>
            <w:r>
              <w:rPr>
                <w:rFonts w:hint="eastAsia" w:ascii="仿宋" w:hAnsi="仿宋" w:eastAsia="仿宋" w:cs="仿宋"/>
                <w:sz w:val="24"/>
                <w:szCs w:val="20"/>
                <w:highlight w:val="none"/>
                <w:lang w:val="en-US" w:eastAsia="zh-CN"/>
              </w:rPr>
              <w:t>30</w:t>
            </w:r>
            <w:r>
              <w:rPr>
                <w:rFonts w:hint="eastAsia" w:ascii="仿宋" w:hAnsi="仿宋" w:eastAsia="仿宋" w:cs="仿宋"/>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3</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highlight w:val="none"/>
              </w:rPr>
            </w:pPr>
            <w:r>
              <w:rPr>
                <w:rFonts w:hint="eastAsia" w:ascii="仿宋" w:hAnsi="仿宋" w:eastAsia="仿宋" w:cs="仿宋"/>
                <w:sz w:val="24"/>
                <w:highlight w:val="none"/>
              </w:rPr>
              <w:t>应急</w:t>
            </w:r>
          </w:p>
          <w:p>
            <w:pPr>
              <w:spacing w:line="360" w:lineRule="exact"/>
              <w:jc w:val="center"/>
              <w:rPr>
                <w:rFonts w:hint="eastAsia" w:ascii="仿宋" w:hAnsi="仿宋" w:eastAsia="仿宋" w:cs="仿宋"/>
                <w:sz w:val="24"/>
                <w:highlight w:val="none"/>
              </w:rPr>
            </w:pPr>
            <w:r>
              <w:rPr>
                <w:rFonts w:hint="eastAsia" w:ascii="仿宋" w:hAnsi="仿宋" w:eastAsia="仿宋" w:cs="仿宋"/>
                <w:sz w:val="24"/>
                <w:highlight w:val="none"/>
              </w:rPr>
              <w:t>预案</w:t>
            </w:r>
          </w:p>
        </w:tc>
        <w:tc>
          <w:tcPr>
            <w:tcW w:w="6808"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rPr>
              <w:t>对突发事故、自然灾害的处理及配合重大活动的应急预案；0-</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分，进行打分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0"/>
                <w:highlight w:val="none"/>
              </w:rPr>
            </w:pPr>
            <w:r>
              <w:rPr>
                <w:rFonts w:hint="eastAsia" w:ascii="仿宋" w:hAnsi="仿宋" w:eastAsia="仿宋" w:cs="仿宋"/>
                <w:sz w:val="24"/>
                <w:szCs w:val="20"/>
                <w:highlight w:val="none"/>
                <w:lang w:val="en-US" w:eastAsia="zh-CN"/>
              </w:rPr>
              <w:t>3</w:t>
            </w:r>
            <w:r>
              <w:rPr>
                <w:rFonts w:hint="eastAsia" w:ascii="仿宋" w:hAnsi="仿宋" w:eastAsia="仿宋" w:cs="仿宋"/>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highlight w:val="none"/>
              </w:rPr>
            </w:pPr>
            <w:r>
              <w:rPr>
                <w:rFonts w:hint="eastAsia" w:ascii="仿宋" w:hAnsi="仿宋" w:eastAsia="仿宋" w:cs="仿宋"/>
                <w:sz w:val="24"/>
                <w:highlight w:val="none"/>
              </w:rPr>
              <w:t>合理化建议</w:t>
            </w:r>
          </w:p>
        </w:tc>
        <w:tc>
          <w:tcPr>
            <w:tcW w:w="6808"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sz w:val="24"/>
                <w:highlight w:val="none"/>
              </w:rPr>
            </w:pPr>
            <w:r>
              <w:rPr>
                <w:rFonts w:hint="eastAsia" w:ascii="仿宋" w:hAnsi="仿宋" w:eastAsia="仿宋" w:cs="仿宋"/>
                <w:sz w:val="24"/>
                <w:highlight w:val="none"/>
              </w:rPr>
              <w:t>合理化建议：针对本项目提出合理化、优化建议。</w:t>
            </w:r>
            <w:r>
              <w:rPr>
                <w:rFonts w:hint="eastAsia" w:ascii="仿宋" w:hAnsi="仿宋" w:eastAsia="仿宋" w:cs="仿宋"/>
                <w:sz w:val="24"/>
                <w:highlight w:val="none"/>
                <w:lang w:val="en-US" w:eastAsia="zh-CN"/>
              </w:rPr>
              <w:t>0-2分</w:t>
            </w:r>
            <w:r>
              <w:rPr>
                <w:rFonts w:hint="eastAsia" w:ascii="仿宋" w:hAnsi="仿宋" w:eastAsia="仿宋" w:cs="仿宋"/>
                <w:sz w:val="24"/>
                <w:highlight w:val="none"/>
              </w:rPr>
              <w:t>进行打分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2"/>
                <w:sz w:val="24"/>
                <w:szCs w:val="20"/>
                <w:highlight w:val="none"/>
                <w:lang w:val="en-US" w:eastAsia="zh-CN" w:bidi="ar-SA"/>
              </w:rPr>
            </w:pPr>
            <w:r>
              <w:rPr>
                <w:rFonts w:hint="eastAsia" w:ascii="仿宋" w:hAnsi="仿宋" w:eastAsia="仿宋" w:cs="仿宋"/>
                <w:sz w:val="24"/>
                <w:szCs w:val="20"/>
                <w:highlight w:val="none"/>
                <w:lang w:val="en-US" w:eastAsia="zh-CN"/>
              </w:rPr>
              <w:t>2</w:t>
            </w:r>
            <w:r>
              <w:rPr>
                <w:rFonts w:hint="eastAsia" w:ascii="仿宋" w:hAnsi="仿宋" w:eastAsia="仿宋" w:cs="仿宋"/>
                <w:sz w:val="24"/>
                <w:szCs w:val="20"/>
                <w:highlight w:val="none"/>
              </w:rPr>
              <w:t>分</w:t>
            </w:r>
          </w:p>
        </w:tc>
      </w:tr>
    </w:tbl>
    <w:p>
      <w:pPr>
        <w:pStyle w:val="963"/>
        <w:snapToGrid w:val="0"/>
        <w:ind w:left="480" w:firstLine="0" w:firstLineChars="0"/>
        <w:rPr>
          <w:rFonts w:hint="eastAsia" w:ascii="仿宋" w:hAnsi="仿宋" w:eastAsia="仿宋" w:cs="仿宋"/>
          <w:b/>
          <w:color w:val="000000"/>
          <w:highlight w:val="none"/>
          <w:lang w:val="en-US" w:eastAsia="zh-CN"/>
        </w:rPr>
      </w:pPr>
    </w:p>
    <w:p>
      <w:pPr>
        <w:pStyle w:val="963"/>
        <w:snapToGrid w:val="0"/>
        <w:ind w:left="480" w:firstLine="0" w:firstLineChars="0"/>
        <w:rPr>
          <w:rFonts w:hint="eastAsia" w:ascii="仿宋" w:hAnsi="仿宋" w:eastAsia="仿宋" w:cs="仿宋"/>
          <w:b/>
          <w:color w:val="000000"/>
          <w:highlight w:val="none"/>
          <w:lang w:val="en-US" w:eastAsia="zh-CN"/>
        </w:rPr>
      </w:pPr>
      <w:r>
        <w:rPr>
          <w:rFonts w:hint="eastAsia" w:ascii="仿宋" w:hAnsi="仿宋" w:eastAsia="仿宋" w:cs="仿宋"/>
          <w:b/>
          <w:color w:val="000000"/>
          <w:highlight w:val="none"/>
          <w:lang w:val="en-US" w:eastAsia="zh-CN"/>
        </w:rPr>
        <w:t>3、价格部分</w:t>
      </w:r>
    </w:p>
    <w:tbl>
      <w:tblPr>
        <w:tblStyle w:val="65"/>
        <w:tblpPr w:leftFromText="180" w:rightFromText="180" w:vertAnchor="text" w:horzAnchor="page" w:tblpX="1288" w:tblpY="126"/>
        <w:tblW w:w="51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926"/>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358" w:type="pct"/>
            <w:vAlign w:val="center"/>
          </w:tcPr>
          <w:p>
            <w:pPr>
              <w:spacing w:line="360" w:lineRule="auto"/>
              <w:ind w:firstLine="240" w:firstLineChars="100"/>
              <w:outlineLvl w:val="0"/>
              <w:rPr>
                <w:rFonts w:hint="eastAsia" w:ascii="仿宋" w:hAnsi="仿宋" w:eastAsia="仿宋" w:cs="仿宋"/>
                <w:sz w:val="24"/>
                <w:highlight w:val="none"/>
              </w:rPr>
            </w:pPr>
            <w:r>
              <w:rPr>
                <w:rFonts w:hint="eastAsia" w:ascii="仿宋" w:hAnsi="仿宋" w:eastAsia="仿宋" w:cs="仿宋"/>
                <w:sz w:val="24"/>
                <w:highlight w:val="none"/>
                <w:lang w:val="en-US" w:eastAsia="zh-CN"/>
              </w:rPr>
              <w:t>1</w:t>
            </w:r>
            <w:r>
              <w:rPr>
                <w:rFonts w:hint="eastAsia" w:ascii="仿宋" w:hAnsi="仿宋" w:eastAsia="仿宋" w:cs="仿宋"/>
                <w:sz w:val="24"/>
                <w:highlight w:val="none"/>
              </w:rPr>
              <w:t xml:space="preserve"> </w:t>
            </w:r>
          </w:p>
        </w:tc>
        <w:tc>
          <w:tcPr>
            <w:tcW w:w="4154" w:type="pct"/>
          </w:tcPr>
          <w:p>
            <w:pPr>
              <w:spacing w:line="360" w:lineRule="auto"/>
              <w:outlineLvl w:val="0"/>
              <w:rPr>
                <w:rFonts w:hint="eastAsia" w:ascii="仿宋" w:hAnsi="仿宋" w:eastAsia="仿宋" w:cs="仿宋"/>
                <w:sz w:val="24"/>
                <w:highlight w:val="none"/>
              </w:rPr>
            </w:pPr>
            <w:r>
              <w:rPr>
                <w:rFonts w:hint="eastAsia" w:ascii="仿宋" w:hAnsi="仿宋" w:eastAsia="仿宋" w:cs="仿宋"/>
                <w:sz w:val="24"/>
                <w:highlight w:val="none"/>
              </w:rPr>
              <w:t>有效投标报价的最低价作为评标基准价，其最低报价为满分；按［投标报价得分=（评标基准价/投标报价）*</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］的计算公式计算。</w:t>
            </w:r>
          </w:p>
          <w:p>
            <w:pPr>
              <w:widowControl/>
              <w:shd w:val="clear" w:color="auto" w:fill="FFFFFF"/>
              <w:adjustRightInd/>
              <w:spacing w:after="225" w:line="315" w:lineRule="atLeast"/>
              <w:ind w:firstLine="420"/>
              <w:jc w:val="left"/>
              <w:rPr>
                <w:rFonts w:hint="eastAsia" w:ascii="仿宋" w:hAnsi="仿宋" w:eastAsia="仿宋" w:cs="仿宋"/>
                <w:sz w:val="24"/>
                <w:highlight w:val="none"/>
              </w:rPr>
            </w:pPr>
            <w:r>
              <w:rPr>
                <w:rFonts w:hint="eastAsia" w:ascii="仿宋" w:hAnsi="仿宋" w:eastAsia="仿宋" w:cs="仿宋"/>
                <w:sz w:val="24"/>
                <w:highlight w:val="none"/>
              </w:rPr>
              <w:t>评标过程中，不得去掉报价中的最高报价和最低报价。</w:t>
            </w:r>
          </w:p>
          <w:p>
            <w:pPr>
              <w:spacing w:line="360" w:lineRule="auto"/>
              <w:ind w:firstLine="120" w:firstLineChars="50"/>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rPr>
              <w:t>因落实政府采购政策需要进行价格调整的，以调整后的价格计算评标基准价和投标报价。</w:t>
            </w:r>
          </w:p>
        </w:tc>
        <w:tc>
          <w:tcPr>
            <w:tcW w:w="487" w:type="pct"/>
            <w:vAlign w:val="center"/>
          </w:tcPr>
          <w:p>
            <w:pPr>
              <w:spacing w:line="360" w:lineRule="auto"/>
              <w:jc w:val="center"/>
              <w:outlineLvl w:val="0"/>
              <w:rPr>
                <w:rFonts w:hint="default" w:ascii="仿宋" w:hAnsi="仿宋" w:eastAsia="仿宋" w:cs="仿宋"/>
                <w:sz w:val="24"/>
                <w:highlight w:val="none"/>
                <w:lang w:val="en-US"/>
              </w:rPr>
            </w:pPr>
            <w:r>
              <w:rPr>
                <w:rFonts w:hint="eastAsia" w:ascii="仿宋" w:hAnsi="仿宋" w:eastAsia="仿宋" w:cs="仿宋"/>
                <w:sz w:val="24"/>
                <w:highlight w:val="none"/>
                <w:lang w:val="en-US" w:eastAsia="zh-CN"/>
              </w:rPr>
              <w:t>10分</w:t>
            </w:r>
          </w:p>
        </w:tc>
      </w:tr>
    </w:tbl>
    <w:p>
      <w:pPr>
        <w:snapToGrid w:val="0"/>
        <w:spacing w:line="360" w:lineRule="auto"/>
        <w:rPr>
          <w:rFonts w:ascii="仿宋" w:hAnsi="仿宋" w:eastAsia="仿宋" w:cs="仿宋_GB2312"/>
          <w:b/>
          <w:sz w:val="24"/>
          <w:highlight w:val="none"/>
        </w:rPr>
      </w:pPr>
      <w:r>
        <w:rPr>
          <w:rFonts w:ascii="Arial" w:hAnsi="Arial" w:cs="Arial"/>
          <w:sz w:val="20"/>
          <w:szCs w:val="20"/>
          <w:highlight w:val="none"/>
          <w:shd w:val="clear" w:color="auto" w:fill="FFFFFF"/>
        </w:rPr>
        <w:t> *</w:t>
      </w:r>
      <w:r>
        <w:rPr>
          <w:rFonts w:hint="eastAsia" w:ascii="仿宋" w:hAnsi="仿宋" w:eastAsia="仿宋" w:cs="仿宋_GB2312"/>
          <w:b/>
          <w:sz w:val="24"/>
          <w:highlight w:val="none"/>
        </w:rPr>
        <w:t>备注：</w:t>
      </w:r>
      <w:r>
        <w:rPr>
          <w:rFonts w:hint="eastAsia" w:ascii="仿宋" w:hAnsi="仿宋" w:eastAsia="仿宋" w:cs="仿宋_GB2312"/>
          <w:sz w:val="24"/>
          <w:highlight w:val="none"/>
        </w:rPr>
        <w:t>投标人编制投标文件（商务技术文件部分）时，建议按此目录（序号和内容）提供评标标准相应的商务技术资料。</w:t>
      </w:r>
      <w:r>
        <w:rPr>
          <w:rFonts w:ascii="仿宋" w:hAnsi="仿宋" w:eastAsia="仿宋" w:cs="仿宋_GB2312"/>
          <w:sz w:val="24"/>
          <w:highlight w:val="none"/>
        </w:rPr>
        <w:t> </w:t>
      </w:r>
    </w:p>
    <w:p>
      <w:pPr>
        <w:snapToGrid w:val="0"/>
        <w:spacing w:line="360" w:lineRule="auto"/>
        <w:rPr>
          <w:rFonts w:ascii="仿宋_GB2312" w:hAnsi="仿宋" w:eastAsia="仿宋_GB2312"/>
          <w:b/>
          <w:sz w:val="28"/>
          <w:szCs w:val="28"/>
          <w:highlight w:val="none"/>
        </w:rPr>
      </w:pPr>
      <w:r>
        <w:rPr>
          <w:rFonts w:hint="eastAsia" w:ascii="仿宋_GB2312" w:hAnsi="仿宋" w:eastAsia="仿宋_GB2312" w:cs="仿宋_GB2312"/>
          <w:b/>
          <w:sz w:val="32"/>
          <w:highlight w:val="none"/>
        </w:rPr>
        <w:t>一、评标方法</w:t>
      </w:r>
    </w:p>
    <w:p>
      <w:pPr>
        <w:adjustRightInd/>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1.</w:t>
      </w:r>
      <w:r>
        <w:rPr>
          <w:rFonts w:hint="eastAsia" w:ascii="仿宋_GB2312" w:hAnsi="仿宋" w:eastAsia="仿宋_GB2312" w:cs="Arial"/>
          <w:b/>
          <w:kern w:val="0"/>
          <w:sz w:val="24"/>
          <w:highlight w:val="none"/>
        </w:rPr>
        <w:t>本项目采用综合评分法。</w:t>
      </w:r>
      <w:r>
        <w:rPr>
          <w:rFonts w:hint="eastAsia" w:ascii="仿宋_GB2312" w:hAnsi="仿宋" w:eastAsia="仿宋_GB2312" w:cs="Arial"/>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highlight w:val="none"/>
        </w:rPr>
      </w:pPr>
      <w:r>
        <w:rPr>
          <w:rFonts w:hint="eastAsia" w:ascii="仿宋_GB2312" w:hAnsi="仿宋" w:eastAsia="仿宋_GB2312" w:cs="仿宋_GB2312"/>
          <w:b/>
          <w:sz w:val="32"/>
          <w:highlight w:val="none"/>
        </w:rPr>
        <w:t>二、评标标准</w:t>
      </w:r>
    </w:p>
    <w:p>
      <w:pPr>
        <w:spacing w:line="360" w:lineRule="auto"/>
        <w:ind w:firstLine="472" w:firstLineChars="196"/>
        <w:rPr>
          <w:rFonts w:ascii="仿宋_GB2312" w:hAnsi="仿宋_GB2312" w:eastAsia="仿宋_GB2312" w:cs="仿宋_GB2312"/>
          <w:b/>
          <w:sz w:val="24"/>
          <w:highlight w:val="none"/>
        </w:rPr>
      </w:pPr>
      <w:r>
        <w:rPr>
          <w:rFonts w:ascii="仿宋_GB2312" w:hAnsi="仿宋_GB2312" w:eastAsia="仿宋_GB2312" w:cs="仿宋_GB2312"/>
          <w:b/>
          <w:sz w:val="24"/>
          <w:highlight w:val="none"/>
        </w:rPr>
        <w:t>2.</w:t>
      </w:r>
      <w:r>
        <w:rPr>
          <w:highlight w:val="none"/>
        </w:rPr>
        <w:t xml:space="preserve"> </w:t>
      </w:r>
      <w:r>
        <w:rPr>
          <w:rFonts w:hint="eastAsia" w:ascii="仿宋_GB2312" w:hAnsi="仿宋_GB2312" w:eastAsia="仿宋_GB2312" w:cs="仿宋_GB2312"/>
          <w:b/>
          <w:sz w:val="24"/>
          <w:highlight w:val="none"/>
        </w:rPr>
        <w:t>评标标准：</w:t>
      </w:r>
      <w:r>
        <w:rPr>
          <w:rFonts w:hint="eastAsia" w:ascii="仿宋_GB2312" w:hAnsi="仿宋" w:eastAsia="仿宋_GB2312" w:cs="Arial"/>
          <w:kern w:val="0"/>
          <w:sz w:val="24"/>
          <w:highlight w:val="none"/>
        </w:rPr>
        <w:t>见评标办法前附表。</w:t>
      </w:r>
    </w:p>
    <w:p>
      <w:pPr>
        <w:spacing w:line="360" w:lineRule="auto"/>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三、评标程序</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3.1符合性审查。</w:t>
      </w:r>
      <w:r>
        <w:rPr>
          <w:rFonts w:ascii="仿宋_GB2312" w:hAnsi="仿宋" w:eastAsia="仿宋_GB2312" w:cs="Arial"/>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kern w:val="0"/>
          <w:sz w:val="24"/>
          <w:highlight w:val="none"/>
        </w:rPr>
        <w:t>不</w:t>
      </w:r>
      <w:r>
        <w:rPr>
          <w:rFonts w:ascii="仿宋_GB2312" w:hAnsi="仿宋" w:eastAsia="仿宋_GB2312" w:cs="Arial"/>
          <w:kern w:val="0"/>
          <w:sz w:val="24"/>
          <w:highlight w:val="none"/>
        </w:rPr>
        <w:t>满足招标文件的实质性要求</w:t>
      </w:r>
      <w:r>
        <w:rPr>
          <w:rFonts w:hint="eastAsia" w:ascii="仿宋_GB2312" w:hAnsi="仿宋" w:eastAsia="仿宋_GB2312" w:cs="Arial"/>
          <w:kern w:val="0"/>
          <w:sz w:val="24"/>
          <w:highlight w:val="none"/>
        </w:rPr>
        <w:t>的，投标无效。</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 xml:space="preserve">3.2 </w:t>
      </w:r>
      <w:r>
        <w:rPr>
          <w:rFonts w:hint="eastAsia" w:ascii="仿宋_GB2312" w:hAnsi="仿宋" w:eastAsia="仿宋_GB2312" w:cs="Arial"/>
          <w:b/>
          <w:kern w:val="0"/>
          <w:sz w:val="24"/>
          <w:highlight w:val="none"/>
        </w:rPr>
        <w:t>比较与评价。</w:t>
      </w:r>
      <w:r>
        <w:rPr>
          <w:rFonts w:ascii="仿宋_GB2312" w:hAnsi="仿宋" w:eastAsia="仿宋_GB2312" w:cs="Arial"/>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3.3汇总商务技术得分。</w:t>
      </w:r>
      <w:r>
        <w:rPr>
          <w:rFonts w:hint="eastAsia" w:ascii="仿宋_GB2312" w:hAnsi="仿宋" w:eastAsia="仿宋_GB2312" w:cs="Arial"/>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highlight w:val="none"/>
        </w:rPr>
      </w:pPr>
      <w:r>
        <w:rPr>
          <w:rFonts w:ascii="仿宋_GB2312" w:hAnsi="仿宋" w:eastAsia="仿宋_GB2312" w:cs="Arial"/>
          <w:b/>
          <w:kern w:val="0"/>
          <w:sz w:val="24"/>
          <w:highlight w:val="none"/>
        </w:rPr>
        <w:t>3.4报价评审。</w:t>
      </w:r>
    </w:p>
    <w:p>
      <w:pPr>
        <w:pStyle w:val="132"/>
        <w:spacing w:before="0"/>
        <w:ind w:firstLine="508" w:firstLineChars="212"/>
        <w:rPr>
          <w:rFonts w:ascii="仿宋_GB2312" w:hAnsi="仿宋" w:eastAsia="仿宋_GB2312" w:cs="Arial"/>
          <w:kern w:val="0"/>
          <w:highlight w:val="none"/>
        </w:rPr>
      </w:pPr>
      <w:r>
        <w:rPr>
          <w:rFonts w:ascii="仿宋_GB2312" w:hAnsi="仿宋" w:eastAsia="仿宋_GB2312" w:cs="Arial"/>
          <w:kern w:val="0"/>
          <w:highlight w:val="none"/>
        </w:rPr>
        <w:t>3.4.1投标文件报价出现前后不一致的，按照下列规定修正：</w:t>
      </w:r>
    </w:p>
    <w:p>
      <w:pPr>
        <w:pStyle w:val="132"/>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3.4.1.1投标文件中开标一览表(报价表)内容与投标文件中相应内容不一致的，以开标一览表(报价表)为准;</w:t>
      </w:r>
    </w:p>
    <w:p>
      <w:pPr>
        <w:pStyle w:val="132"/>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3.4.1.2大写金额和小写金额不一致的，以大写金额为准;</w:t>
      </w:r>
    </w:p>
    <w:p>
      <w:pPr>
        <w:pStyle w:val="132"/>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3.4.1.3单价金额小数点或者百分比有明显错位的，以开标一览表的总价为准，并修改单价;</w:t>
      </w:r>
    </w:p>
    <w:p>
      <w:pPr>
        <w:pStyle w:val="132"/>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3.4.1.4总价金额与按单价汇总金额不一致的，以单价金额计算结果为准。</w:t>
      </w:r>
    </w:p>
    <w:p>
      <w:pPr>
        <w:pStyle w:val="132"/>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3.4.1.5同时出现两种以上不一致的，按照3.4.1</w:t>
      </w:r>
      <w:r>
        <w:rPr>
          <w:rFonts w:hint="eastAsia" w:ascii="仿宋" w:hAnsi="仿宋" w:eastAsia="仿宋" w:cs="仿宋"/>
          <w:kern w:val="0"/>
          <w:szCs w:val="24"/>
          <w:highlight w:val="none"/>
        </w:rPr>
        <w:t>规定的顺序修正。修正后的报价按照财政部第</w:t>
      </w:r>
      <w:r>
        <w:rPr>
          <w:rFonts w:ascii="仿宋" w:hAnsi="仿宋" w:eastAsia="仿宋" w:cs="仿宋"/>
          <w:kern w:val="0"/>
          <w:szCs w:val="24"/>
          <w:highlight w:val="none"/>
        </w:rPr>
        <w:t xml:space="preserve">87号令 </w:t>
      </w:r>
      <w:r>
        <w:rPr>
          <w:rFonts w:hint="eastAsia" w:ascii="仿宋" w:hAnsi="仿宋" w:eastAsia="仿宋" w:cs="仿宋"/>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3.4.2</w:t>
      </w:r>
      <w:r>
        <w:rPr>
          <w:rFonts w:hint="eastAsia" w:ascii="仿宋" w:hAnsi="仿宋" w:eastAsia="仿宋" w:cs="仿宋"/>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3.4.3</w:t>
      </w:r>
      <w:r>
        <w:rPr>
          <w:rFonts w:hint="eastAsia" w:ascii="仿宋" w:hAnsi="仿宋" w:eastAsia="仿宋" w:cs="仿宋"/>
          <w:kern w:val="0"/>
          <w:sz w:val="24"/>
          <w:highlight w:val="none"/>
        </w:rPr>
        <w:t>投标报价超过招标文件中规定的预算金额或者最高限价的，投标无效。</w:t>
      </w:r>
    </w:p>
    <w:p>
      <w:pPr>
        <w:pStyle w:val="132"/>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3.4.4</w:t>
      </w:r>
      <w:r>
        <w:rPr>
          <w:rFonts w:hint="eastAsia" w:ascii="仿宋" w:hAnsi="仿宋" w:eastAsia="仿宋" w:cs="仿宋"/>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highlight w:val="none"/>
        </w:rPr>
        <w:t>;投标人不能证明其报价合理性的，评标委员会应当将其作为无效投标处理。</w:t>
      </w:r>
    </w:p>
    <w:p>
      <w:pPr>
        <w:pStyle w:val="132"/>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3.4.5</w:t>
      </w:r>
      <w:r>
        <w:rPr>
          <w:rFonts w:hint="eastAsia" w:ascii="仿宋" w:hAnsi="仿宋" w:eastAsia="仿宋" w:cs="仿宋"/>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highlight w:val="none"/>
        </w:rPr>
        <w:t>10%的扣除，用扣除后的价格参与评审。接受大中型企业与小</w:t>
      </w:r>
      <w:r>
        <w:rPr>
          <w:rFonts w:hint="eastAsia" w:ascii="仿宋" w:hAnsi="仿宋" w:eastAsia="仿宋" w:cs="仿宋"/>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highlight w:val="none"/>
        </w:rPr>
      </w:pPr>
      <w:r>
        <w:rPr>
          <w:rFonts w:ascii="仿宋_GB2312" w:hAnsi="仿宋" w:eastAsia="仿宋_GB2312" w:cs="Arial"/>
          <w:b/>
          <w:kern w:val="0"/>
          <w:sz w:val="24"/>
          <w:highlight w:val="none"/>
        </w:rPr>
        <w:t>3.5</w:t>
      </w:r>
      <w:r>
        <w:rPr>
          <w:rFonts w:hint="eastAsia" w:ascii="仿宋_GB2312" w:hAnsi="仿宋" w:eastAsia="仿宋_GB2312" w:cs="Arial"/>
          <w:b/>
          <w:kern w:val="0"/>
          <w:sz w:val="24"/>
          <w:highlight w:val="none"/>
        </w:rPr>
        <w:t>排序与推荐。</w:t>
      </w:r>
      <w:r>
        <w:rPr>
          <w:rFonts w:ascii="仿宋_GB2312" w:hAnsi="仿宋" w:eastAsia="仿宋_GB2312" w:cs="Arial"/>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highlight w:val="none"/>
        </w:rPr>
        <w:t>。</w:t>
      </w:r>
    </w:p>
    <w:p>
      <w:pPr>
        <w:spacing w:line="360" w:lineRule="auto"/>
        <w:rPr>
          <w:rFonts w:ascii="仿宋_GB2312" w:hAnsi="仿宋" w:eastAsia="仿宋_GB2312" w:cs="Arial"/>
          <w:b/>
          <w:kern w:val="0"/>
          <w:sz w:val="24"/>
          <w:highlight w:val="none"/>
        </w:rPr>
      </w:pPr>
      <w:r>
        <w:rPr>
          <w:rFonts w:hint="eastAsia" w:ascii="仿宋_GB2312" w:hAnsi="仿宋" w:eastAsia="仿宋_GB2312" w:cs="Arial"/>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3.6编写评标报告。</w:t>
      </w:r>
      <w:r>
        <w:rPr>
          <w:rFonts w:ascii="仿宋_GB2312" w:hAnsi="仿宋" w:eastAsia="仿宋_GB2312" w:cs="Arial"/>
          <w:kern w:val="0"/>
          <w:sz w:val="24"/>
          <w:highlight w:val="none"/>
        </w:rPr>
        <w:t>评标委员会根据全体评标成员签字的原始评标记录和评标结果编写评标报告。</w:t>
      </w:r>
      <w:r>
        <w:rPr>
          <w:rFonts w:hint="eastAsia" w:ascii="仿宋_GB2312" w:hAnsi="仿宋" w:eastAsia="仿宋_GB2312" w:cs="Arial"/>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highlight w:val="none"/>
        </w:rPr>
      </w:pPr>
      <w:r>
        <w:rPr>
          <w:rFonts w:hint="eastAsia" w:ascii="仿宋_GB2312" w:hAnsi="仿宋" w:eastAsia="仿宋_GB2312" w:cs="仿宋_GB2312"/>
          <w:b/>
          <w:sz w:val="32"/>
          <w:highlight w:val="none"/>
        </w:rPr>
        <w:t>四、评标中的其他事项</w:t>
      </w:r>
    </w:p>
    <w:p>
      <w:pPr>
        <w:pStyle w:val="132"/>
        <w:spacing w:before="0"/>
        <w:ind w:firstLine="472" w:firstLineChars="196"/>
        <w:rPr>
          <w:rFonts w:ascii="仿宋_GB2312" w:hAnsi="仿宋" w:eastAsia="仿宋_GB2312" w:cs="Arial"/>
          <w:kern w:val="0"/>
          <w:szCs w:val="24"/>
          <w:highlight w:val="none"/>
        </w:rPr>
      </w:pPr>
      <w:r>
        <w:rPr>
          <w:rFonts w:ascii="仿宋_GB2312" w:hAnsi="仿宋" w:eastAsia="仿宋_GB2312" w:cs="Arial"/>
          <w:b/>
          <w:kern w:val="0"/>
          <w:szCs w:val="24"/>
          <w:highlight w:val="none"/>
        </w:rPr>
        <w:t>4.1</w:t>
      </w:r>
      <w:r>
        <w:rPr>
          <w:rFonts w:hint="eastAsia" w:ascii="仿宋_GB2312" w:hAnsi="仿宋" w:eastAsia="仿宋_GB2312" w:cs="Arial"/>
          <w:b/>
          <w:kern w:val="0"/>
          <w:szCs w:val="24"/>
          <w:highlight w:val="none"/>
        </w:rPr>
        <w:t>投标人澄清、说明或者补正。</w:t>
      </w:r>
      <w:r>
        <w:rPr>
          <w:rFonts w:hint="eastAsia" w:ascii="仿宋_GB2312" w:hAnsi="仿宋" w:eastAsia="仿宋_GB2312" w:cs="Arial"/>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8"/>
        <w:spacing w:line="360" w:lineRule="auto"/>
        <w:ind w:left="954" w:leftChars="226" w:hanging="479" w:firstLineChars="0"/>
        <w:rPr>
          <w:rFonts w:ascii="仿宋_GB2312" w:hAnsi="仿宋" w:eastAsia="仿宋_GB2312" w:cs="仿宋_GB2312"/>
          <w:szCs w:val="21"/>
          <w:highlight w:val="none"/>
        </w:rPr>
      </w:pPr>
      <w:r>
        <w:rPr>
          <w:rFonts w:ascii="仿宋_GB2312" w:hAnsi="仿宋" w:eastAsia="仿宋_GB2312" w:cs="Arial"/>
          <w:b/>
          <w:kern w:val="0"/>
          <w:highlight w:val="none"/>
        </w:rPr>
        <w:t>4.2投标无效。</w:t>
      </w:r>
      <w:r>
        <w:rPr>
          <w:rFonts w:hint="eastAsia" w:ascii="仿宋_GB2312" w:hAnsi="仿宋" w:eastAsia="仿宋_GB2312" w:cs="仿宋_GB2312"/>
          <w:szCs w:val="21"/>
          <w:highlight w:val="none"/>
        </w:rPr>
        <w:t>有下列情况之一的，投标无效：</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4.2.2投标文件未按照招标文件要求签署、盖章的；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highlight w:val="none"/>
        </w:rPr>
        <w:t>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4.2.4投标文件含有采购人不能接受的附加条件的；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 xml:space="preserve"> </w:t>
      </w:r>
      <w:r>
        <w:rPr>
          <w:rFonts w:ascii="仿宋_GB2312" w:hAnsi="仿宋" w:eastAsia="仿宋_GB2312" w:cs="Arial"/>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4.2.10投标人提供虚假材料投标的；</w:t>
      </w:r>
    </w:p>
    <w:p>
      <w:pPr>
        <w:spacing w:line="360" w:lineRule="auto"/>
        <w:ind w:firstLine="240" w:firstLineChars="100"/>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4.2.12投标人仅提交备份投标文件，没有在电子交易平台传输递交投标文件的，投标无效；</w:t>
      </w:r>
    </w:p>
    <w:p>
      <w:pPr>
        <w:pStyle w:val="5"/>
        <w:ind w:left="862" w:leftChars="205"/>
        <w:rPr>
          <w:rFonts w:cs="Arial"/>
          <w:b w:val="0"/>
          <w:bCs w:val="0"/>
          <w:kern w:val="0"/>
          <w:sz w:val="24"/>
          <w:szCs w:val="24"/>
          <w:highlight w:val="none"/>
          <w:lang w:val="en-US"/>
        </w:rPr>
      </w:pPr>
      <w:r>
        <w:rPr>
          <w:rFonts w:cs="Arial"/>
          <w:b w:val="0"/>
          <w:bCs w:val="0"/>
          <w:kern w:val="0"/>
          <w:sz w:val="24"/>
          <w:szCs w:val="24"/>
          <w:highlight w:val="none"/>
          <w:lang w:val="en-US"/>
        </w:rPr>
        <w:t xml:space="preserve">4.2.13 </w:t>
      </w:r>
      <w:r>
        <w:rPr>
          <w:rFonts w:hint="eastAsia" w:cs="Arial"/>
          <w:b w:val="0"/>
          <w:bCs w:val="0"/>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4.2.14法律、法规、规章（适用本市的）及省级以上规范性文件（适用本市的）规定的其他无效情形。</w:t>
      </w:r>
    </w:p>
    <w:p>
      <w:pPr>
        <w:pStyle w:val="28"/>
        <w:snapToGrid w:val="0"/>
        <w:spacing w:line="360" w:lineRule="auto"/>
        <w:ind w:firstLine="472" w:firstLineChars="196"/>
        <w:rPr>
          <w:rFonts w:ascii="仿宋_GB2312" w:hAnsi="仿宋" w:eastAsia="仿宋_GB2312" w:cs="仿宋_GB2312"/>
          <w:highlight w:val="none"/>
        </w:rPr>
      </w:pPr>
      <w:r>
        <w:rPr>
          <w:rFonts w:ascii="仿宋_GB2312" w:hAnsi="仿宋" w:eastAsia="仿宋_GB2312" w:cs="仿宋_GB2312"/>
          <w:b/>
          <w:highlight w:val="none"/>
        </w:rPr>
        <w:t>5.废标。</w:t>
      </w:r>
      <w:r>
        <w:rPr>
          <w:rFonts w:hint="eastAsia" w:ascii="仿宋_GB2312" w:hAnsi="仿宋" w:eastAsia="仿宋_GB2312" w:cs="仿宋_GB2312"/>
          <w:highlight w:val="none"/>
        </w:rPr>
        <w:t>根据《中华人民共和国政府采购法》第三十六条之规定，在采购中，出现下列情形之一的，应予废标：</w:t>
      </w:r>
    </w:p>
    <w:p>
      <w:pPr>
        <w:pStyle w:val="2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5.1符合专业条件的供应商或者对招标文件作实质响应的供应商不足3家的；</w:t>
      </w:r>
    </w:p>
    <w:p>
      <w:pPr>
        <w:pStyle w:val="2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5.2出现影响采购公正的违法、违规行为的；</w:t>
      </w:r>
    </w:p>
    <w:p>
      <w:pPr>
        <w:pStyle w:val="2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5.3投标人的报价均超过了采购预算，采购人不能支付的；</w:t>
      </w:r>
    </w:p>
    <w:p>
      <w:pPr>
        <w:pStyle w:val="2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5.4因重大变故，采购任务取消的。</w:t>
      </w:r>
    </w:p>
    <w:p>
      <w:pPr>
        <w:pStyle w:val="28"/>
        <w:snapToGrid w:val="0"/>
        <w:spacing w:line="360" w:lineRule="auto"/>
        <w:rPr>
          <w:rFonts w:ascii="仿宋_GB2312" w:hAnsi="仿宋" w:eastAsia="仿宋_GB2312" w:cs="仿宋_GB2312"/>
          <w:highlight w:val="none"/>
        </w:rPr>
      </w:pPr>
      <w:r>
        <w:rPr>
          <w:rFonts w:hint="eastAsia" w:ascii="仿宋_GB2312" w:hAnsi="仿宋" w:eastAsia="仿宋_GB2312" w:cs="仿宋_GB2312"/>
          <w:highlight w:val="none"/>
        </w:rPr>
        <w:t>废标后，采购机构应当将废标理由通知所有投标人。</w:t>
      </w:r>
    </w:p>
    <w:p>
      <w:pPr>
        <w:pStyle w:val="28"/>
        <w:snapToGrid w:val="0"/>
        <w:spacing w:line="360" w:lineRule="auto"/>
        <w:ind w:firstLine="590" w:firstLineChars="245"/>
        <w:rPr>
          <w:rFonts w:ascii="仿宋_GB2312" w:hAnsi="仿宋" w:eastAsia="仿宋_GB2312" w:cs="仿宋_GB2312"/>
          <w:highlight w:val="none"/>
        </w:rPr>
      </w:pPr>
      <w:r>
        <w:rPr>
          <w:rFonts w:ascii="仿宋_GB2312" w:hAnsi="仿宋" w:eastAsia="仿宋_GB2312" w:cs="仿宋_GB2312"/>
          <w:b/>
          <w:highlight w:val="none"/>
        </w:rPr>
        <w:t>6.修改招标文件，重新组织采购活动。</w:t>
      </w:r>
      <w:r>
        <w:rPr>
          <w:rFonts w:hint="eastAsia" w:ascii="仿宋_GB2312" w:hAnsi="仿宋" w:eastAsia="仿宋_GB2312" w:cs="仿宋_GB2312"/>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8"/>
        <w:snapToGrid w:val="0"/>
        <w:spacing w:line="360" w:lineRule="auto"/>
        <w:ind w:firstLine="590" w:firstLineChars="245"/>
        <w:rPr>
          <w:rFonts w:ascii="仿宋_GB2312" w:hAnsi="仿宋" w:eastAsia="仿宋_GB2312" w:cs="仿宋_GB2312"/>
          <w:highlight w:val="none"/>
        </w:rPr>
      </w:pPr>
      <w:r>
        <w:rPr>
          <w:rFonts w:hint="eastAsia" w:ascii="仿宋_GB2312" w:hAnsi="Helvetica" w:eastAsia="仿宋_GB2312" w:cs="Helvetica"/>
          <w:b/>
          <w:kern w:val="0"/>
          <w:highlight w:val="none"/>
        </w:rPr>
        <w:t>7.重新开展采购。</w:t>
      </w:r>
      <w:r>
        <w:rPr>
          <w:rFonts w:hint="eastAsia" w:ascii="仿宋_GB2312" w:hAnsi="仿宋" w:eastAsia="仿宋_GB2312" w:cs="仿宋_GB2312"/>
          <w:highlight w:val="none"/>
        </w:rPr>
        <w:t>有政府采购法第七十一条、第七十二条规定的违法行为之一，影响或者可能影响中标、成交结果的，依照下列规定处理：</w:t>
      </w:r>
    </w:p>
    <w:p>
      <w:pPr>
        <w:pStyle w:val="28"/>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7.1未确定中标或者中标人的，终止本次政府采购活动，重新开展政府采购</w:t>
      </w:r>
      <w:r>
        <w:rPr>
          <w:rFonts w:hint="eastAsia" w:ascii="仿宋_GB2312" w:hAnsi="仿宋" w:eastAsia="仿宋_GB2312" w:cs="仿宋_GB2312"/>
          <w:highlight w:val="none"/>
        </w:rPr>
        <w:t>活动。</w:t>
      </w:r>
    </w:p>
    <w:p>
      <w:pPr>
        <w:pStyle w:val="28"/>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8"/>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7.3政府采购合同已签订但尚未履行的，撤销合同，从合格的中标或者成交候选人中另行确定中标或者中标人；没有合格的中标或者成交候选人的，重新开展政府采购活动。</w:t>
      </w:r>
    </w:p>
    <w:p>
      <w:pPr>
        <w:pStyle w:val="2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7.4政府采购合同已经履行，给采购人、供应</w:t>
      </w:r>
      <w:r>
        <w:rPr>
          <w:rFonts w:hint="eastAsia" w:ascii="仿宋_GB2312" w:hAnsi="仿宋" w:eastAsia="仿宋_GB2312" w:cs="仿宋_GB2312"/>
          <w:highlight w:val="none"/>
        </w:rPr>
        <w:t>商造成损失的，由责任人承担赔偿责任。</w:t>
      </w:r>
    </w:p>
    <w:p>
      <w:pPr>
        <w:pStyle w:val="2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7.5政府采购当事人有其他违反政府采购</w:t>
      </w:r>
      <w:r>
        <w:rPr>
          <w:rFonts w:hint="eastAsia" w:ascii="仿宋_GB2312" w:hAnsi="仿宋" w:eastAsia="仿宋_GB2312" w:cs="仿宋_GB2312"/>
          <w:highlight w:val="none"/>
        </w:rPr>
        <w:t>法</w:t>
      </w:r>
      <w:r>
        <w:rPr>
          <w:rFonts w:hint="eastAsia" w:ascii="仿宋_GB2312" w:hAnsi="仿宋" w:eastAsia="仿宋_GB2312" w:cs="Arial"/>
          <w:kern w:val="0"/>
          <w:highlight w:val="none"/>
        </w:rPr>
        <w:t>或者政府采购法实施条例等法律法规规定</w:t>
      </w:r>
      <w:r>
        <w:rPr>
          <w:rFonts w:hint="eastAsia" w:ascii="仿宋_GB2312" w:hAnsi="仿宋" w:eastAsia="仿宋_GB2312" w:cs="仿宋_GB2312"/>
          <w:highlight w:val="none"/>
        </w:rPr>
        <w:t>的行为，经改正后仍然影响或者可能影响中标、成交结果或者依法被认定为中标、成交无效的，依照</w:t>
      </w:r>
      <w:r>
        <w:rPr>
          <w:rFonts w:ascii="仿宋_GB2312" w:hAnsi="仿宋" w:eastAsia="仿宋_GB2312" w:cs="仿宋_GB2312"/>
          <w:highlight w:val="none"/>
        </w:rPr>
        <w:t>7.1-7.4规定处理。</w:t>
      </w:r>
    </w:p>
    <w:p>
      <w:pPr>
        <w:pStyle w:val="28"/>
        <w:snapToGrid w:val="0"/>
        <w:spacing w:line="360" w:lineRule="auto"/>
        <w:ind w:firstLine="0" w:firstLineChars="0"/>
        <w:rPr>
          <w:rFonts w:ascii="仿宋_GB2312" w:hAnsi="仿宋" w:eastAsia="仿宋_GB2312" w:cs="仿宋_GB2312"/>
          <w:highlight w:val="none"/>
        </w:rPr>
      </w:pPr>
    </w:p>
    <w:bookmarkEnd w:id="25"/>
    <w:p>
      <w:pPr>
        <w:spacing w:line="360" w:lineRule="auto"/>
        <w:ind w:left="720" w:leftChars="343" w:firstLine="1084" w:firstLineChars="300"/>
        <w:outlineLvl w:val="0"/>
        <w:rPr>
          <w:rFonts w:ascii="仿宋_GB2312" w:hAnsi="仿宋" w:eastAsia="仿宋_GB2312" w:cs="仿宋_GB2312"/>
          <w:b/>
          <w:sz w:val="36"/>
          <w:szCs w:val="36"/>
          <w:highlight w:val="none"/>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highlight w:val="none"/>
        </w:rPr>
      </w:pPr>
      <w:r>
        <w:rPr>
          <w:rFonts w:ascii="仿宋_GB2312" w:hAnsi="仿宋" w:eastAsia="仿宋_GB2312" w:cs="仿宋_GB2312"/>
          <w:b/>
          <w:sz w:val="36"/>
          <w:szCs w:val="36"/>
          <w:highlight w:val="none"/>
        </w:rPr>
        <w:t xml:space="preserve">    </w:t>
      </w:r>
    </w:p>
    <w:p>
      <w:pPr>
        <w:spacing w:line="360" w:lineRule="auto"/>
        <w:ind w:left="720" w:leftChars="343" w:firstLine="1446" w:firstLineChars="400"/>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第五部分</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拟签订的合同文本</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 xml:space="preserve">项目名称： </w:t>
      </w:r>
      <w:r>
        <w:rPr>
          <w:rStyle w:val="964"/>
          <w:rFonts w:hint="eastAsia" w:ascii="仿宋" w:hAnsi="仿宋" w:eastAsia="仿宋" w:cs="仿宋"/>
          <w:b w:val="0"/>
          <w:bCs/>
          <w:color w:val="auto"/>
          <w:sz w:val="24"/>
          <w:szCs w:val="24"/>
          <w:highlight w:val="none"/>
          <w:lang w:val="en-US" w:eastAsia="zh-CN"/>
        </w:rPr>
        <w:t xml:space="preserve">                              </w:t>
      </w:r>
      <w:r>
        <w:rPr>
          <w:rStyle w:val="964"/>
          <w:rFonts w:hint="eastAsia" w:ascii="仿宋" w:hAnsi="仿宋" w:eastAsia="仿宋" w:cs="仿宋"/>
          <w:b w:val="0"/>
          <w:bCs/>
          <w:color w:val="auto"/>
          <w:sz w:val="24"/>
          <w:szCs w:val="24"/>
          <w:highlight w:val="none"/>
        </w:rPr>
        <w:t>项目编号：</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甲方：（买方）</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乙方：（卖方）</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甲、乙双方根据＿＿政府采购项目的采购结果，签署本合同。</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Style w:val="964"/>
          <w:rFonts w:hint="eastAsia" w:ascii="仿宋" w:hAnsi="仿宋" w:eastAsia="仿宋" w:cs="仿宋"/>
          <w:b w:val="0"/>
          <w:bCs/>
          <w:color w:val="auto"/>
          <w:sz w:val="24"/>
          <w:szCs w:val="24"/>
          <w:highlight w:val="none"/>
        </w:rPr>
      </w:pPr>
      <w:r>
        <w:rPr>
          <w:rStyle w:val="964"/>
          <w:rFonts w:hint="eastAsia" w:ascii="仿宋" w:hAnsi="仿宋" w:eastAsia="仿宋" w:cs="仿宋"/>
          <w:b w:val="0"/>
          <w:bCs/>
          <w:color w:val="auto"/>
          <w:sz w:val="24"/>
          <w:szCs w:val="24"/>
          <w:highlight w:val="none"/>
        </w:rPr>
        <w:t>一、服务内容：</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二、合同金额：</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val="en-US" w:eastAsia="zh-CN"/>
        </w:rPr>
      </w:pPr>
      <w:r>
        <w:rPr>
          <w:rStyle w:val="964"/>
          <w:rFonts w:hint="eastAsia" w:ascii="仿宋" w:hAnsi="仿宋" w:eastAsia="仿宋" w:cs="仿宋"/>
          <w:b w:val="0"/>
          <w:bCs/>
          <w:color w:val="auto"/>
          <w:sz w:val="24"/>
          <w:szCs w:val="24"/>
          <w:highlight w:val="none"/>
        </w:rPr>
        <w:t>2.1 本合同金额为（ 大 写 ）：</w:t>
      </w:r>
      <w:r>
        <w:rPr>
          <w:rStyle w:val="964"/>
          <w:rFonts w:hint="eastAsia" w:ascii="仿宋" w:hAnsi="仿宋" w:eastAsia="仿宋" w:cs="仿宋"/>
          <w:b w:val="0"/>
          <w:bCs/>
          <w:color w:val="auto"/>
          <w:sz w:val="24"/>
          <w:szCs w:val="24"/>
          <w:highlight w:val="none"/>
          <w:u w:val="single" w:color="auto"/>
          <w:lang w:val="en-US" w:eastAsia="zh-CN"/>
        </w:rPr>
        <w:t xml:space="preserve">              </w:t>
      </w:r>
      <w:r>
        <w:rPr>
          <w:rStyle w:val="964"/>
          <w:rFonts w:hint="eastAsia" w:ascii="仿宋" w:hAnsi="仿宋" w:eastAsia="仿宋" w:cs="仿宋"/>
          <w:b w:val="0"/>
          <w:bCs/>
          <w:color w:val="auto"/>
          <w:sz w:val="24"/>
          <w:szCs w:val="24"/>
          <w:highlight w:val="none"/>
        </w:rPr>
        <w:t>元（￥______元）人民币。</w:t>
      </w:r>
      <w:r>
        <w:rPr>
          <w:rStyle w:val="964"/>
          <w:rFonts w:hint="eastAsia" w:ascii="仿宋" w:hAnsi="仿宋" w:eastAsia="仿宋" w:cs="仿宋"/>
          <w:b w:val="0"/>
          <w:bCs/>
          <w:color w:val="auto"/>
          <w:sz w:val="24"/>
          <w:szCs w:val="24"/>
          <w:highlight w:val="none"/>
          <w:lang w:val="en-US" w:eastAsia="zh-CN"/>
        </w:rPr>
        <w:t>(含税）</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三、技术资料</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3.1 乙方应按</w:t>
      </w:r>
      <w:r>
        <w:rPr>
          <w:rStyle w:val="964"/>
          <w:rFonts w:hint="eastAsia" w:ascii="仿宋" w:hAnsi="仿宋" w:eastAsia="仿宋" w:cs="仿宋"/>
          <w:b w:val="0"/>
          <w:bCs/>
          <w:color w:val="auto"/>
          <w:sz w:val="24"/>
          <w:szCs w:val="24"/>
          <w:highlight w:val="none"/>
          <w:lang w:eastAsia="zh-CN"/>
        </w:rPr>
        <w:t>招标</w:t>
      </w:r>
      <w:r>
        <w:rPr>
          <w:rStyle w:val="964"/>
          <w:rFonts w:hint="eastAsia" w:ascii="仿宋" w:hAnsi="仿宋" w:eastAsia="仿宋" w:cs="仿宋"/>
          <w:b w:val="0"/>
          <w:bCs/>
          <w:color w:val="auto"/>
          <w:sz w:val="24"/>
          <w:szCs w:val="24"/>
          <w:highlight w:val="none"/>
        </w:rPr>
        <w:t>文件规定的时间向甲方提供有关技术资料。</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3.2 没有甲方事先书面同意，乙方不得将甲方提供的有关合同或任何合同条文、</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规格、计划、图纸、样品或资料提供给与履行本合同无关的任何其他人。即使向履行本合同有关的人员提供，也应注意保密并限于履行合同的必需范围。</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四、知识产权</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rPr>
        <w:t>4.1 乙方应保证提供服务过程中不会侵犯任何第三方的知识产权。</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lang w:eastAsia="zh-CN"/>
        </w:rPr>
        <w:t>五</w:t>
      </w:r>
      <w:r>
        <w:rPr>
          <w:rStyle w:val="964"/>
          <w:rFonts w:hint="eastAsia" w:ascii="仿宋" w:hAnsi="仿宋" w:eastAsia="仿宋" w:cs="仿宋"/>
          <w:b w:val="0"/>
          <w:bCs/>
          <w:color w:val="auto"/>
          <w:sz w:val="24"/>
          <w:szCs w:val="24"/>
          <w:highlight w:val="none"/>
        </w:rPr>
        <w:t>、履约保证金</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lang w:val="en-US" w:eastAsia="zh-CN"/>
        </w:rPr>
        <w:t>5</w:t>
      </w:r>
      <w:r>
        <w:rPr>
          <w:rStyle w:val="964"/>
          <w:rFonts w:hint="eastAsia" w:ascii="仿宋" w:hAnsi="仿宋" w:eastAsia="仿宋" w:cs="仿宋"/>
          <w:b w:val="0"/>
          <w:bCs/>
          <w:color w:val="auto"/>
          <w:sz w:val="24"/>
          <w:szCs w:val="24"/>
          <w:highlight w:val="none"/>
        </w:rPr>
        <w:t>.1 乙方交纳人民币</w:t>
      </w:r>
      <w:r>
        <w:rPr>
          <w:rStyle w:val="964"/>
          <w:rFonts w:hint="eastAsia" w:ascii="仿宋" w:hAnsi="仿宋" w:eastAsia="仿宋" w:cs="仿宋"/>
          <w:b w:val="0"/>
          <w:bCs/>
          <w:color w:val="auto"/>
          <w:sz w:val="24"/>
          <w:szCs w:val="24"/>
          <w:highlight w:val="none"/>
          <w:u w:val="single" w:color="auto"/>
          <w:lang w:val="en-US" w:eastAsia="zh-CN"/>
        </w:rPr>
        <w:t xml:space="preserve">            </w:t>
      </w:r>
      <w:r>
        <w:rPr>
          <w:rStyle w:val="964"/>
          <w:rFonts w:hint="eastAsia" w:ascii="仿宋" w:hAnsi="仿宋" w:eastAsia="仿宋" w:cs="仿宋"/>
          <w:b w:val="0"/>
          <w:bCs/>
          <w:color w:val="auto"/>
          <w:sz w:val="24"/>
          <w:szCs w:val="24"/>
          <w:highlight w:val="none"/>
        </w:rPr>
        <w:t>元作为本合同的履约保证金。</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lang w:eastAsia="zh-CN"/>
        </w:rPr>
        <w:t>六</w:t>
      </w:r>
      <w:r>
        <w:rPr>
          <w:rStyle w:val="964"/>
          <w:rFonts w:hint="eastAsia" w:ascii="仿宋" w:hAnsi="仿宋" w:eastAsia="仿宋" w:cs="仿宋"/>
          <w:b w:val="0"/>
          <w:bCs/>
          <w:color w:val="auto"/>
          <w:sz w:val="24"/>
          <w:szCs w:val="24"/>
          <w:highlight w:val="none"/>
        </w:rPr>
        <w:t>.转包或分包</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lang w:val="en-US" w:eastAsia="zh-CN"/>
        </w:rPr>
        <w:t>6</w:t>
      </w:r>
      <w:r>
        <w:rPr>
          <w:rStyle w:val="964"/>
          <w:rFonts w:hint="eastAsia" w:ascii="仿宋" w:hAnsi="仿宋" w:eastAsia="仿宋" w:cs="仿宋"/>
          <w:b w:val="0"/>
          <w:bCs/>
          <w:color w:val="auto"/>
          <w:sz w:val="24"/>
          <w:szCs w:val="24"/>
          <w:highlight w:val="none"/>
        </w:rPr>
        <w:t>.1 本合同范围的</w:t>
      </w:r>
      <w:r>
        <w:rPr>
          <w:rStyle w:val="964"/>
          <w:rFonts w:hint="eastAsia" w:ascii="仿宋" w:hAnsi="仿宋" w:eastAsia="仿宋" w:cs="仿宋"/>
          <w:b w:val="0"/>
          <w:bCs/>
          <w:color w:val="auto"/>
          <w:sz w:val="24"/>
          <w:szCs w:val="24"/>
          <w:highlight w:val="none"/>
          <w:lang w:eastAsia="zh-CN"/>
        </w:rPr>
        <w:t>服务</w:t>
      </w:r>
      <w:r>
        <w:rPr>
          <w:rStyle w:val="964"/>
          <w:rFonts w:hint="eastAsia" w:ascii="仿宋" w:hAnsi="仿宋" w:eastAsia="仿宋" w:cs="仿宋"/>
          <w:b w:val="0"/>
          <w:bCs/>
          <w:color w:val="auto"/>
          <w:sz w:val="24"/>
          <w:szCs w:val="24"/>
          <w:highlight w:val="none"/>
        </w:rPr>
        <w:t>，应由供方直接供应，不得转让他人供应；</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lang w:val="en-US" w:eastAsia="zh-CN"/>
        </w:rPr>
        <w:t>6</w:t>
      </w:r>
      <w:r>
        <w:rPr>
          <w:rStyle w:val="964"/>
          <w:rFonts w:hint="eastAsia" w:ascii="仿宋" w:hAnsi="仿宋" w:eastAsia="仿宋" w:cs="仿宋"/>
          <w:b w:val="0"/>
          <w:bCs/>
          <w:color w:val="auto"/>
          <w:sz w:val="24"/>
          <w:szCs w:val="24"/>
          <w:highlight w:val="none"/>
        </w:rPr>
        <w:t>.2 除非得到需方的书面同意，供方不得部分分包给他人供应。需方有绝对权力</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rPr>
      </w:pPr>
      <w:r>
        <w:rPr>
          <w:rStyle w:val="964"/>
          <w:rFonts w:hint="eastAsia" w:ascii="仿宋" w:hAnsi="仿宋" w:eastAsia="仿宋" w:cs="仿宋"/>
          <w:b w:val="0"/>
          <w:bCs/>
          <w:color w:val="auto"/>
          <w:sz w:val="24"/>
          <w:szCs w:val="24"/>
          <w:highlight w:val="none"/>
        </w:rPr>
        <w:t>阻止分包。</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b w:val="0"/>
          <w:bCs/>
          <w:color w:val="auto"/>
          <w:sz w:val="24"/>
          <w:szCs w:val="24"/>
          <w:highlight w:val="none"/>
          <w:lang w:eastAsia="zh-CN"/>
        </w:rPr>
      </w:pPr>
      <w:r>
        <w:rPr>
          <w:rStyle w:val="964"/>
          <w:rFonts w:hint="eastAsia" w:ascii="仿宋" w:hAnsi="仿宋" w:eastAsia="仿宋" w:cs="仿宋"/>
          <w:b w:val="0"/>
          <w:bCs/>
          <w:color w:val="auto"/>
          <w:sz w:val="24"/>
          <w:szCs w:val="24"/>
          <w:highlight w:val="none"/>
          <w:lang w:val="en-US" w:eastAsia="zh-CN"/>
        </w:rPr>
        <w:t>6</w:t>
      </w:r>
      <w:r>
        <w:rPr>
          <w:rStyle w:val="964"/>
          <w:rFonts w:hint="eastAsia" w:ascii="仿宋" w:hAnsi="仿宋" w:eastAsia="仿宋" w:cs="仿宋"/>
          <w:b w:val="0"/>
          <w:bCs/>
          <w:color w:val="auto"/>
          <w:sz w:val="24"/>
          <w:szCs w:val="24"/>
          <w:highlight w:val="none"/>
        </w:rPr>
        <w:t>.3 如有转让和未经需方同意的分包行为，需方有权给予终止合同。</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rPr>
      </w:pPr>
      <w:r>
        <w:rPr>
          <w:rFonts w:hint="eastAsia" w:ascii="仿宋" w:hAnsi="仿宋" w:eastAsia="仿宋" w:cs="仿宋"/>
          <w:b w:val="0"/>
          <w:i w:val="0"/>
          <w:color w:val="auto"/>
          <w:sz w:val="24"/>
          <w:szCs w:val="24"/>
          <w:highlight w:val="none"/>
          <w:lang w:eastAsia="zh-CN"/>
        </w:rPr>
        <w:t>七</w:t>
      </w:r>
      <w:r>
        <w:rPr>
          <w:rFonts w:hint="eastAsia" w:ascii="仿宋" w:hAnsi="仿宋" w:eastAsia="仿宋" w:cs="仿宋"/>
          <w:b w:val="0"/>
          <w:i w:val="0"/>
          <w:color w:val="auto"/>
          <w:sz w:val="24"/>
          <w:szCs w:val="24"/>
          <w:highlight w:val="none"/>
        </w:rPr>
        <w:t>、服务质量保证期和服务质量保证金</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7</w:t>
      </w:r>
      <w:r>
        <w:rPr>
          <w:rFonts w:hint="eastAsia" w:ascii="仿宋" w:hAnsi="仿宋" w:eastAsia="仿宋" w:cs="仿宋"/>
          <w:b w:val="0"/>
          <w:i w:val="0"/>
          <w:color w:val="auto"/>
          <w:sz w:val="24"/>
          <w:szCs w:val="24"/>
          <w:highlight w:val="none"/>
        </w:rPr>
        <w:t xml:space="preserve">.1 服务质量保证期 </w:t>
      </w:r>
      <w:r>
        <w:rPr>
          <w:rFonts w:hint="eastAsia" w:ascii="仿宋" w:hAnsi="仿宋" w:eastAsia="仿宋" w:cs="仿宋"/>
          <w:b w:val="0"/>
          <w:i w:val="0"/>
          <w:color w:val="auto"/>
          <w:sz w:val="24"/>
          <w:szCs w:val="24"/>
          <w:highlight w:val="none"/>
          <w:lang w:val="en-US" w:eastAsia="zh-CN"/>
        </w:rPr>
        <w:t xml:space="preserve"> </w:t>
      </w:r>
      <w:r>
        <w:rPr>
          <w:rFonts w:hint="eastAsia" w:ascii="仿宋" w:hAnsi="仿宋" w:eastAsia="仿宋" w:cs="仿宋"/>
          <w:b w:val="0"/>
          <w:i w:val="0"/>
          <w:color w:val="auto"/>
          <w:sz w:val="24"/>
          <w:szCs w:val="24"/>
          <w:highlight w:val="none"/>
        </w:rPr>
        <w:t>年。（自验收合格之日起计）</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Style w:val="964"/>
          <w:rFonts w:hint="eastAsia" w:ascii="仿宋" w:hAnsi="仿宋" w:eastAsia="仿宋" w:cs="仿宋"/>
          <w:color w:val="auto"/>
          <w:sz w:val="24"/>
          <w:szCs w:val="24"/>
          <w:highlight w:val="none"/>
        </w:rPr>
      </w:pPr>
      <w:r>
        <w:rPr>
          <w:rFonts w:hint="eastAsia" w:ascii="仿宋" w:hAnsi="仿宋" w:eastAsia="仿宋" w:cs="仿宋"/>
          <w:b w:val="0"/>
          <w:i w:val="0"/>
          <w:color w:val="auto"/>
          <w:sz w:val="24"/>
          <w:szCs w:val="24"/>
          <w:highlight w:val="none"/>
          <w:lang w:val="en-US" w:eastAsia="zh-CN"/>
        </w:rPr>
        <w:t>7</w:t>
      </w:r>
      <w:r>
        <w:rPr>
          <w:rFonts w:hint="eastAsia" w:ascii="仿宋" w:hAnsi="仿宋" w:eastAsia="仿宋" w:cs="仿宋"/>
          <w:b w:val="0"/>
          <w:i w:val="0"/>
          <w:color w:val="auto"/>
          <w:sz w:val="24"/>
          <w:szCs w:val="24"/>
          <w:highlight w:val="none"/>
        </w:rPr>
        <w:t>.2 服务质量保证金 元。（履约保证金在成交规划编制单位按合同约定验收合格后自行转为质保金）</w:t>
      </w:r>
      <w:r>
        <w:rPr>
          <w:rFonts w:hint="eastAsia" w:ascii="仿宋" w:hAnsi="仿宋" w:eastAsia="仿宋" w:cs="仿宋"/>
          <w:color w:val="auto"/>
          <w:sz w:val="24"/>
          <w:szCs w:val="24"/>
          <w:highlight w:val="none"/>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eastAsia="zh-CN"/>
        </w:rPr>
        <w:t>八</w:t>
      </w:r>
      <w:r>
        <w:rPr>
          <w:rFonts w:hint="eastAsia" w:ascii="仿宋" w:hAnsi="仿宋" w:eastAsia="仿宋" w:cs="仿宋"/>
          <w:b w:val="0"/>
          <w:i w:val="0"/>
          <w:color w:val="auto"/>
          <w:sz w:val="24"/>
          <w:szCs w:val="24"/>
          <w:highlight w:val="none"/>
        </w:rPr>
        <w:t>、合同履行时间、履行方式及履行地点</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.1 履行时间：</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.2 履行方式：</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.3 履行地点：</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eastAsia="zh-CN"/>
        </w:rPr>
        <w:t>九</w:t>
      </w:r>
      <w:r>
        <w:rPr>
          <w:rFonts w:hint="eastAsia" w:ascii="仿宋" w:hAnsi="仿宋" w:eastAsia="仿宋" w:cs="仿宋"/>
          <w:b w:val="0"/>
          <w:i w:val="0"/>
          <w:color w:val="auto"/>
          <w:sz w:val="24"/>
          <w:szCs w:val="24"/>
          <w:highlight w:val="none"/>
        </w:rPr>
        <w:t>、款项支付</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9</w:t>
      </w:r>
      <w:r>
        <w:rPr>
          <w:rFonts w:hint="eastAsia" w:ascii="仿宋" w:hAnsi="仿宋" w:eastAsia="仿宋" w:cs="仿宋"/>
          <w:b w:val="0"/>
          <w:i w:val="0"/>
          <w:color w:val="auto"/>
          <w:sz w:val="24"/>
          <w:szCs w:val="24"/>
          <w:highlight w:val="none"/>
        </w:rPr>
        <w:t>.1 付款方式：</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十、税费</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0</w:t>
      </w:r>
      <w:r>
        <w:rPr>
          <w:rFonts w:hint="eastAsia" w:ascii="仿宋" w:hAnsi="仿宋" w:eastAsia="仿宋" w:cs="仿宋"/>
          <w:b w:val="0"/>
          <w:i w:val="0"/>
          <w:color w:val="auto"/>
          <w:sz w:val="24"/>
          <w:szCs w:val="24"/>
          <w:highlight w:val="none"/>
        </w:rPr>
        <w:t>.1 本合同执行中相关的一切税费均由供方负担。</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w:t>
      </w:r>
      <w:r>
        <w:rPr>
          <w:rFonts w:hint="eastAsia" w:ascii="仿宋" w:hAnsi="仿宋" w:eastAsia="仿宋" w:cs="仿宋"/>
          <w:b w:val="0"/>
          <w:i w:val="0"/>
          <w:color w:val="auto"/>
          <w:sz w:val="24"/>
          <w:szCs w:val="24"/>
          <w:highlight w:val="none"/>
          <w:lang w:eastAsia="zh-CN"/>
        </w:rPr>
        <w:t>一</w:t>
      </w:r>
      <w:r>
        <w:rPr>
          <w:rFonts w:hint="eastAsia" w:ascii="仿宋" w:hAnsi="仿宋" w:eastAsia="仿宋" w:cs="仿宋"/>
          <w:b w:val="0"/>
          <w:i w:val="0"/>
          <w:color w:val="auto"/>
          <w:sz w:val="24"/>
          <w:szCs w:val="24"/>
          <w:highlight w:val="none"/>
        </w:rPr>
        <w:t>、质量保证及后续服务</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.1 乙方应按谈判文件规定向甲方提供服务。</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.2 乙方提供的服务成果在服务质量保证期内发生故障，乙方应负责免费提供</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后续服务。对达不到要求的，根据实际情况，经双方协商，可按以下办法处理：</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⑴重做：由乙方承担所发生的全部费用。</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⑵贬值处理：由甲乙双方合议定价。</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⑶解除合同。</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.3 如使用过程中发生问题，乙方在接到甲方通知后在</w:t>
      </w:r>
      <w:r>
        <w:rPr>
          <w:rFonts w:hint="eastAsia" w:ascii="仿宋" w:hAnsi="仿宋" w:eastAsia="仿宋" w:cs="仿宋"/>
          <w:b w:val="0"/>
          <w:i w:val="0"/>
          <w:color w:val="auto"/>
          <w:sz w:val="24"/>
          <w:szCs w:val="24"/>
          <w:highlight w:val="none"/>
          <w:lang w:val="en-US" w:eastAsia="zh-CN"/>
        </w:rPr>
        <w:t xml:space="preserve"> </w:t>
      </w:r>
      <w:r>
        <w:rPr>
          <w:rFonts w:hint="eastAsia" w:ascii="仿宋" w:hAnsi="仿宋" w:eastAsia="仿宋" w:cs="仿宋"/>
          <w:b w:val="0"/>
          <w:i w:val="0"/>
          <w:color w:val="auto"/>
          <w:sz w:val="24"/>
          <w:szCs w:val="24"/>
          <w:highlight w:val="none"/>
        </w:rPr>
        <w:t>小时内到达甲方现场。</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.4 在服务质量保证期内，乙方应对出现的质量及安全问题负责处理解决并承</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担一切费用。</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w:t>
      </w:r>
      <w:r>
        <w:rPr>
          <w:rFonts w:hint="eastAsia" w:ascii="仿宋" w:hAnsi="仿宋" w:eastAsia="仿宋" w:cs="仿宋"/>
          <w:b w:val="0"/>
          <w:i w:val="0"/>
          <w:color w:val="auto"/>
          <w:sz w:val="24"/>
          <w:szCs w:val="24"/>
          <w:highlight w:val="none"/>
          <w:lang w:eastAsia="zh-CN"/>
        </w:rPr>
        <w:t>二</w:t>
      </w:r>
      <w:r>
        <w:rPr>
          <w:rFonts w:hint="eastAsia" w:ascii="仿宋" w:hAnsi="仿宋" w:eastAsia="仿宋" w:cs="仿宋"/>
          <w:b w:val="0"/>
          <w:i w:val="0"/>
          <w:color w:val="auto"/>
          <w:sz w:val="24"/>
          <w:szCs w:val="24"/>
          <w:highlight w:val="none"/>
        </w:rPr>
        <w:t>、违约责任</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2</w:t>
      </w:r>
      <w:r>
        <w:rPr>
          <w:rFonts w:hint="eastAsia" w:ascii="仿宋" w:hAnsi="仿宋" w:eastAsia="仿宋" w:cs="仿宋"/>
          <w:b w:val="0"/>
          <w:i w:val="0"/>
          <w:color w:val="auto"/>
          <w:sz w:val="24"/>
          <w:szCs w:val="24"/>
          <w:highlight w:val="none"/>
        </w:rPr>
        <w:t>.1 甲方无正当理由拒绝接受服务的，甲方向乙方偿付合同款项百分之五的违</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约金。</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2</w:t>
      </w:r>
      <w:r>
        <w:rPr>
          <w:rFonts w:hint="eastAsia" w:ascii="仿宋" w:hAnsi="仿宋" w:eastAsia="仿宋" w:cs="仿宋"/>
          <w:b w:val="0"/>
          <w:i w:val="0"/>
          <w:color w:val="auto"/>
          <w:sz w:val="24"/>
          <w:szCs w:val="24"/>
          <w:highlight w:val="none"/>
        </w:rPr>
        <w:t>.3 乙方逾期提供服务的，每日向甲方支付千分之六违约金。逾期超过约定日</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sz w:val="24"/>
          <w:szCs w:val="24"/>
          <w:highlight w:val="none"/>
        </w:rPr>
        <w:t>期 10 个工作日不能交货的，甲方可解除本合同。乙方因逾期交货或因其他违约行为导致甲方解除合同的，乙方应向甲方支付合同总值 5%的违约金，如</w:t>
      </w:r>
      <w:r>
        <w:rPr>
          <w:rFonts w:hint="eastAsia" w:ascii="仿宋" w:hAnsi="仿宋" w:eastAsia="仿宋" w:cs="仿宋"/>
          <w:b w:val="0"/>
          <w:i w:val="0"/>
          <w:color w:val="auto"/>
          <w:kern w:val="0"/>
          <w:sz w:val="24"/>
          <w:szCs w:val="24"/>
          <w:highlight w:val="none"/>
          <w:lang w:val="en-US" w:eastAsia="zh-CN" w:bidi="ar-SA"/>
        </w:rPr>
        <w:t>造成甲方损失超过违约金的，超出部分由乙方继续承担赔偿责任。</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十三、不可抗力事件处理</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13.1 在合同有效期内，任何一方因不可抗力事件导致不能履行合同，则合同履</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行期可延长，其延长期与不可抗力影响期相同。</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13.2 不可抗力事件发生后，应立即通知对方，并寄送有关权威机构出具的证明。</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13.3 不可抗力事件延续 120 天以上，双方应通过友好协商，确定是否继续履行</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合同。</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十四、诉讼</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14.1 双方在执行合同中所发生的一切争议，应通过协商解决。如协商不成，可</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向杭州市临平区人民法院起诉，根据本合同规定提起的诉讼，败诉的一方应承担胜诉方因此而发生的合理的开支，包括律师费、调查费、鉴定费、公证费、差旅费及其他相关费用。</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十五、合同生效及其它</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15.1 合同经双方法定代表人或授权委托代理人签字并加盖单位公章后生效。</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15.2 合同执行中涉及采购资金和采购内容修改或补充的，须经财政部门审批，</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并签书面补充协议报政府采购监督管理部门备案，方可作为主合同不可分割的一</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部分。</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15.3 本合同未尽事宜，遵照《民法典》有关条文执行。双方也可另行签订补充协议，具有同等效力。</w:t>
      </w:r>
    </w:p>
    <w:p>
      <w:pPr>
        <w:keepNext w:val="0"/>
        <w:keepLines w:val="0"/>
        <w:pageBreakBefore w:val="0"/>
        <w:widowControl/>
        <w:suppressLineNumbers w:val="0"/>
        <w:kinsoku/>
        <w:wordWrap/>
        <w:overflowPunct/>
        <w:topLinePunct w:val="0"/>
        <w:autoSpaceDE/>
        <w:autoSpaceDN/>
        <w:bidi w:val="0"/>
        <w:adjustRightInd/>
        <w:snapToGrid/>
        <w:spacing w:line="400" w:lineRule="atLeast"/>
        <w:ind w:left="0" w:leftChars="0" w:right="0" w:rightChars="0" w:firstLine="0" w:firstLineChars="0"/>
        <w:jc w:val="both"/>
        <w:textAlignment w:val="auto"/>
        <w:outlineLvl w:val="9"/>
        <w:rPr>
          <w:rFonts w:hint="eastAsia" w:ascii="仿宋" w:hAnsi="仿宋" w:eastAsia="仿宋" w:cs="仿宋"/>
          <w:color w:val="auto"/>
          <w:highlight w:val="none"/>
        </w:rPr>
      </w:pPr>
      <w:r>
        <w:rPr>
          <w:rFonts w:hint="eastAsia" w:ascii="仿宋" w:hAnsi="仿宋" w:eastAsia="仿宋" w:cs="仿宋"/>
          <w:b w:val="0"/>
          <w:i w:val="0"/>
          <w:color w:val="auto"/>
          <w:kern w:val="0"/>
          <w:sz w:val="24"/>
          <w:szCs w:val="24"/>
          <w:highlight w:val="none"/>
          <w:lang w:val="en-US" w:eastAsia="zh-CN" w:bidi="ar-SA"/>
        </w:rPr>
        <w:t xml:space="preserve">15.4 </w:t>
      </w:r>
      <w:r>
        <w:rPr>
          <w:rFonts w:hint="eastAsia" w:ascii="仿宋" w:hAnsi="仿宋" w:eastAsia="仿宋" w:cs="仿宋"/>
          <w:color w:val="auto"/>
          <w:sz w:val="24"/>
          <w:szCs w:val="24"/>
          <w:highlight w:val="none"/>
        </w:rPr>
        <w:t>本合同一式多份，具有同等法律效力，甲乙双方、鉴证方、</w:t>
      </w:r>
      <w:r>
        <w:rPr>
          <w:rFonts w:hint="eastAsia" w:ascii="仿宋" w:hAnsi="仿宋" w:eastAsia="仿宋" w:cs="仿宋"/>
          <w:color w:val="auto"/>
          <w:sz w:val="24"/>
          <w:szCs w:val="24"/>
          <w:highlight w:val="none"/>
          <w:lang w:val="en-US" w:eastAsia="zh-CN"/>
        </w:rPr>
        <w:t>临平</w:t>
      </w:r>
      <w:r>
        <w:rPr>
          <w:rFonts w:hint="eastAsia" w:ascii="仿宋" w:hAnsi="仿宋" w:eastAsia="仿宋" w:cs="仿宋"/>
          <w:color w:val="auto"/>
          <w:sz w:val="24"/>
          <w:szCs w:val="24"/>
          <w:highlight w:val="none"/>
        </w:rPr>
        <w:t>区财政局采购监管科、验收单位，各执一份</w:t>
      </w:r>
      <w:r>
        <w:rPr>
          <w:rFonts w:hint="eastAsia" w:ascii="仿宋" w:hAnsi="仿宋" w:eastAsia="仿宋" w:cs="仿宋"/>
          <w:b w:val="0"/>
          <w:i w:val="0"/>
          <w:color w:val="auto"/>
          <w:kern w:val="0"/>
          <w:sz w:val="24"/>
          <w:szCs w:val="24"/>
          <w:highlight w:val="none"/>
          <w:lang w:val="en-US" w:eastAsia="zh-CN" w:bidi="ar-SA"/>
        </w:rPr>
        <w:t>。</w:t>
      </w:r>
    </w:p>
    <w:p>
      <w:pPr>
        <w:spacing w:line="360" w:lineRule="auto"/>
        <w:ind w:firstLine="360" w:firstLineChars="150"/>
        <w:jc w:val="left"/>
        <w:rPr>
          <w:rFonts w:hint="eastAsia" w:ascii="仿宋" w:hAnsi="仿宋" w:eastAsia="仿宋" w:cs="仿宋"/>
          <w:color w:val="auto"/>
          <w:sz w:val="24"/>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鉴证方（盖章）：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法定代表人或授权代表（签字）：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w:t>
      </w:r>
    </w:p>
    <w:p>
      <w:pPr>
        <w:spacing w:line="360" w:lineRule="auto"/>
        <w:ind w:right="12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签约时间：      年    月   日</w:t>
      </w:r>
    </w:p>
    <w:p>
      <w:pPr>
        <w:pStyle w:val="64"/>
        <w:ind w:firstLine="5280" w:firstLineChars="2200"/>
        <w:rPr>
          <w:rFonts w:hint="eastAsia" w:ascii="仿宋" w:hAnsi="仿宋" w:eastAsia="仿宋" w:cs="仿宋"/>
          <w:color w:val="000000"/>
          <w:sz w:val="24"/>
          <w:highlight w:val="none"/>
        </w:rPr>
      </w:pPr>
    </w:p>
    <w:p>
      <w:pPr>
        <w:rPr>
          <w:rFonts w:hint="eastAsia" w:ascii="仿宋" w:hAnsi="仿宋" w:eastAsia="仿宋" w:cs="仿宋"/>
          <w:color w:val="000000"/>
          <w:highlight w:val="none"/>
        </w:rPr>
      </w:pPr>
    </w:p>
    <w:p>
      <w:pPr>
        <w:spacing w:line="360" w:lineRule="auto"/>
        <w:ind w:firstLine="630" w:firstLineChars="300"/>
        <w:rPr>
          <w:rFonts w:hint="eastAsia" w:ascii="仿宋" w:hAnsi="仿宋" w:eastAsia="仿宋" w:cs="仿宋"/>
          <w:b/>
          <w:highlight w:val="none"/>
        </w:rPr>
      </w:pPr>
      <w:r>
        <w:rPr>
          <w:rFonts w:hint="eastAsia" w:ascii="仿宋" w:hAnsi="仿宋" w:eastAsia="仿宋" w:cs="仿宋"/>
          <w:color w:val="000000"/>
          <w:highlight w:val="none"/>
        </w:rPr>
        <w:tab/>
      </w:r>
      <w:r>
        <w:rPr>
          <w:rFonts w:hint="eastAsia" w:ascii="仿宋" w:hAnsi="仿宋" w:eastAsia="仿宋" w:cs="仿宋"/>
          <w:b/>
          <w:bCs/>
          <w:color w:val="000000"/>
          <w:sz w:val="24"/>
          <w:highlight w:val="none"/>
        </w:rPr>
        <w:t>★ 此仅为合同书样本，中标单位需根据实际情况和采购人签订相应的合同！</w:t>
      </w:r>
    </w:p>
    <w:p>
      <w:pPr>
        <w:spacing w:line="360" w:lineRule="auto"/>
        <w:ind w:left="-420" w:leftChars="-200" w:right="-420" w:rightChars="-200"/>
        <w:rPr>
          <w:rFonts w:ascii="仿宋" w:hAnsi="仿宋" w:eastAsia="仿宋"/>
          <w:sz w:val="24"/>
          <w:highlight w:val="none"/>
        </w:rPr>
      </w:pPr>
    </w:p>
    <w:p>
      <w:pPr>
        <w:spacing w:line="360" w:lineRule="auto"/>
        <w:ind w:left="-420" w:leftChars="-200" w:right="-420" w:rightChars="-200" w:firstLine="480" w:firstLineChars="200"/>
        <w:jc w:val="center"/>
        <w:outlineLvl w:val="0"/>
        <w:rPr>
          <w:rFonts w:ascii="仿宋" w:hAnsi="仿宋" w:eastAsia="仿宋"/>
          <w:sz w:val="24"/>
          <w:highlight w:val="none"/>
        </w:rPr>
      </w:pPr>
    </w:p>
    <w:p>
      <w:pPr>
        <w:spacing w:line="360" w:lineRule="auto"/>
        <w:ind w:left="-420" w:leftChars="-200" w:right="-420" w:rightChars="-200" w:firstLine="480" w:firstLineChars="200"/>
        <w:jc w:val="center"/>
        <w:outlineLvl w:val="0"/>
        <w:rPr>
          <w:rFonts w:ascii="仿宋" w:hAnsi="仿宋" w:eastAsia="仿宋"/>
          <w:sz w:val="24"/>
          <w:highlight w:val="none"/>
        </w:rPr>
      </w:pPr>
    </w:p>
    <w:p>
      <w:pPr>
        <w:spacing w:line="360" w:lineRule="auto"/>
        <w:ind w:left="720" w:firstLine="1084" w:firstLineChars="300"/>
        <w:outlineLvl w:val="0"/>
        <w:rPr>
          <w:rFonts w:hint="eastAsia" w:ascii="仿宋" w:hAnsi="仿宋" w:eastAsia="仿宋" w:cs="仿宋_GB2312"/>
          <w:b/>
          <w:sz w:val="36"/>
          <w:szCs w:val="20"/>
          <w:highlight w:val="none"/>
        </w:rPr>
      </w:pPr>
    </w:p>
    <w:p>
      <w:pPr>
        <w:spacing w:line="360" w:lineRule="auto"/>
        <w:ind w:left="720" w:firstLine="1084" w:firstLineChars="300"/>
        <w:outlineLvl w:val="0"/>
        <w:rPr>
          <w:rFonts w:hint="eastAsia" w:ascii="仿宋" w:hAnsi="仿宋" w:eastAsia="仿宋" w:cs="仿宋_GB2312"/>
          <w:b/>
          <w:sz w:val="36"/>
          <w:szCs w:val="20"/>
          <w:highlight w:val="none"/>
        </w:rPr>
      </w:pPr>
    </w:p>
    <w:p>
      <w:pPr>
        <w:spacing w:line="360" w:lineRule="auto"/>
        <w:ind w:left="720" w:firstLine="1084" w:firstLineChars="300"/>
        <w:outlineLvl w:val="0"/>
        <w:rPr>
          <w:rFonts w:hint="eastAsia" w:ascii="仿宋" w:hAnsi="仿宋" w:eastAsia="仿宋" w:cs="仿宋_GB2312"/>
          <w:b/>
          <w:sz w:val="36"/>
          <w:szCs w:val="20"/>
          <w:highlight w:val="none"/>
        </w:rPr>
      </w:pPr>
    </w:p>
    <w:p>
      <w:pPr>
        <w:spacing w:line="360" w:lineRule="auto"/>
        <w:ind w:left="720" w:firstLine="1084" w:firstLineChars="300"/>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第六部分</w:t>
      </w:r>
      <w:bookmarkEnd w:id="392"/>
      <w:r>
        <w:rPr>
          <w:rFonts w:ascii="仿宋" w:hAnsi="仿宋" w:eastAsia="仿宋" w:cs="仿宋_GB2312"/>
          <w:b/>
          <w:sz w:val="36"/>
          <w:szCs w:val="20"/>
          <w:highlight w:val="none"/>
        </w:rPr>
        <w:t xml:space="preserve"> </w:t>
      </w:r>
      <w:bookmarkEnd w:id="393"/>
      <w:r>
        <w:rPr>
          <w:rFonts w:hint="eastAsia" w:ascii="仿宋" w:hAnsi="仿宋" w:eastAsia="仿宋" w:cs="仿宋_GB2312"/>
          <w:b/>
          <w:sz w:val="36"/>
          <w:szCs w:val="20"/>
          <w:highlight w:val="none"/>
        </w:rPr>
        <w:t>应提交的有关格式范例</w:t>
      </w:r>
    </w:p>
    <w:p>
      <w:pPr>
        <w:spacing w:line="360" w:lineRule="auto"/>
        <w:jc w:val="center"/>
        <w:outlineLvl w:val="0"/>
        <w:rPr>
          <w:rFonts w:ascii="仿宋_GB2312" w:hAnsi="仿宋" w:eastAsia="仿宋_GB2312" w:cs="仿宋_GB2312"/>
          <w:b/>
          <w:kern w:val="0"/>
          <w:sz w:val="36"/>
          <w:szCs w:val="36"/>
          <w:highlight w:val="none"/>
        </w:r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资格文件部分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1）符合参加政府采购活动应当具备的一般条件的承诺函……</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2）落实政府采购政策需满足的资格要求……</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3）本项目的特定资格要求……</w:t>
      </w:r>
      <w:r>
        <w:rPr>
          <w:rFonts w:hint="eastAsia" w:ascii="仿宋_GB2312" w:hAnsi="仿宋" w:eastAsia="仿宋_GB2312" w:cs="仿宋_GB2312"/>
          <w:sz w:val="24"/>
          <w:highlight w:val="none"/>
        </w:rPr>
        <w:t>…………………………………………（页码）</w:t>
      </w:r>
    </w:p>
    <w:p>
      <w:pPr>
        <w:snapToGrid w:val="0"/>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kern w:val="0"/>
          <w:sz w:val="24"/>
          <w:highlight w:val="none"/>
        </w:rPr>
        <w:br w:type="page"/>
      </w:r>
      <w:r>
        <w:rPr>
          <w:rFonts w:ascii="仿宋_GB2312" w:hAnsi="仿宋" w:eastAsia="仿宋_GB2312" w:cs="仿宋_GB2312"/>
          <w:b/>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sz w:val="24"/>
          <w:highlight w:val="none"/>
        </w:rPr>
      </w:pPr>
      <w:r>
        <w:rPr>
          <w:rFonts w:hint="eastAsia" w:ascii="仿宋" w:hAnsi="仿宋" w:eastAsia="仿宋" w:cs="仿宋"/>
          <w:bCs/>
          <w:sz w:val="24"/>
          <w:highlight w:val="none"/>
          <w:lang w:val="en-US" w:eastAsia="zh-CN"/>
        </w:rPr>
        <w:t>杭州市临平区人民政府乔司街道办事处</w:t>
      </w:r>
      <w:r>
        <w:rPr>
          <w:rFonts w:hint="eastAsia" w:ascii="仿宋" w:hAnsi="仿宋" w:eastAsia="仿宋" w:cs="仿宋"/>
          <w:sz w:val="24"/>
          <w:highlight w:val="none"/>
        </w:rPr>
        <w:t>、</w:t>
      </w:r>
      <w:r>
        <w:rPr>
          <w:rFonts w:hint="eastAsia" w:ascii="仿宋" w:hAnsi="仿宋" w:eastAsia="仿宋" w:cs="仿宋"/>
          <w:sz w:val="24"/>
          <w:highlight w:val="none"/>
          <w:lang w:eastAsia="zh-CN"/>
        </w:rPr>
        <w:t>浙江新诚信工程咨询有限公司</w:t>
      </w:r>
      <w:r>
        <w:rPr>
          <w:rFonts w:hint="eastAsia" w:ascii="仿宋" w:hAnsi="仿宋" w:eastAsia="仿宋" w:cs="仿宋"/>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w:t>
      </w:r>
      <w:r>
        <w:rPr>
          <w:rFonts w:hint="eastAsia" w:ascii="仿宋_GB2312" w:hAnsi="仿宋" w:eastAsia="仿宋_GB2312" w:cs="仿宋_GB2312"/>
          <w:sz w:val="24"/>
          <w:highlight w:val="none"/>
          <w:u w:val="single"/>
        </w:rPr>
        <w:t>（项目名称）</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u w:val="single"/>
        </w:rPr>
        <w:t>招标编号：</w:t>
      </w:r>
      <w:r>
        <w:rPr>
          <w:rFonts w:hint="eastAsia" w:ascii="仿宋_GB2312" w:hAnsi="仿宋" w:eastAsia="仿宋_GB2312"/>
          <w:sz w:val="24"/>
          <w:highlight w:val="none"/>
          <w:u w:val="single"/>
        </w:rPr>
        <w:t>（采购编号）</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二、落实政府采购政策需满足的资格要求</w:t>
      </w:r>
    </w:p>
    <w:p>
      <w:pPr>
        <w:spacing w:line="360" w:lineRule="auto"/>
        <w:rPr>
          <w:rFonts w:ascii="仿宋_GB2312" w:hAnsi="仿宋" w:eastAsia="仿宋_GB2312"/>
          <w:sz w:val="24"/>
          <w:highlight w:val="none"/>
        </w:rPr>
      </w:pPr>
      <w:r>
        <w:rPr>
          <w:rFonts w:hint="eastAsia" w:ascii="仿宋_GB2312" w:hAnsi="仿宋" w:eastAsia="仿宋_GB2312" w:cs="仿宋_GB2312"/>
          <w:sz w:val="24"/>
          <w:highlight w:val="none"/>
        </w:rPr>
        <w:t>（根据招标公告</w:t>
      </w:r>
      <w:r>
        <w:rPr>
          <w:rFonts w:hint="eastAsia" w:ascii="仿宋_GB2312" w:hAnsi="仿宋" w:eastAsia="仿宋_GB2312"/>
          <w:sz w:val="24"/>
          <w:highlight w:val="none"/>
        </w:rPr>
        <w:t>落实政府采购政策需满足的资格要求选择提供相应的材料；未要求的，无需提供</w:t>
      </w:r>
      <w:r>
        <w:rPr>
          <w:rFonts w:hint="eastAsia" w:ascii="仿宋_GB2312" w:hAnsi="仿宋" w:eastAsia="仿宋_GB2312" w:cs="仿宋_GB2312"/>
          <w:sz w:val="24"/>
          <w:highlight w:val="none"/>
        </w:rPr>
        <w:t>）</w:t>
      </w:r>
    </w:p>
    <w:p>
      <w:pPr>
        <w:snapToGrid w:val="0"/>
        <w:spacing w:before="50" w:after="50"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A</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widowControl/>
        <w:spacing w:line="360" w:lineRule="auto"/>
        <w:ind w:firstLine="480"/>
        <w:jc w:val="left"/>
        <w:rPr>
          <w:rFonts w:ascii="仿宋_GB2312" w:hAnsi="宋体" w:eastAsia="仿宋_GB2312"/>
          <w:sz w:val="24"/>
          <w:highlight w:val="none"/>
        </w:rPr>
      </w:pPr>
    </w:p>
    <w:p>
      <w:pPr>
        <w:widowControl/>
        <w:spacing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B.</w:t>
      </w:r>
      <w:r>
        <w:rPr>
          <w:rFonts w:hint="eastAsia" w:ascii="仿宋_GB2312" w:hAnsi="仿宋" w:eastAsia="仿宋_GB2312" w:cs="仿宋_GB2312"/>
          <w:sz w:val="24"/>
          <w:highlight w:val="none"/>
        </w:rPr>
        <w:t>要求以联合体形式参加的，提供联合协议和中小企业声明函（附件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highlight w:val="none"/>
          <w:lang w:val="zh-CN"/>
        </w:rPr>
      </w:pPr>
      <w:r>
        <w:rPr>
          <w:rFonts w:ascii="仿宋_GB2312" w:hAnsi="仿宋" w:eastAsia="仿宋_GB2312" w:cs="仿宋_GB2312"/>
          <w:b/>
          <w:sz w:val="24"/>
          <w:highlight w:val="none"/>
        </w:rPr>
        <w:t xml:space="preserve">    </w:t>
      </w:r>
      <w:r>
        <w:rPr>
          <w:rFonts w:hint="eastAsia" w:ascii="仿宋_GB2312" w:hAnsi="仿宋" w:eastAsia="仿宋_GB2312" w:cs="仿宋_GB2312"/>
          <w:b/>
          <w:kern w:val="0"/>
          <w:sz w:val="32"/>
          <w:szCs w:val="32"/>
          <w:highlight w:val="none"/>
          <w:lang w:val="zh-CN"/>
        </w:rPr>
        <w:t>联合协议</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pacing w:line="360" w:lineRule="auto"/>
        <w:ind w:firstLine="480" w:firstLineChars="200"/>
        <w:rPr>
          <w:rFonts w:ascii="仿宋_GB2312" w:hAnsi="仿宋" w:eastAsia="仿宋_GB2312" w:cs="仿宋_GB2312"/>
          <w:sz w:val="24"/>
          <w:highlight w:val="none"/>
        </w:rPr>
      </w:pPr>
    </w:p>
    <w:p>
      <w:pPr>
        <w:spacing w:line="360" w:lineRule="auto"/>
        <w:ind w:firstLine="482" w:firstLineChars="200"/>
        <w:rPr>
          <w:rFonts w:ascii="仿宋" w:hAnsi="仿宋" w:eastAsia="仿宋"/>
          <w:sz w:val="24"/>
          <w:highlight w:val="none"/>
        </w:rPr>
      </w:pPr>
      <w:r>
        <w:rPr>
          <w:rFonts w:ascii="仿宋_GB2312" w:hAnsi="仿宋" w:eastAsia="仿宋_GB2312" w:cs="仿宋_GB2312"/>
          <w:b/>
          <w:sz w:val="24"/>
          <w:highlight w:val="none"/>
        </w:rPr>
        <w:t>C、</w:t>
      </w:r>
      <w:r>
        <w:rPr>
          <w:rFonts w:hint="eastAsia" w:ascii="仿宋_GB2312" w:hAnsi="仿宋" w:eastAsia="仿宋_GB2312" w:cs="仿宋_GB2312"/>
          <w:sz w:val="24"/>
          <w:highlight w:val="none"/>
        </w:rPr>
        <w:t>要求合同分包的，提供分包意向协议和中小企业声明函（附件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5"/>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kern w:val="0"/>
          <w:sz w:val="24"/>
          <w:highlight w:val="none"/>
          <w:lang w:val="zh-CN"/>
        </w:rPr>
      </w:pP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ascii="仿宋_GB2312" w:hAnsi="仿宋" w:eastAsia="仿宋_GB2312" w:cs="仿宋_GB2312"/>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kern w:val="0"/>
          <w:sz w:val="32"/>
          <w:szCs w:val="32"/>
          <w:highlight w:val="none"/>
        </w:rPr>
      </w:pPr>
    </w:p>
    <w:p>
      <w:pPr>
        <w:widowControl/>
        <w:spacing w:line="360" w:lineRule="auto"/>
        <w:ind w:left="15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三、本项目的特定资格要求</w:t>
      </w:r>
    </w:p>
    <w:p>
      <w:pPr>
        <w:spacing w:line="360" w:lineRule="auto"/>
        <w:jc w:val="center"/>
        <w:rPr>
          <w:rFonts w:ascii="仿宋_GB2312" w:hAnsi="仿宋" w:eastAsia="仿宋_GB2312"/>
          <w:sz w:val="24"/>
          <w:highlight w:val="none"/>
        </w:rPr>
      </w:pPr>
      <w:r>
        <w:rPr>
          <w:rFonts w:hint="eastAsia" w:ascii="仿宋_GB2312" w:hAnsi="仿宋" w:eastAsia="仿宋_GB2312" w:cs="仿宋_GB2312"/>
          <w:sz w:val="24"/>
          <w:highlight w:val="none"/>
        </w:rPr>
        <w:t>（根据招标公告本项目的特定资格要求</w:t>
      </w:r>
      <w:r>
        <w:rPr>
          <w:rFonts w:hint="eastAsia" w:ascii="仿宋_GB2312" w:hAnsi="仿宋" w:eastAsia="仿宋_GB2312"/>
          <w:sz w:val="24"/>
          <w:highlight w:val="none"/>
        </w:rPr>
        <w:t>提供相应的材料；未要求的，无需提供</w:t>
      </w:r>
      <w:r>
        <w:rPr>
          <w:rFonts w:hint="eastAsia" w:ascii="仿宋_GB2312" w:hAnsi="仿宋" w:eastAsia="仿宋_GB2312" w:cs="仿宋_GB2312"/>
          <w:sz w:val="24"/>
          <w:highlight w:val="none"/>
        </w:rPr>
        <w:t>）</w:t>
      </w: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商务技术文件部分</w:t>
      </w:r>
    </w:p>
    <w:p>
      <w:pPr>
        <w:spacing w:line="360" w:lineRule="auto"/>
        <w:jc w:val="center"/>
        <w:outlineLvl w:val="0"/>
        <w:rPr>
          <w:rFonts w:ascii="仿宋_GB2312" w:hAnsi="仿宋" w:eastAsia="仿宋_GB2312" w:cs="仿宋_GB2312"/>
          <w:b/>
          <w:kern w:val="0"/>
          <w:sz w:val="24"/>
          <w:highlight w:val="none"/>
        </w:rPr>
      </w:pPr>
    </w:p>
    <w:p>
      <w:pPr>
        <w:spacing w:line="360" w:lineRule="auto"/>
        <w:jc w:val="center"/>
        <w:outlineLvl w:val="0"/>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目录</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1）投标函</w:t>
      </w:r>
      <w:r>
        <w:rPr>
          <w:rFonts w:hint="eastAsia" w:cs="仿宋_GB2312"/>
          <w:highlight w:val="none"/>
        </w:rPr>
        <w:t>…………………………………………………………………………………（页码）</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2）授权委托书或法定代表人（单位负责人、自然人本人）身份证明</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3）联合协议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4）分包意向协议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5）符合性审查资料</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6）评标标准相应的商务技术资料</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7）商务技术偏离表</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r>
        <w:rPr>
          <w:rFonts w:hint="eastAsia" w:cs="仿宋_GB2312"/>
          <w:highlight w:val="none"/>
        </w:rPr>
        <w:t>…………………………………………………（页码）</w:t>
      </w: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rPr>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sz w:val="32"/>
          <w:szCs w:val="32"/>
          <w:highlight w:val="none"/>
        </w:rPr>
      </w:pPr>
      <w:r>
        <w:rPr>
          <w:rFonts w:hint="eastAsia" w:ascii="仿宋_GB2312" w:hAnsi="仿宋" w:eastAsia="仿宋_GB2312" w:cs="仿宋_GB2312"/>
          <w:b/>
          <w:kern w:val="0"/>
          <w:sz w:val="32"/>
          <w:szCs w:val="32"/>
          <w:highlight w:val="none"/>
        </w:rPr>
        <w:t>一、投标</w:t>
      </w:r>
      <w:r>
        <w:rPr>
          <w:rFonts w:hint="eastAsia" w:ascii="仿宋_GB2312" w:hAnsi="仿宋" w:eastAsia="仿宋_GB2312" w:cs="仿宋_GB2312"/>
          <w:b/>
          <w:sz w:val="32"/>
          <w:szCs w:val="32"/>
          <w:highlight w:val="none"/>
        </w:rPr>
        <w:t>函</w:t>
      </w:r>
    </w:p>
    <w:p>
      <w:pPr>
        <w:snapToGrid w:val="0"/>
        <w:spacing w:line="360" w:lineRule="auto"/>
        <w:rPr>
          <w:rFonts w:ascii="仿宋_GB2312" w:hAnsi="仿宋" w:eastAsia="仿宋_GB2312" w:cs="仿宋_GB2312"/>
          <w:sz w:val="24"/>
          <w:highlight w:val="none"/>
        </w:rPr>
      </w:pPr>
      <w:r>
        <w:rPr>
          <w:rFonts w:hint="eastAsia" w:ascii="仿宋" w:hAnsi="仿宋" w:eastAsia="仿宋" w:cs="仿宋"/>
          <w:bCs/>
          <w:sz w:val="24"/>
          <w:highlight w:val="none"/>
          <w:lang w:val="en-US" w:eastAsia="zh-CN"/>
        </w:rPr>
        <w:t>杭州市临平区人民政府乔司街道办事处</w:t>
      </w:r>
      <w:r>
        <w:rPr>
          <w:rFonts w:hint="eastAsia" w:ascii="仿宋" w:hAnsi="仿宋" w:eastAsia="仿宋" w:cs="仿宋"/>
          <w:sz w:val="24"/>
          <w:highlight w:val="none"/>
        </w:rPr>
        <w:t>、</w:t>
      </w:r>
      <w:r>
        <w:rPr>
          <w:rFonts w:hint="eastAsia" w:ascii="仿宋" w:hAnsi="仿宋" w:eastAsia="仿宋" w:cs="仿宋"/>
          <w:sz w:val="24"/>
          <w:highlight w:val="none"/>
          <w:lang w:eastAsia="zh-CN"/>
        </w:rPr>
        <w:t>浙江新诚信工程咨询有限公司</w:t>
      </w:r>
      <w:r>
        <w:rPr>
          <w:rFonts w:hint="eastAsia" w:ascii="仿宋_GB2312" w:hAnsi="仿宋" w:eastAsia="仿宋_GB2312" w:cs="仿宋_GB2312"/>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我方参加你方组织的</w:t>
      </w:r>
      <w:r>
        <w:rPr>
          <w:rFonts w:hint="eastAsia" w:ascii="仿宋_GB2312" w:hAnsi="仿宋" w:eastAsia="仿宋_GB2312" w:cs="仿宋_GB2312"/>
          <w:sz w:val="24"/>
          <w:highlight w:val="none"/>
          <w:u w:val="single"/>
        </w:rPr>
        <w:t>（项目名称）</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u w:val="single"/>
        </w:rPr>
        <w:t>招标编号：</w:t>
      </w:r>
      <w:r>
        <w:rPr>
          <w:rFonts w:hint="eastAsia" w:ascii="仿宋_GB2312" w:hAnsi="仿宋" w:eastAsia="仿宋_GB2312"/>
          <w:sz w:val="24"/>
          <w:highlight w:val="none"/>
          <w:u w:val="single"/>
        </w:rPr>
        <w:t>（采购编号）</w:t>
      </w:r>
      <w:r>
        <w:rPr>
          <w:rFonts w:hint="eastAsia" w:ascii="仿宋_GB2312" w:hAnsi="仿宋" w:eastAsia="仿宋_GB2312" w:cs="仿宋_GB2312"/>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1、我方承诺投标有效期从提交投标文件的截止之日起</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天（不少于</w:t>
      </w:r>
      <w:r>
        <w:rPr>
          <w:rFonts w:ascii="仿宋_GB2312" w:hAnsi="仿宋" w:eastAsia="仿宋_GB2312" w:cs="仿宋_GB2312"/>
          <w:sz w:val="24"/>
          <w:highlight w:val="none"/>
        </w:rPr>
        <w:t>90天）</w:t>
      </w:r>
      <w:r>
        <w:rPr>
          <w:rFonts w:hint="eastAsia"/>
          <w:highlight w:val="none"/>
        </w:rPr>
        <w:t>，</w:t>
      </w:r>
      <w:r>
        <w:rPr>
          <w:rFonts w:hint="eastAsia" w:ascii="仿宋_GB2312" w:hAnsi="仿宋" w:eastAsia="仿宋_GB2312" w:cs="仿宋_GB2312"/>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2.1.1</w:t>
      </w:r>
      <w:r>
        <w:rPr>
          <w:rFonts w:hint="eastAsia" w:ascii="仿宋_GB2312" w:hAnsi="仿宋" w:eastAsia="仿宋_GB2312" w:cs="仿宋_GB2312"/>
          <w:sz w:val="24"/>
          <w:highlight w:val="none"/>
        </w:rPr>
        <w:t>承诺函；</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2.1.2落实政府采购政策需满足的资格要求</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2.1.3本项目的特定资格要求</w:t>
      </w:r>
      <w:r>
        <w:rPr>
          <w:rFonts w:hint="eastAsia" w:ascii="仿宋_GB2312" w:hAnsi="仿宋" w:eastAsia="仿宋_GB2312" w:cs="仿宋_GB2312"/>
          <w:sz w:val="24"/>
          <w:highlight w:val="none"/>
        </w:rPr>
        <w:t>（如果有）。</w:t>
      </w:r>
    </w:p>
    <w:p>
      <w:pPr>
        <w:snapToGrid w:val="0"/>
        <w:spacing w:line="360" w:lineRule="auto"/>
        <w:ind w:left="210" w:leftChars="1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2.2.3联合协议</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2.2.4分包意向协议</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2.2.5符合性审查资料；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2.2.7商务技术偏离表；</w:t>
      </w:r>
    </w:p>
    <w:p>
      <w:pPr>
        <w:snapToGrid w:val="0"/>
        <w:spacing w:line="360" w:lineRule="auto"/>
        <w:ind w:left="420" w:leftChars="2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3报价文件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2.3.2中小企业声明函</w:t>
      </w:r>
      <w:r>
        <w:rPr>
          <w:rFonts w:hint="eastAsia" w:ascii="仿宋_GB2312" w:hAnsi="仿宋" w:eastAsia="仿宋_GB2312" w:cs="仿宋_GB2312"/>
          <w:sz w:val="24"/>
          <w:highlight w:val="none"/>
        </w:rPr>
        <w:t>（如果有）。</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5、其他补充说明:</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p>
    <w:p>
      <w:pPr>
        <w:spacing w:line="360" w:lineRule="auto"/>
        <w:ind w:firstLine="3600" w:firstLineChars="1500"/>
        <w:rPr>
          <w:rFonts w:ascii="仿宋_GB2312" w:hAnsi="仿宋" w:eastAsia="仿宋_GB2312" w:cs="仿宋_GB2312"/>
          <w:sz w:val="24"/>
          <w:highlight w:val="none"/>
        </w:rPr>
      </w:pPr>
      <w:r>
        <w:rPr>
          <w:rFonts w:hint="eastAsia" w:ascii="仿宋_GB2312" w:hAnsi="仿宋" w:eastAsia="仿宋_GB2312" w:cs="仿宋_GB2312"/>
          <w:sz w:val="24"/>
          <w:highlight w:val="none"/>
        </w:rPr>
        <w:t>投标人名称（电子签名）：</w:t>
      </w:r>
      <w:r>
        <w:rPr>
          <w:rFonts w:ascii="仿宋_GB2312" w:hAnsi="仿宋" w:eastAsia="仿宋_GB2312" w:cs="仿宋_GB2312"/>
          <w:sz w:val="24"/>
          <w:highlight w:val="none"/>
        </w:rPr>
        <w:t xml:space="preserve">                          </w:t>
      </w:r>
    </w:p>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highlight w:val="none"/>
          <w:u w:val="singl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p>
    <w:p>
      <w:pPr>
        <w:snapToGrid w:val="0"/>
        <w:spacing w:line="360" w:lineRule="auto"/>
        <w:ind w:firstLine="2872" w:firstLineChars="894"/>
        <w:rPr>
          <w:highlight w:val="none"/>
        </w:rPr>
      </w:pPr>
      <w:r>
        <w:rPr>
          <w:rFonts w:hint="eastAsia" w:ascii="仿宋_GB2312" w:hAnsi="仿宋" w:eastAsia="仿宋_GB2312" w:cs="仿宋_GB2312"/>
          <w:b/>
          <w:kern w:val="0"/>
          <w:sz w:val="32"/>
          <w:szCs w:val="32"/>
          <w:highlight w:val="none"/>
          <w:lang w:val="zh-CN"/>
        </w:rPr>
        <w:t>授权委托书（适用于非联合体投标）</w:t>
      </w:r>
      <w:r>
        <w:rPr>
          <w:highlight w:val="none"/>
        </w:rPr>
        <w:t xml:space="preserve">                               </w:t>
      </w:r>
    </w:p>
    <w:p>
      <w:pPr>
        <w:snapToGrid w:val="0"/>
        <w:spacing w:line="360" w:lineRule="auto"/>
        <w:rPr>
          <w:rFonts w:ascii="仿宋_GB2312" w:hAnsi="仿宋" w:eastAsia="仿宋_GB2312" w:cs="仿宋_GB2312"/>
          <w:kern w:val="0"/>
          <w:sz w:val="24"/>
          <w:highlight w:val="none"/>
        </w:rPr>
      </w:pPr>
      <w:r>
        <w:rPr>
          <w:rFonts w:hint="eastAsia" w:ascii="仿宋" w:hAnsi="仿宋" w:eastAsia="仿宋" w:cs="仿宋"/>
          <w:bCs/>
          <w:sz w:val="24"/>
          <w:highlight w:val="none"/>
          <w:lang w:val="en-US" w:eastAsia="zh-CN"/>
        </w:rPr>
        <w:t>杭州市临平区人民政府乔司街道办事处</w:t>
      </w:r>
      <w:r>
        <w:rPr>
          <w:rFonts w:hint="eastAsia" w:ascii="仿宋" w:hAnsi="仿宋" w:eastAsia="仿宋" w:cs="仿宋"/>
          <w:sz w:val="24"/>
          <w:highlight w:val="none"/>
        </w:rPr>
        <w:t>、</w:t>
      </w:r>
      <w:r>
        <w:rPr>
          <w:rFonts w:hint="eastAsia" w:ascii="仿宋" w:hAnsi="仿宋" w:eastAsia="仿宋" w:cs="仿宋"/>
          <w:sz w:val="24"/>
          <w:highlight w:val="none"/>
          <w:lang w:eastAsia="zh-CN"/>
        </w:rPr>
        <w:t>浙江新诚信工程咨询有限公司</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投标人名称(电子签名)：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签发日期：  年  月   日</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lang w:val="zh-CN"/>
        </w:rPr>
        <w:t xml:space="preserve">      </w:t>
      </w:r>
      <w:r>
        <w:rPr>
          <w:rFonts w:ascii="仿宋_GB2312" w:hAnsi="仿宋" w:eastAsia="仿宋_GB2312" w:cs="仿宋_GB2312"/>
          <w:b/>
          <w:kern w:val="0"/>
          <w:sz w:val="32"/>
          <w:szCs w:val="32"/>
          <w:highlight w:val="none"/>
        </w:rPr>
        <w:t xml:space="preserve"> </w:t>
      </w:r>
      <w:r>
        <w:rPr>
          <w:rFonts w:hint="eastAsia" w:ascii="仿宋_GB2312" w:hAnsi="仿宋" w:eastAsia="仿宋_GB2312" w:cs="仿宋_GB2312"/>
          <w:b/>
          <w:kern w:val="0"/>
          <w:sz w:val="32"/>
          <w:szCs w:val="32"/>
          <w:highlight w:val="none"/>
          <w:lang w:val="zh-CN"/>
        </w:rPr>
        <w:t>授权委托书（适用于联合体投标）</w:t>
      </w:r>
    </w:p>
    <w:p>
      <w:pPr>
        <w:snapToGrid w:val="0"/>
        <w:spacing w:line="360" w:lineRule="auto"/>
        <w:rPr>
          <w:rFonts w:ascii="仿宋_GB2312" w:hAnsi="仿宋" w:eastAsia="仿宋_GB2312" w:cs="仿宋_GB2312"/>
          <w:kern w:val="0"/>
          <w:sz w:val="24"/>
          <w:highlight w:val="none"/>
        </w:rPr>
      </w:pPr>
      <w:r>
        <w:rPr>
          <w:rFonts w:hint="eastAsia" w:ascii="仿宋" w:hAnsi="仿宋" w:eastAsia="仿宋" w:cs="仿宋"/>
          <w:bCs/>
          <w:sz w:val="24"/>
          <w:highlight w:val="none"/>
          <w:lang w:val="en-US" w:eastAsia="zh-CN"/>
        </w:rPr>
        <w:t>杭州市临平区人民政府乔司街道办事处</w:t>
      </w:r>
      <w:r>
        <w:rPr>
          <w:rFonts w:hint="eastAsia" w:ascii="仿宋" w:hAnsi="仿宋" w:eastAsia="仿宋" w:cs="仿宋"/>
          <w:sz w:val="24"/>
          <w:highlight w:val="none"/>
        </w:rPr>
        <w:t>、</w:t>
      </w:r>
      <w:r>
        <w:rPr>
          <w:rFonts w:hint="eastAsia" w:ascii="仿宋" w:hAnsi="仿宋" w:eastAsia="仿宋" w:cs="仿宋"/>
          <w:sz w:val="24"/>
          <w:highlight w:val="none"/>
          <w:lang w:eastAsia="zh-CN"/>
        </w:rPr>
        <w:t>浙江新诚信工程咨询有限公司</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val="zh-CN"/>
        </w:rPr>
        <w:t>法定代表人、单位负责人或自然人本人</w:t>
      </w:r>
      <w:r>
        <w:rPr>
          <w:rFonts w:hint="eastAsia" w:ascii="仿宋_GB2312" w:hAnsi="仿宋" w:eastAsia="仿宋_GB2312" w:cs="仿宋_GB2312"/>
          <w:b/>
          <w:sz w:val="30"/>
          <w:szCs w:val="30"/>
          <w:highlight w:val="none"/>
        </w:rPr>
        <w:t>的身份证明（适用于法定代表人、单位负责人或者自然人本人代表投标人参加投标）</w:t>
      </w:r>
    </w:p>
    <w:p>
      <w:pPr>
        <w:pStyle w:val="150"/>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正面：</w:t>
            </w:r>
            <w:r>
              <w:rPr>
                <w:rFonts w:ascii="仿宋_GB2312" w:hAnsi="仿宋" w:eastAsia="仿宋_GB2312"/>
                <w:bCs/>
                <w:sz w:val="24"/>
                <w:highlight w:val="none"/>
              </w:rPr>
              <w:t xml:space="preserve">                                 </w:t>
            </w:r>
            <w:r>
              <w:rPr>
                <w:rFonts w:hint="eastAsia" w:ascii="仿宋_GB2312" w:hAnsi="仿宋" w:eastAsia="仿宋_GB2312"/>
                <w:bCs/>
                <w:sz w:val="24"/>
                <w:highlight w:val="none"/>
              </w:rPr>
              <w:t>反面：</w:t>
            </w:r>
          </w:p>
          <w:p>
            <w:pPr>
              <w:pStyle w:val="150"/>
              <w:adjustRightInd w:val="0"/>
              <w:spacing w:line="360" w:lineRule="auto"/>
              <w:rPr>
                <w:rFonts w:ascii="仿宋_GB2312" w:hAnsi="仿宋" w:eastAsia="仿宋_GB2312"/>
                <w:bCs/>
                <w:sz w:val="24"/>
                <w:highlight w:val="none"/>
              </w:rPr>
            </w:pPr>
          </w:p>
        </w:tc>
      </w:tr>
    </w:tbl>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rPr>
        <w:t>三、</w:t>
      </w:r>
      <w:r>
        <w:rPr>
          <w:rFonts w:hint="eastAsia" w:ascii="仿宋_GB2312" w:hAnsi="仿宋" w:eastAsia="仿宋_GB2312" w:cs="仿宋_GB2312"/>
          <w:b/>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rPr>
        <w:t>提供的全部货物由小微企业制造，其合同份额占到合同总金额</w:t>
      </w:r>
      <w:r>
        <w:rPr>
          <w:rFonts w:ascii="仿宋_GB2312" w:hAnsi="仿宋" w:eastAsia="仿宋_GB2312" w:cs="仿宋_GB2312"/>
          <w:kern w:val="0"/>
          <w:sz w:val="24"/>
          <w:highlight w:val="none"/>
          <w:u w:val="single"/>
        </w:rPr>
        <w:t xml:space="preserve">     </w:t>
      </w:r>
      <w:r>
        <w:rPr>
          <w:rFonts w:ascii="仿宋_GB2312" w:hAnsi="仿宋" w:eastAsia="仿宋_GB2312" w:cs="仿宋_GB2312"/>
          <w:kern w:val="0"/>
          <w:sz w:val="24"/>
          <w:highlight w:val="none"/>
        </w:rPr>
        <w:t>%以上；</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highlight w:val="none"/>
          <w:lang w:val="zh-CN"/>
        </w:rPr>
        <w:t xml:space="preserve"> 30%以上</w:t>
      </w:r>
      <w:r>
        <w:rPr>
          <w:rFonts w:hint="eastAsia" w:ascii="仿宋_GB2312" w:hAnsi="仿宋" w:eastAsia="仿宋_GB2312" w:cs="仿宋_GB2312"/>
          <w:b/>
          <w:kern w:val="0"/>
          <w:sz w:val="24"/>
          <w:highlight w:val="none"/>
          <w:lang w:val="zh-CN"/>
        </w:rPr>
        <w:t>，对联合体报价给予</w:t>
      </w:r>
      <w:r>
        <w:rPr>
          <w:rFonts w:ascii="仿宋_GB2312" w:hAnsi="仿宋" w:eastAsia="仿宋_GB2312" w:cs="仿宋_GB2312"/>
          <w:b/>
          <w:kern w:val="0"/>
          <w:sz w:val="24"/>
          <w:highlight w:val="none"/>
          <w:lang w:val="zh-CN"/>
        </w:rPr>
        <w:t>3%的扣除</w:t>
      </w:r>
      <w:r>
        <w:rPr>
          <w:rFonts w:hint="eastAsia" w:ascii="仿宋_GB2312" w:hAnsi="仿宋" w:eastAsia="仿宋_GB2312" w:cs="仿宋_GB2312"/>
          <w:b/>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napToGrid w:val="0"/>
        <w:spacing w:line="360" w:lineRule="auto"/>
        <w:ind w:right="480"/>
        <w:rPr>
          <w:rFonts w:ascii="仿宋_GB2312" w:hAnsi="仿宋" w:eastAsia="仿宋_GB2312" w:cs="仿宋_GB2312"/>
          <w:b/>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5"/>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highlight w:val="none"/>
          <w:u w:val="single"/>
        </w:rPr>
        <w:t>（分包供应商名称）提供的货物全部由小微企业制造，</w:t>
      </w:r>
      <w:r>
        <w:rPr>
          <w:rFonts w:hint="eastAsia" w:ascii="仿宋_GB2312" w:hAnsi="仿宋" w:eastAsia="仿宋_GB2312" w:cs="仿宋_GB2312"/>
          <w:kern w:val="0"/>
          <w:sz w:val="24"/>
          <w:highlight w:val="none"/>
        </w:rPr>
        <w:t>其合同份额占到合同总金额</w:t>
      </w:r>
      <w:r>
        <w:rPr>
          <w:rFonts w:ascii="仿宋_GB2312" w:hAnsi="仿宋" w:eastAsia="仿宋_GB2312" w:cs="仿宋_GB2312"/>
          <w:kern w:val="0"/>
          <w:sz w:val="24"/>
          <w:highlight w:val="none"/>
          <w:u w:val="single"/>
        </w:rPr>
        <w:t xml:space="preserve">     </w:t>
      </w:r>
      <w:r>
        <w:rPr>
          <w:rFonts w:ascii="仿宋_GB2312" w:hAnsi="仿宋" w:eastAsia="仿宋_GB2312" w:cs="仿宋_GB2312"/>
          <w:kern w:val="0"/>
          <w:sz w:val="24"/>
          <w:highlight w:val="none"/>
        </w:rPr>
        <w:t>%以上</w:t>
      </w:r>
      <w:r>
        <w:rPr>
          <w:rFonts w:hint="eastAsia" w:ascii="仿宋_GB2312" w:hAnsi="仿宋" w:eastAsia="仿宋_GB2312"/>
          <w:highlight w:val="none"/>
        </w:rPr>
        <w:t>。</w:t>
      </w:r>
      <w:r>
        <w:rPr>
          <w:rFonts w:hint="eastAsia" w:ascii="仿宋_GB2312" w:hAnsi="仿宋" w:eastAsia="仿宋_GB2312" w:cs="仿宋_GB2312"/>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highlight w:val="none"/>
          <w:lang w:val="zh-CN"/>
        </w:rPr>
        <w:t xml:space="preserve"> 30%以上</w:t>
      </w:r>
      <w:r>
        <w:rPr>
          <w:rFonts w:hint="eastAsia" w:ascii="仿宋_GB2312" w:hAnsi="仿宋" w:eastAsia="仿宋_GB2312" w:cs="仿宋_GB2312"/>
          <w:b/>
          <w:kern w:val="0"/>
          <w:sz w:val="24"/>
          <w:highlight w:val="none"/>
          <w:lang w:val="zh-CN"/>
        </w:rPr>
        <w:t>的，对大中型企业的报价给予</w:t>
      </w:r>
      <w:r>
        <w:rPr>
          <w:rFonts w:ascii="仿宋_GB2312" w:hAnsi="仿宋" w:eastAsia="仿宋_GB2312" w:cs="仿宋_GB2312"/>
          <w:b/>
          <w:kern w:val="0"/>
          <w:sz w:val="24"/>
          <w:highlight w:val="none"/>
          <w:lang w:val="zh-CN"/>
        </w:rPr>
        <w:t>3%的扣除</w:t>
      </w:r>
      <w:r>
        <w:rPr>
          <w:rFonts w:hint="eastAsia" w:ascii="仿宋_GB2312" w:hAnsi="仿宋" w:eastAsia="仿宋_GB2312" w:cs="仿宋_GB2312"/>
          <w:b/>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五、符合性审查资料</w:t>
      </w:r>
    </w:p>
    <w:p>
      <w:pPr>
        <w:jc w:val="center"/>
        <w:rPr>
          <w:rFonts w:ascii="仿宋_GB2312" w:hAnsi="仿宋" w:eastAsia="仿宋_GB2312" w:cs="仿宋_GB2312"/>
          <w:b/>
          <w:kern w:val="0"/>
          <w:sz w:val="32"/>
          <w:szCs w:val="32"/>
          <w:highlight w:val="none"/>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序号</w:t>
            </w:r>
          </w:p>
        </w:tc>
        <w:tc>
          <w:tcPr>
            <w:tcW w:w="499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实质性要求</w:t>
            </w:r>
          </w:p>
        </w:tc>
        <w:tc>
          <w:tcPr>
            <w:tcW w:w="255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需要提供的符合性审查资料</w:t>
            </w:r>
          </w:p>
        </w:tc>
        <w:tc>
          <w:tcPr>
            <w:tcW w:w="1418"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投标文件中的</w:t>
            </w:r>
          </w:p>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1</w:t>
            </w:r>
          </w:p>
        </w:tc>
        <w:tc>
          <w:tcPr>
            <w:tcW w:w="4991" w:type="dxa"/>
          </w:tcPr>
          <w:p>
            <w:pPr>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投标文件按照招标文件要求签署、盖章。</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需要使用电子签名或者签字盖章的投标文件的组成部分</w:t>
            </w:r>
          </w:p>
        </w:tc>
        <w:tc>
          <w:tcPr>
            <w:tcW w:w="1418" w:type="dxa"/>
          </w:tcPr>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rPr>
                <w:highlight w:val="none"/>
              </w:rPr>
            </w:pPr>
            <w:r>
              <w:rPr>
                <w:rFonts w:hint="eastAsia" w:ascii="仿宋" w:eastAsia="仿宋" w:cs="仿宋_GB2312"/>
                <w:sz w:val="24"/>
                <w:highlight w:val="none"/>
              </w:rPr>
              <w:t>第</w:t>
            </w:r>
            <w:r>
              <w:rPr>
                <w:rFonts w:ascii="仿宋" w:eastAsia="仿宋" w:cs="仿宋_GB2312"/>
                <w:sz w:val="24"/>
                <w:highlight w:val="none"/>
                <w:u w:val="single"/>
              </w:rPr>
              <w:t xml:space="preserve">  </w:t>
            </w:r>
            <w:r>
              <w:rPr>
                <w:rFonts w:hint="eastAsia" w:asci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highlight w:val="none"/>
              </w:rPr>
            </w:pPr>
            <w:r>
              <w:rPr>
                <w:rFonts w:ascii="仿宋_GB2312" w:hAnsi="仿宋" w:eastAsia="仿宋_GB2312"/>
                <w:sz w:val="24"/>
                <w:highlight w:val="none"/>
              </w:rPr>
              <w:t>2</w:t>
            </w:r>
          </w:p>
        </w:tc>
        <w:tc>
          <w:tcPr>
            <w:tcW w:w="4991" w:type="dxa"/>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highlight w:val="none"/>
              </w:rPr>
            </w:pPr>
            <w:r>
              <w:rPr>
                <w:rFonts w:hint="eastAsia" w:ascii="仿宋_GB2312" w:hAnsi="仿宋" w:eastAsia="仿宋_GB2312" w:cs="仿宋_GB2312"/>
                <w:sz w:val="24"/>
                <w:highlight w:val="none"/>
              </w:rPr>
              <w:t>节能产品认证证书（本项目</w:t>
            </w:r>
            <w:r>
              <w:rPr>
                <w:rFonts w:hint="eastAsia" w:ascii="仿宋_GB2312" w:hAnsi="仿宋" w:eastAsia="仿宋_GB2312"/>
                <w:sz w:val="24"/>
                <w:highlight w:val="none"/>
              </w:rPr>
              <w:t>拟采购的产品不属于政府强制采购的节能产品品目清单范围的</w:t>
            </w:r>
            <w:r>
              <w:rPr>
                <w:rFonts w:hint="eastAsia" w:ascii="仿宋_GB2312" w:hAnsi="仿宋" w:eastAsia="仿宋_GB2312" w:cs="仿宋_GB2312"/>
                <w:sz w:val="24"/>
                <w:highlight w:val="none"/>
              </w:rPr>
              <w:t>，无需提供）</w:t>
            </w:r>
          </w:p>
        </w:tc>
        <w:tc>
          <w:tcPr>
            <w:tcW w:w="1418" w:type="dxa"/>
          </w:tcPr>
          <w:p>
            <w:pPr>
              <w:rPr>
                <w:rFonts w:ascii="仿宋" w:hAnsi="仿宋" w:eastAsia="仿宋" w:cs="仿宋_GB2312"/>
                <w:sz w:val="24"/>
                <w:highlight w:val="none"/>
              </w:rPr>
            </w:pPr>
          </w:p>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pStyle w:val="5"/>
              <w:rPr>
                <w:highlight w:val="none"/>
                <w:lang w:val="en-US"/>
              </w:rPr>
            </w:pPr>
            <w:r>
              <w:rPr>
                <w:rFonts w:hint="eastAsia" w:ascii="仿宋" w:eastAsia="仿宋" w:cs="仿宋_GB2312"/>
                <w:b w:val="0"/>
                <w:bCs w:val="0"/>
                <w:sz w:val="24"/>
                <w:szCs w:val="24"/>
                <w:highlight w:val="none"/>
                <w:lang w:val="en-US"/>
              </w:rPr>
              <w:t>第</w:t>
            </w:r>
            <w:r>
              <w:rPr>
                <w:rFonts w:ascii="仿宋" w:eastAsia="仿宋" w:cs="仿宋_GB2312"/>
                <w:b w:val="0"/>
                <w:bCs w:val="0"/>
                <w:sz w:val="24"/>
                <w:szCs w:val="24"/>
                <w:highlight w:val="none"/>
                <w:u w:val="single"/>
                <w:lang w:val="en-US"/>
              </w:rPr>
              <w:t xml:space="preserve">  </w:t>
            </w:r>
            <w:r>
              <w:rPr>
                <w:rFonts w:hint="eastAsia" w:ascii="仿宋" w:eastAsia="仿宋" w:cs="仿宋_GB2312"/>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3</w:t>
            </w:r>
          </w:p>
        </w:tc>
        <w:tc>
          <w:tcPr>
            <w:tcW w:w="4991" w:type="dxa"/>
          </w:tcPr>
          <w:p>
            <w:pPr>
              <w:spacing w:line="360" w:lineRule="auto"/>
              <w:rPr>
                <w:rFonts w:ascii="仿宋_GB2312" w:hAnsi="仿宋" w:eastAsia="仿宋_GB2312" w:cs="仿宋_GB2312"/>
                <w:sz w:val="24"/>
                <w:highlight w:val="none"/>
              </w:rPr>
            </w:pPr>
            <w:r>
              <w:rPr>
                <w:rFonts w:hint="eastAsia" w:ascii="仿宋_GB2312" w:hAnsi="仿宋" w:eastAsia="仿宋_GB2312"/>
                <w:sz w:val="24"/>
                <w:highlight w:val="none"/>
              </w:rPr>
              <w:t>投标文件中承诺的投标有效期不少于招标文件中载明的投标有效期。</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投标函</w:t>
            </w:r>
          </w:p>
        </w:tc>
        <w:tc>
          <w:tcPr>
            <w:tcW w:w="1418" w:type="dxa"/>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4</w:t>
            </w:r>
          </w:p>
        </w:tc>
        <w:tc>
          <w:tcPr>
            <w:tcW w:w="4991" w:type="dxa"/>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投标文件满足招标文件的其它实质性要求。</w:t>
            </w:r>
          </w:p>
        </w:tc>
        <w:tc>
          <w:tcPr>
            <w:tcW w:w="2551" w:type="dxa"/>
            <w:vAlign w:val="center"/>
          </w:tcPr>
          <w:p>
            <w:pPr>
              <w:rPr>
                <w:rFonts w:ascii="仿宋" w:hAnsi="仿宋" w:eastAsia="仿宋"/>
                <w:sz w:val="24"/>
                <w:highlight w:val="none"/>
              </w:rPr>
            </w:pPr>
            <w:r>
              <w:rPr>
                <w:rFonts w:hint="eastAsia" w:ascii="仿宋_GB2312" w:hAnsi="仿宋" w:eastAsia="仿宋_GB2312" w:cs="仿宋_GB2312"/>
                <w:kern w:val="0"/>
                <w:sz w:val="24"/>
                <w:highlight w:val="none"/>
              </w:rPr>
              <w:t>招标文件其它实质性要求相应的材料（“▲”</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rPr>
              <w:t>系指实质性要求条款，招标文件无其它实质性要求的，无需提供）</w:t>
            </w:r>
          </w:p>
        </w:tc>
        <w:tc>
          <w:tcPr>
            <w:tcW w:w="1418" w:type="dxa"/>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bl>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 xml:space="preserve">            </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highlight w:val="none"/>
        </w:rPr>
      </w:pPr>
      <w:r>
        <w:rPr>
          <w:rFonts w:hint="eastAsia" w:ascii="仿宋_GB2312" w:hAnsi="仿宋" w:eastAsia="仿宋_GB2312" w:cs="仿宋_GB2312"/>
          <w:b/>
          <w:kern w:val="0"/>
          <w:sz w:val="32"/>
          <w:szCs w:val="32"/>
          <w:highlight w:val="none"/>
        </w:rPr>
        <w:t>六、评标标准相应的商务技术资料</w:t>
      </w:r>
    </w:p>
    <w:p>
      <w:pPr>
        <w:snapToGrid w:val="0"/>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七、商务技术偏离表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序号</w:t>
            </w:r>
          </w:p>
        </w:tc>
        <w:tc>
          <w:tcPr>
            <w:tcW w:w="3683"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354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27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1</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2</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bl>
    <w:p>
      <w:pPr>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投标人保证：除商务技术偏离表列出的偏离外，投标人响应招标文件的全部要求</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1911" w:firstLineChars="595"/>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八、</w:t>
      </w:r>
      <w:r>
        <w:rPr>
          <w:rFonts w:hint="eastAsia" w:ascii="仿宋_GB2312" w:hAnsi="仿宋" w:eastAsia="仿宋_GB2312" w:cs="仿宋_GB2312"/>
          <w:b/>
          <w:kern w:val="0"/>
          <w:sz w:val="32"/>
          <w:szCs w:val="32"/>
          <w:highlight w:val="none"/>
          <w:lang w:val="zh-CN"/>
        </w:rPr>
        <w:t>政府采购供应商廉洁自律承诺书</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kern w:val="0"/>
          <w:sz w:val="24"/>
          <w:highlight w:val="none"/>
        </w:rPr>
      </w:pPr>
      <w:r>
        <w:rPr>
          <w:rFonts w:hint="eastAsia" w:ascii="仿宋" w:hAnsi="仿宋" w:eastAsia="仿宋" w:cs="仿宋"/>
          <w:bCs/>
          <w:sz w:val="24"/>
          <w:highlight w:val="none"/>
          <w:lang w:val="en-US" w:eastAsia="zh-CN"/>
        </w:rPr>
        <w:t>杭州市临平区人民政府乔司街道办事处</w:t>
      </w:r>
      <w:r>
        <w:rPr>
          <w:rFonts w:hint="eastAsia" w:ascii="仿宋" w:hAnsi="仿宋" w:eastAsia="仿宋" w:cs="仿宋"/>
          <w:sz w:val="24"/>
          <w:highlight w:val="none"/>
        </w:rPr>
        <w:t>、</w:t>
      </w:r>
      <w:r>
        <w:rPr>
          <w:rFonts w:hint="eastAsia" w:ascii="仿宋" w:hAnsi="仿宋" w:eastAsia="仿宋" w:cs="仿宋"/>
          <w:sz w:val="24"/>
          <w:highlight w:val="none"/>
          <w:lang w:eastAsia="zh-CN"/>
        </w:rPr>
        <w:t>浙江新诚信工程咨询有限公司</w:t>
      </w:r>
      <w:r>
        <w:rPr>
          <w:rFonts w:hint="eastAsia" w:ascii="仿宋_GB2312" w:hAnsi="仿宋" w:eastAsia="仿宋_GB2312" w:cs="仿宋_GB2312"/>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二、不为项目有关人员及部门报销应由你方单位或个人支付的费用；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三、不向项目有关人员及部门提供有可能影响公正的宴请和健身娱乐等活动；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六、严格遵守《</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政府采购法》《</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招标投标</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法》</w:t>
      </w:r>
      <w:r>
        <w:rPr>
          <w:rFonts w:hint="eastAsia" w:ascii="仿宋_GB2312" w:hAnsi="楷体" w:eastAsia="仿宋_GB2312"/>
          <w:sz w:val="24"/>
          <w:highlight w:val="none"/>
          <w:lang w:val="zh-CN"/>
        </w:rPr>
        <w:t>《中华人民共和国民法典》</w:t>
      </w:r>
      <w:r>
        <w:rPr>
          <w:rFonts w:hint="eastAsia" w:ascii="仿宋_GB2312" w:hAnsi="仿宋_GB2312" w:eastAsia="仿宋_GB2312" w:cs="仿宋_GB2312"/>
          <w:kern w:val="0"/>
          <w:sz w:val="24"/>
          <w:highlight w:val="none"/>
          <w:lang w:val="zh-CN"/>
        </w:rPr>
        <w:t>等法律法规，诚实守信，合法经营，坚决抵制各种违法违纪行为。</w:t>
      </w:r>
      <w:r>
        <w:rPr>
          <w:rFonts w:ascii="仿宋_GB2312" w:hAnsi="仿宋_GB2312" w:eastAsia="仿宋_GB2312" w:cs="仿宋_GB2312"/>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ind w:left="4620" w:leftChars="2200"/>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spacing w:line="360" w:lineRule="auto"/>
        <w:jc w:val="center"/>
        <w:rPr>
          <w:rFonts w:ascii="仿宋_GB2312" w:hAnsi="仿宋" w:eastAsia="仿宋_GB2312" w:cs="仿宋_GB2312"/>
          <w:b/>
          <w:bCs/>
          <w:sz w:val="24"/>
          <w:highlight w:val="none"/>
        </w:rPr>
      </w:pPr>
    </w:p>
    <w:p>
      <w:pPr>
        <w:spacing w:line="360" w:lineRule="auto"/>
        <w:jc w:val="center"/>
        <w:rPr>
          <w:rFonts w:ascii="仿宋_GB2312" w:hAnsi="仿宋" w:eastAsia="仿宋_GB2312" w:cs="仿宋_GB2312"/>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报价文件部分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（1）开标一览表（报价表）………………………………………………………（页码）</w:t>
      </w:r>
    </w:p>
    <w:p>
      <w:pPr>
        <w:pStyle w:val="64"/>
        <w:ind w:left="0" w:leftChars="0" w:firstLine="0" w:firstLineChars="0"/>
        <w:rPr>
          <w:rFonts w:hint="eastAsia" w:ascii="仿宋" w:hAnsi="仿宋" w:eastAsia="仿宋" w:cs="仿宋"/>
          <w:kern w:val="0"/>
          <w:sz w:val="24"/>
          <w:highlight w:val="none"/>
        </w:rPr>
      </w:pP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）报价明细清单…………………………………………………………………（页码）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）中小企业声明函………………………………………………………………（页码）</w:t>
      </w:r>
    </w:p>
    <w:p>
      <w:pPr>
        <w:pStyle w:val="4"/>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69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r>
        <w:rPr>
          <w:rFonts w:hint="eastAsia" w:ascii="仿宋_GB2312" w:hAnsi="仿宋" w:eastAsia="仿宋_GB2312" w:cs="仿宋_GB2312"/>
          <w:kern w:val="2"/>
          <w:sz w:val="32"/>
          <w:szCs w:val="32"/>
          <w:highlight w:val="none"/>
        </w:rPr>
        <w:t>一、开标一览表（报价表）</w:t>
      </w:r>
    </w:p>
    <w:p>
      <w:pPr>
        <w:snapToGrid w:val="0"/>
        <w:spacing w:line="360" w:lineRule="auto"/>
        <w:rPr>
          <w:rFonts w:ascii="仿宋_GB2312" w:hAnsi="仿宋" w:eastAsia="仿宋_GB2312" w:cs="仿宋_GB2312"/>
          <w:kern w:val="0"/>
          <w:sz w:val="24"/>
          <w:highlight w:val="none"/>
        </w:rPr>
      </w:pPr>
      <w:r>
        <w:rPr>
          <w:rFonts w:hint="eastAsia" w:ascii="仿宋" w:hAnsi="仿宋" w:eastAsia="仿宋" w:cs="仿宋"/>
          <w:bCs/>
          <w:sz w:val="24"/>
          <w:highlight w:val="none"/>
          <w:lang w:val="en-US" w:eastAsia="zh-CN"/>
        </w:rPr>
        <w:t>杭州市临平区人民政府乔司街道办事处</w:t>
      </w:r>
      <w:r>
        <w:rPr>
          <w:rFonts w:hint="eastAsia" w:ascii="仿宋" w:hAnsi="仿宋" w:eastAsia="仿宋" w:cs="仿宋"/>
          <w:sz w:val="24"/>
          <w:highlight w:val="none"/>
        </w:rPr>
        <w:t>、</w:t>
      </w:r>
      <w:r>
        <w:rPr>
          <w:rFonts w:hint="eastAsia" w:ascii="仿宋" w:hAnsi="仿宋" w:eastAsia="仿宋" w:cs="仿宋"/>
          <w:sz w:val="24"/>
          <w:highlight w:val="none"/>
          <w:lang w:eastAsia="zh-CN"/>
        </w:rPr>
        <w:t>浙江新诚信工程咨询有限公司</w:t>
      </w:r>
      <w:r>
        <w:rPr>
          <w:rFonts w:hint="eastAsia" w:ascii="仿宋_GB2312" w:hAnsi="仿宋" w:eastAsia="仿宋_GB2312" w:cs="仿宋_GB2312"/>
          <w:kern w:val="0"/>
          <w:sz w:val="24"/>
          <w:highlight w:val="none"/>
          <w:lang w:val="zh-CN"/>
        </w:rPr>
        <w:t>：</w:t>
      </w:r>
    </w:p>
    <w:p>
      <w:pPr>
        <w:snapToGrid w:val="0"/>
        <w:spacing w:line="360" w:lineRule="auto"/>
        <w:ind w:firstLine="482"/>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highlight w:val="none"/>
          <w:u w:val="single"/>
        </w:rPr>
        <w:t>（项目名称）</w:t>
      </w:r>
      <w:r>
        <w:rPr>
          <w:rFonts w:hint="eastAsia" w:ascii="仿宋_GB2312" w:hAnsi="仿宋" w:eastAsia="仿宋_GB2312" w:cs="仿宋_GB2312"/>
          <w:kern w:val="0"/>
          <w:sz w:val="24"/>
          <w:highlight w:val="none"/>
          <w:lang w:val="zh-CN"/>
        </w:rPr>
        <w:t>【招标编号：</w:t>
      </w:r>
      <w:r>
        <w:rPr>
          <w:rFonts w:hint="eastAsia" w:ascii="仿宋_GB2312" w:hAnsi="仿宋" w:eastAsia="仿宋_GB2312"/>
          <w:sz w:val="24"/>
          <w:highlight w:val="none"/>
          <w:u w:val="single"/>
        </w:rPr>
        <w:t>（采购编号）</w:t>
      </w:r>
      <w:r>
        <w:rPr>
          <w:rFonts w:hint="eastAsia" w:ascii="仿宋_GB2312" w:hAnsi="仿宋" w:eastAsia="仿宋_GB2312" w:cs="仿宋_GB2312"/>
          <w:sz w:val="24"/>
          <w:highlight w:val="none"/>
        </w:rPr>
        <w:t>】的实施</w:t>
      </w:r>
      <w:r>
        <w:rPr>
          <w:rFonts w:hint="eastAsia" w:ascii="仿宋_GB2312" w:hAnsi="仿宋" w:eastAsia="仿宋_GB2312" w:cs="仿宋_GB2312"/>
          <w:kern w:val="0"/>
          <w:sz w:val="24"/>
          <w:highlight w:val="none"/>
          <w:lang w:val="zh-CN"/>
        </w:rPr>
        <w:t>。</w:t>
      </w:r>
    </w:p>
    <w:p>
      <w:pPr>
        <w:spacing w:line="360" w:lineRule="auto"/>
        <w:jc w:val="center"/>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开标一览表（报价表）</w:t>
      </w:r>
      <w:r>
        <w:rPr>
          <w:rFonts w:ascii="仿宋_GB2312" w:hAnsi="仿宋" w:eastAsia="仿宋_GB2312" w:cs="仿宋_GB2312"/>
          <w:b/>
          <w:kern w:val="0"/>
          <w:sz w:val="24"/>
          <w:highlight w:val="none"/>
          <w:lang w:val="zh-CN"/>
        </w:rPr>
        <w:t>(单位均为人民币元)</w:t>
      </w:r>
    </w:p>
    <w:tbl>
      <w:tblPr>
        <w:tblStyle w:val="65"/>
        <w:tblW w:w="141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1584"/>
        <w:gridCol w:w="1658"/>
        <w:gridCol w:w="1020"/>
        <w:gridCol w:w="2010"/>
        <w:gridCol w:w="1732"/>
        <w:gridCol w:w="5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序号</w:t>
            </w:r>
          </w:p>
        </w:tc>
        <w:tc>
          <w:tcPr>
            <w:tcW w:w="3242"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auto"/>
              <w:ind w:left="0"/>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项目</w:t>
            </w:r>
          </w:p>
        </w:tc>
        <w:tc>
          <w:tcPr>
            <w:tcW w:w="1020" w:type="dxa"/>
            <w:tcBorders>
              <w:top w:val="single" w:color="000000" w:sz="4" w:space="0"/>
              <w:left w:val="single" w:color="auto" w:sz="4" w:space="0"/>
              <w:bottom w:val="single" w:color="000000" w:sz="4" w:space="0"/>
              <w:right w:val="single" w:color="auto" w:sz="4" w:space="0"/>
            </w:tcBorders>
            <w:vAlign w:val="center"/>
          </w:tcPr>
          <w:p>
            <w:pPr>
              <w:spacing w:line="240" w:lineRule="auto"/>
              <w:ind w:left="0"/>
              <w:jc w:val="center"/>
              <w:rPr>
                <w:rFonts w:hint="default" w:ascii="等线" w:hAnsi="等线" w:eastAsia="宋体" w:cs="Times New Roman"/>
                <w:color w:val="auto"/>
                <w:kern w:val="2"/>
                <w:sz w:val="18"/>
                <w:szCs w:val="18"/>
                <w:highlight w:val="none"/>
                <w:lang w:val="en-US" w:eastAsia="zh-CN"/>
              </w:rPr>
            </w:pPr>
            <w:r>
              <w:rPr>
                <w:rFonts w:hint="eastAsia" w:ascii="等线" w:hAnsi="等线" w:eastAsia="宋体" w:cs="Times New Roman"/>
                <w:color w:val="auto"/>
                <w:kern w:val="2"/>
                <w:sz w:val="18"/>
                <w:szCs w:val="18"/>
                <w:highlight w:val="none"/>
                <w:lang w:val="en-US" w:eastAsia="zh-CN"/>
              </w:rPr>
              <w:t>服务期</w:t>
            </w:r>
          </w:p>
        </w:tc>
        <w:tc>
          <w:tcPr>
            <w:tcW w:w="2010" w:type="dxa"/>
            <w:tcBorders>
              <w:top w:val="single" w:color="000000" w:sz="4" w:space="0"/>
              <w:left w:val="single" w:color="auto" w:sz="4" w:space="0"/>
              <w:bottom w:val="single" w:color="000000" w:sz="4" w:space="0"/>
              <w:right w:val="single" w:color="000000" w:sz="4" w:space="0"/>
            </w:tcBorders>
            <w:vAlign w:val="center"/>
          </w:tcPr>
          <w:p>
            <w:pPr>
              <w:spacing w:line="240" w:lineRule="auto"/>
              <w:ind w:left="0"/>
              <w:jc w:val="center"/>
              <w:rPr>
                <w:rFonts w:hint="default" w:ascii="等线" w:hAnsi="等线" w:eastAsia="宋体" w:cs="Times New Roman"/>
                <w:color w:val="auto"/>
                <w:kern w:val="2"/>
                <w:sz w:val="18"/>
                <w:szCs w:val="18"/>
                <w:highlight w:val="none"/>
                <w:lang w:val="en-US" w:eastAsia="zh-CN"/>
              </w:rPr>
            </w:pPr>
            <w:r>
              <w:rPr>
                <w:rFonts w:hint="eastAsia" w:ascii="等线" w:hAnsi="等线" w:eastAsia="宋体" w:cs="Times New Roman"/>
                <w:color w:val="auto"/>
                <w:kern w:val="2"/>
                <w:sz w:val="18"/>
                <w:szCs w:val="18"/>
                <w:highlight w:val="none"/>
                <w:lang w:val="en-US" w:eastAsia="zh-CN"/>
              </w:rPr>
              <w:t>投标报价（元/年）</w:t>
            </w:r>
          </w:p>
        </w:tc>
        <w:tc>
          <w:tcPr>
            <w:tcW w:w="1732"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hint="default" w:ascii="等线" w:hAnsi="等线" w:eastAsia="宋体" w:cs="Times New Roman"/>
                <w:color w:val="auto"/>
                <w:kern w:val="2"/>
                <w:sz w:val="18"/>
                <w:szCs w:val="18"/>
                <w:highlight w:val="none"/>
                <w:lang w:val="en-US" w:eastAsia="zh-CN"/>
              </w:rPr>
            </w:pPr>
            <w:r>
              <w:rPr>
                <w:rFonts w:hint="eastAsia" w:ascii="等线" w:hAnsi="等线" w:eastAsia="宋体" w:cs="Times New Roman"/>
                <w:color w:val="auto"/>
                <w:kern w:val="2"/>
                <w:sz w:val="18"/>
                <w:szCs w:val="18"/>
                <w:highlight w:val="none"/>
                <w:lang w:val="en-GB" w:eastAsia="zh-CN"/>
              </w:rPr>
              <w:t>投标</w:t>
            </w:r>
            <w:r>
              <w:rPr>
                <w:rFonts w:hint="eastAsia" w:ascii="等线" w:hAnsi="等线" w:eastAsia="宋体" w:cs="Times New Roman"/>
                <w:color w:val="auto"/>
                <w:kern w:val="2"/>
                <w:sz w:val="18"/>
                <w:szCs w:val="18"/>
                <w:highlight w:val="none"/>
                <w:lang w:val="en-US" w:eastAsia="zh-CN"/>
              </w:rPr>
              <w:t>总</w:t>
            </w:r>
            <w:r>
              <w:rPr>
                <w:rFonts w:hint="eastAsia" w:ascii="等线" w:hAnsi="等线" w:eastAsia="宋体" w:cs="Times New Roman"/>
                <w:color w:val="auto"/>
                <w:kern w:val="2"/>
                <w:sz w:val="18"/>
                <w:szCs w:val="18"/>
                <w:highlight w:val="none"/>
                <w:lang w:val="en-GB" w:eastAsia="zh-CN"/>
              </w:rPr>
              <w:t>报价（</w:t>
            </w:r>
            <w:r>
              <w:rPr>
                <w:rFonts w:hint="eastAsia" w:ascii="等线" w:hAnsi="等线" w:eastAsia="宋体" w:cs="Times New Roman"/>
                <w:color w:val="auto"/>
                <w:kern w:val="2"/>
                <w:sz w:val="18"/>
                <w:szCs w:val="18"/>
                <w:highlight w:val="none"/>
                <w:lang w:val="en-US" w:eastAsia="zh-CN"/>
              </w:rPr>
              <w:t>元）</w:t>
            </w:r>
          </w:p>
        </w:tc>
        <w:tc>
          <w:tcPr>
            <w:tcW w:w="5453"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9" w:hRule="atLeast"/>
        </w:trPr>
        <w:tc>
          <w:tcPr>
            <w:tcW w:w="733"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等线" w:hAnsi="等线" w:eastAsia="宋体" w:cs="Times New Roman"/>
                <w:color w:val="auto"/>
                <w:kern w:val="2"/>
                <w:sz w:val="18"/>
                <w:szCs w:val="18"/>
                <w:highlight w:val="none"/>
                <w:lang w:val="zh-CN" w:eastAsia="zh-CN"/>
              </w:rPr>
            </w:pPr>
            <w:r>
              <w:rPr>
                <w:rFonts w:hint="eastAsia" w:cs="Times New Roman"/>
                <w:color w:val="auto"/>
                <w:kern w:val="2"/>
                <w:sz w:val="18"/>
                <w:szCs w:val="18"/>
                <w:highlight w:val="none"/>
                <w:lang w:val="en-US" w:eastAsia="zh-CN"/>
              </w:rPr>
              <w:t>1</w:t>
            </w:r>
          </w:p>
        </w:tc>
        <w:tc>
          <w:tcPr>
            <w:tcW w:w="1584" w:type="dxa"/>
            <w:vMerge w:val="restart"/>
            <w:tcBorders>
              <w:top w:val="single" w:color="000000" w:sz="4" w:space="0"/>
              <w:left w:val="single" w:color="000000" w:sz="4" w:space="0"/>
              <w:right w:val="single" w:color="auto" w:sz="4" w:space="0"/>
            </w:tcBorders>
            <w:vAlign w:val="center"/>
          </w:tcPr>
          <w:p>
            <w:pPr>
              <w:spacing w:line="240" w:lineRule="auto"/>
              <w:jc w:val="center"/>
              <w:rPr>
                <w:rFonts w:hint="default" w:ascii="等线" w:hAnsi="等线" w:cs="Times New Roman"/>
                <w:color w:val="auto"/>
                <w:kern w:val="2"/>
                <w:sz w:val="18"/>
                <w:szCs w:val="18"/>
                <w:highlight w:val="none"/>
                <w:lang w:val="en-US"/>
              </w:rPr>
            </w:pPr>
            <w:r>
              <w:rPr>
                <w:rFonts w:hint="eastAsia" w:ascii="宋体" w:hAnsi="宋体" w:cs="宋体"/>
                <w:color w:val="000000"/>
                <w:kern w:val="0"/>
                <w:sz w:val="21"/>
                <w:szCs w:val="21"/>
                <w:highlight w:val="none"/>
              </w:rPr>
              <w:t>道路保洁费</w:t>
            </w:r>
          </w:p>
        </w:tc>
        <w:tc>
          <w:tcPr>
            <w:tcW w:w="1658" w:type="dxa"/>
            <w:tcBorders>
              <w:top w:val="single" w:color="000000" w:sz="4" w:space="0"/>
              <w:left w:val="single" w:color="auto" w:sz="4" w:space="0"/>
              <w:right w:val="single" w:color="auto" w:sz="4" w:space="0"/>
            </w:tcBorders>
            <w:vAlign w:val="center"/>
          </w:tcPr>
          <w:p>
            <w:pPr>
              <w:spacing w:line="240" w:lineRule="auto"/>
              <w:jc w:val="center"/>
              <w:rPr>
                <w:rFonts w:hint="default" w:ascii="等线" w:hAnsi="等线"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日常保洁人员工资</w:t>
            </w:r>
          </w:p>
        </w:tc>
        <w:tc>
          <w:tcPr>
            <w:tcW w:w="1020" w:type="dxa"/>
            <w:tcBorders>
              <w:top w:val="single" w:color="000000" w:sz="4" w:space="0"/>
              <w:left w:val="single" w:color="auto" w:sz="4" w:space="0"/>
              <w:right w:val="single" w:color="auto" w:sz="4" w:space="0"/>
            </w:tcBorders>
            <w:vAlign w:val="center"/>
          </w:tcPr>
          <w:p>
            <w:pPr>
              <w:spacing w:line="240" w:lineRule="auto"/>
              <w:jc w:val="center"/>
              <w:rPr>
                <w:rFonts w:hint="default"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3年</w:t>
            </w:r>
          </w:p>
        </w:tc>
        <w:tc>
          <w:tcPr>
            <w:tcW w:w="2010" w:type="dxa"/>
            <w:tcBorders>
              <w:top w:val="single" w:color="000000" w:sz="4" w:space="0"/>
              <w:left w:val="single" w:color="auto" w:sz="4" w:space="0"/>
              <w:right w:val="single" w:color="000000" w:sz="4" w:space="0"/>
            </w:tcBorders>
            <w:vAlign w:val="center"/>
          </w:tcPr>
          <w:p>
            <w:pPr>
              <w:spacing w:line="360" w:lineRule="auto"/>
              <w:jc w:val="center"/>
              <w:rPr>
                <w:rFonts w:hint="default" w:cs="Times New Roman"/>
                <w:color w:val="auto"/>
                <w:kern w:val="2"/>
                <w:sz w:val="18"/>
                <w:szCs w:val="18"/>
                <w:highlight w:val="none"/>
                <w:lang w:val="en-US" w:eastAsia="zh-CN"/>
              </w:rPr>
            </w:pPr>
            <w:r>
              <w:rPr>
                <w:rFonts w:hint="eastAsia" w:ascii="宋体" w:hAnsi="宋体"/>
                <w:color w:val="auto"/>
                <w:sz w:val="24"/>
                <w:highlight w:val="none"/>
              </w:rPr>
              <w:t>（小写）</w:t>
            </w:r>
          </w:p>
        </w:tc>
        <w:tc>
          <w:tcPr>
            <w:tcW w:w="1732" w:type="dxa"/>
            <w:tcBorders>
              <w:top w:val="single" w:color="000000" w:sz="4" w:space="0"/>
              <w:left w:val="single" w:color="000000" w:sz="4" w:space="0"/>
              <w:right w:val="single" w:color="000000" w:sz="4" w:space="0"/>
            </w:tcBorders>
            <w:vAlign w:val="center"/>
          </w:tcPr>
          <w:p>
            <w:pPr>
              <w:spacing w:line="360" w:lineRule="auto"/>
              <w:jc w:val="center"/>
              <w:rPr>
                <w:rFonts w:ascii="等线" w:hAnsi="等线" w:cs="Times New Roman"/>
                <w:color w:val="auto"/>
                <w:kern w:val="2"/>
                <w:sz w:val="18"/>
                <w:szCs w:val="18"/>
                <w:highlight w:val="none"/>
                <w:lang w:val="zh-CN"/>
              </w:rPr>
            </w:pPr>
            <w:r>
              <w:rPr>
                <w:rFonts w:hint="eastAsia" w:ascii="宋体" w:hAnsi="宋体"/>
                <w:color w:val="auto"/>
                <w:sz w:val="24"/>
                <w:highlight w:val="none"/>
              </w:rPr>
              <w:t>（小写）</w:t>
            </w:r>
          </w:p>
        </w:tc>
        <w:tc>
          <w:tcPr>
            <w:tcW w:w="545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等线" w:hAnsi="等线" w:cs="Times New Roman"/>
                <w:b/>
                <w:bCs/>
                <w:color w:val="auto"/>
                <w:kern w:val="2"/>
                <w:sz w:val="18"/>
                <w:szCs w:val="18"/>
                <w:highlight w:val="none"/>
                <w:lang w:val="zh-CN"/>
              </w:rPr>
            </w:pPr>
            <w:r>
              <w:rPr>
                <w:rFonts w:ascii="等线" w:hAnsi="等线" w:cs="Times New Roman"/>
                <w:b/>
                <w:bCs/>
                <w:color w:val="auto"/>
                <w:kern w:val="2"/>
                <w:sz w:val="18"/>
                <w:szCs w:val="18"/>
                <w:highlight w:val="none"/>
                <w:lang w:val="zh-CN"/>
              </w:rPr>
              <w:t>人员不得少于</w:t>
            </w:r>
            <w:r>
              <w:rPr>
                <w:rFonts w:hint="eastAsia" w:ascii="等线" w:hAnsi="等线" w:cs="Times New Roman"/>
                <w:b/>
                <w:bCs/>
                <w:color w:val="auto"/>
                <w:kern w:val="2"/>
                <w:sz w:val="18"/>
                <w:szCs w:val="18"/>
                <w:highlight w:val="none"/>
                <w:u w:val="single"/>
                <w:lang w:val="en-US" w:eastAsia="zh-CN"/>
              </w:rPr>
              <w:t xml:space="preserve">  </w:t>
            </w:r>
            <w:r>
              <w:rPr>
                <w:rFonts w:hint="default" w:hAnsi="等线" w:cs="Times New Roman"/>
                <w:b/>
                <w:bCs/>
                <w:color w:val="auto"/>
                <w:kern w:val="2"/>
                <w:sz w:val="18"/>
                <w:szCs w:val="18"/>
                <w:highlight w:val="none"/>
                <w:u w:val="single"/>
                <w:lang w:val="en-US" w:eastAsia="zh-CN"/>
              </w:rPr>
              <w:t>96</w:t>
            </w:r>
            <w:r>
              <w:rPr>
                <w:rFonts w:hint="eastAsia" w:ascii="等线" w:hAnsi="等线" w:cs="Times New Roman"/>
                <w:b/>
                <w:bCs/>
                <w:color w:val="auto"/>
                <w:kern w:val="2"/>
                <w:sz w:val="18"/>
                <w:szCs w:val="18"/>
                <w:highlight w:val="none"/>
                <w:u w:val="single"/>
                <w:lang w:val="en-US" w:eastAsia="zh-CN"/>
              </w:rPr>
              <w:t xml:space="preserve">  </w:t>
            </w:r>
            <w:r>
              <w:rPr>
                <w:rFonts w:ascii="等线" w:hAnsi="等线" w:cs="Times New Roman"/>
                <w:b/>
                <w:bCs/>
                <w:color w:val="auto"/>
                <w:kern w:val="2"/>
                <w:sz w:val="18"/>
                <w:szCs w:val="18"/>
                <w:highlight w:val="none"/>
                <w:lang w:val="zh-CN"/>
              </w:rPr>
              <w:t>人，</w:t>
            </w:r>
            <w:r>
              <w:rPr>
                <w:rFonts w:hint="eastAsia" w:ascii="等线" w:hAnsi="等线" w:eastAsia="宋体" w:cs="Times New Roman"/>
                <w:b/>
                <w:bCs/>
                <w:color w:val="auto"/>
                <w:kern w:val="2"/>
                <w:sz w:val="18"/>
                <w:szCs w:val="18"/>
                <w:highlight w:val="none"/>
                <w:lang w:val="zh-CN"/>
              </w:rPr>
              <w:t>人员工资不得低于杭州市最低工资标准</w:t>
            </w:r>
            <w:r>
              <w:rPr>
                <w:rFonts w:hint="default" w:hAnsi="等线" w:eastAsia="宋体" w:cs="Times New Roman"/>
                <w:b/>
                <w:bCs/>
                <w:color w:val="auto"/>
                <w:kern w:val="2"/>
                <w:sz w:val="18"/>
                <w:szCs w:val="18"/>
                <w:highlight w:val="none"/>
                <w:lang w:val="en-US"/>
              </w:rPr>
              <w:t>1.1</w:t>
            </w:r>
            <w:r>
              <w:rPr>
                <w:rFonts w:hint="eastAsia" w:hAnsi="等线" w:eastAsia="宋体" w:cs="Times New Roman"/>
                <w:b/>
                <w:bCs/>
                <w:color w:val="auto"/>
                <w:kern w:val="2"/>
                <w:sz w:val="18"/>
                <w:szCs w:val="18"/>
                <w:highlight w:val="none"/>
                <w:lang w:val="en-US" w:eastAsia="zh-CN"/>
              </w:rPr>
              <w:t>倍</w:t>
            </w:r>
            <w:r>
              <w:rPr>
                <w:rFonts w:hint="eastAsia" w:ascii="等线" w:hAnsi="等线" w:cs="Times New Roman"/>
                <w:b/>
                <w:bCs/>
                <w:color w:val="auto"/>
                <w:kern w:val="2"/>
                <w:sz w:val="18"/>
                <w:szCs w:val="18"/>
                <w:highlight w:val="none"/>
                <w:lang w:val="zh-CN"/>
              </w:rPr>
              <w:t>，</w:t>
            </w:r>
          </w:p>
          <w:p>
            <w:pPr>
              <w:spacing w:line="240" w:lineRule="auto"/>
              <w:jc w:val="center"/>
              <w:rPr>
                <w:rFonts w:ascii="等线" w:hAnsi="等线" w:cs="Times New Roman"/>
                <w:color w:val="auto"/>
                <w:kern w:val="2"/>
                <w:sz w:val="18"/>
                <w:szCs w:val="18"/>
                <w:highlight w:val="none"/>
                <w:lang w:val="zh-CN"/>
              </w:rPr>
            </w:pPr>
            <w:r>
              <w:rPr>
                <w:rFonts w:ascii="等线" w:hAnsi="等线" w:cs="Times New Roman"/>
                <w:b/>
                <w:bCs/>
                <w:color w:val="auto"/>
                <w:kern w:val="2"/>
                <w:sz w:val="18"/>
                <w:szCs w:val="18"/>
                <w:highlight w:val="none"/>
                <w:lang w:val="zh-CN"/>
              </w:rPr>
              <w:t xml:space="preserve">服务期 </w:t>
            </w:r>
            <w:r>
              <w:rPr>
                <w:rFonts w:hint="eastAsia" w:ascii="等线" w:hAnsi="等线" w:cs="Times New Roman"/>
                <w:b/>
                <w:bCs/>
                <w:color w:val="auto"/>
                <w:kern w:val="2"/>
                <w:sz w:val="18"/>
                <w:szCs w:val="18"/>
                <w:highlight w:val="none"/>
                <w:lang w:val="en-US" w:eastAsia="zh-CN"/>
              </w:rPr>
              <w:t>3</w:t>
            </w:r>
            <w:r>
              <w:rPr>
                <w:rFonts w:ascii="等线" w:hAnsi="等线" w:cs="Times New Roman"/>
                <w:b/>
                <w:bCs/>
                <w:color w:val="auto"/>
                <w:kern w:val="2"/>
                <w:sz w:val="18"/>
                <w:szCs w:val="18"/>
                <w:highlight w:val="none"/>
                <w:lang w:val="zh-CN"/>
              </w:rPr>
              <w:t xml:space="preserve">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4" w:hRule="atLeast"/>
        </w:trPr>
        <w:tc>
          <w:tcPr>
            <w:tcW w:w="733" w:type="dxa"/>
            <w:vMerge w:val="continue"/>
            <w:tcBorders>
              <w:left w:val="single" w:color="000000" w:sz="4" w:space="0"/>
              <w:right w:val="single" w:color="000000" w:sz="4" w:space="0"/>
            </w:tcBorders>
            <w:vAlign w:val="center"/>
          </w:tcPr>
          <w:p>
            <w:pPr>
              <w:spacing w:line="240" w:lineRule="auto"/>
              <w:jc w:val="center"/>
              <w:rPr>
                <w:rFonts w:hint="eastAsia" w:cs="Times New Roman"/>
                <w:color w:val="auto"/>
                <w:kern w:val="2"/>
                <w:sz w:val="18"/>
                <w:szCs w:val="18"/>
                <w:highlight w:val="none"/>
                <w:lang w:val="en-US" w:eastAsia="zh-CN"/>
              </w:rPr>
            </w:pPr>
          </w:p>
        </w:tc>
        <w:tc>
          <w:tcPr>
            <w:tcW w:w="1584" w:type="dxa"/>
            <w:vMerge w:val="continue"/>
            <w:tcBorders>
              <w:left w:val="single" w:color="000000" w:sz="4" w:space="0"/>
              <w:right w:val="single" w:color="auto" w:sz="4" w:space="0"/>
            </w:tcBorders>
            <w:vAlign w:val="center"/>
          </w:tcPr>
          <w:p>
            <w:pPr>
              <w:spacing w:line="240" w:lineRule="auto"/>
              <w:jc w:val="center"/>
              <w:rPr>
                <w:rFonts w:hint="eastAsia" w:ascii="等线" w:hAnsi="等线" w:cs="Times New Roman"/>
                <w:color w:val="auto"/>
                <w:kern w:val="2"/>
                <w:sz w:val="18"/>
                <w:szCs w:val="18"/>
                <w:highlight w:val="none"/>
                <w:lang w:val="zh-CN" w:eastAsia="zh-CN"/>
              </w:rPr>
            </w:pPr>
          </w:p>
        </w:tc>
        <w:tc>
          <w:tcPr>
            <w:tcW w:w="1658" w:type="dxa"/>
            <w:tcBorders>
              <w:top w:val="single" w:color="000000" w:sz="4" w:space="0"/>
              <w:left w:val="single" w:color="auto" w:sz="4" w:space="0"/>
              <w:right w:val="single" w:color="auto" w:sz="4" w:space="0"/>
            </w:tcBorders>
            <w:vAlign w:val="center"/>
          </w:tcPr>
          <w:p>
            <w:pPr>
              <w:spacing w:line="240" w:lineRule="auto"/>
              <w:jc w:val="center"/>
              <w:rPr>
                <w:rFonts w:hint="default" w:ascii="等线" w:hAnsi="等线"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设备投入费用</w:t>
            </w:r>
          </w:p>
        </w:tc>
        <w:tc>
          <w:tcPr>
            <w:tcW w:w="1020" w:type="dxa"/>
            <w:tcBorders>
              <w:top w:val="single" w:color="000000" w:sz="4" w:space="0"/>
              <w:left w:val="single" w:color="auto" w:sz="4" w:space="0"/>
              <w:right w:val="single" w:color="auto" w:sz="4" w:space="0"/>
            </w:tcBorders>
            <w:vAlign w:val="center"/>
          </w:tcPr>
          <w:p>
            <w:pPr>
              <w:spacing w:line="240" w:lineRule="auto"/>
              <w:jc w:val="center"/>
              <w:rPr>
                <w:rFonts w:hint="eastAsia"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3年</w:t>
            </w:r>
          </w:p>
        </w:tc>
        <w:tc>
          <w:tcPr>
            <w:tcW w:w="2010" w:type="dxa"/>
            <w:tcBorders>
              <w:top w:val="single" w:color="000000" w:sz="4" w:space="0"/>
              <w:left w:val="single" w:color="auto" w:sz="4" w:space="0"/>
              <w:right w:val="single" w:color="000000" w:sz="4" w:space="0"/>
            </w:tcBorders>
            <w:vAlign w:val="center"/>
          </w:tcPr>
          <w:p>
            <w:pPr>
              <w:spacing w:line="360" w:lineRule="auto"/>
              <w:jc w:val="center"/>
              <w:rPr>
                <w:rFonts w:hint="eastAsia" w:cs="Times New Roman"/>
                <w:color w:val="auto"/>
                <w:kern w:val="2"/>
                <w:sz w:val="18"/>
                <w:szCs w:val="18"/>
                <w:highlight w:val="none"/>
                <w:lang w:val="en-US" w:eastAsia="zh-CN"/>
              </w:rPr>
            </w:pPr>
            <w:r>
              <w:rPr>
                <w:rFonts w:hint="eastAsia" w:ascii="宋体" w:hAnsi="宋体"/>
                <w:color w:val="auto"/>
                <w:sz w:val="24"/>
                <w:highlight w:val="none"/>
              </w:rPr>
              <w:t>（小写）</w:t>
            </w:r>
          </w:p>
        </w:tc>
        <w:tc>
          <w:tcPr>
            <w:tcW w:w="1732" w:type="dxa"/>
            <w:tcBorders>
              <w:top w:val="single" w:color="000000" w:sz="4" w:space="0"/>
              <w:left w:val="single" w:color="000000" w:sz="4" w:space="0"/>
              <w:right w:val="single" w:color="000000" w:sz="4" w:space="0"/>
            </w:tcBorders>
            <w:vAlign w:val="center"/>
          </w:tcPr>
          <w:p>
            <w:pPr>
              <w:spacing w:line="360" w:lineRule="auto"/>
              <w:jc w:val="center"/>
              <w:rPr>
                <w:rFonts w:ascii="等线" w:hAnsi="等线" w:cs="Times New Roman"/>
                <w:color w:val="auto"/>
                <w:kern w:val="2"/>
                <w:sz w:val="18"/>
                <w:szCs w:val="18"/>
                <w:highlight w:val="none"/>
                <w:lang w:val="zh-CN"/>
              </w:rPr>
            </w:pPr>
            <w:r>
              <w:rPr>
                <w:rFonts w:hint="eastAsia" w:ascii="宋体" w:hAnsi="宋体"/>
                <w:color w:val="auto"/>
                <w:sz w:val="24"/>
                <w:highlight w:val="none"/>
              </w:rPr>
              <w:t>（小写）</w:t>
            </w:r>
          </w:p>
        </w:tc>
        <w:tc>
          <w:tcPr>
            <w:tcW w:w="545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等线" w:hAnsi="等线" w:cs="Times New Roman"/>
                <w:color w:val="auto"/>
                <w:kern w:val="2"/>
                <w:sz w:val="18"/>
                <w:szCs w:val="18"/>
                <w:highlight w:val="none"/>
                <w:lang w:val="zh-CN"/>
              </w:rPr>
            </w:pPr>
            <w:r>
              <w:rPr>
                <w:rFonts w:hint="eastAsia" w:ascii="宋体" w:hAnsi="宋体" w:eastAsia="宋体" w:cs="宋体"/>
                <w:b/>
                <w:bCs/>
                <w:color w:val="auto"/>
                <w:sz w:val="18"/>
                <w:szCs w:val="18"/>
                <w:highlight w:val="none"/>
                <w:lang w:val="en-US" w:eastAsia="zh-CN"/>
              </w:rPr>
              <w:t>不</w:t>
            </w:r>
            <w:r>
              <w:rPr>
                <w:rFonts w:ascii="宋体" w:hAnsi="宋体" w:eastAsia="宋体" w:cs="宋体"/>
                <w:b/>
                <w:bCs/>
                <w:color w:val="auto"/>
                <w:sz w:val="18"/>
                <w:szCs w:val="18"/>
                <w:highlight w:val="none"/>
              </w:rPr>
              <w:t>得低于道路保洁费</w:t>
            </w:r>
            <w:r>
              <w:rPr>
                <w:rFonts w:hint="eastAsia" w:ascii="宋体" w:hAnsi="宋体" w:eastAsia="宋体" w:cs="宋体"/>
                <w:b/>
                <w:bCs/>
                <w:color w:val="auto"/>
                <w:sz w:val="18"/>
                <w:szCs w:val="18"/>
                <w:highlight w:val="none"/>
                <w:lang w:val="en-US" w:eastAsia="zh-CN"/>
              </w:rPr>
              <w:t>的</w:t>
            </w:r>
            <w:r>
              <w:rPr>
                <w:rFonts w:hint="eastAsia" w:ascii="宋体" w:hAnsi="宋体" w:cs="宋体"/>
                <w:b/>
                <w:bCs/>
                <w:color w:val="auto"/>
                <w:sz w:val="18"/>
                <w:szCs w:val="18"/>
                <w:highlight w:val="none"/>
                <w:u w:val="single"/>
                <w:lang w:val="en-US" w:eastAsia="zh-CN"/>
              </w:rPr>
              <w:t xml:space="preserve"> </w:t>
            </w:r>
            <w:r>
              <w:rPr>
                <w:rFonts w:hint="default" w:ascii="宋体" w:hAnsi="宋体" w:cs="宋体"/>
                <w:b/>
                <w:bCs/>
                <w:color w:val="auto"/>
                <w:sz w:val="18"/>
                <w:szCs w:val="18"/>
                <w:highlight w:val="none"/>
                <w:u w:val="single"/>
                <w:lang w:val="en-US" w:eastAsia="zh-CN"/>
              </w:rPr>
              <w:t>60</w:t>
            </w:r>
            <w:r>
              <w:rPr>
                <w:rFonts w:hint="eastAsia" w:ascii="宋体" w:hAnsi="宋体" w:cs="宋体"/>
                <w:b/>
                <w:bCs/>
                <w:color w:val="auto"/>
                <w:sz w:val="18"/>
                <w:szCs w:val="18"/>
                <w:highlight w:val="none"/>
                <w:u w:val="single"/>
                <w:lang w:val="en-US" w:eastAsia="zh-CN"/>
              </w:rPr>
              <w:t xml:space="preserve"> </w:t>
            </w:r>
            <w:r>
              <w:rPr>
                <w:rFonts w:ascii="宋体" w:hAnsi="宋体" w:eastAsia="宋体" w:cs="宋体"/>
                <w:b/>
                <w:bCs/>
                <w:color w:val="auto"/>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atLeast"/>
        </w:trPr>
        <w:tc>
          <w:tcPr>
            <w:tcW w:w="7005" w:type="dxa"/>
            <w:gridSpan w:val="5"/>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合计总价</w:t>
            </w:r>
          </w:p>
        </w:tc>
        <w:tc>
          <w:tcPr>
            <w:tcW w:w="1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小写</w:t>
            </w:r>
            <w:r>
              <w:rPr>
                <w:rFonts w:hint="eastAsia" w:cs="Times New Roman"/>
                <w:color w:val="auto"/>
                <w:kern w:val="2"/>
                <w:sz w:val="18"/>
                <w:szCs w:val="18"/>
                <w:highlight w:val="none"/>
                <w:lang w:val="zh-CN"/>
              </w:rPr>
              <w:t>（元）</w:t>
            </w:r>
          </w:p>
        </w:tc>
        <w:tc>
          <w:tcPr>
            <w:tcW w:w="5453" w:type="dxa"/>
            <w:tcBorders>
              <w:top w:val="single" w:color="000000" w:sz="4" w:space="0"/>
              <w:left w:val="single" w:color="000000" w:sz="4" w:space="0"/>
              <w:bottom w:val="single" w:color="auto"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4" w:hRule="atLeast"/>
        </w:trPr>
        <w:tc>
          <w:tcPr>
            <w:tcW w:w="700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p>
        </w:tc>
        <w:tc>
          <w:tcPr>
            <w:tcW w:w="1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大写</w:t>
            </w:r>
            <w:r>
              <w:rPr>
                <w:rFonts w:hint="eastAsia" w:cs="Times New Roman"/>
                <w:color w:val="auto"/>
                <w:kern w:val="2"/>
                <w:sz w:val="18"/>
                <w:szCs w:val="18"/>
                <w:highlight w:val="none"/>
                <w:lang w:val="zh-CN"/>
              </w:rPr>
              <w:t>（元）</w:t>
            </w:r>
          </w:p>
        </w:tc>
        <w:tc>
          <w:tcPr>
            <w:tcW w:w="5453" w:type="dxa"/>
            <w:tcBorders>
              <w:top w:val="single" w:color="auto" w:sz="4" w:space="0"/>
              <w:left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4190"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sz w:val="18"/>
                <w:szCs w:val="18"/>
                <w:highlight w:val="none"/>
                <w:lang w:val="zh-CN"/>
              </w:rPr>
            </w:pPr>
            <w:r>
              <w:rPr>
                <w:rFonts w:ascii="等线" w:hAnsi="等线" w:cs="Times New Roman"/>
                <w:color w:val="auto"/>
                <w:kern w:val="2"/>
                <w:sz w:val="18"/>
                <w:szCs w:val="18"/>
                <w:highlight w:val="none"/>
                <w:lang w:val="zh-CN"/>
              </w:rPr>
              <w:t>说明：</w:t>
            </w:r>
            <w:r>
              <w:rPr>
                <w:rFonts w:hint="eastAsia" w:cs="Times New Roman"/>
                <w:color w:val="auto"/>
                <w:kern w:val="2"/>
                <w:sz w:val="18"/>
                <w:szCs w:val="18"/>
                <w:highlight w:val="none"/>
                <w:lang w:val="zh-CN"/>
              </w:rPr>
              <w:t>（</w:t>
            </w:r>
            <w:r>
              <w:rPr>
                <w:rFonts w:hint="eastAsia" w:cs="Times New Roman"/>
                <w:color w:val="auto"/>
                <w:kern w:val="2"/>
                <w:sz w:val="18"/>
                <w:szCs w:val="18"/>
                <w:highlight w:val="none"/>
                <w:lang w:val="en-US" w:eastAsia="zh-CN"/>
              </w:rPr>
              <w:t>1</w:t>
            </w:r>
            <w:r>
              <w:rPr>
                <w:rFonts w:hint="eastAsia" w:cs="Times New Roman"/>
                <w:color w:val="auto"/>
                <w:kern w:val="2"/>
                <w:sz w:val="18"/>
                <w:szCs w:val="18"/>
                <w:highlight w:val="none"/>
                <w:lang w:val="zh-CN"/>
              </w:rPr>
              <w:t>）</w:t>
            </w:r>
            <w:r>
              <w:rPr>
                <w:rFonts w:ascii="等线" w:hAnsi="等线" w:cs="Times New Roman"/>
                <w:color w:val="auto"/>
                <w:kern w:val="2"/>
                <w:sz w:val="18"/>
                <w:szCs w:val="18"/>
                <w:highlight w:val="none"/>
                <w:lang w:val="zh-CN"/>
              </w:rPr>
              <w:t>投标报价四舍五入到元。</w:t>
            </w:r>
          </w:p>
        </w:tc>
      </w:tr>
    </w:tbl>
    <w:p>
      <w:pPr>
        <w:pStyle w:val="5"/>
        <w:spacing w:line="360" w:lineRule="exact"/>
        <w:rPr>
          <w:rFonts w:hint="eastAsia" w:ascii="华文仿宋" w:hAnsi="华文仿宋" w:eastAsia="华文仿宋" w:cs="仿宋_GB2312"/>
          <w:b/>
          <w:bCs/>
          <w:kern w:val="0"/>
          <w:sz w:val="24"/>
          <w:highlight w:val="none"/>
          <w:lang w:val="en-US"/>
        </w:rPr>
      </w:pPr>
      <w:r>
        <w:rPr>
          <w:rFonts w:hint="eastAsia" w:ascii="仿宋_GB2312" w:hAnsi="仿宋" w:eastAsia="仿宋_GB2312" w:cs="仿宋_GB2312"/>
          <w:b/>
          <w:kern w:val="0"/>
          <w:sz w:val="24"/>
          <w:highlight w:val="none"/>
          <w:lang w:val="zh-CN"/>
        </w:rPr>
        <w:t>注：</w:t>
      </w:r>
      <w:r>
        <w:rPr>
          <w:rFonts w:ascii="仿宋_GB2312" w:hAnsi="仿宋" w:eastAsia="仿宋_GB2312" w:cs="仿宋_GB2312"/>
          <w:b/>
          <w:bCs/>
          <w:kern w:val="0"/>
          <w:sz w:val="24"/>
          <w:highlight w:val="none"/>
          <w:lang w:val="zh-CN"/>
        </w:rPr>
        <w:t>1、</w:t>
      </w:r>
      <w:r>
        <w:rPr>
          <w:rFonts w:hint="eastAsia" w:ascii="华文仿宋" w:hAnsi="华文仿宋" w:eastAsia="华文仿宋" w:cs="Arial"/>
          <w:b/>
          <w:bCs/>
          <w:sz w:val="21"/>
          <w:szCs w:val="21"/>
          <w:highlight w:val="none"/>
          <w:lang w:val="en-US"/>
        </w:rPr>
        <w:t>▲本</w:t>
      </w:r>
      <w:r>
        <w:rPr>
          <w:rFonts w:hint="eastAsia" w:ascii="华文仿宋" w:hAnsi="华文仿宋" w:eastAsia="华文仿宋" w:cs="仿宋_GB2312"/>
          <w:b/>
          <w:bCs/>
          <w:kern w:val="0"/>
          <w:sz w:val="24"/>
          <w:highlight w:val="none"/>
          <w:lang w:val="en-US"/>
        </w:rPr>
        <w:t>次招标</w:t>
      </w:r>
      <w:r>
        <w:rPr>
          <w:rFonts w:hint="eastAsia" w:ascii="华文仿宋" w:hAnsi="华文仿宋" w:eastAsia="华文仿宋" w:cs="仿宋_GB2312"/>
          <w:b/>
          <w:bCs/>
          <w:kern w:val="0"/>
          <w:sz w:val="24"/>
          <w:highlight w:val="none"/>
          <w:lang w:val="en-US" w:eastAsia="zh-CN"/>
        </w:rPr>
        <w:t>保洁人员工资最低</w:t>
      </w:r>
      <w:r>
        <w:rPr>
          <w:rFonts w:hint="eastAsia" w:ascii="华文仿宋" w:hAnsi="华文仿宋" w:eastAsia="华文仿宋" w:cs="仿宋_GB2312"/>
          <w:b/>
          <w:bCs/>
          <w:kern w:val="0"/>
          <w:sz w:val="24"/>
          <w:highlight w:val="none"/>
        </w:rPr>
        <w:t>不得低于杭州市最低工资标准的110%</w:t>
      </w:r>
      <w:r>
        <w:rPr>
          <w:rFonts w:hint="eastAsia" w:ascii="华文仿宋" w:hAnsi="华文仿宋" w:eastAsia="华文仿宋" w:cs="仿宋_GB2312"/>
          <w:b/>
          <w:bCs/>
          <w:kern w:val="0"/>
          <w:sz w:val="24"/>
          <w:highlight w:val="none"/>
          <w:lang w:val="en-US" w:eastAsia="zh-CN"/>
        </w:rPr>
        <w:t>为2508元/月，即30096元/年；夏季</w:t>
      </w:r>
      <w:r>
        <w:rPr>
          <w:rFonts w:hint="eastAsia" w:ascii="华文仿宋" w:hAnsi="华文仿宋" w:eastAsia="华文仿宋" w:cs="仿宋_GB2312"/>
          <w:b/>
          <w:bCs/>
          <w:kern w:val="0"/>
          <w:sz w:val="24"/>
          <w:highlight w:val="none"/>
          <w:lang w:val="en-US"/>
        </w:rPr>
        <w:t>高温</w:t>
      </w:r>
      <w:r>
        <w:rPr>
          <w:rFonts w:hint="eastAsia" w:ascii="华文仿宋" w:hAnsi="华文仿宋" w:eastAsia="华文仿宋" w:cs="仿宋_GB2312"/>
          <w:b/>
          <w:bCs/>
          <w:kern w:val="0"/>
          <w:sz w:val="24"/>
          <w:highlight w:val="none"/>
          <w:lang w:val="en-US" w:eastAsia="zh-CN"/>
        </w:rPr>
        <w:t>津贴按1200元/年额外补助；</w:t>
      </w:r>
    </w:p>
    <w:p>
      <w:pPr>
        <w:snapToGrid w:val="0"/>
        <w:spacing w:line="360" w:lineRule="auto"/>
        <w:rPr>
          <w:rFonts w:hint="eastAsia"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en-US" w:eastAsia="zh-CN"/>
        </w:rPr>
        <w:t xml:space="preserve">    2、根据《浙江省人民政府关于调整全省最低工资标准的通知》（浙政发〔2021〕22号），杭州市最低工资标准最低月工资标准为2280元。</w:t>
      </w:r>
    </w:p>
    <w:p>
      <w:pPr>
        <w:snapToGrid w:val="0"/>
        <w:spacing w:line="360" w:lineRule="auto"/>
        <w:ind w:firstLine="480" w:firstLineChars="2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en-US" w:eastAsia="zh-CN"/>
        </w:rPr>
        <w:t>3</w:t>
      </w:r>
      <w:r>
        <w:rPr>
          <w:rFonts w:ascii="仿宋_GB2312" w:hAnsi="仿宋" w:eastAsia="仿宋_GB2312" w:cs="仿宋_GB2312"/>
          <w:kern w:val="0"/>
          <w:sz w:val="24"/>
          <w:highlight w:val="none"/>
          <w:lang w:val="zh-CN"/>
        </w:rPr>
        <w:t>、投标人需按本表格式填写，不得自行更改。</w:t>
      </w:r>
    </w:p>
    <w:p>
      <w:pPr>
        <w:spacing w:line="360" w:lineRule="auto"/>
        <w:ind w:firstLine="480" w:firstLineChars="2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en-US" w:eastAsia="zh-CN"/>
        </w:rPr>
        <w:t>4</w:t>
      </w:r>
      <w:r>
        <w:rPr>
          <w:rFonts w:ascii="仿宋_GB2312" w:hAnsi="仿宋" w:eastAsia="仿宋_GB2312" w:cs="仿宋_GB2312"/>
          <w:kern w:val="0"/>
          <w:sz w:val="24"/>
          <w:highlight w:val="none"/>
          <w:lang w:val="zh-CN"/>
        </w:rPr>
        <w:t>、有关本项目实施所涉及的一切费用均计入报价。</w:t>
      </w:r>
      <w:r>
        <w:rPr>
          <w:rFonts w:hint="eastAsia" w:ascii="仿宋_GB2312" w:hAnsi="仿宋" w:eastAsia="仿宋_GB2312" w:cs="仿宋_GB2312"/>
          <w:b/>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不得出现“</w:t>
      </w:r>
      <w:r>
        <w:rPr>
          <w:rFonts w:ascii="仿宋_GB2312" w:hAnsi="仿宋" w:eastAsia="仿宋_GB2312" w:cs="仿宋_GB2312"/>
          <w:b/>
          <w:kern w:val="0"/>
          <w:sz w:val="24"/>
          <w:highlight w:val="none"/>
          <w:lang w:val="zh-CN"/>
        </w:rPr>
        <w:t>0元”“免费赠送”等形式的无偿报价</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rPr>
        <w:t>否则视为</w:t>
      </w:r>
      <w:r>
        <w:rPr>
          <w:rFonts w:hint="eastAsia" w:ascii="仿宋_GB2312" w:hAnsi="仿宋" w:eastAsia="仿宋_GB2312"/>
          <w:b/>
          <w:sz w:val="24"/>
          <w:highlight w:val="none"/>
        </w:rPr>
        <w:t>投标文件含有采购人不能接受的附加条件的，投标无效</w:t>
      </w:r>
      <w:r>
        <w:rPr>
          <w:rFonts w:hint="eastAsia" w:ascii="仿宋_GB2312" w:hAnsi="仿宋" w:eastAsia="仿宋_GB2312" w:cs="仿宋_GB2312"/>
          <w:b/>
          <w:kern w:val="0"/>
          <w:sz w:val="24"/>
          <w:highlight w:val="none"/>
          <w:lang w:val="zh-CN"/>
        </w:rPr>
        <w:t>。</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en-US" w:eastAsia="zh-CN"/>
        </w:rPr>
        <w:t>5</w:t>
      </w:r>
      <w:r>
        <w:rPr>
          <w:rFonts w:ascii="仿宋_GB2312" w:hAnsi="仿宋" w:eastAsia="仿宋_GB2312" w:cs="仿宋_GB2312"/>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en-US" w:eastAsia="zh-CN"/>
        </w:rPr>
        <w:t>6</w:t>
      </w:r>
      <w:r>
        <w:rPr>
          <w:rFonts w:ascii="仿宋_GB2312" w:hAnsi="仿宋" w:eastAsia="仿宋_GB2312" w:cs="仿宋_GB2312"/>
          <w:kern w:val="0"/>
          <w:sz w:val="24"/>
          <w:highlight w:val="none"/>
          <w:lang w:val="zh-CN"/>
        </w:rPr>
        <w:t>、特别提示：采购机构将对项目名称和项目编号，中标供应商名称、地址和中标金额，主要中标标的</w:t>
      </w:r>
      <w:r>
        <w:rPr>
          <w:rFonts w:hint="eastAsia" w:ascii="仿宋_GB2312" w:hAnsi="仿宋" w:eastAsia="仿宋_GB2312" w:cs="仿宋_GB2312"/>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szCs w:val="22"/>
          <w:highlight w:val="none"/>
          <w:lang w:val="en-US" w:eastAsia="zh-CN"/>
        </w:rPr>
        <w:t>7</w:t>
      </w:r>
      <w:r>
        <w:rPr>
          <w:rFonts w:ascii="仿宋_GB2312" w:hAnsi="仿宋" w:eastAsia="仿宋_GB2312" w:cs="仿宋_GB2312"/>
          <w:kern w:val="0"/>
          <w:sz w:val="24"/>
          <w:szCs w:val="22"/>
          <w:highlight w:val="none"/>
          <w:lang w:val="zh-CN"/>
        </w:rPr>
        <w:t>、</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highlight w:val="none"/>
        </w:rPr>
      </w:pPr>
    </w:p>
    <w:p>
      <w:pPr>
        <w:pStyle w:val="69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p>
    <w:p>
      <w:pPr>
        <w:snapToGrid w:val="0"/>
        <w:spacing w:line="360" w:lineRule="auto"/>
        <w:ind w:firstLine="482" w:firstLineChars="200"/>
        <w:jc w:val="right"/>
        <w:rPr>
          <w:rFonts w:hint="eastAsia" w:ascii="仿宋" w:hAnsi="仿宋" w:eastAsia="仿宋" w:cs="仿宋"/>
          <w:b/>
          <w:kern w:val="0"/>
          <w:sz w:val="24"/>
          <w:highlight w:val="none"/>
        </w:rPr>
      </w:pPr>
    </w:p>
    <w:p>
      <w:pPr>
        <w:spacing w:line="360" w:lineRule="auto"/>
        <w:ind w:right="960" w:firstLine="10440" w:firstLineChars="4350"/>
        <w:rPr>
          <w:rFonts w:hint="eastAsia" w:ascii="仿宋" w:hAnsi="仿宋" w:eastAsia="仿宋" w:cs="仿宋"/>
          <w:sz w:val="24"/>
          <w:highlight w:val="none"/>
        </w:rPr>
      </w:pPr>
      <w:r>
        <w:rPr>
          <w:rFonts w:hint="eastAsia" w:ascii="仿宋" w:hAnsi="仿宋" w:eastAsia="仿宋" w:cs="仿宋"/>
          <w:sz w:val="24"/>
          <w:highlight w:val="none"/>
        </w:rPr>
        <w:t>投标人名称（电子签名）：</w:t>
      </w:r>
    </w:p>
    <w:p>
      <w:pPr>
        <w:spacing w:line="360" w:lineRule="auto"/>
        <w:ind w:right="480"/>
        <w:jc w:val="center"/>
        <w:rPr>
          <w:rFonts w:hint="eastAsia" w:ascii="仿宋" w:hAnsi="仿宋" w:eastAsia="仿宋" w:cs="仿宋"/>
          <w:sz w:val="24"/>
          <w:highlight w:val="none"/>
        </w:rPr>
      </w:pPr>
      <w:r>
        <w:rPr>
          <w:rFonts w:hint="eastAsia" w:ascii="仿宋" w:hAnsi="仿宋" w:eastAsia="仿宋" w:cs="仿宋"/>
          <w:sz w:val="24"/>
          <w:highlight w:val="none"/>
        </w:rPr>
        <w:t xml:space="preserve">                                                                               日期：  年   月   日</w:t>
      </w:r>
    </w:p>
    <w:p>
      <w:pPr>
        <w:pStyle w:val="69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ageBreakBefore/>
        <w:shd w:val="clear" w:color="auto" w:fill="FFFFFF"/>
        <w:snapToGrid w:val="0"/>
        <w:spacing w:line="360" w:lineRule="auto"/>
        <w:ind w:firstLine="482" w:firstLineChars="200"/>
        <w:jc w:val="center"/>
        <w:outlineLvl w:val="2"/>
        <w:rPr>
          <w:rFonts w:hint="eastAsia" w:ascii="宋体" w:hAnsi="宋体" w:cs="宋体"/>
          <w:b/>
          <w:color w:val="000000"/>
          <w:sz w:val="24"/>
          <w:highlight w:val="none"/>
        </w:rPr>
      </w:pPr>
      <w:bookmarkStart w:id="394" w:name="_Toc233618992"/>
      <w:r>
        <w:rPr>
          <w:rFonts w:hint="eastAsia" w:ascii="宋体" w:hAnsi="宋体" w:cs="宋体"/>
          <w:b/>
          <w:bCs/>
          <w:color w:val="000000"/>
          <w:sz w:val="24"/>
          <w:highlight w:val="none"/>
          <w:lang w:val="en-US" w:eastAsia="zh-CN"/>
        </w:rPr>
        <w:t>二</w:t>
      </w:r>
      <w:r>
        <w:rPr>
          <w:rFonts w:hint="eastAsia" w:ascii="宋体" w:hAnsi="宋体" w:cs="宋体"/>
          <w:b/>
          <w:bCs/>
          <w:color w:val="000000"/>
          <w:sz w:val="24"/>
          <w:highlight w:val="none"/>
        </w:rPr>
        <w:t>、报价明细清单</w:t>
      </w:r>
      <w:bookmarkEnd w:id="394"/>
    </w:p>
    <w:p>
      <w:pPr>
        <w:pStyle w:val="37"/>
        <w:snapToGrid w:val="0"/>
        <w:spacing w:line="360" w:lineRule="auto"/>
        <w:rPr>
          <w:rFonts w:hint="eastAsia" w:hAnsi="宋体" w:cs="宋体"/>
          <w:color w:val="000000"/>
          <w:kern w:val="0"/>
          <w:sz w:val="24"/>
          <w:highlight w:val="none"/>
          <w:lang w:val="zh-CN"/>
        </w:rPr>
      </w:pPr>
    </w:p>
    <w:p>
      <w:pPr>
        <w:pStyle w:val="37"/>
        <w:snapToGrid w:val="0"/>
        <w:spacing w:line="360" w:lineRule="auto"/>
        <w:rPr>
          <w:rFonts w:hint="eastAsia" w:hAnsi="宋体" w:cs="宋体"/>
          <w:color w:val="000000"/>
          <w:sz w:val="24"/>
          <w:highlight w:val="none"/>
        </w:rPr>
      </w:pPr>
      <w:r>
        <w:rPr>
          <w:rFonts w:hint="eastAsia" w:hAnsi="宋体" w:cs="宋体"/>
          <w:color w:val="000000"/>
          <w:kern w:val="0"/>
          <w:sz w:val="24"/>
          <w:highlight w:val="none"/>
          <w:lang w:val="zh-CN"/>
        </w:rPr>
        <w:t>注：</w:t>
      </w:r>
      <w:r>
        <w:rPr>
          <w:rFonts w:hint="eastAsia" w:hAnsi="宋体" w:cs="宋体"/>
          <w:color w:val="000000"/>
          <w:sz w:val="24"/>
          <w:highlight w:val="none"/>
        </w:rPr>
        <w:t>可根据具体情况调整报价明细清单格式，但应包括项目涉及的一切相关税、费等费用。</w:t>
      </w:r>
    </w:p>
    <w:p>
      <w:pPr>
        <w:pStyle w:val="37"/>
        <w:snapToGrid w:val="0"/>
        <w:spacing w:line="360" w:lineRule="auto"/>
        <w:rPr>
          <w:rFonts w:hint="eastAsia" w:hAnsi="宋体" w:cs="宋体"/>
          <w:color w:val="000000"/>
          <w:sz w:val="24"/>
          <w:highlight w:val="none"/>
        </w:rPr>
      </w:pPr>
    </w:p>
    <w:p>
      <w:pPr>
        <w:pStyle w:val="37"/>
        <w:snapToGrid w:val="0"/>
        <w:spacing w:line="360" w:lineRule="auto"/>
        <w:rPr>
          <w:rFonts w:hint="eastAsia" w:hAnsi="宋体" w:cs="宋体"/>
          <w:color w:val="000000"/>
          <w:sz w:val="24"/>
          <w:highlight w:val="none"/>
        </w:rPr>
      </w:pPr>
    </w:p>
    <w:p>
      <w:pPr>
        <w:pStyle w:val="37"/>
        <w:snapToGrid w:val="0"/>
        <w:spacing w:line="360" w:lineRule="auto"/>
        <w:rPr>
          <w:rFonts w:hint="eastAsia" w:hAnsi="宋体" w:cs="宋体"/>
          <w:color w:val="000000"/>
          <w:sz w:val="24"/>
          <w:highlight w:val="none"/>
        </w:rPr>
      </w:pPr>
    </w:p>
    <w:p>
      <w:pPr>
        <w:shd w:val="clear" w:color="auto" w:fill="FFFFFF"/>
        <w:snapToGrid w:val="0"/>
        <w:spacing w:line="360" w:lineRule="auto"/>
        <w:ind w:firstLine="2400" w:firstLineChars="1000"/>
        <w:rPr>
          <w:rFonts w:hint="eastAsia" w:ascii="宋体" w:hAnsi="宋体" w:cs="宋体"/>
          <w:color w:val="000000"/>
          <w:sz w:val="24"/>
          <w:highlight w:val="none"/>
        </w:rPr>
      </w:pPr>
      <w:r>
        <w:rPr>
          <w:rFonts w:hint="eastAsia" w:ascii="宋体" w:hAnsi="宋体" w:cs="宋体"/>
          <w:color w:val="000000"/>
          <w:sz w:val="24"/>
          <w:highlight w:val="none"/>
        </w:rPr>
        <w:t>投标人名称(公章)：</w:t>
      </w:r>
    </w:p>
    <w:p>
      <w:pPr>
        <w:shd w:val="clear" w:color="auto" w:fill="FFFFFF"/>
        <w:snapToGrid w:val="0"/>
        <w:spacing w:line="360" w:lineRule="auto"/>
        <w:ind w:firstLine="2400" w:firstLineChars="1000"/>
        <w:rPr>
          <w:rFonts w:ascii="宋体" w:hAnsi="宋体" w:cs="宋体"/>
          <w:color w:val="000000"/>
          <w:sz w:val="24"/>
          <w:highlight w:val="none"/>
        </w:rPr>
      </w:pPr>
      <w:r>
        <w:rPr>
          <w:rFonts w:hint="eastAsia" w:ascii="宋体" w:hAnsi="宋体" w:cs="宋体"/>
          <w:color w:val="000000"/>
          <w:sz w:val="24"/>
          <w:highlight w:val="none"/>
        </w:rPr>
        <w:t>授权代表人(签字)：</w:t>
      </w:r>
    </w:p>
    <w:p>
      <w:pPr>
        <w:pStyle w:val="28"/>
        <w:ind w:firstLine="643"/>
        <w:rPr>
          <w:rFonts w:hint="eastAsia" w:ascii="仿宋_GB2312" w:eastAsia="仿宋_GB2312"/>
          <w:b/>
          <w:color w:val="000000"/>
          <w:sz w:val="32"/>
          <w:szCs w:val="32"/>
          <w:highlight w:val="none"/>
        </w:rPr>
      </w:pPr>
    </w:p>
    <w:p>
      <w:pPr>
        <w:shd w:val="clear" w:color="auto" w:fill="FFFFFF"/>
        <w:snapToGrid w:val="0"/>
        <w:spacing w:line="360" w:lineRule="auto"/>
        <w:ind w:firstLine="5040" w:firstLineChars="2100"/>
        <w:rPr>
          <w:rFonts w:hint="eastAsia" w:ascii="宋体" w:hAnsi="宋体" w:cs="宋体"/>
          <w:color w:val="000000"/>
          <w:sz w:val="24"/>
          <w:highlight w:val="none"/>
        </w:rPr>
      </w:pPr>
      <w:r>
        <w:rPr>
          <w:rFonts w:hint="eastAsia" w:ascii="宋体" w:hAnsi="宋体" w:cs="宋体"/>
          <w:color w:val="000000"/>
          <w:sz w:val="24"/>
          <w:highlight w:val="none"/>
        </w:rPr>
        <w:t>日期：    年  月   日</w:t>
      </w:r>
    </w:p>
    <w:p>
      <w:pPr>
        <w:pStyle w:val="2"/>
        <w:tabs>
          <w:tab w:val="clear" w:pos="8268"/>
        </w:tabs>
        <w:rPr>
          <w:rFonts w:hint="eastAsia"/>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仿宋_GB2312" w:hAnsi="宋体" w:eastAsia="仿宋_GB2312"/>
          <w:sz w:val="32"/>
          <w:szCs w:val="32"/>
          <w:highlight w:val="none"/>
        </w:rPr>
      </w:pPr>
      <w:r>
        <w:rPr>
          <w:rFonts w:hint="eastAsia" w:ascii="仿宋_GB2312" w:hAnsi="仿宋" w:eastAsia="仿宋_GB2312" w:cs="仿宋_GB2312"/>
          <w:kern w:val="2"/>
          <w:sz w:val="32"/>
          <w:szCs w:val="32"/>
          <w:highlight w:val="none"/>
          <w:lang w:val="en-US" w:eastAsia="zh-CN"/>
        </w:rPr>
        <w:t>三</w:t>
      </w:r>
      <w:r>
        <w:rPr>
          <w:rFonts w:hint="eastAsia" w:ascii="仿宋_GB2312" w:hAnsi="仿宋" w:eastAsia="仿宋_GB2312" w:cs="仿宋_GB2312"/>
          <w:kern w:val="2"/>
          <w:sz w:val="32"/>
          <w:szCs w:val="32"/>
          <w:highlight w:val="none"/>
        </w:rPr>
        <w:t>、</w:t>
      </w:r>
      <w:r>
        <w:rPr>
          <w:rFonts w:hint="eastAsia" w:ascii="仿宋_GB2312" w:hAnsi="宋体" w:eastAsia="仿宋_GB2312"/>
          <w:sz w:val="32"/>
          <w:szCs w:val="32"/>
          <w:highlight w:val="none"/>
        </w:rPr>
        <w:t>中小企业声明函</w:t>
      </w:r>
    </w:p>
    <w:p>
      <w:pPr>
        <w:widowControl/>
        <w:spacing w:line="360" w:lineRule="auto"/>
        <w:ind w:firstLine="120" w:firstLineChars="5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p>
    <w:p>
      <w:pPr>
        <w:pStyle w:val="694"/>
        <w:keepNext w:val="0"/>
        <w:pageBreakBefore w:val="0"/>
        <w:tabs>
          <w:tab w:val="clear" w:pos="720"/>
        </w:tabs>
        <w:snapToGrid w:val="0"/>
        <w:spacing w:before="120" w:after="120"/>
        <w:ind w:firstLine="643"/>
        <w:outlineLvl w:val="9"/>
        <w:rPr>
          <w:rFonts w:ascii="仿宋_GB2312" w:hAnsi="宋体" w:eastAsia="仿宋_GB2312"/>
          <w:b w:val="0"/>
          <w:sz w:val="32"/>
          <w:szCs w:val="32"/>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政府采购支持中小企业信用融资相关事项通知</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一、适用对象</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二、相关信息获取方式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三、　政府采购信用融资操作流程：</w:t>
      </w:r>
    </w:p>
    <w:p>
      <w:pPr>
        <w:spacing w:line="360" w:lineRule="auto"/>
        <w:ind w:firstLine="960" w:firstLineChars="400"/>
        <w:rPr>
          <w:rFonts w:ascii="仿宋" w:hAnsi="仿宋" w:eastAsia="仿宋"/>
          <w:sz w:val="24"/>
          <w:highlight w:val="none"/>
        </w:rPr>
      </w:pPr>
      <w:r>
        <w:rPr>
          <w:rFonts w:hint="eastAsia" w:ascii="仿宋" w:hAnsi="仿宋" w:eastAsia="仿宋"/>
          <w:sz w:val="24"/>
          <w:highlight w:val="none"/>
        </w:rPr>
        <w:t>（一）线上融资模式：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2.供应商中标后，可通过杭州市政府采购网或“浙里办”测算授信额度；</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4.审批通过后，在线办理放贷手续。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（二）线下融资模式：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4.审批通过后，合作银行应按照合作备忘录中约定的审批放款期限和优惠利率及时予以放款。</w:t>
      </w:r>
    </w:p>
    <w:p>
      <w:pPr>
        <w:pStyle w:val="5"/>
        <w:numPr>
          <w:ilvl w:val="255"/>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（三）杭州e融平台申请融资</w:t>
      </w:r>
    </w:p>
    <w:p>
      <w:pPr>
        <w:pStyle w:val="5"/>
        <w:numPr>
          <w:ilvl w:val="255"/>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四、注意事项</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highlight w:val="none"/>
        </w:rPr>
      </w:pPr>
      <w:r>
        <w:rPr>
          <w:rFonts w:ascii="仿宋" w:hAnsi="仿宋" w:eastAsia="仿宋"/>
          <w:sz w:val="24"/>
          <w:highlight w:val="none"/>
        </w:rPr>
        <w:t>2</w:t>
      </w:r>
      <w:r>
        <w:rPr>
          <w:rFonts w:hint="eastAsia" w:ascii="仿宋" w:hAnsi="仿宋" w:eastAsia="仿宋"/>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highlight w:val="none"/>
        </w:rPr>
        <w:t>。</w:t>
      </w:r>
    </w:p>
    <w:p>
      <w:pPr>
        <w:spacing w:line="360" w:lineRule="auto"/>
        <w:ind w:left="5060" w:hanging="5060" w:hangingChars="2100"/>
        <w:rPr>
          <w:rFonts w:ascii="仿宋_GB2312" w:hAnsi="仿宋" w:eastAsia="仿宋_GB2312" w:cs="仿宋_GB2312"/>
          <w:b/>
          <w:bCs/>
          <w:kern w:val="0"/>
          <w:sz w:val="24"/>
          <w:highlight w:val="none"/>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highlight w:val="none"/>
        </w:rPr>
      </w:pPr>
      <w:bookmarkStart w:id="395" w:name="_Toc465665161"/>
      <w:r>
        <w:rPr>
          <w:rFonts w:hint="eastAsia" w:ascii="仿宋_GB2312" w:hAnsi="仿宋" w:eastAsia="仿宋_GB2312"/>
          <w:highlight w:val="none"/>
        </w:rPr>
        <w:t>附件</w:t>
      </w:r>
      <w:bookmarkEnd w:id="395"/>
    </w:p>
    <w:p>
      <w:pPr>
        <w:spacing w:line="360" w:lineRule="auto"/>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1：</w:t>
      </w:r>
    </w:p>
    <w:p>
      <w:pPr>
        <w:spacing w:line="360" w:lineRule="auto"/>
        <w:jc w:val="center"/>
        <w:rPr>
          <w:rFonts w:ascii="仿宋_GB2312" w:hAnsi="仿宋" w:eastAsia="仿宋_GB2312"/>
          <w:b/>
          <w:spacing w:val="6"/>
          <w:sz w:val="32"/>
          <w:szCs w:val="32"/>
          <w:highlight w:val="none"/>
        </w:rPr>
      </w:pPr>
      <w:bookmarkStart w:id="396" w:name="OLE_LINK14"/>
      <w:bookmarkStart w:id="397" w:name="OLE_LINK13"/>
      <w:r>
        <w:rPr>
          <w:rFonts w:hint="eastAsia" w:ascii="仿宋_GB2312" w:hAnsi="仿宋" w:eastAsia="仿宋_GB2312"/>
          <w:b/>
          <w:spacing w:val="6"/>
          <w:sz w:val="32"/>
          <w:szCs w:val="32"/>
          <w:highlight w:val="none"/>
        </w:rPr>
        <w:t>残疾人福利性单位声明函</w:t>
      </w:r>
    </w:p>
    <w:bookmarkEnd w:id="396"/>
    <w:bookmarkEnd w:id="397"/>
    <w:p>
      <w:pPr>
        <w:spacing w:line="360" w:lineRule="auto"/>
        <w:rPr>
          <w:rFonts w:ascii="仿宋_GB2312" w:hAnsi="仿宋" w:eastAsia="仿宋_GB2312"/>
          <w:b/>
          <w:spacing w:val="6"/>
          <w:sz w:val="30"/>
          <w:szCs w:val="30"/>
          <w:highlight w:val="none"/>
        </w:rPr>
      </w:pP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本单位郑重声明，根据《财政部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民政部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中国残疾人联合会关于促进残疾人就业政府采购政策的通知》（财库〔</w:t>
      </w:r>
      <w:r>
        <w:rPr>
          <w:rFonts w:ascii="仿宋_GB2312" w:hAnsi="仿宋" w:eastAsia="仿宋_GB2312" w:cs="仿宋_GB2312"/>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r>
        <w:rPr>
          <w:rFonts w:hint="eastAsia" w:ascii="仿宋_GB2312" w:hAnsi="仿宋" w:eastAsia="仿宋_GB2312" w:cs="仿宋_GB2312"/>
          <w:kern w:val="0"/>
          <w:sz w:val="24"/>
          <w:highlight w:val="none"/>
          <w:lang w:val="zh-CN"/>
        </w:rPr>
        <w:t>投标人名称（电子签名）</w:t>
      </w:r>
      <w:r>
        <w:rPr>
          <w:rFonts w:hint="eastAsia" w:ascii="仿宋_GB2312" w:hAnsi="仿宋" w:eastAsia="仿宋_GB2312" w:cs="仿宋_GB2312"/>
          <w:sz w:val="24"/>
          <w:highlight w:val="none"/>
        </w:rPr>
        <w:t>：</w:t>
      </w: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  期：</w:t>
      </w:r>
    </w:p>
    <w:p>
      <w:pPr>
        <w:spacing w:line="360" w:lineRule="auto"/>
        <w:ind w:firstLine="480" w:firstLineChars="200"/>
        <w:rPr>
          <w:rFonts w:ascii="仿宋_GB2312" w:hAnsi="仿宋" w:eastAsia="仿宋_GB2312" w:cs="仿宋_GB2312"/>
          <w:sz w:val="24"/>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2：质疑函范本及制作说明</w:t>
      </w: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质疑函范本</w:t>
      </w:r>
    </w:p>
    <w:p>
      <w:pPr>
        <w:snapToGrid w:val="0"/>
        <w:spacing w:before="240" w:beforeLines="100"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一、质疑供应商基本信息</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质疑供应商：</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联系人：</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授权代表：</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r>
        <w:rPr>
          <w:rFonts w:ascii="仿宋_GB2312" w:hAnsi="仿宋" w:eastAsia="仿宋_GB2312" w:cs="仿宋"/>
          <w:sz w:val="24"/>
          <w:highlight w:val="none"/>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rPr>
        <w:t xml:space="preserve"> </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二、质疑项目基本情况</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质疑项目的编号：</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包号：</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采购人名称：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采购文件获取日期：</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三、质疑事项具体内容</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1：</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事实依据：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法律依据：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2</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四、与质疑事项相关的质疑请求</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请求：</w:t>
      </w:r>
      <w:r>
        <w:rPr>
          <w:rFonts w:ascii="仿宋_GB2312" w:hAnsi="仿宋" w:eastAsia="仿宋_GB2312" w:cs="仿宋"/>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jc w:val="center"/>
        <w:rPr>
          <w:rFonts w:ascii="仿宋_GB2312" w:hAnsi="仿宋" w:eastAsia="仿宋_GB2312" w:cs="仿宋"/>
          <w:b/>
          <w:bCs/>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质疑函制作说明：</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2.质疑供应商若委托代理人进行质疑的，</w:t>
      </w:r>
      <w:r>
        <w:rPr>
          <w:rFonts w:hint="eastAsia" w:ascii="仿宋_GB2312" w:hAnsi="仿宋" w:eastAsia="仿宋_GB2312"/>
          <w:sz w:val="24"/>
          <w:highlight w:val="none"/>
        </w:rPr>
        <w:t>质疑函应按要求列明“授权代表”的有关内容，并在附件中提交由质疑</w:t>
      </w:r>
      <w:r>
        <w:rPr>
          <w:rFonts w:hint="eastAsia" w:ascii="仿宋_GB2312" w:hAnsi="仿宋" w:eastAsia="仿宋_GB2312"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5.质疑函的质疑请求应与质疑事项相关。</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6.质疑供应商为自然人的，</w:t>
      </w:r>
      <w:r>
        <w:rPr>
          <w:rFonts w:hint="eastAsia" w:ascii="仿宋_GB2312" w:hAnsi="仿宋" w:eastAsia="仿宋_GB2312"/>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3：投诉书范本及制作说明</w:t>
      </w:r>
    </w:p>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投诉书范本</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一、投诉相关主体基本情况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投诉人：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tabs>
          <w:tab w:val="left" w:pos="6510"/>
        </w:tabs>
        <w:spacing w:line="360" w:lineRule="auto"/>
        <w:jc w:val="left"/>
        <w:rPr>
          <w:rFonts w:ascii="仿宋_GB2312" w:hAnsi="仿宋" w:eastAsia="仿宋_GB2312"/>
          <w:sz w:val="24"/>
          <w:highlight w:val="none"/>
        </w:rPr>
      </w:pPr>
      <w:r>
        <w:rPr>
          <w:rFonts w:hint="eastAsia" w:ascii="仿宋_GB2312" w:hAnsi="仿宋" w:eastAsia="仿宋_GB2312"/>
          <w:sz w:val="24"/>
          <w:highlight w:val="none"/>
        </w:rPr>
        <w:t>法定代表人</w:t>
      </w:r>
      <w:r>
        <w:rPr>
          <w:rFonts w:ascii="仿宋_GB2312" w:hAnsi="仿宋" w:eastAsia="仿宋_GB2312"/>
          <w:sz w:val="24"/>
          <w:highlight w:val="none"/>
        </w:rPr>
        <w:t>/主要负责人：</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tabs>
          <w:tab w:val="left" w:pos="6510"/>
        </w:tabs>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授权代表：</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hint="eastAsia" w:ascii="仿宋_GB2312" w:hAnsi="仿宋" w:eastAsia="仿宋_GB2312"/>
          <w:sz w:val="24"/>
          <w:highlight w:val="none"/>
          <w:u w:val="dotted"/>
        </w:rPr>
        <w:t>：</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被投诉人</w:t>
      </w:r>
      <w:r>
        <w:rPr>
          <w:rFonts w:ascii="仿宋_GB2312" w:hAnsi="仿宋" w:eastAsia="仿宋_GB2312"/>
          <w:sz w:val="24"/>
          <w:highlight w:val="none"/>
        </w:rPr>
        <w:t>1：</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被投诉人</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相关供应商：</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二、投诉项目基本情况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采购项目名称：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采购项目编号：</w:t>
      </w:r>
      <w:r>
        <w:rPr>
          <w:rFonts w:ascii="仿宋_GB2312" w:hAnsi="仿宋" w:eastAsia="仿宋_GB2312"/>
          <w:sz w:val="24"/>
          <w:highlight w:val="none"/>
          <w:u w:val="dotted"/>
        </w:rPr>
        <w:t xml:space="preserve">                 </w:t>
      </w:r>
      <w:r>
        <w:rPr>
          <w:rFonts w:hint="eastAsia" w:ascii="仿宋_GB2312" w:hAnsi="仿宋" w:eastAsia="仿宋_GB2312"/>
          <w:sz w:val="24"/>
          <w:highlight w:val="none"/>
        </w:rPr>
        <w:t>包号：</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采购人名称：</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代理机构名称：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采购文件公告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采购结果公告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三、质疑基本情况</w:t>
      </w:r>
    </w:p>
    <w:p>
      <w:pPr>
        <w:spacing w:line="360" w:lineRule="auto"/>
        <w:ind w:firstLine="480" w:firstLineChars="200"/>
        <w:rPr>
          <w:rFonts w:ascii="仿宋_GB2312" w:hAnsi="仿宋" w:eastAsia="仿宋_GB2312"/>
          <w:sz w:val="24"/>
          <w:highlight w:val="none"/>
          <w:u w:val="dotted"/>
        </w:rPr>
      </w:pPr>
      <w:r>
        <w:rPr>
          <w:rFonts w:hint="eastAsia" w:ascii="仿宋_GB2312" w:hAnsi="仿宋" w:eastAsia="仿宋_GB2312"/>
          <w:sz w:val="24"/>
          <w:highlight w:val="none"/>
        </w:rPr>
        <w:t>投诉人于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,向</w:t>
      </w:r>
      <w:r>
        <w:rPr>
          <w:rFonts w:ascii="仿宋_GB2312" w:hAnsi="仿宋" w:eastAsia="仿宋_GB2312"/>
          <w:sz w:val="24"/>
          <w:highlight w:val="none"/>
          <w:u w:val="dotted"/>
        </w:rPr>
        <w:t xml:space="preserve">                   </w:t>
      </w:r>
      <w:r>
        <w:rPr>
          <w:rFonts w:hint="eastAsia" w:ascii="仿宋_GB2312" w:hAnsi="仿宋" w:eastAsia="仿宋_GB2312"/>
          <w:sz w:val="24"/>
          <w:highlight w:val="none"/>
        </w:rPr>
        <w:t>提出质疑，质疑事项为：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ind w:firstLine="360" w:firstLineChars="150"/>
        <w:rPr>
          <w:rFonts w:ascii="仿宋_GB2312" w:hAnsi="仿宋" w:eastAsia="仿宋_GB2312"/>
          <w:sz w:val="24"/>
          <w:highlight w:val="none"/>
        </w:rPr>
      </w:pPr>
      <w:r>
        <w:rPr>
          <w:rFonts w:hint="eastAsia" w:ascii="仿宋_GB2312" w:hAnsi="仿宋" w:eastAsia="仿宋_GB2312"/>
          <w:sz w:val="24"/>
          <w:highlight w:val="none"/>
          <w:u w:val="dotted"/>
        </w:rPr>
        <w:t>采购人</w:t>
      </w:r>
      <w:r>
        <w:rPr>
          <w:rFonts w:ascii="仿宋_GB2312" w:hAnsi="仿宋" w:eastAsia="仿宋_GB2312"/>
          <w:sz w:val="24"/>
          <w:highlight w:val="none"/>
          <w:u w:val="dotted"/>
        </w:rPr>
        <w:t>/代理机构</w:t>
      </w:r>
      <w:r>
        <w:rPr>
          <w:rFonts w:hint="eastAsia" w:ascii="仿宋_GB2312" w:hAnsi="仿宋" w:eastAsia="仿宋_GB2312"/>
          <w:sz w:val="24"/>
          <w:highlight w:val="none"/>
        </w:rPr>
        <w:t>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,就质疑事项</w:t>
      </w:r>
      <w:r>
        <w:rPr>
          <w:rFonts w:hint="eastAsia" w:ascii="仿宋_GB2312" w:hAnsi="仿宋" w:eastAsia="仿宋_GB2312"/>
          <w:sz w:val="24"/>
          <w:highlight w:val="none"/>
        </w:rPr>
        <w:t>作出了答复</w:t>
      </w:r>
      <w:r>
        <w:rPr>
          <w:rFonts w:ascii="仿宋_GB2312" w:hAnsi="仿宋" w:eastAsia="仿宋_GB2312"/>
          <w:sz w:val="24"/>
          <w:highlight w:val="none"/>
        </w:rPr>
        <w:t>/没有在法定期限内</w:t>
      </w:r>
      <w:r>
        <w:rPr>
          <w:rFonts w:hint="eastAsia" w:ascii="仿宋_GB2312" w:hAnsi="仿宋" w:eastAsia="仿宋_GB2312"/>
          <w:sz w:val="24"/>
          <w:highlight w:val="none"/>
        </w:rPr>
        <w:t>作出答复。</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四、投诉事项具体内容</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投诉事项</w:t>
      </w:r>
      <w:r>
        <w:rPr>
          <w:rFonts w:ascii="仿宋_GB2312" w:hAnsi="仿宋" w:eastAsia="仿宋_GB2312"/>
          <w:sz w:val="24"/>
          <w:highlight w:val="none"/>
        </w:rPr>
        <w:t xml:space="preserve"> 1：</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事实依据：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法律依据：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投诉事项</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五、与投诉事项相关的投诉请求</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请求：</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u w:val="single"/>
        </w:rPr>
      </w:pP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投诉书制作说明：</w:t>
      </w:r>
    </w:p>
    <w:p>
      <w:pPr>
        <w:widowControl/>
        <w:spacing w:line="360" w:lineRule="auto"/>
        <w:ind w:firstLine="480" w:firstLineChars="200"/>
        <w:rPr>
          <w:rFonts w:ascii="仿宋_GB2312" w:hAnsi="仿宋" w:eastAsia="仿宋_GB2312" w:cs="宋体"/>
          <w:kern w:val="0"/>
          <w:sz w:val="24"/>
          <w:highlight w:val="none"/>
        </w:rPr>
      </w:pPr>
      <w:r>
        <w:rPr>
          <w:rFonts w:ascii="仿宋_GB2312" w:hAnsi="仿宋" w:eastAsia="仿宋_GB2312"/>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2.投诉人若委托代理人进行投诉的，投诉书应按照要求列明“授权代表”的有关内容，并在附件中提交由</w:t>
      </w:r>
      <w:r>
        <w:rPr>
          <w:rFonts w:hint="eastAsia" w:ascii="仿宋_GB2312" w:hAnsi="仿宋" w:eastAsia="仿宋_GB2312"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4：</w:t>
      </w:r>
      <w:r>
        <w:rPr>
          <w:rFonts w:hint="eastAsia" w:ascii="仿宋" w:hAnsi="仿宋" w:eastAsia="仿宋"/>
          <w:b/>
          <w:bCs/>
          <w:sz w:val="32"/>
          <w:szCs w:val="32"/>
          <w:highlight w:val="none"/>
        </w:rPr>
        <w:t>业务专用章使用说明函</w:t>
      </w:r>
    </w:p>
    <w:p>
      <w:pPr>
        <w:spacing w:line="360" w:lineRule="auto"/>
        <w:rPr>
          <w:rFonts w:ascii="仿宋" w:hAnsi="仿宋" w:eastAsia="仿宋"/>
          <w:sz w:val="24"/>
          <w:highlight w:val="none"/>
        </w:rPr>
      </w:pPr>
      <w:r>
        <w:rPr>
          <w:rFonts w:hint="eastAsia" w:ascii="仿宋" w:hAnsi="仿宋" w:eastAsia="仿宋" w:cs="仿宋_GB2312"/>
          <w:sz w:val="24"/>
          <w:highlight w:val="none"/>
          <w:u w:val="single"/>
        </w:rPr>
        <w:t>（采购人）、（采购代理机构）</w:t>
      </w:r>
    </w:p>
    <w:p>
      <w:pPr>
        <w:spacing w:line="360" w:lineRule="auto"/>
        <w:ind w:firstLine="480" w:firstLineChars="200"/>
        <w:rPr>
          <w:rFonts w:ascii="仿宋" w:hAnsi="仿宋" w:eastAsia="仿宋" w:cs="宋体"/>
          <w:sz w:val="24"/>
          <w:highlight w:val="none"/>
        </w:rPr>
      </w:pPr>
      <w:r>
        <w:rPr>
          <w:rFonts w:hint="eastAsia" w:ascii="仿宋" w:hAnsi="仿宋" w:eastAsia="仿宋" w:cs="仿宋_GB2312"/>
          <w:kern w:val="0"/>
          <w:sz w:val="24"/>
          <w:highlight w:val="none"/>
          <w:lang w:val="zh-CN"/>
        </w:rPr>
        <w:t>我方</w:t>
      </w:r>
      <w:r>
        <w:rPr>
          <w:rFonts w:ascii="仿宋" w:hAnsi="仿宋" w:eastAsia="仿宋" w:cs="仿宋_GB2312"/>
          <w:kern w:val="0"/>
          <w:sz w:val="24"/>
          <w:highlight w:val="none"/>
          <w:u w:val="single"/>
          <w:lang w:val="zh-CN"/>
        </w:rPr>
        <w:t xml:space="preserve">                         </w:t>
      </w:r>
      <w:r>
        <w:rPr>
          <w:rFonts w:ascii="仿宋" w:hAnsi="仿宋" w:eastAsia="仿宋" w:cs="仿宋_GB2312"/>
          <w:sz w:val="24"/>
          <w:highlight w:val="none"/>
        </w:rPr>
        <w:t>(投标人全称)</w:t>
      </w:r>
      <w:r>
        <w:rPr>
          <w:rFonts w:hint="eastAsia" w:ascii="仿宋" w:hAnsi="仿宋" w:eastAsia="仿宋"/>
          <w:sz w:val="24"/>
          <w:highlight w:val="none"/>
        </w:rPr>
        <w:t>是中华人民共和国依法登记注册的合法企业，</w:t>
      </w:r>
      <w:r>
        <w:rPr>
          <w:rFonts w:hint="eastAsia" w:ascii="仿宋" w:hAnsi="仿宋" w:eastAsia="仿宋" w:cs="宋体"/>
          <w:bCs/>
          <w:sz w:val="24"/>
          <w:highlight w:val="none"/>
        </w:rPr>
        <w:t>在参加</w:t>
      </w:r>
      <w:r>
        <w:rPr>
          <w:rFonts w:hint="eastAsia" w:ascii="仿宋" w:hAnsi="仿宋" w:eastAsia="仿宋" w:cs="仿宋_GB2312"/>
          <w:sz w:val="24"/>
          <w:highlight w:val="none"/>
        </w:rPr>
        <w:t>你方组织的</w:t>
      </w:r>
      <w:r>
        <w:rPr>
          <w:rFonts w:hint="eastAsia" w:ascii="仿宋_GB2312" w:hAnsi="仿宋" w:eastAsia="仿宋_GB2312" w:cs="仿宋_GB2312"/>
          <w:sz w:val="24"/>
          <w:highlight w:val="none"/>
        </w:rPr>
        <w:t>（项目名称）项目</w:t>
      </w:r>
      <w:r>
        <w:rPr>
          <w:rFonts w:hint="eastAsia" w:ascii="仿宋" w:hAnsi="仿宋" w:eastAsia="仿宋" w:cs="仿宋_GB2312"/>
          <w:sz w:val="24"/>
          <w:highlight w:val="none"/>
        </w:rPr>
        <w:t>【招标编号：（采购编号）</w:t>
      </w:r>
      <w:r>
        <w:rPr>
          <w:rFonts w:ascii="仿宋" w:hAnsi="仿宋" w:eastAsia="仿宋" w:cs="仿宋_GB2312"/>
          <w:sz w:val="24"/>
          <w:highlight w:val="none"/>
        </w:rPr>
        <w:t>】</w:t>
      </w:r>
      <w:r>
        <w:rPr>
          <w:rFonts w:hint="eastAsia" w:ascii="仿宋" w:hAnsi="仿宋" w:eastAsia="仿宋" w:cs="宋体"/>
          <w:bCs/>
          <w:sz w:val="24"/>
          <w:highlight w:val="none"/>
        </w:rPr>
        <w:t>投标活动中作如下说明：</w:t>
      </w:r>
      <w:r>
        <w:rPr>
          <w:rFonts w:hint="eastAsia" w:ascii="仿宋" w:hAnsi="仿宋" w:eastAsia="仿宋" w:cs="宋体"/>
          <w:sz w:val="24"/>
          <w:highlight w:val="none"/>
        </w:rPr>
        <w:t>我方所使用的“</w:t>
      </w:r>
      <w:r>
        <w:rPr>
          <w:rFonts w:ascii="仿宋" w:hAnsi="仿宋" w:eastAsia="仿宋" w:cs="仿宋_GB2312"/>
          <w:sz w:val="24"/>
          <w:highlight w:val="none"/>
        </w:rPr>
        <w:t>XX</w:t>
      </w:r>
      <w:r>
        <w:rPr>
          <w:rFonts w:hint="eastAsia" w:ascii="仿宋" w:hAnsi="仿宋" w:eastAsia="仿宋" w:cs="宋体"/>
          <w:sz w:val="24"/>
          <w:highlight w:val="none"/>
        </w:rPr>
        <w:t>专用章”与法定名称章具有同等的法律效力，对使用“</w:t>
      </w:r>
      <w:r>
        <w:rPr>
          <w:rFonts w:ascii="仿宋" w:hAnsi="仿宋" w:eastAsia="仿宋" w:cs="仿宋_GB2312"/>
          <w:sz w:val="24"/>
          <w:highlight w:val="none"/>
        </w:rPr>
        <w:t>XX</w:t>
      </w:r>
      <w:r>
        <w:rPr>
          <w:rFonts w:hint="eastAsia" w:ascii="仿宋" w:hAnsi="仿宋" w:eastAsia="仿宋" w:cs="宋体"/>
          <w:sz w:val="24"/>
          <w:highlight w:val="none"/>
        </w:rPr>
        <w:t>专用章”的行为予以完全承认，并愿意承担相应责任。</w:t>
      </w:r>
      <w:r>
        <w:rPr>
          <w:rFonts w:ascii="仿宋" w:hAnsi="仿宋" w:eastAsia="仿宋" w:cs="宋体"/>
          <w:sz w:val="24"/>
          <w:highlight w:val="none"/>
        </w:rPr>
        <w:t xml:space="preserve">   </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特此说明。</w:t>
      </w: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right="480" w:firstLine="4080" w:firstLineChars="1700"/>
        <w:rPr>
          <w:rFonts w:ascii="仿宋" w:hAnsi="仿宋" w:eastAsia="仿宋" w:cs="宋体"/>
          <w:sz w:val="24"/>
          <w:highlight w:val="none"/>
        </w:rPr>
      </w:pPr>
      <w:r>
        <w:rPr>
          <w:rFonts w:hint="eastAsia" w:ascii="仿宋" w:hAnsi="仿宋" w:eastAsia="仿宋" w:cs="宋体"/>
          <w:sz w:val="24"/>
          <w:highlight w:val="none"/>
        </w:rPr>
        <w:t>投标单位（法定名称章）：</w:t>
      </w:r>
    </w:p>
    <w:p>
      <w:pPr>
        <w:ind w:right="1440" w:firstLine="494"/>
        <w:jc w:val="center"/>
        <w:rPr>
          <w:rFonts w:ascii="仿宋" w:hAnsi="仿宋" w:eastAsia="仿宋" w:cs="宋体"/>
          <w:sz w:val="24"/>
          <w:highlight w:val="none"/>
        </w:rPr>
      </w:pPr>
      <w:r>
        <w:rPr>
          <w:rFonts w:ascii="仿宋" w:hAnsi="仿宋" w:eastAsia="仿宋" w:cs="宋体"/>
          <w:sz w:val="24"/>
          <w:highlight w:val="none"/>
        </w:rPr>
        <w:t xml:space="preserve">                              日期：       年     月     日</w:t>
      </w:r>
    </w:p>
    <w:p>
      <w:pPr>
        <w:rPr>
          <w:rFonts w:ascii="仿宋" w:hAnsi="仿宋" w:eastAsia="仿宋" w:cs="宋体"/>
          <w:sz w:val="24"/>
          <w:highlight w:val="none"/>
        </w:rPr>
      </w:pPr>
      <w:r>
        <w:rPr>
          <w:rFonts w:hint="eastAsia" w:ascii="仿宋" w:hAnsi="仿宋" w:eastAsia="仿宋" w:cs="宋体"/>
          <w:b/>
          <w:bCs/>
          <w:sz w:val="24"/>
          <w:highlight w:val="none"/>
        </w:rPr>
        <w:t>附：</w:t>
      </w:r>
    </w:p>
    <w:p>
      <w:pPr>
        <w:spacing w:line="360" w:lineRule="auto"/>
        <w:rPr>
          <w:rFonts w:ascii="仿宋" w:hAnsi="仿宋" w:eastAsia="仿宋"/>
          <w:bCs/>
          <w:sz w:val="24"/>
          <w:highlight w:val="none"/>
        </w:rPr>
      </w:pPr>
      <w:r>
        <w:rPr>
          <w:rFonts w:ascii="仿宋" w:hAnsi="仿宋" w:eastAsia="仿宋"/>
          <w:b/>
          <w:bCs/>
          <w:sz w:val="24"/>
          <w:highlight w:val="none"/>
        </w:rPr>
        <mc:AlternateContent>
          <mc:Choice Requires="wps">
            <w:drawing>
              <wp:anchor distT="0" distB="0" distL="0" distR="0" simplePos="0" relativeHeight="1024" behindDoc="1" locked="0" layoutInCell="1" allowOverlap="1">
                <wp:simplePos x="0" y="0"/>
                <wp:positionH relativeFrom="column">
                  <wp:posOffset>3034030</wp:posOffset>
                </wp:positionH>
                <wp:positionV relativeFrom="paragraph">
                  <wp:posOffset>356235</wp:posOffset>
                </wp:positionV>
                <wp:extent cx="2704465" cy="2253615"/>
                <wp:effectExtent l="10160" t="13334" r="9525" b="9525"/>
                <wp:wrapNone/>
                <wp:docPr id="102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wps:wsp>
                  </a:graphicData>
                </a:graphic>
              </wp:anchor>
            </w:drawing>
          </mc:Choice>
          <mc:Fallback>
            <w:pict>
              <v:rect id="Rectangle 17" o:spid="_x0000_s1026" o:spt="1" style="position:absolute;left:0pt;margin-left:238.9pt;margin-top:28.05pt;height:177.45pt;width:212.95pt;z-index:-50331545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c/4wdgAAAAKAQAADwAAAAAAAAAB&#10;ACAAAAAiAAAAZHJzL2Rvd25yZXYueG1sUEsBAhQAFAAAAAgAh07iQPABTgrXAQAA1wMAAA4AAAAA&#10;AAAAAQAgAAAAJwEAAGRycy9lMm9Eb2MueG1sUEsFBgAAAAAGAAYAWQEAAHAFAAAAAA==&#10;">
                <v:fill on="t" focussize="0,0"/>
                <v:stroke color="#000000" joinstyle="miter"/>
                <v:imagedata o:title=""/>
                <o:lock v:ext="edit" aspectratio="f"/>
                <v:textbox>
                  <w:txbxContent>
                    <w:p>
                      <w:pPr>
                        <w:jc w:val="center"/>
                      </w:pPr>
                    </w:p>
                  </w:txbxContent>
                </v:textbox>
              </v:rect>
            </w:pict>
          </mc:Fallback>
        </mc:AlternateContent>
      </w:r>
      <w:r>
        <w:rPr>
          <w:rFonts w:ascii="仿宋" w:hAnsi="仿宋" w:eastAsia="仿宋"/>
          <w:b/>
          <w:bCs/>
          <w:sz w:val="24"/>
          <w:highlight w:val="none"/>
        </w:rPr>
        <mc:AlternateContent>
          <mc:Choice Requires="wps">
            <w:drawing>
              <wp:anchor distT="0" distB="0" distL="0" distR="0" simplePos="0" relativeHeight="1024" behindDoc="1" locked="0" layoutInCell="1" allowOverlap="1">
                <wp:simplePos x="0" y="0"/>
                <wp:positionH relativeFrom="column">
                  <wp:posOffset>-91440</wp:posOffset>
                </wp:positionH>
                <wp:positionV relativeFrom="paragraph">
                  <wp:posOffset>384810</wp:posOffset>
                </wp:positionV>
                <wp:extent cx="2647950" cy="2253615"/>
                <wp:effectExtent l="8890" t="13334" r="10160" b="9525"/>
                <wp:wrapNone/>
                <wp:docPr id="102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wps:wsp>
                  </a:graphicData>
                </a:graphic>
              </wp:anchor>
            </w:drawing>
          </mc:Choice>
          <mc:Fallback>
            <w:pict>
              <v:rect id="Rectangle 16" o:spid="_x0000_s1026" o:spt="1" style="position:absolute;left:0pt;margin-left:-7.2pt;margin-top:30.3pt;height:177.45pt;width:208.5pt;z-index:-503315456;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3TsFjYAAAACgEAAA8AAAAAAAAA&#10;AQAgAAAAIgAAAGRycy9kb3ducmV2LnhtbFBLAQIUABQAAAAIAIdO4kDszFKw2AEAANcDAAAOAAAA&#10;AAAAAAEAIAAAACcBAABkcnMvZTJvRG9jLnhtbFBLBQYAAAAABgAGAFkBAABxBQ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宋体"/>
          <w:sz w:val="24"/>
          <w:highlight w:val="none"/>
        </w:rPr>
        <w:t>投标单位法定名称章（印模）</w:t>
      </w:r>
      <w:r>
        <w:rPr>
          <w:rFonts w:ascii="仿宋" w:hAnsi="仿宋" w:eastAsia="仿宋" w:cs="宋体"/>
          <w:sz w:val="24"/>
          <w:highlight w:val="none"/>
        </w:rPr>
        <w:t xml:space="preserve">                </w:t>
      </w:r>
      <w:r>
        <w:rPr>
          <w:rFonts w:hint="eastAsia" w:ascii="仿宋" w:hAnsi="仿宋" w:eastAsia="仿宋" w:cs="宋体"/>
          <w:sz w:val="24"/>
          <w:highlight w:val="none"/>
        </w:rPr>
        <w:t>投标单位“</w:t>
      </w:r>
      <w:r>
        <w:rPr>
          <w:rFonts w:ascii="仿宋" w:hAnsi="仿宋" w:eastAsia="仿宋" w:cs="仿宋_GB2312"/>
          <w:sz w:val="24"/>
          <w:highlight w:val="none"/>
        </w:rPr>
        <w:t>XX</w:t>
      </w:r>
      <w:r>
        <w:rPr>
          <w:rFonts w:hint="eastAsia" w:ascii="仿宋" w:hAnsi="仿宋" w:eastAsia="仿宋" w:cs="宋体"/>
          <w:sz w:val="24"/>
          <w:highlight w:val="none"/>
        </w:rPr>
        <w:t>专用章”（印模）</w:t>
      </w: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hint="eastAsia"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5</w:t>
      </w:r>
      <w:r>
        <w:rPr>
          <w:rFonts w:hint="eastAsia" w:ascii="仿宋" w:hAnsi="仿宋" w:eastAsia="仿宋"/>
          <w:b/>
          <w:spacing w:val="6"/>
          <w:sz w:val="32"/>
          <w:szCs w:val="32"/>
          <w:highlight w:val="none"/>
        </w:rPr>
        <w:t>：</w:t>
      </w:r>
      <w:r>
        <w:rPr>
          <w:rFonts w:hint="eastAsia" w:ascii="仿宋_GB2312" w:hAnsi="宋体" w:eastAsia="仿宋_GB2312"/>
          <w:b/>
          <w:sz w:val="32"/>
          <w:szCs w:val="32"/>
          <w:highlight w:val="none"/>
        </w:rPr>
        <w:t>中小企业声明函</w:t>
      </w:r>
    </w:p>
    <w:p>
      <w:pPr>
        <w:spacing w:line="360" w:lineRule="auto"/>
        <w:jc w:val="center"/>
        <w:rPr>
          <w:rFonts w:ascii="仿宋" w:hAnsi="仿宋" w:eastAsia="仿宋" w:cs="仿宋_GB2312"/>
          <w:sz w:val="24"/>
          <w:highlight w:val="none"/>
          <w:u w:val="single"/>
        </w:rPr>
      </w:pPr>
    </w:p>
    <w:p>
      <w:pPr>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中小企业声明函（货物）</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hint="eastAsia" w:ascii="宋体" w:hAnsi="宋体" w:cs="宋体"/>
          <w:sz w:val="24"/>
          <w:highlight w:val="none"/>
        </w:rPr>
        <w:t>﹝</w:t>
      </w:r>
      <w:r>
        <w:rPr>
          <w:rFonts w:ascii="仿宋_GB2312" w:hAnsi="宋体" w:eastAsia="仿宋_GB2312"/>
          <w:sz w:val="24"/>
          <w:highlight w:val="none"/>
        </w:rPr>
        <w:t>2020</w:t>
      </w:r>
      <w:r>
        <w:rPr>
          <w:rFonts w:hint="eastAsia" w:ascii="宋体" w:hAnsi="宋体" w:cs="宋体"/>
          <w:sz w:val="24"/>
          <w:highlight w:val="none"/>
        </w:rPr>
        <w:t>﹞</w:t>
      </w:r>
      <w:r>
        <w:rPr>
          <w:rFonts w:ascii="仿宋_GB2312" w:hAnsi="宋体" w:eastAsia="仿宋_GB2312"/>
          <w:sz w:val="24"/>
          <w:highlight w:val="none"/>
        </w:rPr>
        <w:t xml:space="preserve">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jc w:val="left"/>
        <w:rPr>
          <w:rFonts w:ascii="仿宋_GB2312" w:hAnsi="宋体" w:eastAsia="仿宋_GB2312"/>
          <w:sz w:val="18"/>
          <w:szCs w:val="18"/>
          <w:highlight w:val="none"/>
        </w:rPr>
      </w:pPr>
      <w:r>
        <w:rPr>
          <w:rFonts w:hint="eastAsia" w:ascii="仿宋_GB2312" w:hAnsi="宋体" w:eastAsia="仿宋_GB2312"/>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注：符合《关于促进残疾人就业政府采购政策的通知》（财库〔</w:t>
      </w:r>
      <w:r>
        <w:rPr>
          <w:rFonts w:ascii="仿宋_GB2312" w:hAnsi="仿宋" w:eastAsia="仿宋_GB2312" w:cs="仿宋_GB2312"/>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宋体" w:eastAsia="仿宋_GB2312"/>
          <w:b/>
          <w:sz w:val="32"/>
          <w:szCs w:val="32"/>
          <w:highlight w:val="none"/>
        </w:rPr>
      </w:pPr>
      <w:r>
        <w:rPr>
          <w:rFonts w:hint="eastAsia" w:ascii="仿宋_GB2312" w:hAnsi="仿宋" w:eastAsia="仿宋_GB2312" w:cs="仿宋_GB2312"/>
          <w:b/>
          <w:sz w:val="32"/>
          <w:szCs w:val="32"/>
          <w:highlight w:val="none"/>
        </w:rPr>
        <w:t>中小企业声明函</w:t>
      </w:r>
      <w:r>
        <w:rPr>
          <w:rFonts w:hint="eastAsia" w:ascii="仿宋_GB2312" w:hAnsi="宋体" w:eastAsia="仿宋_GB2312"/>
          <w:b/>
          <w:sz w:val="32"/>
          <w:szCs w:val="32"/>
          <w:highlight w:val="none"/>
        </w:rPr>
        <w:t>（工程、服务）</w:t>
      </w:r>
    </w:p>
    <w:p>
      <w:pPr>
        <w:spacing w:line="360" w:lineRule="auto"/>
        <w:rPr>
          <w:rFonts w:ascii="仿宋_GB2312" w:hAnsi="仿宋" w:eastAsia="仿宋_GB2312"/>
          <w:highlight w:val="none"/>
        </w:rPr>
      </w:pPr>
    </w:p>
    <w:p>
      <w:pPr>
        <w:spacing w:line="360" w:lineRule="auto"/>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spacing w:line="360" w:lineRule="auto"/>
        <w:ind w:right="1120" w:firstLine="4680" w:firstLineChars="1950"/>
        <w:rPr>
          <w:rFonts w:ascii="仿宋_GB2312" w:hAnsi="宋体" w:eastAsia="仿宋_GB2312"/>
          <w:sz w:val="24"/>
          <w:highlight w:val="none"/>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w:t>
      </w:r>
    </w:p>
    <w:p>
      <w:pPr>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highlight w:val="none"/>
        </w:rPr>
      </w:pPr>
    </w:p>
    <w:p>
      <w:pPr>
        <w:spacing w:line="360" w:lineRule="auto"/>
        <w:ind w:right="420"/>
        <w:rPr>
          <w:rFonts w:ascii="仿宋_GB2312" w:hAnsi="仿宋" w:eastAsia="仿宋_GB2312" w:cs="仿宋_GB2312"/>
          <w:sz w:val="24"/>
          <w:highlight w:val="none"/>
        </w:rPr>
      </w:pPr>
      <w:r>
        <w:rPr>
          <w:rFonts w:ascii="仿宋_GB2312" w:hAnsi="仿宋" w:eastAsia="仿宋_GB2312"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8"/>
        <w:spacing w:line="360" w:lineRule="auto"/>
        <w:ind w:firstLine="0" w:firstLineChars="0"/>
        <w:jc w:val="center"/>
        <w:rPr>
          <w:rFonts w:hint="eastAsia"/>
          <w:b/>
          <w:sz w:val="44"/>
          <w:szCs w:val="44"/>
          <w:highlight w:val="none"/>
        </w:rPr>
      </w:pPr>
    </w:p>
    <w:p>
      <w:pPr>
        <w:pStyle w:val="28"/>
        <w:spacing w:line="360" w:lineRule="auto"/>
        <w:ind w:firstLine="0" w:firstLineChars="0"/>
        <w:jc w:val="center"/>
        <w:rPr>
          <w:rFonts w:hint="eastAsia"/>
          <w:b/>
          <w:sz w:val="44"/>
          <w:szCs w:val="44"/>
          <w:highlight w:val="none"/>
        </w:rPr>
      </w:pPr>
    </w:p>
    <w:p>
      <w:pPr>
        <w:pStyle w:val="28"/>
        <w:spacing w:line="360" w:lineRule="auto"/>
        <w:ind w:firstLine="0" w:firstLineChars="0"/>
        <w:jc w:val="both"/>
        <w:rPr>
          <w:rFonts w:hint="eastAsia"/>
          <w:b/>
          <w:sz w:val="21"/>
          <w:szCs w:val="21"/>
          <w:highlight w:val="none"/>
          <w:lang w:val="en-US" w:eastAsia="zh-CN"/>
        </w:rPr>
      </w:pPr>
    </w:p>
    <w:p>
      <w:pPr>
        <w:pStyle w:val="28"/>
        <w:spacing w:line="360" w:lineRule="auto"/>
        <w:ind w:firstLine="0" w:firstLineChars="0"/>
        <w:jc w:val="center"/>
        <w:rPr>
          <w:b/>
          <w:sz w:val="44"/>
          <w:szCs w:val="44"/>
          <w:highlight w:val="none"/>
        </w:rPr>
      </w:pPr>
      <w:r>
        <w:rPr>
          <w:rFonts w:hint="eastAsia"/>
          <w:b/>
          <w:sz w:val="44"/>
          <w:szCs w:val="44"/>
          <w:highlight w:val="none"/>
        </w:rPr>
        <w:t>电子投标文件与纸质投标文件内容一致承诺书（投标时无需提供）</w:t>
      </w:r>
    </w:p>
    <w:p>
      <w:pPr>
        <w:spacing w:line="360" w:lineRule="auto"/>
        <w:rPr>
          <w:rFonts w:ascii="宋体" w:hAnsi="宋体" w:cs="宋体"/>
          <w:b/>
          <w:bCs/>
          <w:sz w:val="24"/>
          <w:highlight w:val="none"/>
        </w:rPr>
      </w:pPr>
    </w:p>
    <w:p>
      <w:pPr>
        <w:snapToGrid w:val="0"/>
        <w:spacing w:line="360" w:lineRule="auto"/>
        <w:rPr>
          <w:rFonts w:hint="eastAsia" w:ascii="宋体" w:hAnsi="宋体" w:cs="宋体"/>
          <w:sz w:val="28"/>
          <w:szCs w:val="28"/>
          <w:highlight w:val="none"/>
        </w:rPr>
      </w:pPr>
    </w:p>
    <w:p>
      <w:pPr>
        <w:snapToGrid w:val="0"/>
        <w:spacing w:line="360" w:lineRule="auto"/>
        <w:rPr>
          <w:rFonts w:hint="eastAsia" w:ascii="宋体" w:hAnsi="宋体" w:cs="宋体"/>
          <w:sz w:val="28"/>
          <w:szCs w:val="28"/>
          <w:highlight w:val="none"/>
        </w:rPr>
      </w:pPr>
      <w:r>
        <w:rPr>
          <w:rFonts w:hint="eastAsia" w:ascii="宋体" w:hAnsi="宋体" w:cs="宋体"/>
          <w:sz w:val="28"/>
          <w:szCs w:val="28"/>
          <w:highlight w:val="none"/>
        </w:rPr>
        <w:t>致:</w:t>
      </w:r>
      <w:r>
        <w:rPr>
          <w:rFonts w:hint="eastAsia" w:ascii="宋体" w:hAnsi="宋体" w:cs="宋体"/>
          <w:bCs/>
          <w:sz w:val="28"/>
          <w:szCs w:val="28"/>
          <w:highlight w:val="none"/>
          <w:lang w:val="en-US" w:eastAsia="zh-CN"/>
        </w:rPr>
        <w:t>杭州市临平区人民政府乔司街道办事处</w:t>
      </w:r>
      <w:r>
        <w:rPr>
          <w:rFonts w:hint="eastAsia" w:ascii="宋体" w:hAnsi="宋体" w:cs="宋体"/>
          <w:sz w:val="28"/>
          <w:szCs w:val="28"/>
          <w:highlight w:val="none"/>
        </w:rPr>
        <w:t>、</w:t>
      </w:r>
    </w:p>
    <w:p>
      <w:pPr>
        <w:snapToGrid w:val="0"/>
        <w:spacing w:line="360" w:lineRule="auto"/>
        <w:rPr>
          <w:rFonts w:hint="eastAsia" w:ascii="宋体" w:hAnsi="宋体" w:cs="宋体"/>
          <w:sz w:val="28"/>
          <w:szCs w:val="28"/>
          <w:highlight w:val="none"/>
        </w:rPr>
      </w:pPr>
      <w:r>
        <w:rPr>
          <w:rFonts w:hint="eastAsia" w:ascii="宋体" w:hAnsi="宋体" w:cs="宋体"/>
          <w:sz w:val="28"/>
          <w:szCs w:val="28"/>
          <w:highlight w:val="none"/>
          <w:lang w:eastAsia="zh-CN"/>
        </w:rPr>
        <w:t>浙江新诚信工程咨询有限公司</w:t>
      </w:r>
      <w:r>
        <w:rPr>
          <w:rFonts w:hint="eastAsia" w:ascii="宋体" w:hAnsi="宋体" w:cs="宋体"/>
          <w:kern w:val="0"/>
          <w:sz w:val="28"/>
          <w:szCs w:val="28"/>
          <w:highlight w:val="none"/>
          <w:lang w:val="zh-CN"/>
        </w:rPr>
        <w:t>：</w:t>
      </w:r>
    </w:p>
    <w:p>
      <w:pPr>
        <w:pStyle w:val="28"/>
        <w:spacing w:line="360" w:lineRule="auto"/>
        <w:ind w:firstLine="420" w:firstLineChars="150"/>
        <w:rPr>
          <w:rFonts w:hint="eastAsia" w:cs="宋体"/>
          <w:sz w:val="28"/>
          <w:szCs w:val="28"/>
          <w:highlight w:val="none"/>
        </w:rPr>
      </w:pPr>
      <w:r>
        <w:rPr>
          <w:rFonts w:hint="eastAsia" w:cs="宋体"/>
          <w:sz w:val="28"/>
          <w:szCs w:val="28"/>
          <w:highlight w:val="none"/>
        </w:rPr>
        <w:t>兹有</w:t>
      </w:r>
      <w:r>
        <w:rPr>
          <w:rFonts w:hint="eastAsia" w:cs="宋体"/>
          <w:sz w:val="28"/>
          <w:szCs w:val="28"/>
          <w:highlight w:val="none"/>
          <w:u w:val="single"/>
        </w:rPr>
        <w:t xml:space="preserve">                       项目</w:t>
      </w:r>
      <w:r>
        <w:rPr>
          <w:rFonts w:hint="eastAsia" w:cs="宋体"/>
          <w:sz w:val="28"/>
          <w:szCs w:val="28"/>
          <w:highlight w:val="none"/>
        </w:rPr>
        <w:t>，我单位在政采云系统中上传的电子投标文件与本次提供的纸质投标文件内容一致。</w:t>
      </w:r>
    </w:p>
    <w:p>
      <w:pPr>
        <w:pStyle w:val="28"/>
        <w:spacing w:line="360" w:lineRule="auto"/>
        <w:ind w:firstLine="420" w:firstLineChars="150"/>
        <w:rPr>
          <w:rFonts w:hint="eastAsia" w:cs="宋体"/>
          <w:sz w:val="28"/>
          <w:szCs w:val="28"/>
          <w:highlight w:val="none"/>
        </w:rPr>
      </w:pPr>
      <w:r>
        <w:rPr>
          <w:rFonts w:hint="eastAsia" w:cs="宋体"/>
          <w:sz w:val="28"/>
          <w:szCs w:val="28"/>
          <w:highlight w:val="none"/>
        </w:rPr>
        <w:t>特此承诺！</w:t>
      </w:r>
    </w:p>
    <w:p>
      <w:pPr>
        <w:pStyle w:val="28"/>
        <w:spacing w:line="360" w:lineRule="auto"/>
        <w:ind w:firstLine="560"/>
        <w:rPr>
          <w:rFonts w:hint="eastAsia" w:cs="宋体"/>
          <w:sz w:val="28"/>
          <w:szCs w:val="28"/>
          <w:highlight w:val="none"/>
        </w:rPr>
      </w:pPr>
    </w:p>
    <w:p>
      <w:pPr>
        <w:spacing w:line="360" w:lineRule="auto"/>
        <w:ind w:firstLine="5320" w:firstLineChars="1900"/>
        <w:rPr>
          <w:rFonts w:hint="eastAsia" w:ascii="宋体" w:hAnsi="宋体" w:cs="宋体"/>
          <w:sz w:val="28"/>
          <w:szCs w:val="28"/>
          <w:highlight w:val="none"/>
        </w:rPr>
      </w:pPr>
      <w:r>
        <w:rPr>
          <w:rFonts w:hint="eastAsia" w:ascii="宋体" w:hAnsi="宋体" w:cs="宋体"/>
          <w:sz w:val="28"/>
          <w:szCs w:val="28"/>
          <w:highlight w:val="none"/>
        </w:rPr>
        <w:t>投标人:(盖章)</w:t>
      </w:r>
    </w:p>
    <w:p>
      <w:pPr>
        <w:spacing w:line="360" w:lineRule="auto"/>
        <w:ind w:firstLine="560" w:firstLineChars="200"/>
        <w:rPr>
          <w:rFonts w:hint="eastAsia" w:ascii="宋体" w:hAnsi="宋体" w:cs="宋体"/>
          <w:sz w:val="28"/>
          <w:szCs w:val="28"/>
          <w:highlight w:val="none"/>
        </w:rPr>
      </w:pPr>
    </w:p>
    <w:p>
      <w:pPr>
        <w:spacing w:line="360" w:lineRule="auto"/>
        <w:ind w:firstLine="560" w:firstLineChars="200"/>
        <w:rPr>
          <w:rFonts w:hint="eastAsia" w:ascii="宋体" w:hAnsi="宋体" w:cs="宋体"/>
          <w:sz w:val="28"/>
          <w:szCs w:val="28"/>
          <w:highlight w:val="none"/>
        </w:rPr>
      </w:pPr>
      <w:r>
        <w:rPr>
          <w:rFonts w:hint="eastAsia" w:ascii="宋体" w:hAnsi="宋体" w:cs="宋体"/>
          <w:sz w:val="28"/>
          <w:szCs w:val="28"/>
          <w:highlight w:val="none"/>
        </w:rPr>
        <w:t xml:space="preserve">                                 法定代表人: (签字)</w:t>
      </w:r>
    </w:p>
    <w:p>
      <w:pPr>
        <w:spacing w:line="360" w:lineRule="auto"/>
        <w:ind w:firstLine="560" w:firstLineChars="200"/>
        <w:rPr>
          <w:rFonts w:hint="eastAsia" w:ascii="宋体" w:hAnsi="宋体" w:cs="宋体"/>
          <w:sz w:val="28"/>
          <w:szCs w:val="28"/>
          <w:highlight w:val="none"/>
        </w:rPr>
      </w:pPr>
    </w:p>
    <w:p>
      <w:pPr>
        <w:spacing w:line="360" w:lineRule="auto"/>
        <w:ind w:firstLine="560" w:firstLineChars="200"/>
        <w:rPr>
          <w:rFonts w:hint="eastAsia" w:ascii="宋体" w:hAnsi="宋体" w:cs="宋体"/>
          <w:sz w:val="28"/>
          <w:szCs w:val="28"/>
          <w:highlight w:val="none"/>
        </w:rPr>
      </w:pPr>
      <w:r>
        <w:rPr>
          <w:rFonts w:hint="eastAsia" w:ascii="宋体" w:hAnsi="宋体" w:cs="宋体"/>
          <w:sz w:val="28"/>
          <w:szCs w:val="28"/>
          <w:highlight w:val="none"/>
        </w:rPr>
        <w:t xml:space="preserve">                                 日期:20  年  月    日</w:t>
      </w:r>
    </w:p>
    <w:p>
      <w:pPr>
        <w:pStyle w:val="4"/>
        <w:rPr>
          <w:highlight w:val="none"/>
        </w:rPr>
      </w:pPr>
    </w:p>
    <w:p>
      <w:pPr>
        <w:pStyle w:val="5"/>
        <w:rPr>
          <w:highlight w:val="none"/>
          <w:lang w:val="en-US"/>
        </w:rPr>
      </w:pPr>
    </w:p>
    <w:p>
      <w:pPr>
        <w:spacing w:line="360" w:lineRule="auto"/>
        <w:ind w:right="420"/>
        <w:rPr>
          <w:highlight w:val="none"/>
        </w:rPr>
      </w:pPr>
    </w:p>
    <w:p>
      <w:pPr>
        <w:spacing w:line="360" w:lineRule="auto"/>
        <w:rPr>
          <w:rFonts w:ascii="仿宋" w:hAnsi="仿宋" w:eastAsia="仿宋"/>
          <w:bCs/>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000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001010101"/>
    <w:charset w:val="86"/>
    <w:family w:val="modern"/>
    <w:pitch w:val="default"/>
    <w:sig w:usb0="00000000" w:usb1="00000000" w:usb2="00000000" w:usb3="00000000" w:csb0="00040000" w:csb1="00000000"/>
  </w:font>
  <w:font w:name="楷体_GB2312">
    <w:altName w:val="楷体"/>
    <w:panose1 w:val="02010609030000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0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005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001010101"/>
    <w:charset w:val="86"/>
    <w:family w:val="modern"/>
    <w:pitch w:val="default"/>
    <w:sig w:usb0="00000000" w:usb1="00000000" w:usb2="00000000" w:usb3="00000000" w:csb0="00040000" w:csb1="00000000"/>
  </w:font>
  <w:font w:name="Arial Narrow">
    <w:altName w:val="Arial"/>
    <w:panose1 w:val="020B06060200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002020204"/>
    <w:charset w:val="86"/>
    <w:family w:val="swiss"/>
    <w:pitch w:val="default"/>
    <w:sig w:usb0="00000000" w:usb1="00000000" w:usb2="0000003F" w:usb3="00000000" w:csb0="603F01FF" w:csb1="FFFF0000"/>
  </w:font>
  <w:font w:name="Helvetica">
    <w:altName w:val="Arial"/>
    <w:panose1 w:val="020B0604020000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000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0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方正小标宋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0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5"/>
      </w:rPr>
    </w:pPr>
    <w:r>
      <w:fldChar w:fldCharType="begin"/>
    </w:r>
    <w:r>
      <w:rPr>
        <w:rStyle w:val="75"/>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8" w:name="_Toc91899912"/>
    <w:bookmarkStart w:id="399" w:name="_Toc36110187"/>
    <w:bookmarkStart w:id="400" w:name="_Toc131845147"/>
    <w:bookmarkStart w:id="401" w:name="_Toc164085800"/>
    <w:r>
      <w:rPr>
        <w:rFonts w:hint="eastAsia" w:ascii="仿宋_GB2312" w:eastAsia="仿宋_GB2312"/>
        <w:kern w:val="0"/>
        <w:szCs w:val="21"/>
      </w:rPr>
      <w:t xml:space="preserve"> 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5"/>
      </w:rPr>
    </w:pPr>
    <w:r>
      <w:fldChar w:fldCharType="begin"/>
    </w:r>
    <w:r>
      <w:rPr>
        <w:rStyle w:val="75"/>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4"/>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8879BB"/>
    <w:rsid w:val="511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qFormat/>
    <w:uiPriority w:val="1"/>
  </w:style>
  <w:style w:type="table" w:default="1" w:styleId="65">
    <w:name w:val="Normal Table"/>
    <w:qFormat/>
    <w:uiPriority w:val="99"/>
    <w:tblPr>
      <w:tblCellMar>
        <w:top w:w="0" w:type="dxa"/>
        <w:left w:w="108" w:type="dxa"/>
        <w:bottom w:w="0" w:type="dxa"/>
        <w:right w:w="108" w:type="dxa"/>
      </w:tblCellMar>
    </w:tblPr>
  </w:style>
  <w:style w:type="paragraph" w:customStyle="1" w:styleId="2">
    <w:name w:val="正文1"/>
    <w:basedOn w:val="3"/>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7">
    <w:name w:val="Normal Indent"/>
    <w:basedOn w:val="1"/>
    <w:next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3"/>
    <w:qFormat/>
    <w:uiPriority w:val="0"/>
    <w:pPr>
      <w:shd w:val="clear" w:color="auto" w:fill="000080"/>
    </w:pPr>
  </w:style>
  <w:style w:type="paragraph" w:styleId="21">
    <w:name w:val="annotation text"/>
    <w:basedOn w:val="1"/>
    <w:link w:val="345"/>
    <w:qFormat/>
    <w:uiPriority w:val="99"/>
    <w:pPr>
      <w:jc w:val="left"/>
    </w:pPr>
  </w:style>
  <w:style w:type="paragraph" w:styleId="22">
    <w:name w:val="Salutation"/>
    <w:basedOn w:val="1"/>
    <w:next w:val="1"/>
    <w:link w:val="299"/>
    <w:qFormat/>
    <w:uiPriority w:val="0"/>
    <w:rPr>
      <w:rFonts w:ascii="仿宋_GB2312" w:eastAsia="仿宋_GB2312"/>
      <w:sz w:val="28"/>
      <w:szCs w:val="20"/>
    </w:rPr>
  </w:style>
  <w:style w:type="paragraph" w:styleId="23">
    <w:name w:val="Body Text 3"/>
    <w:basedOn w:val="1"/>
    <w:link w:val="331"/>
    <w:qFormat/>
    <w:uiPriority w:val="0"/>
    <w:pPr>
      <w:jc w:val="center"/>
    </w:pPr>
    <w:rPr>
      <w:szCs w:val="20"/>
    </w:rPr>
  </w:style>
  <w:style w:type="paragraph" w:styleId="24">
    <w:name w:val="List Bullet 3"/>
    <w:basedOn w:val="1"/>
    <w:qFormat/>
    <w:uiPriority w:val="0"/>
    <w:pPr>
      <w:snapToGrid w:val="0"/>
      <w:spacing w:line="360" w:lineRule="auto"/>
      <w:ind w:left="360" w:right="238" w:hanging="360"/>
      <w:contextualSpacing/>
    </w:pPr>
    <w:rPr>
      <w:sz w:val="24"/>
    </w:rPr>
  </w:style>
  <w:style w:type="paragraph" w:styleId="25">
    <w:name w:val="Body Text"/>
    <w:basedOn w:val="1"/>
    <w:next w:val="26"/>
    <w:link w:val="431"/>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22"/>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Body Text Indent"/>
    <w:basedOn w:val="1"/>
    <w:next w:val="29"/>
    <w:link w:val="266"/>
    <w:qFormat/>
    <w:uiPriority w:val="0"/>
    <w:pPr>
      <w:spacing w:line="480" w:lineRule="exact"/>
      <w:ind w:firstLine="480" w:firstLineChars="200"/>
    </w:pPr>
    <w:rPr>
      <w:rFonts w:ascii="宋体" w:hAnsi="宋体"/>
      <w:sz w:val="24"/>
    </w:rPr>
  </w:style>
  <w:style w:type="paragraph" w:customStyle="1" w:styleId="29">
    <w:name w:val="正文文本首行缩进 2"/>
    <w:basedOn w:val="30"/>
    <w:qFormat/>
    <w:uiPriority w:val="99"/>
    <w:pPr>
      <w:spacing w:line="200" w:lineRule="atLeast"/>
      <w:ind w:firstLine="420"/>
    </w:pPr>
    <w:rPr>
      <w:rFonts w:ascii="宋体" w:hAnsi="Courier New"/>
      <w:spacing w:val="-4"/>
      <w:sz w:val="18"/>
    </w:rPr>
  </w:style>
  <w:style w:type="paragraph" w:customStyle="1" w:styleId="30">
    <w:name w:val="正文缩进1"/>
    <w:basedOn w:val="1"/>
    <w:next w:val="29"/>
    <w:qFormat/>
    <w:uiPriority w:val="0"/>
    <w:pPr>
      <w:autoSpaceDE w:val="0"/>
      <w:autoSpaceDN w:val="0"/>
      <w:snapToGrid w:val="0"/>
      <w:spacing w:after="120" w:line="360" w:lineRule="auto"/>
      <w:ind w:left="420" w:leftChars="200" w:firstLine="480" w:firstLineChars="200"/>
    </w:pPr>
    <w:rPr>
      <w:sz w:val="24"/>
      <w:szCs w:val="21"/>
    </w:rPr>
  </w:style>
  <w:style w:type="paragraph" w:styleId="31">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Plain Text"/>
    <w:basedOn w:val="1"/>
    <w:link w:val="126"/>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182"/>
    <w:qFormat/>
    <w:uiPriority w:val="0"/>
    <w:pPr>
      <w:ind w:left="100" w:leftChars="2500"/>
    </w:pPr>
    <w:rPr>
      <w:rFonts w:ascii="宋体"/>
      <w:sz w:val="24"/>
      <w:szCs w:val="21"/>
      <w:lang w:val="zh-CN"/>
    </w:rPr>
  </w:style>
  <w:style w:type="paragraph" w:styleId="41">
    <w:name w:val="Body Text Indent 2"/>
    <w:basedOn w:val="1"/>
    <w:link w:val="309"/>
    <w:qFormat/>
    <w:uiPriority w:val="0"/>
    <w:pPr>
      <w:spacing w:line="360" w:lineRule="auto"/>
      <w:ind w:firstLine="601"/>
      <w:textAlignment w:val="baseline"/>
    </w:pPr>
    <w:rPr>
      <w:rFonts w:ascii="宋体"/>
      <w:kern w:val="0"/>
      <w:sz w:val="28"/>
      <w:szCs w:val="20"/>
    </w:rPr>
  </w:style>
  <w:style w:type="paragraph" w:styleId="42">
    <w:name w:val="endnote text"/>
    <w:basedOn w:val="1"/>
    <w:link w:val="931"/>
    <w:qFormat/>
    <w:uiPriority w:val="0"/>
    <w:rPr>
      <w:lang w:val="zh-CN"/>
    </w:rPr>
  </w:style>
  <w:style w:type="paragraph" w:styleId="43">
    <w:name w:val="Balloon Text"/>
    <w:basedOn w:val="1"/>
    <w:link w:val="189"/>
    <w:qFormat/>
    <w:uiPriority w:val="0"/>
    <w:rPr>
      <w:sz w:val="18"/>
      <w:szCs w:val="18"/>
    </w:rPr>
  </w:style>
  <w:style w:type="paragraph" w:styleId="44">
    <w:name w:val="footer"/>
    <w:basedOn w:val="1"/>
    <w:link w:val="384"/>
    <w:qFormat/>
    <w:uiPriority w:val="99"/>
    <w:pPr>
      <w:tabs>
        <w:tab w:val="center" w:pos="4153"/>
        <w:tab w:val="right" w:pos="8306"/>
      </w:tabs>
      <w:snapToGrid w:val="0"/>
      <w:jc w:val="left"/>
    </w:pPr>
    <w:rPr>
      <w:sz w:val="18"/>
      <w:szCs w:val="18"/>
    </w:rPr>
  </w:style>
  <w:style w:type="paragraph" w:styleId="45">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7"/>
    <w:link w:val="311"/>
    <w:qFormat/>
    <w:uiPriority w:val="0"/>
    <w:pPr>
      <w:adjustRightInd/>
      <w:snapToGrid/>
      <w:spacing w:before="60" w:after="60" w:line="300" w:lineRule="exact"/>
      <w:ind w:firstLine="0"/>
    </w:pPr>
    <w:rPr>
      <w:rFonts w:ascii="Calibri"/>
      <w:snapToGrid/>
      <w:color w:val="0000FF"/>
      <w:kern w:val="0"/>
      <w:sz w:val="21"/>
    </w:r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6"/>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303"/>
    <w:qFormat/>
    <w:uiPriority w:val="0"/>
    <w:pPr>
      <w:spacing w:after="120" w:line="480" w:lineRule="auto"/>
    </w:pPr>
  </w:style>
  <w:style w:type="paragraph" w:styleId="60">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287"/>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1"/>
    <w:next w:val="21"/>
    <w:link w:val="97"/>
    <w:qFormat/>
    <w:uiPriority w:val="0"/>
    <w:rPr>
      <w:b/>
      <w:bCs/>
    </w:rPr>
  </w:style>
  <w:style w:type="paragraph" w:styleId="64">
    <w:name w:val="Body Text First Indent 2"/>
    <w:basedOn w:val="28"/>
    <w:link w:val="122"/>
    <w:qFormat/>
    <w:uiPriority w:val="0"/>
    <w:pPr>
      <w:adjustRightInd/>
      <w:spacing w:after="120" w:line="240" w:lineRule="auto"/>
      <w:ind w:left="420" w:leftChars="200" w:firstLine="210"/>
    </w:pPr>
    <w:rPr>
      <w:sz w:val="21"/>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character" w:styleId="82">
    <w:name w:val="HTML Sample"/>
    <w:qFormat/>
    <w:uiPriority w:val="0"/>
    <w:rPr>
      <w:rFonts w:ascii="Courier New" w:hAnsi="Courier New"/>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_384753e9-df11-4a35-a1eb-aaf649c2b4df"/>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3"/>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_40eda84f-644f-468b-a182-c035391219e2"/>
    <w:qFormat/>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4"/>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2"/>
    <w:qFormat/>
    <w:uiPriority w:val="0"/>
    <w:rPr>
      <w:rFonts w:ascii="Arial" w:hAnsi="Arial" w:eastAsia="黑体" w:cs="Arial"/>
      <w:snapToGrid w:val="0"/>
      <w:kern w:val="0"/>
      <w:szCs w:val="21"/>
    </w:rPr>
  </w:style>
  <w:style w:type="character" w:customStyle="1" w:styleId="126">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51"/>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10"/>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5"/>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40"/>
    <w:qFormat/>
    <w:uiPriority w:val="0"/>
    <w:rPr>
      <w:rFonts w:ascii="宋体"/>
      <w:kern w:val="2"/>
      <w:sz w:val="24"/>
      <w:szCs w:val="21"/>
      <w:lang w:val="zh-CN"/>
    </w:rPr>
  </w:style>
  <w:style w:type="character" w:customStyle="1" w:styleId="183">
    <w:name w:val="标题 9 Char"/>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qFormat/>
    <w:uiPriority w:val="99"/>
    <w:rPr>
      <w:rFonts w:ascii="Times New Roman" w:hAnsi="Times New Roman" w:eastAsia="宋体" w:cs="Times New Roman"/>
      <w:szCs w:val="24"/>
    </w:rPr>
  </w:style>
  <w:style w:type="character" w:customStyle="1" w:styleId="189">
    <w:name w:val="批注框文本 Char"/>
    <w:link w:val="43"/>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7"/>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0"/>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2"/>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5"/>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_4cc4829b-27c6-47fa-83de-5d20a8bd7190"/>
    <w:qFormat/>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8"/>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8"/>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_e299ad68-963a-4320-ad4f-8f111a0eeb86"/>
    <w:qFormat/>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4"/>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62"/>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9"/>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2"/>
    <w:qFormat/>
    <w:uiPriority w:val="0"/>
    <w:rPr>
      <w:rFonts w:ascii="仿宋_GB2312" w:eastAsia="仿宋_GB2312"/>
      <w:kern w:val="2"/>
      <w:sz w:val="28"/>
    </w:rPr>
  </w:style>
  <w:style w:type="character" w:customStyle="1" w:styleId="300">
    <w:name w:val="文本正文 Char Char"/>
    <w:qFormat/>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60"/>
    <w:qFormat/>
    <w:uiPriority w:val="0"/>
    <w:rPr>
      <w:rFonts w:ascii="黑体" w:hAnsi="Courier New" w:eastAsia="黑体"/>
    </w:rPr>
  </w:style>
  <w:style w:type="character" w:customStyle="1" w:styleId="303">
    <w:name w:val="正文文本 2 Char1"/>
    <w:link w:val="59"/>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8"/>
    <w:link w:val="414"/>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1"/>
    <w:qFormat/>
    <w:uiPriority w:val="0"/>
    <w:rPr>
      <w:b/>
      <w:bCs/>
      <w:kern w:val="2"/>
      <w:sz w:val="24"/>
      <w:szCs w:val="24"/>
    </w:rPr>
  </w:style>
  <w:style w:type="character" w:customStyle="1" w:styleId="309">
    <w:name w:val="正文文本缩进 2 Char"/>
    <w:link w:val="41"/>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4"/>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26"/>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8"/>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3"/>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1"/>
    <w:qFormat/>
    <w:uiPriority w:val="0"/>
    <w:rPr>
      <w:kern w:val="2"/>
      <w:sz w:val="21"/>
      <w:szCs w:val="24"/>
    </w:rPr>
  </w:style>
  <w:style w:type="character" w:customStyle="1" w:styleId="346">
    <w:name w:val="签名 Char"/>
    <w:link w:val="46"/>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6"/>
    <w:qFormat/>
    <w:uiPriority w:val="0"/>
    <w:rPr>
      <w:kern w:val="2"/>
      <w:sz w:val="24"/>
    </w:rPr>
  </w:style>
  <w:style w:type="character" w:customStyle="1" w:styleId="377">
    <w:name w:val="日期 Char1"/>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4"/>
    <w:qFormat/>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5"/>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2"/>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7"/>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2">
    <w:name w:val="gray6"/>
    <w:basedOn w:val="72"/>
    <w:qFormat/>
    <w:uiPriority w:val="0"/>
    <w:rPr>
      <w:rFonts w:ascii="Arial" w:hAnsi="Arial" w:eastAsia="黑体" w:cs="Arial"/>
      <w:snapToGrid w:val="0"/>
      <w:kern w:val="0"/>
      <w:szCs w:val="21"/>
    </w:rPr>
  </w:style>
  <w:style w:type="character" w:customStyle="1" w:styleId="433">
    <w:name w:val="hui"/>
    <w:basedOn w:val="72"/>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qFormat/>
    <w:uiPriority w:val="0"/>
    <w:pPr>
      <w:keepLines w:val="0"/>
      <w:widowControl/>
      <w:tabs>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2"/>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6"/>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9"/>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6"/>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8"/>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9"/>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4"/>
    <w:qFormat/>
    <w:uiPriority w:val="0"/>
    <w:pPr>
      <w:tabs>
        <w:tab w:val="left" w:pos="840"/>
      </w:tabs>
      <w:adjustRightInd/>
      <w:ind w:left="840" w:hanging="420"/>
    </w:pPr>
  </w:style>
  <w:style w:type="paragraph" w:customStyle="1" w:styleId="627">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4"/>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after="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41"/>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6"/>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6"/>
    <w:next w:val="56"/>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1"/>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6"/>
    <w:next w:val="641"/>
    <w:qFormat/>
    <w:uiPriority w:val="0"/>
    <w:pPr>
      <w:tabs>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5"/>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8"/>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8"/>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3"/>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9"/>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9"/>
    <w:qFormat/>
    <w:uiPriority w:val="0"/>
    <w:rPr>
      <w:b w:val="0"/>
      <w:sz w:val="20"/>
    </w:rPr>
  </w:style>
  <w:style w:type="paragraph" w:customStyle="1" w:styleId="893">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qFormat/>
    <w:uiPriority w:val="0"/>
    <w:pPr>
      <w:tabs>
        <w:tab w:val="left" w:pos="1080"/>
      </w:tabs>
      <w:ind w:left="1080" w:hanging="1080"/>
    </w:pPr>
  </w:style>
  <w:style w:type="paragraph" w:customStyle="1" w:styleId="896">
    <w:name w:val="数字标题1"/>
    <w:basedOn w:val="4"/>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4"/>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3"/>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42"/>
    <w:qFormat/>
    <w:uiPriority w:val="0"/>
    <w:rPr>
      <w:kern w:val="2"/>
      <w:sz w:val="21"/>
      <w:szCs w:val="24"/>
      <w:lang w:val="zh-CN"/>
    </w:rPr>
  </w:style>
  <w:style w:type="character" w:customStyle="1" w:styleId="932">
    <w:name w:val="无间隔 Char"/>
    <w:link w:val="484"/>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9"/>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2"/>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964">
    <w:name w:val="fontstyle01"/>
    <w:basedOn w:val="72"/>
    <w:qFormat/>
    <w:uiPriority w:val="0"/>
    <w:rPr>
      <w:rFonts w:hint="eastAsia" w:ascii="宋体" w:hAnsi="宋体" w:eastAsia="宋体" w:cs="宋体"/>
      <w:color w:val="000000"/>
      <w:sz w:val="36"/>
      <w:szCs w:val="3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35455</Words>
  <Characters>37749</Characters>
  <Paragraphs>1867</Paragraphs>
  <TotalTime>1</TotalTime>
  <ScaleCrop>false</ScaleCrop>
  <LinksUpToDate>false</LinksUpToDate>
  <CharactersWithSpaces>44179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2022-05-06T00:17:00Z</cp:lastPrinted>
  <dcterms:modified xsi:type="dcterms:W3CDTF">2022-05-20T12:36:42Z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37190BB8D2454700A2E0130DE2B7EB03</vt:lpwstr>
  </property>
</Properties>
</file>