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cs="宋体" w:asciiTheme="minorEastAsia" w:hAnsiTheme="minorEastAsia" w:eastAsiaTheme="minorEastAsia"/>
          <w:sz w:val="48"/>
          <w:szCs w:val="48"/>
        </w:rPr>
      </w:pPr>
    </w:p>
    <w:p>
      <w:pPr>
        <w:adjustRightInd/>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eastAsiaTheme="minorEastAsia"/>
          <w:sz w:val="48"/>
          <w:szCs w:val="48"/>
          <w:lang w:eastAsia="zh-CN"/>
        </w:rPr>
        <w:t>良熟新苑居民驿站广告物料采购项目</w:t>
      </w: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pPr>
        <w:adjustRightInd/>
        <w:spacing w:line="360" w:lineRule="auto"/>
        <w:jc w:val="center"/>
        <w:rPr>
          <w:rFonts w:cs="宋体" w:asciiTheme="minorEastAsia" w:hAnsiTheme="minorEastAsia" w:eastAsiaTheme="minorEastAsia"/>
          <w:b/>
          <w:sz w:val="44"/>
          <w:szCs w:val="44"/>
        </w:rPr>
      </w:pPr>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（电子招投标）</w:t>
      </w:r>
    </w:p>
    <w:p>
      <w:pPr>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2"/>
          <w:szCs w:val="32"/>
        </w:rPr>
        <w:t>编号:</w:t>
      </w:r>
      <w:r>
        <w:rPr>
          <w:rFonts w:hint="eastAsia" w:cs="宋体" w:asciiTheme="minorEastAsia" w:hAnsiTheme="minorEastAsia" w:eastAsiaTheme="minorEastAsia"/>
          <w:sz w:val="32"/>
          <w:szCs w:val="32"/>
          <w:lang w:eastAsia="zh-CN"/>
        </w:rPr>
        <w:t>XCXCG-2022-008</w:t>
      </w:r>
    </w:p>
    <w:p>
      <w:pPr>
        <w:adjustRightInd/>
        <w:spacing w:line="360" w:lineRule="auto"/>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32"/>
          <w:szCs w:val="32"/>
        </w:rPr>
      </w:pPr>
    </w:p>
    <w:p>
      <w:pPr>
        <w:pStyle w:val="4"/>
        <w:rPr>
          <w:rFonts w:cs="宋体" w:asciiTheme="minorEastAsia" w:hAnsiTheme="minorEastAsia" w:eastAsiaTheme="minorEastAsia"/>
        </w:rPr>
      </w:pPr>
    </w:p>
    <w:p>
      <w:pPr>
        <w:rPr>
          <w:rFonts w:cs="宋体" w:asciiTheme="minorEastAsia" w:hAnsiTheme="minorEastAsia" w:eastAsiaTheme="minorEastAsia"/>
          <w:sz w:val="32"/>
          <w:szCs w:val="32"/>
        </w:rPr>
      </w:pPr>
    </w:p>
    <w:p>
      <w:pPr>
        <w:pStyle w:val="4"/>
        <w:rPr>
          <w:rFonts w:cs="宋体" w:asciiTheme="minorEastAsia" w:hAnsiTheme="minorEastAsia" w:eastAsiaTheme="minorEastAsia"/>
        </w:rPr>
      </w:pP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采购人：杭州市临平区人民政府乔司街道办事处</w:t>
      </w:r>
    </w:p>
    <w:p>
      <w:pPr>
        <w:snapToGrid w:val="0"/>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采购代理机构：</w:t>
      </w:r>
      <w:r>
        <w:rPr>
          <w:rFonts w:hint="eastAsia" w:cs="宋体" w:asciiTheme="minorEastAsia" w:hAnsiTheme="minorEastAsia" w:eastAsiaTheme="minorEastAsia"/>
          <w:sz w:val="32"/>
          <w:szCs w:val="32"/>
          <w:lang w:eastAsia="zh-CN"/>
        </w:rPr>
        <w:t>浙江新诚信工程咨询有限公司</w:t>
      </w: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二〇二二年</w:t>
      </w:r>
      <w:r>
        <w:rPr>
          <w:rFonts w:hint="eastAsia" w:cs="宋体" w:asciiTheme="minorEastAsia" w:hAnsiTheme="minorEastAsia" w:eastAsiaTheme="minorEastAsia"/>
          <w:sz w:val="32"/>
          <w:szCs w:val="32"/>
          <w:lang w:val="en-US" w:eastAsia="zh-CN"/>
        </w:rPr>
        <w:t>十</w:t>
      </w:r>
      <w:r>
        <w:rPr>
          <w:rFonts w:hint="eastAsia" w:cs="宋体" w:asciiTheme="minorEastAsia" w:hAnsiTheme="minorEastAsia" w:eastAsiaTheme="minorEastAsia"/>
          <w:sz w:val="32"/>
          <w:szCs w:val="32"/>
        </w:rPr>
        <w:t>月</w:t>
      </w:r>
    </w:p>
    <w:p>
      <w:pPr>
        <w:spacing w:line="360" w:lineRule="auto"/>
        <w:jc w:val="center"/>
        <w:rPr>
          <w:rFonts w:cs="宋体" w:asciiTheme="minorEastAsia" w:hAnsiTheme="minorEastAsia" w:eastAsiaTheme="minorEastAsia"/>
          <w:b/>
          <w:sz w:val="48"/>
          <w:szCs w:val="48"/>
        </w:rPr>
      </w:pPr>
    </w:p>
    <w:p>
      <w:pPr>
        <w:pStyle w:val="84"/>
        <w:rPr>
          <w:rFonts w:cs="宋体" w:asciiTheme="minorEastAsia" w:hAnsiTheme="minorEastAsia" w:eastAsiaTheme="minorEastAsia"/>
          <w:b/>
          <w:sz w:val="48"/>
          <w:szCs w:val="48"/>
        </w:rPr>
      </w:pPr>
    </w:p>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tabs>
          <w:tab w:val="left" w:pos="5793"/>
        </w:tabs>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r>
        <w:rPr>
          <w:rFonts w:hint="eastAsia" w:cs="宋体" w:asciiTheme="minorEastAsia" w:hAnsiTheme="minorEastAsia" w:eastAsiaTheme="minorEastAsia"/>
          <w:sz w:val="32"/>
          <w:szCs w:val="32"/>
        </w:rPr>
        <w:tab/>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spacing w:line="360" w:lineRule="auto"/>
        <w:ind w:firstLine="549" w:firstLineChars="229"/>
        <w:rPr>
          <w:rFonts w:cs="宋体" w:asciiTheme="minorEastAsia" w:hAnsiTheme="minorEastAsia" w:eastAsiaTheme="minorEastAsia"/>
          <w:sz w:val="24"/>
        </w:rPr>
      </w:pPr>
      <w:bookmarkStart w:id="0" w:name="_Hlt91233176"/>
      <w:bookmarkEnd w:id="0"/>
      <w:bookmarkStart w:id="1" w:name="_Toc91899869"/>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2" w:name="第一部分"/>
      <w:r>
        <w:rPr>
          <w:rFonts w:hint="eastAsia" w:cs="宋体" w:asciiTheme="minorEastAsia" w:hAnsiTheme="minorEastAsia" w:eastAsiaTheme="minorEastAsia"/>
          <w:b/>
          <w:sz w:val="36"/>
          <w:szCs w:val="36"/>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良熟新苑居民驿站广告物料采购项目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Theme="minorEastAsia" w:hAnsiTheme="minorEastAsia" w:eastAsiaTheme="minorEastAsia"/>
          <w:sz w:val="24"/>
        </w:rPr>
        <w:t>https://www.zcygov.cn/）获取（下载）招标文件，并于</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10</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31</w:t>
      </w:r>
      <w:r>
        <w:rPr>
          <w:rFonts w:hint="eastAsia"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w:t>
      </w:r>
      <w:r>
        <w:rPr>
          <w:rFonts w:hint="eastAsia" w:asciiTheme="minorEastAsia" w:hAnsiTheme="minorEastAsia" w:eastAsiaTheme="minorEastAsia"/>
          <w:sz w:val="24"/>
          <w:u w:val="single"/>
          <w:lang w:val="en-US" w:eastAsia="zh-CN"/>
        </w:rPr>
        <w:t>0</w:t>
      </w:r>
      <w:r>
        <w:rPr>
          <w:rFonts w:hint="eastAsia" w:asciiTheme="minorEastAsia" w:hAnsiTheme="minorEastAsia" w:eastAsiaTheme="minorEastAsia"/>
          <w:sz w:val="24"/>
          <w:u w:val="single"/>
        </w:rPr>
        <w:t>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
          <w:sz w:val="24"/>
          <w:lang w:eastAsia="zh-CN"/>
        </w:rPr>
        <w:t>XCXCG-2022-008</w:t>
      </w:r>
    </w:p>
    <w:p>
      <w:pPr>
        <w:adjustRightInd/>
        <w:spacing w:line="360" w:lineRule="auto"/>
        <w:rPr>
          <w:rFonts w:hint="eastAsia" w:asciiTheme="minorEastAsia" w:hAnsiTheme="minorEastAsia" w:eastAsiaTheme="minorEastAsia"/>
          <w:b/>
          <w:sz w:val="24"/>
          <w:lang w:eastAsia="zh-CN"/>
        </w:rPr>
      </w:pPr>
      <w:r>
        <w:rPr>
          <w:rFonts w:asciiTheme="minorEastAsia" w:hAnsiTheme="minorEastAsia" w:eastAsiaTheme="minorEastAsia"/>
          <w:b/>
          <w:sz w:val="24"/>
        </w:rPr>
        <w:t>项目名称：</w:t>
      </w:r>
      <w:r>
        <w:rPr>
          <w:rFonts w:hint="eastAsia" w:asciiTheme="minorEastAsia" w:hAnsiTheme="minorEastAsia" w:eastAsiaTheme="minorEastAsia"/>
          <w:b/>
          <w:sz w:val="24"/>
          <w:lang w:eastAsia="zh-CN"/>
        </w:rPr>
        <w:t>良熟新苑居民驿站广告物料采购项目</w:t>
      </w:r>
    </w:p>
    <w:p>
      <w:pPr>
        <w:adjustRightInd/>
        <w:spacing w:line="360" w:lineRule="auto"/>
        <w:rPr>
          <w:rFonts w:hint="default" w:asciiTheme="minorEastAsia" w:hAnsiTheme="minorEastAsia" w:eastAsiaTheme="minorEastAsia"/>
          <w:b/>
          <w:sz w:val="24"/>
          <w:lang w:val="en-US" w:eastAsia="zh-CN"/>
        </w:rPr>
      </w:pPr>
      <w:r>
        <w:rPr>
          <w:rFonts w:asciiTheme="minorEastAsia" w:hAnsiTheme="minorEastAsia" w:eastAsiaTheme="minorEastAsia"/>
          <w:b/>
          <w:sz w:val="24"/>
        </w:rPr>
        <w:t>预算金额（元）：</w:t>
      </w:r>
      <w:r>
        <w:rPr>
          <w:rFonts w:hint="eastAsia" w:asciiTheme="minorEastAsia" w:hAnsiTheme="minorEastAsia" w:eastAsiaTheme="minorEastAsia"/>
          <w:b/>
          <w:sz w:val="24"/>
          <w:lang w:val="en-US" w:eastAsia="zh-CN"/>
        </w:rPr>
        <w:t>2600000</w:t>
      </w:r>
    </w:p>
    <w:p>
      <w:pPr>
        <w:spacing w:line="360" w:lineRule="auto"/>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2600000</w:t>
      </w:r>
    </w:p>
    <w:p>
      <w:pPr>
        <w:adjustRightInd/>
        <w:spacing w:line="360" w:lineRule="auto"/>
        <w:rPr>
          <w:rFonts w:asciiTheme="minorEastAsia" w:hAnsiTheme="minorEastAsia" w:eastAsiaTheme="minorEastAsia"/>
          <w:b/>
          <w:sz w:val="24"/>
        </w:rPr>
      </w:pPr>
      <w:r>
        <w:rPr>
          <w:rFonts w:hint="eastAsia" w:asciiTheme="minorEastAsia" w:hAnsiTheme="minorEastAsia" w:eastAsiaTheme="minorEastAsia"/>
          <w:b/>
          <w:sz w:val="24"/>
        </w:rPr>
        <w:t>采购需求：</w:t>
      </w:r>
      <w:r>
        <w:rPr>
          <w:rFonts w:hint="eastAsia" w:asciiTheme="minorEastAsia" w:hAnsiTheme="minorEastAsia" w:eastAsiaTheme="minorEastAsia"/>
          <w:b/>
          <w:sz w:val="24"/>
          <w:lang w:eastAsia="zh-CN"/>
        </w:rPr>
        <w:t>良熟新苑居民驿站广告物料采购项目</w:t>
      </w:r>
      <w:r>
        <w:rPr>
          <w:rFonts w:hint="eastAsia" w:asciiTheme="minorEastAsia" w:hAnsiTheme="minorEastAsia" w:eastAsiaTheme="minorEastAsia"/>
          <w:b/>
          <w:sz w:val="24"/>
        </w:rPr>
        <w:t>，简要规格描述或项目基本概况介绍、用途：详见招标文件第三部分采购需求。</w:t>
      </w:r>
    </w:p>
    <w:p>
      <w:pPr>
        <w:pStyle w:val="91"/>
        <w:ind w:firstLine="482"/>
        <w:outlineLvl w:val="2"/>
        <w:rPr>
          <w:rFonts w:asciiTheme="minorEastAsia" w:hAnsiTheme="minorEastAsia" w:eastAsiaTheme="minorEastAsia"/>
        </w:rPr>
      </w:pPr>
      <w:r>
        <w:rPr>
          <w:rFonts w:hint="eastAsia" w:asciiTheme="minorEastAsia" w:hAnsiTheme="minorEastAsia" w:eastAsiaTheme="minorEastAsia"/>
          <w:b/>
        </w:rPr>
        <w:t>合同履约期限：</w:t>
      </w:r>
      <w:r>
        <w:rPr>
          <w:rFonts w:hint="eastAsia" w:asciiTheme="minorEastAsia" w:hAnsiTheme="minorEastAsia" w:eastAsiaTheme="minorEastAsia"/>
          <w:b/>
          <w:lang w:val="en-US" w:eastAsia="zh-CN"/>
        </w:rPr>
        <w:t>30日历天</w:t>
      </w:r>
      <w:r>
        <w:rPr>
          <w:rFonts w:hint="eastAsia" w:asciiTheme="minorEastAsia" w:hAnsiTheme="minorEastAsia" w:eastAsiaTheme="minorEastAsia"/>
          <w:b/>
        </w:rPr>
        <w:t>。</w:t>
      </w:r>
    </w:p>
    <w:p>
      <w:pPr>
        <w:pStyle w:val="6"/>
        <w:spacing w:line="360" w:lineRule="auto"/>
        <w:ind w:firstLine="480"/>
        <w:rPr>
          <w:rFonts w:asciiTheme="minorEastAsia" w:hAnsiTheme="minorEastAsia" w:eastAsiaTheme="minorEastAsia"/>
          <w:b/>
          <w:sz w:val="24"/>
        </w:rPr>
      </w:pPr>
      <w:r>
        <w:rPr>
          <w:rFonts w:hint="eastAsia" w:asciiTheme="minorEastAsia" w:hAnsiTheme="minorEastAsia" w:eastAsiaTheme="minorEastAsia"/>
          <w:b/>
          <w:color w:val="auto"/>
          <w:sz w:val="24"/>
        </w:rPr>
        <w:t>本项目接受联合体投标：</w:t>
      </w:r>
      <w:r>
        <w:rPr>
          <w:rFonts w:cs="Arial" w:asciiTheme="minorEastAsia" w:hAnsiTheme="minorEastAsia" w:eastAsiaTheme="minorEastAsia"/>
          <w:color w:val="auto"/>
          <w:kern w:val="0"/>
          <w:sz w:val="24"/>
        </w:rPr>
        <w:sym w:font="Wingdings" w:char="00FE"/>
      </w:r>
      <w:r>
        <w:rPr>
          <w:rFonts w:hint="eastAsia" w:asciiTheme="minorEastAsia" w:hAnsiTheme="minorEastAsia" w:eastAsiaTheme="minorEastAsia"/>
          <w:b/>
          <w:color w:val="auto"/>
          <w:sz w:val="24"/>
        </w:rPr>
        <w:t>是，</w:t>
      </w:r>
      <w:r>
        <w:rPr>
          <w:rFonts w:cs="Arial" w:asciiTheme="minorEastAsia" w:hAnsiTheme="minorEastAsia" w:eastAsiaTheme="minorEastAsia"/>
          <w:color w:val="auto"/>
          <w:kern w:val="0"/>
          <w:sz w:val="24"/>
        </w:rPr>
        <w:sym w:font="Wingdings" w:char="00A8"/>
      </w:r>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 xml:space="preserve">    2.</w:t>
      </w:r>
      <w:r>
        <w:rPr>
          <w:rFonts w:hint="eastAsia" w:cs="仿宋_GB2312"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asciiTheme="minorEastAsia" w:hAnsiTheme="minorEastAsia" w:eastAsiaTheme="minorEastAsia"/>
          <w:sz w:val="24"/>
        </w:rPr>
      </w:pPr>
      <w:r>
        <w:rPr>
          <w:rFonts w:cs="Arial" w:asciiTheme="minorEastAsia" w:hAnsiTheme="minorEastAsia" w:eastAsiaTheme="minorEastAsia"/>
          <w:kern w:val="0"/>
          <w:sz w:val="24"/>
        </w:rPr>
        <w:sym w:font="Wingdings" w:char="00A8"/>
      </w:r>
      <w:r>
        <w:rPr>
          <w:rFonts w:hint="eastAsia" w:asciiTheme="minorEastAsia" w:hAnsiTheme="minorEastAsia" w:eastAsiaTheme="minorEastAsia"/>
          <w:sz w:val="24"/>
        </w:rPr>
        <w:t>无；</w:t>
      </w:r>
    </w:p>
    <w:p>
      <w:pPr>
        <w:spacing w:line="360" w:lineRule="auto"/>
        <w:ind w:firstLine="480" w:firstLineChars="200"/>
        <w:rPr>
          <w:rFonts w:asciiTheme="minorEastAsia" w:hAnsiTheme="minorEastAsia" w:eastAsiaTheme="minorEastAsia"/>
          <w:sz w:val="24"/>
        </w:rPr>
      </w:pPr>
      <w:r>
        <w:rPr>
          <w:rFonts w:cs="Arial" w:asciiTheme="minorEastAsia" w:hAnsiTheme="minorEastAsia" w:eastAsiaTheme="minorEastAsia"/>
          <w:kern w:val="0"/>
          <w:sz w:val="24"/>
        </w:rPr>
        <w:sym w:font="Wingdings" w:char="00FE"/>
      </w:r>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r>
        <w:rPr>
          <w:rFonts w:cs="Arial" w:asciiTheme="minorEastAsia" w:hAnsiTheme="minorEastAsia" w:eastAsiaTheme="minorEastAsia"/>
          <w:kern w:val="0"/>
          <w:sz w:val="24"/>
        </w:rPr>
        <w:sym w:font="Wingdings" w:char="00FE"/>
      </w:r>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货物全部由符合政策要求的小微企业制造，提供中小企业声明函；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服务全部由符合政策要求的中小企业承接，提供中小企业声明函；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服务全部由符合政策要求的小微企业承接，提供中小企业声明函；</w:t>
      </w:r>
    </w:p>
    <w:p>
      <w:pPr>
        <w:rPr>
          <w:rFonts w:asciiTheme="minorEastAsia" w:hAnsiTheme="minorEastAsia" w:eastAsiaTheme="minorEastAsia"/>
        </w:rPr>
      </w:pP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要求合同分包，提供分包意向协议和中小企业声明函，分包意向协议中中小企业合同金额应当达到达到</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asciiTheme="minorEastAsia" w:hAnsiTheme="minorEastAsia" w:eastAsiaTheme="minorEastAsia"/>
          <w:sz w:val="24"/>
        </w:rPr>
        <w:t>/至</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10</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31</w:t>
      </w:r>
      <w:r>
        <w:rPr>
          <w:rFonts w:asciiTheme="minorEastAsia" w:hAnsiTheme="minorEastAsia" w:eastAsiaTheme="minorEastAsia"/>
          <w:sz w:val="24"/>
          <w:u w:val="single"/>
        </w:rPr>
        <w:t>日</w:t>
      </w:r>
      <w:r>
        <w:rPr>
          <w:rFonts w:hint="eastAsia" w:asciiTheme="minorEastAsia" w:hAnsiTheme="minorEastAsia" w:eastAsiaTheme="minorEastAsia"/>
          <w:sz w:val="24"/>
        </w:rPr>
        <w:t>，每天上午</w:t>
      </w:r>
      <w:r>
        <w:rPr>
          <w:rFonts w:asciiTheme="minorEastAsia" w:hAnsiTheme="minorEastAsia" w:eastAsiaTheme="minorEastAsia"/>
          <w:sz w:val="24"/>
        </w:rPr>
        <w:t>00:00至12:00</w:t>
      </w:r>
      <w:r>
        <w:rPr>
          <w:rFonts w:hint="eastAsia" w:asciiTheme="minorEastAsia" w:hAnsiTheme="minorEastAsia" w:eastAsiaTheme="minorEastAsia"/>
          <w:sz w:val="24"/>
        </w:rPr>
        <w:t>，下午</w:t>
      </w:r>
      <w:r>
        <w:rPr>
          <w:rFonts w:asciiTheme="minorEastAsia" w:hAnsiTheme="minorEastAsia" w:eastAsiaTheme="minorEastAsia"/>
          <w:sz w:val="24"/>
        </w:rPr>
        <w:t>12:00至23:59（北京时间，线上获取法定节假日均可，线下获取文件法定节假日除外）</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获取网址：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ab/>
      </w:r>
    </w:p>
    <w:p>
      <w:pPr>
        <w:spacing w:line="360" w:lineRule="auto"/>
        <w:rPr>
          <w:rFonts w:asciiTheme="minorEastAsia" w:hAnsiTheme="minorEastAsia" w:eastAsiaTheme="minorEastAsia"/>
          <w:b/>
          <w:sz w:val="24"/>
          <w:highlight w:val="cyan"/>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10</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31</w:t>
      </w:r>
      <w:r>
        <w:rPr>
          <w:rFonts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w:t>
      </w:r>
      <w:r>
        <w:rPr>
          <w:rFonts w:hint="eastAsia" w:asciiTheme="minorEastAsia" w:hAnsiTheme="minorEastAsia" w:eastAsiaTheme="minorEastAsia"/>
          <w:sz w:val="24"/>
          <w:u w:val="single"/>
          <w:lang w:val="en-US" w:eastAsia="zh-CN"/>
        </w:rPr>
        <w:t>0</w:t>
      </w:r>
      <w:r>
        <w:rPr>
          <w:rFonts w:hint="eastAsia" w:asciiTheme="minorEastAsia" w:hAnsiTheme="minorEastAsia" w:eastAsiaTheme="minorEastAsia"/>
          <w:sz w:val="24"/>
          <w:u w:val="single"/>
        </w:rPr>
        <w:t>0分</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投标地点：</w:t>
      </w:r>
      <w:r>
        <w:rPr>
          <w:rFonts w:hint="eastAsia" w:asciiTheme="minorEastAsia" w:hAnsiTheme="minorEastAsia" w:eastAsiaTheme="minorEastAsia"/>
          <w:sz w:val="24"/>
        </w:rPr>
        <w:t>政采云平台（</w:t>
      </w:r>
      <w:r>
        <w:rPr>
          <w:rFonts w:asciiTheme="minorEastAsia" w:hAnsiTheme="minorEastAsia" w:eastAsiaTheme="minorEastAsia"/>
          <w:sz w:val="24"/>
        </w:rPr>
        <w:t>https://www.zcygov.cn/）</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投标网址：政采云平台（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10</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31</w:t>
      </w:r>
      <w:r>
        <w:rPr>
          <w:rFonts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w:t>
      </w:r>
      <w:r>
        <w:rPr>
          <w:rFonts w:hint="eastAsia" w:asciiTheme="minorEastAsia" w:hAnsiTheme="minorEastAsia" w:eastAsiaTheme="minorEastAsia"/>
          <w:sz w:val="24"/>
          <w:u w:val="single"/>
          <w:lang w:val="en-US" w:eastAsia="zh-CN"/>
        </w:rPr>
        <w:t>0</w:t>
      </w:r>
      <w:r>
        <w:rPr>
          <w:rFonts w:hint="eastAsia" w:asciiTheme="minorEastAsia" w:hAnsiTheme="minorEastAsia" w:eastAsiaTheme="minorEastAsia"/>
          <w:sz w:val="24"/>
          <w:u w:val="single"/>
        </w:rPr>
        <w:t>0分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开标网址（地点）：</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2.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称：杭州市临平区人民政府乔司街道办事处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址：浙江省杭州市临平区乔井路268号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项目联系人（询问）：董平</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w:t>
      </w:r>
      <w:r>
        <w:rPr>
          <w:rFonts w:hint="eastAsia" w:asciiTheme="minorEastAsia" w:hAnsiTheme="minorEastAsia" w:eastAsiaTheme="minorEastAsia"/>
          <w:sz w:val="24"/>
          <w:lang w:val="en-US" w:eastAsia="zh-CN"/>
        </w:rPr>
        <w:t>13738164783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质疑联系人：翁振泉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asciiTheme="minorEastAsia" w:hAnsiTheme="minorEastAsia" w:eastAsiaTheme="minorEastAsia"/>
          <w:sz w:val="24"/>
        </w:rPr>
        <w:t>0571-86296891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2.采购代理机构信息</w:t>
      </w:r>
    </w:p>
    <w:p>
      <w:pPr>
        <w:spacing w:line="360" w:lineRule="auto"/>
        <w:ind w:firstLine="480"/>
        <w:rPr>
          <w:rFonts w:hint="eastAsia" w:asciiTheme="minorEastAsia" w:hAnsiTheme="minorEastAsia" w:eastAsiaTheme="minorEastAsia"/>
          <w:sz w:val="24"/>
          <w:lang w:eastAsia="zh-CN"/>
        </w:rPr>
      </w:pPr>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浙江新诚信工程咨询有限公司</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地    址：杭州市临平区南苑街道</w:t>
      </w:r>
      <w:r>
        <w:rPr>
          <w:rFonts w:hint="eastAsia" w:asciiTheme="minorEastAsia" w:hAnsiTheme="minorEastAsia" w:eastAsiaTheme="minorEastAsia"/>
          <w:sz w:val="24"/>
          <w:lang w:val="en-US" w:eastAsia="zh-CN"/>
        </w:rPr>
        <w:t>香雪路38号香雪铭座7F</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真：0571-</w:t>
      </w:r>
      <w:r>
        <w:rPr>
          <w:rFonts w:hint="eastAsia" w:asciiTheme="minorEastAsia" w:hAnsiTheme="minorEastAsia" w:eastAsiaTheme="minorEastAsia"/>
          <w:sz w:val="24"/>
          <w:lang w:val="en-US" w:eastAsia="zh-CN"/>
        </w:rPr>
        <w:t>89183725</w:t>
      </w:r>
      <w:r>
        <w:rPr>
          <w:rFonts w:hint="eastAsia" w:asciiTheme="minorEastAsia" w:hAnsiTheme="minorEastAsia" w:eastAsiaTheme="minorEastAsia"/>
          <w:sz w:val="24"/>
        </w:rPr>
        <w:t xml:space="preserve"> </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施伟强</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w:t>
      </w:r>
      <w:r>
        <w:rPr>
          <w:rFonts w:hint="eastAsia" w:asciiTheme="minorEastAsia" w:hAnsiTheme="minorEastAsia" w:eastAsiaTheme="minorEastAsia"/>
          <w:sz w:val="24"/>
          <w:lang w:val="en-US" w:eastAsia="zh-CN"/>
        </w:rPr>
        <w:t>17757107246</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戚东升</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 xml:space="preserve">    质疑联系方式：0571-</w:t>
      </w:r>
      <w:r>
        <w:rPr>
          <w:rFonts w:hint="eastAsia" w:asciiTheme="minorEastAsia" w:hAnsiTheme="minorEastAsia" w:eastAsiaTheme="minorEastAsia"/>
          <w:sz w:val="24"/>
          <w:lang w:val="en-US" w:eastAsia="zh-CN"/>
        </w:rPr>
        <w:t>89183725</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3.同级政府采购监督管理部门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称：杭州市临平区财政局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址：杭州市临平区东湖街道东湖中路236号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  传    真：</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联系人：</w:t>
      </w:r>
      <w:r>
        <w:rPr>
          <w:rFonts w:hint="eastAsia" w:asciiTheme="minorEastAsia" w:hAnsiTheme="minorEastAsia" w:eastAsiaTheme="minorEastAsia"/>
          <w:sz w:val="24"/>
        </w:rPr>
        <w:t>俞征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监督投诉电话：</w:t>
      </w:r>
      <w:r>
        <w:rPr>
          <w:rFonts w:hint="eastAsia" w:asciiTheme="minorEastAsia" w:hAnsiTheme="minorEastAsia" w:eastAsiaTheme="minorEastAsia"/>
          <w:sz w:val="24"/>
        </w:rPr>
        <w:t>0571-89185312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widowControl/>
        <w:jc w:val="left"/>
        <w:rPr>
          <w:rFonts w:cs="仿宋" w:asciiTheme="minorEastAsia" w:hAnsiTheme="minorEastAsia" w:eastAsiaTheme="minorEastAsia"/>
        </w:rPr>
      </w:pPr>
    </w:p>
    <w:p>
      <w:pPr>
        <w:pStyle w:val="84"/>
      </w:pPr>
    </w:p>
    <w:p/>
    <w:p>
      <w:pPr>
        <w:pStyle w:val="84"/>
      </w:pPr>
    </w:p>
    <w:p/>
    <w:p>
      <w:pPr>
        <w:pStyle w:val="84"/>
      </w:pPr>
    </w:p>
    <w:p/>
    <w:p>
      <w:pPr>
        <w:pStyle w:val="84"/>
      </w:pPr>
    </w:p>
    <w:p/>
    <w:p>
      <w:pPr>
        <w:pStyle w:val="84"/>
      </w:pPr>
    </w:p>
    <w:p/>
    <w:p/>
    <w:p>
      <w:pPr>
        <w:pStyle w:val="84"/>
      </w:pPr>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第二部分</w:t>
      </w:r>
      <w:bookmarkEnd w:id="7"/>
      <w:r>
        <w:rPr>
          <w:rFonts w:hint="eastAsia" w:cs="宋体" w:asciiTheme="minorEastAsia" w:hAnsiTheme="minorEastAsia" w:eastAsiaTheme="minorEastAsia"/>
          <w:b/>
          <w:sz w:val="36"/>
          <w:szCs w:val="20"/>
        </w:rPr>
        <w:t xml:space="preserve"> 投标人须知</w:t>
      </w:r>
      <w:bookmarkEnd w:id="8"/>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。投标文件中价格全部采用人民币报价，道路养护采用费率报价。招标文件未列明，而投标人认为必需的费用也需列入报价。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ascii="仿宋" w:hAnsi="仿宋" w:eastAsia="仿宋" w:cs="仿宋"/>
                <w:b/>
                <w:bCs/>
                <w:snapToGrid w:val="0"/>
                <w:kern w:val="28"/>
                <w:sz w:val="24"/>
                <w:szCs w:val="24"/>
                <w:lang w:val="en-US" w:eastAsia="zh-CN"/>
              </w:rPr>
              <w:t>提供第三部分 采购需求中</w:t>
            </w:r>
            <w:r>
              <w:rPr>
                <w:rFonts w:hint="eastAsia" w:ascii="仿宋" w:hAnsi="仿宋" w:eastAsia="仿宋" w:cs="仿宋"/>
                <w:b/>
                <w:bCs/>
                <w:snapToGrid w:val="0"/>
                <w:kern w:val="28"/>
                <w:sz w:val="24"/>
                <w:szCs w:val="24"/>
              </w:rPr>
              <w:t>①</w:t>
            </w:r>
            <w:r>
              <w:rPr>
                <w:rFonts w:hint="eastAsia" w:ascii="仿宋" w:hAnsi="仿宋" w:eastAsia="仿宋" w:cs="仿宋"/>
                <w:b/>
                <w:bCs/>
                <w:snapToGrid w:val="0"/>
                <w:kern w:val="28"/>
                <w:sz w:val="24"/>
                <w:szCs w:val="24"/>
                <w:u w:val="single"/>
                <w:lang w:val="en-US" w:eastAsia="zh-CN"/>
              </w:rPr>
              <w:t>导视一块</w:t>
            </w:r>
            <w:r>
              <w:rPr>
                <w:rFonts w:hint="eastAsia" w:ascii="仿宋" w:hAnsi="仿宋" w:eastAsia="仿宋" w:cs="仿宋"/>
                <w:b/>
                <w:bCs/>
                <w:kern w:val="0"/>
                <w:sz w:val="24"/>
                <w:szCs w:val="24"/>
                <w:lang w:val="en-US" w:eastAsia="zh-CN"/>
              </w:rPr>
              <w:t>；②</w:t>
            </w:r>
            <w:r>
              <w:rPr>
                <w:rFonts w:hint="eastAsia" w:ascii="仿宋" w:hAnsi="仿宋" w:eastAsia="仿宋" w:cs="仿宋"/>
                <w:b/>
                <w:bCs/>
                <w:kern w:val="0"/>
                <w:sz w:val="24"/>
                <w:szCs w:val="24"/>
                <w:u w:val="single"/>
                <w:lang w:val="en-US" w:eastAsia="zh-CN"/>
              </w:rPr>
              <w:t>65寸触摸电视一台配立架（含说明书、保修卡等必要附件）</w:t>
            </w:r>
            <w:r>
              <w:rPr>
                <w:rFonts w:hint="eastAsia" w:ascii="仿宋" w:hAnsi="仿宋" w:eastAsia="仿宋" w:cs="仿宋"/>
                <w:b/>
                <w:bCs/>
                <w:kern w:val="0"/>
                <w:sz w:val="24"/>
                <w:szCs w:val="24"/>
                <w:lang w:val="en-US" w:eastAsia="zh-CN"/>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napToGrid w:val="0"/>
                <w:kern w:val="28"/>
                <w:sz w:val="24"/>
                <w:u w:val="single"/>
                <w:lang w:val="en-US" w:eastAsia="zh-CN"/>
              </w:rPr>
              <w:t xml:space="preserve"> </w:t>
            </w:r>
            <w:r>
              <w:rPr>
                <w:rFonts w:hint="eastAsia" w:ascii="仿宋" w:hAnsi="仿宋" w:eastAsia="仿宋" w:cs="仿宋"/>
                <w:snapToGrid w:val="0"/>
                <w:kern w:val="28"/>
                <w:sz w:val="24"/>
                <w:szCs w:val="24"/>
                <w:u w:val="single"/>
                <w:lang w:val="en-US" w:eastAsia="zh-CN"/>
              </w:rPr>
              <w:t>详见评标办法</w:t>
            </w:r>
            <w:r>
              <w:rPr>
                <w:rFonts w:hint="eastAsia" w:cs="宋体" w:asciiTheme="minorEastAsia" w:hAnsiTheme="minorEastAsia" w:eastAsiaTheme="minorEastAsia"/>
                <w:snapToGrid w:val="0"/>
                <w:kern w:val="28"/>
                <w:sz w:val="24"/>
                <w:u w:val="single"/>
                <w:lang w:val="en-US" w:eastAsia="zh-CN"/>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w:t>
            </w:r>
            <w:r>
              <w:rPr>
                <w:rFonts w:hint="eastAsia" w:cs="宋体" w:asciiTheme="minorEastAsia" w:hAnsiTheme="minorEastAsia" w:eastAsiaTheme="minorEastAsia"/>
                <w:sz w:val="24"/>
                <w:u w:val="single"/>
                <w:lang w:val="en-US" w:eastAsia="zh-CN"/>
              </w:rPr>
              <w:t xml:space="preserve"> </w:t>
            </w:r>
            <w:r>
              <w:rPr>
                <w:rFonts w:hint="eastAsia" w:ascii="仿宋" w:hAnsi="仿宋" w:eastAsia="仿宋" w:cs="仿宋"/>
                <w:snapToGrid w:val="0"/>
                <w:kern w:val="28"/>
                <w:sz w:val="24"/>
                <w:szCs w:val="24"/>
                <w:u w:val="single"/>
                <w:lang w:val="en-US" w:eastAsia="zh-CN"/>
              </w:rPr>
              <w:t>详见评标办法</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否；</w:t>
            </w: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lang w:val="en-US" w:eastAsia="zh-CN"/>
              </w:rPr>
              <w:t xml:space="preserve">  /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lang w:val="en-US" w:eastAsia="zh-CN"/>
              </w:rPr>
              <w:t xml:space="preserve">  /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ascii="仿宋" w:hAnsi="仿宋" w:eastAsia="仿宋" w:cs="仿宋"/>
                <w:sz w:val="24"/>
                <w:szCs w:val="24"/>
                <w:highlight w:val="none"/>
                <w:u w:val="single"/>
                <w:lang w:val="en-US" w:eastAsia="zh-CN"/>
              </w:rPr>
              <w:t>开标前一个工作日下午16时前</w:t>
            </w:r>
            <w:r>
              <w:rPr>
                <w:rFonts w:hint="eastAsia" w:ascii="仿宋" w:hAnsi="仿宋" w:eastAsia="仿宋" w:cs="仿宋"/>
                <w:kern w:val="0"/>
                <w:sz w:val="24"/>
                <w:szCs w:val="24"/>
                <w:highlight w:val="none"/>
              </w:rPr>
              <w:t>；地点：</w:t>
            </w:r>
            <w:r>
              <w:rPr>
                <w:rFonts w:hint="eastAsia" w:ascii="仿宋" w:hAnsi="仿宋" w:eastAsia="仿宋" w:cs="仿宋"/>
                <w:kern w:val="28"/>
                <w:sz w:val="24"/>
                <w:szCs w:val="24"/>
                <w:highlight w:val="none"/>
                <w:u w:val="single"/>
                <w:lang w:val="en-US" w:eastAsia="zh-CN"/>
              </w:rPr>
              <w:t>杭州市临平区南苑街道香雪路38号香雪铭座7F</w:t>
            </w:r>
            <w:r>
              <w:rPr>
                <w:rFonts w:hint="eastAsia" w:ascii="仿宋" w:hAnsi="仿宋" w:eastAsia="仿宋" w:cs="仿宋"/>
                <w:kern w:val="0"/>
                <w:sz w:val="24"/>
                <w:szCs w:val="24"/>
                <w:highlight w:val="none"/>
              </w:rPr>
              <w:t>；联系人</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施伟强</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w:t>
            </w:r>
            <w:r>
              <w:rPr>
                <w:rFonts w:hint="eastAsia" w:ascii="仿宋" w:hAnsi="仿宋" w:eastAsia="仿宋" w:cs="仿宋"/>
                <w:sz w:val="24"/>
                <w:szCs w:val="24"/>
                <w:highlight w:val="none"/>
                <w:u w:val="single"/>
                <w:lang w:val="en-US" w:eastAsia="zh-CN"/>
              </w:rPr>
              <w:t>17757107246</w:t>
            </w:r>
            <w:r>
              <w:rPr>
                <w:rFonts w:hint="eastAsia" w:ascii="仿宋" w:hAnsi="仿宋" w:eastAsia="仿宋" w:cs="仿宋"/>
                <w:sz w:val="24"/>
                <w:szCs w:val="24"/>
                <w:highlight w:val="none"/>
              </w:rPr>
              <w:t>。</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方式二：交易中心现场讲解演示。现场讲解地点，讲解演示所用电脑等设备由投标人自备。现场讲解演示人员进场时提供讲解人员名单（加盖公章）及身份证明，否则不得讲解演示。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lang w:val="en-US" w:eastAsia="zh-CN"/>
              </w:rPr>
              <w:t>广告物料</w:t>
            </w:r>
            <w:r>
              <w:rPr>
                <w:rFonts w:hint="eastAsia" w:cs="宋体" w:asciiTheme="minorEastAsia" w:hAnsiTheme="minorEastAsia" w:eastAsiaTheme="minorEastAsia"/>
                <w:kern w:val="0"/>
                <w:sz w:val="24"/>
              </w:rPr>
              <w:t>，属于其他未列明行业；具体详见《中小企业划型标准规定》。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cs="宋体"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备份投标文件送达地点：杭州市临平区南苑街道</w:t>
            </w:r>
            <w:r>
              <w:rPr>
                <w:rFonts w:hint="eastAsia" w:cs="宋体" w:asciiTheme="minorEastAsia" w:hAnsiTheme="minorEastAsia" w:eastAsiaTheme="minorEastAsia"/>
                <w:kern w:val="28"/>
                <w:sz w:val="24"/>
                <w:szCs w:val="24"/>
                <w:lang w:val="en-US" w:eastAsia="zh-CN"/>
              </w:rPr>
              <w:t>香雪路38号香雪铭座7F</w:t>
            </w:r>
            <w:r>
              <w:rPr>
                <w:rFonts w:hint="eastAsia" w:cs="宋体" w:asciiTheme="minorEastAsia" w:hAnsiTheme="minorEastAsia" w:eastAsiaTheme="minorEastAsia"/>
                <w:kern w:val="28"/>
                <w:sz w:val="24"/>
                <w:szCs w:val="24"/>
              </w:rPr>
              <w:t>招标代理部；备份投标文件签收人员</w:t>
            </w:r>
            <w:r>
              <w:rPr>
                <w:rFonts w:hint="eastAsia" w:asciiTheme="minorEastAsia" w:hAnsiTheme="minorEastAsia" w:eastAsiaTheme="minorEastAsia"/>
                <w:sz w:val="24"/>
                <w:lang w:val="en-US" w:eastAsia="zh-CN"/>
              </w:rPr>
              <w:t>施伟强17757107246</w:t>
            </w:r>
            <w:r>
              <w:rPr>
                <w:rFonts w:hint="eastAsia" w:cs="宋体" w:asciiTheme="minorEastAsia" w:hAnsiTheme="minorEastAsia" w:eastAsiaTheme="minorEastAsia"/>
                <w:kern w:val="28"/>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z w:val="24"/>
              </w:rPr>
              <w:t xml:space="preserve">供应商以联合体形式投标的：按采购文件要求提供联合协议，联合体投标的联合体各方承担连带责任，联合体成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员（含联合体牵头人）不得超过</w:t>
            </w:r>
            <w:r>
              <w:rPr>
                <w:rFonts w:hint="eastAsia" w:cs="宋体" w:asciiTheme="minorEastAsia" w:hAnsiTheme="minorEastAsia" w:eastAsiaTheme="minorEastAsia"/>
                <w:b/>
                <w:color w:val="FF0000"/>
                <w:sz w:val="24"/>
              </w:rPr>
              <w:t>3</w:t>
            </w:r>
            <w:r>
              <w:rPr>
                <w:rFonts w:hint="eastAsia" w:cs="宋体" w:asciiTheme="minorEastAsia" w:hAnsiTheme="minorEastAsia" w:eastAsiaTheme="minorEastAsia"/>
                <w:b/>
                <w:sz w:val="24"/>
              </w:rPr>
              <w:t>个</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napToGrid w:val="0"/>
                <w:kern w:val="28"/>
                <w:sz w:val="24"/>
              </w:rPr>
              <w:t>联合体各方不再单独参加或者与其他供应商另外组成联合体参加同一标项的政府采购活动，否则相关投标均无效。</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napToGrid w:val="0"/>
                <w:kern w:val="28"/>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中标单位在领取成交通知书前需向招标代理机构支付招标代理服务费：</w:t>
            </w:r>
            <w:r>
              <w:rPr>
                <w:rFonts w:hint="eastAsia" w:cs="宋体" w:asciiTheme="minorEastAsia" w:hAnsiTheme="minorEastAsia" w:eastAsiaTheme="minorEastAsia"/>
                <w:snapToGrid w:val="0"/>
                <w:kern w:val="28"/>
                <w:sz w:val="24"/>
                <w:lang w:val="en-US" w:eastAsia="zh-CN"/>
              </w:rPr>
              <w:t>35000</w:t>
            </w:r>
            <w:r>
              <w:rPr>
                <w:rFonts w:hint="eastAsia" w:cs="宋体" w:asciiTheme="minorEastAsia" w:hAnsiTheme="minorEastAsia" w:eastAsiaTheme="minorEastAsia"/>
                <w:snapToGrid w:val="0"/>
                <w:kern w:val="28"/>
                <w:sz w:val="24"/>
              </w:rPr>
              <w:t>元。</w:t>
            </w:r>
          </w:p>
          <w:p>
            <w:pPr>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注：招标代理费按照国家计委印发的《招标代理服务收费管理暂行办法》计价格[2002]1980号规定收费。</w:t>
            </w:r>
          </w:p>
          <w:p>
            <w:pPr>
              <w:pStyle w:val="976"/>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缴纳方式：以转账的形式支付。</w:t>
            </w:r>
          </w:p>
          <w:p>
            <w:pPr>
              <w:pStyle w:val="976"/>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收款单位（户名）:</w:t>
            </w:r>
            <w:r>
              <w:rPr>
                <w:rFonts w:hint="eastAsia" w:cs="宋体" w:asciiTheme="minorEastAsia" w:hAnsiTheme="minorEastAsia" w:eastAsiaTheme="minorEastAsia"/>
                <w:snapToGrid w:val="0"/>
                <w:kern w:val="28"/>
                <w:sz w:val="24"/>
                <w:szCs w:val="24"/>
                <w:lang w:eastAsia="zh-CN"/>
              </w:rPr>
              <w:t>浙江新诚信工程咨询有限公司</w:t>
            </w:r>
            <w:r>
              <w:rPr>
                <w:rFonts w:hint="eastAsia" w:cs="宋体" w:asciiTheme="minorEastAsia" w:hAnsiTheme="minorEastAsia" w:eastAsiaTheme="minorEastAsia"/>
                <w:snapToGrid w:val="0"/>
                <w:kern w:val="28"/>
                <w:sz w:val="24"/>
                <w:szCs w:val="24"/>
              </w:rPr>
              <w:t>临平分公司</w:t>
            </w:r>
          </w:p>
          <w:p>
            <w:pPr>
              <w:pStyle w:val="976"/>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开户银行：</w:t>
            </w:r>
            <w:r>
              <w:rPr>
                <w:rFonts w:hint="eastAsia" w:cs="宋体" w:asciiTheme="minorEastAsia" w:hAnsiTheme="minorEastAsia" w:eastAsiaTheme="minorEastAsia"/>
                <w:snapToGrid w:val="0"/>
                <w:kern w:val="28"/>
                <w:sz w:val="24"/>
                <w:szCs w:val="24"/>
                <w:lang w:val="en-US" w:eastAsia="zh-CN"/>
              </w:rPr>
              <w:t>余杭农商行营业部</w:t>
            </w:r>
          </w:p>
          <w:p>
            <w:pPr>
              <w:pStyle w:val="91"/>
              <w:snapToGrid w:val="0"/>
              <w:spacing w:before="0" w:after="157"/>
              <w:ind w:firstLine="0" w:firstLineChars="0"/>
              <w:rPr>
                <w:rFonts w:cs="宋体" w:asciiTheme="minorEastAsia" w:hAnsiTheme="minorEastAsia" w:eastAsiaTheme="minorEastAsia"/>
                <w:snapToGrid w:val="0"/>
                <w:kern w:val="28"/>
                <w:szCs w:val="24"/>
              </w:rPr>
            </w:pPr>
            <w:r>
              <w:rPr>
                <w:rFonts w:hint="eastAsia" w:cs="宋体" w:asciiTheme="minorEastAsia" w:hAnsiTheme="minorEastAsia" w:eastAsiaTheme="minorEastAsia"/>
                <w:snapToGrid w:val="0"/>
                <w:kern w:val="28"/>
                <w:szCs w:val="24"/>
              </w:rPr>
              <w:t>银行账号：</w:t>
            </w:r>
            <w:r>
              <w:rPr>
                <w:rFonts w:hint="eastAsia" w:cs="宋体" w:asciiTheme="minorEastAsia" w:hAnsiTheme="minorEastAsia" w:eastAsiaTheme="minorEastAsia"/>
                <w:snapToGrid w:val="0"/>
                <w:kern w:val="28"/>
                <w:szCs w:val="24"/>
                <w:lang w:val="en-US" w:eastAsia="zh-CN"/>
              </w:rPr>
              <w:t>201000292896746</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注：投标人在报价时应综合考虑该笔费用，但不单列进投标总价。</w:t>
            </w:r>
          </w:p>
        </w:tc>
      </w:tr>
      <w:bookmarkEnd w:id="9"/>
    </w:tbl>
    <w:p>
      <w:pPr>
        <w:adjustRightInd/>
        <w:spacing w:line="360" w:lineRule="auto"/>
        <w:jc w:val="center"/>
        <w:outlineLvl w:val="0"/>
        <w:rPr>
          <w:rFonts w:cs="宋体" w:asciiTheme="minorEastAsia" w:hAnsiTheme="minorEastAsia" w:eastAsiaTheme="minorEastAsia"/>
          <w:b/>
          <w:sz w:val="32"/>
          <w:szCs w:val="20"/>
        </w:rPr>
      </w:pPr>
      <w:bookmarkStart w:id="10" w:name="_Toc164416483"/>
      <w:bookmarkStart w:id="11" w:name="第三部分"/>
    </w:p>
    <w:p>
      <w:pPr>
        <w:adjustRightInd/>
        <w:spacing w:line="360" w:lineRule="auto"/>
        <w:jc w:val="center"/>
        <w:outlineLvl w:val="0"/>
        <w:rPr>
          <w:rFonts w:cs="宋体" w:asciiTheme="minorEastAsia" w:hAnsiTheme="minorEastAsia" w:eastAsiaTheme="minorEastAsia"/>
          <w:b/>
          <w:sz w:val="32"/>
          <w:szCs w:val="20"/>
        </w:rPr>
      </w:pPr>
    </w:p>
    <w:p>
      <w:pPr>
        <w:adjustRightInd/>
        <w:spacing w:line="360" w:lineRule="auto"/>
        <w:jc w:val="center"/>
        <w:outlineLvl w:val="0"/>
        <w:rPr>
          <w:rFonts w:cs="宋体" w:asciiTheme="minorEastAsia" w:hAnsiTheme="minorEastAsia" w:eastAsiaTheme="minorEastAsia"/>
          <w:b/>
          <w:sz w:val="32"/>
          <w:szCs w:val="20"/>
        </w:rPr>
      </w:pPr>
    </w:p>
    <w:p>
      <w:pPr>
        <w:adjustRightInd/>
        <w:spacing w:line="360" w:lineRule="auto"/>
        <w:outlineLvl w:val="0"/>
        <w:rPr>
          <w:rFonts w:cs="宋体" w:asciiTheme="minorEastAsia" w:hAnsiTheme="minorEastAsia" w:eastAsiaTheme="minorEastAsia"/>
          <w:b/>
          <w:sz w:val="32"/>
          <w:szCs w:val="20"/>
        </w:rPr>
      </w:pPr>
    </w:p>
    <w:p>
      <w:pPr>
        <w:pStyle w:val="84"/>
      </w:pPr>
    </w:p>
    <w:p/>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ascii="宋体" w:hAnsi="宋体" w:cs="宋体"/>
          <w:kern w:val="0"/>
          <w:sz w:val="24"/>
        </w:rPr>
        <w:t></w:t>
      </w:r>
      <w:r>
        <w:rPr>
          <w:rFonts w:hint="eastAsia" w:cs="宋体" w:asciiTheme="minorEastAsia" w:hAnsiTheme="minorEastAsia" w:eastAsiaTheme="minorEastAsia"/>
          <w:sz w:val="24"/>
        </w:rPr>
        <w:t>” 系指适用本项目的要求，“</w:t>
      </w: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cs="宋体" w:asciiTheme="minorEastAsia" w:hAnsiTheme="minorEastAsia" w:eastAsiaTheme="minorEastAsia"/>
          <w:color w:val="auto"/>
          <w:kern w:val="2"/>
          <w:sz w:val="24"/>
        </w:rPr>
      </w:pPr>
      <w:r>
        <w:rPr>
          <w:rFonts w:hint="eastAsia" w:cs="宋体" w:asciiTheme="minorEastAsia" w:hAnsiTheme="minorEastAsia" w:eastAsiaTheme="minorEastAsia"/>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4.2.2.3对采购结果提出质疑的，质疑期限自采购结果公告期限届满之日起计算。</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w:t>
      </w:r>
      <w:r>
        <w:rPr>
          <w:rFonts w:hint="eastAsia" w:cs="宋体" w:asciiTheme="minorEastAsia" w:hAnsiTheme="minorEastAsia" w:eastAsiaTheme="minorEastAsia"/>
          <w:sz w:val="24"/>
        </w:rPr>
        <w:t>供应商提出质疑应当提交质疑函和必要的证明材料。质疑函应当包括下列内容：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4.2.3.1供应商的姓名或者名称、地址、邮编、联系人及联系电话；</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4.2.3.2质疑项目的名称、编号；</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4.2.3.3具体、明确的质疑事项和与质疑事项相关的请求；</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4.2.3.4事实依据；</w:t>
      </w:r>
    </w:p>
    <w:p>
      <w:pPr>
        <w:pStyle w:val="3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4.2.3.5必要的法律依据；</w:t>
      </w:r>
    </w:p>
    <w:p>
      <w:pPr>
        <w:pStyle w:val="34"/>
        <w:spacing w:line="360" w:lineRule="auto"/>
        <w:ind w:firstLine="960" w:firstLineChars="4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pPr>
        <w:pStyle w:val="577"/>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pPr>
        <w:pStyle w:val="577"/>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pStyle w:val="91"/>
        <w:snapToGrid w:val="0"/>
        <w:spacing w:before="0"/>
        <w:ind w:firstLine="360"/>
        <w:rPr>
          <w:rFonts w:cs="宋体" w:asciiTheme="minorEastAsia" w:hAnsiTheme="minorEastAsia" w:eastAsiaTheme="minorEastAsia"/>
          <w:sz w:val="18"/>
          <w:szCs w:val="18"/>
        </w:rPr>
      </w:pP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3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cs="宋体" w:asciiTheme="minorEastAsia" w:hAnsiTheme="minorEastAsia" w:eastAsiaTheme="minorEastAsia"/>
          <w:sz w:val="18"/>
          <w:szCs w:val="18"/>
          <w:lang w:val="en-US"/>
        </w:rPr>
      </w:pPr>
    </w:p>
    <w:p>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6"/>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11.1.2落实政府采购政策需满足的资格要求；</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11.1.3本项目的特定资格要求。</w:t>
      </w:r>
    </w:p>
    <w:p>
      <w:pPr>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11.2.3联合协议；</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11.2.4分包意向协议；</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11.3.2报价明细清单；</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11.3.3中小企业声明函。</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91"/>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91"/>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pPr>
        <w:pStyle w:val="9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91"/>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34"/>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pPr>
        <w:pStyle w:val="34"/>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9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7"/>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pPr>
        <w:pStyle w:val="9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91"/>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91"/>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643"/>
        <w:rPr>
          <w:rFonts w:cs="宋体" w:asciiTheme="minorEastAsia" w:hAnsiTheme="minorEastAsia" w:eastAsiaTheme="minorEastAsia"/>
          <w:b/>
          <w:sz w:val="32"/>
        </w:rPr>
      </w:pPr>
    </w:p>
    <w:p>
      <w:pPr>
        <w:pStyle w:val="91"/>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246"/>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246"/>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　19、资格审查</w:t>
      </w:r>
    </w:p>
    <w:p>
      <w:pPr>
        <w:pStyle w:val="9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pPr>
        <w:pStyle w:val="9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9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pPr>
        <w:pStyle w:val="9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9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9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pStyle w:val="91"/>
        <w:spacing w:before="0"/>
        <w:ind w:firstLine="0" w:firstLineChars="0"/>
        <w:rPr>
          <w:rFonts w:cs="宋体" w:asciiTheme="minorEastAsia" w:hAnsiTheme="minorEastAsia" w:eastAsiaTheme="minorEastAsia"/>
          <w:kern w:val="0"/>
          <w:szCs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12"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pacing w:line="360" w:lineRule="auto"/>
        <w:rPr>
          <w:rFonts w:cs="宋体" w:asciiTheme="minorEastAsia" w:hAnsiTheme="minorEastAsia" w:eastAsiaTheme="minorEastAsia"/>
          <w:b/>
          <w:sz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7"/>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确定中标供应商</w:t>
      </w:r>
    </w:p>
    <w:p>
      <w:pPr>
        <w:pStyle w:val="91"/>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szCs w:val="24"/>
        </w:rPr>
        <w:t>采购人将自收到评审报告之日起5个工作日内通过电子交易平台在评审报告推荐的中标候选人中按顺序确定中标供应商。</w:t>
      </w:r>
    </w:p>
    <w:p>
      <w:pPr>
        <w:pStyle w:val="91"/>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23.1自中标人确定之日起2个工作日内，采购机构通过电子交易平台向中标人发出中标通知书，同时编制发布采购结果公告。采购机构也可以以纸质形式进行中标通知。</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pPr>
        <w:snapToGrid w:val="0"/>
        <w:spacing w:line="360" w:lineRule="auto"/>
        <w:ind w:left="120" w:leftChars="57" w:firstLine="482" w:firstLineChars="150"/>
        <w:jc w:val="center"/>
        <w:rPr>
          <w:rFonts w:cs="宋体" w:asciiTheme="minorEastAsia" w:hAnsiTheme="minorEastAsia" w:eastAsiaTheme="minorEastAsia"/>
          <w:b/>
          <w:sz w:val="32"/>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pPr>
        <w:pStyle w:val="7"/>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pPr>
        <w:pStyle w:val="7"/>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91"/>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pPr>
        <w:pStyle w:val="7"/>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w:t>
      </w:r>
    </w:p>
    <w:p>
      <w:pPr>
        <w:tabs>
          <w:tab w:val="left" w:pos="0"/>
        </w:tabs>
        <w:spacing w:line="360" w:lineRule="auto"/>
        <w:ind w:firstLine="482"/>
        <w:rPr>
          <w:rFonts w:cs="宋体" w:asciiTheme="minorEastAsia" w:hAnsiTheme="minorEastAsia" w:eastAsiaTheme="minorEastAsia"/>
          <w:b/>
          <w:sz w:val="24"/>
        </w:rPr>
      </w:pPr>
      <w:r>
        <w:rPr>
          <w:rFonts w:hint="eastAsia" w:cs="宋体"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。履约保证金的数额不得超过政府采购合同金额的2.5%。鼓励和支持供应商以银行、保险公司出具的保函形式提供履约保证金。</w:t>
      </w:r>
      <w:r>
        <w:rPr>
          <w:rFonts w:hint="eastAsia" w:cs="宋体" w:asciiTheme="minorEastAsia" w:hAnsiTheme="minorEastAsia" w:eastAsiaTheme="minorEastAsia"/>
          <w:b/>
          <w:sz w:val="24"/>
        </w:rPr>
        <w:t>采购人不得拒收履约保函。</w:t>
      </w:r>
    </w:p>
    <w:p>
      <w:pPr>
        <w:tabs>
          <w:tab w:val="left" w:pos="0"/>
        </w:tabs>
        <w:spacing w:line="360" w:lineRule="auto"/>
        <w:ind w:firstLine="482"/>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4"/>
        <w:ind w:left="0" w:firstLine="480" w:firstLineChars="200"/>
        <w:rPr>
          <w:rFonts w:cs="宋体" w:asciiTheme="minorEastAsia" w:hAnsiTheme="minorEastAsia" w:eastAsiaTheme="minorEastAsia"/>
          <w:lang w:val="en-US"/>
        </w:rPr>
      </w:pPr>
      <w:r>
        <w:rPr>
          <w:rFonts w:hint="eastAsia" w:cs="宋体" w:asciiTheme="minorEastAsia" w:hAnsiTheme="minorEastAsia" w:eastAsiaTheme="minorEastAsia"/>
          <w:b w:val="0"/>
          <w:bCs w:val="0"/>
          <w:snapToGrid w:val="0"/>
          <w:kern w:val="28"/>
          <w:sz w:val="24"/>
        </w:rPr>
        <w:t>供应商</w:t>
      </w:r>
      <w:r>
        <w:rPr>
          <w:rFonts w:hint="eastAsia" w:cs="宋体" w:asciiTheme="minorEastAsia" w:hAnsiTheme="minorEastAsia" w:eastAsiaTheme="minorEastAsia"/>
          <w:b w:val="0"/>
          <w:bCs w:val="0"/>
          <w:snapToGrid w:val="0"/>
          <w:kern w:val="28"/>
          <w:sz w:val="24"/>
          <w:lang w:val="en-US"/>
        </w:rPr>
        <w:t>可</w:t>
      </w:r>
      <w:r>
        <w:rPr>
          <w:rFonts w:hint="eastAsia" w:cs="宋体" w:asciiTheme="minorEastAsia" w:hAnsiTheme="minorEastAsia"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cs="宋体" w:asciiTheme="minorEastAsia" w:hAnsiTheme="minorEastAsia" w:eastAsiaTheme="minorEastAsia"/>
          <w:b/>
          <w:sz w:val="32"/>
        </w:rPr>
      </w:pPr>
    </w:p>
    <w:p>
      <w:pPr>
        <w:snapToGrid w:val="0"/>
        <w:spacing w:line="360" w:lineRule="auto"/>
        <w:ind w:firstLine="3357" w:firstLineChars="1045"/>
        <w:rPr>
          <w:rFonts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pPr>
        <w:pStyle w:val="91"/>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b/>
          <w:szCs w:val="24"/>
        </w:rPr>
        <w:t>7.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27.1电子交易平台发生故障而无法登录访问的； </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27.2电子交易平台应用或数据库出现错误，不能进行正常操作的；</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27.3电子交易平台发现严重安全漏洞，有潜在泄密危险的；</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27.4病毒发作导致不能进行正常操作的； </w:t>
      </w:r>
    </w:p>
    <w:p>
      <w:pPr>
        <w:pStyle w:val="9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27.5其他无法保证电子交易的公平、公正和安全的情况。</w:t>
      </w:r>
    </w:p>
    <w:p>
      <w:pPr>
        <w:pStyle w:val="91"/>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 w:val="24"/>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九、验收</w:t>
      </w:r>
    </w:p>
    <w:p>
      <w:pPr>
        <w:pStyle w:val="7"/>
        <w:spacing w:line="360" w:lineRule="auto"/>
        <w:ind w:firstLine="0" w:firstLineChars="0"/>
        <w:rPr>
          <w:rFonts w:cs="宋体" w:asciiTheme="minorEastAsia" w:hAnsiTheme="minorEastAsia" w:eastAsiaTheme="minorEastAsia"/>
          <w:b/>
        </w:rPr>
      </w:pPr>
      <w:r>
        <w:rPr>
          <w:rFonts w:hint="eastAsia" w:cs="宋体" w:asciiTheme="minorEastAsia" w:hAnsiTheme="minorEastAsia" w:eastAsiaTheme="minorEastAsia"/>
          <w:b/>
        </w:rPr>
        <w:t>29.验收</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宋体" w:asciiTheme="minorEastAsia" w:hAnsiTheme="minorEastAsia" w:eastAsiaTheme="minorEastAsia"/>
          <w:sz w:val="18"/>
          <w:szCs w:val="18"/>
        </w:rPr>
      </w:pPr>
      <w:r>
        <w:rPr>
          <w:rFonts w:hint="eastAsia" w:cs="宋体"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07468"/>
      <w:bookmarkEnd w:id="13"/>
      <w:bookmarkStart w:id="14" w:name="_Hlt74730295"/>
      <w:bookmarkEnd w:id="14"/>
      <w:bookmarkStart w:id="15" w:name="_Hlt68073093"/>
      <w:bookmarkEnd w:id="15"/>
      <w:bookmarkStart w:id="16" w:name="_Hlt68072990"/>
      <w:bookmarkEnd w:id="16"/>
      <w:bookmarkStart w:id="17" w:name="_Hlt75236290"/>
      <w:bookmarkEnd w:id="17"/>
      <w:bookmarkStart w:id="18" w:name="_Hlt75236101"/>
      <w:bookmarkEnd w:id="18"/>
      <w:bookmarkStart w:id="19" w:name="_Hlt68057669"/>
      <w:bookmarkEnd w:id="19"/>
      <w:bookmarkStart w:id="20" w:name="_Hlt74714665"/>
      <w:bookmarkEnd w:id="20"/>
      <w:bookmarkStart w:id="21" w:name="_Hlt68072998"/>
      <w:bookmarkEnd w:id="21"/>
      <w:bookmarkStart w:id="22" w:name="_Hlt75236011"/>
      <w:bookmarkEnd w:id="22"/>
      <w:bookmarkStart w:id="23" w:name="_Hlt74729768"/>
      <w:bookmarkEnd w:id="23"/>
      <w:bookmarkStart w:id="24" w:name="_Hlt68403820"/>
      <w:bookmarkEnd w:id="24"/>
    </w:p>
    <w:bookmarkEnd w:id="10"/>
    <w:bookmarkEnd w:id="11"/>
    <w:p>
      <w:pPr>
        <w:numPr>
          <w:ilvl w:val="0"/>
          <w:numId w:val="1"/>
        </w:numPr>
        <w:spacing w:line="360" w:lineRule="auto"/>
        <w:jc w:val="center"/>
        <w:outlineLvl w:val="0"/>
        <w:rPr>
          <w:rFonts w:cs="宋体" w:asciiTheme="minorEastAsia" w:hAnsiTheme="minorEastAsia" w:eastAsiaTheme="minorEastAsia"/>
          <w:b/>
          <w:sz w:val="36"/>
          <w:szCs w:val="36"/>
        </w:rPr>
      </w:pPr>
      <w:bookmarkStart w:id="25" w:name="第四部分"/>
      <w:r>
        <w:rPr>
          <w:rFonts w:hint="eastAsia" w:cs="宋体" w:asciiTheme="minorEastAsia" w:hAnsiTheme="minorEastAsia" w:eastAsiaTheme="minorEastAsia"/>
          <w:b/>
          <w:sz w:val="36"/>
          <w:szCs w:val="36"/>
        </w:rPr>
        <w:t xml:space="preserve">  采购需求</w:t>
      </w:r>
    </w:p>
    <w:p>
      <w:pPr>
        <w:adjustRightInd w:val="0"/>
        <w:snapToGrid w:val="0"/>
        <w:spacing w:line="360" w:lineRule="auto"/>
        <w:rPr>
          <w:rFonts w:hint="eastAsia" w:ascii="宋体" w:hAnsi="宋体" w:cs="宋体"/>
          <w:b/>
          <w:bCs/>
          <w:color w:val="000000"/>
          <w:sz w:val="24"/>
        </w:rPr>
      </w:pPr>
      <w:r>
        <w:rPr>
          <w:rFonts w:hint="eastAsia" w:ascii="宋体" w:hAnsi="宋体" w:cs="宋体"/>
          <w:b/>
          <w:bCs/>
          <w:color w:val="000000"/>
          <w:sz w:val="24"/>
        </w:rPr>
        <w:t>一、项目概述：</w:t>
      </w:r>
    </w:p>
    <w:p>
      <w:pPr>
        <w:shd w:val="solid" w:color="FFFFFF" w:fill="auto"/>
        <w:autoSpaceDN w:val="0"/>
        <w:spacing w:line="400" w:lineRule="exact"/>
        <w:ind w:firstLine="480" w:firstLineChars="200"/>
        <w:rPr>
          <w:rFonts w:hint="eastAsia" w:ascii="宋体" w:hAnsi="宋体" w:eastAsia="宋体" w:cs="宋体"/>
          <w:color w:val="auto"/>
          <w:sz w:val="24"/>
          <w:lang w:eastAsia="zh-CN"/>
        </w:rPr>
      </w:pPr>
      <w:r>
        <w:rPr>
          <w:rFonts w:ascii="宋体" w:hAnsi="宋体"/>
          <w:color w:val="auto"/>
          <w:sz w:val="24"/>
        </w:rPr>
        <w:t>1</w:t>
      </w:r>
      <w:r>
        <w:rPr>
          <w:rFonts w:hint="eastAsia" w:ascii="宋体" w:hAnsi="宋体"/>
          <w:color w:val="auto"/>
          <w:sz w:val="24"/>
        </w:rPr>
        <w:t>、项目名称：</w:t>
      </w:r>
      <w:r>
        <w:rPr>
          <w:rFonts w:hint="eastAsia" w:ascii="宋体" w:hAnsi="宋体" w:cs="宋体"/>
          <w:color w:val="auto"/>
          <w:sz w:val="24"/>
          <w:lang w:val="en-US" w:eastAsia="zh-CN"/>
        </w:rPr>
        <w:t>良熟新苑居民驿站广告物料采购项目</w:t>
      </w:r>
    </w:p>
    <w:p>
      <w:pPr>
        <w:shd w:val="solid" w:color="FFFFFF" w:fill="auto"/>
        <w:autoSpaceDN w:val="0"/>
        <w:spacing w:line="40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w:t>
      </w:r>
      <w:r>
        <w:rPr>
          <w:rFonts w:hint="eastAsia" w:ascii="宋体" w:hAnsi="宋体"/>
          <w:color w:val="auto"/>
          <w:sz w:val="24"/>
          <w:lang w:eastAsia="zh-CN"/>
        </w:rPr>
        <w:t>招标</w:t>
      </w:r>
      <w:r>
        <w:rPr>
          <w:rFonts w:hint="eastAsia" w:ascii="宋体" w:hAnsi="宋体"/>
          <w:color w:val="auto"/>
          <w:sz w:val="24"/>
        </w:rPr>
        <w:t>预算：</w:t>
      </w:r>
      <w:r>
        <w:rPr>
          <w:rFonts w:hint="eastAsia" w:ascii="宋体" w:hAnsi="宋体"/>
          <w:color w:val="auto"/>
          <w:sz w:val="24"/>
          <w:lang w:val="en-US" w:eastAsia="zh-CN"/>
        </w:rPr>
        <w:t>260</w:t>
      </w:r>
      <w:r>
        <w:rPr>
          <w:rFonts w:hint="eastAsia" w:ascii="宋体" w:hAnsi="宋体"/>
          <w:color w:val="auto"/>
          <w:sz w:val="24"/>
        </w:rPr>
        <w:t>万元</w:t>
      </w:r>
      <w:r>
        <w:rPr>
          <w:rFonts w:hint="eastAsia" w:ascii="宋体" w:hAnsi="宋体"/>
          <w:color w:val="auto"/>
          <w:sz w:val="24"/>
          <w:lang w:eastAsia="zh-CN"/>
        </w:rPr>
        <w:t>（</w:t>
      </w:r>
      <w:r>
        <w:rPr>
          <w:rFonts w:hint="eastAsia" w:ascii="宋体" w:hAnsi="宋体"/>
          <w:color w:val="auto"/>
          <w:sz w:val="24"/>
          <w:lang w:val="en-US" w:eastAsia="zh-CN"/>
        </w:rPr>
        <w:t>包含但不限于</w:t>
      </w:r>
      <w:r>
        <w:rPr>
          <w:rFonts w:hint="eastAsia" w:ascii="宋体" w:hAnsi="宋体"/>
          <w:color w:val="auto"/>
          <w:sz w:val="24"/>
        </w:rPr>
        <w:t>设计、</w:t>
      </w:r>
      <w:r>
        <w:rPr>
          <w:rFonts w:hint="eastAsia" w:ascii="宋体" w:hAnsi="宋体"/>
          <w:color w:val="auto"/>
          <w:sz w:val="24"/>
          <w:lang w:eastAsia="zh-CN"/>
        </w:rPr>
        <w:t>制作</w:t>
      </w:r>
      <w:r>
        <w:rPr>
          <w:rFonts w:hint="eastAsia" w:ascii="宋体" w:hAnsi="宋体"/>
          <w:color w:val="auto"/>
          <w:sz w:val="24"/>
        </w:rPr>
        <w:t>、</w:t>
      </w:r>
      <w:r>
        <w:rPr>
          <w:rFonts w:hint="eastAsia" w:ascii="宋体" w:hAnsi="宋体"/>
          <w:color w:val="auto"/>
          <w:sz w:val="24"/>
          <w:lang w:eastAsia="zh-CN"/>
        </w:rPr>
        <w:t>安装</w:t>
      </w:r>
      <w:r>
        <w:rPr>
          <w:rFonts w:hint="eastAsia" w:ascii="宋体" w:hAnsi="宋体"/>
          <w:color w:val="auto"/>
          <w:sz w:val="24"/>
          <w:lang w:val="en-US" w:eastAsia="zh-CN"/>
        </w:rPr>
        <w:t>所有跟本项目涉及的所有费用</w:t>
      </w:r>
      <w:r>
        <w:rPr>
          <w:rFonts w:hint="eastAsia" w:ascii="宋体" w:hAnsi="宋体"/>
          <w:color w:val="auto"/>
          <w:sz w:val="24"/>
          <w:lang w:eastAsia="zh-CN"/>
        </w:rPr>
        <w:t>），</w:t>
      </w:r>
      <w:r>
        <w:rPr>
          <w:rFonts w:hint="eastAsia" w:ascii="宋体" w:hAnsi="宋体"/>
          <w:color w:val="auto"/>
          <w:sz w:val="24"/>
          <w:highlight w:val="none"/>
          <w:lang w:val="en-US" w:eastAsia="zh-CN"/>
        </w:rPr>
        <w:t>设计费7万元一次性包干不竞争。</w:t>
      </w:r>
    </w:p>
    <w:p>
      <w:pPr>
        <w:shd w:val="solid" w:color="FFFFFF" w:fill="auto"/>
        <w:autoSpaceDN w:val="0"/>
        <w:spacing w:line="400" w:lineRule="exact"/>
        <w:ind w:firstLine="480" w:firstLineChars="200"/>
        <w:rPr>
          <w:rFonts w:hint="eastAsia" w:ascii="宋体" w:hAnsi="宋体" w:cs="Times New Roman"/>
          <w:color w:val="auto"/>
          <w:sz w:val="24"/>
          <w:lang w:val="en-US" w:eastAsia="zh-CN"/>
        </w:rPr>
      </w:pPr>
      <w:r>
        <w:rPr>
          <w:rFonts w:hint="eastAsia" w:ascii="宋体" w:hAnsi="宋体" w:cs="Times New Roman"/>
          <w:color w:val="auto"/>
          <w:sz w:val="24"/>
          <w:lang w:val="en-US" w:eastAsia="zh-CN"/>
        </w:rPr>
        <w:t>3、服务期：30日历天完成设计、制作、安装，并交付使用。</w:t>
      </w:r>
    </w:p>
    <w:p>
      <w:pPr>
        <w:adjustRightInd w:val="0"/>
        <w:snapToGrid w:val="0"/>
        <w:spacing w:line="360" w:lineRule="auto"/>
        <w:rPr>
          <w:rFonts w:hint="eastAsia" w:ascii="宋体" w:hAnsi="宋体" w:cs="宋体"/>
          <w:b/>
          <w:bCs/>
          <w:color w:val="000000"/>
          <w:sz w:val="24"/>
        </w:rPr>
      </w:pPr>
      <w:bookmarkStart w:id="26" w:name="_二、采购需求描述"/>
      <w:bookmarkEnd w:id="26"/>
      <w:bookmarkStart w:id="27" w:name="_Toc423352690"/>
      <w:bookmarkStart w:id="28" w:name="_Toc433119941"/>
      <w:bookmarkStart w:id="29" w:name="_Toc445190623"/>
      <w:bookmarkStart w:id="30" w:name="_Toc413655156"/>
      <w:bookmarkStart w:id="31" w:name="_Toc433095772"/>
      <w:r>
        <w:rPr>
          <w:rFonts w:hint="eastAsia" w:ascii="宋体" w:hAnsi="宋体" w:cs="宋体"/>
          <w:b/>
          <w:bCs/>
          <w:color w:val="000000"/>
          <w:sz w:val="24"/>
        </w:rPr>
        <w:t>二、</w:t>
      </w:r>
      <w:bookmarkEnd w:id="27"/>
      <w:bookmarkEnd w:id="28"/>
      <w:bookmarkEnd w:id="29"/>
      <w:bookmarkEnd w:id="30"/>
      <w:bookmarkEnd w:id="31"/>
      <w:r>
        <w:rPr>
          <w:rFonts w:hint="eastAsia" w:ascii="宋体" w:hAnsi="宋体" w:cs="宋体"/>
          <w:b/>
          <w:bCs/>
          <w:color w:val="000000"/>
          <w:sz w:val="24"/>
          <w:lang w:eastAsia="zh-CN"/>
        </w:rPr>
        <w:t>招标</w:t>
      </w:r>
      <w:r>
        <w:rPr>
          <w:rFonts w:hint="eastAsia" w:ascii="宋体" w:hAnsi="宋体" w:cs="宋体"/>
          <w:b/>
          <w:bCs/>
          <w:color w:val="000000"/>
          <w:sz w:val="24"/>
        </w:rPr>
        <w:t>需求描述</w:t>
      </w:r>
    </w:p>
    <w:p>
      <w:pPr>
        <w:spacing w:line="400" w:lineRule="exact"/>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（一）项目概况</w:t>
      </w:r>
    </w:p>
    <w:p>
      <w:pPr>
        <w:spacing w:line="400" w:lineRule="exact"/>
        <w:ind w:firstLine="482" w:firstLineChars="200"/>
        <w:rPr>
          <w:rFonts w:hint="eastAsia" w:ascii="宋体" w:hAnsi="宋体"/>
          <w:b/>
          <w:bCs/>
          <w:color w:val="auto"/>
          <w:sz w:val="24"/>
        </w:rPr>
      </w:pPr>
      <w:r>
        <w:rPr>
          <w:rFonts w:hint="eastAsia" w:ascii="宋体" w:hAnsi="宋体"/>
          <w:b/>
          <w:bCs/>
          <w:color w:val="auto"/>
          <w:sz w:val="24"/>
          <w:lang w:val="en-US" w:eastAsia="zh-CN"/>
        </w:rPr>
        <w:t xml:space="preserve">  中心广告物料设计制作采购项目：功能布局有活动区、心理咨询、圆桌会、书屋、小事儿便民、休闲区、等。主要用于党员组织生活、组织教育，以及红色宣传等功能。设计要求与时俱进、功能布局科学合理、参观东西人性化、施工安排安全高效。</w:t>
      </w:r>
    </w:p>
    <w:p>
      <w:pPr>
        <w:spacing w:line="400" w:lineRule="exact"/>
        <w:ind w:firstLine="482" w:firstLineChars="200"/>
        <w:rPr>
          <w:rFonts w:ascii="宋体"/>
          <w:b/>
          <w:bCs/>
          <w:color w:val="auto"/>
          <w:sz w:val="24"/>
        </w:rPr>
      </w:pPr>
      <w:r>
        <w:rPr>
          <w:rFonts w:hint="eastAsia" w:ascii="宋体" w:hAnsi="宋体"/>
          <w:b/>
          <w:bCs/>
          <w:color w:val="auto"/>
          <w:sz w:val="24"/>
        </w:rPr>
        <w:t>（二）</w:t>
      </w:r>
      <w:r>
        <w:rPr>
          <w:rFonts w:hint="eastAsia" w:ascii="宋体" w:hAnsi="宋体"/>
          <w:b/>
          <w:bCs/>
          <w:color w:val="auto"/>
          <w:sz w:val="24"/>
          <w:lang w:eastAsia="zh-CN"/>
        </w:rPr>
        <w:t>招标</w:t>
      </w:r>
      <w:r>
        <w:rPr>
          <w:rFonts w:hint="eastAsia" w:ascii="宋体" w:hAnsi="宋体"/>
          <w:b/>
          <w:bCs/>
          <w:color w:val="auto"/>
          <w:sz w:val="24"/>
        </w:rPr>
        <w:t>范围</w:t>
      </w:r>
    </w:p>
    <w:p>
      <w:pPr>
        <w:shd w:val="solid" w:color="FFFFFF" w:fill="auto"/>
        <w:autoSpaceDN w:val="0"/>
        <w:spacing w:line="400" w:lineRule="exact"/>
        <w:ind w:firstLine="480" w:firstLineChars="200"/>
        <w:rPr>
          <w:rFonts w:hint="eastAsia"/>
          <w:color w:val="auto"/>
          <w:kern w:val="0"/>
          <w:sz w:val="24"/>
        </w:rPr>
      </w:pPr>
      <w:r>
        <w:rPr>
          <w:rFonts w:hint="eastAsia" w:ascii="宋体" w:hAnsi="宋体"/>
          <w:color w:val="auto"/>
          <w:sz w:val="24"/>
          <w:lang w:val="en-US" w:eastAsia="zh-CN"/>
        </w:rPr>
        <w:t>以设计、制作、安装“EPC模式”</w:t>
      </w:r>
      <w:r>
        <w:rPr>
          <w:rFonts w:hint="eastAsia" w:ascii="宋体" w:hAnsi="宋体" w:cs="宋体"/>
          <w:snapToGrid w:val="0"/>
          <w:color w:val="auto"/>
          <w:kern w:val="0"/>
          <w:sz w:val="24"/>
        </w:rPr>
        <w:t>完成</w:t>
      </w:r>
      <w:r>
        <w:rPr>
          <w:rFonts w:hint="eastAsia" w:ascii="宋体" w:hAnsi="宋体" w:cs="宋体"/>
          <w:color w:val="auto"/>
          <w:sz w:val="24"/>
          <w:lang w:val="en-US" w:eastAsia="zh-CN"/>
        </w:rPr>
        <w:t>良熟新苑居民驿站</w:t>
      </w:r>
      <w:r>
        <w:rPr>
          <w:rFonts w:hint="eastAsia" w:ascii="宋体" w:hAnsi="宋体" w:cs="宋体"/>
          <w:color w:val="auto"/>
          <w:sz w:val="24"/>
          <w:lang w:eastAsia="zh-CN"/>
        </w:rPr>
        <w:t>广告物料设计制作采购项目</w:t>
      </w:r>
      <w:r>
        <w:rPr>
          <w:rFonts w:hint="eastAsia"/>
          <w:color w:val="auto"/>
          <w:kern w:val="0"/>
          <w:sz w:val="24"/>
        </w:rPr>
        <w:t>等内容。</w:t>
      </w:r>
    </w:p>
    <w:p>
      <w:pPr>
        <w:spacing w:line="400" w:lineRule="exact"/>
        <w:ind w:firstLine="482"/>
        <w:rPr>
          <w:rFonts w:ascii="宋体"/>
          <w:color w:val="auto"/>
          <w:sz w:val="24"/>
        </w:rPr>
      </w:pPr>
      <w:r>
        <w:rPr>
          <w:rFonts w:hint="eastAsia" w:ascii="宋体" w:hAnsi="宋体"/>
          <w:color w:val="auto"/>
          <w:sz w:val="24"/>
        </w:rPr>
        <w:t>包括但不限于以下内容：</w:t>
      </w:r>
    </w:p>
    <w:p>
      <w:pPr>
        <w:spacing w:line="400" w:lineRule="exact"/>
        <w:ind w:firstLine="480"/>
        <w:rPr>
          <w:rFonts w:ascii="宋体"/>
          <w:color w:val="auto"/>
          <w:sz w:val="24"/>
        </w:rPr>
      </w:pPr>
      <w:r>
        <w:rPr>
          <w:rFonts w:hint="eastAsia" w:ascii="宋体" w:hAnsi="宋体"/>
          <w:color w:val="auto"/>
          <w:sz w:val="24"/>
        </w:rPr>
        <w:t>从项目</w:t>
      </w:r>
      <w:r>
        <w:rPr>
          <w:rFonts w:hint="eastAsia" w:ascii="宋体" w:hAnsi="宋体"/>
          <w:color w:val="auto"/>
          <w:sz w:val="24"/>
          <w:lang w:eastAsia="zh-CN"/>
        </w:rPr>
        <w:t>深化</w:t>
      </w:r>
      <w:r>
        <w:rPr>
          <w:rFonts w:hint="eastAsia" w:ascii="宋体" w:hAnsi="宋体"/>
          <w:color w:val="auto"/>
          <w:sz w:val="24"/>
        </w:rPr>
        <w:t>设计开始至</w:t>
      </w:r>
      <w:r>
        <w:rPr>
          <w:rFonts w:hint="eastAsia" w:ascii="宋体" w:hAnsi="宋体"/>
          <w:color w:val="auto"/>
          <w:sz w:val="24"/>
          <w:lang w:eastAsia="zh-CN"/>
        </w:rPr>
        <w:t>项目</w:t>
      </w:r>
      <w:r>
        <w:rPr>
          <w:rFonts w:hint="eastAsia" w:ascii="宋体" w:hAnsi="宋体"/>
          <w:color w:val="auto"/>
          <w:sz w:val="24"/>
        </w:rPr>
        <w:t>竣工</w:t>
      </w:r>
      <w:r>
        <w:rPr>
          <w:rFonts w:hint="eastAsia" w:ascii="宋体" w:hAnsi="宋体" w:cs="Times New Roman"/>
          <w:color w:val="auto"/>
          <w:sz w:val="24"/>
          <w:lang w:val="en-US" w:eastAsia="zh-CN"/>
        </w:rPr>
        <w:t>交付使用</w:t>
      </w:r>
      <w:r>
        <w:rPr>
          <w:rFonts w:hint="eastAsia" w:ascii="宋体" w:hAnsi="宋体"/>
          <w:color w:val="auto"/>
          <w:sz w:val="24"/>
        </w:rPr>
        <w:t>并投入使用及保修责任期的技术服务与缺陷修复、保修期的保修工作。主要包括深化设计、</w:t>
      </w:r>
      <w:r>
        <w:rPr>
          <w:rFonts w:hint="eastAsia" w:ascii="宋体" w:hAnsi="宋体"/>
          <w:color w:val="auto"/>
          <w:sz w:val="24"/>
          <w:lang w:val="en-US" w:eastAsia="zh-CN"/>
        </w:rPr>
        <w:t>施工</w:t>
      </w:r>
      <w:r>
        <w:rPr>
          <w:rFonts w:hint="eastAsia" w:ascii="宋体" w:hAnsi="宋体"/>
          <w:color w:val="auto"/>
          <w:sz w:val="24"/>
        </w:rPr>
        <w:t>图设计、项目建设所有材料设备的</w:t>
      </w:r>
      <w:r>
        <w:rPr>
          <w:rFonts w:hint="eastAsia" w:ascii="宋体" w:hAnsi="宋体"/>
          <w:color w:val="auto"/>
          <w:sz w:val="24"/>
          <w:lang w:eastAsia="zh-CN"/>
        </w:rPr>
        <w:t>招标</w:t>
      </w:r>
      <w:r>
        <w:rPr>
          <w:rFonts w:hint="eastAsia" w:ascii="宋体" w:hAnsi="宋体"/>
          <w:color w:val="auto"/>
          <w:sz w:val="24"/>
        </w:rPr>
        <w:t>和保管、项目设计范围内的所有工程施工</w:t>
      </w:r>
      <w:r>
        <w:rPr>
          <w:rFonts w:hint="eastAsia" w:ascii="宋体" w:hAnsi="宋体"/>
          <w:color w:val="auto"/>
          <w:sz w:val="24"/>
          <w:lang w:eastAsia="zh-CN"/>
        </w:rPr>
        <w:t>制作</w:t>
      </w:r>
      <w:r>
        <w:rPr>
          <w:rFonts w:hint="eastAsia" w:ascii="宋体" w:hAnsi="宋体"/>
          <w:color w:val="auto"/>
          <w:sz w:val="24"/>
        </w:rPr>
        <w:t>、安装和调试、资料的编排与</w:t>
      </w:r>
      <w:r>
        <w:rPr>
          <w:rFonts w:hint="eastAsia" w:ascii="宋体" w:hAnsi="宋体"/>
          <w:color w:val="auto"/>
          <w:sz w:val="24"/>
          <w:lang w:eastAsia="zh-CN"/>
        </w:rPr>
        <w:t>制作</w:t>
      </w:r>
      <w:r>
        <w:rPr>
          <w:rFonts w:hint="eastAsia" w:ascii="宋体" w:hAnsi="宋体"/>
          <w:color w:val="auto"/>
          <w:sz w:val="24"/>
        </w:rPr>
        <w:t>、竣工验收、保修责任期的技术服务与缺陷修复、保修期的保修工作及负责管理协调各分包单位、供应商的配合工作【注：</w:t>
      </w:r>
      <w:r>
        <w:rPr>
          <w:rFonts w:hint="eastAsia" w:ascii="宋体" w:hAnsi="宋体"/>
          <w:color w:val="auto"/>
          <w:sz w:val="24"/>
          <w:lang w:val="en-US" w:eastAsia="zh-CN"/>
        </w:rPr>
        <w:t>中标方案不是最终方案，</w:t>
      </w:r>
      <w:r>
        <w:rPr>
          <w:rFonts w:hint="eastAsia" w:ascii="宋体" w:hAnsi="宋体"/>
          <w:color w:val="auto"/>
          <w:sz w:val="24"/>
        </w:rPr>
        <w:t>发包人有权根据项目的实际情况增加或减少工作内容】。承担项目总承包工程的质量责任、安全责任、工期责任、竣工验收备案责任、项目资料移交责任等。</w:t>
      </w:r>
    </w:p>
    <w:p>
      <w:pPr>
        <w:spacing w:line="400" w:lineRule="exact"/>
        <w:ind w:firstLine="482" w:firstLineChars="200"/>
        <w:rPr>
          <w:rFonts w:hint="eastAsia" w:ascii="宋体" w:hAnsi="宋体"/>
          <w:b/>
          <w:bCs/>
          <w:color w:val="auto"/>
          <w:sz w:val="24"/>
        </w:rPr>
      </w:pPr>
      <w:r>
        <w:rPr>
          <w:rFonts w:hint="eastAsia" w:ascii="宋体" w:hAnsi="宋体"/>
          <w:b/>
          <w:bCs/>
          <w:color w:val="auto"/>
          <w:sz w:val="24"/>
        </w:rPr>
        <w:t>（三）设计要求</w:t>
      </w:r>
    </w:p>
    <w:p>
      <w:pPr>
        <w:spacing w:line="400" w:lineRule="exact"/>
        <w:ind w:firstLine="480"/>
        <w:rPr>
          <w:rFonts w:hint="default" w:ascii="宋体" w:hAnsi="宋体"/>
          <w:color w:val="auto"/>
          <w:sz w:val="24"/>
          <w:lang w:val="en-US" w:eastAsia="zh-CN"/>
        </w:rPr>
      </w:pPr>
      <w:r>
        <w:rPr>
          <w:rFonts w:hint="eastAsia" w:ascii="宋体" w:hAnsi="宋体"/>
          <w:color w:val="auto"/>
          <w:sz w:val="24"/>
          <w:lang w:val="en-US" w:eastAsia="zh-CN"/>
        </w:rPr>
        <w:t>整体设计方案需满足居民驿站基本功能要求，达到验收标准。设计元素结合当地的特色，展现独具风格的宣传内容设计理念，寓教于乐。每个功能室根据功能不同，设计内容当中所表现的也需要符合其各有的特点。</w:t>
      </w:r>
    </w:p>
    <w:p>
      <w:pPr>
        <w:pStyle w:val="34"/>
        <w:tabs>
          <w:tab w:val="left" w:pos="3045"/>
        </w:tabs>
        <w:spacing w:before="120" w:after="120" w:line="240" w:lineRule="auto"/>
        <w:ind w:firstLine="482" w:firstLineChars="200"/>
        <w:rPr>
          <w:rFonts w:hAnsi="宋体" w:cs="宋体"/>
          <w:color w:val="auto"/>
          <w:szCs w:val="32"/>
        </w:rPr>
      </w:pPr>
      <w:r>
        <w:rPr>
          <w:rFonts w:hint="eastAsia" w:ascii="宋体" w:hAnsi="宋体" w:eastAsia="宋体" w:cs="Times New Roman"/>
          <w:b/>
          <w:bCs/>
          <w:color w:val="auto"/>
          <w:kern w:val="2"/>
          <w:sz w:val="24"/>
          <w:szCs w:val="24"/>
          <w:lang w:val="en-US" w:eastAsia="zh-CN" w:bidi="ar-SA"/>
        </w:rPr>
        <w:t>（四） 深化设计成果文件要求</w:t>
      </w:r>
      <w:r>
        <w:rPr>
          <w:rFonts w:hAnsi="宋体" w:cs="宋体"/>
          <w:color w:val="auto"/>
          <w:szCs w:val="32"/>
        </w:rPr>
        <w:tab/>
      </w:r>
    </w:p>
    <w:p>
      <w:pPr>
        <w:spacing w:line="400" w:lineRule="exact"/>
        <w:ind w:firstLine="480"/>
        <w:rPr>
          <w:rFonts w:hint="default" w:ascii="宋体" w:hAnsi="宋体"/>
          <w:color w:val="auto"/>
          <w:sz w:val="24"/>
          <w:lang w:val="en-US" w:eastAsia="zh-CN"/>
        </w:rPr>
      </w:pPr>
      <w:bookmarkStart w:id="32" w:name="_Toc26951"/>
      <w:r>
        <w:rPr>
          <w:rFonts w:hint="eastAsia" w:ascii="宋体" w:hAnsi="宋体"/>
          <w:color w:val="auto"/>
          <w:sz w:val="24"/>
          <w:lang w:val="en-US" w:eastAsia="zh-CN"/>
        </w:rPr>
        <w:t>投标人根据理解，提交能最大限度展现自身实力和设计思想的设计方案，包括但不限于：</w:t>
      </w:r>
    </w:p>
    <w:p>
      <w:pPr>
        <w:spacing w:line="400" w:lineRule="exact"/>
        <w:ind w:firstLine="480"/>
        <w:rPr>
          <w:rFonts w:hint="eastAsia" w:ascii="宋体" w:hAnsi="宋体"/>
          <w:color w:val="auto"/>
          <w:sz w:val="24"/>
          <w:lang w:val="en-US" w:eastAsia="zh-CN"/>
        </w:rPr>
      </w:pPr>
      <w:r>
        <w:rPr>
          <w:rFonts w:hint="eastAsia" w:ascii="宋体" w:hAnsi="宋体"/>
          <w:color w:val="auto"/>
          <w:sz w:val="24"/>
          <w:lang w:val="en-US" w:eastAsia="zh-CN"/>
        </w:rPr>
        <w:t>（1）提取特色元素和色彩</w:t>
      </w:r>
    </w:p>
    <w:p>
      <w:pPr>
        <w:spacing w:line="400" w:lineRule="exact"/>
        <w:ind w:firstLine="480"/>
        <w:rPr>
          <w:rFonts w:hint="default" w:ascii="宋体" w:hAnsi="宋体"/>
          <w:color w:val="auto"/>
          <w:sz w:val="24"/>
          <w:lang w:val="en-US" w:eastAsia="zh-CN"/>
        </w:rPr>
      </w:pPr>
      <w:r>
        <w:rPr>
          <w:rFonts w:hint="eastAsia" w:ascii="宋体" w:hAnsi="宋体"/>
          <w:color w:val="auto"/>
          <w:sz w:val="24"/>
          <w:lang w:val="en-US" w:eastAsia="zh-CN"/>
        </w:rPr>
        <w:t>（2）布点图（视点自定）</w:t>
      </w:r>
    </w:p>
    <w:p>
      <w:pPr>
        <w:spacing w:line="400" w:lineRule="exact"/>
        <w:ind w:firstLine="480"/>
        <w:rPr>
          <w:rFonts w:hint="eastAsia" w:ascii="宋体" w:hAnsi="宋体"/>
          <w:color w:val="auto"/>
          <w:sz w:val="24"/>
          <w:lang w:val="en-US" w:eastAsia="zh-CN"/>
        </w:rPr>
      </w:pPr>
      <w:r>
        <w:rPr>
          <w:rFonts w:hint="eastAsia" w:ascii="宋体" w:hAnsi="宋体"/>
          <w:color w:val="auto"/>
          <w:sz w:val="24"/>
          <w:lang w:val="en-US" w:eastAsia="zh-CN"/>
        </w:rPr>
        <w:t>（3）分部效果图（所有布点需一张以上的平面设计图及3d效果图）</w:t>
      </w:r>
    </w:p>
    <w:p>
      <w:pPr>
        <w:spacing w:line="400" w:lineRule="exact"/>
        <w:ind w:firstLine="480"/>
        <w:rPr>
          <w:rFonts w:hint="default" w:ascii="宋体" w:hAnsi="宋体"/>
          <w:color w:val="auto"/>
          <w:sz w:val="24"/>
          <w:lang w:val="en-US" w:eastAsia="zh-CN"/>
        </w:rPr>
      </w:pPr>
      <w:r>
        <w:rPr>
          <w:rFonts w:hint="eastAsia" w:ascii="宋体" w:hAnsi="宋体"/>
          <w:color w:val="auto"/>
          <w:sz w:val="24"/>
          <w:lang w:val="en-US" w:eastAsia="zh-CN"/>
        </w:rPr>
        <w:t>（4）字体设计</w:t>
      </w:r>
    </w:p>
    <w:p>
      <w:pPr>
        <w:pStyle w:val="34"/>
        <w:tabs>
          <w:tab w:val="left" w:pos="3045"/>
        </w:tabs>
        <w:spacing w:before="120" w:after="120" w:line="240" w:lineRule="auto"/>
        <w:ind w:firstLine="482" w:firstLineChars="2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（五）设计基本要求</w:t>
      </w:r>
      <w:bookmarkEnd w:id="32"/>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设计方案需要完整、科学、合理的可实施方案，设计风格需要做到美观、大气、庄重。设计方案中所表述的内容需要具备一定的教育性，达到宣传的功能。</w:t>
      </w:r>
    </w:p>
    <w:p>
      <w:pPr>
        <w:pStyle w:val="34"/>
        <w:tabs>
          <w:tab w:val="left" w:pos="3045"/>
        </w:tabs>
        <w:spacing w:before="120" w:after="120" w:line="240" w:lineRule="auto"/>
        <w:ind w:firstLine="482" w:firstLineChars="2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（六）、结算方式：</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合同签订后支付合同价</w:t>
      </w:r>
      <w:r>
        <w:rPr>
          <w:rFonts w:hint="eastAsia" w:ascii="宋体" w:hAnsi="宋体" w:cs="宋体"/>
          <w:color w:val="auto"/>
          <w:sz w:val="24"/>
          <w:szCs w:val="32"/>
          <w:highlight w:val="none"/>
          <w:lang w:val="en-US" w:eastAsia="zh-CN"/>
        </w:rPr>
        <w:t>40%的</w:t>
      </w:r>
      <w:r>
        <w:rPr>
          <w:rFonts w:hint="eastAsia" w:ascii="宋体" w:hAnsi="宋体" w:cs="宋体"/>
          <w:color w:val="auto"/>
          <w:sz w:val="24"/>
          <w:szCs w:val="32"/>
          <w:highlight w:val="none"/>
        </w:rPr>
        <w:t>预付款，竣工验收合格后支付至合同总价的</w:t>
      </w: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0%</w:t>
      </w:r>
      <w:r>
        <w:rPr>
          <w:rFonts w:hint="eastAsia" w:ascii="宋体" w:hAnsi="宋体" w:cs="宋体"/>
          <w:color w:val="auto"/>
          <w:sz w:val="24"/>
          <w:szCs w:val="32"/>
          <w:highlight w:val="none"/>
          <w:lang w:eastAsia="zh-CN"/>
        </w:rPr>
        <w:t>。</w:t>
      </w:r>
    </w:p>
    <w:p>
      <w:pPr>
        <w:spacing w:before="315" w:beforeLines="100" w:after="315" w:afterLines="100" w:line="360" w:lineRule="auto"/>
        <w:ind w:firstLine="482" w:firstLineChars="200"/>
        <w:outlineLvl w:val="0"/>
        <w:rPr>
          <w:rFonts w:hint="eastAsia" w:ascii="宋体" w:hAnsi="宋体" w:cs="Times New Roman"/>
          <w:b/>
          <w:bCs/>
          <w:color w:val="auto"/>
          <w:kern w:val="2"/>
          <w:sz w:val="24"/>
          <w:szCs w:val="24"/>
          <w:highlight w:val="none"/>
          <w:lang w:val="en-US" w:eastAsia="zh-CN" w:bidi="ar-SA"/>
        </w:rPr>
      </w:pPr>
      <w:r>
        <w:rPr>
          <w:rFonts w:hint="eastAsia" w:ascii="宋体" w:hAnsi="宋体" w:cs="Times New Roman"/>
          <w:b/>
          <w:bCs/>
          <w:color w:val="auto"/>
          <w:kern w:val="2"/>
          <w:sz w:val="24"/>
          <w:szCs w:val="24"/>
          <w:highlight w:val="none"/>
          <w:lang w:val="en-US" w:eastAsia="zh-CN" w:bidi="ar-SA"/>
        </w:rPr>
        <w:t>（七）、工程质量要求的其他约定：</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1、承包人必须严格按合同条款、施工图纸及设计说明文件、施工验收规范、国家和省市的有关质量验收标准，精心组织施工，确保工程质量达到国家施工验收规范合格标准；</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2、承包人应详细踏勘、了解现场实际情况，在投标中应充分考虑现场情况对施工的影响，该部分内容包干，中标后不予调整；</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当承包人未按合同约定履行义务，造成质量低下、进度迟缓、管理混乱或将中标项目转让（转包给他人），发包方有权解除合同，没收履约担保，如给发包人造成的损失超过保证金数额的还应当对超过部份予以赔偿，并依法承担相应的法律责任；</w:t>
      </w:r>
    </w:p>
    <w:p>
      <w:pPr>
        <w:snapToGrid w:val="0"/>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4、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adjustRightInd w:val="0"/>
        <w:snapToGrid w:val="0"/>
        <w:spacing w:line="360" w:lineRule="auto"/>
        <w:rPr>
          <w:rFonts w:hint="default" w:ascii="宋体" w:hAnsi="宋体" w:cs="宋体"/>
          <w:b/>
          <w:bCs/>
          <w:color w:val="000000"/>
          <w:sz w:val="24"/>
          <w:lang w:val="en-US" w:eastAsia="zh-CN"/>
        </w:rPr>
      </w:pPr>
      <w:r>
        <w:rPr>
          <w:rFonts w:hint="eastAsia" w:ascii="宋体" w:hAnsi="宋体" w:cs="宋体"/>
          <w:b/>
          <w:bCs/>
          <w:color w:val="000000"/>
          <w:sz w:val="24"/>
          <w:lang w:val="en-US" w:eastAsia="zh-CN"/>
        </w:rPr>
        <w:t>三、采购清单</w:t>
      </w:r>
    </w:p>
    <w:tbl>
      <w:tblPr>
        <w:tblStyle w:val="63"/>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0"/>
        <w:gridCol w:w="1800"/>
        <w:gridCol w:w="3584"/>
        <w:gridCol w:w="987"/>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800" w:type="dxa"/>
            <w:tcBorders>
              <w:top w:val="single" w:color="3B5E91" w:sz="8" w:space="0"/>
              <w:left w:val="single" w:color="000000" w:sz="4" w:space="0"/>
              <w:bottom w:val="nil"/>
              <w:right w:val="single" w:color="3B5E91" w:sz="4" w:space="0"/>
            </w:tcBorders>
            <w:shd w:val="clear" w:color="auto" w:fill="000080"/>
            <w:vAlign w:val="center"/>
          </w:tcPr>
          <w:p>
            <w:pPr>
              <w:keepNext w:val="0"/>
              <w:keepLines w:val="0"/>
              <w:widowControl/>
              <w:suppressLineNumbers w:val="0"/>
              <w:jc w:val="center"/>
              <w:textAlignment w:val="center"/>
              <w:rPr>
                <w:rFonts w:ascii="Arial Unicode MS" w:hAnsi="Arial Unicode MS" w:eastAsia="Arial Unicode MS" w:cs="Arial Unicode MS"/>
                <w:b/>
                <w:bCs/>
                <w:i w:val="0"/>
                <w:iCs w:val="0"/>
                <w:color w:val="FFFFFF"/>
                <w:sz w:val="20"/>
                <w:szCs w:val="20"/>
                <w:u w:val="none"/>
              </w:rPr>
            </w:pPr>
            <w:r>
              <w:rPr>
                <w:rFonts w:hint="eastAsia" w:ascii="Arial Unicode MS" w:hAnsi="Arial Unicode MS" w:eastAsia="Arial Unicode MS" w:cs="Arial Unicode MS"/>
                <w:b/>
                <w:bCs/>
                <w:i w:val="0"/>
                <w:iCs w:val="0"/>
                <w:color w:val="FFFFFF"/>
                <w:kern w:val="0"/>
                <w:sz w:val="20"/>
                <w:szCs w:val="20"/>
                <w:u w:val="none"/>
                <w:lang w:val="en-US" w:eastAsia="zh-CN" w:bidi="ar"/>
              </w:rPr>
              <w:t>类别</w:t>
            </w:r>
          </w:p>
        </w:tc>
        <w:tc>
          <w:tcPr>
            <w:tcW w:w="1800" w:type="dxa"/>
            <w:tcBorders>
              <w:top w:val="single" w:color="3B5E91" w:sz="8" w:space="0"/>
              <w:left w:val="single" w:color="000000" w:sz="4" w:space="0"/>
              <w:bottom w:val="nil"/>
              <w:right w:val="single" w:color="3B5E91" w:sz="4" w:space="0"/>
            </w:tcBorders>
            <w:shd w:val="clear" w:color="auto" w:fill="000080"/>
            <w:vAlign w:val="center"/>
          </w:tcPr>
          <w:p>
            <w:pPr>
              <w:keepNext w:val="0"/>
              <w:keepLines w:val="0"/>
              <w:widowControl/>
              <w:suppressLineNumbers w:val="0"/>
              <w:jc w:val="center"/>
              <w:textAlignment w:val="center"/>
              <w:rPr>
                <w:rFonts w:hint="eastAsia" w:ascii="Arial Unicode MS" w:hAnsi="Arial Unicode MS" w:eastAsia="Arial Unicode MS" w:cs="Arial Unicode MS"/>
                <w:b/>
                <w:bCs/>
                <w:i w:val="0"/>
                <w:iCs w:val="0"/>
                <w:color w:val="FFFFFF"/>
                <w:sz w:val="20"/>
                <w:szCs w:val="20"/>
                <w:u w:val="none"/>
              </w:rPr>
            </w:pPr>
            <w:r>
              <w:rPr>
                <w:rFonts w:hint="eastAsia" w:ascii="Arial Unicode MS" w:hAnsi="Arial Unicode MS" w:eastAsia="Arial Unicode MS" w:cs="Arial Unicode MS"/>
                <w:b/>
                <w:bCs/>
                <w:i w:val="0"/>
                <w:iCs w:val="0"/>
                <w:color w:val="FFFFFF"/>
                <w:kern w:val="0"/>
                <w:sz w:val="20"/>
                <w:szCs w:val="20"/>
                <w:u w:val="none"/>
                <w:lang w:val="en-US" w:eastAsia="zh-CN" w:bidi="ar"/>
              </w:rPr>
              <w:t>工作任务</w:t>
            </w:r>
          </w:p>
        </w:tc>
        <w:tc>
          <w:tcPr>
            <w:tcW w:w="3584" w:type="dxa"/>
            <w:tcBorders>
              <w:top w:val="single" w:color="3B5E91" w:sz="8" w:space="0"/>
              <w:left w:val="single" w:color="3B5E91" w:sz="4" w:space="0"/>
              <w:bottom w:val="nil"/>
              <w:right w:val="single" w:color="3B5E91" w:sz="4" w:space="0"/>
            </w:tcBorders>
            <w:shd w:val="clear" w:color="auto" w:fill="000080"/>
            <w:vAlign w:val="center"/>
          </w:tcPr>
          <w:p>
            <w:pPr>
              <w:keepNext w:val="0"/>
              <w:keepLines w:val="0"/>
              <w:widowControl/>
              <w:suppressLineNumbers w:val="0"/>
              <w:jc w:val="center"/>
              <w:textAlignment w:val="center"/>
              <w:rPr>
                <w:rFonts w:hint="eastAsia" w:ascii="Arial Unicode MS" w:hAnsi="Arial Unicode MS" w:eastAsia="Arial Unicode MS" w:cs="Arial Unicode MS"/>
                <w:b/>
                <w:bCs/>
                <w:i w:val="0"/>
                <w:iCs w:val="0"/>
                <w:color w:val="FFFFFF"/>
                <w:sz w:val="20"/>
                <w:szCs w:val="20"/>
                <w:u w:val="none"/>
              </w:rPr>
            </w:pPr>
            <w:r>
              <w:rPr>
                <w:rFonts w:hint="eastAsia" w:ascii="Arial Unicode MS" w:hAnsi="Arial Unicode MS" w:eastAsia="Arial Unicode MS" w:cs="Arial Unicode MS"/>
                <w:b/>
                <w:bCs/>
                <w:i w:val="0"/>
                <w:iCs w:val="0"/>
                <w:color w:val="FFFFFF"/>
                <w:kern w:val="0"/>
                <w:sz w:val="20"/>
                <w:szCs w:val="20"/>
                <w:u w:val="none"/>
                <w:lang w:val="en-US" w:eastAsia="zh-CN" w:bidi="ar"/>
              </w:rPr>
              <w:t>工作内容</w:t>
            </w:r>
          </w:p>
        </w:tc>
        <w:tc>
          <w:tcPr>
            <w:tcW w:w="987" w:type="dxa"/>
            <w:tcBorders>
              <w:top w:val="single" w:color="3B5E91" w:sz="8" w:space="0"/>
              <w:left w:val="single" w:color="3B5E91" w:sz="4" w:space="0"/>
              <w:bottom w:val="nil"/>
              <w:right w:val="single" w:color="3B5E91" w:sz="4" w:space="0"/>
            </w:tcBorders>
            <w:shd w:val="clear" w:color="auto" w:fill="000080"/>
            <w:vAlign w:val="center"/>
          </w:tcPr>
          <w:p>
            <w:pPr>
              <w:keepNext w:val="0"/>
              <w:keepLines w:val="0"/>
              <w:widowControl/>
              <w:suppressLineNumbers w:val="0"/>
              <w:jc w:val="center"/>
              <w:textAlignment w:val="center"/>
              <w:rPr>
                <w:rFonts w:hint="eastAsia" w:ascii="Arial Unicode MS" w:hAnsi="Arial Unicode MS" w:eastAsia="Arial Unicode MS" w:cs="Arial Unicode MS"/>
                <w:b/>
                <w:bCs/>
                <w:i w:val="0"/>
                <w:iCs w:val="0"/>
                <w:color w:val="FFFFFF"/>
                <w:sz w:val="20"/>
                <w:szCs w:val="20"/>
                <w:u w:val="none"/>
              </w:rPr>
            </w:pPr>
            <w:r>
              <w:rPr>
                <w:rFonts w:hint="eastAsia" w:ascii="Arial Unicode MS" w:hAnsi="Arial Unicode MS" w:eastAsia="Arial Unicode MS" w:cs="Arial Unicode MS"/>
                <w:b/>
                <w:bCs/>
                <w:i w:val="0"/>
                <w:iCs w:val="0"/>
                <w:color w:val="FFFFFF"/>
                <w:kern w:val="0"/>
                <w:sz w:val="20"/>
                <w:szCs w:val="20"/>
                <w:u w:val="none"/>
                <w:lang w:val="en-US" w:eastAsia="zh-CN" w:bidi="ar"/>
              </w:rPr>
              <w:t>单位</w:t>
            </w:r>
          </w:p>
        </w:tc>
        <w:tc>
          <w:tcPr>
            <w:tcW w:w="966" w:type="dxa"/>
            <w:tcBorders>
              <w:top w:val="single" w:color="3B5E91" w:sz="8" w:space="0"/>
              <w:left w:val="single" w:color="3B5E91" w:sz="4" w:space="0"/>
              <w:bottom w:val="nil"/>
              <w:right w:val="single" w:color="3B5E91" w:sz="4" w:space="0"/>
            </w:tcBorders>
            <w:shd w:val="clear" w:color="auto" w:fill="000080"/>
            <w:vAlign w:val="center"/>
          </w:tcPr>
          <w:p>
            <w:pPr>
              <w:keepNext w:val="0"/>
              <w:keepLines w:val="0"/>
              <w:widowControl/>
              <w:suppressLineNumbers w:val="0"/>
              <w:jc w:val="center"/>
              <w:textAlignment w:val="center"/>
              <w:rPr>
                <w:rFonts w:hint="eastAsia" w:ascii="Arial Unicode MS" w:hAnsi="Arial Unicode MS" w:eastAsia="Arial Unicode MS" w:cs="Arial Unicode MS"/>
                <w:b/>
                <w:bCs/>
                <w:i w:val="0"/>
                <w:iCs w:val="0"/>
                <w:color w:val="FFFFFF"/>
                <w:sz w:val="20"/>
                <w:szCs w:val="20"/>
                <w:u w:val="none"/>
              </w:rPr>
            </w:pPr>
            <w:r>
              <w:rPr>
                <w:rFonts w:hint="eastAsia" w:ascii="Arial Unicode MS" w:hAnsi="Arial Unicode MS" w:eastAsia="Arial Unicode MS" w:cs="Arial Unicode MS"/>
                <w:b/>
                <w:bCs/>
                <w:i w:val="0"/>
                <w:iCs w:val="0"/>
                <w:color w:val="FFFFFF"/>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设计部分</w:t>
            </w:r>
          </w:p>
        </w:tc>
        <w:tc>
          <w:tcPr>
            <w:tcW w:w="18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设计费</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Unicode MS" w:hAnsi="Arial Unicode MS" w:eastAsia="Arial Unicode MS" w:cs="Arial Unicode MS"/>
                <w:i w:val="0"/>
                <w:iCs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2"/>
                <w:szCs w:val="22"/>
                <w:u w:val="none"/>
              </w:rPr>
            </w:pPr>
            <w:r>
              <w:rPr>
                <w:rFonts w:hint="eastAsia" w:ascii="Arial Unicode MS" w:hAnsi="Arial Unicode MS" w:eastAsia="Arial Unicode MS" w:cs="Arial Unicode MS"/>
                <w:i w:val="0"/>
                <w:iCs w:val="0"/>
                <w:color w:val="000000"/>
                <w:kern w:val="0"/>
                <w:sz w:val="22"/>
                <w:szCs w:val="22"/>
                <w:u w:val="none"/>
                <w:lang w:val="en-US" w:eastAsia="zh-CN" w:bidi="ar"/>
              </w:rPr>
              <w:t>物料部分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婴幼儿照护服务中心门头</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定制金属造型、汽车烤漆、定制金属字、内置龙骨、激光定位切割、爱普生UV印刷、电路处理、LED光源</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邻里中心门头</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定制金属造型、汽车烤漆、定制金属字、内置龙骨、激光定位切割、爱普生UV印刷、电路处理、LED光源</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文化家园门头</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定制金属造型、汽车烤漆、定制金属字、内置龙骨、激光定位切割、爱普生UV印刷、电路处理、LED光源</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居家养老服务中心门头</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定制金属造型、汽车烤漆、定制金属字、内置龙骨、激光定位切割、爱普生UV印刷、电路处理、LED光源</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文化家园宣传栏</w:t>
            </w:r>
          </w:p>
        </w:tc>
        <w:tc>
          <w:tcPr>
            <w:tcW w:w="35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宣传栏造型、PVC板材、激光定位切割、爱普生UV印刷、定制钢化玻璃、液压杆、预埋处理、配套五金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站点牌</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PVC板材、亚克力板材、铁艺制作、汽车烤漆、激光定位切割、爱普生UV印刷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开放时间+活动预告牌</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PVC板材、亚克力板材、铁艺制作、汽车烤漆、激光定位切割、爱普生UV印刷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前台背景墙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PVC板材、定制特殊肌理漆面铺色、定制格栅装饰条、定制立体金属字、汽车烤漆、激光定位切割、爱普生UV印刷、电路处理、LED光源</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23.8寸一体机办公电脑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适老化展厅</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PVC板材、定制木框造型、定制展示台、定制灯带、汽车烤漆、激光定位切割、爱普生UV印刷、电路处理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98寸触摸电视、配套挂架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适老化器具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8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小事儿便民服务</w:t>
            </w:r>
          </w:p>
        </w:tc>
        <w:tc>
          <w:tcPr>
            <w:tcW w:w="35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PVC板材、定制木框造型、不锈钢装置、定制灯带、汽车烤漆、激光定位切割、爱普生UV印刷、电路处理、LED光源</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休闲阅读区</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PVC板材、定制木框造型、汽车烤漆、激光定位切割、爱普生UV印刷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65寸触摸电视、配套挂架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书牌</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亚克力、汽车烤漆、激光定位切割、爱普生UV印刷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LOGO墙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PVC板材、定制木框造型、定制灯带、汽车烤漆、激光定位切割、爱普生UV印刷、电路处理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影音室</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PVC板材、定制木框、汽车烤漆、激光定位切割、爱普生UV印刷、电路处理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监控室</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23.8寸一体机办公电脑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休闲区</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PVC板材、定制墙面装饰、定制不锈钢字、定制灯带、汽车烤漆、激光定位切割、爱普生UV印刷、电路处理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定制休闲长椅</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办公室</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装饰画</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23.8寸dell一体机办公电脑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日托间</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木饰面装饰、定制艺术漆</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装饰画</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居家养老服务制度</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PVC板材、定制木框造型、汽车烤漆、激光定位切割、爱普生UV印刷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餐厅</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PVC板材、定制油画布、木渣板、汽车烤漆、激光定位切割、爱普生UV印刷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文化活动室</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PVC板材、定制屏风造型、地贴、汽车烤漆、激光定位切割、爱普生UV印刷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一楼照护中心背景墙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PVC板材、定制油画布、定制发光字、定制灯带、汽车烤漆、激光定位切割、爱普生UV印刷、电路处理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23.8寸一体机办公电脑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65寸触摸电视、配套挂架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定制柜子</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定制座椅</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教室1</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65寸触摸电视、配套挂架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定制墙体装饰</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最美人物</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PVC板材、磁吸处理、铁粉纸、汽车烤漆、激光定位切割、爱普生UV印刷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二楼照护中心背景墙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PVC板材、定制油画布、定制发光字、汽车烤漆、激光定位切割、爱普生UV印刷、电路处理、灯带处理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23.8寸一体机办公电脑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教室2</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65寸触摸电视、配套挂架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定制墙体装饰</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教室3</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65寸触摸电视、配套挂架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定制墙体装饰</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乐高墙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定制乐高墙（3200*2800）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儿童之家</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PVC板材、定制油画布、磁吸处理、铁粉纸、汽车烤漆、激光定位切割、爱普生UV印刷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定制海洋球区域、定制座椅</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18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办公室</w:t>
            </w:r>
          </w:p>
        </w:tc>
        <w:tc>
          <w:tcPr>
            <w:tcW w:w="35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23.8寸一体机办公电脑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成长驿站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PVC板材、定制油画布、汽车烤漆、激光定位切割、爱普生UV印刷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65寸触摸电视、配套挂架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涂鸦墙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PVC板材、定制涂鸦板、汽车烤漆、激光定位切割、爱普生UV印刷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心理诊疗室</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PVC板材、定制油画布、汽车烤漆、激光定位切割、爱普生UV印刷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母婴室</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PVC板材、装饰画、定制艺术漆、汽车烤漆、激光定位切割、爱普生UV印刷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定制坐凳</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护理台</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活动区</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PVC板材、定制展示架造型、镀锌板、铁粉纸、汽车烤漆、激光定位切割、爱普生UV印刷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55寸触摸电视、配套挂架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多媒体会务系统、音响设备</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文化家园制度</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PVC板材、定制木框造型、汽车烤漆、激光定位切割、爱普生UV印刷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会议室</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PVC板材、磁吸处理、铁粉纸、木饰面装饰、汽车烤漆、激光定位切割、爱普生UV印刷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多媒体会务系统、音响设备</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18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休闲阅读区</w:t>
            </w:r>
          </w:p>
        </w:tc>
        <w:tc>
          <w:tcPr>
            <w:tcW w:w="35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PVC板材、磁吸处理、铁粉纸、地贴、定制景观、汽车烤漆、激光定位切割、爱普生UV印刷（5400*2800mm）</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8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直播间舱体、配套互动设备、配套定制系统</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红色阅读舱体、配套互动设备、配套定制系统</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8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K歌机器舱体、配套互动设备、配套定制系统</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jc w:val="center"/>
        </w:trPr>
        <w:tc>
          <w:tcPr>
            <w:tcW w:w="18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65寸触摸电视、配套挂架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1800"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定制书柜</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老兵之家</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PVC板材、磁吸处理、铁粉纸、亚克力、定制金属字、桌布2块、汽车烤漆、激光定位切割、爱普生UV印刷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55寸触摸电视、配套挂架</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展柜</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健身区</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PVC板材、定制油画布、定制艺术漆、地贴、定制铁丝网墙、汽车烤漆、激光定位切割、爱普生UV印刷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定制休闲椅</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舞蹈室</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PVC板材、定制油画布、汽车烤漆、激光定位切割、爱普生UV印刷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Arial Unicode MS" w:hAnsi="Arial Unicode MS" w:eastAsia="Arial Unicode MS" w:cs="Arial Unicode MS"/>
                <w:i w:val="0"/>
                <w:iCs w:val="0"/>
                <w:color w:val="000000"/>
                <w:sz w:val="24"/>
                <w:szCs w:val="24"/>
                <w:u w:val="none"/>
              </w:rPr>
            </w:pP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定制长柜</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导视</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PVC板材、亚克力、金属字、汽车烤漆、激光定位切割、爱普生UV印刷、吊装处理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Unicode MS" w:hAnsi="Arial Unicode MS" w:eastAsia="Arial Unicode MS" w:cs="Arial Unicode M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腰封</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定制双面车贴、激光定位切割、爱普生UV印刷</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项</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r>
    </w:tbl>
    <w:p>
      <w:pPr>
        <w:rPr>
          <w:rFonts w:hint="eastAsia"/>
        </w:rPr>
      </w:pPr>
    </w:p>
    <w:p>
      <w:pPr>
        <w:snapToGrid w:val="0"/>
        <w:spacing w:line="360" w:lineRule="auto"/>
        <w:jc w:val="center"/>
        <w:rPr>
          <w:rFonts w:hint="eastAsia" w:ascii="宋体" w:hAnsi="宋体" w:cs="宋体"/>
          <w:color w:val="auto"/>
          <w:sz w:val="24"/>
          <w:szCs w:val="32"/>
          <w:highlight w:val="none"/>
        </w:rPr>
      </w:pPr>
    </w:p>
    <w:p>
      <w:pPr>
        <w:snapToGrid w:val="0"/>
        <w:spacing w:line="360" w:lineRule="auto"/>
        <w:jc w:val="center"/>
        <w:rPr>
          <w:rFonts w:hint="eastAsia" w:ascii="宋体" w:hAnsi="宋体" w:cs="宋体"/>
          <w:color w:val="auto"/>
          <w:sz w:val="24"/>
          <w:szCs w:val="32"/>
          <w:highlight w:val="none"/>
        </w:rPr>
      </w:pPr>
    </w:p>
    <w:p>
      <w:pPr>
        <w:snapToGrid w:val="0"/>
        <w:spacing w:line="360" w:lineRule="auto"/>
        <w:jc w:val="center"/>
        <w:rPr>
          <w:rFonts w:hint="eastAsia" w:ascii="宋体" w:hAnsi="宋体" w:cs="宋体"/>
          <w:color w:val="auto"/>
          <w:sz w:val="24"/>
          <w:szCs w:val="32"/>
          <w:highlight w:val="none"/>
        </w:rPr>
      </w:pPr>
    </w:p>
    <w:p>
      <w:pPr>
        <w:snapToGrid w:val="0"/>
        <w:spacing w:line="360" w:lineRule="auto"/>
        <w:jc w:val="center"/>
        <w:rPr>
          <w:rFonts w:hint="eastAsia" w:ascii="宋体" w:hAnsi="宋体" w:cs="宋体"/>
          <w:color w:val="auto"/>
          <w:sz w:val="24"/>
          <w:szCs w:val="32"/>
          <w:highlight w:val="none"/>
        </w:rPr>
      </w:pPr>
    </w:p>
    <w:p>
      <w:pPr>
        <w:snapToGrid w:val="0"/>
        <w:spacing w:line="360" w:lineRule="auto"/>
        <w:jc w:val="center"/>
        <w:rPr>
          <w:rFonts w:hint="eastAsia" w:ascii="宋体" w:hAnsi="宋体" w:cs="宋体"/>
          <w:color w:val="auto"/>
          <w:sz w:val="24"/>
          <w:szCs w:val="32"/>
          <w:highlight w:val="none"/>
        </w:rPr>
      </w:pPr>
    </w:p>
    <w:p>
      <w:pPr>
        <w:snapToGrid w:val="0"/>
        <w:spacing w:line="360" w:lineRule="auto"/>
        <w:jc w:val="center"/>
        <w:rPr>
          <w:rFonts w:hint="eastAsia" w:ascii="宋体" w:hAnsi="宋体" w:cs="宋体"/>
          <w:color w:val="auto"/>
          <w:sz w:val="24"/>
          <w:szCs w:val="32"/>
          <w:highlight w:val="none"/>
        </w:rPr>
      </w:pPr>
    </w:p>
    <w:p>
      <w:pPr>
        <w:pStyle w:val="2"/>
        <w:rPr>
          <w:rFonts w:hint="eastAsia" w:ascii="宋体" w:hAnsi="宋体" w:cs="宋体"/>
          <w:color w:val="auto"/>
          <w:sz w:val="24"/>
          <w:szCs w:val="32"/>
          <w:highlight w:val="none"/>
        </w:rPr>
      </w:pPr>
    </w:p>
    <w:p>
      <w:pPr>
        <w:pStyle w:val="2"/>
        <w:rPr>
          <w:rFonts w:hint="eastAsia" w:ascii="宋体" w:hAnsi="宋体" w:cs="宋体"/>
          <w:color w:val="auto"/>
          <w:sz w:val="24"/>
          <w:szCs w:val="32"/>
          <w:highlight w:val="none"/>
        </w:rPr>
      </w:pPr>
    </w:p>
    <w:p>
      <w:pPr>
        <w:pStyle w:val="2"/>
        <w:rPr>
          <w:rFonts w:hint="eastAsia" w:ascii="宋体" w:hAnsi="宋体" w:cs="宋体"/>
          <w:color w:val="auto"/>
          <w:sz w:val="24"/>
          <w:szCs w:val="32"/>
          <w:highlight w:val="none"/>
        </w:rPr>
      </w:pPr>
    </w:p>
    <w:p>
      <w:pPr>
        <w:snapToGrid w:val="0"/>
        <w:spacing w:line="360" w:lineRule="auto"/>
        <w:jc w:val="center"/>
        <w:rPr>
          <w:rFonts w:hint="eastAsia" w:ascii="宋体" w:hAnsi="宋体" w:cs="宋体"/>
          <w:color w:val="auto"/>
          <w:sz w:val="24"/>
          <w:szCs w:val="32"/>
          <w:highlight w:val="none"/>
        </w:rPr>
      </w:pPr>
    </w:p>
    <w:p>
      <w:pPr>
        <w:snapToGrid w:val="0"/>
        <w:spacing w:line="36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 xml:space="preserve">第四部分   </w:t>
      </w:r>
      <w:bookmarkStart w:id="33" w:name="_Toc184308091"/>
      <w:bookmarkEnd w:id="33"/>
      <w:bookmarkStart w:id="34" w:name="_Toc184314444"/>
      <w:bookmarkEnd w:id="34"/>
      <w:bookmarkStart w:id="35" w:name="_Toc184313245"/>
      <w:bookmarkEnd w:id="35"/>
      <w:bookmarkStart w:id="36" w:name="_Toc184308080"/>
      <w:bookmarkEnd w:id="36"/>
      <w:bookmarkStart w:id="37" w:name="_Toc184312119"/>
      <w:bookmarkEnd w:id="37"/>
      <w:bookmarkStart w:id="38" w:name="_Toc184314427"/>
      <w:bookmarkEnd w:id="38"/>
      <w:bookmarkStart w:id="39" w:name="_Toc184308067"/>
      <w:bookmarkEnd w:id="39"/>
      <w:bookmarkStart w:id="40" w:name="_Toc184310337"/>
      <w:bookmarkEnd w:id="40"/>
      <w:bookmarkStart w:id="41" w:name="_Toc184310344"/>
      <w:bookmarkEnd w:id="41"/>
      <w:bookmarkStart w:id="42" w:name="_Toc184308051"/>
      <w:bookmarkEnd w:id="42"/>
      <w:bookmarkStart w:id="43" w:name="_Toc184308079"/>
      <w:bookmarkEnd w:id="43"/>
      <w:bookmarkStart w:id="44" w:name="_Toc184310312"/>
      <w:bookmarkEnd w:id="44"/>
      <w:bookmarkStart w:id="45" w:name="_Toc184313248"/>
      <w:bookmarkEnd w:id="45"/>
      <w:bookmarkStart w:id="46" w:name="_Toc184308092"/>
      <w:bookmarkEnd w:id="46"/>
      <w:bookmarkStart w:id="47" w:name="_Toc184313247"/>
      <w:bookmarkEnd w:id="47"/>
      <w:bookmarkStart w:id="48" w:name="_Toc184313252"/>
      <w:bookmarkEnd w:id="48"/>
      <w:bookmarkStart w:id="49" w:name="_Toc184312118"/>
      <w:bookmarkEnd w:id="49"/>
      <w:bookmarkStart w:id="50" w:name="_Toc184313282"/>
      <w:bookmarkEnd w:id="50"/>
      <w:bookmarkStart w:id="51" w:name="_Toc184312073"/>
      <w:bookmarkEnd w:id="51"/>
      <w:bookmarkStart w:id="52" w:name="_Toc184313292"/>
      <w:bookmarkEnd w:id="52"/>
      <w:bookmarkStart w:id="53" w:name="_Toc184314456"/>
      <w:bookmarkEnd w:id="53"/>
      <w:bookmarkStart w:id="54" w:name="_Toc184314479"/>
      <w:bookmarkEnd w:id="54"/>
      <w:bookmarkStart w:id="55" w:name="_Toc184312092"/>
      <w:bookmarkEnd w:id="55"/>
      <w:bookmarkStart w:id="56" w:name="_Toc184310321"/>
      <w:bookmarkEnd w:id="56"/>
      <w:bookmarkStart w:id="57" w:name="_Toc184313272"/>
      <w:bookmarkEnd w:id="57"/>
      <w:bookmarkStart w:id="58" w:name="_Toc184312097"/>
      <w:bookmarkEnd w:id="58"/>
      <w:bookmarkStart w:id="59" w:name="_Toc184310336"/>
      <w:bookmarkEnd w:id="59"/>
      <w:bookmarkStart w:id="60" w:name="_Toc184308075"/>
      <w:bookmarkEnd w:id="60"/>
      <w:bookmarkStart w:id="61" w:name="_Toc184314433"/>
      <w:bookmarkEnd w:id="61"/>
      <w:bookmarkStart w:id="62" w:name="_Toc184310281"/>
      <w:bookmarkEnd w:id="62"/>
      <w:bookmarkStart w:id="63" w:name="_Toc184313285"/>
      <w:bookmarkEnd w:id="63"/>
      <w:bookmarkStart w:id="64" w:name="_Toc184312077"/>
      <w:bookmarkEnd w:id="64"/>
      <w:bookmarkStart w:id="65" w:name="_Toc184310326"/>
      <w:bookmarkEnd w:id="65"/>
      <w:bookmarkStart w:id="66" w:name="_Toc184313291"/>
      <w:bookmarkEnd w:id="66"/>
      <w:bookmarkStart w:id="67" w:name="_Toc184313273"/>
      <w:bookmarkEnd w:id="67"/>
      <w:bookmarkStart w:id="68" w:name="_Toc184314423"/>
      <w:bookmarkEnd w:id="68"/>
      <w:bookmarkStart w:id="69" w:name="_Toc184310300"/>
      <w:bookmarkEnd w:id="69"/>
      <w:bookmarkStart w:id="70" w:name="_Toc184313251"/>
      <w:bookmarkEnd w:id="70"/>
      <w:bookmarkStart w:id="71" w:name="_Toc184314421"/>
      <w:bookmarkEnd w:id="71"/>
      <w:bookmarkStart w:id="72" w:name="_Toc184313249"/>
      <w:bookmarkEnd w:id="72"/>
      <w:bookmarkStart w:id="73" w:name="_Toc184310333"/>
      <w:bookmarkEnd w:id="73"/>
      <w:bookmarkStart w:id="74" w:name="_Toc184310310"/>
      <w:bookmarkEnd w:id="74"/>
      <w:bookmarkStart w:id="75" w:name="_Toc184312139"/>
      <w:bookmarkEnd w:id="75"/>
      <w:bookmarkStart w:id="76" w:name="_Toc184308061"/>
      <w:bookmarkEnd w:id="76"/>
      <w:bookmarkStart w:id="77" w:name="_Toc184310291"/>
      <w:bookmarkEnd w:id="77"/>
      <w:bookmarkStart w:id="78" w:name="_Toc184313302"/>
      <w:bookmarkEnd w:id="78"/>
      <w:bookmarkStart w:id="79" w:name="_Toc184312115"/>
      <w:bookmarkEnd w:id="79"/>
      <w:bookmarkStart w:id="80" w:name="_Toc184308046"/>
      <w:bookmarkEnd w:id="80"/>
      <w:bookmarkStart w:id="81" w:name="_Toc184312124"/>
      <w:bookmarkEnd w:id="81"/>
      <w:bookmarkStart w:id="82" w:name="_Toc184308097"/>
      <w:bookmarkEnd w:id="82"/>
      <w:bookmarkStart w:id="83" w:name="_Toc184312074"/>
      <w:bookmarkEnd w:id="83"/>
      <w:bookmarkStart w:id="84" w:name="_Toc184314441"/>
      <w:bookmarkEnd w:id="84"/>
      <w:bookmarkStart w:id="85" w:name="_Toc184314455"/>
      <w:bookmarkEnd w:id="85"/>
      <w:bookmarkStart w:id="86" w:name="_Toc184314482"/>
      <w:bookmarkEnd w:id="86"/>
      <w:bookmarkStart w:id="87" w:name="_Toc184313294"/>
      <w:bookmarkEnd w:id="87"/>
      <w:bookmarkStart w:id="88" w:name="_Toc184313307"/>
      <w:bookmarkEnd w:id="88"/>
      <w:bookmarkStart w:id="89" w:name="_Toc184312099"/>
      <w:bookmarkEnd w:id="89"/>
      <w:bookmarkStart w:id="90" w:name="_Toc184313309"/>
      <w:bookmarkEnd w:id="90"/>
      <w:bookmarkStart w:id="91" w:name="_Toc184310309"/>
      <w:bookmarkEnd w:id="91"/>
      <w:bookmarkStart w:id="92" w:name="_Toc184314412"/>
      <w:bookmarkEnd w:id="92"/>
      <w:bookmarkStart w:id="93" w:name="_Toc184308036"/>
      <w:bookmarkEnd w:id="93"/>
      <w:bookmarkStart w:id="94" w:name="_Toc184310322"/>
      <w:bookmarkEnd w:id="94"/>
      <w:bookmarkStart w:id="95" w:name="_Toc184310289"/>
      <w:bookmarkEnd w:id="95"/>
      <w:bookmarkStart w:id="96" w:name="_Toc184308038"/>
      <w:bookmarkEnd w:id="96"/>
      <w:bookmarkStart w:id="97" w:name="_Toc184312100"/>
      <w:bookmarkEnd w:id="97"/>
      <w:bookmarkStart w:id="98" w:name="_Toc184313261"/>
      <w:bookmarkEnd w:id="98"/>
      <w:bookmarkStart w:id="99" w:name="_Toc184314474"/>
      <w:bookmarkEnd w:id="99"/>
      <w:bookmarkStart w:id="100" w:name="_Toc184313310"/>
      <w:bookmarkEnd w:id="100"/>
      <w:bookmarkStart w:id="101" w:name="_Toc184314472"/>
      <w:bookmarkEnd w:id="101"/>
      <w:bookmarkStart w:id="102" w:name="_Toc184312069"/>
      <w:bookmarkEnd w:id="102"/>
      <w:bookmarkStart w:id="103" w:name="_Toc184308073"/>
      <w:bookmarkEnd w:id="103"/>
      <w:bookmarkStart w:id="104" w:name="_Toc184314425"/>
      <w:bookmarkEnd w:id="104"/>
      <w:bookmarkStart w:id="105" w:name="_Toc184312080"/>
      <w:bookmarkEnd w:id="105"/>
      <w:bookmarkStart w:id="106" w:name="_Toc184308106"/>
      <w:bookmarkEnd w:id="106"/>
      <w:bookmarkStart w:id="107" w:name="_Toc184313301"/>
      <w:bookmarkEnd w:id="107"/>
      <w:bookmarkStart w:id="108" w:name="_Toc184310279"/>
      <w:bookmarkEnd w:id="108"/>
      <w:bookmarkStart w:id="109" w:name="_Toc184312131"/>
      <w:bookmarkEnd w:id="109"/>
      <w:bookmarkStart w:id="110" w:name="_Toc184310340"/>
      <w:bookmarkEnd w:id="110"/>
      <w:bookmarkStart w:id="111" w:name="_Toc184312079"/>
      <w:bookmarkEnd w:id="111"/>
      <w:bookmarkStart w:id="112" w:name="_Toc184308089"/>
      <w:bookmarkEnd w:id="112"/>
      <w:bookmarkStart w:id="113" w:name="_Toc184314476"/>
      <w:bookmarkEnd w:id="113"/>
      <w:bookmarkStart w:id="114" w:name="_Toc184314418"/>
      <w:bookmarkEnd w:id="114"/>
      <w:bookmarkStart w:id="115" w:name="_Toc184312121"/>
      <w:bookmarkEnd w:id="115"/>
      <w:bookmarkStart w:id="116" w:name="_Toc184313305"/>
      <w:bookmarkEnd w:id="116"/>
      <w:bookmarkStart w:id="117" w:name="_Toc184314426"/>
      <w:bookmarkEnd w:id="117"/>
      <w:bookmarkStart w:id="118" w:name="_Toc184314480"/>
      <w:bookmarkEnd w:id="118"/>
      <w:bookmarkStart w:id="119" w:name="_Toc184312068"/>
      <w:bookmarkEnd w:id="119"/>
      <w:bookmarkStart w:id="120" w:name="_Toc184308050"/>
      <w:bookmarkEnd w:id="120"/>
      <w:bookmarkStart w:id="121" w:name="_Toc184308077"/>
      <w:bookmarkEnd w:id="121"/>
      <w:bookmarkStart w:id="122" w:name="_Toc184314467"/>
      <w:bookmarkEnd w:id="122"/>
      <w:bookmarkStart w:id="123" w:name="_Toc184310317"/>
      <w:bookmarkEnd w:id="123"/>
      <w:bookmarkStart w:id="124" w:name="_Toc184314473"/>
      <w:bookmarkEnd w:id="124"/>
      <w:bookmarkStart w:id="125" w:name="_Toc184308037"/>
      <w:bookmarkEnd w:id="125"/>
      <w:bookmarkStart w:id="126" w:name="_Toc184312108"/>
      <w:bookmarkEnd w:id="126"/>
      <w:bookmarkStart w:id="127" w:name="_Toc184314434"/>
      <w:bookmarkEnd w:id="127"/>
      <w:bookmarkStart w:id="128" w:name="_Toc184314442"/>
      <w:bookmarkEnd w:id="128"/>
      <w:bookmarkStart w:id="129" w:name="_Toc184308057"/>
      <w:bookmarkEnd w:id="129"/>
      <w:bookmarkStart w:id="130" w:name="_Toc184310311"/>
      <w:bookmarkEnd w:id="130"/>
      <w:bookmarkStart w:id="131" w:name="_Toc184308060"/>
      <w:bookmarkEnd w:id="131"/>
      <w:bookmarkStart w:id="132" w:name="_Toc184314432"/>
      <w:bookmarkEnd w:id="132"/>
      <w:bookmarkStart w:id="133" w:name="_Toc184314430"/>
      <w:bookmarkEnd w:id="133"/>
      <w:bookmarkStart w:id="134" w:name="_Toc184308063"/>
      <w:bookmarkEnd w:id="134"/>
      <w:bookmarkStart w:id="135" w:name="_Toc184313280"/>
      <w:bookmarkEnd w:id="135"/>
      <w:bookmarkStart w:id="136" w:name="_Toc184313238"/>
      <w:bookmarkEnd w:id="136"/>
      <w:bookmarkStart w:id="137" w:name="_Toc184308104"/>
      <w:bookmarkEnd w:id="137"/>
      <w:bookmarkStart w:id="138" w:name="_Toc184312093"/>
      <w:bookmarkEnd w:id="138"/>
      <w:bookmarkStart w:id="139" w:name="_Toc184313308"/>
      <w:bookmarkEnd w:id="139"/>
      <w:bookmarkStart w:id="140" w:name="_Toc184312096"/>
      <w:bookmarkEnd w:id="140"/>
      <w:bookmarkStart w:id="141" w:name="_Toc184310303"/>
      <w:bookmarkEnd w:id="141"/>
      <w:bookmarkStart w:id="142" w:name="_Toc184308107"/>
      <w:bookmarkEnd w:id="142"/>
      <w:bookmarkStart w:id="143" w:name="_Toc184308101"/>
      <w:bookmarkEnd w:id="143"/>
      <w:bookmarkStart w:id="144" w:name="_Toc184314453"/>
      <w:bookmarkEnd w:id="144"/>
      <w:bookmarkStart w:id="145" w:name="_Toc184313281"/>
      <w:bookmarkEnd w:id="145"/>
      <w:bookmarkStart w:id="146" w:name="_Toc184308084"/>
      <w:bookmarkEnd w:id="146"/>
      <w:bookmarkStart w:id="147" w:name="_Toc184314446"/>
      <w:bookmarkEnd w:id="147"/>
      <w:bookmarkStart w:id="148" w:name="_Toc184312071"/>
      <w:bookmarkEnd w:id="148"/>
      <w:bookmarkStart w:id="149" w:name="_Toc184312105"/>
      <w:bookmarkEnd w:id="149"/>
      <w:bookmarkStart w:id="150" w:name="_Toc184310313"/>
      <w:bookmarkEnd w:id="150"/>
      <w:bookmarkStart w:id="151" w:name="_Toc184310343"/>
      <w:bookmarkEnd w:id="151"/>
      <w:bookmarkStart w:id="152" w:name="_Toc184314439"/>
      <w:bookmarkEnd w:id="152"/>
      <w:bookmarkStart w:id="153" w:name="_Toc184308096"/>
      <w:bookmarkEnd w:id="153"/>
      <w:bookmarkStart w:id="154" w:name="_Toc184310286"/>
      <w:bookmarkEnd w:id="154"/>
      <w:bookmarkStart w:id="155" w:name="_Toc184310306"/>
      <w:bookmarkEnd w:id="155"/>
      <w:bookmarkStart w:id="156" w:name="_Toc184310298"/>
      <w:bookmarkEnd w:id="156"/>
      <w:bookmarkStart w:id="157" w:name="_Toc184312106"/>
      <w:bookmarkEnd w:id="157"/>
      <w:bookmarkStart w:id="158" w:name="_Toc184310304"/>
      <w:bookmarkEnd w:id="158"/>
      <w:bookmarkStart w:id="159" w:name="_Toc184313298"/>
      <w:bookmarkEnd w:id="159"/>
      <w:bookmarkStart w:id="160" w:name="_Toc184312136"/>
      <w:bookmarkEnd w:id="160"/>
      <w:bookmarkStart w:id="161" w:name="_Toc184312095"/>
      <w:bookmarkEnd w:id="161"/>
      <w:bookmarkStart w:id="162" w:name="_Toc184314429"/>
      <w:bookmarkEnd w:id="162"/>
      <w:bookmarkStart w:id="163" w:name="_Toc184312088"/>
      <w:bookmarkEnd w:id="163"/>
      <w:bookmarkStart w:id="164" w:name="_Toc184313290"/>
      <w:bookmarkEnd w:id="164"/>
      <w:bookmarkStart w:id="165" w:name="_Toc184312078"/>
      <w:bookmarkEnd w:id="165"/>
      <w:bookmarkStart w:id="166" w:name="_Toc184310330"/>
      <w:bookmarkEnd w:id="166"/>
      <w:bookmarkStart w:id="167" w:name="_Toc184314462"/>
      <w:bookmarkEnd w:id="167"/>
      <w:bookmarkStart w:id="168" w:name="_Toc184312085"/>
      <w:bookmarkEnd w:id="168"/>
      <w:bookmarkStart w:id="169" w:name="_Toc184313263"/>
      <w:bookmarkEnd w:id="169"/>
      <w:bookmarkStart w:id="170" w:name="_Toc184310274"/>
      <w:bookmarkEnd w:id="170"/>
      <w:bookmarkStart w:id="171" w:name="_Toc184312102"/>
      <w:bookmarkEnd w:id="171"/>
      <w:bookmarkStart w:id="172" w:name="_Toc184312094"/>
      <w:bookmarkEnd w:id="172"/>
      <w:bookmarkStart w:id="173" w:name="_Toc184310282"/>
      <w:bookmarkEnd w:id="173"/>
      <w:bookmarkStart w:id="174" w:name="_Toc184314469"/>
      <w:bookmarkEnd w:id="174"/>
      <w:bookmarkStart w:id="175" w:name="_Toc184308099"/>
      <w:bookmarkEnd w:id="175"/>
      <w:bookmarkStart w:id="176" w:name="_Toc184313293"/>
      <w:bookmarkEnd w:id="176"/>
      <w:bookmarkStart w:id="177" w:name="_Toc184314414"/>
      <w:bookmarkEnd w:id="177"/>
      <w:bookmarkStart w:id="178" w:name="_Toc184310332"/>
      <w:bookmarkEnd w:id="178"/>
      <w:bookmarkStart w:id="179" w:name="_Toc184314410"/>
      <w:bookmarkEnd w:id="179"/>
      <w:bookmarkStart w:id="180" w:name="_Toc184312090"/>
      <w:bookmarkEnd w:id="180"/>
      <w:bookmarkStart w:id="181" w:name="_Toc184308044"/>
      <w:bookmarkEnd w:id="181"/>
      <w:bookmarkStart w:id="182" w:name="_Toc184310331"/>
      <w:bookmarkEnd w:id="182"/>
      <w:bookmarkStart w:id="183" w:name="_Toc184312133"/>
      <w:bookmarkEnd w:id="183"/>
      <w:bookmarkStart w:id="184" w:name="_Toc184308066"/>
      <w:bookmarkEnd w:id="184"/>
      <w:bookmarkStart w:id="185" w:name="_Toc184308056"/>
      <w:bookmarkEnd w:id="185"/>
      <w:bookmarkStart w:id="186" w:name="_Toc184313283"/>
      <w:bookmarkEnd w:id="186"/>
      <w:bookmarkStart w:id="187" w:name="_Toc184310283"/>
      <w:bookmarkEnd w:id="187"/>
      <w:bookmarkStart w:id="188" w:name="_Toc184313256"/>
      <w:bookmarkEnd w:id="188"/>
      <w:bookmarkStart w:id="189" w:name="_Toc184314449"/>
      <w:bookmarkEnd w:id="189"/>
      <w:bookmarkStart w:id="190" w:name="_Toc184312076"/>
      <w:bookmarkEnd w:id="190"/>
      <w:bookmarkStart w:id="191" w:name="_Toc184308058"/>
      <w:bookmarkEnd w:id="191"/>
      <w:bookmarkStart w:id="192" w:name="_Toc184308048"/>
      <w:bookmarkEnd w:id="192"/>
      <w:bookmarkStart w:id="193" w:name="_Toc184313259"/>
      <w:bookmarkEnd w:id="193"/>
      <w:bookmarkStart w:id="194" w:name="_Toc184313269"/>
      <w:bookmarkEnd w:id="194"/>
      <w:bookmarkStart w:id="195" w:name="_Toc184310328"/>
      <w:bookmarkEnd w:id="195"/>
      <w:bookmarkStart w:id="196" w:name="_Toc184308094"/>
      <w:bookmarkEnd w:id="196"/>
      <w:bookmarkStart w:id="197" w:name="_Toc184314465"/>
      <w:bookmarkEnd w:id="197"/>
      <w:bookmarkStart w:id="198" w:name="_Toc184314447"/>
      <w:bookmarkEnd w:id="198"/>
      <w:bookmarkStart w:id="199" w:name="_Toc184308108"/>
      <w:bookmarkEnd w:id="199"/>
      <w:bookmarkStart w:id="200" w:name="_Toc184310273"/>
      <w:bookmarkEnd w:id="200"/>
      <w:bookmarkStart w:id="201" w:name="_Toc184314419"/>
      <w:bookmarkEnd w:id="201"/>
      <w:bookmarkStart w:id="202" w:name="_Toc184314411"/>
      <w:bookmarkEnd w:id="202"/>
      <w:bookmarkStart w:id="203" w:name="_Toc184314458"/>
      <w:bookmarkEnd w:id="203"/>
      <w:bookmarkStart w:id="204" w:name="_Toc184313255"/>
      <w:bookmarkEnd w:id="204"/>
      <w:bookmarkStart w:id="205" w:name="_Toc184308070"/>
      <w:bookmarkEnd w:id="205"/>
      <w:bookmarkStart w:id="206" w:name="_Toc184314438"/>
      <w:bookmarkEnd w:id="206"/>
      <w:bookmarkStart w:id="207" w:name="_Toc184313300"/>
      <w:bookmarkEnd w:id="207"/>
      <w:bookmarkStart w:id="208" w:name="_Toc184308065"/>
      <w:bookmarkEnd w:id="208"/>
      <w:bookmarkStart w:id="209" w:name="_Toc184310341"/>
      <w:bookmarkEnd w:id="209"/>
      <w:bookmarkStart w:id="210" w:name="_Toc184310295"/>
      <w:bookmarkEnd w:id="210"/>
      <w:bookmarkStart w:id="211" w:name="_Toc184308098"/>
      <w:bookmarkEnd w:id="211"/>
      <w:bookmarkStart w:id="212" w:name="_Toc184314436"/>
      <w:bookmarkEnd w:id="212"/>
      <w:bookmarkStart w:id="213" w:name="_Toc184314461"/>
      <w:bookmarkEnd w:id="213"/>
      <w:bookmarkStart w:id="214" w:name="_Toc184313275"/>
      <w:bookmarkEnd w:id="214"/>
      <w:bookmarkStart w:id="215" w:name="_Toc184308047"/>
      <w:bookmarkEnd w:id="215"/>
      <w:bookmarkStart w:id="216" w:name="_Toc184313267"/>
      <w:bookmarkEnd w:id="216"/>
      <w:bookmarkStart w:id="217" w:name="_Toc184310277"/>
      <w:bookmarkEnd w:id="217"/>
      <w:bookmarkStart w:id="218" w:name="_Toc184308074"/>
      <w:bookmarkEnd w:id="218"/>
      <w:bookmarkStart w:id="219" w:name="_Toc184313250"/>
      <w:bookmarkEnd w:id="219"/>
      <w:bookmarkStart w:id="220" w:name="_Toc184314422"/>
      <w:bookmarkEnd w:id="220"/>
      <w:bookmarkStart w:id="221" w:name="_Toc184308068"/>
      <w:bookmarkEnd w:id="221"/>
      <w:bookmarkStart w:id="222" w:name="_Toc184312114"/>
      <w:bookmarkEnd w:id="222"/>
      <w:bookmarkStart w:id="223" w:name="_Toc184310284"/>
      <w:bookmarkEnd w:id="223"/>
      <w:bookmarkStart w:id="224" w:name="_Toc184313304"/>
      <w:bookmarkEnd w:id="224"/>
      <w:bookmarkStart w:id="225" w:name="_Toc184308103"/>
      <w:bookmarkEnd w:id="225"/>
      <w:bookmarkStart w:id="226" w:name="_Toc184310292"/>
      <w:bookmarkEnd w:id="226"/>
      <w:bookmarkStart w:id="227" w:name="_Toc184308087"/>
      <w:bookmarkEnd w:id="227"/>
      <w:bookmarkStart w:id="228" w:name="_Toc184310324"/>
      <w:bookmarkEnd w:id="228"/>
      <w:bookmarkStart w:id="229" w:name="_Toc184312089"/>
      <w:bookmarkEnd w:id="229"/>
      <w:bookmarkStart w:id="230" w:name="_Toc184310327"/>
      <w:bookmarkEnd w:id="230"/>
      <w:bookmarkStart w:id="231" w:name="_Toc184314463"/>
      <w:bookmarkEnd w:id="231"/>
      <w:bookmarkStart w:id="232" w:name="_Toc184312081"/>
      <w:bookmarkEnd w:id="232"/>
      <w:bookmarkStart w:id="233" w:name="_Toc184314420"/>
      <w:bookmarkEnd w:id="233"/>
      <w:bookmarkStart w:id="234" w:name="_Toc184312098"/>
      <w:bookmarkEnd w:id="234"/>
      <w:bookmarkStart w:id="235" w:name="_Toc184308095"/>
      <w:bookmarkEnd w:id="235"/>
      <w:bookmarkStart w:id="236" w:name="_Toc184310305"/>
      <w:bookmarkEnd w:id="236"/>
      <w:bookmarkStart w:id="237" w:name="_Toc184308081"/>
      <w:bookmarkEnd w:id="237"/>
      <w:bookmarkStart w:id="238" w:name="_Toc184313270"/>
      <w:bookmarkEnd w:id="238"/>
      <w:bookmarkStart w:id="239" w:name="_Toc184313295"/>
      <w:bookmarkEnd w:id="239"/>
      <w:bookmarkStart w:id="240" w:name="_Toc184312067"/>
      <w:bookmarkEnd w:id="240"/>
      <w:bookmarkStart w:id="241" w:name="_Toc184310329"/>
      <w:bookmarkEnd w:id="241"/>
      <w:bookmarkStart w:id="242" w:name="_Toc184310339"/>
      <w:bookmarkEnd w:id="242"/>
      <w:bookmarkStart w:id="243" w:name="_Toc184308042"/>
      <w:bookmarkEnd w:id="243"/>
      <w:bookmarkStart w:id="244" w:name="_Toc184308043"/>
      <w:bookmarkEnd w:id="244"/>
      <w:bookmarkStart w:id="245" w:name="_Toc184313258"/>
      <w:bookmarkEnd w:id="245"/>
      <w:bookmarkStart w:id="246" w:name="_Toc184308071"/>
      <w:bookmarkEnd w:id="246"/>
      <w:bookmarkStart w:id="247" w:name="_Toc184310296"/>
      <w:bookmarkEnd w:id="247"/>
      <w:bookmarkStart w:id="248" w:name="_Toc184312104"/>
      <w:bookmarkEnd w:id="248"/>
      <w:bookmarkStart w:id="249" w:name="_Toc184308086"/>
      <w:bookmarkEnd w:id="249"/>
      <w:bookmarkStart w:id="250" w:name="_Toc184310294"/>
      <w:bookmarkEnd w:id="250"/>
      <w:bookmarkStart w:id="251" w:name="_Toc184314454"/>
      <w:bookmarkEnd w:id="251"/>
      <w:bookmarkStart w:id="252" w:name="_Toc184313243"/>
      <w:bookmarkEnd w:id="252"/>
      <w:bookmarkStart w:id="253" w:name="_Toc184313265"/>
      <w:bookmarkEnd w:id="253"/>
      <w:bookmarkStart w:id="254" w:name="_Toc184308093"/>
      <w:bookmarkEnd w:id="254"/>
      <w:bookmarkStart w:id="255" w:name="_Toc184312070"/>
      <w:bookmarkEnd w:id="255"/>
      <w:bookmarkStart w:id="256" w:name="_Toc184312091"/>
      <w:bookmarkEnd w:id="256"/>
      <w:bookmarkStart w:id="257" w:name="_Toc184313299"/>
      <w:bookmarkEnd w:id="257"/>
      <w:bookmarkStart w:id="258" w:name="_Toc184313242"/>
      <w:bookmarkEnd w:id="258"/>
      <w:bookmarkStart w:id="259" w:name="_Toc184310338"/>
      <w:bookmarkEnd w:id="259"/>
      <w:bookmarkStart w:id="260" w:name="_Toc184310342"/>
      <w:bookmarkEnd w:id="260"/>
      <w:bookmarkStart w:id="261" w:name="_Toc184312075"/>
      <w:bookmarkEnd w:id="261"/>
      <w:bookmarkStart w:id="262" w:name="_Toc184310290"/>
      <w:bookmarkEnd w:id="262"/>
      <w:bookmarkStart w:id="263" w:name="_Toc184312113"/>
      <w:bookmarkEnd w:id="263"/>
      <w:bookmarkStart w:id="264" w:name="_Toc184314471"/>
      <w:bookmarkEnd w:id="264"/>
      <w:bookmarkStart w:id="265" w:name="_Toc184314460"/>
      <w:bookmarkEnd w:id="265"/>
      <w:bookmarkStart w:id="266" w:name="_Toc184314448"/>
      <w:bookmarkEnd w:id="266"/>
      <w:bookmarkStart w:id="267" w:name="_Toc184313241"/>
      <w:bookmarkEnd w:id="267"/>
      <w:bookmarkStart w:id="268" w:name="_Toc184313240"/>
      <w:bookmarkEnd w:id="268"/>
      <w:bookmarkStart w:id="269" w:name="_Toc184314437"/>
      <w:bookmarkEnd w:id="269"/>
      <w:bookmarkStart w:id="270" w:name="_Toc184310320"/>
      <w:bookmarkEnd w:id="270"/>
      <w:bookmarkStart w:id="271" w:name="_Toc184310299"/>
      <w:bookmarkEnd w:id="271"/>
      <w:bookmarkStart w:id="272" w:name="_Toc184312082"/>
      <w:bookmarkEnd w:id="272"/>
      <w:bookmarkStart w:id="273" w:name="_Toc184312129"/>
      <w:bookmarkEnd w:id="273"/>
      <w:bookmarkStart w:id="274" w:name="_Toc184310325"/>
      <w:bookmarkEnd w:id="274"/>
      <w:bookmarkStart w:id="275" w:name="_Toc184310307"/>
      <w:bookmarkEnd w:id="275"/>
      <w:bookmarkStart w:id="276" w:name="_Toc184308102"/>
      <w:bookmarkEnd w:id="276"/>
      <w:bookmarkStart w:id="277" w:name="_Toc184312083"/>
      <w:bookmarkEnd w:id="277"/>
      <w:bookmarkStart w:id="278" w:name="_Toc184310323"/>
      <w:bookmarkEnd w:id="278"/>
      <w:bookmarkStart w:id="279" w:name="_Toc184310316"/>
      <w:bookmarkEnd w:id="279"/>
      <w:bookmarkStart w:id="280" w:name="_Toc184314443"/>
      <w:bookmarkEnd w:id="280"/>
      <w:bookmarkStart w:id="281" w:name="_Toc184308059"/>
      <w:bookmarkEnd w:id="281"/>
      <w:bookmarkStart w:id="282" w:name="_Toc184312130"/>
      <w:bookmarkEnd w:id="282"/>
      <w:bookmarkStart w:id="283" w:name="_Toc184313288"/>
      <w:bookmarkEnd w:id="283"/>
      <w:bookmarkStart w:id="284" w:name="_Toc184308100"/>
      <w:bookmarkEnd w:id="284"/>
      <w:bookmarkStart w:id="285" w:name="_Toc184314466"/>
      <w:bookmarkEnd w:id="285"/>
      <w:bookmarkStart w:id="286" w:name="_Toc184314431"/>
      <w:bookmarkEnd w:id="286"/>
      <w:bookmarkStart w:id="287" w:name="_Toc184312117"/>
      <w:bookmarkEnd w:id="287"/>
      <w:bookmarkStart w:id="288" w:name="_Toc184313246"/>
      <w:bookmarkEnd w:id="288"/>
      <w:bookmarkStart w:id="289" w:name="_Toc184310301"/>
      <w:bookmarkEnd w:id="289"/>
      <w:bookmarkStart w:id="290" w:name="_Toc184313286"/>
      <w:bookmarkEnd w:id="290"/>
      <w:bookmarkStart w:id="291" w:name="_Toc184313277"/>
      <w:bookmarkEnd w:id="291"/>
      <w:bookmarkStart w:id="292" w:name="_Toc184314451"/>
      <w:bookmarkEnd w:id="292"/>
      <w:bookmarkStart w:id="293" w:name="_Toc184308064"/>
      <w:bookmarkEnd w:id="293"/>
      <w:bookmarkStart w:id="294" w:name="_Toc184314450"/>
      <w:bookmarkEnd w:id="294"/>
      <w:bookmarkStart w:id="295" w:name="_Toc184308055"/>
      <w:bookmarkEnd w:id="295"/>
      <w:bookmarkStart w:id="296" w:name="_Toc184308083"/>
      <w:bookmarkEnd w:id="296"/>
      <w:bookmarkStart w:id="297" w:name="_Toc184314435"/>
      <w:bookmarkEnd w:id="297"/>
      <w:bookmarkStart w:id="298" w:name="_Toc184308078"/>
      <w:bookmarkEnd w:id="298"/>
      <w:bookmarkStart w:id="299" w:name="_Toc184313296"/>
      <w:bookmarkEnd w:id="299"/>
      <w:bookmarkStart w:id="300" w:name="_Toc184313276"/>
      <w:bookmarkEnd w:id="300"/>
      <w:bookmarkStart w:id="301" w:name="_Toc184312125"/>
      <w:bookmarkEnd w:id="301"/>
      <w:bookmarkStart w:id="302" w:name="_Toc184313284"/>
      <w:bookmarkEnd w:id="302"/>
      <w:bookmarkStart w:id="303" w:name="_Toc184314468"/>
      <w:bookmarkEnd w:id="303"/>
      <w:bookmarkStart w:id="304" w:name="_Toc184313306"/>
      <w:bookmarkEnd w:id="304"/>
      <w:bookmarkStart w:id="305" w:name="_Toc184312112"/>
      <w:bookmarkEnd w:id="305"/>
      <w:bookmarkStart w:id="306" w:name="_Toc184312110"/>
      <w:bookmarkEnd w:id="306"/>
      <w:bookmarkStart w:id="307" w:name="_Toc184313262"/>
      <w:bookmarkEnd w:id="307"/>
      <w:bookmarkStart w:id="308" w:name="_Toc184314464"/>
      <w:bookmarkEnd w:id="308"/>
      <w:bookmarkStart w:id="309" w:name="_Toc184310278"/>
      <w:bookmarkEnd w:id="309"/>
      <w:bookmarkStart w:id="310" w:name="_Toc184312134"/>
      <w:bookmarkEnd w:id="310"/>
      <w:bookmarkStart w:id="311" w:name="_Toc184314481"/>
      <w:bookmarkEnd w:id="311"/>
      <w:bookmarkStart w:id="312" w:name="_Toc184308062"/>
      <w:bookmarkEnd w:id="312"/>
      <w:bookmarkStart w:id="313" w:name="_Toc184314459"/>
      <w:bookmarkEnd w:id="313"/>
      <w:bookmarkStart w:id="314" w:name="_Toc184308054"/>
      <w:bookmarkEnd w:id="314"/>
      <w:bookmarkStart w:id="315" w:name="_Toc184312138"/>
      <w:bookmarkEnd w:id="315"/>
      <w:bookmarkStart w:id="316" w:name="_Toc184308045"/>
      <w:bookmarkEnd w:id="316"/>
      <w:bookmarkStart w:id="317" w:name="_Toc184314417"/>
      <w:bookmarkEnd w:id="317"/>
      <w:bookmarkStart w:id="318" w:name="_Toc184313287"/>
      <w:bookmarkEnd w:id="318"/>
      <w:bookmarkStart w:id="319" w:name="_Toc184310276"/>
      <w:bookmarkEnd w:id="319"/>
      <w:bookmarkStart w:id="320" w:name="_Toc184312127"/>
      <w:bookmarkEnd w:id="320"/>
      <w:bookmarkStart w:id="321" w:name="_Toc184313279"/>
      <w:bookmarkEnd w:id="321"/>
      <w:bookmarkStart w:id="322" w:name="_Toc184308076"/>
      <w:bookmarkEnd w:id="322"/>
      <w:bookmarkStart w:id="323" w:name="_Toc184312126"/>
      <w:bookmarkEnd w:id="323"/>
      <w:bookmarkStart w:id="324" w:name="_Toc184312107"/>
      <w:bookmarkEnd w:id="324"/>
      <w:bookmarkStart w:id="325" w:name="_Toc184313289"/>
      <w:bookmarkEnd w:id="325"/>
      <w:bookmarkStart w:id="326" w:name="_Toc184310308"/>
      <w:bookmarkEnd w:id="326"/>
      <w:bookmarkStart w:id="327" w:name="_Toc184314413"/>
      <w:bookmarkEnd w:id="327"/>
      <w:bookmarkStart w:id="328" w:name="_Toc184313274"/>
      <w:bookmarkEnd w:id="328"/>
      <w:bookmarkStart w:id="329" w:name="_Toc184312111"/>
      <w:bookmarkEnd w:id="329"/>
      <w:bookmarkStart w:id="330" w:name="_Toc184314452"/>
      <w:bookmarkEnd w:id="330"/>
      <w:bookmarkStart w:id="331" w:name="_Toc184314415"/>
      <w:bookmarkEnd w:id="331"/>
      <w:bookmarkStart w:id="332" w:name="_Toc184310302"/>
      <w:bookmarkEnd w:id="332"/>
      <w:bookmarkStart w:id="333" w:name="_Toc184310319"/>
      <w:bookmarkEnd w:id="333"/>
      <w:bookmarkStart w:id="334" w:name="_Toc184312122"/>
      <w:bookmarkEnd w:id="334"/>
      <w:bookmarkStart w:id="335" w:name="_Toc184314475"/>
      <w:bookmarkEnd w:id="335"/>
      <w:bookmarkStart w:id="336" w:name="_Toc184310272"/>
      <w:bookmarkEnd w:id="336"/>
      <w:bookmarkStart w:id="337" w:name="_Toc184308072"/>
      <w:bookmarkEnd w:id="337"/>
      <w:bookmarkStart w:id="338" w:name="_Toc184308090"/>
      <w:bookmarkEnd w:id="338"/>
      <w:bookmarkStart w:id="339" w:name="_Toc184312128"/>
      <w:bookmarkEnd w:id="339"/>
      <w:bookmarkStart w:id="340" w:name="_Toc184313297"/>
      <w:bookmarkEnd w:id="340"/>
      <w:bookmarkStart w:id="341" w:name="_Toc184310315"/>
      <w:bookmarkEnd w:id="341"/>
      <w:bookmarkStart w:id="342" w:name="_Toc184313264"/>
      <w:bookmarkEnd w:id="342"/>
      <w:bookmarkStart w:id="343" w:name="_Toc184314428"/>
      <w:bookmarkEnd w:id="343"/>
      <w:bookmarkStart w:id="344" w:name="_Toc184312101"/>
      <w:bookmarkEnd w:id="344"/>
      <w:bookmarkStart w:id="345" w:name="_Toc184310288"/>
      <w:bookmarkEnd w:id="345"/>
      <w:bookmarkStart w:id="346" w:name="_Toc184308053"/>
      <w:bookmarkEnd w:id="346"/>
      <w:bookmarkStart w:id="347" w:name="_Toc184310275"/>
      <w:bookmarkEnd w:id="347"/>
      <w:bookmarkStart w:id="348" w:name="_Toc184312123"/>
      <w:bookmarkEnd w:id="348"/>
      <w:bookmarkStart w:id="349" w:name="_Toc184314470"/>
      <w:bookmarkEnd w:id="349"/>
      <w:bookmarkStart w:id="350" w:name="_Toc184312120"/>
      <w:bookmarkEnd w:id="350"/>
      <w:bookmarkStart w:id="351" w:name="_Toc184308041"/>
      <w:bookmarkEnd w:id="351"/>
      <w:bookmarkStart w:id="352" w:name="_Toc184308088"/>
      <w:bookmarkEnd w:id="352"/>
      <w:bookmarkStart w:id="353" w:name="_Toc184310280"/>
      <w:bookmarkEnd w:id="353"/>
      <w:bookmarkStart w:id="354" w:name="_Toc184312116"/>
      <w:bookmarkEnd w:id="354"/>
      <w:bookmarkStart w:id="355" w:name="_Toc184308082"/>
      <w:bookmarkEnd w:id="355"/>
      <w:bookmarkStart w:id="356" w:name="_Toc184308039"/>
      <w:bookmarkEnd w:id="356"/>
      <w:bookmarkStart w:id="357" w:name="_Toc184313278"/>
      <w:bookmarkEnd w:id="357"/>
      <w:bookmarkStart w:id="358" w:name="_Toc184314477"/>
      <w:bookmarkEnd w:id="358"/>
      <w:bookmarkStart w:id="359" w:name="_Toc184314457"/>
      <w:bookmarkEnd w:id="359"/>
      <w:bookmarkStart w:id="360" w:name="_Toc184308069"/>
      <w:bookmarkEnd w:id="360"/>
      <w:bookmarkStart w:id="361" w:name="_Toc184308052"/>
      <w:bookmarkEnd w:id="361"/>
      <w:bookmarkStart w:id="362" w:name="_Toc184308105"/>
      <w:bookmarkEnd w:id="362"/>
      <w:bookmarkStart w:id="363" w:name="_Toc184314445"/>
      <w:bookmarkEnd w:id="363"/>
      <w:bookmarkStart w:id="364" w:name="_Toc184313260"/>
      <w:bookmarkEnd w:id="364"/>
      <w:bookmarkStart w:id="365" w:name="_Toc184310335"/>
      <w:bookmarkEnd w:id="365"/>
      <w:bookmarkStart w:id="366" w:name="_Toc184312135"/>
      <w:bookmarkEnd w:id="366"/>
      <w:bookmarkStart w:id="367" w:name="_Toc184313303"/>
      <w:bookmarkEnd w:id="367"/>
      <w:bookmarkStart w:id="368" w:name="_Toc184313266"/>
      <w:bookmarkEnd w:id="368"/>
      <w:bookmarkStart w:id="369" w:name="_Toc184312132"/>
      <w:bookmarkEnd w:id="369"/>
      <w:bookmarkStart w:id="370" w:name="_Toc184312109"/>
      <w:bookmarkEnd w:id="370"/>
      <w:bookmarkStart w:id="371" w:name="_Toc184308085"/>
      <w:bookmarkEnd w:id="371"/>
      <w:bookmarkStart w:id="372" w:name="_Toc184310297"/>
      <w:bookmarkEnd w:id="372"/>
      <w:bookmarkStart w:id="373" w:name="_Toc184313268"/>
      <w:bookmarkEnd w:id="373"/>
      <w:bookmarkStart w:id="374" w:name="_Toc184313254"/>
      <w:bookmarkEnd w:id="374"/>
      <w:bookmarkStart w:id="375" w:name="_Toc184313244"/>
      <w:bookmarkEnd w:id="375"/>
      <w:bookmarkStart w:id="376" w:name="_Toc184314478"/>
      <w:bookmarkEnd w:id="376"/>
      <w:bookmarkStart w:id="377" w:name="_Toc184312137"/>
      <w:bookmarkEnd w:id="377"/>
      <w:bookmarkStart w:id="378" w:name="_Toc184314424"/>
      <w:bookmarkEnd w:id="378"/>
      <w:bookmarkStart w:id="379" w:name="_Toc184312103"/>
      <w:bookmarkEnd w:id="379"/>
      <w:bookmarkStart w:id="380" w:name="_Toc184312087"/>
      <w:bookmarkEnd w:id="380"/>
      <w:bookmarkStart w:id="381" w:name="_Toc184310293"/>
      <w:bookmarkEnd w:id="381"/>
      <w:bookmarkStart w:id="382" w:name="_Toc184310287"/>
      <w:bookmarkEnd w:id="382"/>
      <w:bookmarkStart w:id="383" w:name="_Toc184310318"/>
      <w:bookmarkEnd w:id="383"/>
      <w:bookmarkStart w:id="384" w:name="_Toc184313253"/>
      <w:bookmarkEnd w:id="384"/>
      <w:bookmarkStart w:id="385" w:name="_Toc184313257"/>
      <w:bookmarkEnd w:id="385"/>
      <w:bookmarkStart w:id="386" w:name="_Toc184314416"/>
      <w:bookmarkEnd w:id="386"/>
      <w:bookmarkStart w:id="387" w:name="_Toc184310334"/>
      <w:bookmarkEnd w:id="387"/>
      <w:bookmarkStart w:id="388" w:name="_Toc184313239"/>
      <w:bookmarkEnd w:id="388"/>
      <w:bookmarkStart w:id="389" w:name="_Toc184310314"/>
      <w:bookmarkEnd w:id="389"/>
      <w:bookmarkStart w:id="390" w:name="_Toc184314440"/>
      <w:bookmarkEnd w:id="390"/>
      <w:bookmarkStart w:id="391" w:name="_Toc184308049"/>
      <w:bookmarkEnd w:id="391"/>
      <w:bookmarkStart w:id="392" w:name="_Toc184312086"/>
      <w:bookmarkEnd w:id="392"/>
      <w:bookmarkStart w:id="393" w:name="_Toc184312084"/>
      <w:bookmarkEnd w:id="393"/>
      <w:bookmarkStart w:id="394" w:name="_Toc184308040"/>
      <w:bookmarkEnd w:id="394"/>
      <w:bookmarkStart w:id="395" w:name="_Toc184310285"/>
      <w:bookmarkEnd w:id="395"/>
      <w:bookmarkStart w:id="396" w:name="_Toc184312072"/>
      <w:bookmarkEnd w:id="396"/>
      <w:bookmarkStart w:id="397" w:name="_Toc184313271"/>
      <w:bookmarkEnd w:id="397"/>
      <w:r>
        <w:rPr>
          <w:rFonts w:hint="eastAsia" w:cs="宋体" w:asciiTheme="minorEastAsia" w:hAnsiTheme="minorEastAsia" w:eastAsiaTheme="minorEastAsia"/>
          <w:b/>
          <w:sz w:val="36"/>
          <w:szCs w:val="36"/>
        </w:rPr>
        <w:t>评标办法</w:t>
      </w:r>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评标办法前附表</w:t>
      </w:r>
    </w:p>
    <w:p>
      <w:pPr>
        <w:pStyle w:val="91"/>
        <w:spacing w:before="0"/>
        <w:ind w:firstLine="602" w:firstLineChars="250"/>
        <w:rPr>
          <w:rFonts w:cs="宋体" w:asciiTheme="minorEastAsia" w:hAnsiTheme="minorEastAsia" w:eastAsiaTheme="minorEastAsia"/>
          <w:szCs w:val="24"/>
        </w:rPr>
      </w:pPr>
      <w:r>
        <w:rPr>
          <w:rFonts w:hint="eastAsia" w:cs="宋体" w:asciiTheme="minorEastAsia" w:hAnsiTheme="minorEastAsia" w:eastAsiaTheme="minorEastAsia"/>
          <w:b/>
          <w:szCs w:val="24"/>
        </w:rPr>
        <w:t>1、本次评标采用综合评分法，总分为100分。</w:t>
      </w:r>
      <w:r>
        <w:rPr>
          <w:rFonts w:hint="eastAsia" w:cs="宋体" w:asciiTheme="minorEastAsia" w:hAnsiTheme="minorEastAsia" w:eastAsiaTheme="minorEastAsia"/>
          <w:szCs w:val="24"/>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91"/>
        <w:spacing w:before="0"/>
        <w:ind w:firstLine="600" w:firstLineChars="250"/>
        <w:rPr>
          <w:rFonts w:cs="宋体" w:asciiTheme="minorEastAsia" w:hAnsiTheme="minorEastAsia" w:eastAsiaTheme="minorEastAsia"/>
          <w:bCs/>
          <w:szCs w:val="24"/>
        </w:rPr>
      </w:pPr>
      <w:r>
        <w:rPr>
          <w:rFonts w:hint="eastAsia" w:cs="宋体" w:asciiTheme="minorEastAsia" w:hAnsiTheme="minorEastAsia" w:eastAsiaTheme="minorEastAsia"/>
          <w:bCs/>
          <w:szCs w:val="24"/>
        </w:rPr>
        <w:t>各投标人的综合得分为：投标价格得分+技术商务得分之和，总和为100分，其中：投标价格得分</w:t>
      </w:r>
      <w:r>
        <w:rPr>
          <w:rFonts w:hint="eastAsia" w:cs="宋体" w:asciiTheme="minorEastAsia" w:hAnsiTheme="minorEastAsia" w:eastAsiaTheme="minorEastAsia"/>
          <w:bCs/>
          <w:szCs w:val="24"/>
          <w:lang w:val="en-US" w:eastAsia="zh-CN"/>
        </w:rPr>
        <w:t>30</w:t>
      </w:r>
      <w:r>
        <w:rPr>
          <w:rFonts w:hint="eastAsia" w:cs="宋体" w:asciiTheme="minorEastAsia" w:hAnsiTheme="minorEastAsia" w:eastAsiaTheme="minorEastAsia"/>
          <w:bCs/>
          <w:szCs w:val="24"/>
        </w:rPr>
        <w:t>分，商务技术得分</w:t>
      </w:r>
      <w:r>
        <w:rPr>
          <w:rFonts w:hint="eastAsia" w:cs="宋体" w:asciiTheme="minorEastAsia" w:hAnsiTheme="minorEastAsia" w:eastAsiaTheme="minorEastAsia"/>
          <w:bCs/>
          <w:szCs w:val="24"/>
          <w:lang w:val="en-US" w:eastAsia="zh-CN"/>
        </w:rPr>
        <w:t>70</w:t>
      </w:r>
      <w:r>
        <w:rPr>
          <w:rFonts w:hint="eastAsia" w:cs="宋体" w:asciiTheme="minorEastAsia" w:hAnsiTheme="minorEastAsia" w:eastAsiaTheme="minorEastAsia"/>
          <w:bCs/>
          <w:szCs w:val="24"/>
        </w:rPr>
        <w:t>分。</w:t>
      </w:r>
    </w:p>
    <w:p>
      <w:pPr>
        <w:numPr>
          <w:ilvl w:val="0"/>
          <w:numId w:val="2"/>
        </w:num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商务、技术评标细则（</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0分）</w:t>
      </w:r>
    </w:p>
    <w:p>
      <w:pPr>
        <w:spacing w:line="360" w:lineRule="auto"/>
        <w:ind w:firstLine="465" w:firstLineChars="193"/>
        <w:rPr>
          <w:rFonts w:cs="宋体" w:asciiTheme="minorEastAsia" w:hAnsiTheme="minorEastAsia" w:eastAsiaTheme="minorEastAsia"/>
          <w:b/>
          <w:bCs/>
          <w:sz w:val="24"/>
        </w:rPr>
      </w:pPr>
      <w:r>
        <w:rPr>
          <w:rFonts w:hint="eastAsia" w:cs="宋体" w:asciiTheme="minorEastAsia" w:hAnsiTheme="minorEastAsia" w:eastAsiaTheme="minorEastAsia"/>
          <w:b/>
          <w:bCs/>
          <w:sz w:val="24"/>
        </w:rPr>
        <w:t>（1）</w:t>
      </w:r>
      <w:r>
        <w:rPr>
          <w:rFonts w:cs="宋体" w:asciiTheme="minorEastAsia" w:hAnsiTheme="minorEastAsia" w:eastAsiaTheme="minorEastAsia"/>
          <w:b/>
          <w:bCs/>
          <w:sz w:val="24"/>
        </w:rPr>
        <w:t>商务技术分</w:t>
      </w:r>
      <w:r>
        <w:rPr>
          <w:rFonts w:hint="eastAsia" w:cs="宋体" w:asciiTheme="minorEastAsia" w:hAnsiTheme="minorEastAsia" w:eastAsiaTheme="minorEastAsia"/>
          <w:b/>
          <w:bCs/>
          <w:sz w:val="24"/>
        </w:rPr>
        <w:t>（</w:t>
      </w:r>
      <w:r>
        <w:rPr>
          <w:rFonts w:hint="eastAsia" w:cs="宋体" w:asciiTheme="minorEastAsia" w:hAnsiTheme="minorEastAsia" w:eastAsiaTheme="minorEastAsia"/>
          <w:b/>
          <w:bCs/>
          <w:sz w:val="24"/>
          <w:lang w:val="en-US" w:eastAsia="zh-CN"/>
        </w:rPr>
        <w:t>7</w:t>
      </w:r>
      <w:r>
        <w:rPr>
          <w:rFonts w:hint="eastAsia" w:cs="宋体" w:asciiTheme="minorEastAsia" w:hAnsiTheme="minorEastAsia" w:eastAsiaTheme="minorEastAsia"/>
          <w:b/>
          <w:bCs/>
          <w:sz w:val="24"/>
        </w:rPr>
        <w:t>0分）</w:t>
      </w:r>
    </w:p>
    <w:p>
      <w:pPr>
        <w:spacing w:line="360" w:lineRule="auto"/>
        <w:ind w:firstLine="463" w:firstLineChars="193"/>
        <w:rPr>
          <w:rFonts w:cs="宋体" w:asciiTheme="minorEastAsia" w:hAnsiTheme="minorEastAsia" w:eastAsiaTheme="minorEastAsia"/>
          <w:sz w:val="24"/>
        </w:rPr>
      </w:pPr>
      <w:r>
        <w:rPr>
          <w:rFonts w:cs="宋体" w:asciiTheme="minorEastAsia" w:hAnsiTheme="minorEastAsia" w:eastAsiaTheme="minorEastAsia"/>
          <w:sz w:val="24"/>
        </w:rPr>
        <w:t xml:space="preserve">商务技术分的计算：按照评标委员会成员的独立评分结果汇总数的算术平均分计算，计算公式为： </w:t>
      </w:r>
    </w:p>
    <w:p>
      <w:pPr>
        <w:spacing w:line="360" w:lineRule="auto"/>
        <w:ind w:firstLine="465" w:firstLineChars="193"/>
        <w:rPr>
          <w:rFonts w:cs="宋体" w:asciiTheme="minorEastAsia" w:hAnsiTheme="minorEastAsia" w:eastAsiaTheme="minorEastAsia"/>
          <w:b/>
        </w:rPr>
      </w:pPr>
      <w:r>
        <w:rPr>
          <w:rFonts w:cs="宋体" w:asciiTheme="minorEastAsia" w:hAnsiTheme="minorEastAsia" w:eastAsiaTheme="minorEastAsia"/>
          <w:b/>
          <w:bCs/>
          <w:sz w:val="24"/>
        </w:rPr>
        <w:t>商务技术分=评标委员会所有成员评分合计数/评标委员会组成人员数</w:t>
      </w:r>
    </w:p>
    <w:p>
      <w:pPr>
        <w:spacing w:line="500" w:lineRule="exact"/>
        <w:rPr>
          <w:rFonts w:hint="eastAsia" w:ascii="宋体" w:hAnsi="宋体" w:cs="Arial"/>
          <w:b/>
          <w:bCs/>
          <w:color w:val="auto"/>
          <w:kern w:val="28"/>
          <w:sz w:val="24"/>
        </w:rPr>
      </w:pPr>
      <w:r>
        <w:rPr>
          <w:rFonts w:hint="eastAsia" w:ascii="宋体" w:hAnsi="宋体" w:cs="Arial"/>
          <w:b/>
          <w:bCs/>
          <w:color w:val="auto"/>
          <w:kern w:val="28"/>
          <w:sz w:val="24"/>
          <w:lang w:val="en-US" w:eastAsia="zh-CN"/>
        </w:rPr>
        <w:t>1.</w:t>
      </w:r>
      <w:r>
        <w:rPr>
          <w:rFonts w:hint="eastAsia" w:ascii="宋体" w:hAnsi="宋体" w:cs="Arial"/>
          <w:b/>
          <w:bCs/>
          <w:color w:val="auto"/>
          <w:kern w:val="28"/>
          <w:sz w:val="24"/>
        </w:rPr>
        <w:t>商务部分 （</w:t>
      </w:r>
      <w:r>
        <w:rPr>
          <w:rFonts w:hint="eastAsia" w:ascii="宋体" w:hAnsi="宋体" w:cs="Arial"/>
          <w:b/>
          <w:bCs/>
          <w:color w:val="auto"/>
          <w:kern w:val="28"/>
          <w:sz w:val="24"/>
          <w:lang w:val="en-US" w:eastAsia="zh-CN"/>
        </w:rPr>
        <w:t>15</w:t>
      </w:r>
      <w:r>
        <w:rPr>
          <w:rFonts w:hint="eastAsia" w:ascii="宋体" w:hAnsi="宋体" w:cs="Arial"/>
          <w:b/>
          <w:bCs/>
          <w:color w:val="auto"/>
          <w:kern w:val="28"/>
          <w:sz w:val="24"/>
        </w:rPr>
        <w:t>分）：</w:t>
      </w:r>
    </w:p>
    <w:tbl>
      <w:tblPr>
        <w:tblStyle w:val="63"/>
        <w:tblW w:w="94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85"/>
        <w:gridCol w:w="5349"/>
        <w:gridCol w:w="1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right w:val="single" w:color="auto" w:sz="4" w:space="0"/>
            </w:tcBorders>
            <w:noWrap w:val="0"/>
            <w:vAlign w:val="center"/>
          </w:tcPr>
          <w:p>
            <w:pPr>
              <w:spacing w:line="420" w:lineRule="exact"/>
              <w:rPr>
                <w:rFonts w:ascii="宋体" w:hAnsi="宋体" w:cs="Arial"/>
                <w:bCs/>
                <w:color w:val="auto"/>
                <w:kern w:val="0"/>
                <w:szCs w:val="21"/>
              </w:rPr>
            </w:pPr>
            <w:r>
              <w:rPr>
                <w:rFonts w:hint="eastAsia" w:ascii="宋体" w:hAnsi="宋体" w:cs="Arial"/>
                <w:bCs/>
                <w:color w:val="auto"/>
                <w:kern w:val="0"/>
                <w:szCs w:val="21"/>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szCs w:val="21"/>
                <w:lang w:val="zh-CN"/>
              </w:rPr>
            </w:pPr>
            <w:r>
              <w:rPr>
                <w:rFonts w:hint="eastAsia" w:ascii="宋体" w:hAnsi="宋体"/>
                <w:color w:val="auto"/>
                <w:szCs w:val="21"/>
                <w:lang w:val="zh-CN"/>
              </w:rPr>
              <w:t>评议内容</w:t>
            </w:r>
          </w:p>
        </w:tc>
        <w:tc>
          <w:tcPr>
            <w:tcW w:w="68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ind w:firstLine="420" w:firstLineChars="200"/>
              <w:rPr>
                <w:rFonts w:ascii="宋体" w:hAnsi="宋体"/>
                <w:color w:val="auto"/>
                <w:szCs w:val="21"/>
                <w:lang w:val="zh-CN"/>
              </w:rPr>
            </w:pPr>
            <w:r>
              <w:rPr>
                <w:rFonts w:hint="eastAsia" w:ascii="宋体" w:hAnsi="宋体"/>
                <w:color w:val="auto"/>
                <w:szCs w:val="21"/>
                <w:lang w:val="zh-CN"/>
              </w:rPr>
              <w:t>评议标准和分值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6" w:hRule="atLeast"/>
          <w:jc w:val="center"/>
        </w:trPr>
        <w:tc>
          <w:tcPr>
            <w:tcW w:w="704"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985" w:type="dxa"/>
            <w:noWrap w:val="0"/>
            <w:tcMar>
              <w:top w:w="15" w:type="dxa"/>
              <w:left w:w="28" w:type="dxa"/>
              <w:bottom w:w="0" w:type="dxa"/>
              <w:right w:w="28" w:type="dxa"/>
            </w:tcMar>
            <w:vAlign w:val="center"/>
          </w:tcPr>
          <w:p>
            <w:pPr>
              <w:spacing w:line="360" w:lineRule="exact"/>
              <w:rPr>
                <w:rFonts w:hint="eastAsia" w:ascii="宋体" w:hAnsi="宋体"/>
                <w:color w:val="auto"/>
                <w:szCs w:val="21"/>
                <w:lang w:val="zh-CN"/>
              </w:rPr>
            </w:pPr>
            <w:r>
              <w:rPr>
                <w:rFonts w:hint="eastAsia" w:hAnsi="宋体"/>
                <w:color w:val="auto"/>
              </w:rPr>
              <w:t>同类业绩</w:t>
            </w:r>
          </w:p>
        </w:tc>
        <w:tc>
          <w:tcPr>
            <w:tcW w:w="5349" w:type="dxa"/>
            <w:noWrap w:val="0"/>
            <w:tcMar>
              <w:top w:w="15" w:type="dxa"/>
              <w:left w:w="28" w:type="dxa"/>
              <w:bottom w:w="0" w:type="dxa"/>
              <w:right w:w="28" w:type="dxa"/>
            </w:tcMar>
            <w:vAlign w:val="center"/>
          </w:tcPr>
          <w:p>
            <w:pPr>
              <w:spacing w:line="360" w:lineRule="exact"/>
              <w:rPr>
                <w:rFonts w:hint="eastAsia" w:ascii="宋体" w:hAnsi="宋体" w:cs="宋体"/>
                <w:color w:val="auto"/>
                <w:szCs w:val="21"/>
              </w:rPr>
            </w:pPr>
            <w:r>
              <w:rPr>
                <w:rFonts w:hint="eastAsia" w:hAnsi="宋体"/>
                <w:color w:val="auto"/>
              </w:rPr>
              <w:t>供应商</w:t>
            </w:r>
            <w:r>
              <w:rPr>
                <w:color w:val="auto"/>
              </w:rPr>
              <w:t>20</w:t>
            </w:r>
            <w:r>
              <w:rPr>
                <w:rFonts w:hint="eastAsia"/>
                <w:color w:val="auto"/>
              </w:rPr>
              <w:t>19</w:t>
            </w:r>
            <w:r>
              <w:rPr>
                <w:rFonts w:hint="eastAsia" w:hAnsi="宋体"/>
                <w:color w:val="auto"/>
              </w:rPr>
              <w:t>年</w:t>
            </w:r>
            <w:r>
              <w:rPr>
                <w:color w:val="auto"/>
              </w:rPr>
              <w:t>1</w:t>
            </w:r>
            <w:r>
              <w:rPr>
                <w:rFonts w:hint="eastAsia" w:hAnsi="宋体"/>
                <w:color w:val="auto"/>
              </w:rPr>
              <w:t>月</w:t>
            </w:r>
            <w:r>
              <w:rPr>
                <w:color w:val="auto"/>
              </w:rPr>
              <w:t>1</w:t>
            </w:r>
            <w:r>
              <w:rPr>
                <w:rFonts w:hint="eastAsia" w:hAnsi="宋体"/>
                <w:color w:val="auto"/>
              </w:rPr>
              <w:t>日以来承担过类似业绩，每个得</w:t>
            </w:r>
            <w:r>
              <w:rPr>
                <w:rFonts w:hint="eastAsia" w:hAnsi="宋体"/>
                <w:color w:val="auto"/>
                <w:lang w:val="en-US" w:eastAsia="zh-CN"/>
              </w:rPr>
              <w:t>1.5</w:t>
            </w:r>
            <w:r>
              <w:rPr>
                <w:rFonts w:hint="eastAsia" w:hAnsi="宋体"/>
                <w:color w:val="auto"/>
              </w:rPr>
              <w:t>分，最多的</w:t>
            </w:r>
            <w:r>
              <w:rPr>
                <w:rFonts w:hint="eastAsia"/>
                <w:color w:val="auto"/>
                <w:lang w:val="en-US" w:eastAsia="zh-CN"/>
              </w:rPr>
              <w:t>3</w:t>
            </w:r>
            <w:r>
              <w:rPr>
                <w:rFonts w:hint="eastAsia" w:hAnsi="宋体"/>
                <w:color w:val="auto"/>
              </w:rPr>
              <w:t>分。</w:t>
            </w:r>
            <w:r>
              <w:rPr>
                <w:rFonts w:hint="eastAsia" w:hAnsi="宋体"/>
                <w:color w:val="auto"/>
                <w:lang w:val="en-US" w:eastAsia="zh-CN"/>
              </w:rPr>
              <w:t>需</w:t>
            </w:r>
            <w:r>
              <w:rPr>
                <w:rFonts w:hint="eastAsia" w:hAnsi="宋体"/>
                <w:color w:val="auto"/>
              </w:rPr>
              <w:t>提供中标通知书</w:t>
            </w:r>
            <w:r>
              <w:rPr>
                <w:rFonts w:hint="eastAsia" w:hAnsi="宋体"/>
                <w:color w:val="auto"/>
                <w:lang w:val="en-US" w:eastAsia="zh-CN"/>
              </w:rPr>
              <w:t>和</w:t>
            </w:r>
            <w:r>
              <w:rPr>
                <w:rFonts w:hint="eastAsia" w:hAnsi="宋体"/>
                <w:color w:val="auto"/>
              </w:rPr>
              <w:t>合同复印件。</w:t>
            </w:r>
          </w:p>
        </w:tc>
        <w:tc>
          <w:tcPr>
            <w:tcW w:w="1455" w:type="dxa"/>
            <w:noWrap w:val="0"/>
            <w:tcMar>
              <w:top w:w="15" w:type="dxa"/>
              <w:left w:w="28" w:type="dxa"/>
              <w:bottom w:w="0" w:type="dxa"/>
              <w:right w:w="2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3</w:t>
            </w:r>
            <w:r>
              <w:rPr>
                <w:rFonts w:hint="eastAsia" w:ascii="宋体" w:hAnsi="宋体" w:cs="宋体"/>
                <w:color w:val="auto"/>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6" w:hRule="atLeast"/>
          <w:jc w:val="center"/>
        </w:trPr>
        <w:tc>
          <w:tcPr>
            <w:tcW w:w="704"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985" w:type="dxa"/>
            <w:noWrap w:val="0"/>
            <w:tcMar>
              <w:top w:w="15" w:type="dxa"/>
              <w:left w:w="28" w:type="dxa"/>
              <w:bottom w:w="0" w:type="dxa"/>
              <w:right w:w="28" w:type="dxa"/>
            </w:tcMar>
            <w:vAlign w:val="center"/>
          </w:tcPr>
          <w:p>
            <w:pPr>
              <w:spacing w:line="360" w:lineRule="exact"/>
              <w:rPr>
                <w:rFonts w:hint="default" w:hAnsi="宋体" w:eastAsia="宋体"/>
                <w:color w:val="auto"/>
                <w:lang w:val="en-US" w:eastAsia="zh-CN"/>
              </w:rPr>
            </w:pPr>
            <w:r>
              <w:rPr>
                <w:rFonts w:hint="eastAsia" w:hAnsi="宋体"/>
                <w:color w:val="auto"/>
                <w:lang w:eastAsia="zh-CN"/>
              </w:rPr>
              <w:t>企业</w:t>
            </w:r>
            <w:r>
              <w:rPr>
                <w:rFonts w:hint="eastAsia" w:hAnsi="宋体"/>
                <w:color w:val="auto"/>
                <w:lang w:val="en-US" w:eastAsia="zh-CN"/>
              </w:rPr>
              <w:t>资信</w:t>
            </w:r>
          </w:p>
        </w:tc>
        <w:tc>
          <w:tcPr>
            <w:tcW w:w="5349" w:type="dxa"/>
            <w:noWrap w:val="0"/>
            <w:tcMar>
              <w:top w:w="15" w:type="dxa"/>
              <w:left w:w="28" w:type="dxa"/>
              <w:bottom w:w="0" w:type="dxa"/>
              <w:right w:w="28" w:type="dxa"/>
            </w:tcMar>
            <w:vAlign w:val="center"/>
          </w:tcPr>
          <w:p>
            <w:pPr>
              <w:numPr>
                <w:ilvl w:val="0"/>
                <w:numId w:val="3"/>
              </w:numPr>
              <w:spacing w:line="360" w:lineRule="exact"/>
              <w:rPr>
                <w:rFonts w:hint="eastAsia"/>
                <w:lang w:val="en-US" w:eastAsia="zh-CN"/>
              </w:rPr>
            </w:pPr>
            <w:r>
              <w:rPr>
                <w:rFonts w:hint="eastAsia"/>
              </w:rPr>
              <w:t>供应商</w:t>
            </w:r>
            <w:r>
              <w:rPr>
                <w:rFonts w:hint="eastAsia"/>
                <w:lang w:eastAsia="zh-CN"/>
              </w:rPr>
              <w:t>获得过专业机构评价的</w:t>
            </w:r>
            <w:r>
              <w:rPr>
                <w:rFonts w:hint="eastAsia"/>
                <w:lang w:val="en-US" w:eastAsia="zh-CN"/>
              </w:rPr>
              <w:t>AAA信用等级得3分。</w:t>
            </w:r>
          </w:p>
          <w:p>
            <w:pPr>
              <w:numPr>
                <w:ilvl w:val="0"/>
                <w:numId w:val="3"/>
              </w:numPr>
              <w:spacing w:line="360" w:lineRule="exact"/>
              <w:rPr>
                <w:rFonts w:hint="default"/>
                <w:lang w:val="en-US" w:eastAsia="zh-CN"/>
              </w:rPr>
            </w:pPr>
            <w:r>
              <w:rPr>
                <w:rFonts w:hint="eastAsia"/>
              </w:rPr>
              <w:t>供应商</w:t>
            </w:r>
            <w:r>
              <w:rPr>
                <w:rFonts w:hint="eastAsia"/>
                <w:lang w:eastAsia="zh-CN"/>
              </w:rPr>
              <w:t>获得过专业机构</w:t>
            </w:r>
            <w:r>
              <w:rPr>
                <w:rFonts w:hint="eastAsia"/>
                <w:lang w:val="en-US" w:eastAsia="zh-CN"/>
              </w:rPr>
              <w:t>认证</w:t>
            </w:r>
            <w:r>
              <w:rPr>
                <w:rFonts w:hint="eastAsia"/>
                <w:lang w:eastAsia="zh-CN"/>
              </w:rPr>
              <w:t>的</w:t>
            </w:r>
            <w:r>
              <w:rPr>
                <w:rFonts w:hint="eastAsia"/>
                <w:lang w:val="en-US" w:eastAsia="zh-CN"/>
              </w:rPr>
              <w:t>IOS9001质量管理体系认证的得3分。</w:t>
            </w:r>
          </w:p>
        </w:tc>
        <w:tc>
          <w:tcPr>
            <w:tcW w:w="1455" w:type="dxa"/>
            <w:noWrap w:val="0"/>
            <w:tcMar>
              <w:top w:w="15" w:type="dxa"/>
              <w:left w:w="28" w:type="dxa"/>
              <w:bottom w:w="0" w:type="dxa"/>
              <w:right w:w="28" w:type="dxa"/>
            </w:tcMar>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6</w:t>
            </w:r>
            <w:r>
              <w:rPr>
                <w:rFonts w:hint="eastAsia" w:ascii="宋体" w:hAnsi="宋体" w:cs="宋体"/>
                <w:color w:val="auto"/>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6" w:hRule="atLeast"/>
          <w:jc w:val="center"/>
        </w:trPr>
        <w:tc>
          <w:tcPr>
            <w:tcW w:w="70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3</w:t>
            </w:r>
          </w:p>
        </w:tc>
        <w:tc>
          <w:tcPr>
            <w:tcW w:w="1985" w:type="dxa"/>
            <w:noWrap w:val="0"/>
            <w:tcMar>
              <w:top w:w="15" w:type="dxa"/>
              <w:left w:w="28" w:type="dxa"/>
              <w:bottom w:w="0" w:type="dxa"/>
              <w:right w:w="28" w:type="dxa"/>
            </w:tcMar>
            <w:vAlign w:val="center"/>
          </w:tcPr>
          <w:p>
            <w:pPr>
              <w:spacing w:line="360" w:lineRule="exact"/>
              <w:rPr>
                <w:rFonts w:hint="eastAsia" w:hAnsi="宋体" w:eastAsia="宋体"/>
                <w:color w:val="auto"/>
                <w:lang w:eastAsia="zh-CN"/>
              </w:rPr>
            </w:pPr>
            <w:r>
              <w:rPr>
                <w:rFonts w:hint="eastAsia"/>
                <w:lang w:eastAsia="zh-CN"/>
              </w:rPr>
              <w:t>拟投入本项目设计人员</w:t>
            </w:r>
          </w:p>
        </w:tc>
        <w:tc>
          <w:tcPr>
            <w:tcW w:w="5349" w:type="dxa"/>
            <w:noWrap w:val="0"/>
            <w:tcMar>
              <w:top w:w="15" w:type="dxa"/>
              <w:left w:w="28" w:type="dxa"/>
              <w:bottom w:w="0" w:type="dxa"/>
              <w:right w:w="28" w:type="dxa"/>
            </w:tcMar>
            <w:vAlign w:val="center"/>
          </w:tcPr>
          <w:p>
            <w:pPr>
              <w:numPr>
                <w:ilvl w:val="0"/>
                <w:numId w:val="0"/>
              </w:numPr>
              <w:spacing w:line="360" w:lineRule="exact"/>
              <w:rPr>
                <w:rFonts w:hint="eastAsia"/>
              </w:rPr>
            </w:pPr>
            <w:r>
              <w:rPr>
                <w:rFonts w:hint="eastAsia"/>
              </w:rPr>
              <w:t>项目实施人力资源安排：1.具有广告</w:t>
            </w:r>
            <w:r>
              <w:rPr>
                <w:rFonts w:hint="eastAsia"/>
                <w:lang w:eastAsia="zh-CN"/>
              </w:rPr>
              <w:t>高级</w:t>
            </w:r>
            <w:r>
              <w:rPr>
                <w:rFonts w:hint="eastAsia"/>
              </w:rPr>
              <w:t>设计师、</w:t>
            </w:r>
            <w:r>
              <w:rPr>
                <w:rFonts w:hint="eastAsia"/>
                <w:lang w:val="en-US" w:eastAsia="zh-CN"/>
              </w:rPr>
              <w:t xml:space="preserve"> 平面高级设计师培训结业证书的，</w:t>
            </w:r>
            <w:r>
              <w:rPr>
                <w:rFonts w:hint="eastAsia"/>
              </w:rPr>
              <w:t>每提供一个得</w:t>
            </w:r>
            <w:r>
              <w:rPr>
                <w:rFonts w:hint="eastAsia"/>
                <w:lang w:val="en-US" w:eastAsia="zh-CN"/>
              </w:rPr>
              <w:t>3</w:t>
            </w:r>
            <w:r>
              <w:rPr>
                <w:rFonts w:hint="eastAsia"/>
              </w:rPr>
              <w:t>分，</w:t>
            </w:r>
            <w:r>
              <w:rPr>
                <w:rFonts w:hint="eastAsia"/>
                <w:lang w:val="en-US" w:eastAsia="zh-CN"/>
              </w:rPr>
              <w:t>最高得6</w:t>
            </w:r>
            <w:r>
              <w:rPr>
                <w:rFonts w:hint="eastAsia"/>
              </w:rPr>
              <w:t>分（提供相应人员近6个月社保证明</w:t>
            </w:r>
            <w:r>
              <w:rPr>
                <w:rFonts w:hint="eastAsia"/>
                <w:lang w:eastAsia="zh-CN"/>
              </w:rPr>
              <w:t>、</w:t>
            </w:r>
            <w:r>
              <w:rPr>
                <w:rFonts w:hint="eastAsia"/>
              </w:rPr>
              <w:t xml:space="preserve">证书复印件，否则不得分） </w:t>
            </w:r>
          </w:p>
        </w:tc>
        <w:tc>
          <w:tcPr>
            <w:tcW w:w="1455" w:type="dxa"/>
            <w:noWrap w:val="0"/>
            <w:tcMar>
              <w:top w:w="15" w:type="dxa"/>
              <w:left w:w="28" w:type="dxa"/>
              <w:bottom w:w="0" w:type="dxa"/>
              <w:right w:w="28" w:type="dxa"/>
            </w:tcMar>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6</w:t>
            </w:r>
            <w:r>
              <w:rPr>
                <w:rFonts w:hint="eastAsia" w:ascii="宋体" w:hAnsi="宋体" w:cs="宋体"/>
                <w:color w:val="auto"/>
                <w:sz w:val="24"/>
              </w:rPr>
              <w:t>分</w:t>
            </w:r>
          </w:p>
        </w:tc>
      </w:tr>
    </w:tbl>
    <w:p>
      <w:pPr>
        <w:spacing w:line="400" w:lineRule="exact"/>
        <w:rPr>
          <w:rFonts w:ascii="宋体" w:cs="Arial"/>
          <w:b/>
          <w:bCs/>
          <w:color w:val="auto"/>
          <w:kern w:val="28"/>
          <w:sz w:val="24"/>
        </w:rPr>
      </w:pPr>
    </w:p>
    <w:p>
      <w:pPr>
        <w:spacing w:line="400" w:lineRule="exact"/>
        <w:ind w:firstLine="120" w:firstLineChars="50"/>
        <w:rPr>
          <w:rFonts w:ascii="宋体" w:cs="Arial"/>
          <w:b/>
          <w:bCs/>
          <w:color w:val="auto"/>
          <w:kern w:val="28"/>
          <w:sz w:val="24"/>
        </w:rPr>
      </w:pPr>
      <w:r>
        <w:rPr>
          <w:rFonts w:ascii="宋体" w:hAnsi="宋体" w:cs="Arial"/>
          <w:b/>
          <w:bCs/>
          <w:color w:val="auto"/>
          <w:kern w:val="28"/>
          <w:sz w:val="24"/>
        </w:rPr>
        <w:t>2</w:t>
      </w:r>
      <w:r>
        <w:rPr>
          <w:rFonts w:hint="eastAsia" w:ascii="宋体" w:hAnsi="宋体" w:cs="Arial"/>
          <w:b/>
          <w:bCs/>
          <w:color w:val="auto"/>
          <w:kern w:val="28"/>
          <w:sz w:val="24"/>
        </w:rPr>
        <w:t>、技术部分（</w:t>
      </w:r>
      <w:r>
        <w:rPr>
          <w:rFonts w:hint="eastAsia" w:ascii="宋体" w:hAnsi="宋体" w:cs="Arial"/>
          <w:b/>
          <w:bCs/>
          <w:color w:val="auto"/>
          <w:kern w:val="28"/>
          <w:sz w:val="24"/>
          <w:lang w:val="en-US" w:eastAsia="zh-CN"/>
        </w:rPr>
        <w:t>55</w:t>
      </w:r>
      <w:r>
        <w:rPr>
          <w:rFonts w:hint="eastAsia" w:ascii="宋体" w:hAnsi="宋体" w:cs="Arial"/>
          <w:b/>
          <w:bCs/>
          <w:color w:val="auto"/>
          <w:kern w:val="28"/>
          <w:sz w:val="24"/>
        </w:rPr>
        <w:t>分）</w:t>
      </w:r>
    </w:p>
    <w:tbl>
      <w:tblPr>
        <w:tblStyle w:val="63"/>
        <w:tblW w:w="94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85"/>
        <w:gridCol w:w="5349"/>
        <w:gridCol w:w="1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right w:val="single" w:color="auto" w:sz="4" w:space="0"/>
            </w:tcBorders>
            <w:noWrap w:val="0"/>
            <w:vAlign w:val="center"/>
          </w:tcPr>
          <w:p>
            <w:pPr>
              <w:spacing w:line="420" w:lineRule="exact"/>
              <w:rPr>
                <w:rFonts w:ascii="宋体" w:hAnsi="宋体" w:cs="Arial"/>
                <w:bCs/>
                <w:color w:val="auto"/>
                <w:kern w:val="0"/>
                <w:szCs w:val="21"/>
              </w:rPr>
            </w:pPr>
            <w:r>
              <w:rPr>
                <w:rFonts w:hint="eastAsia" w:ascii="宋体" w:hAnsi="宋体" w:cs="Arial"/>
                <w:bCs/>
                <w:color w:val="auto"/>
                <w:kern w:val="0"/>
                <w:szCs w:val="21"/>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szCs w:val="21"/>
                <w:lang w:val="zh-CN"/>
              </w:rPr>
            </w:pPr>
            <w:r>
              <w:rPr>
                <w:rFonts w:hint="eastAsia" w:ascii="宋体" w:hAnsi="宋体"/>
                <w:color w:val="auto"/>
                <w:szCs w:val="21"/>
                <w:lang w:val="zh-CN"/>
              </w:rPr>
              <w:t>评议内容</w:t>
            </w:r>
          </w:p>
        </w:tc>
        <w:tc>
          <w:tcPr>
            <w:tcW w:w="68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ind w:firstLine="420" w:firstLineChars="200"/>
              <w:rPr>
                <w:rFonts w:ascii="宋体" w:hAnsi="宋体"/>
                <w:color w:val="auto"/>
                <w:szCs w:val="21"/>
                <w:lang w:val="zh-CN"/>
              </w:rPr>
            </w:pPr>
            <w:r>
              <w:rPr>
                <w:rFonts w:hint="eastAsia" w:ascii="宋体" w:hAnsi="宋体"/>
                <w:color w:val="auto"/>
                <w:szCs w:val="21"/>
                <w:lang w:val="zh-CN"/>
              </w:rPr>
              <w:t>评议标准和分值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6" w:hRule="atLeast"/>
          <w:jc w:val="center"/>
        </w:trPr>
        <w:tc>
          <w:tcPr>
            <w:tcW w:w="704"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985" w:type="dxa"/>
            <w:noWrap w:val="0"/>
            <w:tcMar>
              <w:top w:w="15" w:type="dxa"/>
              <w:left w:w="28" w:type="dxa"/>
              <w:bottom w:w="0" w:type="dxa"/>
              <w:right w:w="28" w:type="dxa"/>
            </w:tcMar>
            <w:vAlign w:val="center"/>
          </w:tcPr>
          <w:p>
            <w:pPr>
              <w:spacing w:line="276" w:lineRule="auto"/>
              <w:jc w:val="center"/>
              <w:rPr>
                <w:rFonts w:hint="eastAsia" w:ascii="宋体" w:hAnsi="宋体"/>
                <w:color w:val="auto"/>
                <w:lang w:eastAsia="zh-CN"/>
              </w:rPr>
            </w:pPr>
            <w:r>
              <w:rPr>
                <w:rFonts w:hint="eastAsia" w:ascii="宋体" w:hAnsi="宋体"/>
                <w:color w:val="auto"/>
                <w:lang w:val="en-US" w:eastAsia="zh-CN"/>
              </w:rPr>
              <w:t>样品</w:t>
            </w:r>
          </w:p>
        </w:tc>
        <w:tc>
          <w:tcPr>
            <w:tcW w:w="5349" w:type="dxa"/>
            <w:noWrap w:val="0"/>
            <w:tcMar>
              <w:top w:w="15" w:type="dxa"/>
              <w:left w:w="28" w:type="dxa"/>
              <w:bottom w:w="0" w:type="dxa"/>
              <w:right w:w="28" w:type="dxa"/>
            </w:tcMar>
            <w:vAlign w:val="center"/>
          </w:tcPr>
          <w:p>
            <w:pPr>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对样品进行详细查看，根据样品的设计样式、产品工艺，制作方式以及产品质量等方面进行综合评价。（0-10分）样品评分细则：</w:t>
            </w:r>
          </w:p>
          <w:p>
            <w:pPr>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1、产品的工艺水平：产品的整体质量（0-1分）、产品的工艺制作、细节处理水平、产品的材质是否满足招标文件要求（0-1分）；</w:t>
            </w:r>
          </w:p>
          <w:p>
            <w:pPr>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2、产品外观式样合理、适用性（0-1分）、整体设计的美观度（0-1分）、产品外观样式与招标文件要求吻合度等（0-1分）；</w:t>
            </w:r>
          </w:p>
          <w:p>
            <w:pPr>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3、产品选用的主要材料：材料质量（0-1分）、有无刺激性气味（0-1分）；</w:t>
            </w:r>
          </w:p>
          <w:p>
            <w:pPr>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4、产品选用的辅助材料及配件质量及细节处理（0-1分）；</w:t>
            </w:r>
          </w:p>
          <w:p>
            <w:pPr>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5、产品其它性能，如产品的成熟性、舒适性、安全性（0-1分）；</w:t>
            </w:r>
          </w:p>
          <w:p>
            <w:pPr>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6、产品的先进性、可维护性及协调性（0-1分）。</w:t>
            </w:r>
          </w:p>
          <w:p>
            <w:pPr>
              <w:spacing w:line="360" w:lineRule="auto"/>
              <w:jc w:val="left"/>
              <w:rPr>
                <w:rFonts w:hint="default" w:ascii="宋体" w:hAnsi="宋体" w:cs="宋体"/>
                <w:color w:val="auto"/>
                <w:szCs w:val="21"/>
                <w:lang w:val="en-US" w:eastAsia="zh-CN"/>
              </w:rPr>
            </w:pPr>
            <w:r>
              <w:rPr>
                <w:rFonts w:hint="eastAsia" w:ascii="宋体" w:hAnsi="宋体" w:cs="宋体"/>
                <w:color w:val="auto"/>
                <w:szCs w:val="21"/>
                <w:lang w:val="en-US" w:eastAsia="zh-CN"/>
              </w:rPr>
              <w:t>投标人不提供样品则视其投标无效，样品提供不全、外观尺寸明显不符合要求、或技术参数明显不符合招标文件要求的则样品分为0分。样品不得出现能代表投标人和品牌的名称、标志、文字、图案、LOGO等所有暗示性内容，否则视为无效投标。</w:t>
            </w:r>
          </w:p>
        </w:tc>
        <w:tc>
          <w:tcPr>
            <w:tcW w:w="1455" w:type="dxa"/>
            <w:noWrap w:val="0"/>
            <w:tcMar>
              <w:top w:w="15" w:type="dxa"/>
              <w:left w:w="28" w:type="dxa"/>
              <w:bottom w:w="0" w:type="dxa"/>
              <w:right w:w="28" w:type="dxa"/>
            </w:tcMar>
            <w:vAlign w:val="center"/>
          </w:tcPr>
          <w:p>
            <w:pPr>
              <w:spacing w:line="360" w:lineRule="auto"/>
              <w:jc w:val="center"/>
              <w:rPr>
                <w:rFonts w:hint="eastAsia" w:ascii="宋体" w:hAnsi="宋体" w:cs="宋体"/>
                <w:color w:val="auto"/>
                <w:sz w:val="24"/>
              </w:rPr>
            </w:pPr>
            <w:r>
              <w:rPr>
                <w:rFonts w:hint="eastAsia" w:ascii="宋体" w:hAnsi="宋体"/>
                <w:color w:val="auto"/>
                <w:sz w:val="24"/>
              </w:rPr>
              <w:t>0-</w:t>
            </w:r>
            <w:r>
              <w:rPr>
                <w:rFonts w:hint="eastAsia" w:ascii="宋体" w:hAnsi="宋体"/>
                <w:color w:val="auto"/>
                <w:sz w:val="24"/>
                <w:lang w:val="en-US" w:eastAsia="zh-CN"/>
              </w:rPr>
              <w:t>10</w:t>
            </w:r>
            <w:r>
              <w:rPr>
                <w:rFonts w:hint="eastAsia" w:ascii="宋体" w:hAnsi="宋体"/>
                <w:color w:val="auto"/>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6" w:hRule="atLeast"/>
          <w:jc w:val="center"/>
        </w:trPr>
        <w:tc>
          <w:tcPr>
            <w:tcW w:w="704"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985" w:type="dxa"/>
            <w:noWrap w:val="0"/>
            <w:tcMar>
              <w:top w:w="15" w:type="dxa"/>
              <w:left w:w="28" w:type="dxa"/>
              <w:bottom w:w="0" w:type="dxa"/>
              <w:right w:w="28" w:type="dxa"/>
            </w:tcMar>
            <w:vAlign w:val="center"/>
          </w:tcPr>
          <w:p>
            <w:pPr>
              <w:spacing w:line="276" w:lineRule="auto"/>
              <w:jc w:val="center"/>
              <w:rPr>
                <w:rFonts w:hint="eastAsia" w:ascii="宋体" w:hAnsi="宋体"/>
                <w:color w:val="auto"/>
                <w:szCs w:val="21"/>
                <w:lang w:val="zh-CN"/>
              </w:rPr>
            </w:pPr>
            <w:r>
              <w:rPr>
                <w:rFonts w:hint="eastAsia" w:ascii="宋体" w:hAnsi="宋体"/>
                <w:color w:val="auto"/>
                <w:lang w:eastAsia="zh-CN"/>
              </w:rPr>
              <w:t>深化</w:t>
            </w:r>
            <w:r>
              <w:rPr>
                <w:rFonts w:hint="eastAsia" w:ascii="宋体" w:hAnsi="宋体"/>
                <w:color w:val="auto"/>
              </w:rPr>
              <w:t>设计理念及建议</w:t>
            </w:r>
          </w:p>
        </w:tc>
        <w:tc>
          <w:tcPr>
            <w:tcW w:w="5349" w:type="dxa"/>
            <w:noWrap w:val="0"/>
            <w:tcMar>
              <w:top w:w="15" w:type="dxa"/>
              <w:left w:w="28" w:type="dxa"/>
              <w:bottom w:w="0" w:type="dxa"/>
              <w:right w:w="28" w:type="dxa"/>
            </w:tcMar>
            <w:vAlign w:val="center"/>
          </w:tcPr>
          <w:p>
            <w:pPr>
              <w:numPr>
                <w:ilvl w:val="0"/>
                <w:numId w:val="4"/>
              </w:num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szCs w:val="21"/>
              </w:rPr>
              <w:t>以</w:t>
            </w:r>
            <w:r>
              <w:rPr>
                <w:rFonts w:hint="eastAsia" w:ascii="宋体" w:hAnsi="宋体" w:cs="宋体"/>
                <w:szCs w:val="21"/>
                <w:lang w:eastAsia="zh-CN"/>
              </w:rPr>
              <w:t>招标人提供的</w:t>
            </w:r>
            <w:r>
              <w:rPr>
                <w:rFonts w:hint="eastAsia" w:ascii="宋体" w:hAnsi="宋体" w:cs="宋体"/>
                <w:szCs w:val="21"/>
              </w:rPr>
              <w:t>概念性方案</w:t>
            </w:r>
            <w:r>
              <w:rPr>
                <w:rFonts w:hint="eastAsia" w:ascii="宋体" w:hAnsi="宋体" w:cs="宋体"/>
                <w:szCs w:val="21"/>
                <w:lang w:eastAsia="zh-CN"/>
              </w:rPr>
              <w:t>图以及投标单位</w:t>
            </w:r>
            <w:r>
              <w:rPr>
                <w:rFonts w:hint="eastAsia" w:ascii="宋体" w:hAnsi="宋体" w:cs="宋体"/>
                <w:szCs w:val="21"/>
              </w:rPr>
              <w:t>现场踏勘为基础，</w:t>
            </w:r>
            <w:r>
              <w:rPr>
                <w:rFonts w:hint="eastAsia" w:ascii="宋体" w:hAnsi="宋体" w:cs="宋体"/>
                <w:color w:val="auto"/>
                <w:szCs w:val="21"/>
                <w:lang w:val="en-US" w:eastAsia="zh-CN"/>
              </w:rPr>
              <w:t>根据临平区标准规范设计，并结合实际需求设计居民驿站整体设计方案，以效果图形式展现。各空间展示必须出3D效果图，展现不同主题效果及展陈设计内容、材质和工艺；效果图精细且表述清晰的得8分，一般的得4分，较差的得1分，</w:t>
            </w:r>
            <w:r>
              <w:rPr>
                <w:rFonts w:hint="eastAsia"/>
                <w:lang w:val="en-US" w:eastAsia="zh-CN"/>
              </w:rPr>
              <w:t>未提供或完全不符的不得分。</w:t>
            </w:r>
          </w:p>
          <w:p>
            <w:pPr>
              <w:numPr>
                <w:ilvl w:val="0"/>
                <w:numId w:val="4"/>
              </w:numPr>
              <w:spacing w:line="360" w:lineRule="auto"/>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val="en-US" w:eastAsia="zh-CN"/>
              </w:rPr>
              <w:t>其它空间需效果图展现设计风格和内容。投标人根据理解，提交能最大限度展现自身实力和设计思想的设计方案，内容包括但不限于：提取元素释义、配色建议、专用字体设计、参观路线规划、布点图（视点自定）、所有设计区块平面提供平面设计图及3D效果图（视点和数量自定）等。整体满足需求的得8分，一般的得4分，较差的得1分，</w:t>
            </w:r>
            <w:r>
              <w:rPr>
                <w:rFonts w:hint="eastAsia"/>
                <w:lang w:val="en-US" w:eastAsia="zh-CN"/>
              </w:rPr>
              <w:t>未提供或完全不符的不得分。</w:t>
            </w:r>
          </w:p>
          <w:p>
            <w:pPr>
              <w:numPr>
                <w:ilvl w:val="0"/>
                <w:numId w:val="4"/>
              </w:num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根据党群服务中心的基本要求结合社区本身的实际需求</w:t>
            </w:r>
            <w:r>
              <w:rPr>
                <w:rFonts w:hint="eastAsia" w:ascii="宋体" w:hAnsi="宋体" w:cs="宋体"/>
                <w:color w:val="auto"/>
                <w:szCs w:val="21"/>
              </w:rPr>
              <w:t>，融入整体设计方案当中。整体设计方案需按照设计方案展现的功能需求主要必须但不局限包含以下内容：门头、</w:t>
            </w:r>
            <w:r>
              <w:rPr>
                <w:rFonts w:hint="eastAsia" w:ascii="宋体" w:hAnsi="宋体" w:cs="宋体"/>
                <w:color w:val="auto"/>
                <w:szCs w:val="21"/>
                <w:lang w:val="en-US" w:eastAsia="zh-CN"/>
              </w:rPr>
              <w:t>适老化展厅</w:t>
            </w:r>
            <w:r>
              <w:rPr>
                <w:rFonts w:hint="eastAsia" w:ascii="宋体" w:hAnsi="宋体" w:cs="宋体"/>
                <w:color w:val="auto"/>
                <w:szCs w:val="21"/>
                <w:lang w:eastAsia="zh-CN"/>
              </w:rPr>
              <w:t>、</w:t>
            </w:r>
            <w:r>
              <w:rPr>
                <w:rFonts w:hint="eastAsia" w:ascii="宋体" w:hAnsi="宋体" w:cs="宋体"/>
                <w:color w:val="auto"/>
                <w:szCs w:val="21"/>
                <w:lang w:val="en-US" w:eastAsia="zh-CN"/>
              </w:rPr>
              <w:t>小事儿便民、休闲阅读区、影音室、日托间、餐厅、文化活动室、最美人物、教室、儿童之家、成长驿站、心理诊疗室、母婴室、会议室、健身区、舞蹈室、导视</w:t>
            </w:r>
            <w:r>
              <w:rPr>
                <w:rFonts w:hint="eastAsia" w:ascii="宋体" w:hAnsi="宋体" w:cs="宋体"/>
                <w:color w:val="auto"/>
                <w:szCs w:val="21"/>
              </w:rPr>
              <w:t>等。</w:t>
            </w:r>
            <w:r>
              <w:rPr>
                <w:rFonts w:hint="eastAsia" w:ascii="宋体" w:hAnsi="宋体" w:cs="宋体"/>
                <w:color w:val="auto"/>
                <w:szCs w:val="21"/>
                <w:lang w:val="en-US" w:eastAsia="zh-CN"/>
              </w:rPr>
              <w:t>提供完全且合理的</w:t>
            </w:r>
            <w:r>
              <w:rPr>
                <w:rFonts w:hint="eastAsia" w:ascii="宋体" w:hAnsi="宋体" w:cs="宋体"/>
                <w:szCs w:val="21"/>
                <w:lang w:val="en-US" w:eastAsia="zh-CN"/>
              </w:rPr>
              <w:t>得8分，完成度普通的4分，完成度较差的得1分，</w:t>
            </w:r>
            <w:r>
              <w:rPr>
                <w:rFonts w:hint="eastAsia"/>
                <w:lang w:val="en-US" w:eastAsia="zh-CN"/>
              </w:rPr>
              <w:t>未提供或完全不符的不得分。</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4</w:t>
            </w:r>
            <w:r>
              <w:rPr>
                <w:rFonts w:ascii="宋体" w:hAnsi="宋体" w:cs="宋体"/>
                <w:color w:val="auto"/>
                <w:szCs w:val="21"/>
              </w:rPr>
              <w:t>.有合理化建议且建议切实</w:t>
            </w:r>
            <w:r>
              <w:rPr>
                <w:rFonts w:hint="eastAsia" w:ascii="宋体" w:hAnsi="宋体" w:cs="宋体"/>
                <w:color w:val="auto"/>
                <w:szCs w:val="21"/>
              </w:rPr>
              <w:t>可行，可操作性强的得</w:t>
            </w:r>
            <w:r>
              <w:rPr>
                <w:rFonts w:hint="eastAsia" w:ascii="宋体" w:hAnsi="宋体" w:cs="宋体"/>
                <w:color w:val="auto"/>
                <w:szCs w:val="21"/>
                <w:lang w:val="en-US" w:eastAsia="zh-CN"/>
              </w:rPr>
              <w:t>6</w:t>
            </w:r>
            <w:r>
              <w:rPr>
                <w:rFonts w:ascii="宋体" w:hAnsi="宋体" w:cs="宋体"/>
                <w:color w:val="auto"/>
                <w:szCs w:val="21"/>
              </w:rPr>
              <w:t>分；</w:t>
            </w:r>
            <w:r>
              <w:rPr>
                <w:rFonts w:hint="eastAsia" w:ascii="宋体" w:hAnsi="宋体" w:cs="宋体"/>
                <w:color w:val="auto"/>
                <w:szCs w:val="21"/>
                <w:lang w:val="en-US" w:eastAsia="zh-CN"/>
              </w:rPr>
              <w:t>可操作性一般的得3分；无可操作性的或未提供的</w:t>
            </w:r>
            <w:r>
              <w:rPr>
                <w:rFonts w:hint="eastAsia" w:ascii="宋体" w:hAnsi="宋体" w:cs="宋体"/>
                <w:color w:val="auto"/>
                <w:szCs w:val="21"/>
              </w:rPr>
              <w:t>不得分。</w:t>
            </w:r>
          </w:p>
        </w:tc>
        <w:tc>
          <w:tcPr>
            <w:tcW w:w="1455" w:type="dxa"/>
            <w:noWrap w:val="0"/>
            <w:tcMar>
              <w:top w:w="15" w:type="dxa"/>
              <w:left w:w="28" w:type="dxa"/>
              <w:bottom w:w="0" w:type="dxa"/>
              <w:right w:w="2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0-</w:t>
            </w:r>
            <w:r>
              <w:rPr>
                <w:rFonts w:hint="eastAsia" w:ascii="宋体" w:hAnsi="宋体" w:cs="宋体"/>
                <w:color w:val="auto"/>
                <w:sz w:val="24"/>
                <w:lang w:val="en-US" w:eastAsia="zh-CN"/>
              </w:rPr>
              <w:t>30</w:t>
            </w:r>
            <w:r>
              <w:rPr>
                <w:rFonts w:hint="eastAsia" w:ascii="宋体" w:hAnsi="宋体" w:cs="宋体"/>
                <w:color w:val="auto"/>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0" w:hRule="atLeast"/>
          <w:jc w:val="center"/>
        </w:trPr>
        <w:tc>
          <w:tcPr>
            <w:tcW w:w="704"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985" w:type="dxa"/>
            <w:noWrap w:val="0"/>
            <w:tcMar>
              <w:top w:w="15" w:type="dxa"/>
              <w:left w:w="28" w:type="dxa"/>
              <w:bottom w:w="0" w:type="dxa"/>
              <w:right w:w="28" w:type="dxa"/>
            </w:tcMar>
            <w:vAlign w:val="center"/>
          </w:tcPr>
          <w:p>
            <w:pPr>
              <w:spacing w:line="276" w:lineRule="auto"/>
              <w:jc w:val="center"/>
              <w:rPr>
                <w:rFonts w:hint="eastAsia" w:ascii="宋体" w:hAnsi="宋体"/>
                <w:color w:val="auto"/>
                <w:szCs w:val="21"/>
                <w:lang w:val="zh-CN"/>
              </w:rPr>
            </w:pPr>
            <w:r>
              <w:rPr>
                <w:rFonts w:hint="eastAsia" w:ascii="宋体" w:hAnsi="宋体"/>
                <w:color w:val="auto"/>
                <w:szCs w:val="21"/>
                <w:lang w:val="zh-CN"/>
              </w:rPr>
              <w:t>定期维护</w:t>
            </w:r>
          </w:p>
        </w:tc>
        <w:tc>
          <w:tcPr>
            <w:tcW w:w="5349" w:type="dxa"/>
            <w:noWrap w:val="0"/>
            <w:tcMar>
              <w:top w:w="15" w:type="dxa"/>
              <w:left w:w="28" w:type="dxa"/>
              <w:bottom w:w="0" w:type="dxa"/>
              <w:right w:w="28" w:type="dxa"/>
            </w:tcMar>
            <w:vAlign w:val="center"/>
          </w:tcPr>
          <w:p>
            <w:pPr>
              <w:spacing w:line="360" w:lineRule="auto"/>
              <w:jc w:val="left"/>
              <w:rPr>
                <w:rFonts w:hint="eastAsia" w:ascii="宋体" w:hAnsi="宋体" w:cs="宋体"/>
                <w:color w:val="auto"/>
                <w:szCs w:val="21"/>
              </w:rPr>
            </w:pPr>
            <w:r>
              <w:rPr>
                <w:rFonts w:hint="eastAsia" w:ascii="宋体" w:hAnsi="宋体" w:cs="Times New Roman"/>
                <w:color w:val="auto"/>
                <w:kern w:val="0"/>
                <w:szCs w:val="21"/>
              </w:rPr>
              <w:t>投标人在质保期内、外对用易损件破损的响应、处理、定期巡查（维护）等情况，横向比较酌情给分。</w:t>
            </w:r>
          </w:p>
        </w:tc>
        <w:tc>
          <w:tcPr>
            <w:tcW w:w="1455" w:type="dxa"/>
            <w:noWrap w:val="0"/>
            <w:tcMar>
              <w:top w:w="15" w:type="dxa"/>
              <w:left w:w="28" w:type="dxa"/>
              <w:bottom w:w="0" w:type="dxa"/>
              <w:right w:w="28" w:type="dxa"/>
            </w:tcMar>
            <w:vAlign w:val="center"/>
          </w:tcPr>
          <w:p>
            <w:pPr>
              <w:spacing w:line="360" w:lineRule="auto"/>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3</w:t>
            </w:r>
            <w:r>
              <w:rPr>
                <w:rFonts w:hint="eastAsia" w:ascii="宋体" w:hAnsi="宋体"/>
                <w:color w:val="auto"/>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64" w:hRule="atLeast"/>
          <w:jc w:val="center"/>
        </w:trPr>
        <w:tc>
          <w:tcPr>
            <w:tcW w:w="704"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985" w:type="dxa"/>
            <w:noWrap w:val="0"/>
            <w:tcMar>
              <w:top w:w="15" w:type="dxa"/>
              <w:left w:w="28" w:type="dxa"/>
              <w:bottom w:w="0" w:type="dxa"/>
              <w:right w:w="28" w:type="dxa"/>
            </w:tcMar>
            <w:vAlign w:val="center"/>
          </w:tcPr>
          <w:p>
            <w:pPr>
              <w:spacing w:line="420" w:lineRule="exact"/>
              <w:rPr>
                <w:rFonts w:hint="eastAsia" w:ascii="宋体" w:hAnsi="宋体" w:cs="宋体"/>
                <w:bCs/>
                <w:color w:val="auto"/>
                <w:szCs w:val="21"/>
              </w:rPr>
            </w:pPr>
            <w:r>
              <w:rPr>
                <w:rFonts w:hint="eastAsia" w:ascii="宋体" w:hAnsi="宋体" w:cs="宋体"/>
                <w:bCs/>
                <w:color w:val="auto"/>
                <w:szCs w:val="21"/>
              </w:rPr>
              <w:t>施工方案与技术措施</w:t>
            </w:r>
          </w:p>
        </w:tc>
        <w:tc>
          <w:tcPr>
            <w:tcW w:w="5349" w:type="dxa"/>
            <w:noWrap w:val="0"/>
            <w:tcMar>
              <w:top w:w="15" w:type="dxa"/>
              <w:left w:w="28" w:type="dxa"/>
              <w:bottom w:w="0" w:type="dxa"/>
              <w:right w:w="28" w:type="dxa"/>
            </w:tcMar>
            <w:vAlign w:val="center"/>
          </w:tcPr>
          <w:p>
            <w:pPr>
              <w:spacing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施工方案具体详细、技术措施完善，有针对性，能指导施工的，得</w:t>
            </w:r>
            <w:r>
              <w:rPr>
                <w:rFonts w:hint="eastAsia" w:ascii="宋体" w:hAnsi="宋体"/>
                <w:color w:val="auto"/>
                <w:kern w:val="0"/>
                <w:szCs w:val="21"/>
                <w:lang w:val="en-US" w:eastAsia="zh-CN"/>
              </w:rPr>
              <w:t>4</w:t>
            </w:r>
            <w:r>
              <w:rPr>
                <w:rFonts w:hint="eastAsia" w:ascii="宋体" w:hAnsi="宋体"/>
                <w:color w:val="auto"/>
                <w:kern w:val="0"/>
                <w:szCs w:val="21"/>
              </w:rPr>
              <w:t>分；</w:t>
            </w:r>
            <w:r>
              <w:rPr>
                <w:rFonts w:hint="eastAsia" w:ascii="宋体" w:hAnsi="宋体" w:cs="宋体"/>
                <w:color w:val="auto"/>
                <w:szCs w:val="21"/>
              </w:rPr>
              <w:t>存在问题和不足的根据问题和不足的严重程度，</w:t>
            </w:r>
            <w:r>
              <w:rPr>
                <w:rFonts w:ascii="宋体" w:hAnsi="宋体" w:cs="宋体"/>
                <w:color w:val="auto"/>
                <w:szCs w:val="21"/>
              </w:rPr>
              <w:t>每处扣</w:t>
            </w:r>
            <w:r>
              <w:rPr>
                <w:rFonts w:hint="eastAsia" w:ascii="宋体" w:hAnsi="宋体" w:cs="宋体"/>
                <w:color w:val="auto"/>
                <w:szCs w:val="21"/>
              </w:rPr>
              <w:t>0</w:t>
            </w:r>
            <w:r>
              <w:rPr>
                <w:rFonts w:ascii="宋体" w:hAnsi="宋体" w:cs="宋体"/>
                <w:color w:val="auto"/>
                <w:szCs w:val="21"/>
              </w:rPr>
              <w:t>.5-</w:t>
            </w:r>
            <w:r>
              <w:rPr>
                <w:rFonts w:hint="eastAsia" w:ascii="宋体" w:hAnsi="宋体" w:cs="宋体"/>
                <w:color w:val="auto"/>
                <w:szCs w:val="21"/>
                <w:lang w:val="en-US" w:eastAsia="zh-CN"/>
              </w:rPr>
              <w:t>1</w:t>
            </w:r>
            <w:r>
              <w:rPr>
                <w:rFonts w:ascii="宋体" w:hAnsi="宋体" w:cs="宋体"/>
                <w:color w:val="auto"/>
                <w:szCs w:val="21"/>
              </w:rPr>
              <w:t>分，扣完本项分数为止</w:t>
            </w:r>
            <w:r>
              <w:rPr>
                <w:rFonts w:hint="eastAsia"/>
                <w:color w:val="auto"/>
              </w:rPr>
              <w:t>。</w:t>
            </w:r>
          </w:p>
        </w:tc>
        <w:tc>
          <w:tcPr>
            <w:tcW w:w="1455" w:type="dxa"/>
            <w:noWrap w:val="0"/>
            <w:tcMar>
              <w:top w:w="15" w:type="dxa"/>
              <w:left w:w="28" w:type="dxa"/>
              <w:bottom w:w="0" w:type="dxa"/>
              <w:right w:w="28" w:type="dxa"/>
            </w:tcMar>
            <w:vAlign w:val="center"/>
          </w:tcPr>
          <w:p>
            <w:pPr>
              <w:jc w:val="center"/>
              <w:rPr>
                <w:color w:val="auto"/>
              </w:rPr>
            </w:pPr>
            <w:r>
              <w:rPr>
                <w:rFonts w:hint="eastAsia" w:ascii="宋体" w:hAnsi="宋体"/>
                <w:color w:val="auto"/>
                <w:sz w:val="24"/>
              </w:rPr>
              <w:t>0</w:t>
            </w:r>
            <w:r>
              <w:rPr>
                <w:rFonts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04" w:hRule="atLeast"/>
          <w:jc w:val="center"/>
        </w:trPr>
        <w:tc>
          <w:tcPr>
            <w:tcW w:w="704"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985" w:type="dxa"/>
            <w:noWrap w:val="0"/>
            <w:tcMar>
              <w:top w:w="15" w:type="dxa"/>
              <w:left w:w="28" w:type="dxa"/>
              <w:bottom w:w="0" w:type="dxa"/>
              <w:right w:w="28" w:type="dxa"/>
            </w:tcMar>
            <w:vAlign w:val="center"/>
          </w:tcPr>
          <w:p>
            <w:pPr>
              <w:spacing w:line="420" w:lineRule="exact"/>
              <w:rPr>
                <w:rFonts w:hint="eastAsia" w:ascii="宋体" w:hAnsi="宋体" w:cs="宋体"/>
                <w:bCs/>
                <w:color w:val="auto"/>
                <w:szCs w:val="21"/>
              </w:rPr>
            </w:pPr>
            <w:r>
              <w:rPr>
                <w:rFonts w:hint="eastAsia" w:ascii="宋体" w:hAnsi="宋体" w:cs="宋体"/>
                <w:bCs/>
                <w:color w:val="auto"/>
                <w:szCs w:val="21"/>
              </w:rPr>
              <w:t>安全管理体系与措施</w:t>
            </w:r>
          </w:p>
        </w:tc>
        <w:tc>
          <w:tcPr>
            <w:tcW w:w="5349" w:type="dxa"/>
            <w:noWrap w:val="0"/>
            <w:tcMar>
              <w:top w:w="15" w:type="dxa"/>
              <w:left w:w="28" w:type="dxa"/>
              <w:bottom w:w="0" w:type="dxa"/>
              <w:right w:w="28" w:type="dxa"/>
            </w:tcMar>
            <w:vAlign w:val="center"/>
          </w:tcPr>
          <w:p>
            <w:pPr>
              <w:spacing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安全管理体系及措施详细、现场文明施工、安全生产措施落实具体、完善、有效的，得</w:t>
            </w:r>
            <w:r>
              <w:rPr>
                <w:rFonts w:hint="eastAsia" w:ascii="宋体" w:hAnsi="宋体"/>
                <w:color w:val="auto"/>
                <w:kern w:val="0"/>
                <w:szCs w:val="21"/>
                <w:lang w:val="en-US" w:eastAsia="zh-CN"/>
              </w:rPr>
              <w:t>4</w:t>
            </w:r>
            <w:bookmarkStart w:id="563" w:name="_GoBack"/>
            <w:bookmarkEnd w:id="563"/>
            <w:r>
              <w:rPr>
                <w:rFonts w:hint="eastAsia" w:ascii="宋体" w:hAnsi="宋体"/>
                <w:color w:val="auto"/>
                <w:kern w:val="0"/>
                <w:szCs w:val="21"/>
              </w:rPr>
              <w:t>分；</w:t>
            </w:r>
            <w:r>
              <w:rPr>
                <w:rFonts w:hint="eastAsia" w:ascii="宋体" w:hAnsi="宋体" w:cs="宋体"/>
                <w:color w:val="auto"/>
                <w:szCs w:val="21"/>
              </w:rPr>
              <w:t>存在问题和不足的根据问题和不足的严重程度，</w:t>
            </w:r>
            <w:r>
              <w:rPr>
                <w:rFonts w:ascii="宋体" w:hAnsi="宋体" w:cs="宋体"/>
                <w:color w:val="auto"/>
                <w:szCs w:val="21"/>
              </w:rPr>
              <w:t>每处扣</w:t>
            </w:r>
            <w:r>
              <w:rPr>
                <w:rFonts w:hint="eastAsia" w:ascii="宋体" w:hAnsi="宋体" w:cs="宋体"/>
                <w:color w:val="auto"/>
                <w:szCs w:val="21"/>
              </w:rPr>
              <w:t>0</w:t>
            </w:r>
            <w:r>
              <w:rPr>
                <w:rFonts w:ascii="宋体" w:hAnsi="宋体" w:cs="宋体"/>
                <w:color w:val="auto"/>
                <w:szCs w:val="21"/>
              </w:rPr>
              <w:t>.5-2分，扣完本项分数为止</w:t>
            </w:r>
            <w:r>
              <w:rPr>
                <w:rFonts w:hint="eastAsia"/>
                <w:color w:val="auto"/>
              </w:rPr>
              <w:t>。</w:t>
            </w:r>
          </w:p>
        </w:tc>
        <w:tc>
          <w:tcPr>
            <w:tcW w:w="1455" w:type="dxa"/>
            <w:noWrap w:val="0"/>
            <w:tcMar>
              <w:top w:w="15" w:type="dxa"/>
              <w:left w:w="28" w:type="dxa"/>
              <w:bottom w:w="0" w:type="dxa"/>
              <w:right w:w="28" w:type="dxa"/>
            </w:tcMar>
            <w:vAlign w:val="center"/>
          </w:tcPr>
          <w:p>
            <w:pPr>
              <w:jc w:val="center"/>
              <w:rPr>
                <w:color w:val="auto"/>
              </w:rPr>
            </w:pPr>
            <w:r>
              <w:rPr>
                <w:rFonts w:hint="eastAsia" w:ascii="宋体" w:hAnsi="宋体"/>
                <w:color w:val="auto"/>
                <w:sz w:val="24"/>
              </w:rPr>
              <w:t>0</w:t>
            </w:r>
            <w:r>
              <w:rPr>
                <w:rFonts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4" w:hRule="atLeast"/>
          <w:jc w:val="center"/>
        </w:trPr>
        <w:tc>
          <w:tcPr>
            <w:tcW w:w="704"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985" w:type="dxa"/>
            <w:noWrap w:val="0"/>
            <w:tcMar>
              <w:top w:w="15" w:type="dxa"/>
              <w:left w:w="28" w:type="dxa"/>
              <w:bottom w:w="0" w:type="dxa"/>
              <w:right w:w="28" w:type="dxa"/>
            </w:tcMar>
            <w:vAlign w:val="center"/>
          </w:tcPr>
          <w:p>
            <w:pPr>
              <w:spacing w:line="420" w:lineRule="exact"/>
              <w:rPr>
                <w:rFonts w:hint="eastAsia" w:ascii="宋体" w:hAnsi="宋体" w:cs="宋体"/>
                <w:bCs/>
                <w:color w:val="auto"/>
                <w:szCs w:val="21"/>
              </w:rPr>
            </w:pPr>
            <w:r>
              <w:rPr>
                <w:rFonts w:hint="eastAsia" w:ascii="宋体" w:hAnsi="宋体" w:cs="宋体"/>
                <w:bCs/>
                <w:color w:val="auto"/>
                <w:szCs w:val="21"/>
              </w:rPr>
              <w:t>自行提供的其他相关服务</w:t>
            </w:r>
          </w:p>
        </w:tc>
        <w:tc>
          <w:tcPr>
            <w:tcW w:w="5349" w:type="dxa"/>
            <w:noWrap w:val="0"/>
            <w:tcMar>
              <w:top w:w="15" w:type="dxa"/>
              <w:left w:w="28" w:type="dxa"/>
              <w:bottom w:w="0" w:type="dxa"/>
              <w:right w:w="28" w:type="dxa"/>
            </w:tcMar>
            <w:vAlign w:val="center"/>
          </w:tcPr>
          <w:p>
            <w:pPr>
              <w:spacing w:line="360" w:lineRule="auto"/>
              <w:ind w:firstLine="420" w:firstLineChars="200"/>
              <w:jc w:val="left"/>
              <w:rPr>
                <w:rFonts w:hint="eastAsia" w:ascii="宋体" w:hAnsi="宋体"/>
                <w:color w:val="auto"/>
                <w:kern w:val="0"/>
                <w:szCs w:val="21"/>
              </w:rPr>
            </w:pPr>
            <w:r>
              <w:rPr>
                <w:rFonts w:hint="eastAsia"/>
                <w:color w:val="auto"/>
              </w:rPr>
              <w:t>结合项目特点，自行提供的其他相关服务切合实际的，得</w:t>
            </w:r>
            <w:r>
              <w:rPr>
                <w:rFonts w:hint="eastAsia"/>
                <w:color w:val="auto"/>
                <w:lang w:val="en-US" w:eastAsia="zh-CN"/>
              </w:rPr>
              <w:t>4</w:t>
            </w:r>
            <w:r>
              <w:rPr>
                <w:color w:val="auto"/>
              </w:rPr>
              <w:t>分</w:t>
            </w:r>
            <w:r>
              <w:rPr>
                <w:rFonts w:hint="eastAsia" w:ascii="宋体" w:hAnsi="宋体"/>
                <w:color w:val="auto"/>
                <w:kern w:val="0"/>
                <w:szCs w:val="21"/>
              </w:rPr>
              <w:t>；</w:t>
            </w:r>
            <w:r>
              <w:rPr>
                <w:rFonts w:hint="eastAsia" w:ascii="宋体" w:hAnsi="宋体" w:cs="宋体"/>
                <w:color w:val="auto"/>
                <w:szCs w:val="21"/>
              </w:rPr>
              <w:t>存在问题和不足的根据问题和不足的严重程度，</w:t>
            </w:r>
            <w:r>
              <w:rPr>
                <w:rFonts w:ascii="宋体" w:hAnsi="宋体" w:cs="宋体"/>
                <w:color w:val="auto"/>
                <w:szCs w:val="21"/>
              </w:rPr>
              <w:t>每处扣</w:t>
            </w:r>
            <w:r>
              <w:rPr>
                <w:rFonts w:hint="eastAsia" w:ascii="宋体" w:hAnsi="宋体" w:cs="宋体"/>
                <w:color w:val="auto"/>
                <w:szCs w:val="21"/>
              </w:rPr>
              <w:t>0</w:t>
            </w:r>
            <w:r>
              <w:rPr>
                <w:rFonts w:ascii="宋体" w:hAnsi="宋体" w:cs="宋体"/>
                <w:color w:val="auto"/>
                <w:szCs w:val="21"/>
              </w:rPr>
              <w:t>.5-</w:t>
            </w:r>
            <w:r>
              <w:rPr>
                <w:rFonts w:hint="eastAsia" w:ascii="宋体" w:hAnsi="宋体" w:cs="宋体"/>
                <w:color w:val="auto"/>
                <w:szCs w:val="21"/>
                <w:lang w:val="en-US" w:eastAsia="zh-CN"/>
              </w:rPr>
              <w:t>1</w:t>
            </w:r>
            <w:r>
              <w:rPr>
                <w:rFonts w:ascii="宋体" w:hAnsi="宋体" w:cs="宋体"/>
                <w:color w:val="auto"/>
                <w:szCs w:val="21"/>
              </w:rPr>
              <w:t>分，扣完本项分数为止</w:t>
            </w:r>
            <w:r>
              <w:rPr>
                <w:rFonts w:hint="eastAsia"/>
                <w:color w:val="auto"/>
              </w:rPr>
              <w:t>。</w:t>
            </w:r>
          </w:p>
        </w:tc>
        <w:tc>
          <w:tcPr>
            <w:tcW w:w="1455" w:type="dxa"/>
            <w:noWrap w:val="0"/>
            <w:tcMar>
              <w:top w:w="15" w:type="dxa"/>
              <w:left w:w="28" w:type="dxa"/>
              <w:bottom w:w="0" w:type="dxa"/>
              <w:right w:w="28" w:type="dxa"/>
            </w:tcMar>
            <w:vAlign w:val="center"/>
          </w:tcPr>
          <w:p>
            <w:pPr>
              <w:jc w:val="center"/>
              <w:rPr>
                <w:color w:val="auto"/>
              </w:rPr>
            </w:pPr>
            <w:r>
              <w:rPr>
                <w:rFonts w:hint="eastAsia" w:ascii="宋体" w:hAnsi="宋体"/>
                <w:color w:val="auto"/>
                <w:sz w:val="24"/>
              </w:rPr>
              <w:t>0</w:t>
            </w:r>
            <w:r>
              <w:rPr>
                <w:rFonts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分</w:t>
            </w:r>
          </w:p>
        </w:tc>
      </w:tr>
    </w:tbl>
    <w:p>
      <w:pPr>
        <w:pStyle w:val="968"/>
        <w:ind w:firstLine="344"/>
        <w:rPr>
          <w:rFonts w:cs="宋体" w:asciiTheme="minorEastAsia" w:hAnsiTheme="minorEastAsia" w:eastAsiaTheme="minorEastAsia"/>
        </w:rPr>
      </w:pPr>
    </w:p>
    <w:p>
      <w:pPr>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3、商务分+技术分=评标委员会所有成员评分合计数/评标委员会组成人员数</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b/>
          <w:bCs/>
          <w:sz w:val="24"/>
        </w:rPr>
        <w:t>价格分（</w:t>
      </w:r>
      <w:r>
        <w:rPr>
          <w:rFonts w:hint="eastAsia" w:cs="宋体" w:asciiTheme="minorEastAsia" w:hAnsiTheme="minorEastAsia" w:eastAsiaTheme="minorEastAsia"/>
          <w:b/>
          <w:bCs/>
          <w:sz w:val="24"/>
          <w:lang w:val="en-US" w:eastAsia="zh-CN"/>
        </w:rPr>
        <w:t>3</w:t>
      </w:r>
      <w:r>
        <w:rPr>
          <w:rFonts w:hint="eastAsia" w:cs="宋体" w:asciiTheme="minorEastAsia" w:hAnsiTheme="minorEastAsia" w:eastAsiaTheme="minorEastAsia"/>
          <w:b/>
          <w:bCs/>
          <w:sz w:val="24"/>
        </w:rPr>
        <w:t>0分）</w:t>
      </w:r>
      <w:r>
        <w:rPr>
          <w:rFonts w:hint="eastAsia" w:cs="宋体" w:asciiTheme="minorEastAsia" w:hAnsiTheme="minorEastAsia" w:eastAsiaTheme="minorEastAsia"/>
          <w:sz w:val="24"/>
        </w:rPr>
        <w:t>采用低价优先法计算，即满足招标文件要求且投标价格最低的投标报价为评标基准价，其他投标人的价格分按照下列公式计算：</w:t>
      </w:r>
    </w:p>
    <w:p>
      <w:pPr>
        <w:widowControl/>
        <w:adjustRightInd/>
        <w:spacing w:after="225" w:line="315" w:lineRule="atLeast"/>
        <w:ind w:firstLine="1205" w:firstLineChars="500"/>
        <w:jc w:val="left"/>
        <w:rPr>
          <w:rFonts w:asciiTheme="minorEastAsia" w:hAnsiTheme="minorEastAsia" w:eastAsiaTheme="minorEastAsia"/>
          <w:b/>
          <w:bCs/>
          <w:sz w:val="24"/>
        </w:rPr>
      </w:pPr>
      <w:r>
        <w:rPr>
          <w:rFonts w:hint="eastAsia" w:asciiTheme="minorEastAsia" w:hAnsiTheme="minorEastAsia" w:eastAsiaTheme="minorEastAsia"/>
          <w:b/>
          <w:bCs/>
          <w:sz w:val="24"/>
        </w:rPr>
        <w:t>价格分=（评标基准价/投标报价）×</w:t>
      </w:r>
      <w:r>
        <w:rPr>
          <w:rFonts w:hint="eastAsia" w:asciiTheme="minorEastAsia" w:hAnsiTheme="minorEastAsia" w:eastAsiaTheme="minorEastAsia"/>
          <w:b/>
          <w:bCs/>
          <w:sz w:val="24"/>
          <w:lang w:val="en-US" w:eastAsia="zh-CN"/>
        </w:rPr>
        <w:t>3</w:t>
      </w:r>
      <w:r>
        <w:rPr>
          <w:rFonts w:hint="eastAsia" w:asciiTheme="minorEastAsia" w:hAnsiTheme="minorEastAsia" w:eastAsiaTheme="minorEastAsia"/>
          <w:b/>
          <w:bCs/>
          <w:sz w:val="24"/>
        </w:rPr>
        <w:t>0%×100</w:t>
      </w:r>
    </w:p>
    <w:p>
      <w:pPr>
        <w:widowControl/>
        <w:adjustRightInd/>
        <w:spacing w:after="225" w:line="315" w:lineRule="atLeast"/>
        <w:ind w:firstLine="1200" w:firstLineChars="500"/>
        <w:jc w:val="left"/>
        <w:rPr>
          <w:rFonts w:asciiTheme="minorEastAsia" w:hAnsiTheme="minorEastAsia" w:eastAsiaTheme="minorEastAsia"/>
        </w:rPr>
      </w:pPr>
      <w:r>
        <w:rPr>
          <w:rFonts w:hint="eastAsia" w:asciiTheme="minorEastAsia" w:hAnsiTheme="minorEastAsia" w:eastAsiaTheme="minorEastAsia" w:cstheme="majorEastAsia"/>
          <w:sz w:val="24"/>
        </w:rPr>
        <w:t>评标过程中，不得去掉报价中的最高报价和最低报价。</w:t>
      </w:r>
    </w:p>
    <w:p>
      <w:pPr>
        <w:widowControl/>
        <w:adjustRightInd/>
        <w:spacing w:after="225" w:line="315" w:lineRule="atLeast"/>
        <w:ind w:firstLine="482" w:firstLineChars="200"/>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5、投标人评标综合得分=价格分+商务分+技术分</w:t>
      </w:r>
    </w:p>
    <w:p>
      <w:pPr>
        <w:pStyle w:val="969"/>
        <w:snapToGrid w:val="0"/>
        <w:ind w:left="480" w:firstLine="0" w:firstLineChars="0"/>
        <w:rPr>
          <w:rFonts w:asciiTheme="minorEastAsia" w:hAnsiTheme="minorEastAsia" w:eastAsiaTheme="minorEastAsia"/>
          <w:b/>
        </w:rPr>
      </w:pPr>
      <w:r>
        <w:rPr>
          <w:rFonts w:hint="eastAsia" w:asciiTheme="minorEastAsia" w:hAnsiTheme="minorEastAsia" w:eastAsiaTheme="minorEastAsia"/>
          <w:b/>
        </w:rPr>
        <w:t>注：以上所涉及的证明材料，需提供扫描件制作进投标响应文件内，未提供的不得分。</w:t>
      </w:r>
    </w:p>
    <w:p>
      <w:pPr>
        <w:snapToGrid w:val="0"/>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报价是中标的一个重要因素，但最低报价不是中标的唯一依据。</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0"/>
          <w:szCs w:val="20"/>
          <w:shd w:val="clear" w:color="auto" w:fill="FFFFFF"/>
        </w:rPr>
        <w:t> *</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见评标办法前附表。</w:t>
      </w:r>
    </w:p>
    <w:p>
      <w:pPr>
        <w:spacing w:line="360" w:lineRule="auto"/>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91"/>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9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9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9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w:t>
      </w:r>
      <w:r>
        <w:rPr>
          <w:rFonts w:hint="eastAsia" w:cs="宋体" w:asciiTheme="minorEastAsia" w:hAnsiTheme="minorEastAsia" w:eastAsiaTheme="minorEastAsia"/>
          <w:kern w:val="0"/>
          <w:szCs w:val="24"/>
          <w:lang w:val="en-US" w:eastAsia="zh-CN"/>
        </w:rPr>
        <w:t xml:space="preserve"> 不v</w:t>
      </w:r>
      <w:r>
        <w:rPr>
          <w:rFonts w:hint="eastAsia" w:cs="宋体" w:asciiTheme="minorEastAsia" w:hAnsiTheme="minorEastAsia" w:eastAsiaTheme="minorEastAsia"/>
          <w:kern w:val="0"/>
          <w:szCs w:val="24"/>
        </w:rPr>
        <w:t>并修改单价;</w:t>
      </w:r>
    </w:p>
    <w:p>
      <w:pPr>
        <w:pStyle w:val="9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9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9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91"/>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4"/>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7"/>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pPr>
        <w:pStyle w:val="7"/>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5"/>
      <w:bookmarkStart w:id="398" w:name="第五部分"/>
      <w:bookmarkStart w:id="399" w:name="_Toc86217003"/>
    </w:p>
    <w:p>
      <w:pPr>
        <w:spacing w:line="360" w:lineRule="auto"/>
        <w:ind w:left="720" w:leftChars="343" w:firstLine="1084" w:firstLineChars="300"/>
        <w:outlineLvl w:val="0"/>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pStyle w:val="2"/>
        <w:rPr>
          <w:rFonts w:hint="eastAsia" w:cs="宋体" w:asciiTheme="minorEastAsia" w:hAnsiTheme="minorEastAsia" w:eastAsiaTheme="minorEastAsia"/>
          <w:b/>
          <w:sz w:val="36"/>
          <w:szCs w:val="36"/>
        </w:rPr>
      </w:pPr>
    </w:p>
    <w:p>
      <w:pPr>
        <w:spacing w:line="360" w:lineRule="auto"/>
        <w:ind w:left="720" w:leftChars="343" w:firstLine="1084" w:firstLineChars="300"/>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rPr>
          <w:rFonts w:cs="宋体" w:asciiTheme="minorEastAsia" w:hAnsiTheme="minorEastAsia" w:eastAsiaTheme="minorEastAsia"/>
          <w:sz w:val="24"/>
        </w:rPr>
      </w:pPr>
    </w:p>
    <w:p>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szCs w:val="24"/>
          <w:highlight w:val="none"/>
        </w:rPr>
      </w:pPr>
      <w:r>
        <w:rPr>
          <w:rFonts w:hint="eastAsia" w:ascii="宋体" w:hAnsi="宋体" w:eastAsia="宋体" w:cs="宋体"/>
          <w:b/>
          <w:sz w:val="36"/>
          <w:szCs w:val="36"/>
          <w:highlight w:val="none"/>
        </w:rPr>
        <w:t>（货物类）</w:t>
      </w:r>
    </w:p>
    <w:p>
      <w:pPr>
        <w:pStyle w:val="391"/>
        <w:ind w:left="0" w:leftChars="0" w:firstLine="0" w:firstLineChars="0"/>
        <w:jc w:val="both"/>
        <w:rPr>
          <w:rFonts w:hint="eastAsia" w:ascii="宋体" w:hAnsi="宋体" w:eastAsia="宋体" w:cs="宋体"/>
          <w:szCs w:val="24"/>
          <w:lang w:val="en-US" w:eastAsia="zh-CN"/>
        </w:rPr>
      </w:pPr>
      <w:r>
        <w:rPr>
          <w:rFonts w:hint="eastAsia" w:ascii="宋体" w:hAnsi="宋体" w:eastAsia="宋体" w:cs="宋体"/>
          <w:szCs w:val="24"/>
          <w:lang w:val="en-US" w:eastAsia="zh-CN"/>
        </w:rPr>
        <w:t xml:space="preserve"> </w:t>
      </w:r>
    </w:p>
    <w:p>
      <w:pPr>
        <w:pStyle w:val="391"/>
        <w:ind w:left="0" w:leftChars="0" w:firstLine="0" w:firstLineChars="0"/>
        <w:jc w:val="center"/>
        <w:rPr>
          <w:rFonts w:hint="eastAsia" w:ascii="宋体" w:hAnsi="宋体" w:eastAsia="宋体" w:cs="宋体"/>
          <w:b/>
          <w:szCs w:val="24"/>
        </w:rPr>
      </w:pPr>
      <w:r>
        <w:rPr>
          <w:rFonts w:hint="eastAsia" w:ascii="宋体" w:hAnsi="宋体" w:eastAsia="宋体" w:cs="宋体"/>
          <w:b/>
          <w:sz w:val="28"/>
          <w:szCs w:val="28"/>
        </w:rPr>
        <w:t>第一部分 合同书</w:t>
      </w:r>
    </w:p>
    <w:p>
      <w:pPr>
        <w:pStyle w:val="391"/>
        <w:ind w:left="0" w:leftChars="0" w:firstLine="0" w:firstLineChars="0"/>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88"/>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w:t>
      </w:r>
      <w:r>
        <w:rPr>
          <w:rFonts w:hint="eastAsia" w:ascii="宋体" w:hAnsi="宋体" w:eastAsia="宋体" w:cs="宋体"/>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u w:val="single"/>
        </w:rPr>
        <w:t xml:space="preserve">   （采购人）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pPr>
        <w:wordWrap/>
        <w:spacing w:line="600" w:lineRule="exact"/>
        <w:ind w:firstLine="482" w:firstLineChars="200"/>
        <w:textAlignment w:val="auto"/>
        <w:outlineLvl w:val="0"/>
        <w:rPr>
          <w:rFonts w:hint="eastAsia" w:ascii="宋体" w:hAnsi="宋体" w:eastAsia="宋体" w:cs="宋体"/>
          <w:b/>
          <w:sz w:val="24"/>
          <w:szCs w:val="24"/>
        </w:rPr>
      </w:pPr>
      <w:bookmarkStart w:id="400" w:name="_Toc3029"/>
      <w:bookmarkStart w:id="401" w:name="_Toc2232"/>
      <w:bookmarkStart w:id="402" w:name="_Toc24059"/>
      <w:r>
        <w:rPr>
          <w:rFonts w:hint="eastAsia" w:ascii="宋体" w:hAnsi="宋体" w:eastAsia="宋体" w:cs="宋体"/>
          <w:b/>
          <w:sz w:val="24"/>
          <w:szCs w:val="24"/>
        </w:rPr>
        <w:t>1.1 合同组成部分</w:t>
      </w:r>
      <w:bookmarkEnd w:id="400"/>
      <w:bookmarkEnd w:id="401"/>
      <w:bookmarkEnd w:id="402"/>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中标通知书；</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其他相关采购文件。</w:t>
      </w:r>
    </w:p>
    <w:p>
      <w:pPr>
        <w:wordWrap/>
        <w:spacing w:line="600" w:lineRule="exact"/>
        <w:ind w:firstLine="482" w:firstLineChars="200"/>
        <w:textAlignment w:val="auto"/>
        <w:outlineLvl w:val="0"/>
        <w:rPr>
          <w:rFonts w:hint="eastAsia" w:ascii="宋体" w:hAnsi="宋体" w:eastAsia="宋体" w:cs="宋体"/>
          <w:b/>
          <w:sz w:val="24"/>
          <w:szCs w:val="24"/>
        </w:rPr>
      </w:pPr>
      <w:bookmarkStart w:id="403" w:name="_Toc24300"/>
      <w:bookmarkStart w:id="404" w:name="_Toc27126"/>
      <w:bookmarkStart w:id="405" w:name="_Toc21295"/>
      <w:r>
        <w:rPr>
          <w:rFonts w:hint="eastAsia" w:ascii="宋体" w:hAnsi="宋体" w:eastAsia="宋体" w:cs="宋体"/>
          <w:b/>
          <w:sz w:val="24"/>
          <w:szCs w:val="24"/>
        </w:rPr>
        <w:t>1.2 货物</w:t>
      </w:r>
      <w:bookmarkEnd w:id="403"/>
      <w:bookmarkEnd w:id="404"/>
      <w:bookmarkEnd w:id="405"/>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1.2.1 货物名称：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1.2.2 货物数量：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货物质量：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2" w:firstLineChars="200"/>
        <w:textAlignment w:val="auto"/>
        <w:outlineLvl w:val="0"/>
        <w:rPr>
          <w:rFonts w:hint="eastAsia" w:ascii="宋体" w:hAnsi="宋体" w:eastAsia="宋体" w:cs="宋体"/>
          <w:b/>
          <w:sz w:val="24"/>
          <w:szCs w:val="24"/>
        </w:rPr>
      </w:pPr>
      <w:bookmarkStart w:id="406" w:name="_Toc21631"/>
      <w:bookmarkStart w:id="407" w:name="_Toc23292"/>
      <w:bookmarkStart w:id="408" w:name="_Toc21551"/>
      <w:r>
        <w:rPr>
          <w:rFonts w:hint="eastAsia" w:ascii="宋体" w:hAnsi="宋体" w:eastAsia="宋体" w:cs="宋体"/>
          <w:b/>
          <w:sz w:val="24"/>
          <w:szCs w:val="24"/>
        </w:rPr>
        <w:t>1.3 价款</w:t>
      </w:r>
      <w:bookmarkEnd w:id="406"/>
      <w:bookmarkEnd w:id="407"/>
      <w:bookmarkEnd w:id="408"/>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11"/>
              <w:wordWrap/>
              <w:spacing w:line="600" w:lineRule="exact"/>
              <w:ind w:firstLine="200"/>
              <w:jc w:val="center"/>
              <w:textAlignment w:val="auto"/>
              <w:rPr>
                <w:rFonts w:hint="eastAsia" w:ascii="宋体" w:hAnsi="宋体" w:eastAsia="宋体" w:cs="宋体"/>
                <w:sz w:val="24"/>
                <w:szCs w:val="24"/>
              </w:rPr>
            </w:pPr>
          </w:p>
        </w:tc>
      </w:tr>
    </w:tbl>
    <w:p>
      <w:pPr>
        <w:wordWrap/>
        <w:spacing w:line="600" w:lineRule="exact"/>
        <w:ind w:firstLine="482" w:firstLineChars="200"/>
        <w:textAlignment w:val="auto"/>
        <w:outlineLvl w:val="0"/>
        <w:rPr>
          <w:rFonts w:hint="eastAsia" w:ascii="宋体" w:hAnsi="宋体" w:eastAsia="宋体" w:cs="宋体"/>
          <w:b/>
          <w:sz w:val="24"/>
          <w:szCs w:val="24"/>
        </w:rPr>
      </w:pPr>
      <w:bookmarkStart w:id="409" w:name="_Toc10340"/>
      <w:bookmarkStart w:id="410" w:name="_Toc22618"/>
      <w:bookmarkStart w:id="411" w:name="_Toc1814"/>
      <w:r>
        <w:rPr>
          <w:rFonts w:hint="eastAsia" w:ascii="宋体" w:hAnsi="宋体" w:eastAsia="宋体" w:cs="宋体"/>
          <w:b/>
          <w:sz w:val="24"/>
          <w:szCs w:val="24"/>
        </w:rPr>
        <w:t>1.4 付款</w:t>
      </w:r>
      <w:bookmarkEnd w:id="409"/>
      <w:bookmarkEnd w:id="410"/>
      <w:bookmarkEnd w:id="411"/>
      <w:r>
        <w:rPr>
          <w:rFonts w:hint="eastAsia" w:ascii="宋体" w:hAnsi="宋体" w:eastAsia="宋体" w:cs="宋体"/>
          <w:b/>
          <w:sz w:val="24"/>
          <w:szCs w:val="24"/>
        </w:rPr>
        <w:t>方式、时间和条件</w:t>
      </w:r>
    </w:p>
    <w:p>
      <w:pPr>
        <w:pStyle w:val="622"/>
        <w:wordWrap/>
        <w:spacing w:before="0" w:beforeAutospacing="0" w:after="0" w:afterAutospacing="0" w:line="60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1.4.1</w:t>
      </w:r>
      <w:r>
        <w:rPr>
          <w:rFonts w:hint="eastAsia" w:ascii="宋体" w:hAnsi="宋体" w:eastAsia="宋体" w:cs="宋体"/>
          <w:color w:val="FF0000"/>
          <w:sz w:val="24"/>
          <w:szCs w:val="24"/>
          <w:u w:val="single"/>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1.4.4资金支付的方式、时间和条件详见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1.4.5乙方可以登录：http</w:t>
      </w:r>
      <w:r>
        <w:rPr>
          <w:rFonts w:hint="eastAsia" w:ascii="宋体" w:hAnsi="宋体" w:eastAsia="宋体" w:cs="宋体"/>
          <w:sz w:val="24"/>
          <w:szCs w:val="24"/>
          <w:lang w:eastAsia="zh-CN"/>
        </w:rPr>
        <w:t>：</w:t>
      </w:r>
      <w:r>
        <w:rPr>
          <w:rFonts w:hint="eastAsia" w:ascii="宋体" w:hAnsi="宋体" w:eastAsia="宋体" w:cs="宋体"/>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宋体" w:hAnsi="宋体" w:eastAsia="宋体" w:cs="宋体"/>
          <w:b/>
          <w:sz w:val="24"/>
          <w:szCs w:val="24"/>
        </w:rPr>
      </w:pPr>
      <w:bookmarkStart w:id="412" w:name="_Toc19304"/>
      <w:bookmarkStart w:id="413" w:name="_Toc2846"/>
      <w:bookmarkStart w:id="414" w:name="_Toc32071"/>
      <w:r>
        <w:rPr>
          <w:rFonts w:hint="eastAsia" w:ascii="宋体" w:hAnsi="宋体" w:eastAsia="宋体" w:cs="宋体"/>
          <w:b/>
          <w:sz w:val="24"/>
          <w:szCs w:val="24"/>
        </w:rPr>
        <w:t>1.5 货物交付期限、地点和方式</w:t>
      </w:r>
      <w:bookmarkEnd w:id="412"/>
      <w:bookmarkEnd w:id="413"/>
      <w:bookmarkEnd w:id="414"/>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1.5.1 交付期限：详见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 交付地点：</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 交付方式：</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2" w:firstLineChars="200"/>
        <w:textAlignment w:val="auto"/>
        <w:outlineLvl w:val="0"/>
        <w:rPr>
          <w:rFonts w:hint="eastAsia" w:ascii="宋体" w:hAnsi="宋体" w:eastAsia="宋体" w:cs="宋体"/>
          <w:b/>
          <w:sz w:val="24"/>
          <w:szCs w:val="24"/>
        </w:rPr>
      </w:pPr>
      <w:bookmarkStart w:id="415" w:name="_Toc27250"/>
      <w:bookmarkStart w:id="416" w:name="_Toc21423"/>
      <w:bookmarkStart w:id="417" w:name="_Toc19554"/>
      <w:r>
        <w:rPr>
          <w:rFonts w:hint="eastAsia" w:ascii="宋体" w:hAnsi="宋体" w:eastAsia="宋体" w:cs="宋体"/>
          <w:b/>
          <w:sz w:val="24"/>
          <w:szCs w:val="24"/>
        </w:rPr>
        <w:t>1.6 违约责任</w:t>
      </w:r>
      <w:bookmarkEnd w:id="415"/>
      <w:bookmarkEnd w:id="416"/>
      <w:bookmarkEnd w:id="417"/>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0.05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20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0.05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20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wordWrap/>
        <w:spacing w:line="600" w:lineRule="exact"/>
        <w:ind w:left="-420" w:leftChars="-200" w:right="-420" w:rightChars="-20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1.6.7违约责任</w:t>
      </w:r>
      <w:r>
        <w:rPr>
          <w:rFonts w:hint="eastAsia" w:ascii="宋体" w:hAnsi="宋体" w:eastAsia="宋体" w:cs="宋体"/>
          <w:b/>
          <w:i/>
          <w:sz w:val="24"/>
          <w:szCs w:val="24"/>
          <w:u w:val="single"/>
        </w:rPr>
        <w:t>合同专用条款</w:t>
      </w:r>
      <w:r>
        <w:rPr>
          <w:rFonts w:hint="eastAsia" w:ascii="宋体" w:hAnsi="宋体" w:eastAsia="宋体" w:cs="宋体"/>
          <w:sz w:val="24"/>
          <w:szCs w:val="24"/>
        </w:rPr>
        <w:t>另有约定的，从其约定。</w:t>
      </w:r>
    </w:p>
    <w:p>
      <w:pPr>
        <w:wordWrap/>
        <w:spacing w:line="600" w:lineRule="exact"/>
        <w:ind w:firstLine="482" w:firstLineChars="200"/>
        <w:textAlignment w:val="auto"/>
        <w:outlineLvl w:val="0"/>
        <w:rPr>
          <w:rFonts w:hint="eastAsia" w:ascii="宋体" w:hAnsi="宋体" w:eastAsia="宋体" w:cs="宋体"/>
          <w:b/>
          <w:sz w:val="24"/>
          <w:szCs w:val="24"/>
        </w:rPr>
      </w:pPr>
      <w:bookmarkStart w:id="418" w:name="_Toc16021"/>
      <w:bookmarkStart w:id="419" w:name="_Toc15583"/>
      <w:bookmarkStart w:id="420" w:name="_Toc28375"/>
      <w:r>
        <w:rPr>
          <w:rFonts w:hint="eastAsia" w:ascii="宋体" w:hAnsi="宋体" w:eastAsia="宋体" w:cs="宋体"/>
          <w:b/>
          <w:sz w:val="24"/>
          <w:szCs w:val="24"/>
        </w:rPr>
        <w:t>1.7 合同争议的解决</w:t>
      </w:r>
      <w:bookmarkEnd w:id="418"/>
      <w:bookmarkEnd w:id="419"/>
      <w:bookmarkEnd w:id="420"/>
    </w:p>
    <w:p>
      <w:pPr>
        <w:wordWrap/>
        <w:spacing w:line="600" w:lineRule="exact"/>
        <w:ind w:left="-61" w:leftChars="-29" w:right="-420" w:righ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szCs w:val="24"/>
          <w:u w:val="single"/>
        </w:rPr>
        <w:t xml:space="preserve"> 合同专用条款  </w:t>
      </w:r>
      <w:r>
        <w:rPr>
          <w:rFonts w:hint="eastAsia" w:ascii="宋体" w:hAnsi="宋体" w:eastAsia="宋体" w:cs="宋体"/>
          <w:sz w:val="24"/>
          <w:szCs w:val="24"/>
        </w:rPr>
        <w:t>条款规定的方式解决：</w:t>
      </w:r>
    </w:p>
    <w:p>
      <w:pPr>
        <w:wordWrap/>
        <w:spacing w:line="600" w:lineRule="exact"/>
        <w:ind w:left="-420" w:leftChars="-200" w:right="-420" w:rightChars="-20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b/>
          <w:i/>
          <w:sz w:val="24"/>
          <w:szCs w:val="24"/>
          <w:u w:val="single"/>
        </w:rPr>
        <w:t>合同专用条款</w:t>
      </w:r>
      <w:r>
        <w:rPr>
          <w:rFonts w:hint="eastAsia" w:ascii="宋体" w:hAnsi="宋体" w:eastAsia="宋体" w:cs="宋体"/>
          <w:sz w:val="24"/>
          <w:szCs w:val="24"/>
        </w:rPr>
        <w:t>仲裁委员会依申请仲裁时其现行有效的仲裁规则裁决；</w:t>
      </w:r>
    </w:p>
    <w:p>
      <w:pPr>
        <w:wordWrap/>
        <w:spacing w:line="600" w:lineRule="exact"/>
        <w:ind w:left="-420" w:leftChars="-200" w:right="-420" w:rightChars="-20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b/>
          <w:i/>
          <w:sz w:val="24"/>
          <w:szCs w:val="24"/>
          <w:u w:val="single"/>
        </w:rPr>
        <w:t>合同专用条款</w:t>
      </w:r>
      <w:r>
        <w:rPr>
          <w:rFonts w:hint="eastAsia" w:ascii="宋体" w:hAnsi="宋体" w:eastAsia="宋体" w:cs="宋体"/>
          <w:sz w:val="24"/>
          <w:szCs w:val="24"/>
        </w:rPr>
        <w:t>人民法院起诉。</w:t>
      </w:r>
    </w:p>
    <w:p>
      <w:pPr>
        <w:wordWrap/>
        <w:spacing w:line="600" w:lineRule="exact"/>
        <w:ind w:firstLine="482" w:firstLineChars="200"/>
        <w:textAlignment w:val="auto"/>
        <w:outlineLvl w:val="0"/>
        <w:rPr>
          <w:rFonts w:hint="eastAsia" w:ascii="宋体" w:hAnsi="宋体" w:eastAsia="宋体" w:cs="宋体"/>
          <w:b/>
          <w:sz w:val="24"/>
          <w:szCs w:val="24"/>
        </w:rPr>
      </w:pPr>
      <w:bookmarkStart w:id="421" w:name="_Toc7245"/>
      <w:bookmarkStart w:id="422" w:name="_Toc11173"/>
      <w:bookmarkStart w:id="423" w:name="_Toc15322"/>
      <w:r>
        <w:rPr>
          <w:rFonts w:hint="eastAsia" w:ascii="宋体" w:hAnsi="宋体" w:eastAsia="宋体" w:cs="宋体"/>
          <w:b/>
          <w:sz w:val="24"/>
          <w:szCs w:val="24"/>
        </w:rPr>
        <w:t>1.8 合同生效</w:t>
      </w:r>
      <w:bookmarkEnd w:id="421"/>
      <w:bookmarkEnd w:id="422"/>
      <w:bookmarkEnd w:id="423"/>
    </w:p>
    <w:p>
      <w:pPr>
        <w:wordWrap/>
        <w:spacing w:line="600" w:lineRule="exact"/>
        <w:ind w:firstLine="480" w:firstLineChars="200"/>
        <w:textAlignment w:val="auto"/>
        <w:rPr>
          <w:rFonts w:hint="eastAsia" w:ascii="宋体" w:hAnsi="宋体" w:eastAsia="宋体" w:cs="宋体"/>
          <w:b/>
          <w:color w:val="FF0000"/>
          <w:sz w:val="24"/>
          <w:szCs w:val="24"/>
        </w:rPr>
      </w:pPr>
      <w:r>
        <w:rPr>
          <w:rFonts w:hint="eastAsia" w:ascii="宋体" w:hAnsi="宋体" w:eastAsia="宋体" w:cs="宋体"/>
          <w:color w:val="FF0000"/>
          <w:sz w:val="24"/>
          <w:szCs w:val="24"/>
        </w:rPr>
        <w:t>本合同自双方当事人盖章或者签字时生效。</w:t>
      </w:r>
    </w:p>
    <w:p>
      <w:pPr>
        <w:wordWrap/>
        <w:autoSpaceDE w:val="0"/>
        <w:autoSpaceDN w:val="0"/>
        <w:spacing w:line="600" w:lineRule="exact"/>
        <w:textAlignment w:val="auto"/>
        <w:rPr>
          <w:rFonts w:hint="eastAsia" w:ascii="宋体" w:hAnsi="宋体" w:eastAsia="宋体" w:cs="宋体"/>
          <w:sz w:val="24"/>
          <w:szCs w:val="24"/>
          <w:lang w:val="zh-CN"/>
        </w:rPr>
      </w:pP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pPr>
        <w:wordWrap/>
        <w:autoSpaceDE w:val="0"/>
        <w:autoSpaceDN w:val="0"/>
        <w:spacing w:line="600" w:lineRule="exact"/>
        <w:textAlignment w:val="auto"/>
        <w:rPr>
          <w:rFonts w:hint="eastAsia" w:ascii="宋体" w:hAnsi="宋体" w:eastAsia="宋体" w:cs="宋体"/>
          <w:sz w:val="24"/>
          <w:szCs w:val="24"/>
          <w:lang w:val="zh-CN"/>
        </w:rPr>
      </w:pP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p>
    <w:p>
      <w:pPr>
        <w:pStyle w:val="391"/>
        <w:wordWrap/>
        <w:spacing w:after="0" w:line="600" w:lineRule="exact"/>
        <w:ind w:left="0" w:lef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第二部分 合同一般条款</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24" w:name="_Toc279701240"/>
      <w:bookmarkStart w:id="425" w:name="_Toc16917"/>
      <w:bookmarkStart w:id="426" w:name="_Ref467378404"/>
      <w:bookmarkStart w:id="427" w:name="_Toc28763"/>
      <w:bookmarkStart w:id="428" w:name="_Toc259093669"/>
      <w:bookmarkStart w:id="429" w:name="_Toc487900349"/>
      <w:bookmarkStart w:id="430" w:name="_Toc19614"/>
      <w:bookmarkStart w:id="431" w:name="_Ref467379195"/>
      <w:bookmarkStart w:id="432" w:name="_Ref467378463"/>
      <w:bookmarkStart w:id="433" w:name="_Ref467379101"/>
      <w:bookmarkStart w:id="434" w:name="_Ref467379109"/>
      <w:bookmarkStart w:id="435" w:name="_Ref467379094"/>
      <w:bookmarkStart w:id="436" w:name="_Ref467379214"/>
      <w:bookmarkStart w:id="437" w:name="_Ref467379225"/>
      <w:bookmarkStart w:id="438" w:name="_Ref467379205"/>
      <w:bookmarkStart w:id="439" w:name="_Ref467378499"/>
      <w:r>
        <w:rPr>
          <w:rFonts w:hint="eastAsia" w:ascii="宋体" w:hAnsi="宋体" w:eastAsia="宋体" w:cs="宋体"/>
          <w:b/>
          <w:sz w:val="24"/>
          <w:szCs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 “货物”系指中标供应商根据合同约定应向采购人交付的一切各种形态和种类的物品，包括原材料、燃料、设备、机械、仪表、备件、计算机软件、产品等，并包括工具、手册等其他相关资料。</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40" w:name="_Ref467378840"/>
      <w:r>
        <w:rPr>
          <w:rFonts w:hint="eastAsia" w:ascii="宋体" w:hAnsi="宋体" w:eastAsia="宋体" w:cs="宋体"/>
          <w:sz w:val="24"/>
          <w:szCs w:val="24"/>
        </w:rPr>
        <w:t>2.1.4 “甲方”系指与中标供应商签署合同的采购人</w:t>
      </w:r>
      <w:bookmarkEnd w:id="440"/>
      <w:r>
        <w:rPr>
          <w:rFonts w:hint="eastAsia" w:ascii="宋体" w:hAnsi="宋体" w:eastAsia="宋体" w:cs="宋体"/>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41" w:name="_Ref467379400"/>
      <w:r>
        <w:rPr>
          <w:rFonts w:hint="eastAsia" w:ascii="宋体" w:hAnsi="宋体" w:eastAsia="宋体" w:cs="宋体"/>
          <w:sz w:val="24"/>
          <w:szCs w:val="24"/>
        </w:rPr>
        <w:t>2.1.5 “乙方”系指根据合同约定交付货物的中标供应商</w:t>
      </w:r>
      <w:bookmarkEnd w:id="441"/>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42" w:name="_Ref467379436"/>
      <w:r>
        <w:rPr>
          <w:rFonts w:hint="eastAsia" w:ascii="宋体" w:hAnsi="宋体" w:eastAsia="宋体" w:cs="宋体"/>
          <w:sz w:val="24"/>
          <w:szCs w:val="24"/>
        </w:rPr>
        <w:t>2.1.6 “现场”系指合同约定货物将要运至或者安装的地点。</w:t>
      </w:r>
      <w:bookmarkEnd w:id="442"/>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43" w:name="_Toc259093670"/>
      <w:bookmarkStart w:id="444" w:name="_Toc13336"/>
      <w:bookmarkStart w:id="445" w:name="_Toc279701241"/>
      <w:bookmarkStart w:id="446" w:name="_Toc487900350"/>
      <w:bookmarkStart w:id="447" w:name="_Toc32504"/>
      <w:bookmarkStart w:id="448" w:name="_Toc27635"/>
      <w:r>
        <w:rPr>
          <w:rFonts w:hint="eastAsia" w:ascii="宋体" w:hAnsi="宋体" w:eastAsia="宋体" w:cs="宋体"/>
          <w:b/>
          <w:sz w:val="24"/>
          <w:szCs w:val="24"/>
        </w:rPr>
        <w:t>2.2 技术规范</w:t>
      </w:r>
      <w:bookmarkEnd w:id="443"/>
      <w:bookmarkEnd w:id="444"/>
      <w:bookmarkEnd w:id="445"/>
      <w:bookmarkEnd w:id="446"/>
      <w:bookmarkEnd w:id="447"/>
      <w:bookmarkEnd w:id="448"/>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w:t>
      </w:r>
      <w:r>
        <w:rPr>
          <w:rFonts w:hint="eastAsia" w:ascii="宋体" w:hAnsi="宋体" w:eastAsia="宋体" w:cs="宋体"/>
          <w:sz w:val="24"/>
          <w:szCs w:val="24"/>
          <w:lang w:eastAsia="zh-CN"/>
        </w:rPr>
        <w:t>）</w:t>
      </w:r>
      <w:r>
        <w:rPr>
          <w:rFonts w:hint="eastAsia" w:ascii="宋体" w:hAnsi="宋体" w:eastAsia="宋体" w:cs="宋体"/>
          <w:sz w:val="24"/>
          <w:szCs w:val="24"/>
        </w:rPr>
        <w:t>及其技术规范偏差表(如果被甲方接受的话</w:t>
      </w:r>
      <w:r>
        <w:rPr>
          <w:rFonts w:hint="eastAsia" w:ascii="宋体" w:hAnsi="宋体" w:eastAsia="宋体" w:cs="宋体"/>
          <w:sz w:val="24"/>
          <w:szCs w:val="24"/>
          <w:lang w:eastAsia="zh-CN"/>
        </w:rPr>
        <w:t>）</w:t>
      </w:r>
      <w:r>
        <w:rPr>
          <w:rFonts w:hint="eastAsia" w:ascii="宋体" w:hAnsi="宋体" w:eastAsia="宋体" w:cs="宋体"/>
          <w:sz w:val="24"/>
          <w:szCs w:val="24"/>
        </w:rPr>
        <w:t>相一致；如果采购文件中没有技术规范的相应说明，那么应以国家有关部门最新颁布的相应标准和规范为准。</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49" w:name="_Toc279701242"/>
      <w:bookmarkStart w:id="450" w:name="_Toc27853"/>
      <w:bookmarkStart w:id="451" w:name="_Toc487900351"/>
      <w:bookmarkStart w:id="452" w:name="_Toc259093671"/>
      <w:bookmarkStart w:id="453" w:name="_Toc31634"/>
      <w:bookmarkStart w:id="454" w:name="_Toc9829"/>
      <w:r>
        <w:rPr>
          <w:rFonts w:hint="eastAsia" w:ascii="宋体" w:hAnsi="宋体" w:eastAsia="宋体" w:cs="宋体"/>
          <w:b/>
          <w:sz w:val="24"/>
          <w:szCs w:val="24"/>
        </w:rPr>
        <w:t>2.3 知识产权</w:t>
      </w:r>
      <w:bookmarkEnd w:id="449"/>
      <w:bookmarkEnd w:id="450"/>
      <w:bookmarkEnd w:id="451"/>
      <w:bookmarkEnd w:id="452"/>
      <w:bookmarkEnd w:id="453"/>
      <w:bookmarkEnd w:id="454"/>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2.3.2具有知识产权的计算机软件等货物的知识产权归属，详见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55" w:name="_Toc29149"/>
      <w:bookmarkStart w:id="456" w:name="_Toc11932"/>
      <w:bookmarkStart w:id="457" w:name="_Toc4194"/>
      <w:r>
        <w:rPr>
          <w:rFonts w:hint="eastAsia" w:ascii="宋体" w:hAnsi="宋体" w:eastAsia="宋体" w:cs="宋体"/>
          <w:b/>
          <w:sz w:val="24"/>
          <w:szCs w:val="24"/>
        </w:rPr>
        <w:t>2.4 包装和装运</w:t>
      </w:r>
      <w:bookmarkEnd w:id="455"/>
      <w:bookmarkEnd w:id="456"/>
      <w:bookmarkEnd w:id="457"/>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2.4.1除</w:t>
      </w:r>
      <w:r>
        <w:rPr>
          <w:rFonts w:hint="eastAsia" w:ascii="宋体" w:hAnsi="宋体" w:eastAsia="宋体" w:cs="宋体"/>
          <w:b/>
          <w:i/>
          <w:sz w:val="24"/>
          <w:szCs w:val="24"/>
          <w:u w:val="single"/>
        </w:rPr>
        <w:t>合同专用条款</w:t>
      </w:r>
      <w:r>
        <w:rPr>
          <w:rFonts w:hint="eastAsia" w:ascii="宋体" w:hAnsi="宋体" w:eastAsia="宋体" w:cs="宋体"/>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 装运货物的要求和通知，详见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58" w:name="_Ref467378541"/>
      <w:bookmarkStart w:id="459" w:name="_Toc487900354"/>
      <w:bookmarkStart w:id="460" w:name="_Ref467378591"/>
      <w:bookmarkStart w:id="461" w:name="_Ref467379542"/>
      <w:bookmarkStart w:id="462" w:name="_Ref467379536"/>
      <w:bookmarkStart w:id="463" w:name="_Toc259093674"/>
      <w:bookmarkStart w:id="464" w:name="_Ref467379527"/>
      <w:bookmarkStart w:id="465" w:name="_Toc279701245"/>
      <w:bookmarkStart w:id="466" w:name="_Toc19074"/>
      <w:bookmarkStart w:id="467" w:name="_Toc30272"/>
      <w:bookmarkStart w:id="468" w:name="_Toc26182"/>
      <w:r>
        <w:rPr>
          <w:rFonts w:hint="eastAsia" w:ascii="宋体" w:hAnsi="宋体" w:eastAsia="宋体" w:cs="宋体"/>
          <w:b/>
          <w:sz w:val="24"/>
          <w:szCs w:val="24"/>
        </w:rPr>
        <w:t>2.</w:t>
      </w:r>
      <w:bookmarkEnd w:id="458"/>
      <w:bookmarkEnd w:id="459"/>
      <w:bookmarkEnd w:id="460"/>
      <w:bookmarkEnd w:id="461"/>
      <w:bookmarkEnd w:id="462"/>
      <w:bookmarkEnd w:id="463"/>
      <w:bookmarkEnd w:id="464"/>
      <w:bookmarkEnd w:id="465"/>
      <w:r>
        <w:rPr>
          <w:rFonts w:hint="eastAsia" w:ascii="宋体" w:hAnsi="宋体" w:eastAsia="宋体" w:cs="宋体"/>
          <w:b/>
          <w:sz w:val="24"/>
          <w:szCs w:val="24"/>
        </w:rPr>
        <w:t>5 履约检查和问题反馈</w:t>
      </w:r>
      <w:bookmarkEnd w:id="466"/>
      <w:bookmarkEnd w:id="467"/>
      <w:bookmarkEnd w:id="468"/>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69" w:name="_Ref467379657"/>
      <w:r>
        <w:rPr>
          <w:rFonts w:hint="eastAsia" w:ascii="宋体" w:hAnsi="宋体" w:eastAsia="宋体" w:cs="宋体"/>
          <w:sz w:val="24"/>
          <w:szCs w:val="24"/>
        </w:rPr>
        <w:t>2.5.1</w:t>
      </w:r>
      <w:bookmarkEnd w:id="469"/>
      <w:bookmarkStart w:id="470" w:name="_Toc186431854"/>
      <w:bookmarkStart w:id="471" w:name="_Ref467379807"/>
      <w:bookmarkStart w:id="472" w:name="_Toc279701247"/>
      <w:bookmarkStart w:id="473" w:name="_Ref467379793"/>
      <w:bookmarkStart w:id="474" w:name="_Toc259093676"/>
      <w:bookmarkStart w:id="475" w:name="_Toc487900357"/>
      <w:r>
        <w:rPr>
          <w:rFonts w:hint="eastAsia" w:ascii="宋体" w:hAnsi="宋体" w:eastAsia="宋体" w:cs="宋体"/>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cs="宋体"/>
          <w:sz w:val="24"/>
          <w:szCs w:val="24"/>
        </w:rPr>
        <w:t>。</w:t>
      </w:r>
    </w:p>
    <w:bookmarkEnd w:id="471"/>
    <w:bookmarkEnd w:id="472"/>
    <w:bookmarkEnd w:id="473"/>
    <w:bookmarkEnd w:id="474"/>
    <w:bookmarkEnd w:id="475"/>
    <w:bookmarkEnd w:id="476"/>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77" w:name="_Ref467379923"/>
      <w:bookmarkStart w:id="478" w:name="_Ref467379863"/>
      <w:bookmarkStart w:id="479" w:name="_Toc279701248"/>
      <w:bookmarkStart w:id="480" w:name="_Toc487900358"/>
      <w:bookmarkStart w:id="481" w:name="_Ref467379852"/>
      <w:bookmarkStart w:id="482" w:name="_Toc259093677"/>
      <w:bookmarkStart w:id="483" w:name="_Toc774"/>
      <w:bookmarkStart w:id="484" w:name="_Toc16110"/>
      <w:bookmarkStart w:id="485" w:name="_Toc3225"/>
      <w:r>
        <w:rPr>
          <w:rFonts w:hint="eastAsia" w:ascii="宋体" w:hAnsi="宋体" w:eastAsia="宋体" w:cs="宋体"/>
          <w:b/>
          <w:sz w:val="24"/>
          <w:szCs w:val="24"/>
        </w:rPr>
        <w:t>2.6 技术资料</w:t>
      </w:r>
      <w:bookmarkEnd w:id="477"/>
      <w:bookmarkEnd w:id="478"/>
      <w:bookmarkEnd w:id="479"/>
      <w:bookmarkEnd w:id="480"/>
      <w:bookmarkEnd w:id="481"/>
      <w:bookmarkEnd w:id="482"/>
      <w:r>
        <w:rPr>
          <w:rFonts w:hint="eastAsia" w:ascii="宋体" w:hAnsi="宋体" w:eastAsia="宋体" w:cs="宋体"/>
          <w:b/>
          <w:sz w:val="24"/>
          <w:szCs w:val="24"/>
        </w:rPr>
        <w:t>和保密义务</w:t>
      </w:r>
      <w:bookmarkEnd w:id="483"/>
      <w:bookmarkEnd w:id="484"/>
      <w:bookmarkEnd w:id="485"/>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86" w:name="_Toc7860"/>
      <w:r>
        <w:rPr>
          <w:rFonts w:hint="eastAsia" w:ascii="宋体" w:hAnsi="宋体" w:eastAsia="宋体" w:cs="宋体"/>
          <w:b/>
          <w:sz w:val="24"/>
          <w:szCs w:val="24"/>
        </w:rPr>
        <w:t>2.7 质量保证</w:t>
      </w:r>
      <w:bookmarkEnd w:id="486"/>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87" w:name="_Toc17244"/>
      <w:bookmarkStart w:id="488" w:name="_Toc259093681"/>
      <w:bookmarkStart w:id="489" w:name="_Toc487900362"/>
      <w:bookmarkStart w:id="490" w:name="_Toc279701252"/>
      <w:r>
        <w:rPr>
          <w:rFonts w:hint="eastAsia" w:ascii="宋体" w:hAnsi="宋体" w:eastAsia="宋体" w:cs="宋体"/>
          <w:b/>
          <w:sz w:val="24"/>
          <w:szCs w:val="24"/>
        </w:rPr>
        <w:t>2.8 货物的风险负担</w:t>
      </w:r>
      <w:bookmarkEnd w:id="487"/>
    </w:p>
    <w:p>
      <w:pPr>
        <w:wordWrap/>
        <w:snapToGrid/>
        <w:spacing w:line="600" w:lineRule="exact"/>
        <w:ind w:left="0" w:leftChars="0" w:right="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货物或者在途货物或者交付给第一承运人后的货物毁损、灭失的风险负担详见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91" w:name="_Toc14055"/>
      <w:r>
        <w:rPr>
          <w:rFonts w:hint="eastAsia" w:ascii="宋体" w:hAnsi="宋体" w:eastAsia="宋体" w:cs="宋体"/>
          <w:b/>
          <w:sz w:val="24"/>
          <w:szCs w:val="24"/>
        </w:rPr>
        <w:t>2.9 延迟交货</w:t>
      </w:r>
      <w:bookmarkEnd w:id="488"/>
      <w:bookmarkEnd w:id="489"/>
      <w:bookmarkEnd w:id="490"/>
      <w:bookmarkEnd w:id="491"/>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92" w:name="_Toc7502"/>
      <w:bookmarkStart w:id="493" w:name="_Ref467378121"/>
      <w:bookmarkStart w:id="494" w:name="_Toc259093683"/>
      <w:bookmarkStart w:id="495" w:name="_Toc279701254"/>
      <w:bookmarkStart w:id="496" w:name="_Toc487900364"/>
      <w:r>
        <w:rPr>
          <w:rFonts w:hint="eastAsia" w:ascii="宋体" w:hAnsi="宋体" w:eastAsia="宋体" w:cs="宋体"/>
          <w:b/>
          <w:sz w:val="24"/>
          <w:szCs w:val="24"/>
        </w:rPr>
        <w:t>2.10 合同变更</w:t>
      </w:r>
      <w:bookmarkEnd w:id="492"/>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279701259"/>
      <w:bookmarkStart w:id="499" w:name="_Toc487900369"/>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00" w:name="_Toc15237"/>
      <w:bookmarkStart w:id="501" w:name="_Toc22955"/>
      <w:bookmarkStart w:id="502" w:name="_Toc10366"/>
      <w:r>
        <w:rPr>
          <w:rFonts w:hint="eastAsia" w:ascii="宋体" w:hAnsi="宋体" w:eastAsia="宋体" w:cs="宋体"/>
          <w:b/>
          <w:sz w:val="24"/>
          <w:szCs w:val="24"/>
        </w:rPr>
        <w:t>2.11 合同转让</w:t>
      </w:r>
      <w:bookmarkEnd w:id="497"/>
      <w:bookmarkEnd w:id="498"/>
      <w:bookmarkEnd w:id="499"/>
      <w:r>
        <w:rPr>
          <w:rFonts w:hint="eastAsia" w:ascii="宋体" w:hAnsi="宋体" w:eastAsia="宋体" w:cs="宋体"/>
          <w:b/>
          <w:sz w:val="24"/>
          <w:szCs w:val="24"/>
        </w:rPr>
        <w:t>和分包</w:t>
      </w:r>
      <w:bookmarkEnd w:id="500"/>
      <w:bookmarkEnd w:id="501"/>
      <w:bookmarkEnd w:id="502"/>
    </w:p>
    <w:p>
      <w:pPr>
        <w:wordWrap/>
        <w:snapToGrid/>
        <w:spacing w:line="60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2.11.1</w:t>
      </w:r>
      <w:r>
        <w:rPr>
          <w:rFonts w:hint="eastAsia" w:ascii="宋体" w:hAnsi="宋体" w:eastAsia="宋体" w:cs="宋体"/>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2.11.2乙方采取分包方式履行合同的，甲方可直接向分包供应商支付款项。</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03" w:name="_Toc14066"/>
      <w:bookmarkStart w:id="504" w:name="_Toc16508"/>
      <w:bookmarkStart w:id="505" w:name="_Toc13566"/>
      <w:r>
        <w:rPr>
          <w:rFonts w:hint="eastAsia" w:ascii="宋体" w:hAnsi="宋体" w:eastAsia="宋体" w:cs="宋体"/>
          <w:b/>
          <w:sz w:val="24"/>
          <w:szCs w:val="24"/>
        </w:rPr>
        <w:t>2.12 不可抗力</w:t>
      </w:r>
      <w:bookmarkEnd w:id="503"/>
      <w:bookmarkEnd w:id="504"/>
      <w:bookmarkEnd w:id="505"/>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2.12.2 因不可抗力致使不能实现合同目的的，当事人可以解除合同；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06" w:name="_Toc6969"/>
      <w:bookmarkStart w:id="507" w:name="_Toc689"/>
      <w:bookmarkStart w:id="508" w:name="_Toc259093684"/>
      <w:bookmarkStart w:id="509" w:name="_Toc30676"/>
      <w:bookmarkStart w:id="510" w:name="_Toc279701255"/>
      <w:bookmarkStart w:id="511" w:name="_Toc487900365"/>
      <w:r>
        <w:rPr>
          <w:rFonts w:hint="eastAsia" w:ascii="宋体" w:hAnsi="宋体" w:eastAsia="宋体" w:cs="宋体"/>
          <w:b/>
          <w:sz w:val="24"/>
          <w:szCs w:val="24"/>
        </w:rPr>
        <w:t>2.13 税费</w:t>
      </w:r>
      <w:bookmarkEnd w:id="506"/>
      <w:bookmarkEnd w:id="507"/>
      <w:bookmarkEnd w:id="508"/>
      <w:bookmarkEnd w:id="509"/>
      <w:bookmarkEnd w:id="510"/>
      <w:bookmarkEnd w:id="511"/>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12" w:name="_Toc7102"/>
      <w:bookmarkStart w:id="513" w:name="_Toc279701258"/>
      <w:bookmarkStart w:id="514" w:name="_Toc16959"/>
      <w:bookmarkStart w:id="515" w:name="_Toc259093687"/>
      <w:bookmarkStart w:id="516" w:name="_Toc8298"/>
      <w:bookmarkStart w:id="517" w:name="_Toc487900368"/>
      <w:r>
        <w:rPr>
          <w:rFonts w:hint="eastAsia" w:ascii="宋体" w:hAnsi="宋体" w:eastAsia="宋体" w:cs="宋体"/>
          <w:b/>
          <w:sz w:val="24"/>
          <w:szCs w:val="24"/>
        </w:rPr>
        <w:t>2.14乙方破产</w:t>
      </w:r>
      <w:bookmarkEnd w:id="512"/>
      <w:bookmarkEnd w:id="513"/>
      <w:bookmarkEnd w:id="514"/>
      <w:bookmarkEnd w:id="515"/>
      <w:bookmarkEnd w:id="516"/>
      <w:bookmarkEnd w:id="517"/>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18" w:name="_Toc6134"/>
      <w:bookmarkStart w:id="519" w:name="_Toc15387"/>
      <w:bookmarkStart w:id="520" w:name="_Toc29333"/>
      <w:r>
        <w:rPr>
          <w:rFonts w:hint="eastAsia" w:ascii="宋体" w:hAnsi="宋体" w:eastAsia="宋体" w:cs="宋体"/>
          <w:b/>
          <w:sz w:val="24"/>
          <w:szCs w:val="24"/>
        </w:rPr>
        <w:t>2.15 合同中止、终止</w:t>
      </w:r>
      <w:bookmarkEnd w:id="518"/>
      <w:bookmarkEnd w:id="519"/>
      <w:bookmarkEnd w:id="520"/>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2.15.1 双方当事人不得擅自中止或者终止合同；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2.15.2合同继续履行将损害国家利益和社会公共利益的，双方当事人应当中止或者终止合同。有过错的一方应当承担赔偿责任，双方当事人都有过错的，各自承担相应的责任。</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21" w:name="_Toc14563"/>
      <w:bookmarkStart w:id="522" w:name="_Toc6596"/>
      <w:bookmarkStart w:id="523" w:name="_Toc1125"/>
      <w:r>
        <w:rPr>
          <w:rFonts w:hint="eastAsia" w:ascii="宋体" w:hAnsi="宋体" w:eastAsia="宋体" w:cs="宋体"/>
          <w:b/>
          <w:sz w:val="24"/>
          <w:szCs w:val="24"/>
        </w:rPr>
        <w:t>2.16检验和验收</w:t>
      </w:r>
      <w:bookmarkEnd w:id="521"/>
      <w:bookmarkEnd w:id="522"/>
      <w:bookmarkEnd w:id="523"/>
    </w:p>
    <w:p>
      <w:pPr>
        <w:tabs>
          <w:tab w:val="left" w:pos="360"/>
          <w:tab w:val="left" w:pos="540"/>
          <w:tab w:val="left" w:pos="1080"/>
        </w:tabs>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2.16.1货物交付前，乙方应对货物的质量、数量等方面进行详细、全面的检验，并向甲方出具证明货物符合合同约定的文件；货物交付时，乙方在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约定时间内组织验收，并可依法邀请相关方参加，验收应出具验收书。</w:t>
      </w:r>
    </w:p>
    <w:p>
      <w:pPr>
        <w:tabs>
          <w:tab w:val="left" w:pos="360"/>
          <w:tab w:val="left" w:pos="540"/>
          <w:tab w:val="left" w:pos="1080"/>
        </w:tabs>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2.16.3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493"/>
    <w:bookmarkEnd w:id="494"/>
    <w:bookmarkEnd w:id="495"/>
    <w:bookmarkEnd w:id="496"/>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24" w:name="_Toc279701261"/>
      <w:bookmarkStart w:id="525" w:name="_Toc259093690"/>
      <w:bookmarkStart w:id="526" w:name="_Toc487900371"/>
      <w:bookmarkStart w:id="527" w:name="_Toc25182"/>
      <w:bookmarkStart w:id="528" w:name="_Toc11284"/>
      <w:bookmarkStart w:id="529" w:name="_Toc19604"/>
      <w:r>
        <w:rPr>
          <w:rFonts w:hint="eastAsia" w:ascii="宋体" w:hAnsi="宋体" w:eastAsia="宋体" w:cs="宋体"/>
          <w:b/>
          <w:sz w:val="24"/>
          <w:szCs w:val="24"/>
        </w:rPr>
        <w:t>2.17 通知</w:t>
      </w:r>
      <w:bookmarkEnd w:id="524"/>
      <w:bookmarkEnd w:id="525"/>
      <w:bookmarkEnd w:id="526"/>
      <w:r>
        <w:rPr>
          <w:rFonts w:hint="eastAsia" w:ascii="宋体" w:hAnsi="宋体" w:eastAsia="宋体" w:cs="宋体"/>
          <w:b/>
          <w:sz w:val="24"/>
          <w:szCs w:val="24"/>
        </w:rPr>
        <w:t>和送达</w:t>
      </w:r>
      <w:bookmarkEnd w:id="527"/>
      <w:bookmarkEnd w:id="528"/>
      <w:bookmarkEnd w:id="529"/>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530" w:name="_Toc3135"/>
      <w:bookmarkStart w:id="531" w:name="_Toc6698"/>
      <w:bookmarkStart w:id="532" w:name="_Toc279701262"/>
      <w:bookmarkStart w:id="533" w:name="_Toc259093691"/>
      <w:bookmarkStart w:id="534" w:name="_Toc487900372"/>
      <w:r>
        <w:rPr>
          <w:rFonts w:hint="eastAsia" w:ascii="宋体" w:hAnsi="宋体" w:eastAsia="宋体" w:cs="宋体"/>
          <w:sz w:val="24"/>
          <w:szCs w:val="24"/>
        </w:rPr>
        <w:t xml:space="preserve">2.17.1任何一方因履行合同而以合同第一部分尾部所列明的传真或电子邮件 </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3</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530"/>
      <w:bookmarkEnd w:id="531"/>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535" w:name="_Toc23294"/>
      <w:bookmarkStart w:id="536" w:name="_Toc23128"/>
      <w:r>
        <w:rPr>
          <w:rFonts w:hint="eastAsia" w:ascii="宋体" w:hAnsi="宋体" w:eastAsia="宋体" w:cs="宋体"/>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37" w:name="_Toc30599"/>
      <w:bookmarkStart w:id="538" w:name="_Toc4355"/>
      <w:bookmarkStart w:id="539" w:name="_Toc18540"/>
      <w:r>
        <w:rPr>
          <w:rFonts w:hint="eastAsia" w:ascii="宋体" w:hAnsi="宋体" w:eastAsia="宋体" w:cs="宋体"/>
          <w:b/>
          <w:sz w:val="24"/>
          <w:szCs w:val="24"/>
        </w:rPr>
        <w:t>2.18 计量单位</w:t>
      </w:r>
      <w:bookmarkEnd w:id="532"/>
      <w:bookmarkEnd w:id="533"/>
      <w:bookmarkEnd w:id="534"/>
      <w:bookmarkEnd w:id="537"/>
      <w:bookmarkEnd w:id="538"/>
      <w:bookmarkEnd w:id="539"/>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除技术规范中另有规定外,合同的计量单位均使用国家法定计量单位。</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40" w:name="_Toc487900373"/>
      <w:bookmarkStart w:id="541" w:name="_Toc18567"/>
      <w:bookmarkStart w:id="542" w:name="_Toc12773"/>
      <w:bookmarkStart w:id="543" w:name="_Toc279701263"/>
      <w:bookmarkStart w:id="544" w:name="_Toc259093692"/>
      <w:bookmarkStart w:id="545" w:name="_Toc10330"/>
      <w:r>
        <w:rPr>
          <w:rFonts w:hint="eastAsia" w:ascii="宋体" w:hAnsi="宋体" w:eastAsia="宋体" w:cs="宋体"/>
          <w:b/>
          <w:sz w:val="24"/>
          <w:szCs w:val="24"/>
        </w:rPr>
        <w:t>2.19 合同使用的文字和适用的法律</w:t>
      </w:r>
      <w:bookmarkEnd w:id="540"/>
      <w:bookmarkEnd w:id="541"/>
      <w:bookmarkEnd w:id="542"/>
      <w:bookmarkEnd w:id="543"/>
      <w:bookmarkEnd w:id="544"/>
      <w:bookmarkEnd w:id="545"/>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2.19.1 合同使用汉语书就、变更和解释；</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2.19.2 合同适用中华人民共和国法律。</w:t>
      </w:r>
    </w:p>
    <w:p>
      <w:pPr>
        <w:wordWrap/>
        <w:snapToGrid/>
        <w:spacing w:line="600" w:lineRule="exact"/>
        <w:ind w:left="0" w:leftChars="0" w:right="0" w:firstLine="482" w:firstLineChars="200"/>
        <w:textAlignment w:val="auto"/>
        <w:outlineLvl w:val="0"/>
        <w:rPr>
          <w:rFonts w:hint="eastAsia" w:ascii="宋体" w:hAnsi="宋体" w:eastAsia="宋体" w:cs="宋体"/>
          <w:b/>
          <w:strike/>
          <w:dstrike w:val="0"/>
          <w:sz w:val="24"/>
          <w:szCs w:val="24"/>
        </w:rPr>
      </w:pPr>
      <w:bookmarkStart w:id="546" w:name="_Toc279701264"/>
      <w:bookmarkStart w:id="547" w:name="_Toc12004"/>
      <w:bookmarkStart w:id="548" w:name="_Toc3148"/>
      <w:bookmarkStart w:id="549" w:name="_Toc259093693"/>
      <w:bookmarkStart w:id="550" w:name="_Toc16673"/>
      <w:bookmarkStart w:id="551" w:name="_Toc487900374"/>
      <w:r>
        <w:rPr>
          <w:rFonts w:hint="eastAsia" w:ascii="宋体" w:hAnsi="宋体" w:eastAsia="宋体" w:cs="宋体"/>
          <w:b/>
          <w:sz w:val="24"/>
          <w:szCs w:val="24"/>
        </w:rPr>
        <w:t>2.20 履约保证金</w:t>
      </w:r>
      <w:bookmarkEnd w:id="546"/>
      <w:bookmarkEnd w:id="547"/>
      <w:bookmarkEnd w:id="548"/>
      <w:bookmarkEnd w:id="549"/>
      <w:bookmarkEnd w:id="550"/>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2.20.2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w:t>
      </w:r>
      <w:r>
        <w:rPr>
          <w:rFonts w:hint="eastAsia" w:ascii="宋体" w:hAnsi="宋体" w:eastAsia="宋体" w:cs="宋体"/>
          <w:color w:val="FF0000"/>
          <w:sz w:val="24"/>
          <w:szCs w:val="24"/>
        </w:rPr>
        <w:t>乙方在前述约定期间届满前能履行完合同约定义务事项的，甲方在前述约定期间届满之日起</w:t>
      </w:r>
      <w:r>
        <w:rPr>
          <w:rFonts w:hint="eastAsia" w:ascii="宋体" w:hAnsi="宋体" w:eastAsia="宋体" w:cs="宋体"/>
          <w:color w:val="FF0000"/>
          <w:sz w:val="24"/>
          <w:szCs w:val="24"/>
          <w:u w:val="single"/>
        </w:rPr>
        <w:t xml:space="preserve"> 5 </w:t>
      </w:r>
      <w:r>
        <w:rPr>
          <w:rFonts w:hint="eastAsia" w:ascii="宋体" w:hAnsi="宋体" w:eastAsia="宋体" w:cs="宋体"/>
          <w:color w:val="FF0000"/>
          <w:sz w:val="24"/>
          <w:szCs w:val="24"/>
        </w:rPr>
        <w:t>个工作日内，按</w:t>
      </w:r>
      <w:r>
        <w:rPr>
          <w:rFonts w:hint="eastAsia" w:ascii="宋体" w:hAnsi="宋体" w:eastAsia="宋体" w:cs="宋体"/>
          <w:b/>
          <w:i/>
          <w:color w:val="FF0000"/>
          <w:sz w:val="24"/>
          <w:szCs w:val="24"/>
          <w:u w:val="single"/>
        </w:rPr>
        <w:t>合同专用条款</w:t>
      </w:r>
      <w:r>
        <w:rPr>
          <w:rFonts w:hint="eastAsia" w:ascii="宋体" w:hAnsi="宋体" w:eastAsia="宋体" w:cs="宋体"/>
          <w:color w:val="FF0000"/>
          <w:sz w:val="24"/>
          <w:szCs w:val="24"/>
        </w:rPr>
        <w:t>约定的方式将履约保证金退还乙方，</w:t>
      </w:r>
      <w:r>
        <w:rPr>
          <w:rFonts w:hint="eastAsia" w:ascii="宋体" w:hAnsi="宋体" w:eastAsia="宋体" w:cs="宋体"/>
          <w:sz w:val="24"/>
          <w:szCs w:val="24"/>
        </w:rPr>
        <w:t>逾期退还的，乙方可要求甲方支付违约金，违约金按每迟延退还一日的应退还而未退还金额的</w:t>
      </w:r>
      <w:r>
        <w:rPr>
          <w:rFonts w:hint="eastAsia" w:ascii="宋体" w:hAnsi="宋体" w:eastAsia="宋体" w:cs="宋体"/>
          <w:sz w:val="24"/>
          <w:szCs w:val="24"/>
          <w:u w:val="single"/>
        </w:rPr>
        <w:t xml:space="preserve">  0.05  </w:t>
      </w:r>
      <w:r>
        <w:rPr>
          <w:rFonts w:hint="eastAsia" w:ascii="宋体" w:hAnsi="宋体" w:eastAsia="宋体" w:cs="宋体"/>
          <w:sz w:val="24"/>
          <w:szCs w:val="24"/>
        </w:rPr>
        <w:t>%计算，最高限额为本合同履约保证金的</w:t>
      </w:r>
      <w:r>
        <w:rPr>
          <w:rFonts w:hint="eastAsia" w:ascii="宋体" w:hAnsi="宋体" w:eastAsia="宋体" w:cs="宋体"/>
          <w:sz w:val="24"/>
          <w:szCs w:val="24"/>
          <w:u w:val="single"/>
        </w:rPr>
        <w:t xml:space="preserve">  20   </w:t>
      </w:r>
      <w:r>
        <w:rPr>
          <w:rFonts w:hint="eastAsia" w:ascii="宋体" w:hAnsi="宋体" w:eastAsia="宋体" w:cs="宋体"/>
          <w:sz w:val="24"/>
          <w:szCs w:val="24"/>
        </w:rPr>
        <w:t xml:space="preserve">%； </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2.20.4 甲方根据杭州市政府采购网公布的供应商履约评价情况减免履约保证金。乙方履约验收评价总分为100分的，甲方免收履约保证金；评价总分在90分以上的，收取履约保证金为合同金额</w:t>
      </w:r>
      <w:r>
        <w:rPr>
          <w:rFonts w:hint="eastAsia" w:ascii="宋体" w:hAnsi="宋体" w:cs="宋体"/>
          <w:sz w:val="24"/>
          <w:szCs w:val="24"/>
          <w:lang w:val="en-US" w:eastAsia="zh-CN"/>
        </w:rPr>
        <w:t>1</w:t>
      </w:r>
      <w:r>
        <w:rPr>
          <w:rFonts w:hint="eastAsia" w:ascii="宋体" w:hAnsi="宋体" w:eastAsia="宋体" w:cs="宋体"/>
          <w:sz w:val="24"/>
          <w:szCs w:val="24"/>
        </w:rPr>
        <w:t>%；评价总分在不满90分或者暂无评分的，收取履约保证金为合同金额5%。</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2.20.5甲方在乙方履行完合同约定义务事项后及时退还，延迟退还的，应当按照合同约定和法律规定承担相应的赔偿责任。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2.21对于因甲方原因导致变更、中止或者终止政府采购合同的，甲方应当依照合同约定对供应商受到的损失予以赔偿或者补偿。</w:t>
      </w:r>
    </w:p>
    <w:bookmarkEnd w:id="551"/>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52" w:name="_Toc6885"/>
      <w:bookmarkStart w:id="553" w:name="_Toc14001"/>
      <w:bookmarkStart w:id="554" w:name="_Toc19890"/>
      <w:r>
        <w:rPr>
          <w:rFonts w:hint="eastAsia" w:ascii="宋体" w:hAnsi="宋体" w:eastAsia="宋体" w:cs="宋体"/>
          <w:b/>
          <w:sz w:val="24"/>
          <w:szCs w:val="24"/>
        </w:rPr>
        <w:t>2.22合同份数</w:t>
      </w:r>
      <w:bookmarkEnd w:id="552"/>
      <w:bookmarkEnd w:id="553"/>
      <w:bookmarkEnd w:id="554"/>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pPr>
        <w:pStyle w:val="391"/>
        <w:wordWrap/>
        <w:spacing w:after="0" w:line="600" w:lineRule="exact"/>
        <w:jc w:val="center"/>
        <w:textAlignment w:val="auto"/>
        <w:rPr>
          <w:rFonts w:hint="eastAsia" w:ascii="宋体" w:hAnsi="宋体" w:eastAsia="宋体" w:cs="宋体"/>
          <w:b/>
          <w:sz w:val="24"/>
          <w:szCs w:val="24"/>
        </w:rPr>
      </w:pPr>
      <w:r>
        <w:rPr>
          <w:rFonts w:hint="eastAsia" w:ascii="宋体" w:hAnsi="宋体" w:eastAsia="宋体" w:cs="宋体"/>
          <w:kern w:val="0"/>
          <w:sz w:val="24"/>
          <w:szCs w:val="24"/>
        </w:rPr>
        <w:br w:type="page"/>
      </w:r>
      <w:bookmarkStart w:id="555" w:name="_Toc331685784"/>
      <w:r>
        <w:rPr>
          <w:rFonts w:hint="eastAsia" w:ascii="宋体" w:hAnsi="宋体" w:eastAsia="宋体" w:cs="宋体"/>
          <w:b/>
          <w:sz w:val="24"/>
          <w:szCs w:val="24"/>
        </w:rPr>
        <w:t xml:space="preserve"> </w:t>
      </w:r>
      <w:bookmarkEnd w:id="555"/>
      <w:r>
        <w:rPr>
          <w:rFonts w:hint="eastAsia" w:ascii="宋体" w:hAnsi="宋体" w:eastAsia="宋体" w:cs="宋体"/>
          <w:b/>
          <w:sz w:val="28"/>
          <w:szCs w:val="28"/>
        </w:rPr>
        <w:t>第三部分  合同专用条款</w:t>
      </w:r>
    </w:p>
    <w:p>
      <w:pPr>
        <w:wordWrap/>
        <w:spacing w:line="6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pPr>
              <w:wordWrap/>
              <w:spacing w:line="6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8275" w:type="dxa"/>
            <w:noWrap w:val="0"/>
            <w:vAlign w:val="center"/>
          </w:tcPr>
          <w:p>
            <w:pPr>
              <w:wordWrap/>
              <w:spacing w:line="6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1.4.4</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1.5.1 </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1.5.2</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1.5.3 </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1.6.7</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1.7.1</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1.7.2</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2.3.2</w:t>
            </w:r>
          </w:p>
        </w:tc>
        <w:tc>
          <w:tcPr>
            <w:tcW w:w="8275" w:type="dxa"/>
            <w:noWrap w:val="0"/>
            <w:vAlign w:val="center"/>
          </w:tcPr>
          <w:p>
            <w:pPr>
              <w:wordWrap/>
              <w:spacing w:line="600" w:lineRule="exact"/>
              <w:ind w:left="-420" w:leftChars="-200" w:right="-420" w:rightChars="-200" w:firstLine="480" w:firstLineChars="200"/>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2.4.1</w:t>
            </w:r>
          </w:p>
        </w:tc>
        <w:tc>
          <w:tcPr>
            <w:tcW w:w="8275" w:type="dxa"/>
            <w:noWrap w:val="0"/>
            <w:vAlign w:val="center"/>
          </w:tcPr>
          <w:p>
            <w:pPr>
              <w:wordWrap/>
              <w:spacing w:line="600" w:lineRule="exact"/>
              <w:ind w:left="-420" w:leftChars="-200" w:right="-420" w:rightChars="-200" w:firstLine="480" w:firstLineChars="200"/>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2.4.2</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top"/>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2.8 </w:t>
            </w:r>
          </w:p>
        </w:tc>
        <w:tc>
          <w:tcPr>
            <w:tcW w:w="8275" w:type="dxa"/>
            <w:noWrap w:val="0"/>
            <w:vAlign w:val="top"/>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2.12.3</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2.12.4</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2.16.1</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2.16.3</w:t>
            </w:r>
          </w:p>
        </w:tc>
        <w:tc>
          <w:tcPr>
            <w:tcW w:w="8275" w:type="dxa"/>
            <w:noWrap w:val="0"/>
            <w:vAlign w:val="center"/>
          </w:tcPr>
          <w:p>
            <w:pPr>
              <w:wordWrap/>
              <w:spacing w:line="600" w:lineRule="exact"/>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top"/>
          </w:tcPr>
          <w:p>
            <w:pPr>
              <w:wordWrap/>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2.20.1</w:t>
            </w:r>
          </w:p>
        </w:tc>
        <w:tc>
          <w:tcPr>
            <w:tcW w:w="8275" w:type="dxa"/>
            <w:noWrap w:val="0"/>
            <w:vAlign w:val="top"/>
          </w:tcPr>
          <w:p>
            <w:pPr>
              <w:wordWrap/>
              <w:spacing w:line="600" w:lineRule="exact"/>
              <w:textAlignment w:val="auto"/>
              <w:rPr>
                <w:rFonts w:hint="eastAsia" w:ascii="宋体" w:hAnsi="宋体" w:eastAsia="宋体" w:cs="宋体"/>
                <w:sz w:val="24"/>
                <w:szCs w:val="24"/>
              </w:rPr>
            </w:pPr>
          </w:p>
        </w:tc>
      </w:tr>
    </w:tbl>
    <w:p>
      <w:pPr>
        <w:spacing w:line="360" w:lineRule="auto"/>
        <w:ind w:left="-420" w:leftChars="-200" w:right="-420" w:rightChars="-200" w:firstLine="480" w:firstLineChars="200"/>
        <w:rPr>
          <w:rFonts w:hint="eastAsia" w:ascii="宋体" w:hAnsi="宋体" w:eastAsia="宋体" w:cs="宋体"/>
          <w:sz w:val="24"/>
        </w:rPr>
      </w:pPr>
    </w:p>
    <w:p>
      <w:pPr>
        <w:rPr>
          <w:rFonts w:cs="宋体" w:asciiTheme="minorEastAsia" w:hAnsiTheme="minorEastAsia" w:eastAsiaTheme="minorEastAsia"/>
        </w:rPr>
      </w:pPr>
    </w:p>
    <w:p>
      <w:pPr>
        <w:pStyle w:val="2"/>
        <w:rPr>
          <w:rFonts w:cs="宋体" w:asciiTheme="minorEastAsia" w:hAnsiTheme="minorEastAsia" w:eastAsiaTheme="minorEastAsia"/>
        </w:rPr>
      </w:pPr>
    </w:p>
    <w:p>
      <w:pPr>
        <w:spacing w:line="360" w:lineRule="auto"/>
        <w:ind w:left="720" w:firstLine="723" w:firstLineChars="200"/>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98"/>
      <w:bookmarkEnd w:id="399"/>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（1）符合参加政府采购活动应当具备的一般条件的承诺函……………（页码）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（2）落实政府采购政策需满足的资格要求………………………………（页码）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（3）本项目的特定资格要求………………………………………………（页码）</w:t>
      </w:r>
    </w:p>
    <w:p>
      <w:pPr>
        <w:snapToGrid w:val="0"/>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联合协议</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r>
        <w:rPr>
          <w:rFonts w:hint="eastAsia" w:cs="宋体" w:asciiTheme="minorEastAsia" w:hAnsiTheme="minorEastAsia" w:eastAsiaTheme="minorEastAsia"/>
          <w:kern w:val="0"/>
          <w:sz w:val="24"/>
          <w:u w:val="single"/>
        </w:rPr>
        <w:t>（联合体其中一方成员名称）</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kern w:val="0"/>
          <w:sz w:val="24"/>
          <w:u w:val="single"/>
        </w:rPr>
        <w:t>（联合体其中一方成员名称）</w:t>
      </w:r>
      <w:r>
        <w:rPr>
          <w:rFonts w:hint="eastAsia" w:cs="宋体" w:asciiTheme="minorEastAsia" w:hAnsiTheme="minorEastAsia" w:eastAsiaTheme="minorEastAsia"/>
          <w:kern w:val="0"/>
          <w:sz w:val="24"/>
          <w:lang w:val="zh-CN"/>
        </w:rPr>
        <w:t>承担的工作和义务为：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w:t>
      </w: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firstLine="480" w:firstLineChars="200"/>
        <w:rPr>
          <w:rFonts w:cs="宋体" w:asciiTheme="minorEastAsia" w:hAnsiTheme="minorEastAsia" w:eastAsiaTheme="minorEastAsia"/>
          <w:sz w:val="24"/>
        </w:rPr>
      </w:pP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4"/>
        <w:ind w:left="664" w:leftChars="316" w:firstLine="229" w:firstLineChars="95"/>
        <w:rPr>
          <w:rFonts w:cs="宋体" w:asciiTheme="minorEastAsia" w:hAnsiTheme="minorEastAsia" w:eastAsiaTheme="minorEastAsia"/>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spacing w:line="360" w:lineRule="auto"/>
        <w:ind w:left="150"/>
        <w:jc w:val="center"/>
        <w:rPr>
          <w:rFonts w:cs="宋体" w:asciiTheme="minorEastAsia" w:hAnsiTheme="minorEastAsia" w:eastAsiaTheme="minorEastAsia"/>
          <w:b/>
          <w:kern w:val="0"/>
          <w:sz w:val="32"/>
          <w:szCs w:val="32"/>
        </w:rPr>
      </w:pPr>
    </w:p>
    <w:p>
      <w:pPr>
        <w:pStyle w:val="84"/>
        <w:ind w:firstLine="643"/>
        <w:rPr>
          <w:rFonts w:cs="宋体" w:asciiTheme="minorEastAsia" w:hAnsiTheme="minorEastAsia" w:eastAsiaTheme="minorEastAsia"/>
          <w:b/>
          <w:kern w:val="0"/>
          <w:sz w:val="32"/>
          <w:szCs w:val="32"/>
        </w:rPr>
      </w:pPr>
    </w:p>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pStyle w:val="84"/>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4"/>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4"/>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4"/>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4"/>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84"/>
        <w:ind w:firstLine="643"/>
        <w:rPr>
          <w:rFonts w:cs="宋体" w:asciiTheme="minorEastAsia" w:hAnsiTheme="minorEastAsia" w:eastAsiaTheme="minorEastAsia"/>
          <w:b/>
          <w:kern w:val="0"/>
          <w:sz w:val="32"/>
          <w:szCs w:val="32"/>
        </w:rPr>
      </w:pPr>
    </w:p>
    <w:p/>
    <w:p>
      <w:pPr>
        <w:spacing w:line="360" w:lineRule="auto"/>
        <w:jc w:val="center"/>
        <w:outlineLvl w:val="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24"/>
        </w:rPr>
      </w:pPr>
    </w:p>
    <w:p>
      <w:pPr>
        <w:spacing w:line="360" w:lineRule="auto"/>
        <w:jc w:val="center"/>
        <w:outlineLvl w:val="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目录</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…………………………………………………………………………………（页码）</w:t>
      </w:r>
      <w:r>
        <w:rPr>
          <w:rFonts w:hint="eastAsia" w:cs="宋体" w:asciiTheme="minorEastAsia" w:hAnsiTheme="minorEastAsia" w:eastAsiaTheme="minorEastAsia"/>
          <w:sz w:val="24"/>
        </w:rPr>
        <w:t>（2）授权委托书或法定代表人（单位负责人、自然人本人）身份证明</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（3）联合协议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（5）符合性审查资料</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（6）评标标准相应的商务技术资料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（7）商务技术偏离表</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…………………………………………………（页码）</w:t>
      </w: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2.1.3本项目的特定资格要求（如果有）。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2.2.3联合协议（如果有）；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2.2.4分包意向协议（如果有）；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2.2.5符合性审查资料；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snapToGrid w:val="0"/>
        <w:spacing w:line="360" w:lineRule="auto"/>
        <w:ind w:left="420" w:leftChars="200" w:firstLine="4200" w:firstLineChars="1750"/>
        <w:rPr>
          <w:rFonts w:cs="宋体" w:asciiTheme="minorEastAsia" w:hAnsiTheme="minorEastAsia" w:eastAsiaTheme="minorEastAsia"/>
          <w:kern w:val="0"/>
          <w:sz w:val="24"/>
          <w:u w:val="single"/>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pStyle w:val="84"/>
        <w:rPr>
          <w:rFonts w:cs="宋体" w:asciiTheme="minorEastAsia" w:hAnsiTheme="minorEastAsia" w:eastAsiaTheme="minorEastAsia"/>
          <w:b/>
          <w:kern w:val="0"/>
          <w:sz w:val="32"/>
          <w:szCs w:val="32"/>
          <w:lang w:val="zh-CN"/>
        </w:rPr>
      </w:pPr>
    </w:p>
    <w:p>
      <w:pPr>
        <w:rPr>
          <w:rFonts w:cs="宋体" w:asciiTheme="minorEastAsia" w:hAnsiTheme="minorEastAsia" w:eastAsiaTheme="minorEastAsia"/>
          <w:b/>
          <w:kern w:val="0"/>
          <w:sz w:val="32"/>
          <w:szCs w:val="32"/>
          <w:lang w:val="zh-CN"/>
        </w:rPr>
      </w:pPr>
    </w:p>
    <w:p>
      <w:pPr>
        <w:pStyle w:val="84"/>
        <w:rPr>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p>
    <w:p>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授权委托书（适用于联合体投标）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93"/>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3"/>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93"/>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pStyle w:val="84"/>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4"/>
        <w:ind w:left="664" w:leftChars="316" w:firstLine="229" w:firstLineChars="95"/>
        <w:rPr>
          <w:rFonts w:cs="宋体" w:asciiTheme="minorEastAsia" w:hAnsiTheme="minorEastAsia" w:eastAsiaTheme="minorEastAsia"/>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七、其他</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u w:val="single"/>
        </w:rPr>
        <w:t>（分包供应商名称）提供的货物全部由小微企业制造，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五、符合性审查资料</w:t>
      </w:r>
    </w:p>
    <w:p>
      <w:pPr>
        <w:jc w:val="center"/>
        <w:rPr>
          <w:rFonts w:cs="宋体" w:asciiTheme="minorEastAsia" w:hAnsiTheme="minorEastAsia" w:eastAsiaTheme="minorEastAsia"/>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rPr>
                <w:rFonts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4"/>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六、评标标准相应的商务技术资料</w:t>
      </w:r>
    </w:p>
    <w:p>
      <w:pPr>
        <w:snapToGri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pStyle w:val="84"/>
        <w:ind w:firstLine="643"/>
        <w:rPr>
          <w:rFonts w:cs="宋体" w:asciiTheme="minorEastAsia" w:hAnsiTheme="minorEastAsia" w:eastAsiaTheme="minorEastAsia"/>
          <w:b/>
          <w:kern w:val="0"/>
          <w:sz w:val="32"/>
          <w:szCs w:val="32"/>
        </w:rPr>
      </w:pPr>
    </w:p>
    <w:p/>
    <w:p>
      <w:pPr>
        <w:ind w:firstLine="2891" w:firstLineChars="900"/>
        <w:rPr>
          <w:rFonts w:cs="宋体" w:asciiTheme="minorEastAsia" w:hAnsiTheme="minorEastAsia" w:eastAsiaTheme="minorEastAsia"/>
          <w:b/>
          <w:kern w:val="0"/>
          <w:sz w:val="32"/>
          <w:szCs w:val="32"/>
        </w:rPr>
      </w:pP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jc w:val="center"/>
        <w:rPr>
          <w:rFonts w:cs="宋体" w:asciiTheme="minorEastAsia" w:hAnsiTheme="minorEastAsia" w:eastAsia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numPr>
          <w:ilvl w:val="0"/>
          <w:numId w:val="5"/>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（2）报价明细清单………………………………………………………………（页码）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（3）中小企业声明函………………………………………………………………（页码）</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pStyle w:val="382"/>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82"/>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482"/>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914"/>
        <w:gridCol w:w="1189"/>
        <w:gridCol w:w="2012"/>
        <w:gridCol w:w="640"/>
        <w:gridCol w:w="1006"/>
        <w:gridCol w:w="128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44"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914"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189" w:type="dxa"/>
            <w:noWrap w:val="0"/>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2012"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640"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006"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280"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2012" w:type="dxa"/>
            <w:noWrap w:val="0"/>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914" w:type="dxa"/>
            <w:noWrap w:val="0"/>
            <w:vAlign w:val="center"/>
          </w:tcPr>
          <w:p>
            <w:pPr>
              <w:snapToGrid w:val="0"/>
              <w:spacing w:line="360" w:lineRule="auto"/>
              <w:jc w:val="center"/>
              <w:rPr>
                <w:rFonts w:ascii="仿宋_GB2312" w:hAnsi="仿宋" w:eastAsia="仿宋_GB2312" w:cs="仿宋_GB2312"/>
                <w:sz w:val="24"/>
              </w:rPr>
            </w:pPr>
          </w:p>
        </w:tc>
        <w:tc>
          <w:tcPr>
            <w:tcW w:w="1189" w:type="dxa"/>
            <w:noWrap w:val="0"/>
            <w:vAlign w:val="center"/>
          </w:tcPr>
          <w:p>
            <w:pPr>
              <w:snapToGrid w:val="0"/>
              <w:spacing w:line="360" w:lineRule="auto"/>
              <w:jc w:val="center"/>
              <w:rPr>
                <w:rFonts w:ascii="仿宋_GB2312" w:hAnsi="仿宋" w:eastAsia="仿宋_GB2312" w:cs="仿宋_GB2312"/>
                <w:sz w:val="24"/>
              </w:rPr>
            </w:pPr>
          </w:p>
        </w:tc>
        <w:tc>
          <w:tcPr>
            <w:tcW w:w="2012" w:type="dxa"/>
            <w:noWrap w:val="0"/>
            <w:vAlign w:val="center"/>
          </w:tcPr>
          <w:p>
            <w:pPr>
              <w:snapToGrid w:val="0"/>
              <w:spacing w:line="360" w:lineRule="auto"/>
              <w:jc w:val="center"/>
              <w:rPr>
                <w:rFonts w:ascii="仿宋_GB2312" w:hAnsi="仿宋" w:eastAsia="仿宋_GB2312" w:cs="仿宋_GB2312"/>
                <w:sz w:val="24"/>
              </w:rPr>
            </w:pPr>
          </w:p>
        </w:tc>
        <w:tc>
          <w:tcPr>
            <w:tcW w:w="640" w:type="dxa"/>
            <w:noWrap w:val="0"/>
            <w:vAlign w:val="center"/>
          </w:tcPr>
          <w:p>
            <w:pPr>
              <w:snapToGrid w:val="0"/>
              <w:spacing w:line="360" w:lineRule="auto"/>
              <w:jc w:val="center"/>
              <w:rPr>
                <w:rFonts w:ascii="仿宋_GB2312" w:hAnsi="仿宋" w:eastAsia="仿宋_GB2312" w:cs="仿宋_GB2312"/>
                <w:sz w:val="24"/>
              </w:rPr>
            </w:pPr>
          </w:p>
        </w:tc>
        <w:tc>
          <w:tcPr>
            <w:tcW w:w="1006" w:type="dxa"/>
            <w:noWrap w:val="0"/>
            <w:vAlign w:val="center"/>
          </w:tcPr>
          <w:p>
            <w:pPr>
              <w:spacing w:line="360" w:lineRule="auto"/>
              <w:jc w:val="center"/>
              <w:rPr>
                <w:rFonts w:ascii="仿宋_GB2312" w:hAnsi="仿宋" w:eastAsia="仿宋_GB2312" w:cs="仿宋_GB2312"/>
                <w:sz w:val="24"/>
              </w:rPr>
            </w:pPr>
          </w:p>
        </w:tc>
        <w:tc>
          <w:tcPr>
            <w:tcW w:w="1280" w:type="dxa"/>
            <w:noWrap w:val="0"/>
            <w:vAlign w:val="center"/>
          </w:tcPr>
          <w:p>
            <w:pPr>
              <w:spacing w:line="360" w:lineRule="auto"/>
              <w:jc w:val="center"/>
              <w:rPr>
                <w:rFonts w:ascii="仿宋_GB2312" w:hAnsi="仿宋" w:eastAsia="仿宋_GB2312" w:cs="仿宋_GB2312"/>
                <w:sz w:val="24"/>
              </w:rPr>
            </w:pPr>
          </w:p>
        </w:tc>
        <w:tc>
          <w:tcPr>
            <w:tcW w:w="2012"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914" w:type="dxa"/>
            <w:noWrap w:val="0"/>
            <w:vAlign w:val="center"/>
          </w:tcPr>
          <w:p>
            <w:pPr>
              <w:snapToGrid w:val="0"/>
              <w:spacing w:line="360" w:lineRule="auto"/>
              <w:jc w:val="center"/>
              <w:rPr>
                <w:rFonts w:ascii="仿宋_GB2312" w:hAnsi="仿宋" w:eastAsia="仿宋_GB2312" w:cs="仿宋_GB2312"/>
                <w:sz w:val="24"/>
              </w:rPr>
            </w:pPr>
          </w:p>
        </w:tc>
        <w:tc>
          <w:tcPr>
            <w:tcW w:w="1189" w:type="dxa"/>
            <w:noWrap w:val="0"/>
            <w:vAlign w:val="center"/>
          </w:tcPr>
          <w:p>
            <w:pPr>
              <w:snapToGrid w:val="0"/>
              <w:spacing w:line="360" w:lineRule="auto"/>
              <w:jc w:val="center"/>
              <w:rPr>
                <w:rFonts w:ascii="仿宋_GB2312" w:hAnsi="仿宋" w:eastAsia="仿宋_GB2312" w:cs="仿宋_GB2312"/>
                <w:sz w:val="24"/>
              </w:rPr>
            </w:pPr>
          </w:p>
        </w:tc>
        <w:tc>
          <w:tcPr>
            <w:tcW w:w="2012" w:type="dxa"/>
            <w:noWrap w:val="0"/>
            <w:vAlign w:val="center"/>
          </w:tcPr>
          <w:p>
            <w:pPr>
              <w:snapToGrid w:val="0"/>
              <w:spacing w:line="360" w:lineRule="auto"/>
              <w:jc w:val="center"/>
              <w:rPr>
                <w:rFonts w:ascii="仿宋_GB2312" w:hAnsi="仿宋" w:eastAsia="仿宋_GB2312" w:cs="仿宋_GB2312"/>
                <w:sz w:val="24"/>
              </w:rPr>
            </w:pPr>
          </w:p>
        </w:tc>
        <w:tc>
          <w:tcPr>
            <w:tcW w:w="640" w:type="dxa"/>
            <w:noWrap w:val="0"/>
            <w:vAlign w:val="center"/>
          </w:tcPr>
          <w:p>
            <w:pPr>
              <w:snapToGrid w:val="0"/>
              <w:spacing w:line="360" w:lineRule="auto"/>
              <w:jc w:val="center"/>
              <w:rPr>
                <w:rFonts w:ascii="仿宋_GB2312" w:hAnsi="仿宋" w:eastAsia="仿宋_GB2312" w:cs="仿宋_GB2312"/>
                <w:sz w:val="24"/>
              </w:rPr>
            </w:pPr>
          </w:p>
        </w:tc>
        <w:tc>
          <w:tcPr>
            <w:tcW w:w="1006" w:type="dxa"/>
            <w:noWrap w:val="0"/>
            <w:vAlign w:val="center"/>
          </w:tcPr>
          <w:p>
            <w:pPr>
              <w:spacing w:line="360" w:lineRule="auto"/>
              <w:jc w:val="center"/>
              <w:rPr>
                <w:rFonts w:ascii="仿宋_GB2312" w:hAnsi="仿宋" w:eastAsia="仿宋_GB2312" w:cs="仿宋_GB2312"/>
                <w:sz w:val="24"/>
              </w:rPr>
            </w:pPr>
          </w:p>
        </w:tc>
        <w:tc>
          <w:tcPr>
            <w:tcW w:w="1280" w:type="dxa"/>
            <w:noWrap w:val="0"/>
            <w:vAlign w:val="center"/>
          </w:tcPr>
          <w:p>
            <w:pPr>
              <w:spacing w:line="360" w:lineRule="auto"/>
              <w:jc w:val="center"/>
              <w:rPr>
                <w:rFonts w:ascii="仿宋_GB2312" w:hAnsi="仿宋" w:eastAsia="仿宋_GB2312" w:cs="仿宋_GB2312"/>
                <w:sz w:val="24"/>
              </w:rPr>
            </w:pPr>
          </w:p>
        </w:tc>
        <w:tc>
          <w:tcPr>
            <w:tcW w:w="2012"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noWrap w:val="0"/>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914" w:type="dxa"/>
            <w:noWrap w:val="0"/>
            <w:vAlign w:val="center"/>
          </w:tcPr>
          <w:p>
            <w:pPr>
              <w:snapToGrid w:val="0"/>
              <w:spacing w:line="360" w:lineRule="auto"/>
              <w:jc w:val="center"/>
              <w:rPr>
                <w:rFonts w:ascii="仿宋_GB2312" w:hAnsi="仿宋" w:eastAsia="仿宋_GB2312" w:cs="仿宋_GB2312"/>
                <w:sz w:val="24"/>
              </w:rPr>
            </w:pPr>
          </w:p>
        </w:tc>
        <w:tc>
          <w:tcPr>
            <w:tcW w:w="1189" w:type="dxa"/>
            <w:noWrap w:val="0"/>
            <w:vAlign w:val="center"/>
          </w:tcPr>
          <w:p>
            <w:pPr>
              <w:snapToGrid w:val="0"/>
              <w:spacing w:line="360" w:lineRule="auto"/>
              <w:jc w:val="center"/>
              <w:rPr>
                <w:rFonts w:ascii="仿宋_GB2312" w:hAnsi="仿宋" w:eastAsia="仿宋_GB2312" w:cs="仿宋_GB2312"/>
                <w:sz w:val="24"/>
              </w:rPr>
            </w:pPr>
          </w:p>
        </w:tc>
        <w:tc>
          <w:tcPr>
            <w:tcW w:w="2012" w:type="dxa"/>
            <w:noWrap w:val="0"/>
            <w:vAlign w:val="center"/>
          </w:tcPr>
          <w:p>
            <w:pPr>
              <w:snapToGrid w:val="0"/>
              <w:spacing w:line="360" w:lineRule="auto"/>
              <w:jc w:val="center"/>
              <w:rPr>
                <w:rFonts w:ascii="仿宋_GB2312" w:hAnsi="仿宋" w:eastAsia="仿宋_GB2312" w:cs="仿宋_GB2312"/>
                <w:sz w:val="24"/>
              </w:rPr>
            </w:pPr>
          </w:p>
        </w:tc>
        <w:tc>
          <w:tcPr>
            <w:tcW w:w="640" w:type="dxa"/>
            <w:noWrap w:val="0"/>
            <w:vAlign w:val="center"/>
          </w:tcPr>
          <w:p>
            <w:pPr>
              <w:snapToGrid w:val="0"/>
              <w:spacing w:line="360" w:lineRule="auto"/>
              <w:jc w:val="center"/>
              <w:rPr>
                <w:rFonts w:ascii="仿宋_GB2312" w:hAnsi="仿宋" w:eastAsia="仿宋_GB2312" w:cs="仿宋_GB2312"/>
                <w:sz w:val="24"/>
              </w:rPr>
            </w:pPr>
          </w:p>
        </w:tc>
        <w:tc>
          <w:tcPr>
            <w:tcW w:w="1006" w:type="dxa"/>
            <w:noWrap w:val="0"/>
            <w:vAlign w:val="center"/>
          </w:tcPr>
          <w:p>
            <w:pPr>
              <w:spacing w:line="360" w:lineRule="auto"/>
              <w:jc w:val="center"/>
              <w:rPr>
                <w:rFonts w:ascii="仿宋_GB2312" w:hAnsi="仿宋" w:eastAsia="仿宋_GB2312" w:cs="仿宋_GB2312"/>
                <w:sz w:val="24"/>
              </w:rPr>
            </w:pPr>
          </w:p>
        </w:tc>
        <w:tc>
          <w:tcPr>
            <w:tcW w:w="1280" w:type="dxa"/>
            <w:noWrap w:val="0"/>
            <w:vAlign w:val="center"/>
          </w:tcPr>
          <w:p>
            <w:pPr>
              <w:spacing w:line="360" w:lineRule="auto"/>
              <w:jc w:val="center"/>
              <w:rPr>
                <w:rFonts w:ascii="仿宋_GB2312" w:hAnsi="仿宋" w:eastAsia="仿宋_GB2312" w:cs="仿宋_GB2312"/>
                <w:sz w:val="24"/>
              </w:rPr>
            </w:pPr>
          </w:p>
        </w:tc>
        <w:tc>
          <w:tcPr>
            <w:tcW w:w="2012"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noWrap w:val="0"/>
            <w:vAlign w:val="center"/>
          </w:tcPr>
          <w:p>
            <w:pPr>
              <w:spacing w:line="360" w:lineRule="auto"/>
              <w:jc w:val="center"/>
              <w:rPr>
                <w:rFonts w:ascii="仿宋_GB2312" w:hAnsi="仿宋" w:eastAsia="仿宋_GB2312" w:cs="仿宋_GB2312"/>
                <w:sz w:val="24"/>
              </w:rPr>
            </w:pPr>
          </w:p>
        </w:tc>
        <w:tc>
          <w:tcPr>
            <w:tcW w:w="914" w:type="dxa"/>
            <w:noWrap w:val="0"/>
            <w:vAlign w:val="center"/>
          </w:tcPr>
          <w:p>
            <w:pPr>
              <w:snapToGrid w:val="0"/>
              <w:spacing w:line="360" w:lineRule="auto"/>
              <w:jc w:val="center"/>
              <w:rPr>
                <w:rFonts w:ascii="仿宋_GB2312" w:hAnsi="仿宋" w:eastAsia="仿宋_GB2312" w:cs="仿宋_GB2312"/>
                <w:sz w:val="24"/>
              </w:rPr>
            </w:pPr>
          </w:p>
        </w:tc>
        <w:tc>
          <w:tcPr>
            <w:tcW w:w="1189" w:type="dxa"/>
            <w:noWrap w:val="0"/>
            <w:vAlign w:val="center"/>
          </w:tcPr>
          <w:p>
            <w:pPr>
              <w:snapToGrid w:val="0"/>
              <w:spacing w:line="360" w:lineRule="auto"/>
              <w:jc w:val="center"/>
              <w:rPr>
                <w:rFonts w:ascii="仿宋_GB2312" w:hAnsi="仿宋" w:eastAsia="仿宋_GB2312" w:cs="仿宋_GB2312"/>
                <w:sz w:val="24"/>
              </w:rPr>
            </w:pPr>
          </w:p>
        </w:tc>
        <w:tc>
          <w:tcPr>
            <w:tcW w:w="2012" w:type="dxa"/>
            <w:noWrap w:val="0"/>
            <w:vAlign w:val="center"/>
          </w:tcPr>
          <w:p>
            <w:pPr>
              <w:snapToGrid w:val="0"/>
              <w:spacing w:line="360" w:lineRule="auto"/>
              <w:jc w:val="center"/>
              <w:rPr>
                <w:rFonts w:ascii="仿宋_GB2312" w:hAnsi="仿宋" w:eastAsia="仿宋_GB2312" w:cs="仿宋_GB2312"/>
                <w:sz w:val="24"/>
              </w:rPr>
            </w:pPr>
          </w:p>
        </w:tc>
        <w:tc>
          <w:tcPr>
            <w:tcW w:w="640" w:type="dxa"/>
            <w:noWrap w:val="0"/>
            <w:vAlign w:val="center"/>
          </w:tcPr>
          <w:p>
            <w:pPr>
              <w:snapToGrid w:val="0"/>
              <w:spacing w:line="360" w:lineRule="auto"/>
              <w:jc w:val="center"/>
              <w:rPr>
                <w:rFonts w:ascii="仿宋_GB2312" w:hAnsi="仿宋" w:eastAsia="仿宋_GB2312" w:cs="仿宋_GB2312"/>
                <w:sz w:val="24"/>
              </w:rPr>
            </w:pPr>
          </w:p>
        </w:tc>
        <w:tc>
          <w:tcPr>
            <w:tcW w:w="1006" w:type="dxa"/>
            <w:noWrap w:val="0"/>
            <w:vAlign w:val="center"/>
          </w:tcPr>
          <w:p>
            <w:pPr>
              <w:spacing w:line="360" w:lineRule="auto"/>
              <w:jc w:val="center"/>
              <w:rPr>
                <w:rFonts w:ascii="仿宋_GB2312" w:hAnsi="仿宋" w:eastAsia="仿宋_GB2312" w:cs="仿宋_GB2312"/>
                <w:sz w:val="24"/>
              </w:rPr>
            </w:pPr>
          </w:p>
        </w:tc>
        <w:tc>
          <w:tcPr>
            <w:tcW w:w="1280" w:type="dxa"/>
            <w:noWrap w:val="0"/>
            <w:vAlign w:val="center"/>
          </w:tcPr>
          <w:p>
            <w:pPr>
              <w:spacing w:line="360" w:lineRule="auto"/>
              <w:jc w:val="center"/>
              <w:rPr>
                <w:rFonts w:ascii="仿宋_GB2312" w:hAnsi="仿宋" w:eastAsia="仿宋_GB2312" w:cs="仿宋_GB2312"/>
                <w:sz w:val="24"/>
              </w:rPr>
            </w:pPr>
          </w:p>
        </w:tc>
        <w:tc>
          <w:tcPr>
            <w:tcW w:w="2012"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noWrap w:val="0"/>
            <w:vAlign w:val="center"/>
          </w:tcPr>
          <w:p>
            <w:pPr>
              <w:spacing w:line="360" w:lineRule="auto"/>
              <w:jc w:val="center"/>
              <w:rPr>
                <w:rFonts w:ascii="仿宋_GB2312" w:hAnsi="仿宋" w:eastAsia="仿宋_GB2312" w:cs="仿宋_GB2312"/>
                <w:sz w:val="24"/>
              </w:rPr>
            </w:pPr>
          </w:p>
        </w:tc>
        <w:tc>
          <w:tcPr>
            <w:tcW w:w="914" w:type="dxa"/>
            <w:noWrap w:val="0"/>
            <w:vAlign w:val="center"/>
          </w:tcPr>
          <w:p>
            <w:pPr>
              <w:snapToGrid w:val="0"/>
              <w:spacing w:line="360" w:lineRule="auto"/>
              <w:jc w:val="center"/>
              <w:rPr>
                <w:rFonts w:ascii="仿宋_GB2312" w:hAnsi="仿宋" w:eastAsia="仿宋_GB2312" w:cs="仿宋_GB2312"/>
                <w:sz w:val="24"/>
              </w:rPr>
            </w:pPr>
          </w:p>
        </w:tc>
        <w:tc>
          <w:tcPr>
            <w:tcW w:w="1189" w:type="dxa"/>
            <w:noWrap w:val="0"/>
            <w:vAlign w:val="center"/>
          </w:tcPr>
          <w:p>
            <w:pPr>
              <w:snapToGrid w:val="0"/>
              <w:spacing w:line="360" w:lineRule="auto"/>
              <w:jc w:val="center"/>
              <w:rPr>
                <w:rFonts w:ascii="仿宋_GB2312" w:hAnsi="仿宋" w:eastAsia="仿宋_GB2312" w:cs="仿宋_GB2312"/>
                <w:sz w:val="24"/>
              </w:rPr>
            </w:pPr>
          </w:p>
        </w:tc>
        <w:tc>
          <w:tcPr>
            <w:tcW w:w="2012" w:type="dxa"/>
            <w:noWrap w:val="0"/>
            <w:vAlign w:val="center"/>
          </w:tcPr>
          <w:p>
            <w:pPr>
              <w:snapToGrid w:val="0"/>
              <w:spacing w:line="360" w:lineRule="auto"/>
              <w:jc w:val="center"/>
              <w:rPr>
                <w:rFonts w:ascii="仿宋_GB2312" w:hAnsi="仿宋" w:eastAsia="仿宋_GB2312" w:cs="仿宋_GB2312"/>
                <w:sz w:val="24"/>
              </w:rPr>
            </w:pPr>
          </w:p>
        </w:tc>
        <w:tc>
          <w:tcPr>
            <w:tcW w:w="640" w:type="dxa"/>
            <w:noWrap w:val="0"/>
            <w:vAlign w:val="center"/>
          </w:tcPr>
          <w:p>
            <w:pPr>
              <w:snapToGrid w:val="0"/>
              <w:spacing w:line="360" w:lineRule="auto"/>
              <w:jc w:val="center"/>
              <w:rPr>
                <w:rFonts w:ascii="仿宋_GB2312" w:hAnsi="仿宋" w:eastAsia="仿宋_GB2312" w:cs="仿宋_GB2312"/>
                <w:sz w:val="24"/>
              </w:rPr>
            </w:pPr>
          </w:p>
        </w:tc>
        <w:tc>
          <w:tcPr>
            <w:tcW w:w="1006" w:type="dxa"/>
            <w:noWrap w:val="0"/>
            <w:vAlign w:val="center"/>
          </w:tcPr>
          <w:p>
            <w:pPr>
              <w:spacing w:line="360" w:lineRule="auto"/>
              <w:jc w:val="center"/>
              <w:rPr>
                <w:rFonts w:ascii="仿宋_GB2312" w:hAnsi="仿宋" w:eastAsia="仿宋_GB2312" w:cs="仿宋_GB2312"/>
                <w:sz w:val="24"/>
              </w:rPr>
            </w:pPr>
          </w:p>
        </w:tc>
        <w:tc>
          <w:tcPr>
            <w:tcW w:w="1280" w:type="dxa"/>
            <w:noWrap w:val="0"/>
            <w:vAlign w:val="center"/>
          </w:tcPr>
          <w:p>
            <w:pPr>
              <w:spacing w:line="360" w:lineRule="auto"/>
              <w:jc w:val="center"/>
              <w:rPr>
                <w:rFonts w:ascii="仿宋_GB2312" w:hAnsi="仿宋" w:eastAsia="仿宋_GB2312" w:cs="仿宋_GB2312"/>
                <w:sz w:val="24"/>
              </w:rPr>
            </w:pPr>
          </w:p>
        </w:tc>
        <w:tc>
          <w:tcPr>
            <w:tcW w:w="2012"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59" w:type="dxa"/>
            <w:gridSpan w:val="4"/>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938" w:type="dxa"/>
            <w:gridSpan w:val="4"/>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459" w:type="dxa"/>
            <w:gridSpan w:val="4"/>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938" w:type="dxa"/>
            <w:gridSpan w:val="4"/>
            <w:noWrap w:val="0"/>
            <w:vAlign w:val="center"/>
          </w:tcPr>
          <w:p>
            <w:pPr>
              <w:spacing w:line="360" w:lineRule="auto"/>
              <w:jc w:val="center"/>
              <w:rPr>
                <w:rFonts w:ascii="仿宋_GB2312" w:hAnsi="仿宋" w:eastAsia="仿宋_GB2312" w:cs="仿宋_GB2312"/>
                <w:sz w:val="24"/>
              </w:rPr>
            </w:pPr>
          </w:p>
        </w:tc>
      </w:tr>
    </w:tbl>
    <w:p>
      <w:pPr>
        <w:widowControl w:val="0"/>
        <w:wordWrap/>
        <w:adjustRightInd w:val="0"/>
        <w:snapToGrid w:val="0"/>
        <w:spacing w:line="600" w:lineRule="exact"/>
        <w:ind w:left="480" w:right="0"/>
        <w:textAlignment w:val="auto"/>
        <w:outlineLvl w:val="9"/>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widowControl w:val="0"/>
        <w:wordWrap/>
        <w:adjustRightInd w:val="0"/>
        <w:spacing w:line="600" w:lineRule="exact"/>
        <w:ind w:left="-2" w:right="0"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pPr>
        <w:widowControl w:val="0"/>
        <w:wordWrap/>
        <w:adjustRightInd w:val="0"/>
        <w:spacing w:line="600" w:lineRule="exact"/>
        <w:ind w:right="0"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pPr>
        <w:widowControl w:val="0"/>
        <w:wordWrap/>
        <w:adjustRightInd w:val="0"/>
        <w:snapToGrid w:val="0"/>
        <w:spacing w:line="600" w:lineRule="exact"/>
        <w:ind w:right="0" w:firstLine="480" w:firstLineChars="200"/>
        <w:jc w:val="left"/>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pPr>
        <w:pStyle w:val="382"/>
        <w:tabs>
          <w:tab w:val="clear" w:pos="720"/>
        </w:tabs>
        <w:snapToGrid w:val="0"/>
        <w:spacing w:before="120" w:after="120"/>
        <w:ind w:firstLine="482" w:firstLineChars="200"/>
        <w:jc w:val="both"/>
        <w:outlineLvl w:val="9"/>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2"/>
        <w:tabs>
          <w:tab w:val="clear" w:pos="720"/>
        </w:tabs>
        <w:snapToGrid w:val="0"/>
        <w:spacing w:before="120" w:after="120"/>
        <w:ind w:firstLine="3534" w:firstLineChars="1100"/>
        <w:jc w:val="both"/>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pPr>
        <w:pStyle w:val="4"/>
        <w:ind w:left="0"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pPr>
        <w:pStyle w:val="4"/>
        <w:ind w:left="0"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宋体" w:asciiTheme="minorEastAsia" w:hAnsiTheme="minorEastAsia" w:eastAsiaTheme="minorEastAsia"/>
          <w:b/>
          <w:bCs/>
          <w:kern w:val="0"/>
          <w:sz w:val="24"/>
        </w:rPr>
      </w:pPr>
    </w:p>
    <w:p>
      <w:pPr>
        <w:pStyle w:val="3"/>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556" w:name="_Toc465665161"/>
      <w:r>
        <w:rPr>
          <w:rFonts w:hint="eastAsia" w:cs="宋体" w:asciiTheme="minorEastAsia" w:hAnsiTheme="minorEastAsia" w:eastAsiaTheme="minorEastAsia"/>
        </w:rPr>
        <w:t>附件</w:t>
      </w:r>
      <w:bookmarkEnd w:id="556"/>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557" w:name="OLE_LINK13"/>
      <w:bookmarkStart w:id="558" w:name="OLE_LINK14"/>
      <w:r>
        <w:rPr>
          <w:rFonts w:hint="eastAsia" w:cs="宋体" w:asciiTheme="minorEastAsia" w:hAnsiTheme="minorEastAsia" w:eastAsiaTheme="minorEastAsia"/>
          <w:b/>
          <w:spacing w:val="6"/>
          <w:sz w:val="32"/>
          <w:szCs w:val="32"/>
        </w:rPr>
        <w:t>残疾人福利性单位声明函</w:t>
      </w:r>
    </w:p>
    <w:bookmarkEnd w:id="557"/>
    <w:bookmarkEnd w:id="558"/>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ind w:firstLine="480" w:firstLineChars="200"/>
        <w:rPr>
          <w:rFonts w:cs="宋体" w:asciiTheme="minorEastAsia" w:hAnsiTheme="minorEastAsia" w:eastAsiaTheme="minorEastAsia"/>
          <w:sz w:val="24"/>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cs="宋体" w:asciiTheme="minorEastAsia" w:hAnsiTheme="minorEastAsia" w:eastAsiaTheme="minorEastAsia"/>
          <w:sz w:val="24"/>
          <w:u w:val="dotted"/>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cs="宋体" w:asciiTheme="minorEastAsia" w:hAnsiTheme="minorEastAsia" w:eastAsiaTheme="minorEastAsia"/>
          <w:sz w:val="24"/>
          <w:u w:val="dotted"/>
        </w:rPr>
      </w:pP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pStyle w:val="84"/>
        <w:ind w:firstLine="667"/>
        <w:rPr>
          <w:rFonts w:cs="宋体" w:asciiTheme="minorEastAsia" w:hAnsiTheme="minorEastAsia" w:eastAsiaTheme="minorEastAsia"/>
          <w:b/>
          <w:spacing w:val="6"/>
          <w:sz w:val="32"/>
          <w:szCs w:val="32"/>
        </w:rPr>
      </w:pPr>
    </w:p>
    <w:p/>
    <w:p>
      <w:pPr>
        <w:pStyle w:val="84"/>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path/>
            <v:fill focussize="0,0"/>
            <v:stroke/>
            <v:imagedata o:title=""/>
            <o:lock v:ext="edit"/>
            <v:textbox>
              <w:txbxContent>
                <w:p>
                  <w:pPr>
                    <w:jc w:val="center"/>
                  </w:pPr>
                </w:p>
              </w:txbxContent>
            </v:textbox>
          </v:rect>
        </w:pict>
      </w:r>
      <w:r>
        <w:rPr>
          <w:rFonts w:cs="宋体" w:asciiTheme="minorEastAsia" w:hAnsiTheme="minorEastAsia" w:eastAsiaTheme="minorEastAsia"/>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path/>
            <v:fill focussize="0,0"/>
            <v:stroke/>
            <v:imagedata o:title=""/>
            <o:lock v:ext="edit"/>
            <v:textbox>
              <w:txbxContent>
                <w:p>
                  <w:pPr>
                    <w:jc w:val="center"/>
                  </w:pPr>
                </w:p>
              </w:txbxContent>
            </v:textbox>
          </v:rect>
        </w:pic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附件5：</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 ，属于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行业 ；制造商为</w:t>
      </w:r>
      <w:r>
        <w:rPr>
          <w:rFonts w:hint="eastAsia" w:cs="宋体" w:asciiTheme="minorEastAsia" w:hAnsiTheme="minorEastAsia" w:eastAsiaTheme="minorEastAsia"/>
          <w:sz w:val="24"/>
          <w:u w:val="single"/>
        </w:rPr>
        <w:t xml:space="preserve"> （企业名称）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 ，属于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行业 ；制造商为</w:t>
      </w:r>
      <w:r>
        <w:rPr>
          <w:rFonts w:hint="eastAsia" w:cs="宋体" w:asciiTheme="minorEastAsia" w:hAnsiTheme="minorEastAsia" w:eastAsiaTheme="minorEastAsia"/>
          <w:sz w:val="24"/>
          <w:u w:val="single"/>
        </w:rPr>
        <w:t xml:space="preserve"> （企业名称）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pacing w:line="360" w:lineRule="auto"/>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从业人员、营业收入、资产总额填报上一年度数据，无上一年度数据的新成立企业可不填报。</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pStyle w:val="84"/>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中小企业声明函（工程、服务）</w:t>
      </w:r>
    </w:p>
    <w:p>
      <w:pPr>
        <w:spacing w:line="360" w:lineRule="auto"/>
        <w:rPr>
          <w:rFonts w:cs="宋体" w:asciiTheme="minorEastAsia" w:hAnsiTheme="minorEastAsia" w:eastAsiaTheme="minorEastAsia"/>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cs="宋体" w:asciiTheme="minorEastAsia" w:hAnsiTheme="minorEastAsia" w:eastAsiaTheme="minorEastAsia"/>
          <w:lang w:val="en-US"/>
        </w:rPr>
      </w:pPr>
    </w:p>
    <w:p>
      <w:pPr>
        <w:spacing w:line="360" w:lineRule="auto"/>
        <w:ind w:right="420"/>
        <w:rPr>
          <w:rFonts w:cs="宋体" w:asciiTheme="minorEastAsia" w:hAnsiTheme="minorEastAsia" w:eastAsiaTheme="minorEastAsia"/>
        </w:rPr>
      </w:pPr>
    </w:p>
    <w:p>
      <w:pPr>
        <w:spacing w:line="360" w:lineRule="auto"/>
        <w:rPr>
          <w:rFonts w:cs="宋体" w:asciiTheme="minorEastAsia" w:hAnsiTheme="minorEastAsia" w:eastAsiaTheme="minorEastAsia"/>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9" w:name="_Toc36110187"/>
    <w:bookmarkStart w:id="560" w:name="_Toc131845147"/>
    <w:bookmarkStart w:id="561" w:name="_Toc164085800"/>
    <w:bookmarkStart w:id="562" w:name="_Toc91899912"/>
    <w:r>
      <w:rPr>
        <w:rFonts w:hint="eastAsia" w:ascii="仿宋_GB2312" w:eastAsia="仿宋_GB2312"/>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7E790"/>
    <w:multiLevelType w:val="singleLevel"/>
    <w:tmpl w:val="C707E790"/>
    <w:lvl w:ilvl="0" w:tentative="0">
      <w:start w:val="1"/>
      <w:numFmt w:val="decimal"/>
      <w:suff w:val="nothing"/>
      <w:lvlText w:val="%1、"/>
      <w:lvlJc w:val="left"/>
    </w:lvl>
  </w:abstractNum>
  <w:abstractNum w:abstractNumId="1">
    <w:nsid w:val="F59D58E8"/>
    <w:multiLevelType w:val="singleLevel"/>
    <w:tmpl w:val="F59D58E8"/>
    <w:lvl w:ilvl="0" w:tentative="0">
      <w:start w:val="1"/>
      <w:numFmt w:val="decimal"/>
      <w:suff w:val="nothing"/>
      <w:lvlText w:val="（%1）"/>
      <w:lvlJc w:val="left"/>
    </w:lvl>
  </w:abstractNum>
  <w:abstractNum w:abstractNumId="2">
    <w:nsid w:val="FF36BB53"/>
    <w:multiLevelType w:val="singleLevel"/>
    <w:tmpl w:val="FF36BB53"/>
    <w:lvl w:ilvl="0" w:tentative="0">
      <w:start w:val="1"/>
      <w:numFmt w:val="decimal"/>
      <w:lvlText w:val="%1."/>
      <w:lvlJc w:val="left"/>
      <w:pPr>
        <w:tabs>
          <w:tab w:val="left" w:pos="312"/>
        </w:tabs>
      </w:pPr>
    </w:lvl>
  </w:abstractNum>
  <w:abstractNum w:abstractNumId="3">
    <w:nsid w:val="601AB719"/>
    <w:multiLevelType w:val="singleLevel"/>
    <w:tmpl w:val="601AB719"/>
    <w:lvl w:ilvl="0" w:tentative="0">
      <w:start w:val="2"/>
      <w:numFmt w:val="decimal"/>
      <w:suff w:val="nothing"/>
      <w:lvlText w:val="%1、"/>
      <w:lvlJc w:val="left"/>
    </w:lvl>
  </w:abstractNum>
  <w:abstractNum w:abstractNumId="4">
    <w:nsid w:val="63F824D2"/>
    <w:multiLevelType w:val="singleLevel"/>
    <w:tmpl w:val="63F824D2"/>
    <w:lvl w:ilvl="0" w:tentative="0">
      <w:start w:val="3"/>
      <w:numFmt w:val="chineseCounting"/>
      <w:suff w:val="space"/>
      <w:lvlText w:val="第%1部分"/>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CD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2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E9E"/>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E82"/>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A2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0D"/>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208"/>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EB"/>
    <w:rsid w:val="003703BB"/>
    <w:rsid w:val="003705EA"/>
    <w:rsid w:val="00370A56"/>
    <w:rsid w:val="00371213"/>
    <w:rsid w:val="00372842"/>
    <w:rsid w:val="003729A5"/>
    <w:rsid w:val="00372C89"/>
    <w:rsid w:val="00372E9A"/>
    <w:rsid w:val="003735B9"/>
    <w:rsid w:val="00373634"/>
    <w:rsid w:val="00374677"/>
    <w:rsid w:val="0037510C"/>
    <w:rsid w:val="00375850"/>
    <w:rsid w:val="00375C33"/>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B6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0B"/>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B26"/>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02A"/>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A9"/>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ED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8F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00"/>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764"/>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0B"/>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A44"/>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F0F"/>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576"/>
    <w:rsid w:val="009D4207"/>
    <w:rsid w:val="009D4E4A"/>
    <w:rsid w:val="009D5130"/>
    <w:rsid w:val="009D53D1"/>
    <w:rsid w:val="009D53FB"/>
    <w:rsid w:val="009D56A4"/>
    <w:rsid w:val="009D6081"/>
    <w:rsid w:val="009D678C"/>
    <w:rsid w:val="009D6B9A"/>
    <w:rsid w:val="009D6D30"/>
    <w:rsid w:val="009D7523"/>
    <w:rsid w:val="009D76B5"/>
    <w:rsid w:val="009D773A"/>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74"/>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C4"/>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FED"/>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3E3"/>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891"/>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7E6"/>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A23"/>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D66"/>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5D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71"/>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20"/>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9451DA"/>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39368F"/>
    <w:rsid w:val="036634D2"/>
    <w:rsid w:val="03DD35E4"/>
    <w:rsid w:val="04076900"/>
    <w:rsid w:val="041A5A3B"/>
    <w:rsid w:val="042311BA"/>
    <w:rsid w:val="042B157A"/>
    <w:rsid w:val="048F763B"/>
    <w:rsid w:val="049F330E"/>
    <w:rsid w:val="04AA775C"/>
    <w:rsid w:val="04AF1889"/>
    <w:rsid w:val="04F66F48"/>
    <w:rsid w:val="05251E14"/>
    <w:rsid w:val="05600BCB"/>
    <w:rsid w:val="05A16594"/>
    <w:rsid w:val="05A7762D"/>
    <w:rsid w:val="05E36894"/>
    <w:rsid w:val="060E5941"/>
    <w:rsid w:val="06110FAF"/>
    <w:rsid w:val="06493CA7"/>
    <w:rsid w:val="065A6178"/>
    <w:rsid w:val="066F1CF3"/>
    <w:rsid w:val="06930BB8"/>
    <w:rsid w:val="06E50CCC"/>
    <w:rsid w:val="07245D42"/>
    <w:rsid w:val="07264C62"/>
    <w:rsid w:val="0768220B"/>
    <w:rsid w:val="0779354C"/>
    <w:rsid w:val="07AA2823"/>
    <w:rsid w:val="07D23B28"/>
    <w:rsid w:val="07D73528"/>
    <w:rsid w:val="08061376"/>
    <w:rsid w:val="081F7F59"/>
    <w:rsid w:val="08452D77"/>
    <w:rsid w:val="0849203C"/>
    <w:rsid w:val="086401F8"/>
    <w:rsid w:val="08650413"/>
    <w:rsid w:val="08751CAA"/>
    <w:rsid w:val="087E4C40"/>
    <w:rsid w:val="08D66AD6"/>
    <w:rsid w:val="08DA33A3"/>
    <w:rsid w:val="08E11701"/>
    <w:rsid w:val="08E80F13"/>
    <w:rsid w:val="08F47AEB"/>
    <w:rsid w:val="09012EFA"/>
    <w:rsid w:val="09335624"/>
    <w:rsid w:val="094445B2"/>
    <w:rsid w:val="0944690F"/>
    <w:rsid w:val="09535675"/>
    <w:rsid w:val="095F057D"/>
    <w:rsid w:val="09642282"/>
    <w:rsid w:val="09733572"/>
    <w:rsid w:val="09772C16"/>
    <w:rsid w:val="097A0F8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AC1CF5"/>
    <w:rsid w:val="0BB56FE4"/>
    <w:rsid w:val="0BF40511"/>
    <w:rsid w:val="0BF6188C"/>
    <w:rsid w:val="0BF73C91"/>
    <w:rsid w:val="0C062ACC"/>
    <w:rsid w:val="0C117D32"/>
    <w:rsid w:val="0C170175"/>
    <w:rsid w:val="0C4B5C57"/>
    <w:rsid w:val="0C571A41"/>
    <w:rsid w:val="0C5C1171"/>
    <w:rsid w:val="0C5E1CBC"/>
    <w:rsid w:val="0C615B50"/>
    <w:rsid w:val="0C8445DA"/>
    <w:rsid w:val="0C87121B"/>
    <w:rsid w:val="0CA065CC"/>
    <w:rsid w:val="0CC007F7"/>
    <w:rsid w:val="0CC62AA3"/>
    <w:rsid w:val="0CFE707A"/>
    <w:rsid w:val="0D063BDA"/>
    <w:rsid w:val="0D08375F"/>
    <w:rsid w:val="0D0923B0"/>
    <w:rsid w:val="0D184CFB"/>
    <w:rsid w:val="0D4A7419"/>
    <w:rsid w:val="0D827401"/>
    <w:rsid w:val="0D84094E"/>
    <w:rsid w:val="0D8A00E9"/>
    <w:rsid w:val="0D8D589E"/>
    <w:rsid w:val="0DA01C73"/>
    <w:rsid w:val="0DA6235F"/>
    <w:rsid w:val="0DAC0745"/>
    <w:rsid w:val="0DD2300E"/>
    <w:rsid w:val="0DD63300"/>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460ECD"/>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57D79BE"/>
    <w:rsid w:val="16A8729C"/>
    <w:rsid w:val="16B33777"/>
    <w:rsid w:val="16BC70A7"/>
    <w:rsid w:val="16C6339E"/>
    <w:rsid w:val="16C66908"/>
    <w:rsid w:val="16E95660"/>
    <w:rsid w:val="172F2D79"/>
    <w:rsid w:val="17557BEF"/>
    <w:rsid w:val="178C5650"/>
    <w:rsid w:val="17BF5F86"/>
    <w:rsid w:val="17D349C1"/>
    <w:rsid w:val="1830729E"/>
    <w:rsid w:val="18610CDC"/>
    <w:rsid w:val="1870062C"/>
    <w:rsid w:val="18817102"/>
    <w:rsid w:val="18830A15"/>
    <w:rsid w:val="18852B28"/>
    <w:rsid w:val="188B5321"/>
    <w:rsid w:val="19932372"/>
    <w:rsid w:val="19A20DD5"/>
    <w:rsid w:val="19AE03F1"/>
    <w:rsid w:val="1A023DF9"/>
    <w:rsid w:val="1A071A03"/>
    <w:rsid w:val="1A1F16AE"/>
    <w:rsid w:val="1A3B5C77"/>
    <w:rsid w:val="1A984BAD"/>
    <w:rsid w:val="1AB8220E"/>
    <w:rsid w:val="1ABF0FF7"/>
    <w:rsid w:val="1AE4166C"/>
    <w:rsid w:val="1AE814E1"/>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822E5"/>
    <w:rsid w:val="1D6A673C"/>
    <w:rsid w:val="1D816151"/>
    <w:rsid w:val="1D9247AE"/>
    <w:rsid w:val="1DB567EC"/>
    <w:rsid w:val="1DBF6192"/>
    <w:rsid w:val="1DF51A98"/>
    <w:rsid w:val="1E1C0889"/>
    <w:rsid w:val="1E3D060F"/>
    <w:rsid w:val="1E3F7D2E"/>
    <w:rsid w:val="1E4134E4"/>
    <w:rsid w:val="1E5062B3"/>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11116EB"/>
    <w:rsid w:val="211641D5"/>
    <w:rsid w:val="216133FC"/>
    <w:rsid w:val="21CE589C"/>
    <w:rsid w:val="21D56769"/>
    <w:rsid w:val="21E52EF3"/>
    <w:rsid w:val="21E93F72"/>
    <w:rsid w:val="21FB5D7B"/>
    <w:rsid w:val="220B1C3D"/>
    <w:rsid w:val="221D1D20"/>
    <w:rsid w:val="22334A87"/>
    <w:rsid w:val="2245341D"/>
    <w:rsid w:val="2273680D"/>
    <w:rsid w:val="22BE6801"/>
    <w:rsid w:val="233500BF"/>
    <w:rsid w:val="23377FF7"/>
    <w:rsid w:val="23515DF1"/>
    <w:rsid w:val="236B425F"/>
    <w:rsid w:val="23836192"/>
    <w:rsid w:val="23901F29"/>
    <w:rsid w:val="239C0061"/>
    <w:rsid w:val="23B908A4"/>
    <w:rsid w:val="23E95BEF"/>
    <w:rsid w:val="23F5286D"/>
    <w:rsid w:val="23FD0064"/>
    <w:rsid w:val="245375B0"/>
    <w:rsid w:val="24642C0A"/>
    <w:rsid w:val="24B22173"/>
    <w:rsid w:val="24B95AD9"/>
    <w:rsid w:val="24BE24DA"/>
    <w:rsid w:val="24CF5825"/>
    <w:rsid w:val="24D663E6"/>
    <w:rsid w:val="24D77F2B"/>
    <w:rsid w:val="251A78C3"/>
    <w:rsid w:val="25224658"/>
    <w:rsid w:val="253D662D"/>
    <w:rsid w:val="256E2C8A"/>
    <w:rsid w:val="258B00E2"/>
    <w:rsid w:val="25A917A6"/>
    <w:rsid w:val="25BE27CC"/>
    <w:rsid w:val="25F74A5C"/>
    <w:rsid w:val="2628662C"/>
    <w:rsid w:val="262D45DE"/>
    <w:rsid w:val="26A53EF9"/>
    <w:rsid w:val="26A94201"/>
    <w:rsid w:val="26AC274F"/>
    <w:rsid w:val="27044A29"/>
    <w:rsid w:val="271D34C8"/>
    <w:rsid w:val="27256712"/>
    <w:rsid w:val="276142BF"/>
    <w:rsid w:val="27783712"/>
    <w:rsid w:val="27907362"/>
    <w:rsid w:val="28333E1D"/>
    <w:rsid w:val="28454BD6"/>
    <w:rsid w:val="28455253"/>
    <w:rsid w:val="28551971"/>
    <w:rsid w:val="285B1C53"/>
    <w:rsid w:val="289B4B81"/>
    <w:rsid w:val="289F7086"/>
    <w:rsid w:val="28C32028"/>
    <w:rsid w:val="28CC490F"/>
    <w:rsid w:val="28DE40AA"/>
    <w:rsid w:val="290A21EE"/>
    <w:rsid w:val="29345E77"/>
    <w:rsid w:val="294C65AD"/>
    <w:rsid w:val="296465C0"/>
    <w:rsid w:val="29806583"/>
    <w:rsid w:val="298B3C4C"/>
    <w:rsid w:val="29F26D24"/>
    <w:rsid w:val="2A15033F"/>
    <w:rsid w:val="2A1662C1"/>
    <w:rsid w:val="2A1C7367"/>
    <w:rsid w:val="2A2815FA"/>
    <w:rsid w:val="2A6D6092"/>
    <w:rsid w:val="2A7D76B4"/>
    <w:rsid w:val="2AF179D3"/>
    <w:rsid w:val="2B437463"/>
    <w:rsid w:val="2B7807EE"/>
    <w:rsid w:val="2BBF00EC"/>
    <w:rsid w:val="2BC37CFD"/>
    <w:rsid w:val="2BD5237F"/>
    <w:rsid w:val="2BE536CE"/>
    <w:rsid w:val="2BE758D9"/>
    <w:rsid w:val="2BFF1D8B"/>
    <w:rsid w:val="2C09049E"/>
    <w:rsid w:val="2C0A653C"/>
    <w:rsid w:val="2C167BD8"/>
    <w:rsid w:val="2C191F85"/>
    <w:rsid w:val="2CBB4911"/>
    <w:rsid w:val="2CE82D6F"/>
    <w:rsid w:val="2D343236"/>
    <w:rsid w:val="2DD15014"/>
    <w:rsid w:val="2DF72DE4"/>
    <w:rsid w:val="2E0220AF"/>
    <w:rsid w:val="2E4B082A"/>
    <w:rsid w:val="2E4B710B"/>
    <w:rsid w:val="2E5D4E86"/>
    <w:rsid w:val="2E5D790B"/>
    <w:rsid w:val="2E9A3C18"/>
    <w:rsid w:val="2EBB0FEE"/>
    <w:rsid w:val="2EC63002"/>
    <w:rsid w:val="2ED463CF"/>
    <w:rsid w:val="2F0A6B38"/>
    <w:rsid w:val="2F946CCB"/>
    <w:rsid w:val="2FD25781"/>
    <w:rsid w:val="2FFD7934"/>
    <w:rsid w:val="301D0D4E"/>
    <w:rsid w:val="30733ACD"/>
    <w:rsid w:val="308C3862"/>
    <w:rsid w:val="309379D8"/>
    <w:rsid w:val="30A270F7"/>
    <w:rsid w:val="30D57F70"/>
    <w:rsid w:val="30D910F0"/>
    <w:rsid w:val="30DF1478"/>
    <w:rsid w:val="30EC586F"/>
    <w:rsid w:val="31824D42"/>
    <w:rsid w:val="319C6071"/>
    <w:rsid w:val="31AC537E"/>
    <w:rsid w:val="31E3679B"/>
    <w:rsid w:val="31E732FD"/>
    <w:rsid w:val="31FB3BEE"/>
    <w:rsid w:val="32517576"/>
    <w:rsid w:val="32900E04"/>
    <w:rsid w:val="32AB4D4D"/>
    <w:rsid w:val="32AD7029"/>
    <w:rsid w:val="32B93BE1"/>
    <w:rsid w:val="32BE5C2C"/>
    <w:rsid w:val="32FB6478"/>
    <w:rsid w:val="33263B3F"/>
    <w:rsid w:val="336963EB"/>
    <w:rsid w:val="33816EEB"/>
    <w:rsid w:val="338F55F3"/>
    <w:rsid w:val="33AB42D4"/>
    <w:rsid w:val="33AB6E04"/>
    <w:rsid w:val="33EB55CD"/>
    <w:rsid w:val="33EC4C02"/>
    <w:rsid w:val="340D2360"/>
    <w:rsid w:val="3410665D"/>
    <w:rsid w:val="34211214"/>
    <w:rsid w:val="342E63AB"/>
    <w:rsid w:val="34303663"/>
    <w:rsid w:val="343D057B"/>
    <w:rsid w:val="34950E68"/>
    <w:rsid w:val="34986E94"/>
    <w:rsid w:val="34AF62C9"/>
    <w:rsid w:val="34CB4388"/>
    <w:rsid w:val="34E32DF3"/>
    <w:rsid w:val="34FA6E12"/>
    <w:rsid w:val="35016021"/>
    <w:rsid w:val="358D5588"/>
    <w:rsid w:val="363A3B40"/>
    <w:rsid w:val="365302AE"/>
    <w:rsid w:val="36607A0A"/>
    <w:rsid w:val="366E227C"/>
    <w:rsid w:val="366F2E0D"/>
    <w:rsid w:val="367B6A5C"/>
    <w:rsid w:val="36A74ADA"/>
    <w:rsid w:val="36AD60D5"/>
    <w:rsid w:val="36B224F9"/>
    <w:rsid w:val="36EC0CC9"/>
    <w:rsid w:val="3737440E"/>
    <w:rsid w:val="373F410B"/>
    <w:rsid w:val="37606C26"/>
    <w:rsid w:val="379320DC"/>
    <w:rsid w:val="37B815FD"/>
    <w:rsid w:val="37EE7094"/>
    <w:rsid w:val="38296C89"/>
    <w:rsid w:val="383002EB"/>
    <w:rsid w:val="38586797"/>
    <w:rsid w:val="38BC0149"/>
    <w:rsid w:val="38D87D1C"/>
    <w:rsid w:val="394F6A60"/>
    <w:rsid w:val="39636459"/>
    <w:rsid w:val="396B7F6C"/>
    <w:rsid w:val="39B417A9"/>
    <w:rsid w:val="39FC5695"/>
    <w:rsid w:val="3A006D8E"/>
    <w:rsid w:val="3A3651E5"/>
    <w:rsid w:val="3A744481"/>
    <w:rsid w:val="3A8C7BEF"/>
    <w:rsid w:val="3A906246"/>
    <w:rsid w:val="3B11572B"/>
    <w:rsid w:val="3B2349B7"/>
    <w:rsid w:val="3B616CFF"/>
    <w:rsid w:val="3B6259F6"/>
    <w:rsid w:val="3B976654"/>
    <w:rsid w:val="3BA55FCD"/>
    <w:rsid w:val="3BC01EFC"/>
    <w:rsid w:val="3BCA786A"/>
    <w:rsid w:val="3BD31E2F"/>
    <w:rsid w:val="3BF15831"/>
    <w:rsid w:val="3C105946"/>
    <w:rsid w:val="3C471448"/>
    <w:rsid w:val="3C5F759A"/>
    <w:rsid w:val="3C6C525A"/>
    <w:rsid w:val="3CCE23CB"/>
    <w:rsid w:val="3CD17D17"/>
    <w:rsid w:val="3D3C7F39"/>
    <w:rsid w:val="3D440F09"/>
    <w:rsid w:val="3D4504A0"/>
    <w:rsid w:val="3D7514CE"/>
    <w:rsid w:val="3D8734BB"/>
    <w:rsid w:val="3D9A11D4"/>
    <w:rsid w:val="3DA16D89"/>
    <w:rsid w:val="3DA364BE"/>
    <w:rsid w:val="3DE041CB"/>
    <w:rsid w:val="3E0D48F6"/>
    <w:rsid w:val="3E1868B4"/>
    <w:rsid w:val="3E377251"/>
    <w:rsid w:val="3E42664B"/>
    <w:rsid w:val="3E582825"/>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B802B7"/>
    <w:rsid w:val="3FFA2134"/>
    <w:rsid w:val="4019356B"/>
    <w:rsid w:val="40592157"/>
    <w:rsid w:val="406E1CAE"/>
    <w:rsid w:val="40A0133A"/>
    <w:rsid w:val="40C31A53"/>
    <w:rsid w:val="40FF545D"/>
    <w:rsid w:val="410067C8"/>
    <w:rsid w:val="418F0D2A"/>
    <w:rsid w:val="41D01505"/>
    <w:rsid w:val="41EF4B15"/>
    <w:rsid w:val="42352838"/>
    <w:rsid w:val="42474939"/>
    <w:rsid w:val="424C3C57"/>
    <w:rsid w:val="42613FF3"/>
    <w:rsid w:val="42660D96"/>
    <w:rsid w:val="428667D2"/>
    <w:rsid w:val="42CD1CE0"/>
    <w:rsid w:val="42E1381E"/>
    <w:rsid w:val="42ED6459"/>
    <w:rsid w:val="42FE58DD"/>
    <w:rsid w:val="43170510"/>
    <w:rsid w:val="43174B3D"/>
    <w:rsid w:val="434B790E"/>
    <w:rsid w:val="4360274F"/>
    <w:rsid w:val="43707776"/>
    <w:rsid w:val="43977AB6"/>
    <w:rsid w:val="43A3342B"/>
    <w:rsid w:val="43C77C27"/>
    <w:rsid w:val="43DB1093"/>
    <w:rsid w:val="43DE09EE"/>
    <w:rsid w:val="44002FAD"/>
    <w:rsid w:val="449101DD"/>
    <w:rsid w:val="44CA4FB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C288A"/>
    <w:rsid w:val="46893F2B"/>
    <w:rsid w:val="46C4686E"/>
    <w:rsid w:val="475064D9"/>
    <w:rsid w:val="477B778F"/>
    <w:rsid w:val="478203EC"/>
    <w:rsid w:val="47B025FA"/>
    <w:rsid w:val="47E013C4"/>
    <w:rsid w:val="4809698F"/>
    <w:rsid w:val="4811697D"/>
    <w:rsid w:val="487A3E25"/>
    <w:rsid w:val="488B5503"/>
    <w:rsid w:val="48937E21"/>
    <w:rsid w:val="489A0361"/>
    <w:rsid w:val="48B94FF3"/>
    <w:rsid w:val="48C26364"/>
    <w:rsid w:val="48E37AAB"/>
    <w:rsid w:val="48FD4B4C"/>
    <w:rsid w:val="490A68E0"/>
    <w:rsid w:val="491055FE"/>
    <w:rsid w:val="49531510"/>
    <w:rsid w:val="495F5B3E"/>
    <w:rsid w:val="496124ED"/>
    <w:rsid w:val="496F77D7"/>
    <w:rsid w:val="497654FD"/>
    <w:rsid w:val="498429AA"/>
    <w:rsid w:val="49B64211"/>
    <w:rsid w:val="49F6167F"/>
    <w:rsid w:val="4A064FA0"/>
    <w:rsid w:val="4A16615C"/>
    <w:rsid w:val="4A1D0657"/>
    <w:rsid w:val="4A23396F"/>
    <w:rsid w:val="4A4424D7"/>
    <w:rsid w:val="4A4D46FA"/>
    <w:rsid w:val="4A6B7C50"/>
    <w:rsid w:val="4AB82D0F"/>
    <w:rsid w:val="4AEB7664"/>
    <w:rsid w:val="4AF6258E"/>
    <w:rsid w:val="4AFD7C19"/>
    <w:rsid w:val="4B0567D1"/>
    <w:rsid w:val="4B1B18ED"/>
    <w:rsid w:val="4B236AAE"/>
    <w:rsid w:val="4B707271"/>
    <w:rsid w:val="4B9739F7"/>
    <w:rsid w:val="4BEE2503"/>
    <w:rsid w:val="4C245A30"/>
    <w:rsid w:val="4C5431DF"/>
    <w:rsid w:val="4CB6685F"/>
    <w:rsid w:val="4CC367FE"/>
    <w:rsid w:val="4D077F3C"/>
    <w:rsid w:val="4D123355"/>
    <w:rsid w:val="4D260D93"/>
    <w:rsid w:val="4D2A3B31"/>
    <w:rsid w:val="4D312C52"/>
    <w:rsid w:val="4D461C73"/>
    <w:rsid w:val="4D905305"/>
    <w:rsid w:val="4D964A72"/>
    <w:rsid w:val="4D9C1254"/>
    <w:rsid w:val="4E3E0B1E"/>
    <w:rsid w:val="4E6D66C7"/>
    <w:rsid w:val="4E76105A"/>
    <w:rsid w:val="4E793892"/>
    <w:rsid w:val="4E800872"/>
    <w:rsid w:val="4E8A3839"/>
    <w:rsid w:val="4EBE0CBF"/>
    <w:rsid w:val="4EC569ED"/>
    <w:rsid w:val="4ED50EA1"/>
    <w:rsid w:val="4EEC050C"/>
    <w:rsid w:val="4F104EC3"/>
    <w:rsid w:val="4F47354A"/>
    <w:rsid w:val="4F911C54"/>
    <w:rsid w:val="4FC87F99"/>
    <w:rsid w:val="4FE41CC0"/>
    <w:rsid w:val="4FE625E0"/>
    <w:rsid w:val="501D2551"/>
    <w:rsid w:val="5021480F"/>
    <w:rsid w:val="503724AD"/>
    <w:rsid w:val="50750E8F"/>
    <w:rsid w:val="50962ECB"/>
    <w:rsid w:val="50A42E38"/>
    <w:rsid w:val="50A4577F"/>
    <w:rsid w:val="50B73D1F"/>
    <w:rsid w:val="50BD5BC9"/>
    <w:rsid w:val="50C11EEE"/>
    <w:rsid w:val="50E97CFC"/>
    <w:rsid w:val="50F525C8"/>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5B726A"/>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70E8B"/>
    <w:rsid w:val="55983B1B"/>
    <w:rsid w:val="55A8376B"/>
    <w:rsid w:val="55C2414A"/>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3127C"/>
    <w:rsid w:val="599F73C0"/>
    <w:rsid w:val="59F80043"/>
    <w:rsid w:val="5A09252F"/>
    <w:rsid w:val="5A0B2778"/>
    <w:rsid w:val="5A2A7C7B"/>
    <w:rsid w:val="5A3E2560"/>
    <w:rsid w:val="5A5D3B6E"/>
    <w:rsid w:val="5A637A76"/>
    <w:rsid w:val="5A6D33BA"/>
    <w:rsid w:val="5A792B1F"/>
    <w:rsid w:val="5A874767"/>
    <w:rsid w:val="5AAD6F28"/>
    <w:rsid w:val="5AD50114"/>
    <w:rsid w:val="5AD63A24"/>
    <w:rsid w:val="5AD802E3"/>
    <w:rsid w:val="5B2E1A1D"/>
    <w:rsid w:val="5B843A1C"/>
    <w:rsid w:val="5B873E3F"/>
    <w:rsid w:val="5C02690E"/>
    <w:rsid w:val="5C196DA7"/>
    <w:rsid w:val="5C2A048C"/>
    <w:rsid w:val="5C80234E"/>
    <w:rsid w:val="5C8A680C"/>
    <w:rsid w:val="5C964CAD"/>
    <w:rsid w:val="5D0C4701"/>
    <w:rsid w:val="5D0F0395"/>
    <w:rsid w:val="5D170F36"/>
    <w:rsid w:val="5D221076"/>
    <w:rsid w:val="5D26732D"/>
    <w:rsid w:val="5D2D5D20"/>
    <w:rsid w:val="5D397964"/>
    <w:rsid w:val="5D5A391C"/>
    <w:rsid w:val="5D5F10C0"/>
    <w:rsid w:val="5D5F17A5"/>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011A2A"/>
    <w:rsid w:val="60232584"/>
    <w:rsid w:val="607330CE"/>
    <w:rsid w:val="607D7B55"/>
    <w:rsid w:val="60825176"/>
    <w:rsid w:val="609F2AC4"/>
    <w:rsid w:val="60FA2EE8"/>
    <w:rsid w:val="610024DD"/>
    <w:rsid w:val="61054A27"/>
    <w:rsid w:val="610A52BC"/>
    <w:rsid w:val="611D2366"/>
    <w:rsid w:val="61220583"/>
    <w:rsid w:val="61421856"/>
    <w:rsid w:val="615227C4"/>
    <w:rsid w:val="61654E3F"/>
    <w:rsid w:val="6182292A"/>
    <w:rsid w:val="619F7F92"/>
    <w:rsid w:val="61B7248C"/>
    <w:rsid w:val="61D45648"/>
    <w:rsid w:val="61F30B1D"/>
    <w:rsid w:val="61F94C26"/>
    <w:rsid w:val="62000E56"/>
    <w:rsid w:val="620152D8"/>
    <w:rsid w:val="622301BA"/>
    <w:rsid w:val="624F3E49"/>
    <w:rsid w:val="62632286"/>
    <w:rsid w:val="62885958"/>
    <w:rsid w:val="629E17B2"/>
    <w:rsid w:val="62F40B65"/>
    <w:rsid w:val="62FC2CFE"/>
    <w:rsid w:val="62FC3643"/>
    <w:rsid w:val="63024505"/>
    <w:rsid w:val="6350143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56262"/>
    <w:rsid w:val="66195831"/>
    <w:rsid w:val="662E75B1"/>
    <w:rsid w:val="66342C2E"/>
    <w:rsid w:val="663D3CE4"/>
    <w:rsid w:val="663E784C"/>
    <w:rsid w:val="668B6A45"/>
    <w:rsid w:val="672F3F24"/>
    <w:rsid w:val="673632F5"/>
    <w:rsid w:val="673E055F"/>
    <w:rsid w:val="67551CE3"/>
    <w:rsid w:val="67917D9F"/>
    <w:rsid w:val="67A22552"/>
    <w:rsid w:val="67B22DCC"/>
    <w:rsid w:val="67BE71AA"/>
    <w:rsid w:val="67D43295"/>
    <w:rsid w:val="67D90273"/>
    <w:rsid w:val="67DE5875"/>
    <w:rsid w:val="67E55852"/>
    <w:rsid w:val="67EB1AB4"/>
    <w:rsid w:val="67FA1285"/>
    <w:rsid w:val="68345480"/>
    <w:rsid w:val="68551F4F"/>
    <w:rsid w:val="687C10C9"/>
    <w:rsid w:val="68840C16"/>
    <w:rsid w:val="68876EFB"/>
    <w:rsid w:val="68884654"/>
    <w:rsid w:val="689F444F"/>
    <w:rsid w:val="68B96DBB"/>
    <w:rsid w:val="68CA2805"/>
    <w:rsid w:val="68DB3760"/>
    <w:rsid w:val="68E937A3"/>
    <w:rsid w:val="693E15D3"/>
    <w:rsid w:val="69627681"/>
    <w:rsid w:val="6977531D"/>
    <w:rsid w:val="69CC2BFF"/>
    <w:rsid w:val="69FD55B8"/>
    <w:rsid w:val="6A0905B5"/>
    <w:rsid w:val="6A0B1C62"/>
    <w:rsid w:val="6A22716C"/>
    <w:rsid w:val="6A2406C8"/>
    <w:rsid w:val="6ACE29D5"/>
    <w:rsid w:val="6ADE0BD1"/>
    <w:rsid w:val="6AE96859"/>
    <w:rsid w:val="6AEA1A38"/>
    <w:rsid w:val="6B147746"/>
    <w:rsid w:val="6B1B42E7"/>
    <w:rsid w:val="6B24787C"/>
    <w:rsid w:val="6B573233"/>
    <w:rsid w:val="6B5B6274"/>
    <w:rsid w:val="6B935D53"/>
    <w:rsid w:val="6C074500"/>
    <w:rsid w:val="6C196F71"/>
    <w:rsid w:val="6C1A63E9"/>
    <w:rsid w:val="6C226FCB"/>
    <w:rsid w:val="6C31226F"/>
    <w:rsid w:val="6C552F0B"/>
    <w:rsid w:val="6C8C67B7"/>
    <w:rsid w:val="6C9D744C"/>
    <w:rsid w:val="6D167928"/>
    <w:rsid w:val="6D26299B"/>
    <w:rsid w:val="6D4772EC"/>
    <w:rsid w:val="6D601F43"/>
    <w:rsid w:val="6D9078AF"/>
    <w:rsid w:val="6D9F5F45"/>
    <w:rsid w:val="6DAA3FEF"/>
    <w:rsid w:val="6DC0172B"/>
    <w:rsid w:val="6DCB690C"/>
    <w:rsid w:val="6DD41A5B"/>
    <w:rsid w:val="6DF43C2E"/>
    <w:rsid w:val="6DF51CA3"/>
    <w:rsid w:val="6E4E08F3"/>
    <w:rsid w:val="6E8335BD"/>
    <w:rsid w:val="6E8E12EF"/>
    <w:rsid w:val="6E972936"/>
    <w:rsid w:val="6EB91122"/>
    <w:rsid w:val="6ED446C5"/>
    <w:rsid w:val="6F2153A0"/>
    <w:rsid w:val="6F2A7D94"/>
    <w:rsid w:val="6F354CD2"/>
    <w:rsid w:val="6F8331F1"/>
    <w:rsid w:val="6FAE1A09"/>
    <w:rsid w:val="6FD75BF8"/>
    <w:rsid w:val="707723D0"/>
    <w:rsid w:val="708741CD"/>
    <w:rsid w:val="7099559A"/>
    <w:rsid w:val="70AB4566"/>
    <w:rsid w:val="70AE66B7"/>
    <w:rsid w:val="70F5661B"/>
    <w:rsid w:val="71260E18"/>
    <w:rsid w:val="71360107"/>
    <w:rsid w:val="713B688E"/>
    <w:rsid w:val="71687B5B"/>
    <w:rsid w:val="71A36DE5"/>
    <w:rsid w:val="71D43752"/>
    <w:rsid w:val="71E272BF"/>
    <w:rsid w:val="71F1796A"/>
    <w:rsid w:val="72154626"/>
    <w:rsid w:val="72262B5D"/>
    <w:rsid w:val="72283FF7"/>
    <w:rsid w:val="722E7212"/>
    <w:rsid w:val="723A0474"/>
    <w:rsid w:val="725923E4"/>
    <w:rsid w:val="72864BF7"/>
    <w:rsid w:val="729023FC"/>
    <w:rsid w:val="72A116D3"/>
    <w:rsid w:val="734A077D"/>
    <w:rsid w:val="73C0646E"/>
    <w:rsid w:val="73CA48B0"/>
    <w:rsid w:val="742222F5"/>
    <w:rsid w:val="74476126"/>
    <w:rsid w:val="74567ED4"/>
    <w:rsid w:val="74706664"/>
    <w:rsid w:val="747F3682"/>
    <w:rsid w:val="749C4185"/>
    <w:rsid w:val="75067759"/>
    <w:rsid w:val="752D31A7"/>
    <w:rsid w:val="752E6DCD"/>
    <w:rsid w:val="7551380D"/>
    <w:rsid w:val="75600BE5"/>
    <w:rsid w:val="7564475C"/>
    <w:rsid w:val="7583797F"/>
    <w:rsid w:val="75C849BF"/>
    <w:rsid w:val="75D20F1D"/>
    <w:rsid w:val="75DA2C18"/>
    <w:rsid w:val="75F54412"/>
    <w:rsid w:val="761D08E0"/>
    <w:rsid w:val="765D347C"/>
    <w:rsid w:val="76826699"/>
    <w:rsid w:val="76B13D52"/>
    <w:rsid w:val="76C87133"/>
    <w:rsid w:val="76CD08D5"/>
    <w:rsid w:val="76DB4B92"/>
    <w:rsid w:val="77052AA4"/>
    <w:rsid w:val="77136511"/>
    <w:rsid w:val="77340A39"/>
    <w:rsid w:val="77351FD0"/>
    <w:rsid w:val="77380D5E"/>
    <w:rsid w:val="77472422"/>
    <w:rsid w:val="774A3380"/>
    <w:rsid w:val="777F31F2"/>
    <w:rsid w:val="77D1700D"/>
    <w:rsid w:val="77D830C0"/>
    <w:rsid w:val="77EC04CC"/>
    <w:rsid w:val="77ED1FE6"/>
    <w:rsid w:val="78727511"/>
    <w:rsid w:val="78775729"/>
    <w:rsid w:val="78A42DB0"/>
    <w:rsid w:val="78A656AB"/>
    <w:rsid w:val="78B2245C"/>
    <w:rsid w:val="78E172CC"/>
    <w:rsid w:val="78EA1D1F"/>
    <w:rsid w:val="7904172F"/>
    <w:rsid w:val="790F7E27"/>
    <w:rsid w:val="792A231A"/>
    <w:rsid w:val="79316829"/>
    <w:rsid w:val="797E66A9"/>
    <w:rsid w:val="79960FDD"/>
    <w:rsid w:val="79A97383"/>
    <w:rsid w:val="79E27E8B"/>
    <w:rsid w:val="79E85CDC"/>
    <w:rsid w:val="79F850CE"/>
    <w:rsid w:val="79FD443C"/>
    <w:rsid w:val="7A1D1975"/>
    <w:rsid w:val="7A342CD0"/>
    <w:rsid w:val="7A3E5150"/>
    <w:rsid w:val="7A4670D6"/>
    <w:rsid w:val="7A534B63"/>
    <w:rsid w:val="7A54529A"/>
    <w:rsid w:val="7A615382"/>
    <w:rsid w:val="7A67303B"/>
    <w:rsid w:val="7AAB1D04"/>
    <w:rsid w:val="7ABA4368"/>
    <w:rsid w:val="7AD05746"/>
    <w:rsid w:val="7B257FFD"/>
    <w:rsid w:val="7B343476"/>
    <w:rsid w:val="7B3F5F83"/>
    <w:rsid w:val="7B5A2978"/>
    <w:rsid w:val="7B5A7E4C"/>
    <w:rsid w:val="7B667AF9"/>
    <w:rsid w:val="7B7468F8"/>
    <w:rsid w:val="7B986BE5"/>
    <w:rsid w:val="7BAD6ADF"/>
    <w:rsid w:val="7BEE0103"/>
    <w:rsid w:val="7C0A0FE4"/>
    <w:rsid w:val="7C254906"/>
    <w:rsid w:val="7C590818"/>
    <w:rsid w:val="7C7A122F"/>
    <w:rsid w:val="7C7C10F6"/>
    <w:rsid w:val="7C853BEA"/>
    <w:rsid w:val="7C881368"/>
    <w:rsid w:val="7CAD556F"/>
    <w:rsid w:val="7CBA4FE2"/>
    <w:rsid w:val="7CBC4742"/>
    <w:rsid w:val="7CE27788"/>
    <w:rsid w:val="7D0C32F1"/>
    <w:rsid w:val="7D0F408D"/>
    <w:rsid w:val="7D491C6C"/>
    <w:rsid w:val="7D5429C0"/>
    <w:rsid w:val="7D6E6D43"/>
    <w:rsid w:val="7DB57A34"/>
    <w:rsid w:val="7DE60973"/>
    <w:rsid w:val="7DEF0916"/>
    <w:rsid w:val="7E1E5218"/>
    <w:rsid w:val="7E7D1A26"/>
    <w:rsid w:val="7E9A4E1F"/>
    <w:rsid w:val="7EA7723A"/>
    <w:rsid w:val="7EF56FBB"/>
    <w:rsid w:val="7EF944E8"/>
    <w:rsid w:val="7F0768EB"/>
    <w:rsid w:val="7F143BEC"/>
    <w:rsid w:val="7F715AF2"/>
    <w:rsid w:val="7F886E69"/>
    <w:rsid w:val="7FE676AC"/>
    <w:rsid w:val="7FEC5DFB"/>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next w:val="7"/>
    <w:link w:val="722"/>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link w:val="785"/>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6"/>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827"/>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4"/>
    <w:qFormat/>
    <w:uiPriority w:val="0"/>
    <w:rPr>
      <w:b/>
      <w:bCs/>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Body Text First Indent 21"/>
    <w:basedOn w:val="82"/>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2">
    <w:name w:val="Body Text Indent1"/>
    <w:basedOn w:val="1"/>
    <w:next w:val="1"/>
    <w:qFormat/>
    <w:uiPriority w:val="0"/>
    <w:pPr>
      <w:spacing w:after="120" w:afterLines="0"/>
      <w:ind w:left="420" w:leftChars="200"/>
    </w:pPr>
    <w:rPr>
      <w:color w:val="000000"/>
      <w:sz w:val="21"/>
      <w:szCs w:val="21"/>
    </w:rPr>
  </w:style>
  <w:style w:type="paragraph" w:customStyle="1" w:styleId="83">
    <w:name w:val="xl53"/>
    <w:basedOn w:val="1"/>
    <w:next w:val="1"/>
    <w:qFormat/>
    <w:uiPriority w:val="0"/>
    <w:pPr>
      <w:spacing w:before="280" w:after="280" w:line="100" w:lineRule="exact"/>
      <w:jc w:val="center"/>
    </w:pPr>
    <w:rPr>
      <w:b/>
      <w:sz w:val="20"/>
    </w:rPr>
  </w:style>
  <w:style w:type="paragraph" w:customStyle="1" w:styleId="84">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5">
    <w:name w:val="正文文本首行缩进 2"/>
    <w:basedOn w:val="7"/>
    <w:qFormat/>
    <w:uiPriority w:val="99"/>
    <w:pPr>
      <w:spacing w:line="200" w:lineRule="atLeast"/>
      <w:ind w:firstLine="420"/>
    </w:pPr>
    <w:rPr>
      <w:rFonts w:hAnsi="Courier New"/>
      <w:spacing w:val="-4"/>
      <w:sz w:val="18"/>
    </w:rPr>
  </w:style>
  <w:style w:type="paragraph" w:customStyle="1" w:styleId="86">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6"/>
    <w:qFormat/>
    <w:uiPriority w:val="0"/>
    <w:pPr>
      <w:spacing w:before="156" w:line="360" w:lineRule="auto"/>
      <w:ind w:firstLine="510" w:firstLineChars="200"/>
    </w:pPr>
    <w:rPr>
      <w:sz w:val="24"/>
      <w:szCs w:val="20"/>
    </w:rPr>
  </w:style>
  <w:style w:type="paragraph" w:customStyle="1" w:styleId="92">
    <w:name w:val="无间隔1"/>
    <w:link w:val="674"/>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2"/>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7"/>
    <w:qFormat/>
    <w:uiPriority w:val="0"/>
    <w:pPr>
      <w:ind w:left="0" w:right="466" w:firstLine="288"/>
    </w:pPr>
    <w:rPr>
      <w:rFonts w:hAnsi="宋体"/>
    </w:rPr>
  </w:style>
  <w:style w:type="paragraph" w:customStyle="1" w:styleId="99">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8"/>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69"/>
    <w:qFormat/>
    <w:uiPriority w:val="0"/>
    <w:pPr>
      <w:adjustRightInd/>
      <w:spacing w:line="360" w:lineRule="auto"/>
      <w:ind w:firstLine="480" w:firstLineChars="200"/>
    </w:pPr>
    <w:rPr>
      <w:kern w:val="0"/>
      <w:sz w:val="24"/>
    </w:rPr>
  </w:style>
  <w:style w:type="paragraph" w:customStyle="1" w:styleId="104">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0"/>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2"/>
    <w:qFormat/>
    <w:uiPriority w:val="0"/>
    <w:pPr>
      <w:tabs>
        <w:tab w:val="left" w:pos="2356"/>
      </w:tabs>
    </w:pPr>
  </w:style>
  <w:style w:type="paragraph" w:customStyle="1" w:styleId="109">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5"/>
    <w:qFormat/>
    <w:uiPriority w:val="0"/>
    <w:pPr>
      <w:adjustRightInd/>
    </w:pPr>
    <w:rPr>
      <w:rFonts w:ascii="宋体" w:hAnsi="Courier New"/>
      <w:kern w:val="0"/>
      <w:sz w:val="20"/>
      <w:szCs w:val="20"/>
    </w:rPr>
  </w:style>
  <w:style w:type="paragraph" w:customStyle="1" w:styleId="112">
    <w:name w:val="正文说明"/>
    <w:basedOn w:val="1"/>
    <w:link w:val="847"/>
    <w:qFormat/>
    <w:uiPriority w:val="0"/>
    <w:pPr>
      <w:adjustRightInd/>
      <w:spacing w:line="360" w:lineRule="auto"/>
    </w:pPr>
    <w:rPr>
      <w:kern w:val="0"/>
      <w:sz w:val="24"/>
    </w:rPr>
  </w:style>
  <w:style w:type="paragraph" w:customStyle="1" w:styleId="113">
    <w:name w:val="Table Text"/>
    <w:basedOn w:val="1"/>
    <w:link w:val="853"/>
    <w:qFormat/>
    <w:uiPriority w:val="0"/>
    <w:pPr>
      <w:widowControl/>
      <w:spacing w:before="60" w:after="60"/>
      <w:jc w:val="left"/>
    </w:pPr>
    <w:rPr>
      <w:kern w:val="0"/>
      <w:sz w:val="24"/>
    </w:rPr>
  </w:style>
  <w:style w:type="paragraph" w:customStyle="1" w:styleId="114">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5"/>
    <w:qFormat/>
    <w:uiPriority w:val="0"/>
    <w:pPr>
      <w:widowControl/>
      <w:snapToGrid w:val="0"/>
      <w:spacing w:afterLines="50"/>
      <w:ind w:firstLine="200" w:firstLineChars="200"/>
    </w:pPr>
    <w:rPr>
      <w:kern w:val="0"/>
      <w:sz w:val="24"/>
      <w:szCs w:val="20"/>
    </w:rPr>
  </w:style>
  <w:style w:type="paragraph" w:customStyle="1" w:styleId="119">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8"/>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outlineLvl w:val="5"/>
    </w:pPr>
  </w:style>
  <w:style w:type="paragraph" w:customStyle="1" w:styleId="163">
    <w:name w:val="5级标题"/>
    <w:basedOn w:val="164"/>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43"/>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5"/>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9"/>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5"/>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8"/>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Lines="50"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8"/>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Lines="0" w:afterLines="0"/>
      <w:ind w:left="1680"/>
      <w:outlineLvl w:val="2"/>
    </w:pPr>
  </w:style>
  <w:style w:type="paragraph" w:customStyle="1" w:styleId="347">
    <w:name w:val="章标题"/>
    <w:next w:val="32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8"/>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Lines="50"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5"/>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29"/>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qFormat/>
    <w:uiPriority w:val="0"/>
    <w:pPr>
      <w:tabs>
        <w:tab w:val="left" w:pos="294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3"/>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1"/>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7"/>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2"/>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1"/>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1">
    <w:name w:val="_Style 947"/>
    <w:basedOn w:val="1"/>
    <w:next w:val="106"/>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3">
    <w:name w:val="表格非标题文字 Char"/>
    <w:link w:val="86"/>
    <w:qFormat/>
    <w:uiPriority w:val="0"/>
    <w:rPr>
      <w:rFonts w:ascii="Futura Bk" w:hAnsi="Futura Bk"/>
      <w:kern w:val="2"/>
      <w:sz w:val="18"/>
      <w:szCs w:val="21"/>
      <w:lang w:val="en-US" w:eastAsia="zh-CN" w:bidi="ar-SA"/>
    </w:rPr>
  </w:style>
  <w:style w:type="character" w:customStyle="1" w:styleId="624">
    <w:name w:val="*正文 Char"/>
    <w:link w:val="87"/>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8"/>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9"/>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90"/>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1"/>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9"/>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2"/>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0"/>
    <w:qFormat/>
    <w:uiPriority w:val="0"/>
    <w:rPr>
      <w:rFonts w:ascii="Arial" w:hAnsi="Arial" w:eastAsia="黑体"/>
      <w:b/>
      <w:bCs/>
      <w:kern w:val="2"/>
      <w:sz w:val="24"/>
      <w:szCs w:val="24"/>
    </w:rPr>
  </w:style>
  <w:style w:type="character" w:customStyle="1" w:styleId="682">
    <w:name w:val="纯文本 Char_0"/>
    <w:link w:val="93"/>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5"/>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6"/>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3"/>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7"/>
    <w:qFormat/>
    <w:locked/>
    <w:uiPriority w:val="0"/>
    <w:rPr>
      <w:rFonts w:ascii="Tahoma" w:hAnsi="Tahoma"/>
      <w:sz w:val="24"/>
      <w:szCs w:val="24"/>
    </w:rPr>
  </w:style>
  <w:style w:type="character" w:customStyle="1" w:styleId="722">
    <w:name w:val="正文缩进 Char2"/>
    <w:link w:val="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8"/>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100"/>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1"/>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2"/>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3"/>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4"/>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5"/>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7"/>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7"/>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9"/>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1"/>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2"/>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10"/>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1"/>
    <w:qFormat/>
    <w:uiPriority w:val="0"/>
    <w:rPr>
      <w:rFonts w:ascii="宋体" w:hAnsi="Courier New"/>
    </w:rPr>
  </w:style>
  <w:style w:type="character" w:customStyle="1" w:styleId="836">
    <w:name w:val="正文首行缩进 Char"/>
    <w:link w:val="26"/>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8"/>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2"/>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3"/>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0"/>
    <w:rPr>
      <w:kern w:val="2"/>
      <w:sz w:val="21"/>
      <w:szCs w:val="24"/>
    </w:rPr>
  </w:style>
  <w:style w:type="character" w:customStyle="1" w:styleId="858">
    <w:name w:val="签名 Char"/>
    <w:link w:val="44"/>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4"/>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5"/>
    <w:qFormat/>
    <w:uiPriority w:val="0"/>
    <w:rPr>
      <w:rFonts w:ascii="宋体"/>
    </w:rPr>
  </w:style>
  <w:style w:type="character" w:customStyle="1" w:styleId="869">
    <w:name w:val="标题 8 Char"/>
    <w:link w:val="12"/>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6"/>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7"/>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3"/>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8"/>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9"/>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20"/>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1"/>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2"/>
    <w:qFormat/>
    <w:uiPriority w:val="0"/>
    <w:rPr>
      <w:rFonts w:cs="宋体"/>
      <w:kern w:val="2"/>
      <w:sz w:val="24"/>
    </w:rPr>
  </w:style>
  <w:style w:type="character" w:customStyle="1" w:styleId="93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72"/>
    <w:qFormat/>
    <w:uiPriority w:val="99"/>
    <w:rPr>
      <w:kern w:val="2"/>
      <w:sz w:val="21"/>
      <w:szCs w:val="22"/>
    </w:rPr>
  </w:style>
  <w:style w:type="character" w:customStyle="1" w:styleId="944">
    <w:name w:val="标准文本 Char Char"/>
    <w:link w:val="610"/>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
    <w:qFormat/>
    <w:uiPriority w:val="0"/>
    <w:tblPr>
      <w:tblCellMar>
        <w:top w:w="0" w:type="dxa"/>
        <w:left w:w="0" w:type="dxa"/>
        <w:bottom w:w="0" w:type="dxa"/>
        <w:right w:w="0" w:type="dxa"/>
      </w:tblCellMar>
    </w:tblPr>
  </w:style>
  <w:style w:type="paragraph" w:customStyle="1" w:styleId="968">
    <w:name w:val="正文文本首行缩进 21"/>
    <w:basedOn w:val="7"/>
    <w:qFormat/>
    <w:uiPriority w:val="99"/>
    <w:pPr>
      <w:spacing w:line="200" w:lineRule="atLeast"/>
      <w:ind w:firstLine="420"/>
    </w:pPr>
    <w:rPr>
      <w:rFonts w:hAnsi="Courier New"/>
      <w:spacing w:val="-4"/>
      <w:sz w:val="18"/>
    </w:rPr>
  </w:style>
  <w:style w:type="paragraph" w:customStyle="1" w:styleId="969">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7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1">
    <w:name w:val="BodyTextIndent"/>
    <w:basedOn w:val="1"/>
    <w:next w:val="972"/>
    <w:qFormat/>
    <w:uiPriority w:val="0"/>
    <w:pPr>
      <w:spacing w:line="480" w:lineRule="atLeast"/>
      <w:ind w:firstLine="570"/>
      <w:textAlignment w:val="baseline"/>
    </w:pPr>
    <w:rPr>
      <w:rFonts w:ascii="??" w:hAnsi="??" w:eastAsia="??"/>
      <w:sz w:val="28"/>
      <w:szCs w:val="28"/>
    </w:rPr>
  </w:style>
  <w:style w:type="paragraph" w:customStyle="1" w:styleId="972">
    <w:name w:val="UserStyle_460"/>
    <w:basedOn w:val="971"/>
    <w:qFormat/>
    <w:uiPriority w:val="0"/>
    <w:pPr>
      <w:spacing w:line="240" w:lineRule="atLeast"/>
      <w:ind w:firstLine="420"/>
    </w:pPr>
    <w:rPr>
      <w:rFonts w:ascii="宋体" w:hAnsi="Courier New"/>
      <w:spacing w:val="-4"/>
      <w:sz w:val="18"/>
    </w:rPr>
  </w:style>
  <w:style w:type="paragraph" w:customStyle="1" w:styleId="973">
    <w:name w:val="BodyText"/>
    <w:basedOn w:val="1"/>
    <w:qFormat/>
    <w:uiPriority w:val="0"/>
    <w:pPr>
      <w:textAlignment w:val="baseline"/>
    </w:pPr>
    <w:rPr>
      <w:rFonts w:ascii="等线" w:hAnsi="等线" w:eastAsia="??"/>
      <w:sz w:val="24"/>
      <w:szCs w:val="28"/>
    </w:rPr>
  </w:style>
  <w:style w:type="paragraph" w:customStyle="1" w:styleId="974">
    <w:name w:val="UserStyle_16"/>
    <w:basedOn w:val="1"/>
    <w:qFormat/>
    <w:uiPriority w:val="0"/>
    <w:pPr>
      <w:widowControl/>
      <w:spacing w:before="156" w:line="360" w:lineRule="auto"/>
      <w:ind w:firstLine="510" w:firstLineChars="200"/>
    </w:pPr>
    <w:rPr>
      <w:rFonts w:ascii="Calibri" w:hAnsi="Calibri"/>
      <w:kern w:val="0"/>
      <w:sz w:val="24"/>
      <w:szCs w:val="20"/>
    </w:rPr>
  </w:style>
  <w:style w:type="paragraph" w:styleId="975">
    <w:name w:val="List Paragraph"/>
    <w:basedOn w:val="1"/>
    <w:unhideWhenUsed/>
    <w:qFormat/>
    <w:uiPriority w:val="99"/>
    <w:pPr>
      <w:ind w:firstLine="420" w:firstLineChars="200"/>
    </w:pPr>
  </w:style>
  <w:style w:type="paragraph" w:customStyle="1" w:styleId="976">
    <w:name w:val="2"/>
    <w:basedOn w:val="1"/>
    <w:next w:val="1"/>
    <w:qFormat/>
    <w:uiPriority w:val="0"/>
    <w:pPr>
      <w:adjustRightInd/>
    </w:pPr>
    <w:rPr>
      <w:rFonts w:ascii="Calibri" w:hAnsi="Calibri" w:eastAsia="仿宋_GB2312"/>
      <w:sz w:val="1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35941</Words>
  <Characters>38037</Characters>
  <Lines>51</Lines>
  <Paragraphs>97</Paragraphs>
  <TotalTime>8</TotalTime>
  <ScaleCrop>false</ScaleCrop>
  <LinksUpToDate>false</LinksUpToDate>
  <CharactersWithSpaces>40477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Mr.Z</cp:lastModifiedBy>
  <cp:lastPrinted>2022-08-19T05:40:00Z</cp:lastPrinted>
  <dcterms:modified xsi:type="dcterms:W3CDTF">2022-10-09T13:09:44Z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0CEBA4B2770A41F682CC7C509F913628</vt:lpwstr>
  </property>
  <property fmtid="{D5CDD505-2E9C-101B-9397-08002B2CF9AE}" pid="5" name="commondata">
    <vt:lpwstr>eyJoZGlkIjoiMmE3NTc1MTljMDA0ZWI0ZjljNTEwZjI5MzUwYjAxOTgifQ==</vt:lpwstr>
  </property>
</Properties>
</file>