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3C8D">
      <w:pPr>
        <w:spacing w:line="360" w:lineRule="auto"/>
        <w:jc w:val="center"/>
        <w:rPr>
          <w:rFonts w:ascii="宋体" w:hAnsi="宋体" w:cs="宋体"/>
          <w:b/>
          <w:color w:val="auto"/>
          <w:sz w:val="24"/>
          <w:highlight w:val="none"/>
        </w:rPr>
      </w:pPr>
    </w:p>
    <w:p w14:paraId="6B6178B5">
      <w:pPr>
        <w:spacing w:line="360" w:lineRule="auto"/>
        <w:jc w:val="center"/>
        <w:rPr>
          <w:rFonts w:ascii="宋体" w:hAnsi="宋体" w:cs="宋体"/>
          <w:b/>
          <w:color w:val="auto"/>
          <w:sz w:val="24"/>
          <w:highlight w:val="none"/>
        </w:rPr>
      </w:pPr>
    </w:p>
    <w:p w14:paraId="2DF26A1E">
      <w:pPr>
        <w:adjustRightInd/>
        <w:spacing w:line="360" w:lineRule="auto"/>
        <w:jc w:val="center"/>
        <w:rPr>
          <w:rFonts w:ascii="宋体" w:hAnsi="宋体" w:cs="宋体"/>
          <w:b/>
          <w:color w:val="auto"/>
          <w:sz w:val="44"/>
          <w:szCs w:val="44"/>
          <w:highlight w:val="none"/>
        </w:rPr>
      </w:pPr>
    </w:p>
    <w:p w14:paraId="114A8E94">
      <w:pPr>
        <w:spacing w:line="360" w:lineRule="auto"/>
        <w:jc w:val="center"/>
        <w:rPr>
          <w:rFonts w:ascii="宋体" w:hAnsi="宋体" w:cs="宋体"/>
          <w:b/>
          <w:color w:val="auto"/>
          <w:sz w:val="44"/>
          <w:szCs w:val="44"/>
          <w:highlight w:val="none"/>
        </w:rPr>
      </w:pPr>
    </w:p>
    <w:p w14:paraId="10CC1FFF">
      <w:pPr>
        <w:adjustRightInd/>
        <w:spacing w:line="360" w:lineRule="auto"/>
        <w:jc w:val="center"/>
        <w:rPr>
          <w:rFonts w:ascii="宋体" w:hAnsi="宋体" w:cs="宋体"/>
          <w:b/>
          <w:color w:val="auto"/>
          <w:sz w:val="48"/>
          <w:szCs w:val="48"/>
          <w:highlight w:val="none"/>
        </w:rPr>
      </w:pPr>
    </w:p>
    <w:p w14:paraId="083FAE5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2025年杭州交警业务系统租赁使用服务-2025年PDT数字集群终端设备使用服务项目</w:t>
      </w:r>
    </w:p>
    <w:p w14:paraId="50D8E8D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498ED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37852DD">
      <w:pPr>
        <w:adjustRightInd w:val="0"/>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编号:ZJWS2025-JJZD07</w:t>
      </w:r>
    </w:p>
    <w:p w14:paraId="6698F5B2">
      <w:pPr>
        <w:adjustRightInd/>
        <w:spacing w:line="360" w:lineRule="auto"/>
        <w:rPr>
          <w:rFonts w:ascii="宋体" w:hAnsi="宋体" w:cs="宋体"/>
          <w:color w:val="auto"/>
          <w:sz w:val="28"/>
          <w:szCs w:val="20"/>
          <w:highlight w:val="none"/>
        </w:rPr>
      </w:pPr>
    </w:p>
    <w:p w14:paraId="0C0ACAA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BBF54">
      <w:pPr>
        <w:spacing w:line="360" w:lineRule="auto"/>
        <w:rPr>
          <w:rFonts w:ascii="宋体" w:hAnsi="宋体" w:cs="宋体"/>
          <w:color w:val="auto"/>
          <w:sz w:val="24"/>
          <w:highlight w:val="none"/>
        </w:rPr>
      </w:pPr>
    </w:p>
    <w:p w14:paraId="5B745636">
      <w:pPr>
        <w:spacing w:line="360" w:lineRule="auto"/>
        <w:rPr>
          <w:rFonts w:ascii="宋体" w:hAnsi="宋体" w:cs="宋体"/>
          <w:color w:val="auto"/>
          <w:sz w:val="32"/>
          <w:szCs w:val="32"/>
          <w:highlight w:val="none"/>
        </w:rPr>
      </w:pPr>
    </w:p>
    <w:p w14:paraId="06073531">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杭州市公安局交通警察支队</w:t>
      </w:r>
    </w:p>
    <w:p w14:paraId="038A30A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浙江五石中正工程咨询有限公司</w:t>
      </w:r>
    </w:p>
    <w:p w14:paraId="039B83CE">
      <w:pPr>
        <w:adjustRightInd w:val="0"/>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14:paraId="6A353C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EDC773F">
      <w:pPr>
        <w:pStyle w:val="575"/>
        <w:rPr>
          <w:rFonts w:ascii="宋体" w:hAnsi="宋体" w:eastAsia="宋体" w:cs="宋体"/>
          <w:color w:val="auto"/>
          <w:highlight w:val="none"/>
        </w:rPr>
      </w:pPr>
    </w:p>
    <w:p w14:paraId="0707F88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D509D9">
      <w:pPr>
        <w:spacing w:line="360" w:lineRule="auto"/>
        <w:rPr>
          <w:rFonts w:ascii="宋体" w:hAnsi="宋体" w:cs="宋体"/>
          <w:color w:val="auto"/>
          <w:sz w:val="32"/>
          <w:szCs w:val="32"/>
          <w:highlight w:val="none"/>
        </w:rPr>
      </w:pPr>
    </w:p>
    <w:p w14:paraId="77B2C467">
      <w:pPr>
        <w:spacing w:line="360" w:lineRule="auto"/>
        <w:rPr>
          <w:rFonts w:ascii="宋体" w:hAnsi="宋体" w:cs="宋体"/>
          <w:color w:val="auto"/>
          <w:sz w:val="32"/>
          <w:szCs w:val="32"/>
          <w:highlight w:val="none"/>
        </w:rPr>
      </w:pPr>
    </w:p>
    <w:p w14:paraId="2FD8E2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261DD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C089FB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7F76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E4302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A7F8C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F1B9F3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55BA2FA">
      <w:pPr>
        <w:spacing w:line="360" w:lineRule="auto"/>
        <w:ind w:firstLine="549" w:firstLineChars="229"/>
        <w:rPr>
          <w:rFonts w:ascii="宋体" w:hAnsi="宋体" w:cs="宋体"/>
          <w:color w:val="auto"/>
          <w:sz w:val="24"/>
          <w:highlight w:val="none"/>
        </w:rPr>
      </w:pPr>
    </w:p>
    <w:p w14:paraId="410BD19F">
      <w:pPr>
        <w:spacing w:line="360" w:lineRule="auto"/>
        <w:ind w:firstLine="549" w:firstLineChars="229"/>
        <w:rPr>
          <w:rFonts w:ascii="宋体" w:hAnsi="宋体" w:cs="宋体"/>
          <w:color w:val="auto"/>
          <w:sz w:val="24"/>
          <w:highlight w:val="none"/>
        </w:rPr>
      </w:pPr>
    </w:p>
    <w:p w14:paraId="64000A91">
      <w:pPr>
        <w:spacing w:line="360" w:lineRule="auto"/>
        <w:ind w:firstLine="549" w:firstLineChars="229"/>
        <w:rPr>
          <w:rFonts w:ascii="宋体" w:hAnsi="宋体" w:cs="宋体"/>
          <w:color w:val="auto"/>
          <w:sz w:val="24"/>
          <w:highlight w:val="none"/>
        </w:rPr>
      </w:pPr>
    </w:p>
    <w:p w14:paraId="0103F327">
      <w:pPr>
        <w:spacing w:line="360" w:lineRule="auto"/>
        <w:ind w:firstLine="549" w:firstLineChars="229"/>
        <w:rPr>
          <w:rFonts w:ascii="宋体" w:hAnsi="宋体" w:cs="宋体"/>
          <w:color w:val="auto"/>
          <w:sz w:val="24"/>
          <w:highlight w:val="none"/>
        </w:rPr>
      </w:pPr>
    </w:p>
    <w:p w14:paraId="1D953383">
      <w:pPr>
        <w:spacing w:line="360" w:lineRule="auto"/>
        <w:ind w:firstLine="549" w:firstLineChars="229"/>
        <w:rPr>
          <w:rFonts w:ascii="宋体" w:hAnsi="宋体" w:cs="宋体"/>
          <w:color w:val="auto"/>
          <w:sz w:val="24"/>
          <w:highlight w:val="none"/>
        </w:rPr>
      </w:pPr>
    </w:p>
    <w:p w14:paraId="45E59BD5">
      <w:pPr>
        <w:spacing w:line="360" w:lineRule="auto"/>
        <w:ind w:firstLine="549" w:firstLineChars="229"/>
        <w:rPr>
          <w:rFonts w:ascii="宋体" w:hAnsi="宋体" w:cs="宋体"/>
          <w:color w:val="auto"/>
          <w:sz w:val="24"/>
          <w:highlight w:val="none"/>
        </w:rPr>
      </w:pPr>
    </w:p>
    <w:p w14:paraId="5AB006FF">
      <w:pPr>
        <w:spacing w:line="360" w:lineRule="auto"/>
        <w:ind w:firstLine="549" w:firstLineChars="229"/>
        <w:rPr>
          <w:rFonts w:ascii="宋体" w:hAnsi="宋体" w:cs="宋体"/>
          <w:color w:val="auto"/>
          <w:sz w:val="24"/>
          <w:highlight w:val="none"/>
        </w:rPr>
      </w:pPr>
    </w:p>
    <w:p w14:paraId="7FD59CBE">
      <w:pPr>
        <w:spacing w:line="360" w:lineRule="auto"/>
        <w:ind w:firstLine="549" w:firstLineChars="229"/>
        <w:rPr>
          <w:rFonts w:ascii="宋体" w:hAnsi="宋体" w:cs="宋体"/>
          <w:color w:val="auto"/>
          <w:sz w:val="24"/>
          <w:highlight w:val="none"/>
        </w:rPr>
      </w:pPr>
    </w:p>
    <w:p w14:paraId="7C6FB2EC">
      <w:pPr>
        <w:spacing w:line="360" w:lineRule="auto"/>
        <w:ind w:firstLine="549" w:firstLineChars="229"/>
        <w:rPr>
          <w:rFonts w:ascii="宋体" w:hAnsi="宋体" w:cs="宋体"/>
          <w:color w:val="auto"/>
          <w:sz w:val="24"/>
          <w:highlight w:val="none"/>
        </w:rPr>
      </w:pPr>
    </w:p>
    <w:p w14:paraId="7ACA98C4">
      <w:pPr>
        <w:spacing w:line="360" w:lineRule="auto"/>
        <w:ind w:firstLine="549" w:firstLineChars="229"/>
        <w:rPr>
          <w:rFonts w:ascii="宋体" w:hAnsi="宋体" w:cs="宋体"/>
          <w:color w:val="auto"/>
          <w:sz w:val="24"/>
          <w:highlight w:val="none"/>
        </w:rPr>
      </w:pPr>
    </w:p>
    <w:p w14:paraId="10619887">
      <w:pPr>
        <w:spacing w:line="360" w:lineRule="auto"/>
        <w:ind w:firstLine="549" w:firstLineChars="229"/>
        <w:rPr>
          <w:rFonts w:ascii="宋体" w:hAnsi="宋体" w:cs="宋体"/>
          <w:color w:val="auto"/>
          <w:sz w:val="24"/>
          <w:highlight w:val="none"/>
        </w:rPr>
      </w:pPr>
    </w:p>
    <w:p w14:paraId="3F6A0C8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B745B8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8F23A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2025年杭州交警业务系统租赁使用服务-2025年PDT数字集群终端设备使用服务项目</w:t>
      </w:r>
      <w:r>
        <w:rPr>
          <w:rFonts w:hint="eastAsia" w:ascii="宋体" w:hAnsi="宋体" w:cs="宋体"/>
          <w:color w:val="auto"/>
          <w:sz w:val="24"/>
          <w:highlight w:val="none"/>
        </w:rPr>
        <w:t>招标项目的潜在投标人应在政采云平台（</w:t>
      </w:r>
      <w:r>
        <w:rPr>
          <w:rStyle w:val="71"/>
          <w:rFonts w:hint="eastAsia" w:ascii="宋体" w:hAnsi="宋体" w:eastAsia="宋体" w:cs="宋体"/>
          <w:snapToGrid/>
          <w:color w:val="auto"/>
          <w:kern w:val="2"/>
          <w:sz w:val="24"/>
          <w:szCs w:val="24"/>
          <w:highlight w:val="none"/>
        </w:rPr>
        <w:fldChar w:fldCharType="begin"/>
      </w:r>
      <w:r>
        <w:rPr>
          <w:color w:val="auto"/>
          <w:highlight w:val="none"/>
        </w:rPr>
        <w:instrText xml:space="preserve">HYPERLINK "https://www.zcygov.cn/）获取（下载）招标文件，并于202 年 月 日 点 分00秒"</w:instrText>
      </w:r>
      <w:r>
        <w:rPr>
          <w:rStyle w:val="71"/>
          <w:rFonts w:hint="eastAsia" w:ascii="宋体" w:hAnsi="宋体" w:eastAsia="宋体" w:cs="宋体"/>
          <w:snapToGrid/>
          <w:color w:val="auto"/>
          <w:kern w:val="2"/>
          <w:sz w:val="24"/>
          <w:szCs w:val="24"/>
          <w:highlight w:val="none"/>
        </w:rPr>
        <w:fldChar w:fldCharType="separate"/>
      </w:r>
      <w:r>
        <w:rPr>
          <w:rStyle w:val="71"/>
          <w:rFonts w:hint="eastAsia" w:ascii="宋体" w:hAnsi="宋体" w:eastAsia="宋体" w:cs="宋体"/>
          <w:snapToGrid/>
          <w:color w:val="auto"/>
          <w:kern w:val="2"/>
          <w:sz w:val="24"/>
          <w:szCs w:val="24"/>
          <w:highlight w:val="none"/>
        </w:rPr>
        <w:t>https://www.zcygov.cn/）获取（下载）招标文件，并于202</w:t>
      </w:r>
      <w:r>
        <w:rPr>
          <w:rStyle w:val="71"/>
          <w:rFonts w:hint="eastAsia" w:ascii="宋体" w:hAnsi="宋体" w:cs="宋体"/>
          <w:snapToGrid/>
          <w:color w:val="auto"/>
          <w:kern w:val="2"/>
          <w:sz w:val="24"/>
          <w:szCs w:val="24"/>
          <w:highlight w:val="none"/>
          <w:lang w:val="en-US" w:eastAsia="zh-CN"/>
        </w:rPr>
        <w:t>5</w:t>
      </w:r>
      <w:r>
        <w:rPr>
          <w:rStyle w:val="71"/>
          <w:rFonts w:hint="eastAsia" w:ascii="宋体" w:hAnsi="宋体" w:eastAsia="宋体" w:cs="宋体"/>
          <w:snapToGrid/>
          <w:color w:val="auto"/>
          <w:kern w:val="2"/>
          <w:sz w:val="24"/>
          <w:szCs w:val="24"/>
          <w:highlight w:val="none"/>
        </w:rPr>
        <w:t>年</w:t>
      </w:r>
      <w:r>
        <w:rPr>
          <w:rStyle w:val="71"/>
          <w:rFonts w:hint="eastAsia" w:ascii="宋体" w:hAnsi="宋体" w:cs="宋体"/>
          <w:snapToGrid/>
          <w:color w:val="auto"/>
          <w:kern w:val="2"/>
          <w:sz w:val="24"/>
          <w:szCs w:val="24"/>
          <w:highlight w:val="none"/>
          <w:lang w:val="en-US" w:eastAsia="zh-CN"/>
        </w:rPr>
        <w:t>7</w:t>
      </w:r>
      <w:r>
        <w:rPr>
          <w:rStyle w:val="71"/>
          <w:rFonts w:hint="eastAsia" w:ascii="宋体" w:hAnsi="宋体" w:eastAsia="宋体" w:cs="宋体"/>
          <w:snapToGrid/>
          <w:color w:val="auto"/>
          <w:kern w:val="2"/>
          <w:sz w:val="24"/>
          <w:szCs w:val="24"/>
          <w:highlight w:val="none"/>
        </w:rPr>
        <w:t>月</w:t>
      </w:r>
      <w:r>
        <w:rPr>
          <w:rStyle w:val="71"/>
          <w:rFonts w:hint="eastAsia" w:ascii="宋体" w:hAnsi="宋体" w:cs="宋体"/>
          <w:snapToGrid/>
          <w:color w:val="auto"/>
          <w:kern w:val="2"/>
          <w:sz w:val="24"/>
          <w:szCs w:val="24"/>
          <w:highlight w:val="none"/>
          <w:lang w:val="en-US" w:eastAsia="zh-CN"/>
        </w:rPr>
        <w:t>24</w:t>
      </w:r>
      <w:r>
        <w:rPr>
          <w:rStyle w:val="71"/>
          <w:rFonts w:hint="eastAsia" w:ascii="宋体" w:hAnsi="宋体" w:eastAsia="宋体" w:cs="宋体"/>
          <w:snapToGrid/>
          <w:color w:val="auto"/>
          <w:kern w:val="2"/>
          <w:sz w:val="24"/>
          <w:szCs w:val="24"/>
          <w:highlight w:val="none"/>
        </w:rPr>
        <w:t>日</w:t>
      </w:r>
      <w:r>
        <w:rPr>
          <w:rStyle w:val="71"/>
          <w:rFonts w:hint="eastAsia" w:ascii="宋体" w:hAnsi="宋体" w:cs="宋体"/>
          <w:snapToGrid/>
          <w:color w:val="auto"/>
          <w:kern w:val="2"/>
          <w:sz w:val="24"/>
          <w:szCs w:val="24"/>
          <w:highlight w:val="none"/>
          <w:lang w:val="en-US" w:eastAsia="zh-CN"/>
        </w:rPr>
        <w:t>14</w:t>
      </w:r>
      <w:r>
        <w:rPr>
          <w:rStyle w:val="71"/>
          <w:rFonts w:hint="eastAsia" w:ascii="宋体" w:hAnsi="宋体" w:eastAsia="宋体" w:cs="宋体"/>
          <w:snapToGrid/>
          <w:color w:val="auto"/>
          <w:kern w:val="2"/>
          <w:sz w:val="24"/>
          <w:szCs w:val="24"/>
          <w:highlight w:val="none"/>
        </w:rPr>
        <w:t>点</w:t>
      </w:r>
      <w:r>
        <w:rPr>
          <w:rStyle w:val="71"/>
          <w:rFonts w:hint="eastAsia" w:ascii="宋体" w:hAnsi="宋体" w:cs="宋体"/>
          <w:snapToGrid/>
          <w:color w:val="auto"/>
          <w:kern w:val="2"/>
          <w:sz w:val="24"/>
          <w:szCs w:val="24"/>
          <w:highlight w:val="none"/>
          <w:lang w:val="en-US" w:eastAsia="zh-CN"/>
        </w:rPr>
        <w:t>30</w:t>
      </w:r>
      <w:r>
        <w:rPr>
          <w:rStyle w:val="71"/>
          <w:rFonts w:hint="eastAsia" w:ascii="宋体" w:hAnsi="宋体" w:eastAsia="宋体" w:cs="宋体"/>
          <w:snapToGrid/>
          <w:color w:val="auto"/>
          <w:kern w:val="2"/>
          <w:sz w:val="24"/>
          <w:szCs w:val="24"/>
          <w:highlight w:val="none"/>
        </w:rPr>
        <w:t>分</w:t>
      </w:r>
      <w:r>
        <w:rPr>
          <w:rStyle w:val="71"/>
          <w:rFonts w:hint="eastAsia" w:ascii="宋体" w:hAnsi="宋体" w:eastAsia="宋体" w:cs="宋体"/>
          <w:bCs/>
          <w:snapToGrid/>
          <w:color w:val="auto"/>
          <w:kern w:val="2"/>
          <w:sz w:val="24"/>
          <w:szCs w:val="24"/>
          <w:highlight w:val="none"/>
        </w:rPr>
        <w:t>00秒</w:t>
      </w:r>
      <w:r>
        <w:rPr>
          <w:rStyle w:val="71"/>
          <w:rFonts w:hint="eastAsia" w:ascii="宋体" w:hAnsi="宋体" w:eastAsia="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C4D9B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E4AE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ZJWS2025-JJZD07</w:t>
      </w:r>
    </w:p>
    <w:p w14:paraId="20B0CAD7">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2025年杭州交警业务系统租赁使用服务-2025年PDT数字集群终端设备使用服务项目   </w:t>
      </w:r>
      <w:r>
        <w:rPr>
          <w:rFonts w:hint="eastAsia" w:ascii="宋体" w:hAnsi="宋体" w:cs="宋体"/>
          <w:b/>
          <w:color w:val="auto"/>
          <w:sz w:val="24"/>
          <w:highlight w:val="none"/>
        </w:rPr>
        <w:t xml:space="preserve"> </w:t>
      </w:r>
    </w:p>
    <w:p w14:paraId="30EC4BD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人民币227万元（其中2025年安排 113.5万元）</w:t>
      </w:r>
    </w:p>
    <w:p w14:paraId="4C191F0B">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人民币22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万元</w:t>
      </w:r>
    </w:p>
    <w:p w14:paraId="3B1FBF82">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采购需求：</w:t>
      </w:r>
      <w:r>
        <w:rPr>
          <w:rFonts w:hint="eastAsia" w:ascii="宋体" w:hAnsi="宋体" w:cs="宋体"/>
          <w:bCs/>
          <w:color w:val="auto"/>
          <w:sz w:val="24"/>
          <w:highlight w:val="none"/>
        </w:rPr>
        <w:t>2025年杭州交警业务系统租赁使用服务-2025年PDT数字集群终端设备使用服务项目主要内容：</w:t>
      </w:r>
      <w:r>
        <w:rPr>
          <w:rFonts w:hint="eastAsia" w:ascii="宋体" w:hAnsi="宋体" w:cs="宋体"/>
          <w:color w:val="auto"/>
          <w:sz w:val="24"/>
          <w:highlight w:val="none"/>
        </w:rPr>
        <w:t>提供2000台PDT数字集群终端设备及终端设备管理服务。</w:t>
      </w:r>
    </w:p>
    <w:p w14:paraId="4ED7737D">
      <w:pPr>
        <w:pStyle w:val="6"/>
        <w:spacing w:line="360" w:lineRule="auto"/>
        <w:ind w:firstLine="480"/>
        <w:rPr>
          <w:rFonts w:hAnsi="宋体" w:cs="宋体"/>
          <w:bCs/>
          <w:snapToGrid/>
          <w:color w:val="auto"/>
          <w:kern w:val="2"/>
          <w:sz w:val="24"/>
          <w:szCs w:val="24"/>
          <w:highlight w:val="none"/>
        </w:rPr>
      </w:pP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60FD8B07">
      <w:pPr>
        <w:spacing w:line="360" w:lineRule="auto"/>
        <w:ind w:firstLine="482" w:firstLineChars="200"/>
        <w:jc w:val="left"/>
        <w:rPr>
          <w:rFonts w:ascii="宋体" w:hAnsi="宋体" w:cs="宋体"/>
          <w:bCs/>
          <w:color w:val="auto"/>
          <w:sz w:val="24"/>
          <w:highlight w:val="none"/>
          <w:u w:val="single"/>
        </w:rPr>
      </w:pPr>
      <w:r>
        <w:rPr>
          <w:rFonts w:hint="eastAsia" w:ascii="宋体" w:hAnsi="宋体" w:cs="宋体"/>
          <w:b/>
          <w:color w:val="auto"/>
          <w:sz w:val="24"/>
          <w:highlight w:val="none"/>
        </w:rPr>
        <w:t>合同履约期限：</w:t>
      </w:r>
      <w:r>
        <w:rPr>
          <w:rFonts w:hint="eastAsia" w:ascii="宋体" w:hAnsi="宋体" w:cs="宋体"/>
          <w:bCs/>
          <w:color w:val="auto"/>
          <w:sz w:val="24"/>
          <w:highlight w:val="none"/>
          <w:u w:val="single"/>
        </w:rPr>
        <w:t>12个月（2025年8月1日-2026年7月31日）。</w:t>
      </w:r>
    </w:p>
    <w:p w14:paraId="539F5359">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62757843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int="eastAsia" w:hAnsi="宋体" w:cs="宋体"/>
            <w:color w:val="auto"/>
            <w:kern w:val="0"/>
            <w:sz w:val="24"/>
            <w:highlight w:val="none"/>
          </w:rPr>
          <w:id w:val="115505707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882330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2981C8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BB195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10E8669">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5F4B596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6123086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50FC64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17373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sdt>
      <w:sdt>
        <w:sdtPr>
          <w:rPr>
            <w:rFonts w:hint="eastAsia" w:ascii="宋体" w:hAnsi="宋体" w:cs="宋体"/>
            <w:color w:val="auto"/>
            <w:kern w:val="0"/>
            <w:sz w:val="24"/>
            <w:highlight w:val="none"/>
          </w:rPr>
          <w:id w:val="13113373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2AA9D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3047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7208AE7D">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8946711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84CC3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90235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4338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9147326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DA86F3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p>
    <w:p w14:paraId="7F684396">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7920920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无。</w:t>
      </w:r>
    </w:p>
    <w:p w14:paraId="5D1CC292">
      <w:pPr>
        <w:adjustRightInd w:val="0"/>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1011106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5BE4B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9888B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C3C5E8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50F4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7BF38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F689E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F326D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306BC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C8E450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932BDF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766672B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D92934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E4FA9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43F49A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5ADA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w:t>
      </w:r>
      <w:r>
        <w:rPr>
          <w:rFonts w:hint="eastAsia" w:ascii="宋体" w:hAnsi="宋体" w:cs="宋体"/>
          <w:color w:val="auto"/>
          <w:sz w:val="24"/>
          <w:highlight w:val="none"/>
        </w:rPr>
        <w:t>〔2022〕3号</w:t>
      </w:r>
      <w:r>
        <w:rPr>
          <w:rFonts w:hint="eastAsia"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rPr>
        <w:t>〔2021〕22号</w:t>
      </w:r>
      <w:r>
        <w:rPr>
          <w:rFonts w:hint="eastAsia"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rPr>
        <w:t>〔2022〕8</w:t>
      </w:r>
      <w:r>
        <w:rPr>
          <w:rFonts w:hint="eastAsia" w:ascii="宋体" w:hAnsi="宋体" w:cs="宋体"/>
          <w:color w:val="auto"/>
          <w:sz w:val="24"/>
          <w:highlight w:val="none"/>
        </w:rPr>
        <w:t>号）已分别于2022年1月29日、2022年2月1日和2022年7月1日开始实施，此前有关规定与上述文件内容不一致的，按上述文件要求执行。</w:t>
      </w:r>
    </w:p>
    <w:p w14:paraId="7ED5F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rPr>
        <w:t>〔2021〕22号</w:t>
      </w:r>
      <w:r>
        <w:rPr>
          <w:rFonts w:hint="eastAsia" w:ascii="宋体" w:hAnsi="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8C6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F47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0650697">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3BBE7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8C1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称：杭州市公安局交通警察支队 </w:t>
      </w:r>
    </w:p>
    <w:p w14:paraId="27754B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址：杭州市拱墅区文晖路336号</w:t>
      </w:r>
    </w:p>
    <w:p w14:paraId="6E7EF6D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9A00A7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项目联系人（询问）：蒋先生  </w:t>
      </w:r>
    </w:p>
    <w:p w14:paraId="5A61C2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项目联系方式（询问）：0571-89593113 </w:t>
      </w:r>
    </w:p>
    <w:p w14:paraId="6DE92E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郑女士</w:t>
      </w:r>
    </w:p>
    <w:p w14:paraId="7782CF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质疑联系方式：0571-87282209</w:t>
      </w:r>
      <w:r>
        <w:rPr>
          <w:rFonts w:hint="eastAsia" w:ascii="宋体" w:hAnsi="宋体" w:cs="宋体"/>
          <w:color w:val="auto"/>
          <w:sz w:val="24"/>
          <w:highlight w:val="none"/>
        </w:rPr>
        <w:t xml:space="preserve"> </w:t>
      </w:r>
    </w:p>
    <w:p w14:paraId="43B72299">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4427F99">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名    称：浙江五石中正工程咨询有限公司</w:t>
      </w:r>
    </w:p>
    <w:p w14:paraId="1ACF759E">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地    址：杭州市拱墅区白石巷318号中国人力资源服务产业园北楼5楼512室</w:t>
      </w:r>
    </w:p>
    <w:p w14:paraId="7DDBCA7A">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项目联系人（询问）：黄超力、高琳</w:t>
      </w:r>
    </w:p>
    <w:p w14:paraId="73FCCAC3">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项目联系方式（询问）：0571-85061967、 13396548073  </w:t>
      </w:r>
    </w:p>
    <w:p w14:paraId="7AC5386D">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质疑联系人：罗秦</w:t>
      </w:r>
    </w:p>
    <w:p w14:paraId="00613EEB">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质疑联系方式：13957144873</w:t>
      </w:r>
    </w:p>
    <w:p w14:paraId="05FA7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F8DF7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72855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5C4834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07BF4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B99ABA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78439E4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政策咨询电话：</w:t>
      </w:r>
      <w:r>
        <w:rPr>
          <w:rFonts w:hint="eastAsia" w:ascii="宋体" w:hAnsi="宋体" w:cs="宋体"/>
          <w:color w:val="auto"/>
          <w:sz w:val="24"/>
          <w:highlight w:val="none"/>
        </w:rPr>
        <w:t>陈先生、厉先生</w:t>
      </w:r>
      <w:r>
        <w:rPr>
          <w:rFonts w:hint="eastAsia" w:ascii="宋体" w:hAnsi="宋体" w:cs="宋体"/>
          <w:color w:val="auto"/>
          <w:sz w:val="24"/>
          <w:highlight w:val="none"/>
        </w:rPr>
        <w:t>，</w:t>
      </w:r>
      <w:r>
        <w:rPr>
          <w:rFonts w:hint="eastAsia" w:ascii="宋体" w:hAnsi="宋体" w:cs="宋体"/>
          <w:color w:val="auto"/>
          <w:sz w:val="24"/>
          <w:highlight w:val="none"/>
        </w:rPr>
        <w:t>0571-89580460、89580456</w:t>
      </w:r>
    </w:p>
    <w:p w14:paraId="412EE8A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EC0F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CC857A">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88FA75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6D40DB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01"/>
        <w:gridCol w:w="6237"/>
      </w:tblGrid>
      <w:tr w14:paraId="6C9BA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8F1FA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01" w:type="dxa"/>
            <w:tcBorders>
              <w:top w:val="single" w:color="000000" w:sz="8" w:space="0"/>
              <w:left w:val="single" w:color="auto" w:sz="4" w:space="0"/>
              <w:bottom w:val="single" w:color="000000" w:sz="8" w:space="0"/>
              <w:right w:val="single" w:color="000000" w:sz="8" w:space="0"/>
            </w:tcBorders>
            <w:vAlign w:val="center"/>
          </w:tcPr>
          <w:p w14:paraId="7FA70388">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70BD47A4">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35E7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6758C5">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1" w:type="dxa"/>
            <w:tcBorders>
              <w:top w:val="single" w:color="000000" w:sz="8" w:space="0"/>
              <w:left w:val="single" w:color="auto" w:sz="4" w:space="0"/>
              <w:bottom w:val="single" w:color="000000" w:sz="8" w:space="0"/>
              <w:right w:val="single" w:color="000000" w:sz="8" w:space="0"/>
            </w:tcBorders>
            <w:vAlign w:val="center"/>
          </w:tcPr>
          <w:p w14:paraId="4E4381EB">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237" w:type="dxa"/>
            <w:tcBorders>
              <w:top w:val="single" w:color="000000" w:sz="8" w:space="0"/>
              <w:left w:val="single" w:color="000000" w:sz="2" w:space="0"/>
              <w:bottom w:val="single" w:color="000000" w:sz="8" w:space="0"/>
              <w:right w:val="single" w:color="000000" w:sz="8" w:space="0"/>
            </w:tcBorders>
            <w:vAlign w:val="center"/>
          </w:tcPr>
          <w:p w14:paraId="327120F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9CA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521DB1">
            <w:pPr>
              <w:adjustRightInd w:val="0"/>
              <w:snapToGrid w:val="0"/>
              <w:spacing w:line="360" w:lineRule="auto"/>
              <w:jc w:val="center"/>
              <w:rPr>
                <w:rFonts w:ascii="宋体" w:hAnsi="宋体" w:cs="宋体"/>
                <w:color w:val="auto"/>
                <w:sz w:val="24"/>
                <w:highlight w:val="none"/>
              </w:rPr>
            </w:pPr>
          </w:p>
          <w:p w14:paraId="49A7234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1" w:type="dxa"/>
            <w:tcBorders>
              <w:top w:val="single" w:color="000000" w:sz="8" w:space="0"/>
              <w:left w:val="single" w:color="auto" w:sz="4" w:space="0"/>
              <w:bottom w:val="single" w:color="000000" w:sz="8" w:space="0"/>
              <w:right w:val="single" w:color="000000" w:sz="8" w:space="0"/>
            </w:tcBorders>
            <w:vAlign w:val="center"/>
          </w:tcPr>
          <w:p w14:paraId="739958A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37" w:type="dxa"/>
            <w:tcBorders>
              <w:top w:val="single" w:color="000000" w:sz="8" w:space="0"/>
              <w:left w:val="single" w:color="000000" w:sz="2" w:space="0"/>
              <w:bottom w:val="single" w:color="000000" w:sz="8" w:space="0"/>
              <w:right w:val="single" w:color="000000" w:sz="8" w:space="0"/>
            </w:tcBorders>
            <w:vAlign w:val="center"/>
          </w:tcPr>
          <w:p w14:paraId="11BC84E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2025年杭州交警业务系统租赁使用服务-2025年PDT数字集群终端设备使用服务项目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（十五）租赁和商务服务业</w:t>
            </w:r>
            <w:r>
              <w:rPr>
                <w:rFonts w:hint="eastAsia" w:ascii="宋体" w:hAnsi="宋体" w:cs="宋体"/>
                <w:color w:val="auto"/>
                <w:kern w:val="0"/>
                <w:sz w:val="24"/>
                <w:highlight w:val="none"/>
              </w:rPr>
              <w:t>行业；</w:t>
            </w:r>
          </w:p>
          <w:p w14:paraId="3AE3A436">
            <w:pPr>
              <w:spacing w:line="360" w:lineRule="auto"/>
              <w:rPr>
                <w:rFonts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号）第四条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B7DA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030ABD9">
            <w:pPr>
              <w:adjustRightInd w:val="0"/>
              <w:snapToGrid w:val="0"/>
              <w:spacing w:line="360" w:lineRule="auto"/>
              <w:jc w:val="center"/>
              <w:rPr>
                <w:rFonts w:ascii="宋体" w:hAnsi="宋体" w:cs="宋体"/>
                <w:color w:val="auto"/>
                <w:sz w:val="24"/>
                <w:highlight w:val="none"/>
              </w:rPr>
            </w:pPr>
          </w:p>
          <w:p w14:paraId="7B204E65">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1" w:type="dxa"/>
            <w:tcBorders>
              <w:top w:val="single" w:color="000000" w:sz="8" w:space="0"/>
              <w:left w:val="single" w:color="auto" w:sz="4" w:space="0"/>
              <w:bottom w:val="single" w:color="000000" w:sz="8" w:space="0"/>
              <w:right w:val="single" w:color="000000" w:sz="8" w:space="0"/>
            </w:tcBorders>
            <w:vAlign w:val="center"/>
          </w:tcPr>
          <w:p w14:paraId="7AB0AC9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470A6D7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4720128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2822F6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68740647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A9BB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2CD38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701" w:type="dxa"/>
            <w:tcBorders>
              <w:top w:val="single" w:color="000000" w:sz="8" w:space="0"/>
              <w:left w:val="single" w:color="auto" w:sz="4" w:space="0"/>
              <w:bottom w:val="single" w:color="000000" w:sz="8" w:space="0"/>
              <w:right w:val="single" w:color="000000" w:sz="8" w:space="0"/>
            </w:tcBorders>
            <w:vAlign w:val="center"/>
          </w:tcPr>
          <w:p w14:paraId="2BB9124D">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6AC0E5A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354134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终端设备维护</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D88A9B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974235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15AD4E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E53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1310AB">
            <w:pPr>
              <w:adjustRightInd w:val="0"/>
              <w:snapToGrid w:val="0"/>
              <w:spacing w:line="360" w:lineRule="auto"/>
              <w:jc w:val="center"/>
              <w:rPr>
                <w:rFonts w:ascii="宋体" w:hAnsi="宋体" w:cs="宋体"/>
                <w:color w:val="auto"/>
                <w:sz w:val="24"/>
                <w:highlight w:val="none"/>
              </w:rPr>
            </w:pPr>
          </w:p>
          <w:p w14:paraId="6C05474E">
            <w:pPr>
              <w:adjustRightInd w:val="0"/>
              <w:snapToGrid w:val="0"/>
              <w:spacing w:line="360" w:lineRule="auto"/>
              <w:jc w:val="center"/>
              <w:rPr>
                <w:rFonts w:ascii="宋体" w:hAnsi="宋体" w:cs="宋体"/>
                <w:color w:val="auto"/>
                <w:sz w:val="24"/>
                <w:highlight w:val="none"/>
              </w:rPr>
            </w:pPr>
          </w:p>
          <w:p w14:paraId="26CAC3B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701" w:type="dxa"/>
            <w:tcBorders>
              <w:top w:val="single" w:color="000000" w:sz="8" w:space="0"/>
              <w:left w:val="single" w:color="auto" w:sz="4" w:space="0"/>
              <w:bottom w:val="single" w:color="000000" w:sz="8" w:space="0"/>
              <w:right w:val="single" w:color="000000" w:sz="8" w:space="0"/>
            </w:tcBorders>
            <w:vAlign w:val="center"/>
          </w:tcPr>
          <w:p w14:paraId="70573BE1">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37" w:type="dxa"/>
            <w:tcBorders>
              <w:top w:val="single" w:color="000000" w:sz="8" w:space="0"/>
              <w:left w:val="single" w:color="000000" w:sz="2" w:space="0"/>
              <w:bottom w:val="single" w:color="000000" w:sz="8" w:space="0"/>
              <w:right w:val="single" w:color="000000" w:sz="8" w:space="0"/>
            </w:tcBorders>
            <w:vAlign w:val="center"/>
          </w:tcPr>
          <w:p w14:paraId="22AA5E7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531505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FFE7B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8571991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68D7B90">
            <w:pPr>
              <w:pStyle w:val="2"/>
              <w:widowControl w:val="0"/>
              <w:ind w:firstLine="0" w:firstLineChars="0"/>
              <w:rPr>
                <w:rFonts w:ascii="宋体" w:hAnsi="宋体" w:eastAsia="宋体" w:cs="宋体"/>
                <w:color w:val="auto"/>
                <w:kern w:val="2"/>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1EF36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3DBCA1">
            <w:pPr>
              <w:adjustRightInd w:val="0"/>
              <w:snapToGrid w:val="0"/>
              <w:spacing w:line="360" w:lineRule="auto"/>
              <w:jc w:val="center"/>
              <w:rPr>
                <w:rFonts w:ascii="宋体" w:hAnsi="宋体" w:cs="宋体"/>
                <w:color w:val="auto"/>
                <w:sz w:val="24"/>
                <w:highlight w:val="none"/>
              </w:rPr>
            </w:pPr>
          </w:p>
          <w:p w14:paraId="7ACC6261">
            <w:pPr>
              <w:adjustRightInd w:val="0"/>
              <w:snapToGrid w:val="0"/>
              <w:spacing w:line="360" w:lineRule="auto"/>
              <w:jc w:val="center"/>
              <w:rPr>
                <w:rFonts w:ascii="宋体" w:hAnsi="宋体" w:cs="宋体"/>
                <w:color w:val="auto"/>
                <w:sz w:val="24"/>
                <w:highlight w:val="none"/>
              </w:rPr>
            </w:pPr>
          </w:p>
          <w:p w14:paraId="042C7D90">
            <w:pPr>
              <w:adjustRightInd w:val="0"/>
              <w:snapToGrid w:val="0"/>
              <w:spacing w:line="360" w:lineRule="auto"/>
              <w:jc w:val="center"/>
              <w:rPr>
                <w:rFonts w:ascii="宋体" w:hAnsi="宋体" w:cs="宋体"/>
                <w:color w:val="auto"/>
                <w:sz w:val="24"/>
                <w:highlight w:val="none"/>
              </w:rPr>
            </w:pPr>
          </w:p>
          <w:p w14:paraId="410C3B6F">
            <w:pPr>
              <w:adjustRightInd w:val="0"/>
              <w:snapToGrid w:val="0"/>
              <w:spacing w:line="360" w:lineRule="auto"/>
              <w:jc w:val="center"/>
              <w:rPr>
                <w:rFonts w:ascii="宋体" w:hAnsi="宋体" w:cs="宋体"/>
                <w:color w:val="auto"/>
                <w:sz w:val="24"/>
                <w:highlight w:val="none"/>
              </w:rPr>
            </w:pPr>
          </w:p>
          <w:p w14:paraId="59C779E2">
            <w:pPr>
              <w:adjustRightInd w:val="0"/>
              <w:snapToGrid w:val="0"/>
              <w:spacing w:line="360" w:lineRule="auto"/>
              <w:jc w:val="center"/>
              <w:rPr>
                <w:rFonts w:ascii="宋体" w:hAnsi="宋体" w:cs="宋体"/>
                <w:color w:val="auto"/>
                <w:sz w:val="24"/>
                <w:highlight w:val="none"/>
              </w:rPr>
            </w:pPr>
          </w:p>
          <w:p w14:paraId="6C9B9C46">
            <w:pPr>
              <w:adjustRightInd w:val="0"/>
              <w:snapToGrid w:val="0"/>
              <w:spacing w:line="360" w:lineRule="auto"/>
              <w:jc w:val="center"/>
              <w:rPr>
                <w:rFonts w:ascii="宋体" w:hAnsi="宋体" w:cs="宋体"/>
                <w:color w:val="auto"/>
                <w:sz w:val="24"/>
                <w:highlight w:val="none"/>
              </w:rPr>
            </w:pPr>
          </w:p>
          <w:p w14:paraId="0CBE769F">
            <w:pPr>
              <w:adjustRightInd w:val="0"/>
              <w:snapToGrid w:val="0"/>
              <w:spacing w:line="360" w:lineRule="auto"/>
              <w:jc w:val="center"/>
              <w:rPr>
                <w:rFonts w:ascii="宋体" w:hAnsi="宋体" w:cs="宋体"/>
                <w:color w:val="auto"/>
                <w:sz w:val="24"/>
                <w:highlight w:val="none"/>
              </w:rPr>
            </w:pPr>
          </w:p>
          <w:p w14:paraId="25FBF1DB">
            <w:pPr>
              <w:adjustRightInd w:val="0"/>
              <w:snapToGrid w:val="0"/>
              <w:spacing w:line="360" w:lineRule="auto"/>
              <w:jc w:val="center"/>
              <w:rPr>
                <w:rFonts w:ascii="宋体" w:hAnsi="宋体" w:cs="宋体"/>
                <w:color w:val="auto"/>
                <w:sz w:val="24"/>
                <w:highlight w:val="none"/>
              </w:rPr>
            </w:pPr>
          </w:p>
          <w:p w14:paraId="66C95D82">
            <w:pPr>
              <w:adjustRightInd w:val="0"/>
              <w:snapToGrid w:val="0"/>
              <w:spacing w:line="360" w:lineRule="auto"/>
              <w:jc w:val="center"/>
              <w:rPr>
                <w:rFonts w:ascii="宋体" w:hAnsi="宋体" w:cs="宋体"/>
                <w:color w:val="auto"/>
                <w:sz w:val="24"/>
                <w:highlight w:val="none"/>
              </w:rPr>
            </w:pPr>
          </w:p>
          <w:p w14:paraId="4696BCA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701" w:type="dxa"/>
            <w:tcBorders>
              <w:top w:val="single" w:color="000000" w:sz="8" w:space="0"/>
              <w:left w:val="single" w:color="auto" w:sz="4" w:space="0"/>
              <w:bottom w:val="single" w:color="000000" w:sz="8" w:space="0"/>
              <w:right w:val="single" w:color="000000" w:sz="8" w:space="0"/>
            </w:tcBorders>
            <w:vAlign w:val="center"/>
          </w:tcPr>
          <w:p w14:paraId="305CEEB9">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6E9335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474139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A不要求提供</w:t>
            </w:r>
            <w:r>
              <w:rPr>
                <w:rFonts w:hint="eastAsia" w:ascii="宋体" w:hAnsi="宋体" w:cs="宋体"/>
                <w:color w:val="auto"/>
                <w:sz w:val="24"/>
                <w:highlight w:val="none"/>
              </w:rPr>
              <w:t>。</w:t>
            </w:r>
          </w:p>
          <w:p w14:paraId="45E800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463110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14198DA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340CEC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D0643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49EF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848495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2006565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0C7C2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90BD06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0CD478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3E4C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0C58B2">
            <w:pPr>
              <w:adjustRightInd w:val="0"/>
              <w:snapToGrid w:val="0"/>
              <w:spacing w:line="360" w:lineRule="auto"/>
              <w:jc w:val="center"/>
              <w:rPr>
                <w:rFonts w:ascii="宋体" w:hAnsi="宋体" w:cs="宋体"/>
                <w:color w:val="auto"/>
                <w:sz w:val="24"/>
                <w:highlight w:val="none"/>
              </w:rPr>
            </w:pPr>
          </w:p>
          <w:p w14:paraId="361380D1">
            <w:pPr>
              <w:adjustRightInd w:val="0"/>
              <w:snapToGrid w:val="0"/>
              <w:spacing w:line="360" w:lineRule="auto"/>
              <w:jc w:val="center"/>
              <w:rPr>
                <w:rFonts w:ascii="宋体" w:hAnsi="宋体" w:cs="宋体"/>
                <w:color w:val="auto"/>
                <w:sz w:val="24"/>
                <w:highlight w:val="none"/>
              </w:rPr>
            </w:pPr>
          </w:p>
          <w:p w14:paraId="4EE09CE5">
            <w:pPr>
              <w:adjustRightInd w:val="0"/>
              <w:snapToGrid w:val="0"/>
              <w:spacing w:line="360" w:lineRule="auto"/>
              <w:jc w:val="center"/>
              <w:rPr>
                <w:rFonts w:ascii="宋体" w:hAnsi="宋体" w:cs="宋体"/>
                <w:color w:val="auto"/>
                <w:sz w:val="24"/>
                <w:highlight w:val="none"/>
              </w:rPr>
            </w:pPr>
          </w:p>
          <w:p w14:paraId="3B20A417">
            <w:pPr>
              <w:adjustRightInd w:val="0"/>
              <w:snapToGrid w:val="0"/>
              <w:spacing w:line="360" w:lineRule="auto"/>
              <w:jc w:val="center"/>
              <w:rPr>
                <w:rFonts w:ascii="宋体" w:hAnsi="宋体" w:cs="宋体"/>
                <w:color w:val="auto"/>
                <w:sz w:val="24"/>
                <w:highlight w:val="none"/>
              </w:rPr>
            </w:pPr>
          </w:p>
          <w:p w14:paraId="446C2E3A">
            <w:pPr>
              <w:adjustRightInd w:val="0"/>
              <w:snapToGrid w:val="0"/>
              <w:spacing w:line="360" w:lineRule="auto"/>
              <w:jc w:val="center"/>
              <w:rPr>
                <w:rFonts w:ascii="宋体" w:hAnsi="宋体" w:cs="宋体"/>
                <w:color w:val="auto"/>
                <w:sz w:val="24"/>
                <w:highlight w:val="none"/>
              </w:rPr>
            </w:pPr>
          </w:p>
          <w:p w14:paraId="72C99B2A">
            <w:pPr>
              <w:adjustRightInd w:val="0"/>
              <w:snapToGrid w:val="0"/>
              <w:spacing w:line="360" w:lineRule="auto"/>
              <w:jc w:val="center"/>
              <w:rPr>
                <w:rFonts w:ascii="宋体" w:hAnsi="宋体" w:cs="宋体"/>
                <w:color w:val="auto"/>
                <w:sz w:val="24"/>
                <w:highlight w:val="none"/>
              </w:rPr>
            </w:pPr>
          </w:p>
          <w:p w14:paraId="6C18FFD2">
            <w:pPr>
              <w:adjustRightInd w:val="0"/>
              <w:snapToGrid w:val="0"/>
              <w:spacing w:line="360" w:lineRule="auto"/>
              <w:jc w:val="center"/>
              <w:rPr>
                <w:rFonts w:ascii="宋体" w:hAnsi="宋体" w:cs="宋体"/>
                <w:color w:val="auto"/>
                <w:sz w:val="24"/>
                <w:highlight w:val="none"/>
              </w:rPr>
            </w:pPr>
          </w:p>
          <w:p w14:paraId="2EC4EDCF">
            <w:pPr>
              <w:adjustRightInd w:val="0"/>
              <w:snapToGrid w:val="0"/>
              <w:spacing w:line="360" w:lineRule="auto"/>
              <w:jc w:val="center"/>
              <w:rPr>
                <w:rFonts w:ascii="宋体" w:hAnsi="宋体" w:cs="宋体"/>
                <w:color w:val="auto"/>
                <w:sz w:val="24"/>
                <w:highlight w:val="none"/>
              </w:rPr>
            </w:pPr>
          </w:p>
          <w:p w14:paraId="2A34ABA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701" w:type="dxa"/>
            <w:tcBorders>
              <w:top w:val="single" w:color="000000" w:sz="8" w:space="0"/>
              <w:left w:val="single" w:color="auto" w:sz="4" w:space="0"/>
              <w:bottom w:val="single" w:color="000000" w:sz="8" w:space="0"/>
              <w:right w:val="single" w:color="000000" w:sz="8" w:space="0"/>
            </w:tcBorders>
            <w:vAlign w:val="center"/>
          </w:tcPr>
          <w:p w14:paraId="0A6EB402">
            <w:pPr>
              <w:adjustRightInd w:val="0"/>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1A968C4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1786809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6069F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251435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61D98C3">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6BE13BC0">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796C135">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2D8BB06">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7D55366">
            <w:pPr>
              <w:adjustRightInd w:val="0"/>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D12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917B4CC">
            <w:pPr>
              <w:adjustRightInd w:val="0"/>
              <w:snapToGrid w:val="0"/>
              <w:spacing w:line="360" w:lineRule="auto"/>
              <w:jc w:val="center"/>
              <w:rPr>
                <w:rFonts w:ascii="宋体" w:hAnsi="宋体" w:cs="宋体"/>
                <w:color w:val="auto"/>
                <w:sz w:val="24"/>
                <w:highlight w:val="none"/>
              </w:rPr>
            </w:pPr>
          </w:p>
          <w:p w14:paraId="6C362F3C">
            <w:pPr>
              <w:adjustRightInd w:val="0"/>
              <w:snapToGrid w:val="0"/>
              <w:spacing w:line="360" w:lineRule="auto"/>
              <w:jc w:val="center"/>
              <w:rPr>
                <w:rFonts w:ascii="宋体" w:hAnsi="宋体" w:cs="宋体"/>
                <w:color w:val="auto"/>
                <w:sz w:val="24"/>
                <w:highlight w:val="none"/>
              </w:rPr>
            </w:pPr>
          </w:p>
          <w:p w14:paraId="5928671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701" w:type="dxa"/>
            <w:vMerge w:val="restart"/>
            <w:tcBorders>
              <w:top w:val="single" w:color="000000" w:sz="8" w:space="0"/>
              <w:left w:val="single" w:color="auto" w:sz="4" w:space="0"/>
              <w:right w:val="single" w:color="000000" w:sz="8" w:space="0"/>
            </w:tcBorders>
            <w:vAlign w:val="center"/>
          </w:tcPr>
          <w:p w14:paraId="406ED4E3">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37" w:type="dxa"/>
            <w:tcBorders>
              <w:top w:val="single" w:color="000000" w:sz="8" w:space="0"/>
              <w:left w:val="single" w:color="000000" w:sz="2" w:space="0"/>
              <w:bottom w:val="single" w:color="auto" w:sz="4" w:space="0"/>
              <w:right w:val="single" w:color="000000" w:sz="8" w:space="0"/>
            </w:tcBorders>
            <w:vAlign w:val="center"/>
          </w:tcPr>
          <w:p w14:paraId="228AA2D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12863B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AFA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3F1C96">
            <w:pPr>
              <w:rPr>
                <w:color w:val="auto"/>
                <w:highlight w:val="none"/>
              </w:rPr>
            </w:pPr>
          </w:p>
        </w:tc>
        <w:tc>
          <w:tcPr>
            <w:tcW w:w="1701" w:type="dxa"/>
            <w:vMerge w:val="continue"/>
            <w:tcBorders>
              <w:left w:val="single" w:color="auto" w:sz="4" w:space="0"/>
              <w:bottom w:val="single" w:color="000000" w:sz="8" w:space="0"/>
              <w:right w:val="single" w:color="000000" w:sz="8" w:space="0"/>
            </w:tcBorders>
            <w:vAlign w:val="center"/>
          </w:tcPr>
          <w:p w14:paraId="7DB423D2">
            <w:pPr>
              <w:rPr>
                <w:color w:val="auto"/>
                <w:highlight w:val="none"/>
              </w:rPr>
            </w:pPr>
          </w:p>
        </w:tc>
        <w:tc>
          <w:tcPr>
            <w:tcW w:w="6237" w:type="dxa"/>
            <w:tcBorders>
              <w:top w:val="single" w:color="auto" w:sz="4" w:space="0"/>
              <w:left w:val="single" w:color="000000" w:sz="2" w:space="0"/>
              <w:bottom w:val="single" w:color="000000" w:sz="8" w:space="0"/>
              <w:right w:val="single" w:color="000000" w:sz="8" w:space="0"/>
            </w:tcBorders>
            <w:vAlign w:val="center"/>
          </w:tcPr>
          <w:p w14:paraId="5F2E0B2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0C26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DA0C9">
            <w:pPr>
              <w:adjustRightInd w:val="0"/>
              <w:snapToGrid w:val="0"/>
              <w:spacing w:line="360" w:lineRule="auto"/>
              <w:jc w:val="center"/>
              <w:rPr>
                <w:rFonts w:ascii="宋体" w:hAnsi="宋体" w:cs="宋体"/>
                <w:color w:val="auto"/>
                <w:sz w:val="24"/>
                <w:highlight w:val="none"/>
              </w:rPr>
            </w:pPr>
          </w:p>
          <w:p w14:paraId="27BBC495">
            <w:pPr>
              <w:adjustRightInd w:val="0"/>
              <w:snapToGrid w:val="0"/>
              <w:spacing w:line="360" w:lineRule="auto"/>
              <w:jc w:val="center"/>
              <w:rPr>
                <w:rFonts w:ascii="宋体" w:hAnsi="宋体" w:cs="宋体"/>
                <w:color w:val="auto"/>
                <w:sz w:val="24"/>
                <w:highlight w:val="none"/>
              </w:rPr>
            </w:pPr>
          </w:p>
          <w:p w14:paraId="58E5AC1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701" w:type="dxa"/>
            <w:tcBorders>
              <w:top w:val="single" w:color="000000" w:sz="8" w:space="0"/>
              <w:left w:val="single" w:color="000000" w:sz="2" w:space="0"/>
              <w:bottom w:val="single" w:color="000000" w:sz="8" w:space="0"/>
              <w:right w:val="single" w:color="000000" w:sz="8" w:space="0"/>
            </w:tcBorders>
            <w:vAlign w:val="center"/>
          </w:tcPr>
          <w:p w14:paraId="26F6CF2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37" w:type="dxa"/>
            <w:tcBorders>
              <w:top w:val="single" w:color="000000" w:sz="8" w:space="0"/>
              <w:left w:val="single" w:color="000000" w:sz="2" w:space="0"/>
              <w:bottom w:val="single" w:color="000000" w:sz="8" w:space="0"/>
              <w:right w:val="single" w:color="000000" w:sz="8" w:space="0"/>
            </w:tcBorders>
            <w:vAlign w:val="center"/>
          </w:tcPr>
          <w:p w14:paraId="54AEAFFB">
            <w:pPr>
              <w:pStyle w:val="2"/>
              <w:adjustRightInd w:val="0"/>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F3CD2BE">
            <w:pPr>
              <w:pStyle w:val="2"/>
              <w:jc w:val="both"/>
              <w:rPr>
                <w:rFonts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107698"/>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45626F98">
            <w:pPr>
              <w:pStyle w:val="2"/>
              <w:widowControl w:val="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58932EC7">
            <w:pPr>
              <w:pStyle w:val="2"/>
              <w:widowControl w:val="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1D00F736">
            <w:pPr>
              <w:pStyle w:val="2"/>
              <w:widowControl w:val="0"/>
              <w:jc w:val="both"/>
              <w:rPr>
                <w:rFonts w:ascii="宋体" w:hAnsi="宋体" w:eastAsia="宋体" w:cs="宋体"/>
                <w:color w:val="auto"/>
                <w:kern w:val="2"/>
                <w:highlight w:val="none"/>
              </w:rPr>
            </w:pPr>
            <w:r>
              <w:rPr>
                <w:rFonts w:hint="eastAsia" w:ascii="宋体" w:hAnsi="宋体" w:eastAsia="宋体" w:cs="宋体"/>
                <w:color w:val="auto"/>
                <w:kern w:val="2"/>
                <w:sz w:val="24"/>
                <w:szCs w:val="24"/>
                <w:highlight w:val="none"/>
              </w:rPr>
              <w:t>☑无</w:t>
            </w:r>
          </w:p>
        </w:tc>
      </w:tr>
      <w:tr w14:paraId="535BC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073C203">
            <w:pPr>
              <w:adjustRightInd w:val="0"/>
              <w:snapToGrid w:val="0"/>
              <w:spacing w:line="360" w:lineRule="auto"/>
              <w:jc w:val="center"/>
              <w:rPr>
                <w:rFonts w:ascii="宋体" w:hAnsi="宋体" w:cs="宋体"/>
                <w:color w:val="auto"/>
                <w:sz w:val="24"/>
                <w:highlight w:val="none"/>
              </w:rPr>
            </w:pPr>
          </w:p>
          <w:p w14:paraId="44988EE8">
            <w:pPr>
              <w:adjustRightInd w:val="0"/>
              <w:snapToGrid w:val="0"/>
              <w:spacing w:line="360" w:lineRule="auto"/>
              <w:jc w:val="center"/>
              <w:rPr>
                <w:rFonts w:ascii="宋体" w:hAnsi="宋体" w:cs="宋体"/>
                <w:color w:val="auto"/>
                <w:sz w:val="24"/>
                <w:highlight w:val="none"/>
              </w:rPr>
            </w:pPr>
          </w:p>
          <w:p w14:paraId="73B58501">
            <w:pPr>
              <w:adjustRightInd w:val="0"/>
              <w:snapToGrid w:val="0"/>
              <w:spacing w:line="360" w:lineRule="auto"/>
              <w:jc w:val="center"/>
              <w:rPr>
                <w:rFonts w:ascii="宋体" w:hAnsi="宋体" w:cs="宋体"/>
                <w:color w:val="auto"/>
                <w:sz w:val="24"/>
                <w:highlight w:val="none"/>
              </w:rPr>
            </w:pPr>
          </w:p>
          <w:p w14:paraId="2351D22B">
            <w:pPr>
              <w:adjustRightInd w:val="0"/>
              <w:snapToGrid w:val="0"/>
              <w:spacing w:line="360" w:lineRule="auto"/>
              <w:jc w:val="center"/>
              <w:rPr>
                <w:rFonts w:ascii="宋体" w:hAnsi="宋体" w:cs="宋体"/>
                <w:color w:val="auto"/>
                <w:sz w:val="24"/>
                <w:highlight w:val="none"/>
              </w:rPr>
            </w:pPr>
          </w:p>
          <w:p w14:paraId="58122913">
            <w:pPr>
              <w:adjustRightInd w:val="0"/>
              <w:snapToGrid w:val="0"/>
              <w:spacing w:line="360" w:lineRule="auto"/>
              <w:jc w:val="center"/>
              <w:rPr>
                <w:rFonts w:ascii="宋体" w:hAnsi="宋体" w:cs="宋体"/>
                <w:color w:val="auto"/>
                <w:sz w:val="24"/>
                <w:highlight w:val="none"/>
              </w:rPr>
            </w:pPr>
          </w:p>
          <w:p w14:paraId="1401158F">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701" w:type="dxa"/>
            <w:tcBorders>
              <w:top w:val="single" w:color="000000" w:sz="8" w:space="0"/>
              <w:left w:val="single" w:color="000000" w:sz="2" w:space="0"/>
              <w:bottom w:val="single" w:color="000000" w:sz="8" w:space="0"/>
              <w:right w:val="single" w:color="000000" w:sz="8" w:space="0"/>
            </w:tcBorders>
            <w:vAlign w:val="center"/>
          </w:tcPr>
          <w:p w14:paraId="45B27882">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0DA9259D">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包括</w:t>
            </w:r>
            <w:r>
              <w:rPr>
                <w:rFonts w:hint="eastAsia" w:ascii="宋体" w:hAnsi="宋体" w:cs="宋体"/>
                <w:color w:val="auto"/>
                <w:sz w:val="24"/>
                <w:highlight w:val="none"/>
              </w:rPr>
              <w:t>设备使用费、维护费、人员（工资、加班费、奖金、津贴及《劳动合同法》各类社会保险、食宿费、办公费等）、税金等为完成本项目各项服务可能发生的全部费用</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3F43A0">
            <w:pPr>
              <w:adjustRightInd w:val="0"/>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2FD5822">
            <w:pPr>
              <w:adjustRightInd w:val="0"/>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60942B5">
            <w:pPr>
              <w:adjustRightInd w:val="0"/>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81AF56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6BE4AB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DFE6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1AC091C">
            <w:pPr>
              <w:adjustRightInd w:val="0"/>
              <w:snapToGrid w:val="0"/>
              <w:spacing w:line="360" w:lineRule="auto"/>
              <w:jc w:val="center"/>
              <w:rPr>
                <w:rFonts w:ascii="宋体" w:hAnsi="宋体" w:cs="宋体"/>
                <w:color w:val="auto"/>
                <w:sz w:val="24"/>
                <w:highlight w:val="none"/>
              </w:rPr>
            </w:pPr>
          </w:p>
          <w:p w14:paraId="554BB3C6">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701" w:type="dxa"/>
            <w:tcBorders>
              <w:top w:val="single" w:color="000000" w:sz="8" w:space="0"/>
              <w:left w:val="single" w:color="000000" w:sz="2" w:space="0"/>
              <w:right w:val="single" w:color="000000" w:sz="8" w:space="0"/>
            </w:tcBorders>
            <w:vAlign w:val="center"/>
          </w:tcPr>
          <w:p w14:paraId="0F985224">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37" w:type="dxa"/>
            <w:tcBorders>
              <w:top w:val="single" w:color="000000" w:sz="8" w:space="0"/>
              <w:left w:val="single" w:color="000000" w:sz="2" w:space="0"/>
              <w:right w:val="single" w:color="000000" w:sz="8" w:space="0"/>
            </w:tcBorders>
            <w:vAlign w:val="center"/>
          </w:tcPr>
          <w:p w14:paraId="62B1AC5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A01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A87CED">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701" w:type="dxa"/>
            <w:tcBorders>
              <w:top w:val="single" w:color="000000" w:sz="8" w:space="0"/>
              <w:left w:val="single" w:color="000000" w:sz="2" w:space="0"/>
              <w:bottom w:val="single" w:color="000000" w:sz="8" w:space="0"/>
              <w:right w:val="single" w:color="000000" w:sz="8" w:space="0"/>
            </w:tcBorders>
            <w:vAlign w:val="center"/>
          </w:tcPr>
          <w:p w14:paraId="673F90AA">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37" w:type="dxa"/>
            <w:tcBorders>
              <w:top w:val="single" w:color="000000" w:sz="8" w:space="0"/>
              <w:left w:val="single" w:color="000000" w:sz="2" w:space="0"/>
              <w:bottom w:val="single" w:color="000000" w:sz="8" w:space="0"/>
              <w:right w:val="single" w:color="000000" w:sz="8" w:space="0"/>
            </w:tcBorders>
            <w:vAlign w:val="center"/>
          </w:tcPr>
          <w:p w14:paraId="330DF2BB">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杭州市拱墅区白石巷318号中国人力资源服务产业园北楼5楼512室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黄超力 13396548073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1E69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AF021D6">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701" w:type="dxa"/>
            <w:vMerge w:val="restart"/>
            <w:tcBorders>
              <w:top w:val="single" w:color="000000" w:sz="8" w:space="0"/>
              <w:left w:val="single" w:color="000000" w:sz="2" w:space="0"/>
              <w:right w:val="single" w:color="000000" w:sz="8" w:space="0"/>
            </w:tcBorders>
            <w:vAlign w:val="center"/>
          </w:tcPr>
          <w:p w14:paraId="5804DD4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37" w:type="dxa"/>
            <w:tcBorders>
              <w:top w:val="single" w:color="000000" w:sz="8" w:space="0"/>
              <w:left w:val="single" w:color="000000" w:sz="2" w:space="0"/>
              <w:bottom w:val="single" w:color="000000" w:sz="8" w:space="0"/>
              <w:right w:val="single" w:color="000000" w:sz="8" w:space="0"/>
            </w:tcBorders>
            <w:vAlign w:val="center"/>
          </w:tcPr>
          <w:p w14:paraId="03D1EE1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06FF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0FD4DC8">
            <w:pPr>
              <w:rPr>
                <w:color w:val="auto"/>
                <w:highlight w:val="none"/>
              </w:rPr>
            </w:pPr>
          </w:p>
        </w:tc>
        <w:tc>
          <w:tcPr>
            <w:tcW w:w="1701" w:type="dxa"/>
            <w:vMerge w:val="continue"/>
            <w:tcBorders>
              <w:left w:val="single" w:color="000000" w:sz="2" w:space="0"/>
              <w:right w:val="single" w:color="000000" w:sz="8" w:space="0"/>
            </w:tcBorders>
            <w:vAlign w:val="center"/>
          </w:tcPr>
          <w:p w14:paraId="79D72C00">
            <w:pPr>
              <w:rPr>
                <w:color w:val="auto"/>
                <w:highlight w:val="none"/>
              </w:rPr>
            </w:pPr>
          </w:p>
        </w:tc>
        <w:tc>
          <w:tcPr>
            <w:tcW w:w="6237" w:type="dxa"/>
            <w:tcBorders>
              <w:top w:val="single" w:color="000000" w:sz="8" w:space="0"/>
              <w:left w:val="single" w:color="000000" w:sz="2" w:space="0"/>
              <w:bottom w:val="single" w:color="000000" w:sz="8" w:space="0"/>
              <w:right w:val="single" w:color="000000" w:sz="8" w:space="0"/>
            </w:tcBorders>
            <w:vAlign w:val="center"/>
          </w:tcPr>
          <w:p w14:paraId="3F59DE3D">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5924984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87CFB50">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655647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5BF9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9D2C395">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701" w:type="dxa"/>
            <w:tcBorders>
              <w:top w:val="single" w:color="auto" w:sz="4" w:space="0"/>
              <w:left w:val="single" w:color="000000" w:sz="2" w:space="0"/>
              <w:bottom w:val="single" w:color="auto" w:sz="4" w:space="0"/>
              <w:right w:val="single" w:color="000000" w:sz="8" w:space="0"/>
            </w:tcBorders>
            <w:vAlign w:val="center"/>
          </w:tcPr>
          <w:p w14:paraId="212A6482">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中标候选人数量</w:t>
            </w:r>
          </w:p>
        </w:tc>
        <w:tc>
          <w:tcPr>
            <w:tcW w:w="6237" w:type="dxa"/>
            <w:tcBorders>
              <w:top w:val="single" w:color="auto" w:sz="4" w:space="0"/>
              <w:left w:val="single" w:color="000000" w:sz="2" w:space="0"/>
              <w:bottom w:val="single" w:color="000000" w:sz="8" w:space="0"/>
              <w:right w:val="single" w:color="auto" w:sz="4" w:space="0"/>
            </w:tcBorders>
            <w:vAlign w:val="center"/>
          </w:tcPr>
          <w:p w14:paraId="03BDA37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rPr>
              <w:t>。</w:t>
            </w:r>
          </w:p>
        </w:tc>
      </w:tr>
      <w:tr w14:paraId="7DA82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C0E8F75">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701" w:type="dxa"/>
            <w:tcBorders>
              <w:top w:val="single" w:color="auto" w:sz="4" w:space="0"/>
              <w:left w:val="single" w:color="000000" w:sz="2" w:space="0"/>
              <w:bottom w:val="single" w:color="auto" w:sz="4" w:space="0"/>
              <w:right w:val="single" w:color="auto" w:sz="4" w:space="0"/>
            </w:tcBorders>
            <w:vAlign w:val="center"/>
          </w:tcPr>
          <w:p w14:paraId="4B22EFC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代理费用收取方式及标准</w:t>
            </w:r>
          </w:p>
        </w:tc>
        <w:tc>
          <w:tcPr>
            <w:tcW w:w="6237" w:type="dxa"/>
            <w:tcBorders>
              <w:top w:val="single" w:color="000000" w:sz="8" w:space="0"/>
              <w:left w:val="single" w:color="auto" w:sz="4" w:space="0"/>
              <w:bottom w:val="single" w:color="auto" w:sz="4" w:space="0"/>
              <w:right w:val="single" w:color="auto" w:sz="4" w:space="0"/>
            </w:tcBorders>
            <w:vAlign w:val="center"/>
          </w:tcPr>
          <w:p w14:paraId="7F7DE2A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人需向浙江五石中正工程咨询有限公司支付招标代理服务费，收费标准为：以中标通知书中确定的中标总金额作为收费的计算基数，按照《关于杭州市招标代理服务收费管理有关问题的通知》(杭价费〔2003〕148号)文件规定的相应项目收费标准下浮33%取费。</w:t>
            </w:r>
          </w:p>
          <w:p w14:paraId="2C763C94">
            <w:p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以上费用由中标人在领取中标通知书时一次性向采购代理机构付清。(账户名称：浙江五石中正工程咨询有限公司杭州分公司；开户银行：杭州银行香积寺路支行；账号：3301040160019779464)</w:t>
            </w:r>
          </w:p>
        </w:tc>
      </w:tr>
    </w:tbl>
    <w:p w14:paraId="32C58162">
      <w:pPr>
        <w:adjustRightInd w:val="0"/>
        <w:snapToGrid w:val="0"/>
        <w:spacing w:line="360" w:lineRule="auto"/>
        <w:jc w:val="center"/>
        <w:rPr>
          <w:rFonts w:ascii="宋体" w:hAnsi="宋体" w:cs="宋体"/>
          <w:b/>
          <w:color w:val="auto"/>
          <w:sz w:val="32"/>
          <w:szCs w:val="20"/>
          <w:highlight w:val="none"/>
        </w:rPr>
      </w:pPr>
    </w:p>
    <w:bookmarkEnd w:id="10"/>
    <w:p w14:paraId="627B0877">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0B11EBF">
      <w:pPr>
        <w:adjustRightInd w:val="0"/>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C5E08B6">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7E0B7E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C1DA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BC0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5023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79B51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38B9D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AC73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2FF5B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44222401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53820529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7CAC38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95797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69FF8D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7F3DFE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7EDC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41B3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BE31F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A43C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F2D2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FB7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2104BB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AB85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F745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8C9FC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48E06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rPr>
        <w:t>〔2014〕68</w:t>
      </w:r>
      <w:r>
        <w:rPr>
          <w:rFonts w:hint="eastAsia" w:ascii="宋体" w:hAnsi="宋体" w:cs="宋体"/>
          <w:color w:val="auto"/>
          <w:sz w:val="24"/>
          <w:highlight w:val="none"/>
        </w:rPr>
        <w:t>号）规定的监狱企业并提供由省级以上监狱管理局、戒毒管理局（含新疆生产建设兵团）出具的属于监狱企业证明文件的，视同为小型、微型企业。</w:t>
      </w:r>
    </w:p>
    <w:p w14:paraId="79975D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B97CD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47C1D1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C34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5BA50609">
      <w:pPr>
        <w:pStyle w:val="4"/>
        <w:adjustRightInd w:val="0"/>
        <w:ind w:left="0" w:firstLine="480" w:firstLineChars="20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3.4.2 采购人应当贯彻落实知识产权保护相关法律法规，应当采购使用正版软件。</w:t>
      </w:r>
    </w:p>
    <w:p w14:paraId="5242BF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64658B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2AC7C6E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w:t>
      </w:r>
      <w:r>
        <w:rPr>
          <w:rFonts w:hint="eastAsia" w:ascii="宋体" w:hAnsi="宋体" w:cs="宋体"/>
          <w:color w:val="auto"/>
          <w:kern w:val="0"/>
          <w:sz w:val="24"/>
          <w:highlight w:val="none"/>
          <w:lang w:val="zh-CN"/>
        </w:rPr>
        <w:t>〔2021〕22号</w:t>
      </w:r>
      <w:r>
        <w:rPr>
          <w:rFonts w:hint="eastAsia" w:ascii="宋体" w:hAnsi="宋体" w:cs="宋体"/>
          <w:color w:val="auto"/>
          <w:kern w:val="0"/>
          <w:sz w:val="24"/>
          <w:highlight w:val="none"/>
          <w:lang w:val="zh-CN"/>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1EFBA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3244D6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951D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15D51E">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0F7723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88AA88">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6C25229">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844466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A046C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E1942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AD22D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3373B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DD4C48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16C339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80CC0B0">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5A701D1">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5B0F1E7">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A9FF63E">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6993AD">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47C2FB1">
      <w:pPr>
        <w:pStyle w:val="827"/>
        <w:shd w:val="clear" w:color="auto" w:fill="FFFFFF"/>
        <w:adjustRightInd/>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FC8C25C">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E4F937D">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95CA86C">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577144E">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F8A96A4">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296246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 补偿救济</w:t>
      </w:r>
    </w:p>
    <w:p w14:paraId="7400059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采购人因政策变化、规划调整而不履行政府采购合同的，供应商可依据《杭州市涉企补偿救济实施办法（试行）》向采购人提起补偿申请。</w:t>
      </w:r>
    </w:p>
    <w:p w14:paraId="3873A3F2">
      <w:pPr>
        <w:pStyle w:val="827"/>
        <w:shd w:val="clear" w:color="auto" w:fill="FFFFFF"/>
        <w:adjustRightInd/>
        <w:snapToGrid w:val="0"/>
        <w:spacing w:after="240" w:afterAutospacing="0" w:line="360" w:lineRule="auto"/>
        <w:ind w:firstLine="400"/>
        <w:contextualSpacing/>
        <w:rPr>
          <w:color w:val="auto"/>
          <w:highlight w:val="none"/>
        </w:rPr>
      </w:pPr>
    </w:p>
    <w:p w14:paraId="33F0D9CE">
      <w:pPr>
        <w:pStyle w:val="827"/>
        <w:shd w:val="clear" w:color="auto" w:fill="FFFFFF"/>
        <w:adjustRightInd/>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A956A60">
      <w:pPr>
        <w:pStyle w:val="127"/>
        <w:adjustRightInd w:val="0"/>
        <w:snapToGrid w:val="0"/>
        <w:spacing w:before="0"/>
        <w:rPr>
          <w:rFonts w:ascii="宋体" w:hAnsi="宋体" w:cs="宋体"/>
          <w:color w:val="auto"/>
          <w:sz w:val="18"/>
          <w:szCs w:val="18"/>
          <w:highlight w:val="none"/>
        </w:rPr>
      </w:pPr>
    </w:p>
    <w:p w14:paraId="7A3E5F8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C833A0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BB8537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E01C53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E13A76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F17B73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A9D556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E1A9FC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861788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AD642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56455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EBCF547">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1814AB9">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060070">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96F65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6FDB79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6F229B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F26A4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92B0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9D8D3BD">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B13C699">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CA2BA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AE5972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F98C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065B4C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F83BA83">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FEF973">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p>
    <w:p w14:paraId="21380CA7">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（提供中小企业声明函)</w:t>
      </w:r>
      <w:r>
        <w:rPr>
          <w:rFonts w:hint="eastAsia" w:ascii="宋体" w:hAnsi="宋体" w:cs="宋体"/>
          <w:color w:val="auto"/>
          <w:sz w:val="24"/>
          <w:highlight w:val="none"/>
        </w:rPr>
        <w:t>；</w:t>
      </w:r>
    </w:p>
    <w:p w14:paraId="12BD017B">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591363">
      <w:pPr>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B06744A">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F2CAB4A">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82EFCD8">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51224A">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A5E856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2C7CD5B">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00B9DB43">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6B42B027">
      <w:pPr>
        <w:adjustRightInd w:val="0"/>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3429F29">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EA2AEB1">
      <w:pPr>
        <w:adjustRightInd w:val="0"/>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E3396B1">
      <w:pPr>
        <w:pStyle w:val="4"/>
        <w:adjustRightInd/>
        <w:snapToGrid w:val="0"/>
        <w:ind w:left="0" w:firstLine="960" w:firstLineChars="400"/>
        <w:rPr>
          <w:rFonts w:ascii="宋体" w:hAnsi="宋体" w:eastAsia="宋体" w:cs="宋体"/>
          <w:b w:val="0"/>
          <w:bCs w:val="0"/>
          <w:color w:val="auto"/>
          <w:sz w:val="24"/>
          <w:highlight w:val="none"/>
          <w:lang w:val="en-US"/>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14:paraId="00C3306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C48D50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A38E932">
      <w:pPr>
        <w:spacing w:line="360" w:lineRule="auto"/>
        <w:ind w:firstLine="720" w:firstLineChars="300"/>
        <w:rPr>
          <w:rFonts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1A6D3BAE">
      <w:pPr>
        <w:pStyle w:val="127"/>
        <w:adjustRightInd w:val="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39B45C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A572A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20CD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9F0E778">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6ED0342">
      <w:pPr>
        <w:pStyle w:val="127"/>
        <w:adjustRightInd w:val="0"/>
        <w:snapToGrid w:val="0"/>
        <w:spacing w:before="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0748552">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7207AC6">
      <w:pPr>
        <w:pStyle w:val="127"/>
        <w:adjustRightInd w:val="0"/>
        <w:snapToGrid w:val="0"/>
        <w:spacing w:before="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97CA6">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2C3F225">
      <w:pPr>
        <w:pStyle w:val="127"/>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F90E18">
      <w:pPr>
        <w:pStyle w:val="127"/>
        <w:spacing w:before="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B9BE08">
      <w:pPr>
        <w:pStyle w:val="127"/>
        <w:spacing w:before="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06914A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6AFB303">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872FFE0">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46CC52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D6542E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FAD3AC3">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2E99FF">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0EE286A">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57A13896">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67C5D0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2BB54C5">
      <w:pPr>
        <w:pStyle w:val="127"/>
        <w:spacing w:before="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E0FB87">
      <w:pPr>
        <w:pStyle w:val="127"/>
        <w:spacing w:before="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E56E533">
      <w:pPr>
        <w:pStyle w:val="127"/>
        <w:spacing w:before="0"/>
        <w:rPr>
          <w:rFonts w:ascii="宋体" w:hAnsi="宋体" w:cs="宋体"/>
          <w:b/>
          <w:color w:val="auto"/>
          <w:sz w:val="32"/>
          <w:highlight w:val="none"/>
        </w:rPr>
      </w:pPr>
    </w:p>
    <w:p w14:paraId="2BF73058">
      <w:pPr>
        <w:pStyle w:val="12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BD0490C">
      <w:pPr>
        <w:pStyle w:val="495"/>
        <w:adjustRightInd w:val="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11DCB29">
      <w:pPr>
        <w:pStyle w:val="495"/>
        <w:adjustRightIn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55DD1AB">
      <w:pPr>
        <w:pStyle w:val="495"/>
        <w:adjustRightIn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62E96EF">
      <w:pPr>
        <w:pStyle w:val="495"/>
        <w:adjustRightInd w:val="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521AC1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CC33F3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6304435">
      <w:pPr>
        <w:pStyle w:val="127"/>
        <w:spacing w:before="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9F66CB3">
      <w:pPr>
        <w:pStyle w:val="127"/>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DEF3220">
      <w:pPr>
        <w:pStyle w:val="127"/>
        <w:spacing w:before="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1D9BE1E">
      <w:pPr>
        <w:pStyle w:val="12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1C25117">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9FB6127">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08952ED">
      <w:pPr>
        <w:pStyle w:val="12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6CAE28">
      <w:pPr>
        <w:pStyle w:val="127"/>
        <w:spacing w:before="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C078A87">
      <w:pPr>
        <w:pStyle w:val="127"/>
        <w:spacing w:before="0"/>
        <w:ind w:firstLine="0" w:firstLineChars="0"/>
        <w:rPr>
          <w:rFonts w:ascii="宋体" w:hAnsi="宋体" w:cs="宋体"/>
          <w:color w:val="auto"/>
          <w:kern w:val="0"/>
          <w:szCs w:val="24"/>
          <w:highlight w:val="none"/>
        </w:rPr>
      </w:pPr>
    </w:p>
    <w:p w14:paraId="5D39D7E8">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D8BB8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w:t>
      </w:r>
      <w:bookmarkStart w:id="14" w:name="_Hlk161318120"/>
      <w:r>
        <w:rPr>
          <w:rFonts w:hint="eastAsia" w:ascii="宋体" w:hAnsi="宋体" w:cs="宋体"/>
          <w:color w:val="auto"/>
          <w:sz w:val="24"/>
          <w:highlight w:val="none"/>
        </w:rPr>
        <w:t>评标委员会由采购人代表和评审专家组成，成员人数为5人（采购人代表1人，评标专家4人由采购代理机构在政采云平台相关专业随机抽取产生）</w:t>
      </w:r>
      <w:bookmarkEnd w:id="14"/>
      <w:r>
        <w:rPr>
          <w:rFonts w:hint="eastAsia" w:ascii="宋体" w:hAnsi="宋体"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2C6F555">
      <w:pPr>
        <w:spacing w:line="360" w:lineRule="auto"/>
        <w:rPr>
          <w:rFonts w:ascii="宋体" w:hAnsi="宋体" w:cs="宋体"/>
          <w:b/>
          <w:color w:val="auto"/>
          <w:sz w:val="24"/>
          <w:highlight w:val="none"/>
        </w:rPr>
      </w:pPr>
    </w:p>
    <w:p w14:paraId="4D4AF233">
      <w:pPr>
        <w:adjustRightInd w:val="0"/>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F255CA8">
      <w:pPr>
        <w:pStyle w:val="25"/>
        <w:spacing w:line="360" w:lineRule="auto"/>
        <w:ind w:left="477" w:hanging="479" w:hangingChars="199"/>
        <w:rPr>
          <w:rFonts w:cs="宋体"/>
          <w:b/>
          <w:color w:val="auto"/>
          <w:highlight w:val="none"/>
        </w:rPr>
      </w:pPr>
      <w:r>
        <w:rPr>
          <w:rFonts w:hint="eastAsia" w:cs="宋体"/>
          <w:b/>
          <w:color w:val="auto"/>
          <w:highlight w:val="none"/>
        </w:rPr>
        <w:t>22. 确定中标供应商</w:t>
      </w:r>
    </w:p>
    <w:p w14:paraId="41FBCF24">
      <w:pPr>
        <w:pStyle w:val="127"/>
        <w:adjustRightInd w:val="0"/>
        <w:snapToGrid w:val="0"/>
        <w:spacing w:before="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978EFEA">
      <w:pPr>
        <w:pStyle w:val="127"/>
        <w:adjustRightInd w:val="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0960D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7B8202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未中标情况说明、中标公告期限以及评审专家名单、评分汇总及明细、中小企业声明函。</w:t>
      </w:r>
    </w:p>
    <w:p w14:paraId="219AD9D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627302A">
      <w:pPr>
        <w:pStyle w:val="127"/>
        <w:adjustRightInd w:val="0"/>
        <w:snapToGrid w:val="0"/>
        <w:spacing w:before="0"/>
        <w:rPr>
          <w:rStyle w:val="73"/>
          <w:rFonts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25C13BE5">
      <w:pPr>
        <w:pStyle w:val="87"/>
        <w:rPr>
          <w:rFonts w:ascii="宋体" w:hAnsi="宋体" w:eastAsia="宋体" w:cs="宋体"/>
          <w:color w:val="auto"/>
          <w:highlight w:val="none"/>
        </w:rPr>
      </w:pPr>
    </w:p>
    <w:p w14:paraId="658EEF91">
      <w:pPr>
        <w:adjustRightInd w:val="0"/>
        <w:snapToGrid w:val="0"/>
        <w:spacing w:line="360" w:lineRule="auto"/>
        <w:ind w:left="120" w:leftChars="57" w:firstLine="482" w:firstLineChars="150"/>
        <w:jc w:val="center"/>
        <w:rPr>
          <w:rFonts w:ascii="宋体" w:hAnsi="宋体" w:cs="宋体"/>
          <w:b/>
          <w:color w:val="auto"/>
          <w:sz w:val="32"/>
          <w:highlight w:val="none"/>
        </w:rPr>
      </w:pPr>
    </w:p>
    <w:p w14:paraId="29801F13">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779730F">
      <w:pPr>
        <w:pStyle w:val="25"/>
        <w:spacing w:line="360" w:lineRule="auto"/>
        <w:ind w:left="477"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995AF15">
      <w:pPr>
        <w:pStyle w:val="25"/>
        <w:spacing w:line="360" w:lineRule="auto"/>
        <w:ind w:left="477" w:hanging="479" w:hangingChars="199"/>
        <w:rPr>
          <w:rFonts w:cs="宋体"/>
          <w:b/>
          <w:color w:val="auto"/>
          <w:highlight w:val="none"/>
        </w:rPr>
      </w:pPr>
      <w:r>
        <w:rPr>
          <w:rFonts w:hint="eastAsia" w:cs="宋体"/>
          <w:b/>
          <w:color w:val="auto"/>
          <w:highlight w:val="none"/>
        </w:rPr>
        <w:t>25. 合同的签订</w:t>
      </w:r>
    </w:p>
    <w:p w14:paraId="5321E86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488B6F">
      <w:pPr>
        <w:pStyle w:val="127"/>
        <w:adjustRightInd w:val="0"/>
        <w:snapToGrid w:val="0"/>
        <w:spacing w:before="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EAA739">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9318D6">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F159B04">
      <w:pPr>
        <w:pStyle w:val="127"/>
        <w:adjustRightInd w:val="0"/>
        <w:snapToGrid w:val="0"/>
        <w:spacing w:before="0" w:after="12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319E3C8">
      <w:pPr>
        <w:pStyle w:val="25"/>
        <w:spacing w:line="360" w:lineRule="auto"/>
        <w:ind w:left="477" w:hanging="479" w:hangingChars="199"/>
        <w:rPr>
          <w:rFonts w:cs="宋体"/>
          <w:b/>
          <w:color w:val="auto"/>
          <w:highlight w:val="none"/>
        </w:rPr>
      </w:pPr>
      <w:r>
        <w:rPr>
          <w:rFonts w:hint="eastAsia" w:cs="宋体"/>
          <w:b/>
          <w:color w:val="auto"/>
          <w:highlight w:val="none"/>
        </w:rPr>
        <w:t>26. 履约保证金</w:t>
      </w:r>
    </w:p>
    <w:p w14:paraId="6C9E10A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85F3EFF">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04C7A67">
      <w:pPr>
        <w:pStyle w:val="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D65C6FB">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D9BA16C">
      <w:pPr>
        <w:rPr>
          <w:rFonts w:ascii="宋体" w:hAnsi="宋体" w:cs="宋体"/>
          <w:color w:val="auto"/>
          <w:highlight w:val="none"/>
        </w:rPr>
      </w:pPr>
    </w:p>
    <w:p w14:paraId="29F88D55">
      <w:pPr>
        <w:adjustRightInd w:val="0"/>
        <w:snapToGrid w:val="0"/>
        <w:spacing w:line="360" w:lineRule="auto"/>
        <w:ind w:firstLine="3357" w:firstLineChars="1045"/>
        <w:rPr>
          <w:rFonts w:ascii="宋体" w:hAnsi="宋体" w:cs="宋体"/>
          <w:b/>
          <w:color w:val="auto"/>
          <w:sz w:val="32"/>
          <w:highlight w:val="none"/>
        </w:rPr>
      </w:pPr>
    </w:p>
    <w:p w14:paraId="644F047C">
      <w:pPr>
        <w:adjustRightInd w:val="0"/>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BB61D19">
      <w:pPr>
        <w:pStyle w:val="127"/>
        <w:adjustRightInd w:val="0"/>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0BF732">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8C03564">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3CA80B1">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8D1985">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AC85485">
      <w:pPr>
        <w:pStyle w:val="127"/>
        <w:adjustRightInd w:val="0"/>
        <w:snapToGrid w:val="0"/>
        <w:spacing w:before="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9449E83">
      <w:pPr>
        <w:pStyle w:val="127"/>
        <w:adjustRightInd w:val="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E97961">
      <w:pPr>
        <w:tabs>
          <w:tab w:val="left" w:pos="0"/>
        </w:tabs>
        <w:spacing w:line="360" w:lineRule="auto"/>
        <w:ind w:firstLine="480"/>
        <w:rPr>
          <w:rFonts w:ascii="宋体" w:hAnsi="宋体" w:cs="宋体"/>
          <w:color w:val="auto"/>
          <w:sz w:val="24"/>
          <w:highlight w:val="none"/>
        </w:rPr>
      </w:pPr>
    </w:p>
    <w:p w14:paraId="04586481">
      <w:pPr>
        <w:adjustRightInd w:val="0"/>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4750112">
      <w:pPr>
        <w:pStyle w:val="25"/>
        <w:spacing w:line="360" w:lineRule="auto"/>
        <w:ind w:firstLine="0" w:firstLineChars="0"/>
        <w:rPr>
          <w:rFonts w:cs="宋体"/>
          <w:b/>
          <w:color w:val="auto"/>
          <w:highlight w:val="none"/>
        </w:rPr>
      </w:pPr>
      <w:r>
        <w:rPr>
          <w:rFonts w:hint="eastAsia" w:cs="宋体"/>
          <w:b/>
          <w:color w:val="auto"/>
          <w:highlight w:val="none"/>
        </w:rPr>
        <w:t>30.验收</w:t>
      </w:r>
    </w:p>
    <w:p w14:paraId="055D59E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D9CBE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931766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委托第三方代理机构成立验收小组（验收小组由5人组成，其中采购人1名，其余4名由第三方机构从乐采云专家库相关专业随机抽取），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436C5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5B6C7B">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83D9B83">
      <w:pPr>
        <w:pStyle w:val="87"/>
        <w:rPr>
          <w:rFonts w:ascii="宋体" w:hAnsi="宋体" w:eastAsia="宋体" w:cs="宋体"/>
          <w:color w:val="auto"/>
          <w:highlight w:val="none"/>
        </w:rPr>
      </w:pPr>
    </w:p>
    <w:bookmarkEnd w:id="13"/>
    <w:p w14:paraId="76B37A9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101"/>
      <w:bookmarkEnd w:id="17"/>
      <w:bookmarkStart w:id="18" w:name="_Hlt68072998"/>
      <w:bookmarkEnd w:id="18"/>
      <w:bookmarkStart w:id="19" w:name="_Hlt75236011"/>
      <w:bookmarkEnd w:id="19"/>
      <w:bookmarkStart w:id="20" w:name="_Hlt74730295"/>
      <w:bookmarkEnd w:id="20"/>
      <w:bookmarkStart w:id="21" w:name="_Hlt74729768"/>
      <w:bookmarkEnd w:id="21"/>
      <w:bookmarkStart w:id="22" w:name="_Hlt74707468"/>
      <w:bookmarkEnd w:id="22"/>
      <w:bookmarkStart w:id="23" w:name="_Hlt74714665"/>
      <w:bookmarkEnd w:id="23"/>
      <w:bookmarkStart w:id="24" w:name="_Hlt75236290"/>
      <w:bookmarkEnd w:id="24"/>
      <w:bookmarkStart w:id="25" w:name="_Hlt68057669"/>
      <w:bookmarkEnd w:id="25"/>
      <w:bookmarkStart w:id="26" w:name="_Hlt68073093"/>
      <w:bookmarkEnd w:id="26"/>
      <w:bookmarkStart w:id="27" w:name="_Hlt68403820"/>
      <w:bookmarkEnd w:id="27"/>
    </w:p>
    <w:bookmarkEnd w:id="11"/>
    <w:bookmarkEnd w:id="12"/>
    <w:p w14:paraId="4DE5718D">
      <w:pPr>
        <w:numPr>
          <w:ilvl w:val="0"/>
          <w:numId w:val="1"/>
        </w:num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 xml:space="preserve">  采购需求</w:t>
      </w:r>
    </w:p>
    <w:p w14:paraId="318B9E1F">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（一）项目概况</w:t>
      </w:r>
    </w:p>
    <w:p w14:paraId="371F3AC8">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提供2000台PDT数字集群终端设备及终端设备管理服务。</w:t>
      </w:r>
    </w:p>
    <w:p w14:paraId="543AD1B9">
      <w:pPr>
        <w:spacing w:line="360" w:lineRule="auto"/>
        <w:ind w:firstLine="482" w:firstLineChars="200"/>
        <w:jc w:val="left"/>
        <w:rPr>
          <w:rFonts w:ascii="宋体" w:hAnsi="宋体" w:cs="宋体"/>
          <w:bCs/>
          <w:color w:val="auto"/>
          <w:sz w:val="24"/>
          <w:highlight w:val="none"/>
          <w:u w:val="single"/>
        </w:rPr>
      </w:pPr>
      <w:r>
        <w:rPr>
          <w:rFonts w:hint="eastAsia" w:ascii="宋体" w:hAnsi="宋体" w:cs="宋体"/>
          <w:b/>
          <w:color w:val="auto"/>
          <w:sz w:val="24"/>
          <w:highlight w:val="none"/>
          <w:u w:val="single"/>
        </w:rPr>
        <w:t>合同履约期限：</w:t>
      </w:r>
      <w:r>
        <w:rPr>
          <w:rFonts w:hint="eastAsia" w:ascii="宋体" w:hAnsi="宋体" w:cs="宋体"/>
          <w:bCs/>
          <w:color w:val="auto"/>
          <w:sz w:val="24"/>
          <w:highlight w:val="none"/>
          <w:u w:val="single"/>
        </w:rPr>
        <w:t>12个月（2025年8月1日-2026年7月31日）。</w:t>
      </w:r>
    </w:p>
    <w:p w14:paraId="38C3D9BC">
      <w:pPr>
        <w:spacing w:line="360" w:lineRule="auto"/>
        <w:jc w:val="left"/>
        <w:rPr>
          <w:rFonts w:ascii="宋体" w:hAnsi="宋体" w:cs="宋体"/>
          <w:b/>
          <w:color w:val="auto"/>
          <w:sz w:val="24"/>
          <w:highlight w:val="none"/>
          <w:u w:val="single"/>
        </w:rPr>
      </w:pPr>
      <w:r>
        <w:rPr>
          <w:rFonts w:hint="eastAsia" w:ascii="宋体" w:hAnsi="宋体" w:cs="宋体"/>
          <w:b/>
          <w:color w:val="auto"/>
          <w:sz w:val="24"/>
          <w:highlight w:val="none"/>
        </w:rPr>
        <w:t>（二）预算金额：</w:t>
      </w:r>
      <w:r>
        <w:rPr>
          <w:rFonts w:hint="eastAsia" w:ascii="宋体" w:hAnsi="宋体" w:cs="宋体"/>
          <w:b/>
          <w:color w:val="auto"/>
          <w:sz w:val="24"/>
          <w:highlight w:val="none"/>
          <w:u w:val="single"/>
        </w:rPr>
        <w:t>人民币227万元（其中2025年安排 113.5万元）</w:t>
      </w:r>
    </w:p>
    <w:p w14:paraId="13AED4CB">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（三）需满足的政府采购政策目标和具体支持对象</w:t>
      </w:r>
    </w:p>
    <w:p w14:paraId="573D5E14">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☑扶持中小企业  □节能环保  □其他（</w:t>
      </w:r>
      <w:r>
        <w:rPr>
          <w:rFonts w:hint="eastAsia" w:ascii="宋体" w:hAnsi="宋体" w:cs="宋体"/>
          <w:color w:val="auto"/>
          <w:sz w:val="24"/>
          <w:highlight w:val="none"/>
          <w:u w:val="single"/>
        </w:rPr>
        <w:t>专门面向中小企业采购</w:t>
      </w:r>
      <w:r>
        <w:rPr>
          <w:rFonts w:hint="eastAsia" w:ascii="宋体" w:hAnsi="宋体" w:cs="宋体"/>
          <w:color w:val="auto"/>
          <w:sz w:val="24"/>
          <w:highlight w:val="none"/>
        </w:rPr>
        <w:t>）</w:t>
      </w:r>
    </w:p>
    <w:p w14:paraId="3265B147">
      <w:pPr>
        <w:spacing w:line="360" w:lineRule="auto"/>
        <w:jc w:val="left"/>
        <w:rPr>
          <w:rFonts w:ascii="宋体" w:hAnsi="宋体" w:cs="宋体"/>
          <w:color w:val="auto"/>
          <w:sz w:val="24"/>
          <w:highlight w:val="none"/>
        </w:rPr>
      </w:pPr>
      <w:r>
        <w:rPr>
          <w:rFonts w:hint="eastAsia" w:ascii="宋体" w:hAnsi="宋体" w:cs="宋体"/>
          <w:b/>
          <w:color w:val="auto"/>
          <w:sz w:val="24"/>
          <w:highlight w:val="none"/>
        </w:rPr>
        <w:t>（四）采购标的是否进口产品：</w:t>
      </w:r>
      <w:r>
        <w:rPr>
          <w:rFonts w:hint="eastAsia" w:ascii="宋体" w:hAnsi="宋体" w:cs="宋体"/>
          <w:color w:val="auto"/>
          <w:sz w:val="24"/>
          <w:highlight w:val="none"/>
        </w:rPr>
        <w:t>□进口  □国产，</w:t>
      </w:r>
      <w:r>
        <w:rPr>
          <w:rFonts w:hint="eastAsia" w:ascii="宋体" w:hAnsi="宋体" w:cs="宋体"/>
          <w:color w:val="auto"/>
          <w:sz w:val="24"/>
          <w:highlight w:val="none"/>
          <w:u w:val="single"/>
        </w:rPr>
        <w:t>本项目为服务采购。</w:t>
      </w:r>
    </w:p>
    <w:p w14:paraId="77009BED">
      <w:pPr>
        <w:spacing w:line="360" w:lineRule="auto"/>
        <w:jc w:val="left"/>
        <w:rPr>
          <w:rFonts w:ascii="宋体" w:hAnsi="宋体" w:cs="宋体"/>
          <w:b/>
          <w:color w:val="auto"/>
          <w:sz w:val="36"/>
          <w:szCs w:val="36"/>
          <w:highlight w:val="none"/>
        </w:rPr>
      </w:pPr>
      <w:r>
        <w:rPr>
          <w:rFonts w:hint="eastAsia" w:ascii="宋体" w:hAnsi="宋体" w:cs="宋体"/>
          <w:b/>
          <w:color w:val="auto"/>
          <w:sz w:val="24"/>
          <w:highlight w:val="none"/>
        </w:rPr>
        <w:t>（五）拟采购标的的服务要求</w:t>
      </w:r>
    </w:p>
    <w:tbl>
      <w:tblPr>
        <w:tblStyle w:val="63"/>
        <w:tblW w:w="989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0"/>
        <w:gridCol w:w="2219"/>
        <w:gridCol w:w="2102"/>
        <w:gridCol w:w="4834"/>
      </w:tblGrid>
      <w:tr w14:paraId="0DC57E8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jc w:val="center"/>
        </w:trPr>
        <w:tc>
          <w:tcPr>
            <w:tcW w:w="740" w:type="dxa"/>
            <w:vAlign w:val="center"/>
          </w:tcPr>
          <w:p w14:paraId="084285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标的内容</w:t>
            </w:r>
          </w:p>
        </w:tc>
        <w:tc>
          <w:tcPr>
            <w:tcW w:w="9155" w:type="dxa"/>
            <w:gridSpan w:val="3"/>
            <w:vAlign w:val="center"/>
          </w:tcPr>
          <w:p w14:paraId="4C548306">
            <w:pPr>
              <w:spacing w:line="360" w:lineRule="auto"/>
              <w:rPr>
                <w:rFonts w:ascii="宋体" w:hAnsi="宋体" w:cs="宋体"/>
                <w:color w:val="auto"/>
                <w:sz w:val="24"/>
                <w:highlight w:val="none"/>
              </w:rPr>
            </w:pPr>
            <w:r>
              <w:rPr>
                <w:rFonts w:hint="eastAsia" w:ascii="宋体" w:hAnsi="宋体" w:cs="宋体"/>
                <w:color w:val="auto"/>
                <w:sz w:val="24"/>
                <w:highlight w:val="none"/>
              </w:rPr>
              <w:t>PDT数字集群终端设备使用服务</w:t>
            </w:r>
          </w:p>
        </w:tc>
      </w:tr>
      <w:tr w14:paraId="1F5E46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664" w:hRule="atLeast"/>
          <w:jc w:val="center"/>
        </w:trPr>
        <w:tc>
          <w:tcPr>
            <w:tcW w:w="740" w:type="dxa"/>
            <w:vAlign w:val="center"/>
          </w:tcPr>
          <w:p w14:paraId="09AF8B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219" w:type="dxa"/>
            <w:tcBorders>
              <w:left w:val="single" w:color="808080" w:sz="4" w:space="0"/>
            </w:tcBorders>
            <w:vAlign w:val="center"/>
          </w:tcPr>
          <w:p w14:paraId="5A712B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102" w:type="dxa"/>
            <w:tcBorders>
              <w:left w:val="single" w:color="808080" w:sz="4" w:space="0"/>
            </w:tcBorders>
            <w:vAlign w:val="center"/>
          </w:tcPr>
          <w:p w14:paraId="59888E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4834" w:type="dxa"/>
            <w:tcBorders>
              <w:left w:val="single" w:color="808080" w:sz="4" w:space="0"/>
            </w:tcBorders>
            <w:vAlign w:val="center"/>
          </w:tcPr>
          <w:p w14:paraId="01B83E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w:t>
            </w:r>
          </w:p>
        </w:tc>
      </w:tr>
      <w:tr w14:paraId="60622E8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40" w:type="dxa"/>
          </w:tcPr>
          <w:p w14:paraId="2EAD4C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功能和质量</w:t>
            </w:r>
          </w:p>
          <w:p w14:paraId="534C32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9155" w:type="dxa"/>
            <w:gridSpan w:val="3"/>
          </w:tcPr>
          <w:p w14:paraId="08747795">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一、项目服务内容</w:t>
            </w:r>
          </w:p>
          <w:p w14:paraId="46CB42AD">
            <w:pPr>
              <w:spacing w:line="360" w:lineRule="auto"/>
              <w:ind w:firstLine="580"/>
              <w:rPr>
                <w:rFonts w:ascii="宋体" w:hAnsi="宋体" w:cs="宋体"/>
                <w:color w:val="auto"/>
                <w:sz w:val="24"/>
                <w:highlight w:val="none"/>
              </w:rPr>
            </w:pPr>
            <w:r>
              <w:rPr>
                <w:rFonts w:hint="eastAsia" w:ascii="宋体" w:hAnsi="宋体" w:cs="宋体"/>
                <w:color w:val="auto"/>
                <w:sz w:val="24"/>
                <w:highlight w:val="none"/>
              </w:rPr>
              <w:t>租赁2000台PDT数字集群终端设备及终端设备管理服务。</w:t>
            </w:r>
          </w:p>
          <w:p w14:paraId="4F0B9B68">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具体内容如下：</w:t>
            </w:r>
          </w:p>
          <w:p w14:paraId="239775DB">
            <w:pPr>
              <w:ind w:firstLine="480"/>
              <w:rPr>
                <w:rFonts w:ascii="宋体" w:hAnsi="宋体" w:cs="宋体"/>
                <w:b/>
                <w:bCs/>
                <w:color w:val="auto"/>
                <w:highlight w:val="none"/>
              </w:rPr>
            </w:pPr>
            <w:r>
              <w:rPr>
                <w:rFonts w:hint="eastAsia" w:ascii="宋体" w:hAnsi="宋体" w:cs="宋体"/>
                <w:b/>
                <w:bCs/>
                <w:color w:val="auto"/>
                <w:highlight w:val="none"/>
              </w:rPr>
              <w:t>一）应用功能</w:t>
            </w:r>
          </w:p>
          <w:p w14:paraId="48369FAB">
            <w:pPr>
              <w:ind w:firstLine="480"/>
              <w:rPr>
                <w:rFonts w:ascii="宋体" w:hAnsi="宋体" w:cs="宋体"/>
                <w:color w:val="auto"/>
                <w:highlight w:val="none"/>
              </w:rPr>
            </w:pPr>
            <w:r>
              <w:rPr>
                <w:rFonts w:hint="eastAsia" w:ascii="宋体" w:hAnsi="宋体" w:cs="宋体"/>
                <w:color w:val="auto"/>
                <w:highlight w:val="none"/>
              </w:rPr>
              <w:t>1基本功能</w:t>
            </w:r>
          </w:p>
          <w:p w14:paraId="6AD39000">
            <w:pPr>
              <w:ind w:firstLine="480"/>
              <w:rPr>
                <w:rFonts w:ascii="宋体" w:hAnsi="宋体" w:cs="宋体"/>
                <w:color w:val="auto"/>
                <w:highlight w:val="none"/>
              </w:rPr>
            </w:pPr>
            <w:r>
              <w:rPr>
                <w:rFonts w:hint="eastAsia" w:ascii="宋体" w:hAnsi="宋体" w:cs="宋体"/>
                <w:color w:val="auto"/>
                <w:highlight w:val="none"/>
              </w:rPr>
              <w:t>1.1移动性管理</w:t>
            </w:r>
          </w:p>
          <w:p w14:paraId="5D24E14C">
            <w:pPr>
              <w:ind w:firstLine="480"/>
              <w:rPr>
                <w:rFonts w:ascii="宋体" w:hAnsi="宋体" w:cs="宋体"/>
                <w:color w:val="auto"/>
                <w:highlight w:val="none"/>
              </w:rPr>
            </w:pPr>
            <w:r>
              <w:rPr>
                <w:rFonts w:hint="eastAsia" w:ascii="宋体" w:hAnsi="宋体" w:cs="宋体"/>
                <w:color w:val="auto"/>
                <w:highlight w:val="none"/>
              </w:rPr>
              <w:t>移动性管理包含开机登记、附加鉴权登记、群登记、关机注销、组登记、组注销、越区切换/漫游等业务。</w:t>
            </w:r>
          </w:p>
          <w:p w14:paraId="27FC772E">
            <w:pPr>
              <w:ind w:firstLine="480"/>
              <w:rPr>
                <w:rFonts w:ascii="宋体" w:hAnsi="宋体" w:cs="宋体"/>
                <w:color w:val="auto"/>
                <w:highlight w:val="none"/>
              </w:rPr>
            </w:pPr>
            <w:r>
              <w:rPr>
                <w:rFonts w:hint="eastAsia" w:ascii="宋体" w:hAnsi="宋体" w:cs="宋体"/>
                <w:color w:val="auto"/>
                <w:highlight w:val="none"/>
              </w:rPr>
              <w:t>PDT标准鉴权：</w:t>
            </w:r>
          </w:p>
          <w:p w14:paraId="5A6DF8E0">
            <w:pPr>
              <w:ind w:firstLine="480"/>
              <w:rPr>
                <w:rFonts w:ascii="宋体" w:hAnsi="宋体" w:cs="宋体"/>
                <w:color w:val="auto"/>
                <w:highlight w:val="none"/>
              </w:rPr>
            </w:pPr>
            <w:r>
              <w:rPr>
                <w:rFonts w:hint="eastAsia" w:ascii="宋体" w:hAnsi="宋体" w:cs="宋体"/>
                <w:color w:val="auto"/>
                <w:highlight w:val="none"/>
              </w:rPr>
              <w:t>支持PDT安全技术规范规定的鉴权标准和流程。</w:t>
            </w:r>
          </w:p>
          <w:p w14:paraId="2C007F6E">
            <w:pPr>
              <w:ind w:firstLine="480"/>
              <w:rPr>
                <w:rFonts w:ascii="宋体" w:hAnsi="宋体" w:cs="宋体"/>
                <w:color w:val="auto"/>
                <w:highlight w:val="none"/>
              </w:rPr>
            </w:pPr>
            <w:r>
              <w:rPr>
                <w:rFonts w:hint="eastAsia" w:ascii="宋体" w:hAnsi="宋体" w:cs="宋体"/>
                <w:color w:val="auto"/>
                <w:highlight w:val="none"/>
              </w:rPr>
              <w:t>开机登记：</w:t>
            </w:r>
          </w:p>
          <w:p w14:paraId="4408A46D">
            <w:pPr>
              <w:ind w:firstLine="480"/>
              <w:rPr>
                <w:rFonts w:ascii="宋体" w:hAnsi="宋体" w:cs="宋体"/>
                <w:color w:val="auto"/>
                <w:highlight w:val="none"/>
              </w:rPr>
            </w:pPr>
            <w:r>
              <w:rPr>
                <w:rFonts w:hint="eastAsia" w:ascii="宋体" w:hAnsi="宋体" w:cs="宋体"/>
                <w:color w:val="auto"/>
                <w:highlight w:val="none"/>
              </w:rPr>
              <w:t>移动终端开机后，需向系统发起登记请求，待系统确认其身份及服务权限后方可为其提供服务。</w:t>
            </w:r>
          </w:p>
          <w:p w14:paraId="575F59F9">
            <w:pPr>
              <w:ind w:firstLine="480"/>
              <w:rPr>
                <w:rFonts w:ascii="宋体" w:hAnsi="宋体" w:cs="宋体"/>
                <w:color w:val="auto"/>
                <w:highlight w:val="none"/>
              </w:rPr>
            </w:pPr>
            <w:r>
              <w:rPr>
                <w:rFonts w:hint="eastAsia" w:ascii="宋体" w:hAnsi="宋体" w:cs="宋体"/>
                <w:color w:val="auto"/>
                <w:highlight w:val="none"/>
              </w:rPr>
              <w:t>备注：为了避免多个移动终端同时登记造成网络繁忙，系统可以利用参数配置规定移动终端开机选择登记或不登记的业务属性。</w:t>
            </w:r>
          </w:p>
          <w:p w14:paraId="596390F8">
            <w:pPr>
              <w:ind w:firstLine="480"/>
              <w:rPr>
                <w:rFonts w:ascii="宋体" w:hAnsi="宋体" w:cs="宋体"/>
                <w:color w:val="auto"/>
                <w:highlight w:val="none"/>
              </w:rPr>
            </w:pPr>
            <w:r>
              <w:rPr>
                <w:rFonts w:hint="eastAsia" w:ascii="宋体" w:hAnsi="宋体" w:cs="宋体"/>
                <w:color w:val="auto"/>
                <w:highlight w:val="none"/>
              </w:rPr>
              <w:t>越区切换/漫游：</w:t>
            </w:r>
          </w:p>
          <w:p w14:paraId="5F18C7FD">
            <w:pPr>
              <w:ind w:firstLine="480"/>
              <w:rPr>
                <w:rFonts w:ascii="宋体" w:hAnsi="宋体" w:cs="宋体"/>
                <w:color w:val="auto"/>
                <w:highlight w:val="none"/>
              </w:rPr>
            </w:pPr>
            <w:r>
              <w:rPr>
                <w:rFonts w:hint="eastAsia" w:ascii="宋体" w:hAnsi="宋体" w:cs="宋体"/>
                <w:color w:val="auto"/>
                <w:highlight w:val="none"/>
              </w:rPr>
              <w:t>移动终端从一个基站的覆盖区域移动到另一个基站的覆盖区域，在移动过程中提供不间断的系统服务，系统自动同步更新移动终端所在的位置。终端处于通话过程中的接收状态时可以实现无缝越区切换，通话不间断。</w:t>
            </w:r>
          </w:p>
          <w:p w14:paraId="13B63BC8">
            <w:pPr>
              <w:ind w:firstLine="480"/>
              <w:rPr>
                <w:rFonts w:ascii="宋体" w:hAnsi="宋体" w:cs="宋体"/>
                <w:color w:val="auto"/>
                <w:highlight w:val="none"/>
              </w:rPr>
            </w:pPr>
            <w:r>
              <w:rPr>
                <w:rFonts w:hint="eastAsia" w:ascii="宋体" w:hAnsi="宋体" w:cs="宋体"/>
                <w:color w:val="auto"/>
                <w:highlight w:val="none"/>
              </w:rPr>
              <w:t>组管理功能：</w:t>
            </w:r>
          </w:p>
          <w:p w14:paraId="1E62E838">
            <w:pPr>
              <w:ind w:firstLine="480"/>
              <w:rPr>
                <w:rFonts w:ascii="宋体" w:hAnsi="宋体" w:cs="宋体"/>
                <w:color w:val="auto"/>
                <w:highlight w:val="none"/>
              </w:rPr>
            </w:pPr>
            <w:r>
              <w:rPr>
                <w:rFonts w:hint="eastAsia" w:ascii="宋体" w:hAnsi="宋体" w:cs="宋体"/>
                <w:color w:val="auto"/>
                <w:highlight w:val="none"/>
              </w:rPr>
              <w:t>在系统中预先定义好每一个组在发起呼叫时应该有哪些基站需分配信道， 当组呼发起时，定义参与该组通话的基站分配信道，没有定义参与该组的基站则不必分配信道；当定义参与呼叫的基站下面没有该组成员用户时，则该基站在组呼发起时不分配信道。</w:t>
            </w:r>
          </w:p>
          <w:p w14:paraId="6B947FEB">
            <w:pPr>
              <w:ind w:firstLine="480"/>
              <w:rPr>
                <w:rFonts w:ascii="宋体" w:hAnsi="宋体" w:cs="宋体"/>
                <w:color w:val="auto"/>
                <w:highlight w:val="none"/>
              </w:rPr>
            </w:pPr>
            <w:r>
              <w:rPr>
                <w:rFonts w:hint="eastAsia" w:ascii="宋体" w:hAnsi="宋体" w:cs="宋体"/>
                <w:color w:val="auto"/>
                <w:highlight w:val="none"/>
              </w:rPr>
              <w:t>组属性：</w:t>
            </w:r>
          </w:p>
          <w:p w14:paraId="4F2E39C0">
            <w:pPr>
              <w:ind w:firstLine="480"/>
              <w:rPr>
                <w:rFonts w:ascii="宋体" w:hAnsi="宋体" w:cs="宋体"/>
                <w:color w:val="auto"/>
                <w:highlight w:val="none"/>
              </w:rPr>
            </w:pPr>
            <w:r>
              <w:rPr>
                <w:rFonts w:hint="eastAsia" w:ascii="宋体" w:hAnsi="宋体" w:cs="宋体"/>
                <w:color w:val="auto"/>
                <w:highlight w:val="none"/>
              </w:rPr>
              <w:t>针对于不同的职能部门对组呼号码进行规划，可分为响应组，参与组，背景组。</w:t>
            </w:r>
          </w:p>
          <w:p w14:paraId="72FC5B5C">
            <w:pPr>
              <w:ind w:firstLine="480"/>
              <w:rPr>
                <w:rFonts w:ascii="宋体" w:hAnsi="宋体" w:cs="宋体"/>
                <w:color w:val="auto"/>
                <w:highlight w:val="none"/>
              </w:rPr>
            </w:pPr>
            <w:r>
              <w:rPr>
                <w:rFonts w:hint="eastAsia" w:ascii="宋体" w:hAnsi="宋体" w:cs="宋体"/>
                <w:color w:val="auto"/>
                <w:highlight w:val="none"/>
              </w:rPr>
              <w:t>响应组：终端不需要旋转组呼钮，只要组呼旋钮里有这个组，在任意组下面，即可响应该组的呼叫</w:t>
            </w:r>
          </w:p>
          <w:p w14:paraId="7014829F">
            <w:pPr>
              <w:ind w:firstLine="480"/>
              <w:rPr>
                <w:rFonts w:ascii="宋体" w:hAnsi="宋体" w:cs="宋体"/>
                <w:color w:val="auto"/>
                <w:highlight w:val="none"/>
              </w:rPr>
            </w:pPr>
            <w:r>
              <w:rPr>
                <w:rFonts w:hint="eastAsia" w:ascii="宋体" w:hAnsi="宋体" w:cs="宋体"/>
                <w:color w:val="auto"/>
                <w:highlight w:val="none"/>
              </w:rPr>
              <w:t>参与组：终端需要旋转组呼钮，调整到当前呼叫组，才可以响应该组的呼叫</w:t>
            </w:r>
          </w:p>
          <w:p w14:paraId="001A38A1">
            <w:pPr>
              <w:ind w:firstLine="480"/>
              <w:rPr>
                <w:rFonts w:ascii="宋体" w:hAnsi="宋体" w:cs="宋体"/>
                <w:color w:val="auto"/>
                <w:highlight w:val="none"/>
              </w:rPr>
            </w:pPr>
            <w:r>
              <w:rPr>
                <w:rFonts w:hint="eastAsia" w:ascii="宋体" w:hAnsi="宋体" w:cs="宋体"/>
                <w:color w:val="auto"/>
                <w:highlight w:val="none"/>
              </w:rPr>
              <w:t>背景组：在组呼旋钮里查询不到该组，设为背景组的组成员发起不了对该组的呼叫，但在任意组下面，可以响应该组的呼叫。</w:t>
            </w:r>
          </w:p>
          <w:p w14:paraId="6CDE1F4E">
            <w:pPr>
              <w:ind w:firstLine="480"/>
              <w:rPr>
                <w:rFonts w:ascii="宋体" w:hAnsi="宋体" w:cs="宋体"/>
                <w:color w:val="auto"/>
                <w:highlight w:val="none"/>
              </w:rPr>
            </w:pPr>
            <w:r>
              <w:rPr>
                <w:rFonts w:hint="eastAsia" w:ascii="宋体" w:hAnsi="宋体" w:cs="宋体"/>
                <w:color w:val="auto"/>
                <w:highlight w:val="none"/>
              </w:rPr>
              <w:t>组呼参与基站动态分配</w:t>
            </w:r>
          </w:p>
          <w:p w14:paraId="176DA6F4">
            <w:pPr>
              <w:ind w:firstLine="480"/>
              <w:rPr>
                <w:rFonts w:ascii="宋体" w:hAnsi="宋体" w:cs="宋体"/>
                <w:color w:val="auto"/>
                <w:highlight w:val="none"/>
              </w:rPr>
            </w:pPr>
            <w:r>
              <w:rPr>
                <w:rFonts w:hint="eastAsia" w:ascii="宋体" w:hAnsi="宋体" w:cs="宋体"/>
                <w:color w:val="auto"/>
                <w:highlight w:val="none"/>
              </w:rPr>
              <w:t>在组呼过程中，一个组的成员可能分布在很多基站的覆盖区域。对于传统的集群系统，由于无法判断当前某一呼叫的组成员分布在哪些基站的覆盖区域，通常会为该组呼分配所有基站的业务信道，而某些基站覆盖区域实际上没有该组呼的成员存在，造成了这些基站分配的业务信道资源浪费。组呼参与基站动态分配功能可以有效提高系统信道利用率。</w:t>
            </w:r>
          </w:p>
          <w:p w14:paraId="10F978D6">
            <w:pPr>
              <w:ind w:firstLine="480"/>
              <w:rPr>
                <w:rFonts w:ascii="宋体" w:hAnsi="宋体" w:cs="宋体"/>
                <w:color w:val="auto"/>
                <w:highlight w:val="none"/>
              </w:rPr>
            </w:pPr>
            <w:r>
              <w:rPr>
                <w:rFonts w:hint="eastAsia" w:ascii="宋体" w:hAnsi="宋体" w:cs="宋体"/>
                <w:color w:val="auto"/>
                <w:highlight w:val="none"/>
              </w:rPr>
              <w:t>PTT授权：</w:t>
            </w:r>
          </w:p>
          <w:p w14:paraId="38F4C708">
            <w:pPr>
              <w:ind w:firstLine="480"/>
              <w:rPr>
                <w:rFonts w:ascii="宋体" w:hAnsi="宋体" w:cs="宋体"/>
                <w:color w:val="auto"/>
                <w:highlight w:val="none"/>
              </w:rPr>
            </w:pPr>
            <w:r>
              <w:rPr>
                <w:rFonts w:hint="eastAsia" w:ascii="宋体" w:hAnsi="宋体" w:cs="宋体"/>
                <w:color w:val="auto"/>
                <w:highlight w:val="none"/>
              </w:rPr>
              <w:t>在一次通话过程中可能有多个终端参与这个呼叫，PTT授权功能避免了移动终端间语音碰撞，保证了语音通话的完整性。同时也兼容无授权方案。</w:t>
            </w:r>
          </w:p>
          <w:p w14:paraId="441E4B2D">
            <w:pPr>
              <w:ind w:firstLine="480"/>
              <w:rPr>
                <w:rFonts w:ascii="宋体" w:hAnsi="宋体" w:cs="宋体"/>
                <w:color w:val="auto"/>
                <w:highlight w:val="none"/>
              </w:rPr>
            </w:pPr>
            <w:r>
              <w:rPr>
                <w:rFonts w:hint="eastAsia" w:ascii="宋体" w:hAnsi="宋体" w:cs="宋体"/>
                <w:color w:val="auto"/>
                <w:highlight w:val="none"/>
              </w:rPr>
              <w:t>载波检测：</w:t>
            </w:r>
          </w:p>
          <w:p w14:paraId="1B95DFD0">
            <w:pPr>
              <w:ind w:firstLine="480"/>
              <w:rPr>
                <w:rFonts w:ascii="宋体" w:hAnsi="宋体" w:cs="宋体"/>
                <w:color w:val="auto"/>
                <w:highlight w:val="none"/>
              </w:rPr>
            </w:pPr>
            <w:r>
              <w:rPr>
                <w:rFonts w:hint="eastAsia" w:ascii="宋体" w:hAnsi="宋体" w:cs="宋体"/>
                <w:color w:val="auto"/>
                <w:highlight w:val="none"/>
              </w:rPr>
              <w:t>为了更合理地利用系统资源，保证通话的有效性，单次呼叫建立以后，如果呼叫双方均没有语音发射，双方无人申请PTT到达一定时间后，系统会主动将呼叫拆除。</w:t>
            </w:r>
          </w:p>
          <w:p w14:paraId="1A012FFF">
            <w:pPr>
              <w:ind w:firstLine="480"/>
              <w:rPr>
                <w:rFonts w:ascii="宋体" w:hAnsi="宋体" w:cs="宋体"/>
                <w:color w:val="auto"/>
                <w:highlight w:val="none"/>
              </w:rPr>
            </w:pPr>
            <w:r>
              <w:rPr>
                <w:rFonts w:hint="eastAsia" w:ascii="宋体" w:hAnsi="宋体" w:cs="宋体"/>
                <w:color w:val="auto"/>
                <w:highlight w:val="none"/>
              </w:rPr>
              <w:t>自动漫游：</w:t>
            </w:r>
          </w:p>
          <w:p w14:paraId="6EE413E2">
            <w:pPr>
              <w:ind w:firstLine="480"/>
              <w:rPr>
                <w:rFonts w:ascii="宋体" w:hAnsi="宋体" w:cs="宋体"/>
                <w:color w:val="auto"/>
                <w:highlight w:val="none"/>
              </w:rPr>
            </w:pPr>
            <w:r>
              <w:rPr>
                <w:rFonts w:hint="eastAsia" w:ascii="宋体" w:hAnsi="宋体" w:cs="宋体"/>
                <w:color w:val="auto"/>
                <w:highlight w:val="none"/>
              </w:rPr>
              <w:t>终端支持控制信道背景扫描，可实现自动基站切换与位置更新登记。</w:t>
            </w:r>
          </w:p>
          <w:p w14:paraId="007765C1">
            <w:pPr>
              <w:ind w:firstLine="480"/>
              <w:rPr>
                <w:rFonts w:ascii="宋体" w:hAnsi="宋体" w:cs="宋体"/>
                <w:color w:val="auto"/>
                <w:highlight w:val="none"/>
              </w:rPr>
            </w:pPr>
            <w:r>
              <w:rPr>
                <w:rFonts w:hint="eastAsia" w:ascii="宋体" w:hAnsi="宋体" w:cs="宋体"/>
                <w:color w:val="auto"/>
                <w:highlight w:val="none"/>
              </w:rPr>
              <w:t>优先级：</w:t>
            </w:r>
          </w:p>
          <w:p w14:paraId="0FECFC36">
            <w:pPr>
              <w:ind w:firstLine="480"/>
              <w:rPr>
                <w:rFonts w:ascii="宋体" w:hAnsi="宋体" w:cs="宋体"/>
                <w:color w:val="auto"/>
                <w:highlight w:val="none"/>
              </w:rPr>
            </w:pPr>
            <w:r>
              <w:rPr>
                <w:rFonts w:hint="eastAsia" w:ascii="宋体" w:hAnsi="宋体" w:cs="宋体"/>
                <w:color w:val="auto"/>
                <w:highlight w:val="none"/>
              </w:rPr>
              <w:t>支持PDT标准规定的呼叫优先级方案，在信道繁忙时紧急呼叫和预占优先级呼叫可以拆除低优先级呼叫的信道资源；对于其他优先级的呼叫当信道资源繁忙时按优先级高低进行排队。</w:t>
            </w:r>
          </w:p>
          <w:p w14:paraId="04110B0D">
            <w:pPr>
              <w:ind w:firstLine="480"/>
              <w:rPr>
                <w:rFonts w:ascii="宋体" w:hAnsi="宋体" w:cs="宋体"/>
                <w:color w:val="auto"/>
                <w:highlight w:val="none"/>
              </w:rPr>
            </w:pPr>
            <w:r>
              <w:rPr>
                <w:rFonts w:hint="eastAsia" w:ascii="宋体" w:hAnsi="宋体" w:cs="宋体"/>
                <w:color w:val="auto"/>
                <w:highlight w:val="none"/>
              </w:rPr>
              <w:t>绝对频点指定：</w:t>
            </w:r>
          </w:p>
          <w:p w14:paraId="58C2084E">
            <w:pPr>
              <w:ind w:firstLine="480"/>
              <w:rPr>
                <w:rFonts w:ascii="宋体" w:hAnsi="宋体" w:cs="宋体"/>
                <w:color w:val="auto"/>
                <w:highlight w:val="none"/>
              </w:rPr>
            </w:pPr>
            <w:r>
              <w:rPr>
                <w:rFonts w:hint="eastAsia" w:ascii="宋体" w:hAnsi="宋体" w:cs="宋体"/>
                <w:color w:val="auto"/>
                <w:highlight w:val="none"/>
              </w:rPr>
              <w:t>支持物理信道绝对频点指定。</w:t>
            </w:r>
          </w:p>
          <w:p w14:paraId="2A096825">
            <w:pPr>
              <w:ind w:firstLine="480"/>
              <w:rPr>
                <w:rFonts w:ascii="宋体" w:hAnsi="宋体" w:cs="宋体"/>
                <w:color w:val="auto"/>
                <w:highlight w:val="none"/>
              </w:rPr>
            </w:pPr>
            <w:r>
              <w:rPr>
                <w:rFonts w:hint="eastAsia" w:ascii="宋体" w:hAnsi="宋体" w:cs="宋体"/>
                <w:color w:val="auto"/>
                <w:highlight w:val="none"/>
              </w:rPr>
              <w:t>OTAP：</w:t>
            </w:r>
          </w:p>
          <w:p w14:paraId="20C1B518">
            <w:pPr>
              <w:ind w:firstLine="480"/>
              <w:rPr>
                <w:rFonts w:ascii="宋体" w:hAnsi="宋体" w:cs="宋体"/>
                <w:color w:val="auto"/>
                <w:highlight w:val="none"/>
              </w:rPr>
            </w:pPr>
            <w:r>
              <w:rPr>
                <w:rFonts w:hint="eastAsia" w:ascii="宋体" w:hAnsi="宋体" w:cs="宋体"/>
                <w:color w:val="auto"/>
                <w:highlight w:val="none"/>
              </w:rPr>
              <w:t>通过空口对终端进行写频，修改终端参数设置，主要包括：终端网络参数远程配置（增加终端控制信道参数）；终端个人参数远程配置（例如终端、组别名）。</w:t>
            </w:r>
          </w:p>
          <w:p w14:paraId="23F7B9E0">
            <w:pPr>
              <w:ind w:firstLine="480"/>
              <w:rPr>
                <w:rFonts w:ascii="宋体" w:hAnsi="宋体" w:cs="宋体"/>
                <w:color w:val="auto"/>
                <w:highlight w:val="none"/>
              </w:rPr>
            </w:pPr>
            <w:r>
              <w:rPr>
                <w:rFonts w:hint="eastAsia" w:ascii="宋体" w:hAnsi="宋体" w:cs="宋体"/>
                <w:color w:val="auto"/>
                <w:highlight w:val="none"/>
              </w:rPr>
              <w:t xml:space="preserve">端到端加密： </w:t>
            </w:r>
          </w:p>
          <w:p w14:paraId="77B4517F">
            <w:pPr>
              <w:ind w:firstLine="480"/>
              <w:rPr>
                <w:rFonts w:ascii="宋体" w:hAnsi="宋体" w:cs="宋体"/>
                <w:color w:val="auto"/>
                <w:highlight w:val="none"/>
              </w:rPr>
            </w:pPr>
            <w:r>
              <w:rPr>
                <w:rFonts w:hint="eastAsia" w:ascii="宋体" w:hAnsi="宋体" w:cs="宋体"/>
                <w:color w:val="auto"/>
                <w:highlight w:val="none"/>
              </w:rPr>
              <w:t>无线终端支持PDT安全技术规范规定的端到端加密标准。</w:t>
            </w:r>
            <w:bookmarkStart w:id="528" w:name="_GoBack"/>
            <w:bookmarkEnd w:id="528"/>
          </w:p>
          <w:p w14:paraId="7B1F0CFB">
            <w:pPr>
              <w:ind w:firstLine="480"/>
              <w:rPr>
                <w:rFonts w:ascii="宋体" w:hAnsi="宋体" w:cs="宋体"/>
                <w:color w:val="auto"/>
                <w:highlight w:val="none"/>
              </w:rPr>
            </w:pPr>
            <w:r>
              <w:rPr>
                <w:rFonts w:hint="eastAsia" w:ascii="宋体" w:hAnsi="宋体" w:cs="宋体"/>
                <w:color w:val="auto"/>
                <w:highlight w:val="none"/>
              </w:rPr>
              <w:t>ESN检查：</w:t>
            </w:r>
          </w:p>
          <w:p w14:paraId="2AAD478D">
            <w:pPr>
              <w:ind w:firstLine="480"/>
              <w:rPr>
                <w:rFonts w:ascii="宋体" w:hAnsi="宋体" w:cs="宋体"/>
                <w:color w:val="auto"/>
                <w:highlight w:val="none"/>
              </w:rPr>
            </w:pPr>
            <w:r>
              <w:rPr>
                <w:rFonts w:hint="eastAsia" w:ascii="宋体" w:hAnsi="宋体" w:cs="宋体"/>
                <w:color w:val="auto"/>
                <w:highlight w:val="none"/>
              </w:rPr>
              <w:t>在登记时通过设备ESN号确认设备是否合法。</w:t>
            </w:r>
          </w:p>
          <w:p w14:paraId="4D197A02">
            <w:pPr>
              <w:ind w:firstLine="480"/>
              <w:rPr>
                <w:rFonts w:ascii="宋体" w:hAnsi="宋体" w:cs="宋体"/>
                <w:color w:val="auto"/>
                <w:highlight w:val="none"/>
              </w:rPr>
            </w:pPr>
            <w:r>
              <w:rPr>
                <w:rFonts w:hint="eastAsia" w:ascii="宋体" w:hAnsi="宋体" w:cs="宋体"/>
                <w:color w:val="auto"/>
                <w:highlight w:val="none"/>
              </w:rPr>
              <w:t xml:space="preserve">主控信道备份： </w:t>
            </w:r>
          </w:p>
          <w:p w14:paraId="29A5D02E">
            <w:pPr>
              <w:ind w:firstLine="480"/>
              <w:rPr>
                <w:rFonts w:ascii="宋体" w:hAnsi="宋体" w:cs="宋体"/>
                <w:color w:val="auto"/>
                <w:highlight w:val="none"/>
              </w:rPr>
            </w:pPr>
            <w:r>
              <w:rPr>
                <w:rFonts w:hint="eastAsia" w:ascii="宋体" w:hAnsi="宋体" w:cs="宋体"/>
                <w:color w:val="auto"/>
                <w:highlight w:val="none"/>
              </w:rPr>
              <w:t>每个基站有两个控制信道频点（其中一个频道作为备份控制信道频点），当主控制信道出现故障时系统可以自动切换到备用控制信道。</w:t>
            </w:r>
          </w:p>
          <w:p w14:paraId="3436DE06">
            <w:pPr>
              <w:ind w:firstLine="480"/>
              <w:rPr>
                <w:rFonts w:ascii="宋体" w:hAnsi="宋体" w:cs="宋体"/>
                <w:color w:val="auto"/>
                <w:highlight w:val="none"/>
              </w:rPr>
            </w:pPr>
            <w:r>
              <w:rPr>
                <w:rFonts w:hint="eastAsia" w:ascii="宋体" w:hAnsi="宋体" w:cs="宋体"/>
                <w:color w:val="auto"/>
                <w:highlight w:val="none"/>
              </w:rPr>
              <w:t>信道机休眠：</w:t>
            </w:r>
          </w:p>
          <w:p w14:paraId="73217EA3">
            <w:pPr>
              <w:ind w:firstLine="480"/>
              <w:rPr>
                <w:rFonts w:ascii="宋体" w:hAnsi="宋体" w:cs="宋体"/>
                <w:color w:val="auto"/>
                <w:highlight w:val="none"/>
              </w:rPr>
            </w:pPr>
            <w:r>
              <w:rPr>
                <w:rFonts w:hint="eastAsia" w:ascii="宋体" w:hAnsi="宋体" w:cs="宋体"/>
                <w:color w:val="auto"/>
                <w:highlight w:val="none"/>
              </w:rPr>
              <w:t>业务信道不使用时，信道机进入休眠状态。</w:t>
            </w:r>
          </w:p>
          <w:p w14:paraId="16AD63A0">
            <w:pPr>
              <w:ind w:firstLine="480"/>
              <w:rPr>
                <w:rFonts w:ascii="宋体" w:hAnsi="宋体" w:cs="宋体"/>
                <w:color w:val="auto"/>
                <w:highlight w:val="none"/>
              </w:rPr>
            </w:pPr>
            <w:r>
              <w:rPr>
                <w:rFonts w:hint="eastAsia" w:ascii="宋体" w:hAnsi="宋体" w:cs="宋体"/>
                <w:color w:val="auto"/>
                <w:highlight w:val="none"/>
              </w:rPr>
              <w:t>远程升级：</w:t>
            </w:r>
          </w:p>
          <w:p w14:paraId="466B3FE6">
            <w:pPr>
              <w:ind w:firstLine="480"/>
              <w:rPr>
                <w:rFonts w:ascii="宋体" w:hAnsi="宋体" w:cs="宋体"/>
                <w:color w:val="auto"/>
                <w:highlight w:val="none"/>
              </w:rPr>
            </w:pPr>
            <w:r>
              <w:rPr>
                <w:rFonts w:hint="eastAsia" w:ascii="宋体" w:hAnsi="宋体" w:cs="宋体"/>
                <w:color w:val="auto"/>
                <w:highlight w:val="none"/>
              </w:rPr>
              <w:t>实现对所有网元应用软件模块的远程升级。</w:t>
            </w:r>
          </w:p>
          <w:p w14:paraId="21D28F49">
            <w:pPr>
              <w:ind w:firstLine="480"/>
              <w:rPr>
                <w:rFonts w:ascii="宋体" w:hAnsi="宋体" w:cs="宋体"/>
                <w:color w:val="auto"/>
                <w:highlight w:val="none"/>
              </w:rPr>
            </w:pPr>
            <w:r>
              <w:rPr>
                <w:rFonts w:hint="eastAsia" w:ascii="宋体" w:hAnsi="宋体" w:cs="宋体"/>
                <w:color w:val="auto"/>
                <w:highlight w:val="none"/>
              </w:rPr>
              <w:t>系统同步：</w:t>
            </w:r>
          </w:p>
          <w:p w14:paraId="38320E6F">
            <w:pPr>
              <w:ind w:firstLine="480"/>
              <w:rPr>
                <w:rFonts w:ascii="宋体" w:hAnsi="宋体" w:cs="宋体"/>
                <w:color w:val="auto"/>
                <w:highlight w:val="none"/>
              </w:rPr>
            </w:pPr>
            <w:r>
              <w:rPr>
                <w:rFonts w:hint="eastAsia" w:ascii="宋体" w:hAnsi="宋体" w:cs="宋体"/>
                <w:color w:val="auto"/>
                <w:highlight w:val="none"/>
              </w:rPr>
              <w:t>各基站内以及基站间所有信道机间时隙同步，保证快速呼叫建立及基站间无缝越区切换。</w:t>
            </w:r>
          </w:p>
          <w:p w14:paraId="34FCF059">
            <w:pPr>
              <w:ind w:firstLine="480"/>
              <w:rPr>
                <w:rFonts w:ascii="宋体" w:hAnsi="宋体" w:cs="宋体"/>
                <w:color w:val="auto"/>
                <w:highlight w:val="none"/>
              </w:rPr>
            </w:pPr>
            <w:r>
              <w:rPr>
                <w:rFonts w:hint="eastAsia" w:ascii="宋体" w:hAnsi="宋体" w:cs="宋体"/>
                <w:color w:val="auto"/>
                <w:highlight w:val="none"/>
              </w:rPr>
              <w:t>API接口：</w:t>
            </w:r>
          </w:p>
          <w:p w14:paraId="732D5F18">
            <w:pPr>
              <w:ind w:firstLine="480"/>
              <w:rPr>
                <w:rFonts w:ascii="宋体" w:hAnsi="宋体" w:cs="宋体"/>
                <w:color w:val="auto"/>
                <w:highlight w:val="none"/>
              </w:rPr>
            </w:pPr>
            <w:r>
              <w:rPr>
                <w:rFonts w:hint="eastAsia" w:ascii="宋体" w:hAnsi="宋体" w:cs="宋体"/>
                <w:color w:val="auto"/>
                <w:highlight w:val="none"/>
              </w:rPr>
              <w:t>提供系统API接口，用户可以进行定制化应用开发。</w:t>
            </w:r>
          </w:p>
          <w:p w14:paraId="5DE30403">
            <w:pPr>
              <w:ind w:firstLine="480"/>
              <w:rPr>
                <w:rFonts w:ascii="宋体" w:hAnsi="宋体" w:cs="宋体"/>
                <w:color w:val="auto"/>
                <w:highlight w:val="none"/>
              </w:rPr>
            </w:pPr>
            <w:r>
              <w:rPr>
                <w:rFonts w:hint="eastAsia" w:ascii="宋体" w:hAnsi="宋体" w:cs="宋体"/>
                <w:color w:val="auto"/>
                <w:highlight w:val="none"/>
              </w:rPr>
              <w:t xml:space="preserve">多国语言支持：  </w:t>
            </w:r>
          </w:p>
          <w:p w14:paraId="2690212F">
            <w:pPr>
              <w:ind w:firstLine="480"/>
              <w:rPr>
                <w:rFonts w:ascii="宋体" w:hAnsi="宋体" w:cs="宋体"/>
                <w:color w:val="auto"/>
                <w:highlight w:val="none"/>
              </w:rPr>
            </w:pPr>
            <w:r>
              <w:rPr>
                <w:rFonts w:hint="eastAsia" w:ascii="宋体" w:hAnsi="宋体" w:cs="宋体"/>
                <w:color w:val="auto"/>
                <w:highlight w:val="none"/>
              </w:rPr>
              <w:t>支持中/英等多种语言。</w:t>
            </w:r>
          </w:p>
          <w:p w14:paraId="419DD407">
            <w:pPr>
              <w:ind w:firstLine="480"/>
              <w:rPr>
                <w:rFonts w:ascii="宋体" w:hAnsi="宋体" w:cs="宋体"/>
                <w:color w:val="auto"/>
                <w:highlight w:val="none"/>
              </w:rPr>
            </w:pPr>
            <w:r>
              <w:rPr>
                <w:rFonts w:hint="eastAsia" w:ascii="宋体" w:hAnsi="宋体" w:cs="宋体"/>
                <w:color w:val="auto"/>
                <w:highlight w:val="none"/>
              </w:rPr>
              <w:t>系统安全：</w:t>
            </w:r>
          </w:p>
          <w:p w14:paraId="05AEBCDC">
            <w:pPr>
              <w:ind w:firstLine="480"/>
              <w:rPr>
                <w:rFonts w:ascii="宋体" w:hAnsi="宋体" w:cs="宋体"/>
                <w:color w:val="auto"/>
                <w:highlight w:val="none"/>
              </w:rPr>
            </w:pPr>
            <w:r>
              <w:rPr>
                <w:rFonts w:hint="eastAsia" w:ascii="宋体" w:hAnsi="宋体" w:cs="宋体"/>
                <w:color w:val="auto"/>
                <w:highlight w:val="none"/>
              </w:rPr>
              <w:t>操作系统采用更为安全的linux系统，客户端采用windows7。</w:t>
            </w:r>
          </w:p>
          <w:p w14:paraId="3729FDE6">
            <w:pPr>
              <w:ind w:firstLine="480"/>
              <w:rPr>
                <w:rFonts w:ascii="宋体" w:hAnsi="宋体" w:cs="宋体"/>
                <w:color w:val="auto"/>
                <w:highlight w:val="none"/>
              </w:rPr>
            </w:pPr>
            <w:r>
              <w:rPr>
                <w:rFonts w:hint="eastAsia" w:ascii="宋体" w:hAnsi="宋体" w:cs="宋体"/>
                <w:color w:val="auto"/>
                <w:highlight w:val="none"/>
              </w:rPr>
              <w:t>1.2安全功能</w:t>
            </w:r>
          </w:p>
          <w:p w14:paraId="12C6130E">
            <w:pPr>
              <w:ind w:firstLine="480"/>
              <w:rPr>
                <w:rFonts w:ascii="宋体" w:hAnsi="宋体" w:cs="宋体"/>
                <w:color w:val="auto"/>
                <w:highlight w:val="none"/>
              </w:rPr>
            </w:pPr>
            <w:r>
              <w:rPr>
                <w:rFonts w:hint="eastAsia" w:ascii="宋体" w:hAnsi="宋体" w:cs="宋体"/>
                <w:color w:val="auto"/>
                <w:highlight w:val="none"/>
              </w:rPr>
              <w:t>安全功能主要包括鉴权和加密。</w:t>
            </w:r>
          </w:p>
          <w:p w14:paraId="1B107C38">
            <w:pPr>
              <w:ind w:firstLine="480"/>
              <w:rPr>
                <w:rFonts w:ascii="宋体" w:hAnsi="宋体" w:cs="宋体"/>
                <w:color w:val="auto"/>
                <w:highlight w:val="none"/>
              </w:rPr>
            </w:pPr>
            <w:r>
              <w:rPr>
                <w:rFonts w:hint="eastAsia" w:ascii="宋体" w:hAnsi="宋体" w:cs="宋体"/>
                <w:color w:val="auto"/>
                <w:highlight w:val="none"/>
              </w:rPr>
              <w:t>鉴权：移动终端在使用某些业务时，会与系统通过约定的加密算法来验证合法性。在安全认证时，可以由移动终端验证系统的合法性，也可以由系统验证移动终端的合法性，或双方相互验证。</w:t>
            </w:r>
          </w:p>
          <w:p w14:paraId="1730F1AF">
            <w:pPr>
              <w:ind w:firstLine="480"/>
              <w:rPr>
                <w:rFonts w:ascii="宋体" w:hAnsi="宋体" w:cs="宋体"/>
                <w:color w:val="auto"/>
                <w:highlight w:val="none"/>
              </w:rPr>
            </w:pPr>
            <w:r>
              <w:rPr>
                <w:rFonts w:hint="eastAsia" w:ascii="宋体" w:hAnsi="宋体" w:cs="宋体"/>
                <w:color w:val="auto"/>
                <w:highlight w:val="none"/>
              </w:rPr>
              <w:t>加密：主要包括移动终端和基站之间的空口加密和移动终端之间的端到端加密。</w:t>
            </w:r>
          </w:p>
          <w:p w14:paraId="6F9209F2">
            <w:pPr>
              <w:ind w:firstLine="480"/>
              <w:rPr>
                <w:rFonts w:ascii="宋体" w:hAnsi="宋体" w:cs="宋体"/>
                <w:color w:val="auto"/>
                <w:highlight w:val="none"/>
              </w:rPr>
            </w:pPr>
            <w:r>
              <w:rPr>
                <w:rFonts w:hint="eastAsia" w:ascii="宋体" w:hAnsi="宋体" w:cs="宋体"/>
                <w:color w:val="auto"/>
                <w:highlight w:val="none"/>
              </w:rPr>
              <w:t>1.3基本话音业务</w:t>
            </w:r>
          </w:p>
          <w:p w14:paraId="66D94B4F">
            <w:pPr>
              <w:ind w:firstLine="480"/>
              <w:rPr>
                <w:rFonts w:ascii="宋体" w:hAnsi="宋体" w:cs="宋体"/>
                <w:color w:val="auto"/>
                <w:highlight w:val="none"/>
              </w:rPr>
            </w:pPr>
            <w:r>
              <w:rPr>
                <w:rFonts w:hint="eastAsia" w:ascii="宋体" w:hAnsi="宋体" w:cs="宋体"/>
                <w:color w:val="auto"/>
                <w:highlight w:val="none"/>
              </w:rPr>
              <w:t>基本语音业务包括单呼、组呼、调度台互连呼叫、电话互连呼叫、MPT系统互连呼叫、系统全呼、广播呼叫等。</w:t>
            </w:r>
          </w:p>
          <w:p w14:paraId="7ECA55DD">
            <w:pPr>
              <w:ind w:firstLine="480"/>
              <w:rPr>
                <w:rFonts w:ascii="宋体" w:hAnsi="宋体" w:cs="宋体"/>
                <w:color w:val="auto"/>
                <w:highlight w:val="none"/>
              </w:rPr>
            </w:pPr>
            <w:r>
              <w:rPr>
                <w:rFonts w:hint="eastAsia" w:ascii="宋体" w:hAnsi="宋体" w:cs="宋体"/>
                <w:color w:val="auto"/>
                <w:highlight w:val="none"/>
              </w:rPr>
              <w:t>单呼：自动摘机单呼：呼叫发起后，被叫移动终端自动接通呼叫，不需要做任何操作。</w:t>
            </w:r>
          </w:p>
          <w:p w14:paraId="34997D4A">
            <w:pPr>
              <w:ind w:firstLine="480"/>
              <w:rPr>
                <w:rFonts w:ascii="宋体" w:hAnsi="宋体" w:cs="宋体"/>
                <w:color w:val="auto"/>
                <w:highlight w:val="none"/>
              </w:rPr>
            </w:pPr>
            <w:r>
              <w:rPr>
                <w:rFonts w:hint="eastAsia" w:ascii="宋体" w:hAnsi="宋体" w:cs="宋体"/>
                <w:color w:val="auto"/>
                <w:highlight w:val="none"/>
              </w:rPr>
              <w:t>手动摘机单呼：呼叫发起后，被叫移动终端显示有呼叫，需要按接听键接通呼叫，或按挂机键拒绝该呼叫。</w:t>
            </w:r>
          </w:p>
          <w:p w14:paraId="49FAA1F7">
            <w:pPr>
              <w:ind w:firstLine="480"/>
              <w:rPr>
                <w:rFonts w:ascii="宋体" w:hAnsi="宋体" w:cs="宋体"/>
                <w:color w:val="auto"/>
                <w:highlight w:val="none"/>
              </w:rPr>
            </w:pPr>
            <w:r>
              <w:rPr>
                <w:rFonts w:hint="eastAsia" w:ascii="宋体" w:hAnsi="宋体" w:cs="宋体"/>
                <w:color w:val="auto"/>
                <w:highlight w:val="none"/>
              </w:rPr>
              <w:t>组呼：多个移动终端（可以包含调度台）之间相互通话的呼叫。一个组成员发起呼叫，其他组成员加入并参与通话，是一种一对多的半双工语音呼叫业务。</w:t>
            </w:r>
          </w:p>
          <w:p w14:paraId="0045A860">
            <w:pPr>
              <w:ind w:firstLine="480"/>
              <w:rPr>
                <w:rFonts w:ascii="宋体" w:hAnsi="宋体" w:cs="宋体"/>
                <w:color w:val="auto"/>
                <w:highlight w:val="none"/>
              </w:rPr>
            </w:pPr>
            <w:r>
              <w:rPr>
                <w:rFonts w:hint="eastAsia" w:ascii="宋体" w:hAnsi="宋体" w:cs="宋体"/>
                <w:color w:val="auto"/>
                <w:highlight w:val="none"/>
              </w:rPr>
              <w:t>调度台互连呼叫：移动终端发起包含调度台的呼叫或调度台发起包含移动终端的呼叫。</w:t>
            </w:r>
          </w:p>
          <w:p w14:paraId="01C8695F">
            <w:pPr>
              <w:ind w:firstLine="480"/>
              <w:rPr>
                <w:rFonts w:ascii="宋体" w:hAnsi="宋体" w:cs="宋体"/>
                <w:color w:val="auto"/>
                <w:highlight w:val="none"/>
              </w:rPr>
            </w:pPr>
            <w:r>
              <w:rPr>
                <w:rFonts w:hint="eastAsia" w:ascii="宋体" w:hAnsi="宋体" w:cs="宋体"/>
                <w:color w:val="auto"/>
                <w:highlight w:val="none"/>
              </w:rPr>
              <w:t>系统全呼：全系统所有终端都参与的通话，只有发起通话的终端能讲话，其他终端只能接收通话。</w:t>
            </w:r>
          </w:p>
          <w:p w14:paraId="4E3859AE">
            <w:pPr>
              <w:ind w:firstLine="480"/>
              <w:rPr>
                <w:rFonts w:ascii="宋体" w:hAnsi="宋体" w:cs="宋体"/>
                <w:color w:val="auto"/>
                <w:highlight w:val="none"/>
              </w:rPr>
            </w:pPr>
            <w:r>
              <w:rPr>
                <w:rFonts w:hint="eastAsia" w:ascii="宋体" w:hAnsi="宋体" w:cs="宋体"/>
                <w:color w:val="auto"/>
                <w:highlight w:val="none"/>
              </w:rPr>
              <w:t>广播呼叫：面向特定的一个或多个移动终端发起的通话，只有发起终端能讲话，其他终端只能接收通话。</w:t>
            </w:r>
          </w:p>
          <w:p w14:paraId="1F44FA51">
            <w:pPr>
              <w:ind w:firstLine="480"/>
              <w:rPr>
                <w:rFonts w:ascii="宋体" w:hAnsi="宋体" w:cs="宋体"/>
                <w:color w:val="auto"/>
                <w:highlight w:val="none"/>
              </w:rPr>
            </w:pPr>
            <w:r>
              <w:rPr>
                <w:rFonts w:hint="eastAsia" w:ascii="宋体" w:hAnsi="宋体" w:cs="宋体"/>
                <w:color w:val="auto"/>
                <w:highlight w:val="none"/>
              </w:rPr>
              <w:t>1.4基本数据业务</w:t>
            </w:r>
          </w:p>
          <w:p w14:paraId="76279504">
            <w:pPr>
              <w:ind w:firstLine="480"/>
              <w:rPr>
                <w:rFonts w:ascii="宋体" w:hAnsi="宋体" w:cs="宋体"/>
                <w:color w:val="auto"/>
                <w:highlight w:val="none"/>
              </w:rPr>
            </w:pPr>
            <w:r>
              <w:rPr>
                <w:rFonts w:hint="eastAsia" w:ascii="宋体" w:hAnsi="宋体" w:cs="宋体"/>
                <w:color w:val="auto"/>
                <w:highlight w:val="none"/>
              </w:rPr>
              <w:t>基本数据业务：短消息传输、短消息上拉、状态消息和紧急告警等基本数据业务。</w:t>
            </w:r>
          </w:p>
          <w:p w14:paraId="0E1AE971">
            <w:pPr>
              <w:ind w:firstLine="480"/>
              <w:rPr>
                <w:rFonts w:ascii="宋体" w:hAnsi="宋体" w:cs="宋体"/>
                <w:color w:val="auto"/>
                <w:highlight w:val="none"/>
              </w:rPr>
            </w:pPr>
            <w:r>
              <w:rPr>
                <w:rFonts w:hint="eastAsia" w:ascii="宋体" w:hAnsi="宋体" w:cs="宋体"/>
                <w:color w:val="auto"/>
                <w:highlight w:val="none"/>
              </w:rPr>
              <w:t>短消息传输：用户之间或用户与调度台之间发送短信。</w:t>
            </w:r>
          </w:p>
          <w:p w14:paraId="08517656">
            <w:pPr>
              <w:ind w:firstLine="480"/>
              <w:rPr>
                <w:rFonts w:ascii="宋体" w:hAnsi="宋体" w:cs="宋体"/>
                <w:color w:val="auto"/>
                <w:highlight w:val="none"/>
              </w:rPr>
            </w:pPr>
            <w:r>
              <w:rPr>
                <w:rFonts w:hint="eastAsia" w:ascii="宋体" w:hAnsi="宋体" w:cs="宋体"/>
                <w:color w:val="auto"/>
                <w:highlight w:val="none"/>
              </w:rPr>
              <w:t>位置信息上报：移动终端可根据时间、移动距离、时间和移动距离联合等条件获取信号源提供的位置信息，设置位置信息上报方式向系统发送位置信息。</w:t>
            </w:r>
          </w:p>
          <w:p w14:paraId="79A81EED">
            <w:pPr>
              <w:ind w:firstLine="480"/>
              <w:rPr>
                <w:rFonts w:ascii="宋体" w:hAnsi="宋体" w:cs="宋体"/>
                <w:color w:val="auto"/>
                <w:highlight w:val="none"/>
              </w:rPr>
            </w:pPr>
            <w:r>
              <w:rPr>
                <w:rFonts w:hint="eastAsia" w:ascii="宋体" w:hAnsi="宋体" w:cs="宋体"/>
                <w:color w:val="auto"/>
                <w:highlight w:val="none"/>
              </w:rPr>
              <w:t>状态消息：收发双方预先编码设定好的一些信息，如巡逻、加油等。</w:t>
            </w:r>
          </w:p>
          <w:p w14:paraId="32125BA6">
            <w:pPr>
              <w:ind w:firstLine="480"/>
              <w:rPr>
                <w:rFonts w:ascii="宋体" w:hAnsi="宋体" w:cs="宋体"/>
                <w:color w:val="auto"/>
                <w:highlight w:val="none"/>
              </w:rPr>
            </w:pPr>
            <w:r>
              <w:rPr>
                <w:rFonts w:hint="eastAsia" w:ascii="宋体" w:hAnsi="宋体" w:cs="宋体"/>
                <w:color w:val="auto"/>
                <w:highlight w:val="none"/>
              </w:rPr>
              <w:t>紧急告警：是状态消息的一种，通常在移动终端发起紧急呼叫时使用。</w:t>
            </w:r>
          </w:p>
          <w:p w14:paraId="06315D2D">
            <w:pPr>
              <w:ind w:firstLine="480"/>
              <w:rPr>
                <w:rFonts w:ascii="宋体" w:hAnsi="宋体" w:cs="宋体"/>
                <w:color w:val="auto"/>
                <w:highlight w:val="none"/>
              </w:rPr>
            </w:pPr>
            <w:r>
              <w:rPr>
                <w:rFonts w:hint="eastAsia" w:ascii="宋体" w:hAnsi="宋体" w:cs="宋体"/>
                <w:color w:val="auto"/>
                <w:highlight w:val="none"/>
              </w:rPr>
              <w:t>1.5补充业务功能</w:t>
            </w:r>
          </w:p>
          <w:p w14:paraId="485EA337">
            <w:pPr>
              <w:ind w:firstLine="480"/>
              <w:rPr>
                <w:rFonts w:ascii="宋体" w:hAnsi="宋体" w:cs="宋体"/>
                <w:color w:val="auto"/>
                <w:highlight w:val="none"/>
              </w:rPr>
            </w:pPr>
            <w:r>
              <w:rPr>
                <w:rFonts w:hint="eastAsia" w:ascii="宋体" w:hAnsi="宋体" w:cs="宋体"/>
                <w:color w:val="auto"/>
                <w:highlight w:val="none"/>
              </w:rPr>
              <w:t>1.6紧急呼叫</w:t>
            </w:r>
          </w:p>
          <w:p w14:paraId="02102DB7">
            <w:pPr>
              <w:ind w:firstLine="480"/>
              <w:rPr>
                <w:rFonts w:ascii="宋体" w:hAnsi="宋体" w:cs="宋体"/>
                <w:color w:val="auto"/>
                <w:highlight w:val="none"/>
              </w:rPr>
            </w:pPr>
            <w:r>
              <w:rPr>
                <w:rFonts w:hint="eastAsia" w:ascii="宋体" w:hAnsi="宋体" w:cs="宋体"/>
                <w:color w:val="auto"/>
                <w:highlight w:val="none"/>
              </w:rPr>
              <w:t>紧急呼叫是指用户在紧急情况下发起的呼叫。</w:t>
            </w:r>
          </w:p>
          <w:p w14:paraId="557F971C">
            <w:pPr>
              <w:ind w:firstLine="480"/>
              <w:rPr>
                <w:rFonts w:ascii="宋体" w:hAnsi="宋体" w:cs="宋体"/>
                <w:color w:val="auto"/>
                <w:highlight w:val="none"/>
              </w:rPr>
            </w:pPr>
            <w:r>
              <w:rPr>
                <w:rFonts w:hint="eastAsia" w:ascii="宋体" w:hAnsi="宋体" w:cs="宋体"/>
                <w:color w:val="auto"/>
                <w:highlight w:val="none"/>
              </w:rPr>
              <w:t>通过紧急呼叫按钮发起的紧急呼叫，一般采用“热麦”方式，即移动终端的麦克风为常开状态，用户无需压下PTT即可随时讲话，只有调度台可以打断用户的讲话，这种紧急呼叫一般是用户处于危险状态且操作不方便的情况下使用。</w:t>
            </w:r>
          </w:p>
          <w:p w14:paraId="45E8A4D3">
            <w:pPr>
              <w:ind w:firstLine="480"/>
              <w:rPr>
                <w:rFonts w:ascii="宋体" w:hAnsi="宋体" w:cs="宋体"/>
                <w:color w:val="auto"/>
                <w:highlight w:val="none"/>
              </w:rPr>
            </w:pPr>
            <w:r>
              <w:rPr>
                <w:rFonts w:hint="eastAsia" w:ascii="宋体" w:hAnsi="宋体" w:cs="宋体"/>
                <w:color w:val="auto"/>
                <w:highlight w:val="none"/>
              </w:rPr>
              <w:t>通过拨打特殊号码发起的紧急呼叫，其他呼叫参与方可以在讲话方释放讲话权后申请讲话。这种紧急呼叫其被叫目标可以很灵活，常在用户处理各种紧急事务时使用。</w:t>
            </w:r>
          </w:p>
          <w:p w14:paraId="16C2C8AC">
            <w:pPr>
              <w:ind w:firstLine="480"/>
              <w:rPr>
                <w:rFonts w:ascii="宋体" w:hAnsi="宋体" w:cs="宋体"/>
                <w:color w:val="auto"/>
                <w:highlight w:val="none"/>
              </w:rPr>
            </w:pPr>
            <w:r>
              <w:rPr>
                <w:rFonts w:hint="eastAsia" w:ascii="宋体" w:hAnsi="宋体" w:cs="宋体"/>
                <w:color w:val="auto"/>
                <w:highlight w:val="none"/>
              </w:rPr>
              <w:t>1.7动态基站分配</w:t>
            </w:r>
          </w:p>
          <w:p w14:paraId="5C74633B">
            <w:pPr>
              <w:ind w:firstLine="480"/>
              <w:rPr>
                <w:rFonts w:ascii="宋体" w:hAnsi="宋体" w:cs="宋体"/>
                <w:color w:val="auto"/>
                <w:highlight w:val="none"/>
              </w:rPr>
            </w:pPr>
            <w:r>
              <w:rPr>
                <w:rFonts w:hint="eastAsia" w:ascii="宋体" w:hAnsi="宋体" w:cs="宋体"/>
                <w:color w:val="auto"/>
                <w:highlight w:val="none"/>
              </w:rPr>
              <w:t>在组呼过程中，一个组的成员可能分布在很多基站的覆盖区域。对于传统的集群系统，由于无法判断当前某一呼叫的组成员分布在哪些基站的覆盖区域，通常会为该组呼分配所有基站的业务信道，而某些基站覆盖区域实际上没有该组呼的成员存在，造成了这些基站分配的业务信道资源浪费。动态基站分配功能可以有效提高系统信道利用率。</w:t>
            </w:r>
          </w:p>
          <w:p w14:paraId="5D341108">
            <w:pPr>
              <w:ind w:firstLine="480"/>
              <w:rPr>
                <w:rFonts w:ascii="宋体" w:hAnsi="宋体" w:cs="宋体"/>
                <w:color w:val="auto"/>
                <w:highlight w:val="none"/>
              </w:rPr>
            </w:pPr>
            <w:r>
              <w:rPr>
                <w:rFonts w:hint="eastAsia" w:ascii="宋体" w:hAnsi="宋体" w:cs="宋体"/>
                <w:color w:val="auto"/>
                <w:highlight w:val="none"/>
              </w:rPr>
              <w:t>1.8优先接入</w:t>
            </w:r>
          </w:p>
          <w:p w14:paraId="656FBD18">
            <w:pPr>
              <w:ind w:firstLine="480"/>
              <w:rPr>
                <w:rFonts w:ascii="宋体" w:hAnsi="宋体" w:cs="宋体"/>
                <w:color w:val="auto"/>
                <w:highlight w:val="none"/>
              </w:rPr>
            </w:pPr>
            <w:r>
              <w:rPr>
                <w:rFonts w:hint="eastAsia" w:ascii="宋体" w:hAnsi="宋体" w:cs="宋体"/>
                <w:color w:val="auto"/>
                <w:highlight w:val="none"/>
              </w:rPr>
              <w:t>基站的空口资源有限，为了更有效地处理用户的服务需求，系统根据用户等级、用户类型等对用户实施分批接入的策略。系统在某一时段，可能只允许某一级别或某一类用户接入到系统中，对这类用户而言，他们此时拥有优先接入到系统的权利。</w:t>
            </w:r>
          </w:p>
          <w:p w14:paraId="479DA5E3">
            <w:pPr>
              <w:ind w:firstLine="480"/>
              <w:rPr>
                <w:rFonts w:ascii="宋体" w:hAnsi="宋体" w:cs="宋体"/>
                <w:color w:val="auto"/>
                <w:highlight w:val="none"/>
              </w:rPr>
            </w:pPr>
            <w:r>
              <w:rPr>
                <w:rFonts w:hint="eastAsia" w:ascii="宋体" w:hAnsi="宋体" w:cs="宋体"/>
                <w:color w:val="auto"/>
                <w:highlight w:val="none"/>
              </w:rPr>
              <w:t>1.9呼叫优先级</w:t>
            </w:r>
          </w:p>
          <w:p w14:paraId="3BD2705A">
            <w:pPr>
              <w:ind w:firstLine="480"/>
              <w:rPr>
                <w:rFonts w:ascii="宋体" w:hAnsi="宋体" w:cs="宋体"/>
                <w:color w:val="auto"/>
                <w:highlight w:val="none"/>
              </w:rPr>
            </w:pPr>
            <w:r>
              <w:rPr>
                <w:rFonts w:hint="eastAsia" w:ascii="宋体" w:hAnsi="宋体" w:cs="宋体"/>
                <w:color w:val="auto"/>
                <w:highlight w:val="none"/>
              </w:rPr>
              <w:t>系统根据不同的呼叫发起用户、呼叫的类型、参与呼叫的人员结构等，对这些呼叫分优先级别进行处理，先处理优先级别高的呼叫，再处理优先级别低的呼叫。系统繁忙时，可以主动强拆级别比较低、不重要的通话，将资源分配给高级别、高紧急程度的呼叫。</w:t>
            </w:r>
          </w:p>
          <w:p w14:paraId="6A76AE94">
            <w:pPr>
              <w:ind w:firstLine="480"/>
              <w:rPr>
                <w:rFonts w:ascii="宋体" w:hAnsi="宋体" w:cs="宋体"/>
                <w:color w:val="auto"/>
                <w:highlight w:val="none"/>
              </w:rPr>
            </w:pPr>
            <w:r>
              <w:rPr>
                <w:rFonts w:hint="eastAsia" w:ascii="宋体" w:hAnsi="宋体" w:cs="宋体"/>
                <w:color w:val="auto"/>
                <w:highlight w:val="none"/>
              </w:rPr>
              <w:t>1.10用户等级</w:t>
            </w:r>
          </w:p>
          <w:p w14:paraId="39BF12E1">
            <w:pPr>
              <w:ind w:firstLine="480"/>
              <w:rPr>
                <w:rFonts w:ascii="宋体" w:hAnsi="宋体" w:cs="宋体"/>
                <w:color w:val="auto"/>
                <w:highlight w:val="none"/>
              </w:rPr>
            </w:pPr>
            <w:r>
              <w:rPr>
                <w:rFonts w:hint="eastAsia" w:ascii="宋体" w:hAnsi="宋体" w:cs="宋体"/>
                <w:color w:val="auto"/>
                <w:highlight w:val="none"/>
              </w:rPr>
              <w:t>系统根据重要程度将用户分成不同的等级。（一般用户等级和优先级是放在一起的，重要程度高的用户，其优先级也高）</w:t>
            </w:r>
          </w:p>
          <w:p w14:paraId="7A2A835F">
            <w:pPr>
              <w:ind w:firstLine="480"/>
              <w:rPr>
                <w:rFonts w:ascii="宋体" w:hAnsi="宋体" w:cs="宋体"/>
                <w:color w:val="auto"/>
                <w:highlight w:val="none"/>
              </w:rPr>
            </w:pPr>
            <w:r>
              <w:rPr>
                <w:rFonts w:hint="eastAsia" w:ascii="宋体" w:hAnsi="宋体" w:cs="宋体"/>
                <w:color w:val="auto"/>
                <w:highlight w:val="none"/>
              </w:rPr>
              <w:t>1.11动态通话限时</w:t>
            </w:r>
          </w:p>
          <w:p w14:paraId="53855FD0">
            <w:pPr>
              <w:ind w:firstLine="480"/>
              <w:rPr>
                <w:rFonts w:ascii="宋体" w:hAnsi="宋体" w:cs="宋体"/>
                <w:color w:val="auto"/>
                <w:highlight w:val="none"/>
              </w:rPr>
            </w:pPr>
            <w:r>
              <w:rPr>
                <w:rFonts w:hint="eastAsia" w:ascii="宋体" w:hAnsi="宋体" w:cs="宋体"/>
                <w:color w:val="auto"/>
                <w:highlight w:val="none"/>
              </w:rPr>
              <w:t>为了更合理地利用系统资源，保证信道资源不被少数呼叫独占，系统对单次呼叫时长以及呼叫过程中讲话方单次发言的时长进行限制，当呼叫时间超过系统设定的时长后，系统会主动将呼叫拆除。</w:t>
            </w:r>
          </w:p>
          <w:p w14:paraId="11C769D9">
            <w:pPr>
              <w:ind w:firstLine="480"/>
              <w:rPr>
                <w:rFonts w:ascii="宋体" w:hAnsi="宋体" w:cs="宋体"/>
                <w:color w:val="auto"/>
                <w:highlight w:val="none"/>
              </w:rPr>
            </w:pPr>
            <w:r>
              <w:rPr>
                <w:rFonts w:hint="eastAsia" w:ascii="宋体" w:hAnsi="宋体" w:cs="宋体"/>
                <w:color w:val="auto"/>
                <w:highlight w:val="none"/>
              </w:rPr>
              <w:t>动态通话限时是系统根据不同时段的繁忙情况动态调整每个时段呼叫时长限制值，一般而言，繁忙时段设置的呼叫时间较短，空闲时段设置的呼叫时间较长。在通话因限时即将结束时，系统可以通过空中信令通知所有移动终端，终端以声光等警告提示用户本次通话即将结束，预防由于突然断线导致话音中断。</w:t>
            </w:r>
          </w:p>
          <w:p w14:paraId="49B740C7">
            <w:pPr>
              <w:ind w:firstLine="480"/>
              <w:rPr>
                <w:rFonts w:ascii="宋体" w:hAnsi="宋体" w:cs="宋体"/>
                <w:color w:val="auto"/>
                <w:highlight w:val="none"/>
              </w:rPr>
            </w:pPr>
            <w:r>
              <w:rPr>
                <w:rFonts w:hint="eastAsia" w:ascii="宋体" w:hAnsi="宋体" w:cs="宋体"/>
                <w:color w:val="auto"/>
                <w:highlight w:val="none"/>
              </w:rPr>
              <w:t>1.12通话组/背景组扫描</w:t>
            </w:r>
          </w:p>
          <w:p w14:paraId="23E2999C">
            <w:pPr>
              <w:ind w:firstLine="480"/>
              <w:rPr>
                <w:rFonts w:ascii="宋体" w:hAnsi="宋体" w:cs="宋体"/>
                <w:color w:val="auto"/>
                <w:highlight w:val="none"/>
              </w:rPr>
            </w:pPr>
            <w:r>
              <w:rPr>
                <w:rFonts w:hint="eastAsia" w:ascii="宋体" w:hAnsi="宋体" w:cs="宋体"/>
                <w:color w:val="auto"/>
                <w:highlight w:val="none"/>
              </w:rPr>
              <w:t>通话组扫描：移动终端对通话组扫描列表内的组号码进行扫描。当有通话组在通话时，移动终端可以选择加入该通话组进行通话。通话组扫描包含两种情况：当移动终端处于空闲状态时，可以参与接收当前所在组之外的其他扫描组的呼叫；当移动终端处于通话状态时，可以扫描到稍后发起的更高级别的呼叫，并根据需要切换到更高级别的呼叫。</w:t>
            </w:r>
          </w:p>
          <w:p w14:paraId="54624735">
            <w:pPr>
              <w:ind w:firstLine="480"/>
              <w:rPr>
                <w:rFonts w:ascii="宋体" w:hAnsi="宋体" w:cs="宋体"/>
                <w:color w:val="auto"/>
                <w:highlight w:val="none"/>
              </w:rPr>
            </w:pPr>
            <w:r>
              <w:rPr>
                <w:rFonts w:hint="eastAsia" w:ascii="宋体" w:hAnsi="宋体" w:cs="宋体"/>
                <w:color w:val="auto"/>
                <w:highlight w:val="none"/>
              </w:rPr>
              <w:t>背景组扫描：背景组具有最高的业务优先级，仅授权的调度台或移动终端可以发起组呼，默认不显示在移动终端的组呼列表中。移动终端无法通过旋钮或菜单选中背景组，因此不能对背景组发起呼叫，只能接收其呼叫。移动终端在使用过程中会一直对背景组进行扫描，只要有背景组呼叫，都会加入到该呼叫中。</w:t>
            </w:r>
          </w:p>
          <w:p w14:paraId="62A470CB">
            <w:pPr>
              <w:ind w:firstLine="480"/>
              <w:rPr>
                <w:rFonts w:ascii="宋体" w:hAnsi="宋体" w:cs="宋体"/>
                <w:color w:val="auto"/>
                <w:highlight w:val="none"/>
              </w:rPr>
            </w:pPr>
            <w:r>
              <w:rPr>
                <w:rFonts w:hint="eastAsia" w:ascii="宋体" w:hAnsi="宋体" w:cs="宋体"/>
                <w:color w:val="auto"/>
                <w:highlight w:val="none"/>
              </w:rPr>
              <w:t>1.13动态重组</w:t>
            </w:r>
          </w:p>
          <w:p w14:paraId="5F908B34">
            <w:pPr>
              <w:ind w:firstLine="480"/>
              <w:rPr>
                <w:rFonts w:ascii="宋体" w:hAnsi="宋体" w:cs="宋体"/>
                <w:color w:val="auto"/>
                <w:highlight w:val="none"/>
              </w:rPr>
            </w:pPr>
            <w:r>
              <w:rPr>
                <w:rFonts w:hint="eastAsia" w:ascii="宋体" w:hAnsi="宋体" w:cs="宋体"/>
                <w:color w:val="auto"/>
                <w:highlight w:val="none"/>
              </w:rPr>
              <w:t>动态重组允许授权的调度台通过空口向移动终端动态添加临时通话组，而不需要对移动终端进行重新编程。授权的调度台可以通过增加或移动的方式，将组成员从一个组调入另一个组，且这种变更能够立即反映到移动终端上。动态重组功能允许建立和解散临时的组。例如：因为紧急任务，将两个不同组织的组临时组合成一个组，任务完成后，再解散这个临时成立的组。</w:t>
            </w:r>
          </w:p>
          <w:p w14:paraId="67F6F735">
            <w:pPr>
              <w:ind w:firstLine="480"/>
              <w:rPr>
                <w:rFonts w:ascii="宋体" w:hAnsi="宋体" w:cs="宋体"/>
                <w:color w:val="auto"/>
                <w:highlight w:val="none"/>
              </w:rPr>
            </w:pPr>
            <w:r>
              <w:rPr>
                <w:rFonts w:hint="eastAsia" w:ascii="宋体" w:hAnsi="宋体" w:cs="宋体"/>
                <w:color w:val="auto"/>
                <w:highlight w:val="none"/>
              </w:rPr>
              <w:t>1.14迟后进入</w:t>
            </w:r>
          </w:p>
          <w:p w14:paraId="5F123002">
            <w:pPr>
              <w:ind w:firstLine="480"/>
              <w:rPr>
                <w:rFonts w:ascii="宋体" w:hAnsi="宋体" w:cs="宋体"/>
                <w:color w:val="auto"/>
                <w:highlight w:val="none"/>
              </w:rPr>
            </w:pPr>
            <w:r>
              <w:rPr>
                <w:rFonts w:hint="eastAsia" w:ascii="宋体" w:hAnsi="宋体" w:cs="宋体"/>
                <w:color w:val="auto"/>
                <w:highlight w:val="none"/>
              </w:rPr>
              <w:t>迟后进入功能确保未加入组呼的成员在具备条件后能加入到该组呼中。迟后进入在呼叫已经建立且已经为该呼叫分配了业务信道之后发起，呼叫结束且被占用信道释放后结束。</w:t>
            </w:r>
          </w:p>
          <w:p w14:paraId="51D395FD">
            <w:pPr>
              <w:ind w:firstLine="480"/>
              <w:rPr>
                <w:rFonts w:ascii="宋体" w:hAnsi="宋体" w:cs="宋体"/>
                <w:color w:val="auto"/>
                <w:highlight w:val="none"/>
              </w:rPr>
            </w:pPr>
            <w:r>
              <w:rPr>
                <w:rFonts w:hint="eastAsia" w:ascii="宋体" w:hAnsi="宋体" w:cs="宋体"/>
                <w:color w:val="auto"/>
                <w:highlight w:val="none"/>
              </w:rPr>
              <w:t>1.15慎密监听</w:t>
            </w:r>
          </w:p>
          <w:p w14:paraId="7E5C69F9">
            <w:pPr>
              <w:ind w:firstLine="480"/>
              <w:rPr>
                <w:rFonts w:ascii="宋体" w:hAnsi="宋体" w:cs="宋体"/>
                <w:color w:val="auto"/>
                <w:highlight w:val="none"/>
              </w:rPr>
            </w:pPr>
            <w:r>
              <w:rPr>
                <w:rFonts w:hint="eastAsia" w:ascii="宋体" w:hAnsi="宋体" w:cs="宋体"/>
                <w:color w:val="auto"/>
                <w:highlight w:val="none"/>
              </w:rPr>
              <w:t>授权的调度台对移动终端进行慎密监听时，可以监听到通话过程中的所有内容，并可以根据需要对通话内容进行录音。</w:t>
            </w:r>
          </w:p>
          <w:p w14:paraId="57414347">
            <w:pPr>
              <w:ind w:firstLine="480"/>
              <w:rPr>
                <w:rFonts w:ascii="宋体" w:hAnsi="宋体" w:cs="宋体"/>
                <w:color w:val="auto"/>
                <w:highlight w:val="none"/>
              </w:rPr>
            </w:pPr>
            <w:r>
              <w:rPr>
                <w:rFonts w:hint="eastAsia" w:ascii="宋体" w:hAnsi="宋体" w:cs="宋体"/>
                <w:color w:val="auto"/>
                <w:highlight w:val="none"/>
              </w:rPr>
              <w:t>1.16环境侦听</w:t>
            </w:r>
          </w:p>
          <w:p w14:paraId="68D5BD5A">
            <w:pPr>
              <w:ind w:firstLine="480"/>
              <w:rPr>
                <w:rFonts w:ascii="宋体" w:hAnsi="宋体" w:cs="宋体"/>
                <w:color w:val="auto"/>
                <w:highlight w:val="none"/>
              </w:rPr>
            </w:pPr>
            <w:r>
              <w:rPr>
                <w:rFonts w:hint="eastAsia" w:ascii="宋体" w:hAnsi="宋体" w:cs="宋体"/>
                <w:color w:val="auto"/>
                <w:highlight w:val="none"/>
              </w:rPr>
              <w:t>环境侦听通常用于保护用户的安全（例如，当移动终端用户处于比较危险的环境时，控制中心可以通过该功能了解该用户目前所处的状态）。授权用户（如调度台）可以通过该功能建立一个到指定移动终端的特殊呼叫，该呼叫是一个单工呼叫，被叫用户只能发射而不能接收，即被叫移动终端可以将它周围环境的声音上传到控制中心，控制中心不允许发射语音到被叫移动终端。环境侦听不能在被叫移动终端处于呼叫中时发起，被侦听的移动终端用户不知道被呼叫，也不会收到语音信号。当移动终端进行呼叫操作时，已经建立的环境侦听呼叫也将自动退出。</w:t>
            </w:r>
          </w:p>
          <w:p w14:paraId="7B8125D3">
            <w:pPr>
              <w:ind w:firstLine="480"/>
              <w:rPr>
                <w:rFonts w:ascii="宋体" w:hAnsi="宋体" w:cs="宋体"/>
                <w:color w:val="auto"/>
                <w:highlight w:val="none"/>
              </w:rPr>
            </w:pPr>
            <w:r>
              <w:rPr>
                <w:rFonts w:hint="eastAsia" w:ascii="宋体" w:hAnsi="宋体" w:cs="宋体"/>
                <w:color w:val="auto"/>
                <w:highlight w:val="none"/>
              </w:rPr>
              <w:t>环境侦听业务一般由网管和调度台（或授权移动终端）共同完成，即调度台或授权用户提出申请，网管在某一时间段内开通该功能。</w:t>
            </w:r>
          </w:p>
          <w:p w14:paraId="55AB0DD2">
            <w:pPr>
              <w:ind w:firstLine="480"/>
              <w:rPr>
                <w:rFonts w:ascii="宋体" w:hAnsi="宋体" w:cs="宋体"/>
                <w:color w:val="auto"/>
                <w:highlight w:val="none"/>
              </w:rPr>
            </w:pPr>
            <w:r>
              <w:rPr>
                <w:rFonts w:hint="eastAsia" w:ascii="宋体" w:hAnsi="宋体" w:cs="宋体"/>
                <w:color w:val="auto"/>
                <w:highlight w:val="none"/>
              </w:rPr>
              <w:t>1.17强拆/强插</w:t>
            </w:r>
          </w:p>
          <w:p w14:paraId="62468CB7">
            <w:pPr>
              <w:ind w:firstLine="480"/>
              <w:rPr>
                <w:rFonts w:ascii="宋体" w:hAnsi="宋体" w:cs="宋体"/>
                <w:color w:val="auto"/>
                <w:highlight w:val="none"/>
              </w:rPr>
            </w:pPr>
            <w:r>
              <w:rPr>
                <w:rFonts w:hint="eastAsia" w:ascii="宋体" w:hAnsi="宋体" w:cs="宋体"/>
                <w:color w:val="auto"/>
                <w:highlight w:val="none"/>
              </w:rPr>
              <w:t>强插：在有调度台参与的呼叫中，当有移动终端在讲话时，调度台可以随时强行终止当前的讲话，获取讲话权开始讲话。</w:t>
            </w:r>
          </w:p>
          <w:p w14:paraId="5F6BE36F">
            <w:pPr>
              <w:ind w:firstLine="480"/>
              <w:rPr>
                <w:rFonts w:ascii="宋体" w:hAnsi="宋体" w:cs="宋体"/>
                <w:color w:val="auto"/>
                <w:highlight w:val="none"/>
              </w:rPr>
            </w:pPr>
            <w:r>
              <w:rPr>
                <w:rFonts w:hint="eastAsia" w:ascii="宋体" w:hAnsi="宋体" w:cs="宋体"/>
                <w:color w:val="auto"/>
                <w:highlight w:val="none"/>
              </w:rPr>
              <w:t>强拆：无论移动终端是否正在发射，授权的调度台都可以强行结束正在进行的呼叫。</w:t>
            </w:r>
          </w:p>
          <w:p w14:paraId="0BADDDF1">
            <w:pPr>
              <w:ind w:firstLine="480"/>
              <w:rPr>
                <w:rFonts w:ascii="宋体" w:hAnsi="宋体" w:cs="宋体"/>
                <w:color w:val="auto"/>
                <w:highlight w:val="none"/>
              </w:rPr>
            </w:pPr>
            <w:r>
              <w:rPr>
                <w:rFonts w:hint="eastAsia" w:ascii="宋体" w:hAnsi="宋体" w:cs="宋体"/>
                <w:color w:val="auto"/>
                <w:highlight w:val="none"/>
              </w:rPr>
              <w:t>遥晕/复活</w:t>
            </w:r>
          </w:p>
          <w:p w14:paraId="29257AE8">
            <w:pPr>
              <w:ind w:firstLine="480"/>
              <w:rPr>
                <w:rFonts w:ascii="宋体" w:hAnsi="宋体" w:cs="宋体"/>
                <w:color w:val="auto"/>
                <w:highlight w:val="none"/>
              </w:rPr>
            </w:pPr>
            <w:r>
              <w:rPr>
                <w:rFonts w:hint="eastAsia" w:ascii="宋体" w:hAnsi="宋体" w:cs="宋体"/>
                <w:color w:val="auto"/>
                <w:highlight w:val="none"/>
              </w:rPr>
              <w:t>遥晕：如果移动终端出现丢失等情况，调度台可将其遥晕，禁用丢失的移动终端正常呼叫功能。被遥晕的移动终端不能发起或者接收任何网络的服务（包括各类呼叫、短消息等业务）。但移动终端保留了登记和位置信息服务，用来帮助寻找丢失移动终端。</w:t>
            </w:r>
          </w:p>
          <w:p w14:paraId="3FEECDA4">
            <w:pPr>
              <w:ind w:firstLine="480"/>
              <w:rPr>
                <w:rFonts w:ascii="宋体" w:hAnsi="宋体" w:cs="宋体"/>
                <w:color w:val="auto"/>
                <w:highlight w:val="none"/>
              </w:rPr>
            </w:pPr>
            <w:r>
              <w:rPr>
                <w:rFonts w:hint="eastAsia" w:ascii="宋体" w:hAnsi="宋体" w:cs="宋体"/>
                <w:color w:val="auto"/>
                <w:highlight w:val="none"/>
              </w:rPr>
              <w:t>复活：授权用户可以对被遥晕的移动终端进行复活，使移动终端恢复正常工作状态并获得遥晕之前设置使用的网络服务。</w:t>
            </w:r>
          </w:p>
          <w:p w14:paraId="23039DC5">
            <w:pPr>
              <w:ind w:firstLine="480"/>
              <w:rPr>
                <w:rFonts w:ascii="宋体" w:hAnsi="宋体" w:cs="宋体"/>
                <w:color w:val="auto"/>
                <w:highlight w:val="none"/>
              </w:rPr>
            </w:pPr>
            <w:r>
              <w:rPr>
                <w:rFonts w:hint="eastAsia" w:ascii="宋体" w:hAnsi="宋体" w:cs="宋体"/>
                <w:color w:val="auto"/>
                <w:highlight w:val="none"/>
              </w:rPr>
              <w:t>备注：遥晕功能可以配置为系统和移动终端进行双向鉴权，避免操作失误。</w:t>
            </w:r>
          </w:p>
          <w:p w14:paraId="41E01907">
            <w:pPr>
              <w:ind w:firstLine="480"/>
              <w:rPr>
                <w:rFonts w:ascii="宋体" w:hAnsi="宋体" w:cs="宋体"/>
                <w:color w:val="auto"/>
                <w:highlight w:val="none"/>
              </w:rPr>
            </w:pPr>
            <w:r>
              <w:rPr>
                <w:rFonts w:hint="eastAsia" w:ascii="宋体" w:hAnsi="宋体" w:cs="宋体"/>
                <w:color w:val="auto"/>
                <w:highlight w:val="none"/>
              </w:rPr>
              <w:t>1.18遥毙</w:t>
            </w:r>
          </w:p>
          <w:p w14:paraId="52E37EEE">
            <w:pPr>
              <w:ind w:firstLine="480"/>
              <w:rPr>
                <w:rFonts w:ascii="宋体" w:hAnsi="宋体" w:cs="宋体"/>
                <w:color w:val="auto"/>
                <w:highlight w:val="none"/>
              </w:rPr>
            </w:pPr>
            <w:r>
              <w:rPr>
                <w:rFonts w:hint="eastAsia" w:ascii="宋体" w:hAnsi="宋体" w:cs="宋体"/>
                <w:color w:val="auto"/>
                <w:highlight w:val="none"/>
              </w:rPr>
              <w:t>授权的调度台可以通过界面操作，遥毙移动终端。被遥毙的移动终端将被完全的、永久的禁用，失去所有操作功能。</w:t>
            </w:r>
          </w:p>
          <w:p w14:paraId="6669A0D2">
            <w:pPr>
              <w:ind w:firstLine="480"/>
              <w:rPr>
                <w:rFonts w:ascii="宋体" w:hAnsi="宋体" w:cs="宋体"/>
                <w:color w:val="auto"/>
                <w:highlight w:val="none"/>
              </w:rPr>
            </w:pPr>
            <w:r>
              <w:rPr>
                <w:rFonts w:hint="eastAsia" w:ascii="宋体" w:hAnsi="宋体" w:cs="宋体"/>
                <w:color w:val="auto"/>
                <w:highlight w:val="none"/>
              </w:rPr>
              <w:t>备注：遥毙功能可以配置为系统和移动终端进行双向鉴权，避免操作失误。</w:t>
            </w:r>
          </w:p>
          <w:p w14:paraId="700CBB0E">
            <w:pPr>
              <w:ind w:firstLine="480"/>
              <w:rPr>
                <w:rFonts w:ascii="宋体" w:hAnsi="宋体" w:cs="宋体"/>
                <w:color w:val="auto"/>
                <w:highlight w:val="none"/>
              </w:rPr>
            </w:pPr>
            <w:r>
              <w:rPr>
                <w:rFonts w:hint="eastAsia" w:ascii="宋体" w:hAnsi="宋体" w:cs="宋体"/>
                <w:color w:val="auto"/>
                <w:highlight w:val="none"/>
              </w:rPr>
              <w:t>1.19指令脱网并维持</w:t>
            </w:r>
          </w:p>
          <w:p w14:paraId="3CC249AE">
            <w:pPr>
              <w:ind w:firstLine="480"/>
              <w:rPr>
                <w:rFonts w:ascii="宋体" w:hAnsi="宋体" w:cs="宋体"/>
                <w:color w:val="auto"/>
                <w:highlight w:val="none"/>
              </w:rPr>
            </w:pPr>
            <w:r>
              <w:rPr>
                <w:rFonts w:hint="eastAsia" w:ascii="宋体" w:hAnsi="宋体" w:cs="宋体"/>
                <w:color w:val="auto"/>
                <w:highlight w:val="none"/>
              </w:rPr>
              <w:t>调度台可以强行将用户或通话组转移到常规信道上通话。在调度台取消操作之前，这些用户、组将保持在指定的常规信道上通话，不能返回到集群控制信道上，即使返回，也会被重新拉到常规信道上。</w:t>
            </w:r>
          </w:p>
          <w:p w14:paraId="0C1A68D7">
            <w:pPr>
              <w:ind w:firstLine="480"/>
              <w:rPr>
                <w:rFonts w:ascii="宋体" w:hAnsi="宋体" w:cs="宋体"/>
                <w:color w:val="auto"/>
                <w:highlight w:val="none"/>
              </w:rPr>
            </w:pPr>
            <w:r>
              <w:rPr>
                <w:rFonts w:hint="eastAsia" w:ascii="宋体" w:hAnsi="宋体" w:cs="宋体"/>
                <w:color w:val="auto"/>
                <w:highlight w:val="none"/>
              </w:rPr>
              <w:t>1.20跟踪</w:t>
            </w:r>
          </w:p>
          <w:p w14:paraId="759B7A2C">
            <w:pPr>
              <w:ind w:firstLine="480"/>
              <w:rPr>
                <w:rFonts w:ascii="宋体" w:hAnsi="宋体" w:cs="宋体"/>
                <w:color w:val="auto"/>
                <w:highlight w:val="none"/>
              </w:rPr>
            </w:pPr>
            <w:r>
              <w:rPr>
                <w:rFonts w:hint="eastAsia" w:ascii="宋体" w:hAnsi="宋体" w:cs="宋体"/>
                <w:color w:val="auto"/>
                <w:highlight w:val="none"/>
              </w:rPr>
              <w:t>调度台可以发起对移动终端的跟踪，获得移动终端当前所处基站、开关机状态、是否处于呼叫等状态信息。当被跟踪的移动终端有呼叫产生时，系统会通知调度台，调度台可以设置成自动加入呼叫，并可以对该呼叫进行监听、强插、强拆、自动录音等操作。</w:t>
            </w:r>
          </w:p>
          <w:p w14:paraId="7B12624C">
            <w:pPr>
              <w:ind w:firstLine="480"/>
              <w:rPr>
                <w:rFonts w:ascii="宋体" w:hAnsi="宋体" w:cs="宋体"/>
                <w:color w:val="auto"/>
                <w:highlight w:val="none"/>
              </w:rPr>
            </w:pPr>
            <w:r>
              <w:rPr>
                <w:rFonts w:hint="eastAsia" w:ascii="宋体" w:hAnsi="宋体" w:cs="宋体"/>
                <w:color w:val="auto"/>
                <w:highlight w:val="none"/>
              </w:rPr>
              <w:t>1.21遇忙排队和自动回叫</w:t>
            </w:r>
          </w:p>
          <w:p w14:paraId="4E35413D">
            <w:pPr>
              <w:ind w:firstLine="480"/>
              <w:rPr>
                <w:rFonts w:ascii="宋体" w:hAnsi="宋体" w:cs="宋体"/>
                <w:color w:val="auto"/>
                <w:highlight w:val="none"/>
              </w:rPr>
            </w:pPr>
            <w:r>
              <w:rPr>
                <w:rFonts w:hint="eastAsia" w:ascii="宋体" w:hAnsi="宋体" w:cs="宋体"/>
                <w:color w:val="auto"/>
                <w:highlight w:val="none"/>
              </w:rPr>
              <w:t>遇忙排队：当系统信道全部被占用时，用户通过PTT按键发起呼叫，系统通过移动终端提示用户：“系统繁忙，呼叫已排队”。此时用户发起的呼叫在排队有效期内将处于等待状态，不会结束。</w:t>
            </w:r>
          </w:p>
          <w:p w14:paraId="2FA73607">
            <w:pPr>
              <w:ind w:firstLine="480"/>
              <w:rPr>
                <w:rFonts w:ascii="宋体" w:hAnsi="宋体" w:cs="宋体"/>
                <w:color w:val="auto"/>
                <w:highlight w:val="none"/>
              </w:rPr>
            </w:pPr>
            <w:r>
              <w:rPr>
                <w:rFonts w:hint="eastAsia" w:ascii="宋体" w:hAnsi="宋体" w:cs="宋体"/>
                <w:color w:val="auto"/>
                <w:highlight w:val="none"/>
              </w:rPr>
              <w:t>自动回叫：用户发起呼叫，因为被叫正忙（或其他原因），系统拒绝了呼叫，并开始对被叫进行监控。被叫移动终端在收到系统拒绝信令后，结束呼叫。当系统监控到被叫已经空闲后，会自动建立呼叫，并通知到主叫和被叫。主叫用户在接收到系统的回叫提示后，可以选择接通或拒绝。</w:t>
            </w:r>
          </w:p>
          <w:p w14:paraId="512EC061">
            <w:pPr>
              <w:ind w:firstLine="480"/>
              <w:rPr>
                <w:rFonts w:ascii="宋体" w:hAnsi="宋体" w:cs="宋体"/>
                <w:color w:val="auto"/>
                <w:highlight w:val="none"/>
              </w:rPr>
            </w:pPr>
            <w:r>
              <w:rPr>
                <w:rFonts w:hint="eastAsia" w:ascii="宋体" w:hAnsi="宋体" w:cs="宋体"/>
                <w:color w:val="auto"/>
                <w:highlight w:val="none"/>
              </w:rPr>
              <w:t>1.22自动重发</w:t>
            </w:r>
          </w:p>
          <w:p w14:paraId="395EE75C">
            <w:pPr>
              <w:ind w:firstLine="480"/>
              <w:rPr>
                <w:rFonts w:ascii="宋体" w:hAnsi="宋体" w:cs="宋体"/>
                <w:color w:val="auto"/>
                <w:highlight w:val="none"/>
              </w:rPr>
            </w:pPr>
            <w:r>
              <w:rPr>
                <w:rFonts w:hint="eastAsia" w:ascii="宋体" w:hAnsi="宋体" w:cs="宋体"/>
                <w:color w:val="auto"/>
                <w:highlight w:val="none"/>
              </w:rPr>
              <w:t>用户通过PTT按键发起呼叫后，如果在移动终端设定的时间内没有得到系统的确认，用户不需要再按PTT发起呼叫，移动终端会根据随机接入协议重新发起呼叫，自动重发次数由移动终端设定。</w:t>
            </w:r>
          </w:p>
          <w:p w14:paraId="79CBF22A">
            <w:pPr>
              <w:ind w:firstLine="480"/>
              <w:rPr>
                <w:rFonts w:ascii="宋体" w:hAnsi="宋体" w:cs="宋体"/>
                <w:color w:val="auto"/>
                <w:highlight w:val="none"/>
              </w:rPr>
            </w:pPr>
            <w:r>
              <w:rPr>
                <w:rFonts w:hint="eastAsia" w:ascii="宋体" w:hAnsi="宋体" w:cs="宋体"/>
                <w:color w:val="auto"/>
                <w:highlight w:val="none"/>
              </w:rPr>
              <w:t>如果移动终端在没有超过自动重发次数时获得系统的确认信息，移动终端停止重发并进入正常的呼叫过程；如果移动终端重发次数已达到设定的最大次数，且没有获得系统的确认信息，移动终端会显示呼叫请求失败信息。</w:t>
            </w:r>
          </w:p>
          <w:p w14:paraId="59A1B13B">
            <w:pPr>
              <w:ind w:firstLine="480"/>
              <w:rPr>
                <w:rFonts w:ascii="宋体" w:hAnsi="宋体" w:cs="宋体"/>
                <w:color w:val="auto"/>
                <w:highlight w:val="none"/>
              </w:rPr>
            </w:pPr>
            <w:r>
              <w:rPr>
                <w:rFonts w:hint="eastAsia" w:ascii="宋体" w:hAnsi="宋体" w:cs="宋体"/>
                <w:color w:val="auto"/>
                <w:highlight w:val="none"/>
              </w:rPr>
              <w:t>1.23呼叫显示</w:t>
            </w:r>
          </w:p>
          <w:p w14:paraId="1BF265A9">
            <w:pPr>
              <w:ind w:firstLine="480"/>
              <w:rPr>
                <w:rFonts w:ascii="宋体" w:hAnsi="宋体" w:cs="宋体"/>
                <w:color w:val="auto"/>
                <w:highlight w:val="none"/>
              </w:rPr>
            </w:pPr>
            <w:r>
              <w:rPr>
                <w:rFonts w:hint="eastAsia" w:ascii="宋体" w:hAnsi="宋体" w:cs="宋体"/>
                <w:color w:val="auto"/>
                <w:highlight w:val="none"/>
              </w:rPr>
              <w:t>用户通过PTT按键发起呼叫，呼叫接通后，所有参与呼叫的移动终端界面都会显示呼叫的相关状态信息，直到呼叫结束，便于用户了解当前移动终端呼叫状态。</w:t>
            </w:r>
          </w:p>
          <w:p w14:paraId="77CC4A54">
            <w:pPr>
              <w:ind w:firstLine="480"/>
              <w:rPr>
                <w:rFonts w:ascii="宋体" w:hAnsi="宋体" w:cs="宋体"/>
                <w:color w:val="auto"/>
                <w:highlight w:val="none"/>
              </w:rPr>
            </w:pPr>
            <w:r>
              <w:rPr>
                <w:rFonts w:hint="eastAsia" w:ascii="宋体" w:hAnsi="宋体" w:cs="宋体"/>
                <w:color w:val="auto"/>
                <w:highlight w:val="none"/>
              </w:rPr>
              <w:t>1.24呼叫提示</w:t>
            </w:r>
          </w:p>
          <w:p w14:paraId="791C2B8D">
            <w:pPr>
              <w:ind w:firstLine="480"/>
              <w:rPr>
                <w:rFonts w:ascii="宋体" w:hAnsi="宋体" w:cs="宋体"/>
                <w:color w:val="auto"/>
                <w:highlight w:val="none"/>
              </w:rPr>
            </w:pPr>
            <w:r>
              <w:rPr>
                <w:rFonts w:hint="eastAsia" w:ascii="宋体" w:hAnsi="宋体" w:cs="宋体"/>
                <w:color w:val="auto"/>
                <w:highlight w:val="none"/>
              </w:rPr>
              <w:t>当用户处于通话过程中，有其他呼叫进来时，用户移动终端屏幕上会显示新呼叫的呼叫类型和主叫方号码。用户可以选择继续当前通话，拒绝新呼叫；或挂断当前通话，接通新呼叫。</w:t>
            </w:r>
          </w:p>
          <w:p w14:paraId="7BEB8023">
            <w:pPr>
              <w:ind w:firstLine="480"/>
              <w:rPr>
                <w:rFonts w:ascii="宋体" w:hAnsi="宋体" w:cs="宋体"/>
                <w:color w:val="auto"/>
                <w:highlight w:val="none"/>
              </w:rPr>
            </w:pPr>
            <w:r>
              <w:rPr>
                <w:rFonts w:hint="eastAsia" w:ascii="宋体" w:hAnsi="宋体" w:cs="宋体"/>
                <w:color w:val="auto"/>
                <w:highlight w:val="none"/>
              </w:rPr>
              <w:t>1.25主叫显示</w:t>
            </w:r>
          </w:p>
          <w:p w14:paraId="184E4350">
            <w:pPr>
              <w:ind w:firstLine="480"/>
              <w:rPr>
                <w:rFonts w:ascii="宋体" w:hAnsi="宋体" w:cs="宋体"/>
                <w:color w:val="auto"/>
                <w:highlight w:val="none"/>
              </w:rPr>
            </w:pPr>
            <w:r>
              <w:rPr>
                <w:rFonts w:hint="eastAsia" w:ascii="宋体" w:hAnsi="宋体" w:cs="宋体"/>
                <w:color w:val="auto"/>
                <w:highlight w:val="none"/>
              </w:rPr>
              <w:t>这是针对被叫移动终端的业务。当主叫移动终端发起呼叫请求（按下PTT键）时，如果被叫拥有主叫显示功能，系统在通知被叫时，将主叫号码也传给被叫。这样被叫移动终端就能在提示用户接听电话的同时显示主叫号码，便于被叫用户在接听电话之前知道是谁发起的呼叫。</w:t>
            </w:r>
          </w:p>
          <w:p w14:paraId="6F6502A2">
            <w:pPr>
              <w:ind w:firstLine="480"/>
              <w:rPr>
                <w:rFonts w:ascii="宋体" w:hAnsi="宋体" w:cs="宋体"/>
                <w:color w:val="auto"/>
                <w:highlight w:val="none"/>
              </w:rPr>
            </w:pPr>
            <w:r>
              <w:rPr>
                <w:rFonts w:hint="eastAsia" w:ascii="宋体" w:hAnsi="宋体" w:cs="宋体"/>
                <w:color w:val="auto"/>
                <w:highlight w:val="none"/>
              </w:rPr>
              <w:t>1.26讲话方身份识别</w:t>
            </w:r>
          </w:p>
          <w:p w14:paraId="262EC07F">
            <w:pPr>
              <w:ind w:firstLine="480"/>
              <w:rPr>
                <w:rFonts w:ascii="宋体" w:hAnsi="宋体" w:cs="宋体"/>
                <w:color w:val="auto"/>
                <w:highlight w:val="none"/>
              </w:rPr>
            </w:pPr>
            <w:r>
              <w:rPr>
                <w:rFonts w:hint="eastAsia" w:ascii="宋体" w:hAnsi="宋体" w:cs="宋体"/>
                <w:color w:val="auto"/>
                <w:highlight w:val="none"/>
              </w:rPr>
              <w:t>在组呼过程中，当某个移动终端获得讲话权（按下PTT键后获取），那么在所有正在接听讲话的移动终端上实时显示讲话方的移动终端号码，使接听讲话的用户能够知道当前讲话方是谁。</w:t>
            </w:r>
          </w:p>
          <w:p w14:paraId="6FA77474">
            <w:pPr>
              <w:ind w:firstLine="480"/>
              <w:rPr>
                <w:rFonts w:ascii="宋体" w:hAnsi="宋体" w:cs="宋体"/>
                <w:color w:val="auto"/>
                <w:highlight w:val="none"/>
              </w:rPr>
            </w:pPr>
            <w:r>
              <w:rPr>
                <w:rFonts w:hint="eastAsia" w:ascii="宋体" w:hAnsi="宋体" w:cs="宋体"/>
                <w:color w:val="auto"/>
                <w:highlight w:val="none"/>
              </w:rPr>
              <w:t>1.27呼叫限制</w:t>
            </w:r>
          </w:p>
          <w:p w14:paraId="779DC83C">
            <w:pPr>
              <w:ind w:firstLine="480"/>
              <w:rPr>
                <w:rFonts w:ascii="宋体" w:hAnsi="宋体" w:cs="宋体"/>
                <w:color w:val="auto"/>
                <w:highlight w:val="none"/>
              </w:rPr>
            </w:pPr>
            <w:r>
              <w:rPr>
                <w:rFonts w:hint="eastAsia" w:ascii="宋体" w:hAnsi="宋体" w:cs="宋体"/>
                <w:color w:val="auto"/>
                <w:highlight w:val="none"/>
              </w:rPr>
              <w:t>通过对系统的配置，在系统上实现对某个移动终端的呼入/呼出限制（例如：单呼、组呼、外网呼叫、短消息、分组数据业务等），使呼叫的请求信令直接在系统被拒绝，相关信令不会到达被叫方。</w:t>
            </w:r>
          </w:p>
          <w:p w14:paraId="10319E95">
            <w:pPr>
              <w:ind w:firstLine="480"/>
              <w:rPr>
                <w:rFonts w:ascii="宋体" w:hAnsi="宋体" w:cs="宋体"/>
                <w:color w:val="auto"/>
                <w:highlight w:val="none"/>
              </w:rPr>
            </w:pPr>
            <w:r>
              <w:rPr>
                <w:rFonts w:hint="eastAsia" w:ascii="宋体" w:hAnsi="宋体" w:cs="宋体"/>
                <w:color w:val="auto"/>
                <w:highlight w:val="none"/>
              </w:rPr>
              <w:t>1.28录音功能</w:t>
            </w:r>
          </w:p>
          <w:p w14:paraId="649CBA80">
            <w:pPr>
              <w:ind w:firstLine="480"/>
              <w:rPr>
                <w:rFonts w:ascii="宋体" w:hAnsi="宋体" w:cs="宋体"/>
                <w:color w:val="auto"/>
                <w:highlight w:val="none"/>
              </w:rPr>
            </w:pPr>
            <w:r>
              <w:rPr>
                <w:rFonts w:hint="eastAsia" w:ascii="宋体" w:hAnsi="宋体" w:cs="宋体"/>
                <w:color w:val="auto"/>
                <w:highlight w:val="none"/>
              </w:rPr>
              <w:t>系统支持录音功能。录音系统为系统管理员提供建立使用者相关设定，包含登录ID，登录密码以及使用权限等；授权用户可根据主被叫号码、日期、通话时长、呼叫类型、备注等条件查询录音，可以直接通过声卡播放，或是经由桌上电话播放。</w:t>
            </w:r>
          </w:p>
          <w:p w14:paraId="1FCD4E13">
            <w:pPr>
              <w:ind w:firstLine="480"/>
              <w:rPr>
                <w:rFonts w:ascii="宋体" w:hAnsi="宋体" w:cs="宋体"/>
                <w:color w:val="auto"/>
                <w:highlight w:val="none"/>
              </w:rPr>
            </w:pPr>
            <w:r>
              <w:rPr>
                <w:rFonts w:hint="eastAsia" w:ascii="宋体" w:hAnsi="宋体" w:cs="宋体"/>
                <w:color w:val="auto"/>
                <w:highlight w:val="none"/>
              </w:rPr>
              <w:t>系统支持录音查询的回放、循环播放以及连续播放。</w:t>
            </w:r>
          </w:p>
          <w:p w14:paraId="563B521B">
            <w:pPr>
              <w:ind w:firstLine="480"/>
              <w:rPr>
                <w:rFonts w:ascii="宋体" w:hAnsi="宋体" w:cs="宋体"/>
                <w:color w:val="auto"/>
                <w:highlight w:val="none"/>
              </w:rPr>
            </w:pPr>
            <w:r>
              <w:rPr>
                <w:rFonts w:hint="eastAsia" w:ascii="宋体" w:hAnsi="宋体" w:cs="宋体"/>
                <w:color w:val="auto"/>
                <w:highlight w:val="none"/>
              </w:rPr>
              <w:t>系统还可设置录音自动备份的时间、备份介质，也可以通过系统手工备份到您指定的介质（如：硬盘、DVD-R、可移动硬盘等数据存储设备）</w:t>
            </w:r>
          </w:p>
          <w:p w14:paraId="4D3A7F48">
            <w:pPr>
              <w:ind w:firstLine="480"/>
              <w:rPr>
                <w:rFonts w:ascii="宋体" w:hAnsi="宋体" w:cs="宋体"/>
                <w:color w:val="auto"/>
                <w:highlight w:val="none"/>
              </w:rPr>
            </w:pPr>
            <w:r>
              <w:rPr>
                <w:rFonts w:hint="eastAsia" w:ascii="宋体" w:hAnsi="宋体" w:cs="宋体"/>
                <w:color w:val="auto"/>
                <w:highlight w:val="none"/>
              </w:rPr>
              <w:t>1.29虚拟专网功能</w:t>
            </w:r>
          </w:p>
          <w:p w14:paraId="4D1ABD37">
            <w:pPr>
              <w:ind w:firstLine="480"/>
              <w:rPr>
                <w:rFonts w:ascii="宋体" w:hAnsi="宋体" w:cs="宋体"/>
                <w:color w:val="auto"/>
                <w:highlight w:val="none"/>
              </w:rPr>
            </w:pPr>
            <w:r>
              <w:rPr>
                <w:rFonts w:hint="eastAsia" w:ascii="宋体" w:hAnsi="宋体" w:cs="宋体"/>
                <w:color w:val="auto"/>
                <w:highlight w:val="none"/>
              </w:rPr>
              <w:t>采用VPN方式，以公安350兆PDT数字集群通信系统为基础，为全市消防、武警、应急、城管、卫生、环卫等政府部门的无线应急通信需要提供授权，对各部门开放对所属用户的调度权限和部分管理权限，用于各部门对配备移动台的所属人员进行独立的调度指挥和管理，组成统一的应急通信指挥平台。</w:t>
            </w:r>
          </w:p>
          <w:p w14:paraId="44F57072">
            <w:pPr>
              <w:ind w:firstLine="480"/>
              <w:rPr>
                <w:rFonts w:ascii="宋体" w:hAnsi="宋体" w:cs="宋体"/>
                <w:color w:val="auto"/>
                <w:highlight w:val="none"/>
              </w:rPr>
            </w:pPr>
            <w:r>
              <w:rPr>
                <w:rFonts w:hint="eastAsia" w:ascii="宋体" w:hAnsi="宋体" w:cs="宋体"/>
                <w:color w:val="auto"/>
                <w:highlight w:val="none"/>
              </w:rPr>
              <w:t>虚拟专网设备主要包括远程网管终端、远程调度终端和所属移动台。在各个政府应急部门配套建设。</w:t>
            </w:r>
          </w:p>
          <w:p w14:paraId="221D2316">
            <w:pPr>
              <w:ind w:firstLine="480"/>
              <w:rPr>
                <w:rFonts w:ascii="宋体" w:hAnsi="宋体" w:cs="宋体"/>
                <w:color w:val="auto"/>
                <w:highlight w:val="none"/>
              </w:rPr>
            </w:pPr>
            <w:r>
              <w:rPr>
                <w:rFonts w:hint="eastAsia" w:ascii="宋体" w:hAnsi="宋体" w:cs="宋体"/>
                <w:color w:val="auto"/>
                <w:highlight w:val="none"/>
              </w:rPr>
              <w:t>远程调度终端、网管终端通过路由器和链路接入公安联网交换管理中心，可按授权登录数字集群通信网对本部门配备的移动台进行分组编号管理，可对管辖移动台进行各种单呼、组呼、信息发布。</w:t>
            </w:r>
          </w:p>
          <w:p w14:paraId="374210CA">
            <w:pPr>
              <w:ind w:firstLine="480"/>
              <w:rPr>
                <w:rFonts w:ascii="宋体" w:hAnsi="宋体" w:cs="宋体"/>
                <w:color w:val="auto"/>
                <w:highlight w:val="none"/>
              </w:rPr>
            </w:pPr>
            <w:r>
              <w:rPr>
                <w:rFonts w:hint="eastAsia" w:ascii="宋体" w:hAnsi="宋体" w:cs="宋体"/>
                <w:color w:val="auto"/>
                <w:highlight w:val="none"/>
              </w:rPr>
              <w:t>系统同时支持64个虚拟专网，不同的虚拟专网之间具有高度的通信保密性和独立的控制权限，不会产生干扰和失密。</w:t>
            </w:r>
          </w:p>
          <w:p w14:paraId="6832E44B">
            <w:pPr>
              <w:ind w:firstLine="480"/>
              <w:rPr>
                <w:rFonts w:ascii="宋体" w:hAnsi="宋体" w:cs="宋体"/>
                <w:color w:val="auto"/>
                <w:highlight w:val="none"/>
              </w:rPr>
            </w:pPr>
            <w:r>
              <w:rPr>
                <w:rFonts w:hint="eastAsia" w:ascii="宋体" w:hAnsi="宋体" w:cs="宋体"/>
                <w:color w:val="auto"/>
                <w:highlight w:val="none"/>
              </w:rPr>
              <w:t>1.30故障弱化功能</w:t>
            </w:r>
          </w:p>
          <w:p w14:paraId="39620F04">
            <w:pPr>
              <w:ind w:firstLine="480"/>
              <w:rPr>
                <w:rFonts w:ascii="宋体" w:hAnsi="宋体" w:cs="宋体"/>
                <w:color w:val="auto"/>
                <w:highlight w:val="none"/>
              </w:rPr>
            </w:pPr>
            <w:r>
              <w:rPr>
                <w:rFonts w:hint="eastAsia" w:ascii="宋体" w:hAnsi="宋体" w:cs="宋体"/>
                <w:color w:val="auto"/>
                <w:highlight w:val="none"/>
              </w:rPr>
              <w:t>当交换机与基站之间的链路发生故障时，基站以集群方式独立工作，通话组保持不变，具有组呼、优先级、紧急呼叫等基本集群功能，为其覆盖区内的移动用户提供话音服务；当故障排除后，系统自动恢复到正常运行状态，而用户的通话组也不用做任何调整，仍可按原来的通话组方式通信。</w:t>
            </w:r>
          </w:p>
          <w:p w14:paraId="418304B2">
            <w:pPr>
              <w:ind w:firstLine="480"/>
              <w:rPr>
                <w:rFonts w:ascii="宋体" w:hAnsi="宋体" w:cs="宋体"/>
                <w:color w:val="auto"/>
                <w:highlight w:val="none"/>
              </w:rPr>
            </w:pPr>
            <w:r>
              <w:rPr>
                <w:rFonts w:hint="eastAsia" w:ascii="宋体" w:hAnsi="宋体" w:cs="宋体"/>
                <w:color w:val="auto"/>
                <w:highlight w:val="none"/>
              </w:rPr>
              <w:t>故障弱化情况下支持的主要功能包括：</w:t>
            </w:r>
          </w:p>
          <w:p w14:paraId="7F38BAB2">
            <w:pPr>
              <w:ind w:firstLine="480"/>
              <w:rPr>
                <w:rFonts w:ascii="宋体" w:hAnsi="宋体" w:cs="宋体"/>
                <w:color w:val="auto"/>
                <w:highlight w:val="none"/>
              </w:rPr>
            </w:pPr>
            <w:r>
              <w:rPr>
                <w:rFonts w:hint="eastAsia" w:ascii="宋体" w:hAnsi="宋体" w:cs="宋体"/>
                <w:color w:val="auto"/>
                <w:highlight w:val="none"/>
              </w:rPr>
              <w:t>基站入网登记</w:t>
            </w:r>
          </w:p>
          <w:p w14:paraId="71DB24DD">
            <w:pPr>
              <w:ind w:firstLine="480"/>
              <w:rPr>
                <w:rFonts w:ascii="宋体" w:hAnsi="宋体" w:cs="宋体"/>
                <w:color w:val="auto"/>
                <w:highlight w:val="none"/>
              </w:rPr>
            </w:pPr>
            <w:r>
              <w:rPr>
                <w:rFonts w:hint="eastAsia" w:ascii="宋体" w:hAnsi="宋体" w:cs="宋体"/>
                <w:color w:val="auto"/>
                <w:highlight w:val="none"/>
              </w:rPr>
              <w:t>基站信道动态分配</w:t>
            </w:r>
          </w:p>
          <w:p w14:paraId="06B1E71B">
            <w:pPr>
              <w:ind w:firstLine="480"/>
              <w:rPr>
                <w:rFonts w:ascii="宋体" w:hAnsi="宋体" w:cs="宋体"/>
                <w:color w:val="auto"/>
                <w:highlight w:val="none"/>
              </w:rPr>
            </w:pPr>
            <w:r>
              <w:rPr>
                <w:rFonts w:hint="eastAsia" w:ascii="宋体" w:hAnsi="宋体" w:cs="宋体"/>
                <w:color w:val="auto"/>
                <w:highlight w:val="none"/>
              </w:rPr>
              <w:t>控制信道备份</w:t>
            </w:r>
          </w:p>
          <w:p w14:paraId="5CE13197">
            <w:pPr>
              <w:ind w:firstLine="480"/>
              <w:rPr>
                <w:rFonts w:ascii="宋体" w:hAnsi="宋体" w:cs="宋体"/>
                <w:color w:val="auto"/>
                <w:highlight w:val="none"/>
              </w:rPr>
            </w:pPr>
            <w:r>
              <w:rPr>
                <w:rFonts w:hint="eastAsia" w:ascii="宋体" w:hAnsi="宋体" w:cs="宋体"/>
                <w:color w:val="auto"/>
                <w:highlight w:val="none"/>
              </w:rPr>
              <w:t>组呼</w:t>
            </w:r>
          </w:p>
          <w:p w14:paraId="7AFB555E">
            <w:pPr>
              <w:ind w:firstLine="480"/>
              <w:rPr>
                <w:rFonts w:ascii="宋体" w:hAnsi="宋体" w:cs="宋体"/>
                <w:color w:val="auto"/>
                <w:highlight w:val="none"/>
              </w:rPr>
            </w:pPr>
            <w:r>
              <w:rPr>
                <w:rFonts w:hint="eastAsia" w:ascii="宋体" w:hAnsi="宋体" w:cs="宋体"/>
                <w:color w:val="auto"/>
                <w:highlight w:val="none"/>
              </w:rPr>
              <w:t>紧急呼叫</w:t>
            </w:r>
          </w:p>
          <w:p w14:paraId="0F122950">
            <w:pPr>
              <w:ind w:firstLine="480"/>
              <w:rPr>
                <w:rFonts w:ascii="宋体" w:hAnsi="宋体" w:cs="宋体"/>
                <w:color w:val="auto"/>
                <w:highlight w:val="none"/>
              </w:rPr>
            </w:pPr>
            <w:r>
              <w:rPr>
                <w:rFonts w:hint="eastAsia" w:ascii="宋体" w:hAnsi="宋体" w:cs="宋体"/>
                <w:color w:val="auto"/>
                <w:highlight w:val="none"/>
              </w:rPr>
              <w:t>迟后加入</w:t>
            </w:r>
          </w:p>
          <w:p w14:paraId="11A60E6F">
            <w:pPr>
              <w:ind w:firstLine="480"/>
              <w:rPr>
                <w:rFonts w:ascii="宋体" w:hAnsi="宋体" w:cs="宋体"/>
                <w:color w:val="auto"/>
                <w:highlight w:val="none"/>
              </w:rPr>
            </w:pPr>
            <w:r>
              <w:rPr>
                <w:rFonts w:hint="eastAsia" w:ascii="宋体" w:hAnsi="宋体" w:cs="宋体"/>
                <w:color w:val="auto"/>
                <w:highlight w:val="none"/>
              </w:rPr>
              <w:t>新近用户优先</w:t>
            </w:r>
          </w:p>
          <w:p w14:paraId="7E53A400">
            <w:pPr>
              <w:ind w:firstLine="480"/>
              <w:rPr>
                <w:rFonts w:ascii="宋体" w:hAnsi="宋体" w:cs="宋体"/>
                <w:color w:val="auto"/>
                <w:highlight w:val="none"/>
              </w:rPr>
            </w:pPr>
            <w:r>
              <w:rPr>
                <w:rFonts w:hint="eastAsia" w:ascii="宋体" w:hAnsi="宋体" w:cs="宋体"/>
                <w:color w:val="auto"/>
                <w:highlight w:val="none"/>
              </w:rPr>
              <w:t>讲话方号码显示</w:t>
            </w:r>
          </w:p>
          <w:p w14:paraId="2B2CFD29">
            <w:pPr>
              <w:ind w:firstLine="480"/>
              <w:rPr>
                <w:rFonts w:ascii="宋体" w:hAnsi="宋体" w:cs="宋体"/>
                <w:color w:val="auto"/>
                <w:highlight w:val="none"/>
              </w:rPr>
            </w:pPr>
            <w:r>
              <w:rPr>
                <w:rFonts w:hint="eastAsia" w:ascii="宋体" w:hAnsi="宋体" w:cs="宋体"/>
                <w:color w:val="auto"/>
                <w:highlight w:val="none"/>
              </w:rPr>
              <w:t>2联网功能</w:t>
            </w:r>
          </w:p>
          <w:p w14:paraId="7FE1E9A0">
            <w:pPr>
              <w:ind w:firstLine="480"/>
              <w:rPr>
                <w:rFonts w:ascii="宋体" w:hAnsi="宋体" w:cs="宋体"/>
                <w:color w:val="auto"/>
                <w:highlight w:val="none"/>
              </w:rPr>
            </w:pPr>
            <w:r>
              <w:rPr>
                <w:rFonts w:hint="eastAsia" w:ascii="宋体" w:hAnsi="宋体" w:cs="宋体"/>
                <w:color w:val="auto"/>
                <w:highlight w:val="none"/>
              </w:rPr>
              <w:t>跨基站单呼：系统支持跨基站之间的单呼呼叫以及对漫游用户的呼叫。</w:t>
            </w:r>
          </w:p>
          <w:p w14:paraId="56AB46D8">
            <w:pPr>
              <w:ind w:firstLine="480"/>
              <w:rPr>
                <w:rFonts w:ascii="宋体" w:hAnsi="宋体" w:cs="宋体"/>
                <w:color w:val="auto"/>
                <w:highlight w:val="none"/>
              </w:rPr>
            </w:pPr>
            <w:r>
              <w:rPr>
                <w:rFonts w:hint="eastAsia" w:ascii="宋体" w:hAnsi="宋体" w:cs="宋体"/>
                <w:color w:val="auto"/>
                <w:highlight w:val="none"/>
              </w:rPr>
              <w:t>跨基站组呼：联网的系统支持跨基站的组呼，并且在多个用户同时通话时，话音强度不能减弱。在联网交换中心的管理终端上设置跨基站组呼的参与基站，当该组呼叫发起时，未设定的参与基站不分配信道。在已设定的参与基站中如果没有该组用户也不分配信道。跨基站组呼具有维持（只有主叫用户可以拆线）功能和迟后进入（组呼发起后，后登记的该组用户自动加入该组呼叫）功能。</w:t>
            </w:r>
          </w:p>
          <w:p w14:paraId="0BC098E3">
            <w:pPr>
              <w:ind w:firstLine="480"/>
              <w:rPr>
                <w:rFonts w:ascii="宋体" w:hAnsi="宋体" w:cs="宋体"/>
                <w:color w:val="auto"/>
                <w:highlight w:val="none"/>
              </w:rPr>
            </w:pPr>
            <w:r>
              <w:rPr>
                <w:rFonts w:hint="eastAsia" w:ascii="宋体" w:hAnsi="宋体" w:cs="宋体"/>
                <w:color w:val="auto"/>
                <w:highlight w:val="none"/>
              </w:rPr>
              <w:t>漫游组呼：漫游用户可以发起本基站组呼或跨基站组呼。</w:t>
            </w:r>
          </w:p>
          <w:p w14:paraId="03DB060A">
            <w:pPr>
              <w:ind w:firstLine="480"/>
              <w:rPr>
                <w:rFonts w:ascii="宋体" w:hAnsi="宋体" w:cs="宋体"/>
                <w:color w:val="auto"/>
                <w:highlight w:val="none"/>
              </w:rPr>
            </w:pPr>
            <w:r>
              <w:rPr>
                <w:rFonts w:hint="eastAsia" w:ascii="宋体" w:hAnsi="宋体" w:cs="宋体"/>
                <w:color w:val="auto"/>
                <w:highlight w:val="none"/>
              </w:rPr>
              <w:t>3网络管理功能</w:t>
            </w:r>
          </w:p>
          <w:p w14:paraId="1EB73820">
            <w:pPr>
              <w:ind w:firstLine="480"/>
              <w:rPr>
                <w:rFonts w:ascii="宋体" w:hAnsi="宋体" w:cs="宋体"/>
                <w:color w:val="auto"/>
                <w:highlight w:val="none"/>
              </w:rPr>
            </w:pPr>
            <w:r>
              <w:rPr>
                <w:rFonts w:hint="eastAsia" w:ascii="宋体" w:hAnsi="宋体" w:cs="宋体"/>
                <w:color w:val="auto"/>
                <w:highlight w:val="none"/>
              </w:rPr>
              <w:t>3.1用户管理</w:t>
            </w:r>
          </w:p>
          <w:p w14:paraId="51E6A5F8">
            <w:pPr>
              <w:ind w:firstLine="480"/>
              <w:rPr>
                <w:rFonts w:ascii="宋体" w:hAnsi="宋体" w:cs="宋体"/>
                <w:color w:val="auto"/>
                <w:highlight w:val="none"/>
              </w:rPr>
            </w:pPr>
            <w:r>
              <w:rPr>
                <w:rFonts w:hint="eastAsia" w:ascii="宋体" w:hAnsi="宋体" w:cs="宋体"/>
                <w:color w:val="auto"/>
                <w:highlight w:val="none"/>
              </w:rPr>
              <w:t>用户管理功能包括：</w:t>
            </w:r>
          </w:p>
          <w:p w14:paraId="728DED24">
            <w:pPr>
              <w:ind w:firstLine="480"/>
              <w:rPr>
                <w:rFonts w:ascii="宋体" w:hAnsi="宋体" w:cs="宋体"/>
                <w:color w:val="auto"/>
                <w:highlight w:val="none"/>
              </w:rPr>
            </w:pPr>
            <w:r>
              <w:rPr>
                <w:rFonts w:hint="eastAsia" w:ascii="宋体" w:hAnsi="宋体" w:cs="宋体"/>
                <w:color w:val="auto"/>
                <w:highlight w:val="none"/>
              </w:rPr>
              <w:t>集群用户管理，包括创建、查询、删除用户，及修改用户业务属性。</w:t>
            </w:r>
          </w:p>
          <w:p w14:paraId="5E24F7DD">
            <w:pPr>
              <w:ind w:firstLine="480"/>
              <w:rPr>
                <w:rFonts w:ascii="宋体" w:hAnsi="宋体" w:cs="宋体"/>
                <w:color w:val="auto"/>
                <w:highlight w:val="none"/>
              </w:rPr>
            </w:pPr>
            <w:r>
              <w:rPr>
                <w:rFonts w:hint="eastAsia" w:ascii="宋体" w:hAnsi="宋体" w:cs="宋体"/>
                <w:color w:val="auto"/>
                <w:highlight w:val="none"/>
              </w:rPr>
              <w:t>通话组管理，包括创建、查询、删除通话组，及修改通话组业务属性。</w:t>
            </w:r>
          </w:p>
          <w:p w14:paraId="135D033D">
            <w:pPr>
              <w:ind w:firstLine="480"/>
              <w:rPr>
                <w:rFonts w:ascii="宋体" w:hAnsi="宋体" w:cs="宋体"/>
                <w:color w:val="auto"/>
                <w:highlight w:val="none"/>
              </w:rPr>
            </w:pPr>
            <w:r>
              <w:rPr>
                <w:rFonts w:hint="eastAsia" w:ascii="宋体" w:hAnsi="宋体" w:cs="宋体"/>
                <w:color w:val="auto"/>
                <w:highlight w:val="none"/>
              </w:rPr>
              <w:t>基本业务管理</w:t>
            </w:r>
          </w:p>
          <w:p w14:paraId="7183162B">
            <w:pPr>
              <w:ind w:firstLine="480"/>
              <w:rPr>
                <w:rFonts w:ascii="宋体" w:hAnsi="宋体" w:cs="宋体"/>
                <w:color w:val="auto"/>
                <w:highlight w:val="none"/>
              </w:rPr>
            </w:pPr>
            <w:r>
              <w:rPr>
                <w:rFonts w:hint="eastAsia" w:ascii="宋体" w:hAnsi="宋体" w:cs="宋体"/>
                <w:color w:val="auto"/>
                <w:highlight w:val="none"/>
              </w:rPr>
              <w:t>补充业务管理</w:t>
            </w:r>
          </w:p>
          <w:p w14:paraId="2A3EE305">
            <w:pPr>
              <w:ind w:firstLine="480"/>
              <w:rPr>
                <w:rFonts w:ascii="宋体" w:hAnsi="宋体" w:cs="宋体"/>
                <w:color w:val="auto"/>
                <w:highlight w:val="none"/>
              </w:rPr>
            </w:pPr>
            <w:r>
              <w:rPr>
                <w:rFonts w:hint="eastAsia" w:ascii="宋体" w:hAnsi="宋体" w:cs="宋体"/>
                <w:color w:val="auto"/>
                <w:highlight w:val="none"/>
              </w:rPr>
              <w:t>漫游管理</w:t>
            </w:r>
          </w:p>
          <w:p w14:paraId="344516CC">
            <w:pPr>
              <w:ind w:firstLine="480"/>
              <w:rPr>
                <w:rFonts w:ascii="宋体" w:hAnsi="宋体" w:cs="宋体"/>
                <w:color w:val="auto"/>
                <w:highlight w:val="none"/>
              </w:rPr>
            </w:pPr>
            <w:r>
              <w:rPr>
                <w:rFonts w:hint="eastAsia" w:ascii="宋体" w:hAnsi="宋体" w:cs="宋体"/>
                <w:color w:val="auto"/>
                <w:highlight w:val="none"/>
              </w:rPr>
              <w:t>3.2配置管理</w:t>
            </w:r>
          </w:p>
          <w:p w14:paraId="38202B5C">
            <w:pPr>
              <w:ind w:firstLine="480"/>
              <w:rPr>
                <w:rFonts w:ascii="宋体" w:hAnsi="宋体" w:cs="宋体"/>
                <w:color w:val="auto"/>
                <w:highlight w:val="none"/>
              </w:rPr>
            </w:pPr>
            <w:r>
              <w:rPr>
                <w:rFonts w:hint="eastAsia" w:ascii="宋体" w:hAnsi="宋体" w:cs="宋体"/>
                <w:color w:val="auto"/>
                <w:highlight w:val="none"/>
              </w:rPr>
              <w:t>配置管理功能包括：</w:t>
            </w:r>
          </w:p>
          <w:p w14:paraId="45F8071A">
            <w:pPr>
              <w:ind w:firstLine="480"/>
              <w:rPr>
                <w:rFonts w:ascii="宋体" w:hAnsi="宋体" w:cs="宋体"/>
                <w:color w:val="auto"/>
                <w:highlight w:val="none"/>
              </w:rPr>
            </w:pPr>
            <w:r>
              <w:rPr>
                <w:rFonts w:hint="eastAsia" w:ascii="宋体" w:hAnsi="宋体" w:cs="宋体"/>
                <w:color w:val="auto"/>
                <w:highlight w:val="none"/>
              </w:rPr>
              <w:t>对影响网络的要素进行管理，包括查询、修改和进行缺省配置。</w:t>
            </w:r>
          </w:p>
          <w:p w14:paraId="26DA9CDC">
            <w:pPr>
              <w:ind w:firstLine="480"/>
              <w:rPr>
                <w:rFonts w:ascii="宋体" w:hAnsi="宋体" w:cs="宋体"/>
                <w:color w:val="auto"/>
                <w:highlight w:val="none"/>
              </w:rPr>
            </w:pPr>
            <w:r>
              <w:rPr>
                <w:rFonts w:hint="eastAsia" w:ascii="宋体" w:hAnsi="宋体" w:cs="宋体"/>
                <w:color w:val="auto"/>
                <w:highlight w:val="none"/>
              </w:rPr>
              <w:t>网元参数管理，包括查询、修改和进行缺省配置。</w:t>
            </w:r>
          </w:p>
          <w:p w14:paraId="462AAC85">
            <w:pPr>
              <w:ind w:firstLine="480"/>
              <w:rPr>
                <w:rFonts w:ascii="宋体" w:hAnsi="宋体" w:cs="宋体"/>
                <w:color w:val="auto"/>
                <w:highlight w:val="none"/>
              </w:rPr>
            </w:pPr>
            <w:r>
              <w:rPr>
                <w:rFonts w:hint="eastAsia" w:ascii="宋体" w:hAnsi="宋体" w:cs="宋体"/>
                <w:color w:val="auto"/>
                <w:highlight w:val="none"/>
              </w:rPr>
              <w:t>3.3故障管理</w:t>
            </w:r>
          </w:p>
          <w:p w14:paraId="37F8E373">
            <w:pPr>
              <w:ind w:firstLine="480"/>
              <w:rPr>
                <w:rFonts w:ascii="宋体" w:hAnsi="宋体" w:cs="宋体"/>
                <w:color w:val="auto"/>
                <w:highlight w:val="none"/>
              </w:rPr>
            </w:pPr>
            <w:r>
              <w:rPr>
                <w:rFonts w:hint="eastAsia" w:ascii="宋体" w:hAnsi="宋体" w:cs="宋体"/>
                <w:color w:val="auto"/>
                <w:highlight w:val="none"/>
              </w:rPr>
              <w:t>故障管理功能包括：</w:t>
            </w:r>
          </w:p>
          <w:p w14:paraId="0EFE9FCC">
            <w:pPr>
              <w:ind w:firstLine="480"/>
              <w:rPr>
                <w:rFonts w:ascii="宋体" w:hAnsi="宋体" w:cs="宋体"/>
                <w:color w:val="auto"/>
                <w:highlight w:val="none"/>
              </w:rPr>
            </w:pPr>
            <w:r>
              <w:rPr>
                <w:rFonts w:hint="eastAsia" w:ascii="宋体" w:hAnsi="宋体" w:cs="宋体"/>
                <w:color w:val="auto"/>
                <w:highlight w:val="none"/>
              </w:rPr>
              <w:t>告警信息采集，实时采集系统各网元设备的故障告警信息。</w:t>
            </w:r>
          </w:p>
          <w:p w14:paraId="503FF264">
            <w:pPr>
              <w:ind w:firstLine="480"/>
              <w:rPr>
                <w:rFonts w:ascii="宋体" w:hAnsi="宋体" w:cs="宋体"/>
                <w:color w:val="auto"/>
                <w:highlight w:val="none"/>
              </w:rPr>
            </w:pPr>
            <w:r>
              <w:rPr>
                <w:rFonts w:hint="eastAsia" w:ascii="宋体" w:hAnsi="宋体" w:cs="宋体"/>
                <w:color w:val="auto"/>
                <w:highlight w:val="none"/>
              </w:rPr>
              <w:t>告警状态监视和呈现，系统可设置告警显示过滤、告警优先级、告警屏蔽、声光颜色告警、告警确认。</w:t>
            </w:r>
          </w:p>
          <w:p w14:paraId="6E32B512">
            <w:pPr>
              <w:ind w:firstLine="480"/>
              <w:rPr>
                <w:rFonts w:ascii="宋体" w:hAnsi="宋体" w:cs="宋体"/>
                <w:color w:val="auto"/>
                <w:highlight w:val="none"/>
              </w:rPr>
            </w:pPr>
            <w:r>
              <w:rPr>
                <w:rFonts w:hint="eastAsia" w:ascii="宋体" w:hAnsi="宋体" w:cs="宋体"/>
                <w:color w:val="auto"/>
                <w:highlight w:val="none"/>
              </w:rPr>
              <w:t>告警信息保存和历史告警检索查询。</w:t>
            </w:r>
          </w:p>
          <w:p w14:paraId="25B6F436">
            <w:pPr>
              <w:ind w:firstLine="480"/>
              <w:rPr>
                <w:rFonts w:ascii="宋体" w:hAnsi="宋体" w:cs="宋体"/>
                <w:color w:val="auto"/>
                <w:highlight w:val="none"/>
              </w:rPr>
            </w:pPr>
            <w:r>
              <w:rPr>
                <w:rFonts w:hint="eastAsia" w:ascii="宋体" w:hAnsi="宋体" w:cs="宋体"/>
                <w:color w:val="auto"/>
                <w:highlight w:val="none"/>
              </w:rPr>
              <w:t>故障定位，告警的故障定位到模块级，并给出故障修复建议。</w:t>
            </w:r>
          </w:p>
          <w:p w14:paraId="4A45E8A0">
            <w:pPr>
              <w:ind w:firstLine="480"/>
              <w:rPr>
                <w:rFonts w:ascii="宋体" w:hAnsi="宋体" w:cs="宋体"/>
                <w:color w:val="auto"/>
                <w:highlight w:val="none"/>
              </w:rPr>
            </w:pPr>
            <w:r>
              <w:rPr>
                <w:rFonts w:hint="eastAsia" w:ascii="宋体" w:hAnsi="宋体" w:cs="宋体"/>
                <w:color w:val="auto"/>
                <w:highlight w:val="none"/>
              </w:rPr>
              <w:t>3.4安全管理</w:t>
            </w:r>
          </w:p>
          <w:p w14:paraId="50C27731">
            <w:pPr>
              <w:ind w:firstLine="480"/>
              <w:rPr>
                <w:rFonts w:ascii="宋体" w:hAnsi="宋体" w:cs="宋体"/>
                <w:color w:val="auto"/>
                <w:highlight w:val="none"/>
              </w:rPr>
            </w:pPr>
            <w:r>
              <w:rPr>
                <w:rFonts w:hint="eastAsia" w:ascii="宋体" w:hAnsi="宋体" w:cs="宋体"/>
                <w:color w:val="auto"/>
                <w:highlight w:val="none"/>
              </w:rPr>
              <w:t>安全管理功能包括：</w:t>
            </w:r>
          </w:p>
          <w:p w14:paraId="10371835">
            <w:pPr>
              <w:ind w:firstLine="480"/>
              <w:rPr>
                <w:rFonts w:ascii="宋体" w:hAnsi="宋体" w:cs="宋体"/>
                <w:color w:val="auto"/>
                <w:highlight w:val="none"/>
              </w:rPr>
            </w:pPr>
            <w:r>
              <w:rPr>
                <w:rFonts w:hint="eastAsia" w:ascii="宋体" w:hAnsi="宋体" w:cs="宋体"/>
                <w:color w:val="auto"/>
                <w:highlight w:val="none"/>
              </w:rPr>
              <w:t>操作员权限管理，可定制不同操作员的操作权限。</w:t>
            </w:r>
          </w:p>
          <w:p w14:paraId="04E62712">
            <w:pPr>
              <w:ind w:firstLine="480"/>
              <w:rPr>
                <w:rFonts w:ascii="宋体" w:hAnsi="宋体" w:cs="宋体"/>
                <w:color w:val="auto"/>
                <w:highlight w:val="none"/>
              </w:rPr>
            </w:pPr>
            <w:r>
              <w:rPr>
                <w:rFonts w:hint="eastAsia" w:ascii="宋体" w:hAnsi="宋体" w:cs="宋体"/>
                <w:color w:val="auto"/>
                <w:highlight w:val="none"/>
              </w:rPr>
              <w:t>记录、保存、查询操作日志。</w:t>
            </w:r>
          </w:p>
          <w:p w14:paraId="5D900EB5">
            <w:pPr>
              <w:ind w:firstLine="480"/>
              <w:rPr>
                <w:rFonts w:ascii="宋体" w:hAnsi="宋体" w:cs="宋体"/>
                <w:color w:val="auto"/>
                <w:highlight w:val="none"/>
              </w:rPr>
            </w:pPr>
            <w:r>
              <w:rPr>
                <w:rFonts w:hint="eastAsia" w:ascii="宋体" w:hAnsi="宋体" w:cs="宋体"/>
                <w:color w:val="auto"/>
                <w:highlight w:val="none"/>
              </w:rPr>
              <w:t>3.5性能管理</w:t>
            </w:r>
          </w:p>
          <w:p w14:paraId="5F4F4BE1">
            <w:pPr>
              <w:ind w:firstLine="480"/>
              <w:rPr>
                <w:rFonts w:ascii="宋体" w:hAnsi="宋体" w:cs="宋体"/>
                <w:color w:val="auto"/>
                <w:highlight w:val="none"/>
              </w:rPr>
            </w:pPr>
            <w:r>
              <w:rPr>
                <w:rFonts w:hint="eastAsia" w:ascii="宋体" w:hAnsi="宋体" w:cs="宋体"/>
                <w:color w:val="auto"/>
                <w:highlight w:val="none"/>
              </w:rPr>
              <w:t>性能管理功能包括：</w:t>
            </w:r>
          </w:p>
          <w:p w14:paraId="12022B44">
            <w:pPr>
              <w:ind w:firstLine="480"/>
              <w:rPr>
                <w:rFonts w:ascii="宋体" w:hAnsi="宋体" w:cs="宋体"/>
                <w:color w:val="auto"/>
                <w:highlight w:val="none"/>
              </w:rPr>
            </w:pPr>
            <w:r>
              <w:rPr>
                <w:rFonts w:hint="eastAsia" w:ascii="宋体" w:hAnsi="宋体" w:cs="宋体"/>
                <w:color w:val="auto"/>
                <w:highlight w:val="none"/>
              </w:rPr>
              <w:t>性能数据测量管理。</w:t>
            </w:r>
          </w:p>
          <w:p w14:paraId="228DBD17">
            <w:pPr>
              <w:ind w:firstLine="480"/>
              <w:rPr>
                <w:rFonts w:ascii="宋体" w:hAnsi="宋体" w:cs="宋体"/>
                <w:color w:val="auto"/>
                <w:highlight w:val="none"/>
              </w:rPr>
            </w:pPr>
            <w:r>
              <w:rPr>
                <w:rFonts w:hint="eastAsia" w:ascii="宋体" w:hAnsi="宋体" w:cs="宋体"/>
                <w:color w:val="auto"/>
                <w:highlight w:val="none"/>
              </w:rPr>
              <w:t>话务数据测量统计，对整个系统、单个基站或几个基站的组合区域、单个信道等范围内的呼叫接续情况进行测量，测量的指标集中包含了测量范围内的总的呼叫数量、总的呼叫持续时间、所有呼叫（个呼＋组呼＋紧急呼叫）的总呼叫数和成功的呼叫数、个呼/组呼/紧急呼叫的持续时长等。</w:t>
            </w:r>
          </w:p>
          <w:p w14:paraId="34DE235C">
            <w:pPr>
              <w:ind w:firstLine="480"/>
              <w:rPr>
                <w:rFonts w:ascii="宋体" w:hAnsi="宋体" w:cs="宋体"/>
                <w:color w:val="auto"/>
                <w:highlight w:val="none"/>
              </w:rPr>
            </w:pPr>
            <w:r>
              <w:rPr>
                <w:rFonts w:hint="eastAsia" w:ascii="宋体" w:hAnsi="宋体" w:cs="宋体"/>
                <w:color w:val="auto"/>
                <w:highlight w:val="none"/>
              </w:rPr>
              <w:t>性能报表和综合性能分析报告。</w:t>
            </w:r>
          </w:p>
          <w:p w14:paraId="534ABA0F">
            <w:pPr>
              <w:ind w:firstLine="480"/>
              <w:rPr>
                <w:rFonts w:ascii="宋体" w:hAnsi="宋体" w:cs="宋体"/>
                <w:color w:val="auto"/>
                <w:highlight w:val="none"/>
              </w:rPr>
            </w:pPr>
            <w:r>
              <w:rPr>
                <w:rFonts w:hint="eastAsia" w:ascii="宋体" w:hAnsi="宋体" w:cs="宋体"/>
                <w:color w:val="auto"/>
                <w:highlight w:val="none"/>
              </w:rPr>
              <w:t>3.6辅助管理</w:t>
            </w:r>
          </w:p>
          <w:p w14:paraId="06D2338F">
            <w:pPr>
              <w:ind w:firstLine="480"/>
              <w:rPr>
                <w:rFonts w:ascii="宋体" w:hAnsi="宋体" w:cs="宋体"/>
                <w:color w:val="auto"/>
                <w:highlight w:val="none"/>
              </w:rPr>
            </w:pPr>
            <w:r>
              <w:rPr>
                <w:rFonts w:hint="eastAsia" w:ascii="宋体" w:hAnsi="宋体" w:cs="宋体"/>
                <w:color w:val="auto"/>
                <w:highlight w:val="none"/>
              </w:rPr>
              <w:t>辅助管理功能包括：</w:t>
            </w:r>
          </w:p>
          <w:p w14:paraId="0AC80926">
            <w:pPr>
              <w:ind w:firstLine="480"/>
              <w:rPr>
                <w:rFonts w:ascii="宋体" w:hAnsi="宋体" w:cs="宋体"/>
                <w:color w:val="auto"/>
                <w:highlight w:val="none"/>
              </w:rPr>
            </w:pPr>
            <w:r>
              <w:rPr>
                <w:rFonts w:hint="eastAsia" w:ascii="宋体" w:hAnsi="宋体" w:cs="宋体"/>
                <w:color w:val="auto"/>
                <w:highlight w:val="none"/>
              </w:rPr>
              <w:t>系统状态显示：包括无线信道状态和占用显示。</w:t>
            </w:r>
          </w:p>
          <w:p w14:paraId="064F20BC">
            <w:pPr>
              <w:ind w:firstLine="480"/>
              <w:rPr>
                <w:rFonts w:ascii="宋体" w:hAnsi="宋体" w:cs="宋体"/>
                <w:color w:val="auto"/>
                <w:highlight w:val="none"/>
              </w:rPr>
            </w:pPr>
            <w:r>
              <w:rPr>
                <w:rFonts w:hint="eastAsia" w:ascii="宋体" w:hAnsi="宋体" w:cs="宋体"/>
                <w:color w:val="auto"/>
                <w:highlight w:val="none"/>
              </w:rPr>
              <w:t>移动台/通话组核查：显示无线用户和通话组的位置信息、状态等。</w:t>
            </w:r>
          </w:p>
          <w:p w14:paraId="79D59540">
            <w:pPr>
              <w:ind w:firstLine="480"/>
              <w:rPr>
                <w:rFonts w:ascii="宋体" w:hAnsi="宋体" w:cs="宋体"/>
                <w:color w:val="auto"/>
                <w:highlight w:val="none"/>
              </w:rPr>
            </w:pPr>
            <w:r>
              <w:rPr>
                <w:rFonts w:hint="eastAsia" w:ascii="宋体" w:hAnsi="宋体" w:cs="宋体"/>
                <w:color w:val="auto"/>
                <w:highlight w:val="none"/>
              </w:rPr>
              <w:t>紧急调度预案：系统可事先保存紧急调度预案，每个调度预案最多可设置4个动态重组通话组，每个动态重组最多可派接100个通话组。</w:t>
            </w:r>
          </w:p>
          <w:p w14:paraId="1D81AD65">
            <w:pPr>
              <w:ind w:firstLine="480"/>
              <w:rPr>
                <w:rFonts w:ascii="宋体" w:hAnsi="宋体" w:cs="宋体"/>
                <w:color w:val="auto"/>
                <w:highlight w:val="none"/>
              </w:rPr>
            </w:pPr>
            <w:r>
              <w:rPr>
                <w:rFonts w:hint="eastAsia" w:ascii="宋体" w:hAnsi="宋体" w:cs="宋体"/>
                <w:color w:val="auto"/>
                <w:highlight w:val="none"/>
              </w:rPr>
              <w:t>软件升级：包括网元单板上的映像文件管理、基站程序升级、局数据导入导出。</w:t>
            </w:r>
          </w:p>
          <w:p w14:paraId="7EFD3F76">
            <w:pPr>
              <w:ind w:firstLine="480"/>
              <w:rPr>
                <w:rFonts w:ascii="宋体" w:hAnsi="宋体" w:cs="宋体"/>
                <w:color w:val="auto"/>
                <w:highlight w:val="none"/>
              </w:rPr>
            </w:pPr>
            <w:r>
              <w:rPr>
                <w:rFonts w:hint="eastAsia" w:ascii="宋体" w:hAnsi="宋体" w:cs="宋体"/>
                <w:color w:val="auto"/>
                <w:highlight w:val="none"/>
              </w:rPr>
              <w:t>3.7系统远程升级</w:t>
            </w:r>
          </w:p>
          <w:p w14:paraId="01BFBB8F">
            <w:pPr>
              <w:ind w:firstLine="480"/>
              <w:rPr>
                <w:rFonts w:ascii="宋体" w:hAnsi="宋体" w:cs="宋体"/>
                <w:color w:val="auto"/>
                <w:highlight w:val="none"/>
              </w:rPr>
            </w:pPr>
            <w:r>
              <w:rPr>
                <w:rFonts w:hint="eastAsia" w:ascii="宋体" w:hAnsi="宋体" w:cs="宋体"/>
                <w:color w:val="auto"/>
                <w:highlight w:val="none"/>
              </w:rPr>
              <w:t>系统远程升级：系统支持对基站进行远程升级功能，最大程度减少基站维护的工作量。</w:t>
            </w:r>
          </w:p>
          <w:p w14:paraId="1C8CD08C">
            <w:pPr>
              <w:ind w:firstLine="480"/>
              <w:rPr>
                <w:rFonts w:ascii="宋体" w:hAnsi="宋体" w:cs="宋体"/>
                <w:color w:val="auto"/>
                <w:highlight w:val="none"/>
              </w:rPr>
            </w:pPr>
            <w:r>
              <w:rPr>
                <w:rFonts w:hint="eastAsia" w:ascii="宋体" w:hAnsi="宋体" w:cs="宋体"/>
                <w:color w:val="auto"/>
                <w:highlight w:val="none"/>
              </w:rPr>
              <w:t>4网络调度台功能</w:t>
            </w:r>
          </w:p>
          <w:p w14:paraId="4CB8776E">
            <w:pPr>
              <w:ind w:firstLine="480"/>
              <w:rPr>
                <w:rFonts w:ascii="宋体" w:hAnsi="宋体" w:cs="宋体"/>
                <w:color w:val="auto"/>
                <w:highlight w:val="none"/>
              </w:rPr>
            </w:pPr>
            <w:r>
              <w:rPr>
                <w:rFonts w:hint="eastAsia" w:ascii="宋体" w:hAnsi="宋体" w:cs="宋体"/>
                <w:color w:val="auto"/>
                <w:highlight w:val="none"/>
              </w:rPr>
              <w:t>调度台呼叫</w:t>
            </w:r>
          </w:p>
          <w:p w14:paraId="08F39F4B">
            <w:pPr>
              <w:ind w:firstLine="480"/>
              <w:rPr>
                <w:rFonts w:ascii="宋体" w:hAnsi="宋体" w:cs="宋体"/>
                <w:color w:val="auto"/>
                <w:highlight w:val="none"/>
              </w:rPr>
            </w:pPr>
            <w:r>
              <w:rPr>
                <w:rFonts w:hint="eastAsia" w:ascii="宋体" w:hAnsi="宋体" w:cs="宋体"/>
                <w:color w:val="auto"/>
                <w:highlight w:val="none"/>
              </w:rPr>
              <w:t>通话时长限制</w:t>
            </w:r>
          </w:p>
          <w:p w14:paraId="6133C6CD">
            <w:pPr>
              <w:ind w:firstLine="480"/>
              <w:rPr>
                <w:rFonts w:ascii="宋体" w:hAnsi="宋体" w:cs="宋体"/>
                <w:color w:val="auto"/>
                <w:highlight w:val="none"/>
              </w:rPr>
            </w:pPr>
            <w:r>
              <w:rPr>
                <w:rFonts w:hint="eastAsia" w:ascii="宋体" w:hAnsi="宋体" w:cs="宋体"/>
                <w:color w:val="auto"/>
                <w:highlight w:val="none"/>
              </w:rPr>
              <w:t>组呼ID显示</w:t>
            </w:r>
          </w:p>
          <w:p w14:paraId="5156F9DA">
            <w:pPr>
              <w:ind w:firstLine="480"/>
              <w:rPr>
                <w:rFonts w:ascii="宋体" w:hAnsi="宋体" w:cs="宋体"/>
                <w:color w:val="auto"/>
                <w:highlight w:val="none"/>
              </w:rPr>
            </w:pPr>
            <w:r>
              <w:rPr>
                <w:rFonts w:hint="eastAsia" w:ascii="宋体" w:hAnsi="宋体" w:cs="宋体"/>
                <w:color w:val="auto"/>
                <w:highlight w:val="none"/>
              </w:rPr>
              <w:t>通话记录查询</w:t>
            </w:r>
          </w:p>
          <w:p w14:paraId="2998E9CD">
            <w:pPr>
              <w:ind w:firstLine="480"/>
              <w:rPr>
                <w:rFonts w:ascii="宋体" w:hAnsi="宋体" w:cs="宋体"/>
                <w:color w:val="auto"/>
                <w:highlight w:val="none"/>
              </w:rPr>
            </w:pPr>
            <w:r>
              <w:rPr>
                <w:rFonts w:hint="eastAsia" w:ascii="宋体" w:hAnsi="宋体" w:cs="宋体"/>
                <w:color w:val="auto"/>
                <w:highlight w:val="none"/>
              </w:rPr>
              <w:t>通信簿管理</w:t>
            </w:r>
          </w:p>
          <w:p w14:paraId="3492A09F">
            <w:pPr>
              <w:ind w:firstLine="480"/>
              <w:rPr>
                <w:rFonts w:ascii="宋体" w:hAnsi="宋体" w:cs="宋体"/>
                <w:color w:val="auto"/>
                <w:highlight w:val="none"/>
              </w:rPr>
            </w:pPr>
            <w:r>
              <w:rPr>
                <w:rFonts w:hint="eastAsia" w:ascii="宋体" w:hAnsi="宋体" w:cs="宋体"/>
                <w:color w:val="auto"/>
                <w:highlight w:val="none"/>
              </w:rPr>
              <w:t>系统状态显示</w:t>
            </w:r>
          </w:p>
          <w:p w14:paraId="20EE0A61">
            <w:pPr>
              <w:ind w:firstLine="480"/>
              <w:rPr>
                <w:rFonts w:ascii="宋体" w:hAnsi="宋体" w:cs="宋体"/>
                <w:color w:val="auto"/>
                <w:highlight w:val="none"/>
              </w:rPr>
            </w:pPr>
            <w:r>
              <w:rPr>
                <w:rFonts w:hint="eastAsia" w:ascii="宋体" w:hAnsi="宋体" w:cs="宋体"/>
                <w:color w:val="auto"/>
                <w:highlight w:val="none"/>
              </w:rPr>
              <w:t>录音管理和查询</w:t>
            </w:r>
          </w:p>
          <w:p w14:paraId="6DF6D572">
            <w:pPr>
              <w:ind w:firstLine="480"/>
              <w:rPr>
                <w:rFonts w:ascii="宋体" w:hAnsi="宋体" w:cs="宋体"/>
                <w:color w:val="auto"/>
                <w:highlight w:val="none"/>
              </w:rPr>
            </w:pPr>
            <w:r>
              <w:rPr>
                <w:rFonts w:hint="eastAsia" w:ascii="宋体" w:hAnsi="宋体" w:cs="宋体"/>
                <w:color w:val="auto"/>
                <w:highlight w:val="none"/>
              </w:rPr>
              <w:t>信道监控</w:t>
            </w:r>
          </w:p>
          <w:p w14:paraId="69886110">
            <w:pPr>
              <w:ind w:firstLine="480"/>
              <w:rPr>
                <w:rFonts w:ascii="宋体" w:hAnsi="宋体" w:cs="宋体"/>
                <w:color w:val="auto"/>
                <w:highlight w:val="none"/>
              </w:rPr>
            </w:pPr>
            <w:r>
              <w:rPr>
                <w:rFonts w:hint="eastAsia" w:ascii="宋体" w:hAnsi="宋体" w:cs="宋体"/>
                <w:color w:val="auto"/>
                <w:highlight w:val="none"/>
              </w:rPr>
              <w:t>5位置信息及警力资源管理应用</w:t>
            </w:r>
          </w:p>
          <w:p w14:paraId="1878E325">
            <w:pPr>
              <w:ind w:firstLine="480"/>
              <w:rPr>
                <w:rFonts w:ascii="宋体" w:hAnsi="宋体" w:cs="宋体"/>
                <w:color w:val="auto"/>
                <w:highlight w:val="none"/>
              </w:rPr>
            </w:pPr>
            <w:r>
              <w:rPr>
                <w:rFonts w:hint="eastAsia" w:ascii="宋体" w:hAnsi="宋体" w:cs="宋体"/>
                <w:color w:val="auto"/>
                <w:highlight w:val="none"/>
              </w:rPr>
              <w:t>位置信息管理功能是PDT系统具备的一项重要功能，每个基站能支持的终端数量，将依据每个终端位置信息的刷新间隔确定。</w:t>
            </w:r>
          </w:p>
          <w:p w14:paraId="24B504AC">
            <w:pPr>
              <w:ind w:firstLine="480"/>
              <w:rPr>
                <w:rFonts w:ascii="宋体" w:hAnsi="宋体" w:cs="宋体"/>
                <w:color w:val="auto"/>
                <w:highlight w:val="none"/>
              </w:rPr>
            </w:pPr>
            <w:r>
              <w:rPr>
                <w:rFonts w:hint="eastAsia" w:ascii="宋体" w:hAnsi="宋体" w:cs="宋体"/>
                <w:color w:val="auto"/>
                <w:highlight w:val="none"/>
              </w:rPr>
              <w:t>PDT标准明确规定位置信息管理功能实现过程和信令标准，终端自身配置位置信息服务，无需外置，利用集群专网传送</w:t>
            </w:r>
          </w:p>
          <w:p w14:paraId="43D7F75F">
            <w:pPr>
              <w:ind w:firstLine="480"/>
              <w:rPr>
                <w:rFonts w:ascii="宋体" w:hAnsi="宋体" w:cs="宋体"/>
                <w:color w:val="auto"/>
                <w:highlight w:val="none"/>
              </w:rPr>
            </w:pPr>
            <w:r>
              <w:rPr>
                <w:rFonts w:hint="eastAsia" w:ascii="宋体" w:hAnsi="宋体" w:cs="宋体"/>
                <w:color w:val="auto"/>
                <w:highlight w:val="none"/>
              </w:rPr>
              <w:t>终端位置信息上报方式支持：距离、定期、距离和时间间隔满足一个就上报</w:t>
            </w:r>
          </w:p>
          <w:p w14:paraId="2561A57A">
            <w:pPr>
              <w:ind w:firstLine="480"/>
              <w:rPr>
                <w:rFonts w:ascii="宋体" w:hAnsi="宋体" w:cs="宋体"/>
                <w:color w:val="auto"/>
                <w:highlight w:val="none"/>
              </w:rPr>
            </w:pPr>
            <w:r>
              <w:rPr>
                <w:rFonts w:hint="eastAsia" w:ascii="宋体" w:hAnsi="宋体" w:cs="宋体"/>
                <w:color w:val="auto"/>
                <w:highlight w:val="none"/>
              </w:rPr>
              <w:t>本项目各PDT基站的载频数量分别配置为3载频、4载频和8载频，各基站开通一个专用的数字时隙传输位置信息，可以做到每个基站每分钟最大上传不少于500条位置信息，从而保证路面巡逻警员的位置信息实时传送到指挥中心，以便指挥中心可以快速派警增援。</w:t>
            </w:r>
          </w:p>
          <w:p w14:paraId="55A5FD52">
            <w:pPr>
              <w:ind w:firstLine="480"/>
              <w:rPr>
                <w:rFonts w:ascii="宋体" w:hAnsi="宋体" w:cs="宋体"/>
                <w:color w:val="auto"/>
                <w:highlight w:val="none"/>
              </w:rPr>
            </w:pPr>
            <w:r>
              <w:rPr>
                <w:rFonts w:hint="eastAsia" w:ascii="宋体" w:hAnsi="宋体" w:cs="宋体"/>
                <w:color w:val="auto"/>
                <w:highlight w:val="none"/>
              </w:rPr>
              <w:t>路面巡逻警员的位置信息实时上传到集群系统的控制中心后再通过一系列应用软件处理，可以有效帮助指挥中心或各层级领导对路面警员进行实时监控和管理。</w:t>
            </w:r>
          </w:p>
          <w:p w14:paraId="63EFBEF8">
            <w:pPr>
              <w:ind w:firstLine="480"/>
              <w:rPr>
                <w:rFonts w:ascii="宋体" w:hAnsi="宋体" w:cs="宋体"/>
                <w:color w:val="auto"/>
                <w:highlight w:val="none"/>
              </w:rPr>
            </w:pPr>
            <w:r>
              <w:rPr>
                <w:rFonts w:hint="eastAsia" w:ascii="宋体" w:hAnsi="宋体" w:cs="宋体"/>
                <w:color w:val="auto"/>
                <w:highlight w:val="none"/>
              </w:rPr>
              <w:t>配置的可视化指挥调度系统客户端软件可以安装在各区县局指挥中心或者安装在各层级领导的桌面电脑上，通过该软件即可实现以下的警力资源的管理应用。</w:t>
            </w:r>
          </w:p>
          <w:p w14:paraId="6C4937DB">
            <w:pPr>
              <w:ind w:firstLine="480"/>
              <w:rPr>
                <w:rFonts w:ascii="宋体" w:hAnsi="宋体" w:cs="宋体"/>
                <w:color w:val="auto"/>
                <w:highlight w:val="none"/>
              </w:rPr>
            </w:pPr>
            <w:r>
              <w:rPr>
                <w:rFonts w:hint="eastAsia" w:ascii="宋体" w:hAnsi="宋体" w:cs="宋体"/>
                <w:color w:val="auto"/>
                <w:highlight w:val="none"/>
              </w:rPr>
              <w:t>5.1警员位置信息实时显示</w:t>
            </w:r>
          </w:p>
          <w:p w14:paraId="76FA8AB7">
            <w:pPr>
              <w:ind w:firstLine="480"/>
              <w:rPr>
                <w:rFonts w:ascii="宋体" w:hAnsi="宋体" w:cs="宋体"/>
                <w:color w:val="auto"/>
                <w:highlight w:val="none"/>
              </w:rPr>
            </w:pPr>
            <w:r>
              <w:rPr>
                <w:rFonts w:hint="eastAsia" w:ascii="宋体" w:hAnsi="宋体" w:cs="宋体"/>
                <w:color w:val="auto"/>
                <w:highlight w:val="none"/>
              </w:rPr>
              <w:t>各种警力资源在电子地图上赋予人性化的符号，以便对警力资源（车辆、民警等）进行区分等。</w:t>
            </w:r>
          </w:p>
          <w:p w14:paraId="4ABA2C13">
            <w:pPr>
              <w:ind w:firstLine="480"/>
              <w:rPr>
                <w:rFonts w:ascii="宋体" w:hAnsi="宋体" w:cs="宋体"/>
                <w:color w:val="auto"/>
                <w:highlight w:val="none"/>
              </w:rPr>
            </w:pPr>
            <w:r>
              <w:rPr>
                <w:rFonts w:hint="eastAsia" w:ascii="宋体" w:hAnsi="宋体" w:cs="宋体"/>
                <w:color w:val="auto"/>
                <w:highlight w:val="none"/>
              </w:rPr>
              <w:t>当调度员的光标点在电子地图的车辆符号上时，系统显示车辆的详细信息，包括车牌号、所属单位、状态、车台号、经纬度和时间等；光标点在电子地图的民警符号上时，系统显示民警的详细信息，信息包括：警号、姓名、所属单位、状态、数字集群终端设备号、经纬度和时间等。</w:t>
            </w:r>
          </w:p>
          <w:p w14:paraId="0C57122E">
            <w:pPr>
              <w:ind w:firstLine="480"/>
              <w:rPr>
                <w:rFonts w:ascii="宋体" w:hAnsi="宋体" w:cs="宋体"/>
                <w:color w:val="auto"/>
                <w:highlight w:val="none"/>
              </w:rPr>
            </w:pPr>
            <w:r>
              <w:rPr>
                <w:rFonts w:hint="eastAsia" w:ascii="宋体" w:hAnsi="宋体" w:cs="宋体"/>
                <w:color w:val="auto"/>
                <w:highlight w:val="none"/>
              </w:rPr>
              <w:t>5.2点击警员位置图标发起呼叫通话</w:t>
            </w:r>
          </w:p>
          <w:p w14:paraId="0CE9B047">
            <w:pPr>
              <w:ind w:firstLine="480"/>
              <w:rPr>
                <w:rFonts w:ascii="宋体" w:hAnsi="宋体" w:cs="宋体"/>
                <w:color w:val="auto"/>
                <w:highlight w:val="none"/>
              </w:rPr>
            </w:pPr>
            <w:r>
              <w:rPr>
                <w:rFonts w:hint="eastAsia" w:ascii="宋体" w:hAnsi="宋体" w:cs="宋体"/>
                <w:color w:val="auto"/>
                <w:highlight w:val="none"/>
              </w:rPr>
              <w:t>在地图上或在线列表上可通过界面选择点击呼叫在线警员，系统自动与调度台联动发起呼叫，并弹出通话界面显示通话状态，地图上的当前被呼的对象闪烁显示，通话结束时，弹出界面自动消失。</w:t>
            </w:r>
          </w:p>
          <w:p w14:paraId="4737C9D8">
            <w:pPr>
              <w:ind w:firstLine="480"/>
              <w:rPr>
                <w:rFonts w:ascii="宋体" w:hAnsi="宋体" w:cs="宋体"/>
                <w:color w:val="auto"/>
                <w:highlight w:val="none"/>
              </w:rPr>
            </w:pPr>
            <w:r>
              <w:rPr>
                <w:rFonts w:hint="eastAsia" w:ascii="宋体" w:hAnsi="宋体" w:cs="宋体"/>
                <w:color w:val="auto"/>
                <w:highlight w:val="none"/>
              </w:rPr>
              <w:t>5.3向警员发送警情信息</w:t>
            </w:r>
          </w:p>
          <w:p w14:paraId="3442D827">
            <w:pPr>
              <w:ind w:firstLine="480"/>
              <w:rPr>
                <w:rFonts w:ascii="宋体" w:hAnsi="宋体" w:cs="宋体"/>
                <w:color w:val="auto"/>
                <w:highlight w:val="none"/>
              </w:rPr>
            </w:pPr>
            <w:r>
              <w:rPr>
                <w:rFonts w:hint="eastAsia" w:ascii="宋体" w:hAnsi="宋体" w:cs="宋体"/>
                <w:color w:val="auto"/>
                <w:highlight w:val="none"/>
              </w:rPr>
              <w:t>调度员发布警情简要信息和调度指挥信息给指定警员，警员可通过移动终端实时查看警情信息。</w:t>
            </w:r>
          </w:p>
          <w:p w14:paraId="69E64D37">
            <w:pPr>
              <w:ind w:firstLine="480"/>
              <w:rPr>
                <w:rFonts w:ascii="宋体" w:hAnsi="宋体" w:cs="宋体"/>
                <w:color w:val="auto"/>
                <w:highlight w:val="none"/>
              </w:rPr>
            </w:pPr>
            <w:r>
              <w:rPr>
                <w:rFonts w:hint="eastAsia" w:ascii="宋体" w:hAnsi="宋体" w:cs="宋体"/>
                <w:color w:val="auto"/>
                <w:highlight w:val="none"/>
              </w:rPr>
              <w:t>5.5警力资源的管理和监控</w:t>
            </w:r>
          </w:p>
          <w:p w14:paraId="2BFD7A63">
            <w:pPr>
              <w:ind w:firstLine="480"/>
              <w:rPr>
                <w:rFonts w:ascii="宋体" w:hAnsi="宋体" w:cs="宋体"/>
                <w:color w:val="auto"/>
                <w:highlight w:val="none"/>
              </w:rPr>
            </w:pPr>
            <w:r>
              <w:rPr>
                <w:rFonts w:hint="eastAsia" w:ascii="宋体" w:hAnsi="宋体" w:cs="宋体"/>
                <w:color w:val="auto"/>
                <w:highlight w:val="none"/>
              </w:rPr>
              <w:t>警力资源管理：通过警员发送不同的个人状态信息，结合警员的个呼号码、发送时间和经纬度信息等对警员实施实时的警员状态资源管理。警员的个呼号吗、状态信息和发送时间以数据库的形式保存在开放式的应用服务器中。</w:t>
            </w:r>
          </w:p>
          <w:p w14:paraId="5C6A83CC">
            <w:pPr>
              <w:ind w:firstLine="480"/>
              <w:rPr>
                <w:rFonts w:ascii="宋体" w:hAnsi="宋体" w:cs="宋体"/>
                <w:color w:val="auto"/>
                <w:highlight w:val="none"/>
              </w:rPr>
            </w:pPr>
            <w:r>
              <w:rPr>
                <w:rFonts w:hint="eastAsia" w:ascii="宋体" w:hAnsi="宋体" w:cs="宋体"/>
                <w:color w:val="auto"/>
                <w:highlight w:val="none"/>
              </w:rPr>
              <w:t>巡逻线路设定。通过对交通事故高发和热点地区的分析，设定相应的巡逻线路，定期通过管理系统进行发布，指导巡逻人员按时按线路进行巡逻。巡逻警员未按照巡逻路线和设定时间巡逻时，数字集群终端设备将收到系统信息提示。</w:t>
            </w:r>
          </w:p>
          <w:p w14:paraId="4C6B9F39">
            <w:pPr>
              <w:ind w:firstLine="480"/>
              <w:rPr>
                <w:rFonts w:ascii="宋体" w:hAnsi="宋体" w:cs="宋体"/>
                <w:color w:val="auto"/>
                <w:highlight w:val="none"/>
              </w:rPr>
            </w:pPr>
            <w:r>
              <w:rPr>
                <w:rFonts w:hint="eastAsia" w:ascii="宋体" w:hAnsi="宋体" w:cs="宋体"/>
                <w:color w:val="auto"/>
                <w:highlight w:val="none"/>
              </w:rPr>
              <w:t>巡逻区域设定。设定所有巡逻人员规定的各个巡逻区域.巡逻警员未按照巡逻区域巡逻时，数字集群终端设备将收到系统信息提示。</w:t>
            </w:r>
          </w:p>
          <w:p w14:paraId="2A0A9F9C">
            <w:pPr>
              <w:ind w:firstLine="480"/>
              <w:rPr>
                <w:rFonts w:ascii="宋体" w:hAnsi="宋体" w:cs="宋体"/>
                <w:color w:val="auto"/>
                <w:highlight w:val="none"/>
              </w:rPr>
            </w:pPr>
            <w:r>
              <w:rPr>
                <w:rFonts w:hint="eastAsia" w:ascii="宋体" w:hAnsi="宋体" w:cs="宋体"/>
                <w:color w:val="auto"/>
                <w:highlight w:val="none"/>
              </w:rPr>
              <w:t>巡逻督查。通过对比预设线路和实际轨迹，确定巡逻人员是否巡逻到位，特别是一些必到点是否已按时巡逻。</w:t>
            </w:r>
          </w:p>
          <w:p w14:paraId="15BE3C72">
            <w:pPr>
              <w:ind w:firstLine="480"/>
              <w:rPr>
                <w:rFonts w:ascii="宋体" w:hAnsi="宋体" w:cs="宋体"/>
                <w:color w:val="auto"/>
                <w:highlight w:val="none"/>
              </w:rPr>
            </w:pPr>
            <w:r>
              <w:rPr>
                <w:rFonts w:hint="eastAsia" w:ascii="宋体" w:hAnsi="宋体" w:cs="宋体"/>
                <w:color w:val="auto"/>
                <w:highlight w:val="none"/>
              </w:rPr>
              <w:t>如果巡逻人员离开巡逻区域，系统自动报警并记录该事件（报警记录记录查询），在客户端会弹出越界报警窗口（越界的终端以红色图标显示），同时把此事件通知用户终端。</w:t>
            </w:r>
          </w:p>
          <w:p w14:paraId="6FAB3609">
            <w:pPr>
              <w:ind w:firstLine="480"/>
              <w:rPr>
                <w:rFonts w:ascii="宋体" w:hAnsi="宋体" w:cs="宋体"/>
                <w:color w:val="auto"/>
                <w:highlight w:val="none"/>
              </w:rPr>
            </w:pPr>
            <w:r>
              <w:rPr>
                <w:rFonts w:hint="eastAsia" w:ascii="宋体" w:hAnsi="宋体" w:cs="宋体"/>
                <w:color w:val="auto"/>
                <w:highlight w:val="none"/>
              </w:rPr>
              <w:t>5.6轨迹回放</w:t>
            </w:r>
          </w:p>
          <w:p w14:paraId="5843C5BF">
            <w:pPr>
              <w:ind w:firstLine="480"/>
              <w:rPr>
                <w:rFonts w:ascii="宋体" w:hAnsi="宋体" w:cs="宋体"/>
                <w:color w:val="auto"/>
                <w:highlight w:val="none"/>
              </w:rPr>
            </w:pPr>
            <w:r>
              <w:rPr>
                <w:rFonts w:hint="eastAsia" w:ascii="宋体" w:hAnsi="宋体" w:cs="宋体"/>
                <w:color w:val="auto"/>
                <w:highlight w:val="none"/>
              </w:rPr>
              <w:t>巡访警员某时段的位置信息轨迹查询回放；</w:t>
            </w:r>
          </w:p>
          <w:p w14:paraId="37334111">
            <w:pPr>
              <w:ind w:firstLine="480"/>
              <w:rPr>
                <w:rFonts w:ascii="宋体" w:hAnsi="宋体" w:cs="宋体"/>
                <w:color w:val="auto"/>
                <w:highlight w:val="none"/>
              </w:rPr>
            </w:pPr>
            <w:r>
              <w:rPr>
                <w:rFonts w:hint="eastAsia" w:ascii="宋体" w:hAnsi="宋体" w:cs="宋体"/>
                <w:color w:val="auto"/>
                <w:highlight w:val="none"/>
              </w:rPr>
              <w:t>5.7位置信息和可视化实现的调度功能</w:t>
            </w:r>
          </w:p>
          <w:p w14:paraId="414414E0">
            <w:pPr>
              <w:ind w:firstLine="480"/>
              <w:rPr>
                <w:rFonts w:ascii="宋体" w:hAnsi="宋体" w:cs="宋体"/>
                <w:color w:val="auto"/>
                <w:highlight w:val="none"/>
              </w:rPr>
            </w:pPr>
            <w:r>
              <w:rPr>
                <w:rFonts w:hint="eastAsia" w:ascii="宋体" w:hAnsi="宋体" w:cs="宋体"/>
                <w:color w:val="auto"/>
                <w:highlight w:val="none"/>
              </w:rPr>
              <w:t>通过位置信息及警力资源管理应用服务器，可以将警员的可视化信息及时的反馈到可视化调度终端。并通过基于桌面化的可视化调度终端进行语音和短信息的即时通讯：</w:t>
            </w:r>
          </w:p>
          <w:p w14:paraId="32217313">
            <w:pPr>
              <w:ind w:firstLine="480"/>
              <w:rPr>
                <w:rFonts w:ascii="宋体" w:hAnsi="宋体" w:cs="宋体"/>
                <w:color w:val="auto"/>
                <w:highlight w:val="none"/>
              </w:rPr>
            </w:pPr>
            <w:r>
              <w:rPr>
                <w:rFonts w:hint="eastAsia" w:ascii="宋体" w:hAnsi="宋体" w:cs="宋体"/>
                <w:color w:val="auto"/>
                <w:highlight w:val="none"/>
              </w:rPr>
              <w:t>1、警员位置信息在调度台上实时显示；</w:t>
            </w:r>
          </w:p>
          <w:p w14:paraId="7EB4C8C7">
            <w:pPr>
              <w:ind w:firstLine="480"/>
              <w:rPr>
                <w:rFonts w:ascii="宋体" w:hAnsi="宋体" w:cs="宋体"/>
                <w:color w:val="auto"/>
                <w:highlight w:val="none"/>
              </w:rPr>
            </w:pPr>
            <w:r>
              <w:rPr>
                <w:rFonts w:hint="eastAsia" w:ascii="宋体" w:hAnsi="宋体" w:cs="宋体"/>
                <w:color w:val="auto"/>
                <w:highlight w:val="none"/>
              </w:rPr>
              <w:t>2、点击呼叫电子地图上的警员，接收警员向调度台发起的呼叫；</w:t>
            </w:r>
          </w:p>
          <w:p w14:paraId="77DE72A5">
            <w:pPr>
              <w:ind w:firstLine="480"/>
              <w:rPr>
                <w:rFonts w:ascii="宋体" w:hAnsi="宋体" w:cs="宋体"/>
                <w:color w:val="auto"/>
                <w:highlight w:val="none"/>
              </w:rPr>
            </w:pPr>
            <w:r>
              <w:rPr>
                <w:rFonts w:hint="eastAsia" w:ascii="宋体" w:hAnsi="宋体" w:cs="宋体"/>
                <w:color w:val="auto"/>
                <w:highlight w:val="none"/>
              </w:rPr>
              <w:t>3、向警员发布中文警情信息，接收警员的中文信息；</w:t>
            </w:r>
          </w:p>
          <w:p w14:paraId="3834175D">
            <w:pPr>
              <w:ind w:firstLine="480"/>
              <w:rPr>
                <w:rFonts w:ascii="宋体" w:hAnsi="宋体" w:cs="宋体"/>
                <w:color w:val="auto"/>
                <w:highlight w:val="none"/>
              </w:rPr>
            </w:pPr>
            <w:r>
              <w:rPr>
                <w:rFonts w:hint="eastAsia" w:ascii="宋体" w:hAnsi="宋体" w:cs="宋体"/>
                <w:color w:val="auto"/>
                <w:highlight w:val="none"/>
              </w:rPr>
              <w:t>4、与警员之间进行状态信息的传送，实时监控警员工作中的状态信息；</w:t>
            </w:r>
          </w:p>
          <w:p w14:paraId="6F5E2690">
            <w:pPr>
              <w:ind w:firstLine="480"/>
              <w:rPr>
                <w:rFonts w:ascii="宋体" w:hAnsi="宋体" w:cs="宋体"/>
                <w:color w:val="auto"/>
                <w:highlight w:val="none"/>
              </w:rPr>
            </w:pPr>
            <w:r>
              <w:rPr>
                <w:rFonts w:hint="eastAsia" w:ascii="宋体" w:hAnsi="宋体" w:cs="宋体"/>
                <w:color w:val="auto"/>
                <w:highlight w:val="none"/>
              </w:rPr>
              <w:t>5、电子地图上其他应用业务如地图操作、巡逻管理等参见位置信息可视化调度一节。</w:t>
            </w:r>
          </w:p>
          <w:p w14:paraId="1796497A">
            <w:pPr>
              <w:ind w:firstLine="480"/>
              <w:rPr>
                <w:rFonts w:ascii="宋体" w:hAnsi="宋体" w:cs="宋体"/>
                <w:color w:val="auto"/>
                <w:highlight w:val="none"/>
              </w:rPr>
            </w:pPr>
            <w:r>
              <w:rPr>
                <w:rFonts w:hint="eastAsia" w:ascii="宋体" w:hAnsi="宋体" w:cs="宋体"/>
                <w:color w:val="auto"/>
                <w:highlight w:val="none"/>
              </w:rPr>
              <w:t>6全网录音与查询应用</w:t>
            </w:r>
          </w:p>
          <w:p w14:paraId="3AA02734">
            <w:pPr>
              <w:ind w:firstLine="480"/>
              <w:rPr>
                <w:rFonts w:ascii="宋体" w:hAnsi="宋体" w:cs="宋体"/>
                <w:color w:val="auto"/>
                <w:highlight w:val="none"/>
              </w:rPr>
            </w:pPr>
            <w:r>
              <w:rPr>
                <w:rFonts w:hint="eastAsia" w:ascii="宋体" w:hAnsi="宋体" w:cs="宋体"/>
                <w:color w:val="auto"/>
                <w:highlight w:val="none"/>
              </w:rPr>
              <w:t>全网录音系统可以对该网络下的所有呼叫进行录音，包括组呼、个呼、个用户和调度用户等所有的呼叫进行录音，录音可供需要进行查询、录音回放。各个分局配置自己的录音查询系统,市局拥有统一的录音查询系统.</w:t>
            </w:r>
          </w:p>
          <w:p w14:paraId="0BFE74C2">
            <w:pPr>
              <w:ind w:firstLine="480"/>
              <w:rPr>
                <w:rFonts w:ascii="宋体" w:hAnsi="宋体" w:cs="宋体"/>
                <w:color w:val="auto"/>
                <w:highlight w:val="none"/>
              </w:rPr>
            </w:pPr>
            <w:r>
              <w:rPr>
                <w:rFonts w:hint="eastAsia" w:ascii="宋体" w:hAnsi="宋体" w:cs="宋体"/>
                <w:color w:val="auto"/>
                <w:highlight w:val="none"/>
              </w:rPr>
              <w:t>7互联功能</w:t>
            </w:r>
          </w:p>
          <w:p w14:paraId="13E9C1DD">
            <w:pPr>
              <w:ind w:firstLine="480"/>
              <w:rPr>
                <w:rFonts w:ascii="宋体" w:hAnsi="宋体" w:cs="宋体"/>
                <w:color w:val="auto"/>
                <w:highlight w:val="none"/>
              </w:rPr>
            </w:pPr>
            <w:r>
              <w:rPr>
                <w:rFonts w:hint="eastAsia" w:ascii="宋体" w:hAnsi="宋体" w:cs="宋体"/>
                <w:color w:val="auto"/>
                <w:highlight w:val="none"/>
              </w:rPr>
              <w:t>7.1长短信</w:t>
            </w:r>
          </w:p>
          <w:p w14:paraId="18A245EC">
            <w:pPr>
              <w:ind w:firstLine="480"/>
              <w:rPr>
                <w:rFonts w:ascii="宋体" w:hAnsi="宋体" w:cs="宋体"/>
                <w:color w:val="auto"/>
                <w:highlight w:val="none"/>
              </w:rPr>
            </w:pPr>
            <w:r>
              <w:rPr>
                <w:rFonts w:hint="eastAsia" w:ascii="宋体" w:hAnsi="宋体" w:cs="宋体"/>
                <w:color w:val="auto"/>
                <w:highlight w:val="none"/>
              </w:rPr>
              <w:t>长短信采用“n/m：”作为拆分/拼接特征字符。长短信发送方根据短信内容及空口限制将短信分拆成m条。每条前固定添加“n/m：”，其中“n”代表长短信分隔的序号，范围为1～m。长短信的分拆和拼接由终端完成，系统按普通短信处理分拆后的短信。（n和m均为十进制编码。）</w:t>
            </w:r>
          </w:p>
          <w:p w14:paraId="26F18225">
            <w:pPr>
              <w:ind w:firstLine="480"/>
              <w:rPr>
                <w:rFonts w:ascii="宋体" w:hAnsi="宋体" w:cs="宋体"/>
                <w:color w:val="auto"/>
                <w:highlight w:val="none"/>
              </w:rPr>
            </w:pPr>
            <w:r>
              <w:rPr>
                <w:rFonts w:hint="eastAsia" w:ascii="宋体" w:hAnsi="宋体" w:cs="宋体"/>
                <w:color w:val="auto"/>
                <w:highlight w:val="none"/>
              </w:rPr>
              <w:t>7.2位置信息上报方式</w:t>
            </w:r>
          </w:p>
          <w:p w14:paraId="3B22B5C2">
            <w:pPr>
              <w:ind w:firstLine="480"/>
              <w:rPr>
                <w:rFonts w:ascii="宋体" w:hAnsi="宋体" w:cs="宋体"/>
                <w:color w:val="auto"/>
                <w:highlight w:val="none"/>
              </w:rPr>
            </w:pPr>
            <w:r>
              <w:rPr>
                <w:rFonts w:hint="eastAsia" w:ascii="宋体" w:hAnsi="宋体" w:cs="宋体"/>
                <w:color w:val="auto"/>
                <w:highlight w:val="none"/>
              </w:rPr>
              <w:t>采用公安部PDT设备一致性测试中已明确的专用信道上拉位置信息方案（空口通过C-ACT信令激活终端，自动守候专用信道，终端收到C-DPOLL上拉信令，根据信令要求的格式上报位置信息数据）和专用信道终端主动上报位置信息数据方案。</w:t>
            </w:r>
          </w:p>
          <w:p w14:paraId="70A265D6">
            <w:pPr>
              <w:ind w:firstLine="480"/>
              <w:rPr>
                <w:rFonts w:ascii="宋体" w:hAnsi="宋体" w:cs="宋体"/>
                <w:color w:val="auto"/>
                <w:highlight w:val="none"/>
              </w:rPr>
            </w:pPr>
            <w:r>
              <w:rPr>
                <w:rFonts w:hint="eastAsia" w:ascii="宋体" w:hAnsi="宋体" w:cs="宋体"/>
                <w:color w:val="auto"/>
                <w:highlight w:val="none"/>
              </w:rPr>
              <w:t>7.3并组</w:t>
            </w:r>
          </w:p>
          <w:p w14:paraId="65D43208">
            <w:pPr>
              <w:ind w:firstLine="480"/>
              <w:rPr>
                <w:rFonts w:ascii="宋体" w:hAnsi="宋体" w:cs="宋体"/>
                <w:color w:val="auto"/>
                <w:highlight w:val="none"/>
              </w:rPr>
            </w:pPr>
            <w:r>
              <w:rPr>
                <w:rFonts w:hint="eastAsia" w:ascii="宋体" w:hAnsi="宋体" w:cs="宋体"/>
                <w:color w:val="auto"/>
                <w:highlight w:val="none"/>
              </w:rPr>
              <w:t>并组呼叫是临时将多个移动台用户组合并为一个通话组，当呼叫任意一个组呼号码时，系统内所有被并组的用户都进入一个通话组。调度台或者移动台用户都可以发起并组呼叫。一个通话并组包含哪些用户组可由网管或者调度台进行配置。每个组只能被编入一个并组。每个基站最多支持6个并组同时通话，且每个并组最多包含5个组。并组呼叫不会涉及到跨系统，呼叫范围仅限于本地少数几个基站。</w:t>
            </w:r>
          </w:p>
          <w:p w14:paraId="5B515888">
            <w:pPr>
              <w:ind w:firstLine="480"/>
              <w:rPr>
                <w:rFonts w:ascii="宋体" w:hAnsi="宋体" w:cs="宋体"/>
                <w:color w:val="auto"/>
                <w:highlight w:val="none"/>
              </w:rPr>
            </w:pPr>
            <w:r>
              <w:rPr>
                <w:rFonts w:hint="eastAsia" w:ascii="宋体" w:hAnsi="宋体" w:cs="宋体"/>
                <w:color w:val="auto"/>
                <w:highlight w:val="none"/>
              </w:rPr>
              <w:t>后续并入的组采用第一组的组号作为临时组。</w:t>
            </w:r>
          </w:p>
          <w:p w14:paraId="272ADF3B">
            <w:pPr>
              <w:ind w:firstLine="480"/>
              <w:rPr>
                <w:rFonts w:ascii="宋体" w:hAnsi="宋体" w:cs="宋体"/>
                <w:color w:val="auto"/>
                <w:highlight w:val="none"/>
              </w:rPr>
            </w:pPr>
            <w:r>
              <w:rPr>
                <w:rFonts w:hint="eastAsia" w:ascii="宋体" w:hAnsi="宋体" w:cs="宋体"/>
                <w:color w:val="auto"/>
                <w:highlight w:val="none"/>
              </w:rPr>
              <w:t>7.4组动态重组</w:t>
            </w:r>
          </w:p>
          <w:p w14:paraId="164DDFEF">
            <w:pPr>
              <w:ind w:firstLine="480"/>
              <w:rPr>
                <w:rFonts w:ascii="宋体" w:hAnsi="宋体" w:cs="宋体"/>
                <w:color w:val="auto"/>
                <w:highlight w:val="none"/>
              </w:rPr>
            </w:pPr>
            <w:r>
              <w:rPr>
                <w:rFonts w:hint="eastAsia" w:ascii="宋体" w:hAnsi="宋体" w:cs="宋体"/>
                <w:color w:val="auto"/>
                <w:highlight w:val="none"/>
              </w:rPr>
              <w:t>组动态重组是通过空口信令将多个组重组成一个新组并编入移动台的一种业务。由于针对通话组进行重组，因此组动态重组仅需要向组地址发送重组信令。</w:t>
            </w:r>
          </w:p>
          <w:p w14:paraId="5583A251">
            <w:pPr>
              <w:ind w:firstLine="480"/>
              <w:rPr>
                <w:rFonts w:ascii="宋体" w:hAnsi="宋体" w:cs="宋体"/>
                <w:color w:val="auto"/>
                <w:highlight w:val="none"/>
              </w:rPr>
            </w:pPr>
            <w:r>
              <w:rPr>
                <w:rFonts w:hint="eastAsia" w:ascii="宋体" w:hAnsi="宋体" w:cs="宋体"/>
                <w:color w:val="auto"/>
                <w:highlight w:val="none"/>
              </w:rPr>
              <w:t>为了避免终端错过动态组取消信令导致终端侧一直存在动态组，规定在下列两种情况下，动态组自动取消：</w:t>
            </w:r>
          </w:p>
          <w:p w14:paraId="4BC073CF">
            <w:pPr>
              <w:ind w:firstLine="480"/>
              <w:rPr>
                <w:rFonts w:ascii="宋体" w:hAnsi="宋体" w:cs="宋体"/>
                <w:color w:val="auto"/>
                <w:highlight w:val="none"/>
              </w:rPr>
            </w:pPr>
            <w:r>
              <w:rPr>
                <w:rFonts w:hint="eastAsia" w:ascii="宋体" w:hAnsi="宋体" w:cs="宋体"/>
                <w:color w:val="auto"/>
                <w:highlight w:val="none"/>
              </w:rPr>
              <w:t>1、手台关机</w:t>
            </w:r>
          </w:p>
          <w:p w14:paraId="7A6197EC">
            <w:pPr>
              <w:ind w:firstLine="480"/>
              <w:rPr>
                <w:rFonts w:ascii="宋体" w:hAnsi="宋体" w:cs="宋体"/>
                <w:color w:val="auto"/>
                <w:highlight w:val="none"/>
              </w:rPr>
            </w:pPr>
            <w:r>
              <w:rPr>
                <w:rFonts w:hint="eastAsia" w:ascii="宋体" w:hAnsi="宋体" w:cs="宋体"/>
                <w:color w:val="auto"/>
                <w:highlight w:val="none"/>
              </w:rPr>
              <w:t>2、手台在TDGA内没有收到相应的组动态重组信令。</w:t>
            </w:r>
          </w:p>
          <w:p w14:paraId="47206DE6">
            <w:pPr>
              <w:ind w:firstLine="480"/>
              <w:rPr>
                <w:rFonts w:ascii="宋体" w:hAnsi="宋体" w:cs="宋体"/>
                <w:color w:val="auto"/>
                <w:highlight w:val="none"/>
              </w:rPr>
            </w:pPr>
            <w:r>
              <w:rPr>
                <w:rFonts w:hint="eastAsia" w:ascii="宋体" w:hAnsi="宋体" w:cs="宋体"/>
                <w:color w:val="auto"/>
                <w:highlight w:val="none"/>
              </w:rPr>
              <w:t>7.5控制信道锁定策略</w:t>
            </w:r>
          </w:p>
          <w:p w14:paraId="3472F197">
            <w:pPr>
              <w:ind w:firstLine="480"/>
              <w:rPr>
                <w:rFonts w:ascii="宋体" w:hAnsi="宋体" w:cs="宋体"/>
                <w:color w:val="auto"/>
                <w:highlight w:val="none"/>
              </w:rPr>
            </w:pPr>
            <w:r>
              <w:rPr>
                <w:rFonts w:hint="eastAsia" w:ascii="宋体" w:hAnsi="宋体" w:cs="宋体"/>
                <w:color w:val="auto"/>
                <w:highlight w:val="none"/>
              </w:rPr>
              <w:t>控制信道锁定策略主要指移动终端在各种情况下如何自动锁定在希望的系统信道上，以进行各类业务应用。需满足以下条件：</w:t>
            </w:r>
          </w:p>
          <w:p w14:paraId="5A345B06">
            <w:pPr>
              <w:ind w:firstLine="480"/>
              <w:rPr>
                <w:rFonts w:ascii="宋体" w:hAnsi="宋体" w:cs="宋体"/>
                <w:color w:val="auto"/>
                <w:highlight w:val="none"/>
              </w:rPr>
            </w:pPr>
            <w:r>
              <w:rPr>
                <w:rFonts w:hint="eastAsia" w:ascii="宋体" w:hAnsi="宋体" w:cs="宋体"/>
                <w:color w:val="auto"/>
                <w:highlight w:val="none"/>
              </w:rPr>
              <w:t>1、希望能够在锁定小区内有较好的通话质量</w:t>
            </w:r>
          </w:p>
          <w:p w14:paraId="1BADCCFA">
            <w:pPr>
              <w:ind w:firstLine="480"/>
              <w:rPr>
                <w:rFonts w:ascii="宋体" w:hAnsi="宋体" w:cs="宋体"/>
                <w:color w:val="auto"/>
                <w:highlight w:val="none"/>
              </w:rPr>
            </w:pPr>
            <w:r>
              <w:rPr>
                <w:rFonts w:hint="eastAsia" w:ascii="宋体" w:hAnsi="宋体" w:cs="宋体"/>
                <w:color w:val="auto"/>
                <w:highlight w:val="none"/>
              </w:rPr>
              <w:t>2、尽量优先锁定归属基站</w:t>
            </w:r>
          </w:p>
          <w:p w14:paraId="019CE519">
            <w:pPr>
              <w:ind w:firstLine="480"/>
              <w:rPr>
                <w:rFonts w:ascii="宋体" w:hAnsi="宋体" w:cs="宋体"/>
                <w:color w:val="auto"/>
                <w:highlight w:val="none"/>
              </w:rPr>
            </w:pPr>
            <w:r>
              <w:rPr>
                <w:rFonts w:hint="eastAsia" w:ascii="宋体" w:hAnsi="宋体" w:cs="宋体"/>
                <w:color w:val="auto"/>
                <w:highlight w:val="none"/>
              </w:rPr>
              <w:t>3、漫游时尽量避免接入高山站</w:t>
            </w:r>
          </w:p>
          <w:p w14:paraId="501CCEC1">
            <w:pPr>
              <w:ind w:firstLine="480"/>
              <w:rPr>
                <w:rFonts w:ascii="宋体" w:hAnsi="宋体" w:cs="宋体"/>
                <w:color w:val="auto"/>
                <w:highlight w:val="none"/>
              </w:rPr>
            </w:pPr>
            <w:r>
              <w:rPr>
                <w:rFonts w:hint="eastAsia" w:ascii="宋体" w:hAnsi="宋体" w:cs="宋体"/>
                <w:color w:val="auto"/>
                <w:highlight w:val="none"/>
              </w:rPr>
              <w:t>4、漫游时尽量少地占用系统资源</w:t>
            </w:r>
          </w:p>
          <w:p w14:paraId="760BEC37">
            <w:pPr>
              <w:ind w:firstLine="480"/>
              <w:rPr>
                <w:rFonts w:ascii="宋体" w:hAnsi="宋体" w:cs="宋体"/>
                <w:color w:val="auto"/>
                <w:highlight w:val="none"/>
              </w:rPr>
            </w:pPr>
            <w:r>
              <w:rPr>
                <w:rFonts w:hint="eastAsia" w:ascii="宋体" w:hAnsi="宋体" w:cs="宋体"/>
                <w:color w:val="auto"/>
                <w:highlight w:val="none"/>
              </w:rPr>
              <w:t>5、漫游时尽量均担系统资源的负荷</w:t>
            </w:r>
          </w:p>
          <w:p w14:paraId="3168833F">
            <w:pPr>
              <w:ind w:firstLine="480"/>
              <w:rPr>
                <w:rFonts w:ascii="宋体" w:hAnsi="宋体" w:cs="宋体"/>
                <w:color w:val="auto"/>
                <w:highlight w:val="none"/>
              </w:rPr>
            </w:pPr>
            <w:r>
              <w:rPr>
                <w:rFonts w:hint="eastAsia" w:ascii="宋体" w:hAnsi="宋体" w:cs="宋体"/>
                <w:color w:val="auto"/>
                <w:highlight w:val="none"/>
              </w:rPr>
              <w:t>6、锁定小区的方法尽量不需要人工参与</w:t>
            </w:r>
          </w:p>
          <w:p w14:paraId="358C3B54">
            <w:pPr>
              <w:ind w:firstLine="480"/>
              <w:rPr>
                <w:rFonts w:ascii="宋体" w:hAnsi="宋体" w:cs="宋体"/>
                <w:color w:val="auto"/>
                <w:highlight w:val="none"/>
              </w:rPr>
            </w:pPr>
            <w:r>
              <w:rPr>
                <w:rFonts w:hint="eastAsia" w:ascii="宋体" w:hAnsi="宋体" w:cs="宋体"/>
                <w:color w:val="auto"/>
                <w:highlight w:val="none"/>
              </w:rPr>
              <w:t>为满足上述要求，移动终端锁定册络依赖以下参数的组合。</w:t>
            </w:r>
          </w:p>
          <w:p w14:paraId="3CEA7BB2">
            <w:pPr>
              <w:ind w:firstLine="480"/>
              <w:rPr>
                <w:rFonts w:ascii="宋体" w:hAnsi="宋体" w:cs="宋体"/>
                <w:color w:val="auto"/>
                <w:highlight w:val="none"/>
              </w:rPr>
            </w:pPr>
            <w:r>
              <w:rPr>
                <w:rFonts w:hint="eastAsia" w:ascii="宋体" w:hAnsi="宋体" w:cs="宋体"/>
                <w:color w:val="auto"/>
                <w:highlight w:val="none"/>
              </w:rPr>
              <w:t>1、小区的接收场强或信号质量</w:t>
            </w:r>
          </w:p>
          <w:p w14:paraId="4CF4775F">
            <w:pPr>
              <w:ind w:firstLine="480"/>
              <w:rPr>
                <w:rFonts w:ascii="宋体" w:hAnsi="宋体" w:cs="宋体"/>
                <w:color w:val="auto"/>
                <w:highlight w:val="none"/>
              </w:rPr>
            </w:pPr>
            <w:r>
              <w:rPr>
                <w:rFonts w:hint="eastAsia" w:ascii="宋体" w:hAnsi="宋体" w:cs="宋体"/>
                <w:color w:val="auto"/>
                <w:highlight w:val="none"/>
              </w:rPr>
              <w:t>2、小区的归属属性</w:t>
            </w:r>
          </w:p>
          <w:p w14:paraId="5466F0BE">
            <w:pPr>
              <w:ind w:firstLine="480"/>
              <w:rPr>
                <w:rFonts w:ascii="宋体" w:hAnsi="宋体" w:cs="宋体"/>
                <w:color w:val="auto"/>
                <w:highlight w:val="none"/>
              </w:rPr>
            </w:pPr>
            <w:r>
              <w:rPr>
                <w:rFonts w:hint="eastAsia" w:ascii="宋体" w:hAnsi="宋体" w:cs="宋体"/>
                <w:color w:val="auto"/>
                <w:highlight w:val="none"/>
              </w:rPr>
              <w:t>3、小区的行政属性</w:t>
            </w:r>
          </w:p>
          <w:p w14:paraId="3A3F131E">
            <w:pPr>
              <w:ind w:firstLine="480"/>
              <w:rPr>
                <w:rFonts w:ascii="宋体" w:hAnsi="宋体" w:cs="宋体"/>
                <w:color w:val="auto"/>
                <w:highlight w:val="none"/>
              </w:rPr>
            </w:pPr>
            <w:r>
              <w:rPr>
                <w:rFonts w:hint="eastAsia" w:ascii="宋体" w:hAnsi="宋体" w:cs="宋体"/>
                <w:color w:val="auto"/>
                <w:highlight w:val="none"/>
              </w:rPr>
              <w:t>4、用户当前组号和小区的LAI间关系</w:t>
            </w:r>
          </w:p>
          <w:p w14:paraId="068D79BA">
            <w:pPr>
              <w:ind w:firstLine="480"/>
              <w:rPr>
                <w:rFonts w:ascii="宋体" w:hAnsi="宋体" w:cs="宋体"/>
                <w:color w:val="auto"/>
                <w:highlight w:val="none"/>
              </w:rPr>
            </w:pPr>
            <w:r>
              <w:rPr>
                <w:rFonts w:hint="eastAsia" w:ascii="宋体" w:hAnsi="宋体" w:cs="宋体"/>
                <w:color w:val="auto"/>
                <w:highlight w:val="none"/>
              </w:rPr>
              <w:t>基本流程</w:t>
            </w:r>
          </w:p>
          <w:p w14:paraId="44EF87FC">
            <w:pPr>
              <w:ind w:firstLine="480"/>
              <w:rPr>
                <w:rFonts w:ascii="宋体" w:hAnsi="宋体" w:cs="宋体"/>
                <w:color w:val="auto"/>
                <w:highlight w:val="none"/>
              </w:rPr>
            </w:pPr>
            <w:r>
              <w:rPr>
                <w:rFonts w:hint="eastAsia" w:ascii="宋体" w:hAnsi="宋体" w:cs="宋体"/>
                <w:color w:val="auto"/>
                <w:highlight w:val="none"/>
              </w:rPr>
              <w:t>移动台终端开机是搜索信道的次序如下：</w:t>
            </w:r>
          </w:p>
          <w:p w14:paraId="41D08020">
            <w:pPr>
              <w:ind w:firstLine="480"/>
              <w:rPr>
                <w:rFonts w:ascii="宋体" w:hAnsi="宋体" w:cs="宋体"/>
                <w:color w:val="auto"/>
                <w:highlight w:val="none"/>
              </w:rPr>
            </w:pPr>
            <w:r>
              <w:rPr>
                <w:rFonts w:hint="eastAsia" w:ascii="宋体" w:hAnsi="宋体" w:cs="宋体"/>
                <w:color w:val="auto"/>
                <w:highlight w:val="none"/>
              </w:rPr>
              <w:t>1、之前锁定的信道，可能含归属信道</w:t>
            </w:r>
          </w:p>
          <w:p w14:paraId="0B28B71C">
            <w:pPr>
              <w:ind w:firstLine="480"/>
              <w:rPr>
                <w:rFonts w:ascii="宋体" w:hAnsi="宋体" w:cs="宋体"/>
                <w:color w:val="auto"/>
                <w:highlight w:val="none"/>
              </w:rPr>
            </w:pPr>
            <w:r>
              <w:rPr>
                <w:rFonts w:hint="eastAsia" w:ascii="宋体" w:hAnsi="宋体" w:cs="宋体"/>
                <w:color w:val="auto"/>
                <w:highlight w:val="none"/>
              </w:rPr>
              <w:t>2、归属信道</w:t>
            </w:r>
          </w:p>
          <w:p w14:paraId="77ACF786">
            <w:pPr>
              <w:ind w:firstLine="480"/>
              <w:rPr>
                <w:rFonts w:ascii="宋体" w:hAnsi="宋体" w:cs="宋体"/>
                <w:color w:val="auto"/>
                <w:highlight w:val="none"/>
              </w:rPr>
            </w:pPr>
            <w:r>
              <w:rPr>
                <w:rFonts w:hint="eastAsia" w:ascii="宋体" w:hAnsi="宋体" w:cs="宋体"/>
                <w:color w:val="auto"/>
                <w:highlight w:val="none"/>
              </w:rPr>
              <w:t>3、优先控制信道（对应的行政属性，当前组和LAI的关系）</w:t>
            </w:r>
          </w:p>
          <w:p w14:paraId="2CB99C57">
            <w:pPr>
              <w:ind w:firstLine="480"/>
              <w:rPr>
                <w:rFonts w:ascii="宋体" w:hAnsi="宋体" w:cs="宋体"/>
                <w:color w:val="auto"/>
                <w:highlight w:val="none"/>
              </w:rPr>
            </w:pPr>
            <w:r>
              <w:rPr>
                <w:rFonts w:hint="eastAsia" w:ascii="宋体" w:hAnsi="宋体" w:cs="宋体"/>
                <w:color w:val="auto"/>
                <w:highlight w:val="none"/>
              </w:rPr>
              <w:t>4、其他控制信道（对应的行政属性，当前组和LAI的关系）</w:t>
            </w:r>
          </w:p>
          <w:p w14:paraId="58DAD6A7">
            <w:pPr>
              <w:ind w:firstLine="480"/>
              <w:rPr>
                <w:rFonts w:ascii="宋体" w:hAnsi="宋体" w:cs="宋体"/>
                <w:color w:val="auto"/>
                <w:highlight w:val="none"/>
              </w:rPr>
            </w:pPr>
            <w:r>
              <w:rPr>
                <w:rFonts w:hint="eastAsia" w:ascii="宋体" w:hAnsi="宋体" w:cs="宋体"/>
                <w:color w:val="auto"/>
                <w:highlight w:val="none"/>
              </w:rPr>
              <w:t>目前LAI由以下字段组成，省域码2位，地市域码2位，区域码4位，基站编码4位，每个终端将配置归属NAI和归属LAI掩码，当用户锁定系统后，获取NAI和LAI，并和本机归属信息进行比对，以判断是否漫游，若在归属内，则直接说定。</w:t>
            </w:r>
          </w:p>
          <w:p w14:paraId="090CBFA7">
            <w:pPr>
              <w:ind w:firstLine="480"/>
              <w:rPr>
                <w:rFonts w:ascii="宋体" w:hAnsi="宋体" w:cs="宋体"/>
                <w:color w:val="auto"/>
                <w:highlight w:val="none"/>
              </w:rPr>
            </w:pPr>
            <w:r>
              <w:rPr>
                <w:rFonts w:hint="eastAsia" w:ascii="宋体" w:hAnsi="宋体" w:cs="宋体"/>
                <w:color w:val="auto"/>
                <w:highlight w:val="none"/>
              </w:rPr>
              <w:t>7.6 ESN核查</w:t>
            </w:r>
          </w:p>
          <w:p w14:paraId="206981D9">
            <w:pPr>
              <w:ind w:firstLine="480"/>
              <w:rPr>
                <w:rFonts w:ascii="宋体" w:hAnsi="宋体" w:cs="宋体"/>
                <w:color w:val="auto"/>
                <w:highlight w:val="none"/>
              </w:rPr>
            </w:pPr>
            <w:r>
              <w:rPr>
                <w:rFonts w:hint="eastAsia" w:ascii="宋体" w:hAnsi="宋体" w:cs="宋体"/>
                <w:color w:val="auto"/>
                <w:highlight w:val="none"/>
              </w:rPr>
              <w:t>为确保用户的合法性，系统可以在移动用户注册时对用户进行ESN检查。检查支持两种方式，一是系统要求终端上传ESN并进行对比，二是系统对终端进行鉴权挑战，并要求终端使用ESN作为验证算法的参数，系统再对结果进行比对。前者使用标准PDT空口PDU及流程，后者和标准鉴权流程一直。</w:t>
            </w:r>
          </w:p>
          <w:p w14:paraId="7D7FE51F">
            <w:pPr>
              <w:ind w:firstLine="480"/>
              <w:rPr>
                <w:rFonts w:ascii="宋体" w:hAnsi="宋体" w:cs="宋体"/>
                <w:color w:val="auto"/>
                <w:highlight w:val="none"/>
              </w:rPr>
            </w:pPr>
            <w:r>
              <w:rPr>
                <w:rFonts w:hint="eastAsia" w:ascii="宋体" w:hAnsi="宋体" w:cs="宋体"/>
                <w:color w:val="auto"/>
                <w:highlight w:val="none"/>
              </w:rPr>
              <w:t>7.7隐含组</w:t>
            </w:r>
          </w:p>
          <w:p w14:paraId="22404891">
            <w:pPr>
              <w:ind w:firstLine="480"/>
              <w:rPr>
                <w:rFonts w:ascii="宋体" w:hAnsi="宋体" w:cs="宋体"/>
                <w:color w:val="auto"/>
                <w:highlight w:val="none"/>
              </w:rPr>
            </w:pPr>
            <w:r>
              <w:rPr>
                <w:rFonts w:hint="eastAsia" w:ascii="宋体" w:hAnsi="宋体" w:cs="宋体"/>
                <w:color w:val="auto"/>
                <w:highlight w:val="none"/>
              </w:rPr>
              <w:t>按PDT规范实施。</w:t>
            </w:r>
          </w:p>
          <w:p w14:paraId="299213C1">
            <w:pPr>
              <w:ind w:firstLine="480"/>
              <w:rPr>
                <w:rFonts w:ascii="宋体" w:hAnsi="宋体" w:cs="宋体"/>
                <w:b/>
                <w:bCs/>
                <w:color w:val="auto"/>
                <w:highlight w:val="none"/>
              </w:rPr>
            </w:pPr>
            <w:r>
              <w:rPr>
                <w:rFonts w:hint="eastAsia" w:ascii="宋体" w:hAnsi="宋体" w:cs="宋体"/>
                <w:b/>
                <w:bCs/>
                <w:color w:val="auto"/>
                <w:highlight w:val="none"/>
              </w:rPr>
              <w:t>二）终端设备管理服务</w:t>
            </w:r>
          </w:p>
          <w:p w14:paraId="2AF93B11">
            <w:pPr>
              <w:ind w:firstLine="480"/>
              <w:rPr>
                <w:rFonts w:ascii="宋体" w:hAnsi="宋体" w:cs="宋体"/>
                <w:color w:val="auto"/>
                <w:highlight w:val="none"/>
              </w:rPr>
            </w:pPr>
            <w:r>
              <w:rPr>
                <w:rFonts w:hint="eastAsia" w:ascii="宋体" w:hAnsi="宋体" w:cs="宋体"/>
                <w:color w:val="auto"/>
                <w:highlight w:val="none"/>
              </w:rPr>
              <w:t>提供基于GIS的监控及管理服务，通过有线链路接入杭州市公安局PDT数字集群系统交换中心服务器，实现交警支队对PDT数字集群终端设备的遥晕、遥启、录音等操作。当通话信道被数字集群终端设备长时间占用时，通过此管理服务，把占用信道的数字集群终端设备进行遥晕操作，释放通话信道，恢复通话组正常使用。对数字集群终端设备进行通话录音，可以实时了解各个通话组的通话情况，调取通话录音。同时</w:t>
            </w:r>
            <w:r>
              <w:rPr>
                <w:rFonts w:hint="eastAsia" w:ascii="宋体" w:hAnsi="宋体" w:cs="宋体"/>
                <w:color w:val="auto"/>
                <w:szCs w:val="21"/>
                <w:highlight w:val="none"/>
              </w:rPr>
              <w:t>对现有基站进行仅接收国产信号源的升级改造。</w:t>
            </w:r>
          </w:p>
          <w:p w14:paraId="1271688E">
            <w:pPr>
              <w:numPr>
                <w:ilvl w:val="0"/>
                <w:numId w:val="2"/>
              </w:numPr>
              <w:ind w:left="0" w:firstLine="480"/>
              <w:rPr>
                <w:rFonts w:ascii="宋体" w:hAnsi="宋体" w:cs="宋体"/>
                <w:b/>
                <w:bCs/>
                <w:color w:val="auto"/>
                <w:highlight w:val="none"/>
              </w:rPr>
            </w:pPr>
            <w:r>
              <w:rPr>
                <w:rFonts w:hint="eastAsia" w:ascii="宋体" w:hAnsi="宋体" w:cs="宋体"/>
                <w:b/>
                <w:bCs/>
                <w:color w:val="auto"/>
                <w:highlight w:val="none"/>
              </w:rPr>
              <w:t>具体技术参数</w:t>
            </w:r>
          </w:p>
          <w:p w14:paraId="7FEE329E">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1.数字集群终端设备参数（“▲” 系指实质性要求条款，技术条款不满足将导致无效投标。“★”项为产品重要技术指标，重要技术指标参数投标人</w:t>
            </w:r>
            <w:r>
              <w:rPr>
                <w:rFonts w:hint="eastAsia" w:ascii="宋体" w:hAnsi="宋体" w:cs="宋体"/>
                <w:color w:val="auto"/>
                <w:highlight w:val="none"/>
                <w:lang w:val="en-US" w:eastAsia="zh-CN"/>
              </w:rPr>
              <w:t>需</w:t>
            </w:r>
            <w:r>
              <w:rPr>
                <w:rFonts w:hint="eastAsia" w:ascii="宋体" w:hAnsi="宋体" w:cs="宋体"/>
                <w:color w:val="auto"/>
                <w:highlight w:val="none"/>
              </w:rPr>
              <w:t>提供具有CMA资质的第三方检测机构或国家认可的检测机构出具的检测报告复印件；其他参数项投标人</w:t>
            </w:r>
            <w:r>
              <w:rPr>
                <w:rFonts w:hint="eastAsia" w:ascii="宋体" w:hAnsi="宋体" w:cs="宋体"/>
                <w:color w:val="auto"/>
                <w:highlight w:val="none"/>
                <w:lang w:val="en-US" w:eastAsia="zh-CN"/>
              </w:rPr>
              <w:t>需</w:t>
            </w:r>
            <w:r>
              <w:rPr>
                <w:rFonts w:hint="eastAsia" w:ascii="宋体" w:hAnsi="宋体" w:cs="宋体"/>
                <w:color w:val="auto"/>
                <w:highlight w:val="none"/>
              </w:rPr>
              <w:t>提供官网截图或产品彩页或承诺函。</w:t>
            </w:r>
            <w:r>
              <w:rPr>
                <w:rFonts w:hint="eastAsia" w:ascii="宋体" w:hAnsi="宋体" w:cs="宋体"/>
                <w:color w:val="auto"/>
                <w:sz w:val="24"/>
                <w:highlight w:val="none"/>
              </w:rPr>
              <w:t>）</w:t>
            </w:r>
          </w:p>
          <w:tbl>
            <w:tblPr>
              <w:tblStyle w:val="63"/>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984"/>
              <w:gridCol w:w="4083"/>
            </w:tblGrid>
            <w:tr w14:paraId="5A51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1F64C88B">
                  <w:pPr>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29B97DC7">
                  <w:pPr>
                    <w:jc w:val="center"/>
                    <w:rPr>
                      <w:rFonts w:ascii="宋体" w:hAnsi="宋体" w:cs="宋体"/>
                      <w:color w:val="auto"/>
                      <w:szCs w:val="21"/>
                      <w:highlight w:val="none"/>
                    </w:rPr>
                  </w:pPr>
                  <w:r>
                    <w:rPr>
                      <w:rFonts w:hint="eastAsia" w:ascii="宋体" w:hAnsi="宋体" w:cs="宋体"/>
                      <w:color w:val="auto"/>
                      <w:szCs w:val="21"/>
                      <w:highlight w:val="none"/>
                    </w:rPr>
                    <w:t>描述</w:t>
                  </w:r>
                </w:p>
              </w:tc>
            </w:tr>
            <w:tr w14:paraId="0AFA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7A61339A">
                  <w:pPr>
                    <w:jc w:val="center"/>
                    <w:rPr>
                      <w:rFonts w:ascii="宋体" w:hAnsi="宋体" w:cs="宋体"/>
                      <w:color w:val="auto"/>
                      <w:szCs w:val="21"/>
                      <w:highlight w:val="none"/>
                    </w:rPr>
                  </w:pPr>
                  <w:r>
                    <w:rPr>
                      <w:rFonts w:hint="eastAsia" w:ascii="宋体" w:hAnsi="宋体" w:cs="宋体"/>
                      <w:color w:val="auto"/>
                      <w:szCs w:val="21"/>
                      <w:highlight w:val="none"/>
                    </w:rPr>
                    <w:t>一般规格</w:t>
                  </w:r>
                </w:p>
              </w:tc>
              <w:tc>
                <w:tcPr>
                  <w:tcW w:w="1984" w:type="dxa"/>
                  <w:tcBorders>
                    <w:top w:val="single" w:color="auto" w:sz="4" w:space="0"/>
                    <w:left w:val="single" w:color="auto" w:sz="4" w:space="0"/>
                    <w:bottom w:val="single" w:color="auto" w:sz="4" w:space="0"/>
                    <w:right w:val="single" w:color="auto" w:sz="4" w:space="0"/>
                  </w:tcBorders>
                  <w:vAlign w:val="center"/>
                </w:tcPr>
                <w:p w14:paraId="71DC4EED">
                  <w:pPr>
                    <w:jc w:val="center"/>
                    <w:rPr>
                      <w:rFonts w:ascii="宋体" w:hAnsi="宋体" w:cs="宋体"/>
                      <w:color w:val="auto"/>
                      <w:szCs w:val="21"/>
                      <w:highlight w:val="none"/>
                    </w:rPr>
                  </w:pPr>
                  <w:r>
                    <w:rPr>
                      <w:rFonts w:hint="eastAsia" w:ascii="宋体" w:hAnsi="宋体" w:cs="宋体"/>
                      <w:color w:val="auto"/>
                      <w:szCs w:val="21"/>
                      <w:highlight w:val="none"/>
                    </w:rPr>
                    <w:t>频率范围</w:t>
                  </w:r>
                </w:p>
              </w:tc>
              <w:tc>
                <w:tcPr>
                  <w:tcW w:w="4083" w:type="dxa"/>
                  <w:tcBorders>
                    <w:top w:val="single" w:color="auto" w:sz="4" w:space="0"/>
                    <w:left w:val="single" w:color="auto" w:sz="4" w:space="0"/>
                    <w:bottom w:val="single" w:color="auto" w:sz="4" w:space="0"/>
                    <w:right w:val="single" w:color="auto" w:sz="4" w:space="0"/>
                  </w:tcBorders>
                  <w:vAlign w:val="center"/>
                </w:tcPr>
                <w:p w14:paraId="0171C014">
                  <w:pPr>
                    <w:jc w:val="center"/>
                    <w:rPr>
                      <w:rFonts w:ascii="宋体" w:hAnsi="宋体" w:cs="宋体"/>
                      <w:color w:val="auto"/>
                      <w:szCs w:val="21"/>
                      <w:highlight w:val="none"/>
                    </w:rPr>
                  </w:pPr>
                  <w:r>
                    <w:rPr>
                      <w:rFonts w:hint="eastAsia" w:ascii="宋体" w:hAnsi="宋体" w:cs="宋体"/>
                      <w:color w:val="auto"/>
                      <w:szCs w:val="21"/>
                      <w:highlight w:val="none"/>
                    </w:rPr>
                    <w:t>350M~400M</w:t>
                  </w:r>
                </w:p>
              </w:tc>
            </w:tr>
            <w:tr w14:paraId="451E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22613D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42E9A28">
                  <w:pPr>
                    <w:jc w:val="center"/>
                    <w:rPr>
                      <w:rFonts w:ascii="宋体" w:hAnsi="宋体" w:cs="宋体"/>
                      <w:color w:val="auto"/>
                      <w:szCs w:val="21"/>
                      <w:highlight w:val="none"/>
                    </w:rPr>
                  </w:pPr>
                  <w:r>
                    <w:rPr>
                      <w:rFonts w:hint="eastAsia" w:ascii="宋体" w:hAnsi="宋体" w:cs="宋体"/>
                      <w:color w:val="auto"/>
                      <w:szCs w:val="21"/>
                      <w:highlight w:val="none"/>
                    </w:rPr>
                    <w:t>信道容量</w:t>
                  </w:r>
                </w:p>
              </w:tc>
              <w:tc>
                <w:tcPr>
                  <w:tcW w:w="4083" w:type="dxa"/>
                  <w:tcBorders>
                    <w:top w:val="single" w:color="auto" w:sz="4" w:space="0"/>
                    <w:left w:val="single" w:color="auto" w:sz="4" w:space="0"/>
                    <w:bottom w:val="single" w:color="auto" w:sz="4" w:space="0"/>
                    <w:right w:val="single" w:color="auto" w:sz="4" w:space="0"/>
                  </w:tcBorders>
                  <w:vAlign w:val="center"/>
                </w:tcPr>
                <w:p w14:paraId="7B810E34">
                  <w:pPr>
                    <w:jc w:val="center"/>
                    <w:rPr>
                      <w:rFonts w:ascii="宋体" w:hAnsi="宋体" w:cs="宋体"/>
                      <w:color w:val="auto"/>
                      <w:szCs w:val="21"/>
                      <w:highlight w:val="none"/>
                    </w:rPr>
                  </w:pPr>
                  <w:r>
                    <w:rPr>
                      <w:rFonts w:hint="eastAsia" w:ascii="宋体" w:hAnsi="宋体" w:cs="宋体"/>
                      <w:color w:val="auto"/>
                      <w:szCs w:val="21"/>
                      <w:highlight w:val="none"/>
                    </w:rPr>
                    <w:t>1024</w:t>
                  </w:r>
                </w:p>
              </w:tc>
            </w:tr>
            <w:tr w14:paraId="65AB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9B1B40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8392225">
                  <w:pPr>
                    <w:jc w:val="center"/>
                    <w:rPr>
                      <w:rFonts w:ascii="宋体" w:hAnsi="宋体" w:cs="宋体"/>
                      <w:color w:val="auto"/>
                      <w:szCs w:val="21"/>
                      <w:highlight w:val="none"/>
                    </w:rPr>
                  </w:pPr>
                  <w:r>
                    <w:rPr>
                      <w:rFonts w:hint="eastAsia" w:ascii="宋体" w:hAnsi="宋体" w:cs="宋体"/>
                      <w:color w:val="auto"/>
                      <w:szCs w:val="21"/>
                      <w:highlight w:val="none"/>
                    </w:rPr>
                    <w:t>信道间隔</w:t>
                  </w:r>
                </w:p>
              </w:tc>
              <w:tc>
                <w:tcPr>
                  <w:tcW w:w="4083" w:type="dxa"/>
                  <w:tcBorders>
                    <w:top w:val="single" w:color="auto" w:sz="4" w:space="0"/>
                    <w:left w:val="single" w:color="auto" w:sz="4" w:space="0"/>
                    <w:bottom w:val="single" w:color="auto" w:sz="4" w:space="0"/>
                    <w:right w:val="single" w:color="auto" w:sz="4" w:space="0"/>
                  </w:tcBorders>
                  <w:vAlign w:val="center"/>
                </w:tcPr>
                <w:p w14:paraId="79CF73BB">
                  <w:pPr>
                    <w:jc w:val="center"/>
                    <w:rPr>
                      <w:rFonts w:ascii="宋体" w:hAnsi="宋体" w:cs="宋体"/>
                      <w:color w:val="auto"/>
                      <w:szCs w:val="21"/>
                      <w:highlight w:val="none"/>
                    </w:rPr>
                  </w:pPr>
                  <w:r>
                    <w:rPr>
                      <w:rFonts w:hint="eastAsia" w:ascii="宋体" w:hAnsi="宋体" w:cs="宋体"/>
                      <w:color w:val="auto"/>
                      <w:szCs w:val="21"/>
                      <w:highlight w:val="none"/>
                    </w:rPr>
                    <w:t>12.5kHz/25kHz</w:t>
                  </w:r>
                </w:p>
              </w:tc>
            </w:tr>
            <w:tr w14:paraId="360F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C379DD7">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0016FEF">
                  <w:pPr>
                    <w:jc w:val="center"/>
                    <w:rPr>
                      <w:rFonts w:ascii="宋体" w:hAnsi="宋体" w:cs="宋体"/>
                      <w:color w:val="auto"/>
                      <w:szCs w:val="21"/>
                      <w:highlight w:val="none"/>
                    </w:rPr>
                  </w:pPr>
                  <w:r>
                    <w:rPr>
                      <w:rFonts w:hint="eastAsia" w:ascii="宋体" w:hAnsi="宋体" w:cs="宋体"/>
                      <w:color w:val="auto"/>
                      <w:szCs w:val="21"/>
                      <w:highlight w:val="none"/>
                    </w:rPr>
                    <w:t>频率稳定度</w:t>
                  </w:r>
                </w:p>
              </w:tc>
              <w:tc>
                <w:tcPr>
                  <w:tcW w:w="4083" w:type="dxa"/>
                  <w:tcBorders>
                    <w:top w:val="single" w:color="auto" w:sz="4" w:space="0"/>
                    <w:left w:val="single" w:color="auto" w:sz="4" w:space="0"/>
                    <w:bottom w:val="single" w:color="auto" w:sz="4" w:space="0"/>
                    <w:right w:val="single" w:color="auto" w:sz="4" w:space="0"/>
                  </w:tcBorders>
                  <w:vAlign w:val="center"/>
                </w:tcPr>
                <w:p w14:paraId="48DEC279">
                  <w:pPr>
                    <w:jc w:val="center"/>
                    <w:rPr>
                      <w:rFonts w:ascii="宋体" w:hAnsi="宋体" w:cs="宋体"/>
                      <w:color w:val="auto"/>
                      <w:szCs w:val="21"/>
                      <w:highlight w:val="none"/>
                    </w:rPr>
                  </w:pPr>
                  <w:r>
                    <w:rPr>
                      <w:rFonts w:hint="eastAsia" w:ascii="宋体" w:hAnsi="宋体" w:cs="宋体"/>
                      <w:color w:val="auto"/>
                      <w:szCs w:val="21"/>
                      <w:highlight w:val="none"/>
                    </w:rPr>
                    <w:t>±1.5ppm</w:t>
                  </w:r>
                </w:p>
              </w:tc>
            </w:tr>
            <w:tr w14:paraId="0D30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EA98C2D">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389AED5">
                  <w:pPr>
                    <w:jc w:val="center"/>
                    <w:rPr>
                      <w:rFonts w:ascii="宋体" w:hAnsi="宋体" w:cs="宋体"/>
                      <w:color w:val="auto"/>
                      <w:szCs w:val="21"/>
                      <w:highlight w:val="none"/>
                    </w:rPr>
                  </w:pPr>
                  <w:r>
                    <w:rPr>
                      <w:rFonts w:hint="eastAsia" w:ascii="宋体" w:hAnsi="宋体" w:cs="宋体"/>
                      <w:color w:val="auto"/>
                      <w:szCs w:val="21"/>
                      <w:highlight w:val="none"/>
                    </w:rPr>
                    <w:t>尺寸</w:t>
                  </w:r>
                </w:p>
              </w:tc>
              <w:tc>
                <w:tcPr>
                  <w:tcW w:w="4083" w:type="dxa"/>
                  <w:tcBorders>
                    <w:top w:val="single" w:color="auto" w:sz="4" w:space="0"/>
                    <w:left w:val="single" w:color="auto" w:sz="4" w:space="0"/>
                    <w:bottom w:val="single" w:color="auto" w:sz="4" w:space="0"/>
                    <w:right w:val="single" w:color="auto" w:sz="4" w:space="0"/>
                  </w:tcBorders>
                  <w:vAlign w:val="center"/>
                </w:tcPr>
                <w:p w14:paraId="173469E4">
                  <w:pPr>
                    <w:jc w:val="center"/>
                    <w:rPr>
                      <w:rFonts w:ascii="宋体" w:hAnsi="宋体" w:cs="宋体"/>
                      <w:color w:val="auto"/>
                      <w:szCs w:val="21"/>
                      <w:highlight w:val="none"/>
                    </w:rPr>
                  </w:pPr>
                  <w:r>
                    <w:rPr>
                      <w:rFonts w:hint="eastAsia" w:ascii="宋体" w:hAnsi="宋体" w:cs="宋体"/>
                      <w:color w:val="auto"/>
                      <w:szCs w:val="21"/>
                      <w:highlight w:val="none"/>
                    </w:rPr>
                    <w:t>129×59 (54)×36mm</w:t>
                  </w:r>
                </w:p>
              </w:tc>
            </w:tr>
            <w:tr w14:paraId="2F99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1FAB66F">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87A299D">
                  <w:pPr>
                    <w:jc w:val="center"/>
                    <w:rPr>
                      <w:rFonts w:ascii="宋体" w:hAnsi="宋体" w:cs="宋体"/>
                      <w:color w:val="auto"/>
                      <w:szCs w:val="21"/>
                      <w:highlight w:val="none"/>
                    </w:rPr>
                  </w:pPr>
                  <w:r>
                    <w:rPr>
                      <w:rFonts w:hint="eastAsia" w:ascii="宋体" w:hAnsi="宋体" w:cs="宋体"/>
                      <w:color w:val="auto"/>
                      <w:szCs w:val="21"/>
                      <w:highlight w:val="none"/>
                    </w:rPr>
                    <w:t>重量</w:t>
                  </w:r>
                </w:p>
              </w:tc>
              <w:tc>
                <w:tcPr>
                  <w:tcW w:w="4083" w:type="dxa"/>
                  <w:tcBorders>
                    <w:top w:val="single" w:color="auto" w:sz="4" w:space="0"/>
                    <w:left w:val="single" w:color="auto" w:sz="4" w:space="0"/>
                    <w:bottom w:val="single" w:color="auto" w:sz="4" w:space="0"/>
                    <w:right w:val="single" w:color="auto" w:sz="4" w:space="0"/>
                  </w:tcBorders>
                  <w:vAlign w:val="center"/>
                </w:tcPr>
                <w:p w14:paraId="4C3D800F">
                  <w:pPr>
                    <w:jc w:val="center"/>
                    <w:rPr>
                      <w:rFonts w:ascii="宋体" w:hAnsi="宋体" w:cs="宋体"/>
                      <w:color w:val="auto"/>
                      <w:szCs w:val="21"/>
                      <w:highlight w:val="none"/>
                    </w:rPr>
                  </w:pPr>
                  <w:r>
                    <w:rPr>
                      <w:rFonts w:hint="eastAsia" w:ascii="宋体" w:hAnsi="宋体" w:cs="宋体"/>
                      <w:color w:val="auto"/>
                      <w:szCs w:val="21"/>
                      <w:highlight w:val="none"/>
                    </w:rPr>
                    <w:t>340g (带电池及腰夹)</w:t>
                  </w:r>
                </w:p>
              </w:tc>
            </w:tr>
            <w:tr w14:paraId="740F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A3A45D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71D83F1">
                  <w:pPr>
                    <w:jc w:val="center"/>
                    <w:rPr>
                      <w:rFonts w:ascii="宋体" w:hAnsi="宋体" w:cs="宋体"/>
                      <w:color w:val="auto"/>
                      <w:szCs w:val="21"/>
                      <w:highlight w:val="none"/>
                    </w:rPr>
                  </w:pPr>
                  <w:r>
                    <w:rPr>
                      <w:rFonts w:hint="eastAsia" w:ascii="宋体" w:hAnsi="宋体" w:cs="宋体"/>
                      <w:color w:val="auto"/>
                      <w:szCs w:val="21"/>
                      <w:highlight w:val="none"/>
                    </w:rPr>
                    <w:t>工作电压</w:t>
                  </w:r>
                </w:p>
              </w:tc>
              <w:tc>
                <w:tcPr>
                  <w:tcW w:w="4083" w:type="dxa"/>
                  <w:tcBorders>
                    <w:top w:val="single" w:color="auto" w:sz="4" w:space="0"/>
                    <w:left w:val="single" w:color="auto" w:sz="4" w:space="0"/>
                    <w:bottom w:val="single" w:color="auto" w:sz="4" w:space="0"/>
                    <w:right w:val="single" w:color="auto" w:sz="4" w:space="0"/>
                  </w:tcBorders>
                  <w:vAlign w:val="center"/>
                </w:tcPr>
                <w:p w14:paraId="5C674558">
                  <w:pPr>
                    <w:jc w:val="center"/>
                    <w:rPr>
                      <w:rFonts w:ascii="宋体" w:hAnsi="宋体" w:cs="宋体"/>
                      <w:color w:val="auto"/>
                      <w:szCs w:val="21"/>
                      <w:highlight w:val="none"/>
                    </w:rPr>
                  </w:pPr>
                  <w:r>
                    <w:rPr>
                      <w:rFonts w:hint="eastAsia" w:ascii="宋体" w:hAnsi="宋体" w:cs="宋体"/>
                      <w:color w:val="auto"/>
                      <w:szCs w:val="21"/>
                      <w:highlight w:val="none"/>
                    </w:rPr>
                    <w:t>额定7.4V</w:t>
                  </w:r>
                </w:p>
              </w:tc>
            </w:tr>
            <w:tr w14:paraId="4E66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2F41862">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AAE372A">
                  <w:pPr>
                    <w:jc w:val="center"/>
                    <w:rPr>
                      <w:rFonts w:ascii="宋体" w:hAnsi="宋体" w:cs="宋体"/>
                      <w:color w:val="auto"/>
                      <w:szCs w:val="21"/>
                      <w:highlight w:val="none"/>
                    </w:rPr>
                  </w:pPr>
                  <w:r>
                    <w:rPr>
                      <w:rFonts w:hint="eastAsia" w:ascii="宋体" w:hAnsi="宋体" w:cs="宋体"/>
                      <w:color w:val="auto"/>
                      <w:szCs w:val="21"/>
                      <w:highlight w:val="none"/>
                    </w:rPr>
                    <w:t>电池容量</w:t>
                  </w:r>
                </w:p>
              </w:tc>
              <w:tc>
                <w:tcPr>
                  <w:tcW w:w="4083" w:type="dxa"/>
                  <w:tcBorders>
                    <w:top w:val="single" w:color="auto" w:sz="4" w:space="0"/>
                    <w:left w:val="single" w:color="auto" w:sz="4" w:space="0"/>
                    <w:bottom w:val="single" w:color="auto" w:sz="4" w:space="0"/>
                    <w:right w:val="single" w:color="auto" w:sz="4" w:space="0"/>
                  </w:tcBorders>
                  <w:vAlign w:val="center"/>
                </w:tcPr>
                <w:p w14:paraId="0CE80321">
                  <w:pPr>
                    <w:jc w:val="center"/>
                    <w:rPr>
                      <w:rFonts w:ascii="宋体" w:hAnsi="宋体" w:cs="宋体"/>
                      <w:color w:val="auto"/>
                      <w:szCs w:val="21"/>
                      <w:highlight w:val="none"/>
                    </w:rPr>
                  </w:pPr>
                  <w:r>
                    <w:rPr>
                      <w:rFonts w:hint="eastAsia" w:ascii="宋体" w:hAnsi="宋体" w:cs="宋体"/>
                      <w:color w:val="auto"/>
                      <w:szCs w:val="21"/>
                      <w:highlight w:val="none"/>
                    </w:rPr>
                    <w:t>2400mAh锂电池</w:t>
                  </w:r>
                </w:p>
              </w:tc>
            </w:tr>
            <w:tr w14:paraId="4AF9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ACDC80C">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0C4876">
                  <w:pPr>
                    <w:jc w:val="center"/>
                    <w:rPr>
                      <w:rFonts w:ascii="宋体" w:hAnsi="宋体" w:cs="宋体"/>
                      <w:color w:val="auto"/>
                      <w:szCs w:val="21"/>
                      <w:highlight w:val="none"/>
                    </w:rPr>
                  </w:pPr>
                  <w:r>
                    <w:rPr>
                      <w:rFonts w:hint="eastAsia" w:ascii="宋体" w:hAnsi="宋体" w:cs="宋体"/>
                      <w:color w:val="auto"/>
                      <w:szCs w:val="21"/>
                      <w:highlight w:val="none"/>
                    </w:rPr>
                    <w:t>工作时长(2400mAh电池，5/5/90)</w:t>
                  </w:r>
                </w:p>
              </w:tc>
              <w:tc>
                <w:tcPr>
                  <w:tcW w:w="4083" w:type="dxa"/>
                  <w:tcBorders>
                    <w:top w:val="single" w:color="auto" w:sz="4" w:space="0"/>
                    <w:left w:val="single" w:color="auto" w:sz="4" w:space="0"/>
                    <w:bottom w:val="single" w:color="auto" w:sz="4" w:space="0"/>
                    <w:right w:val="single" w:color="auto" w:sz="4" w:space="0"/>
                  </w:tcBorders>
                  <w:vAlign w:val="center"/>
                </w:tcPr>
                <w:p w14:paraId="24671047">
                  <w:pPr>
                    <w:jc w:val="center"/>
                    <w:rPr>
                      <w:rFonts w:ascii="宋体" w:hAnsi="宋体" w:cs="宋体"/>
                      <w:color w:val="auto"/>
                      <w:szCs w:val="21"/>
                      <w:highlight w:val="none"/>
                    </w:rPr>
                  </w:pPr>
                  <w:r>
                    <w:rPr>
                      <w:rFonts w:hint="eastAsia" w:ascii="宋体" w:hAnsi="宋体" w:cs="宋体"/>
                      <w:color w:val="auto"/>
                      <w:szCs w:val="21"/>
                      <w:highlight w:val="none"/>
                    </w:rPr>
                    <w:t>数字：＞14小时；模拟：＞12小时</w:t>
                  </w:r>
                </w:p>
              </w:tc>
            </w:tr>
            <w:tr w14:paraId="5ED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EC6401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41D87C">
                  <w:pPr>
                    <w:jc w:val="center"/>
                    <w:rPr>
                      <w:rFonts w:ascii="宋体" w:hAnsi="宋体" w:cs="宋体"/>
                      <w:color w:val="auto"/>
                      <w:szCs w:val="21"/>
                      <w:highlight w:val="none"/>
                    </w:rPr>
                  </w:pPr>
                  <w:r>
                    <w:rPr>
                      <w:rFonts w:hint="eastAsia" w:ascii="宋体" w:hAnsi="宋体" w:cs="宋体"/>
                      <w:color w:val="auto"/>
                      <w:szCs w:val="21"/>
                      <w:highlight w:val="none"/>
                    </w:rPr>
                    <w:t>屏幕</w:t>
                  </w:r>
                </w:p>
              </w:tc>
              <w:tc>
                <w:tcPr>
                  <w:tcW w:w="4083" w:type="dxa"/>
                  <w:tcBorders>
                    <w:top w:val="single" w:color="auto" w:sz="4" w:space="0"/>
                    <w:left w:val="single" w:color="auto" w:sz="4" w:space="0"/>
                    <w:bottom w:val="single" w:color="auto" w:sz="4" w:space="0"/>
                    <w:right w:val="single" w:color="auto" w:sz="4" w:space="0"/>
                  </w:tcBorders>
                  <w:vAlign w:val="center"/>
                </w:tcPr>
                <w:p w14:paraId="2CB4F48B">
                  <w:pPr>
                    <w:jc w:val="center"/>
                    <w:rPr>
                      <w:rFonts w:ascii="宋体" w:hAnsi="宋体" w:cs="宋体"/>
                      <w:color w:val="auto"/>
                      <w:szCs w:val="21"/>
                      <w:highlight w:val="none"/>
                    </w:rPr>
                  </w:pPr>
                  <w:r>
                    <w:rPr>
                      <w:rFonts w:hint="eastAsia" w:ascii="宋体" w:hAnsi="宋体" w:cs="宋体"/>
                      <w:color w:val="auto"/>
                      <w:szCs w:val="21"/>
                      <w:highlight w:val="none"/>
                    </w:rPr>
                    <w:t>240×320像素，2.0寸半透彩色显示屏</w:t>
                  </w:r>
                </w:p>
              </w:tc>
            </w:tr>
            <w:tr w14:paraId="2667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FEE709A">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3C59DAE">
                  <w:pPr>
                    <w:jc w:val="center"/>
                    <w:rPr>
                      <w:rFonts w:ascii="宋体" w:hAnsi="宋体" w:cs="宋体"/>
                      <w:color w:val="auto"/>
                      <w:szCs w:val="21"/>
                      <w:highlight w:val="none"/>
                    </w:rPr>
                  </w:pPr>
                  <w:r>
                    <w:rPr>
                      <w:rFonts w:hint="eastAsia" w:ascii="宋体" w:hAnsi="宋体" w:cs="宋体"/>
                      <w:color w:val="auto"/>
                      <w:szCs w:val="21"/>
                      <w:highlight w:val="none"/>
                    </w:rPr>
                    <w:t>显示语言</w:t>
                  </w:r>
                </w:p>
              </w:tc>
              <w:tc>
                <w:tcPr>
                  <w:tcW w:w="4083" w:type="dxa"/>
                  <w:tcBorders>
                    <w:top w:val="single" w:color="auto" w:sz="4" w:space="0"/>
                    <w:left w:val="single" w:color="auto" w:sz="4" w:space="0"/>
                    <w:bottom w:val="single" w:color="auto" w:sz="4" w:space="0"/>
                    <w:right w:val="single" w:color="auto" w:sz="4" w:space="0"/>
                  </w:tcBorders>
                  <w:vAlign w:val="center"/>
                </w:tcPr>
                <w:p w14:paraId="2F51EC2C">
                  <w:pPr>
                    <w:jc w:val="center"/>
                    <w:rPr>
                      <w:rFonts w:ascii="宋体" w:hAnsi="宋体" w:cs="宋体"/>
                      <w:color w:val="auto"/>
                      <w:szCs w:val="21"/>
                      <w:highlight w:val="none"/>
                    </w:rPr>
                  </w:pPr>
                  <w:r>
                    <w:rPr>
                      <w:rFonts w:hint="eastAsia" w:ascii="宋体" w:hAnsi="宋体" w:cs="宋体"/>
                      <w:color w:val="auto"/>
                      <w:szCs w:val="21"/>
                      <w:highlight w:val="none"/>
                    </w:rPr>
                    <w:t>支持中文、英文切换</w:t>
                  </w:r>
                </w:p>
              </w:tc>
            </w:tr>
            <w:tr w14:paraId="756E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C0604B2">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035EB35">
                  <w:pPr>
                    <w:jc w:val="center"/>
                    <w:rPr>
                      <w:rFonts w:ascii="宋体" w:hAnsi="宋体" w:cs="宋体"/>
                      <w:color w:val="auto"/>
                      <w:szCs w:val="21"/>
                      <w:highlight w:val="none"/>
                    </w:rPr>
                  </w:pPr>
                  <w:r>
                    <w:rPr>
                      <w:rFonts w:hint="eastAsia" w:ascii="宋体" w:hAnsi="宋体" w:cs="宋体"/>
                      <w:color w:val="auto"/>
                      <w:szCs w:val="21"/>
                      <w:highlight w:val="none"/>
                    </w:rPr>
                    <w:t>额定音频</w:t>
                  </w:r>
                </w:p>
              </w:tc>
              <w:tc>
                <w:tcPr>
                  <w:tcW w:w="4083" w:type="dxa"/>
                  <w:tcBorders>
                    <w:top w:val="single" w:color="auto" w:sz="4" w:space="0"/>
                    <w:left w:val="single" w:color="auto" w:sz="4" w:space="0"/>
                    <w:bottom w:val="single" w:color="auto" w:sz="4" w:space="0"/>
                    <w:right w:val="single" w:color="auto" w:sz="4" w:space="0"/>
                  </w:tcBorders>
                  <w:vAlign w:val="center"/>
                </w:tcPr>
                <w:p w14:paraId="6955A55A">
                  <w:pPr>
                    <w:jc w:val="center"/>
                    <w:rPr>
                      <w:rFonts w:ascii="宋体" w:hAnsi="宋体" w:cs="宋体"/>
                      <w:color w:val="auto"/>
                      <w:szCs w:val="21"/>
                      <w:highlight w:val="none"/>
                    </w:rPr>
                  </w:pPr>
                  <w:r>
                    <w:rPr>
                      <w:rFonts w:hint="eastAsia" w:ascii="宋体" w:hAnsi="宋体" w:cs="宋体"/>
                      <w:color w:val="auto"/>
                      <w:szCs w:val="21"/>
                      <w:highlight w:val="none"/>
                    </w:rPr>
                    <w:t>1.5W</w:t>
                  </w:r>
                </w:p>
              </w:tc>
            </w:tr>
            <w:tr w14:paraId="72A5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942AB42">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91D0460">
                  <w:pPr>
                    <w:jc w:val="center"/>
                    <w:rPr>
                      <w:rFonts w:ascii="宋体" w:hAnsi="宋体" w:cs="宋体"/>
                      <w:color w:val="auto"/>
                      <w:szCs w:val="21"/>
                      <w:highlight w:val="none"/>
                    </w:rPr>
                  </w:pPr>
                  <w:r>
                    <w:rPr>
                      <w:rFonts w:hint="eastAsia" w:ascii="宋体" w:hAnsi="宋体" w:cs="宋体"/>
                      <w:color w:val="auto"/>
                      <w:szCs w:val="21"/>
                      <w:highlight w:val="none"/>
                    </w:rPr>
                    <w:t>通话组数量</w:t>
                  </w:r>
                </w:p>
              </w:tc>
              <w:tc>
                <w:tcPr>
                  <w:tcW w:w="4083" w:type="dxa"/>
                  <w:tcBorders>
                    <w:top w:val="single" w:color="auto" w:sz="4" w:space="0"/>
                    <w:left w:val="single" w:color="auto" w:sz="4" w:space="0"/>
                    <w:bottom w:val="single" w:color="auto" w:sz="4" w:space="0"/>
                    <w:right w:val="single" w:color="auto" w:sz="4" w:space="0"/>
                  </w:tcBorders>
                  <w:vAlign w:val="center"/>
                </w:tcPr>
                <w:p w14:paraId="21B69D93">
                  <w:pPr>
                    <w:jc w:val="center"/>
                    <w:rPr>
                      <w:rFonts w:ascii="宋体" w:hAnsi="宋体" w:cs="宋体"/>
                      <w:color w:val="auto"/>
                      <w:szCs w:val="21"/>
                      <w:highlight w:val="none"/>
                    </w:rPr>
                  </w:pPr>
                  <w:r>
                    <w:rPr>
                      <w:rFonts w:hint="eastAsia" w:ascii="宋体" w:hAnsi="宋体" w:cs="宋体"/>
                      <w:color w:val="auto"/>
                      <w:szCs w:val="21"/>
                      <w:highlight w:val="none"/>
                    </w:rPr>
                    <w:t>1024</w:t>
                  </w:r>
                </w:p>
              </w:tc>
            </w:tr>
            <w:tr w14:paraId="4484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5D140AF">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70AC3C">
                  <w:pPr>
                    <w:jc w:val="center"/>
                    <w:rPr>
                      <w:rFonts w:ascii="宋体" w:hAnsi="宋体" w:cs="宋体"/>
                      <w:color w:val="auto"/>
                      <w:szCs w:val="21"/>
                      <w:highlight w:val="none"/>
                    </w:rPr>
                  </w:pPr>
                  <w:r>
                    <w:rPr>
                      <w:rFonts w:hint="eastAsia" w:ascii="宋体" w:hAnsi="宋体" w:cs="宋体"/>
                      <w:color w:val="auto"/>
                      <w:szCs w:val="21"/>
                      <w:highlight w:val="none"/>
                    </w:rPr>
                    <w:t>音频响应</w:t>
                  </w:r>
                </w:p>
              </w:tc>
              <w:tc>
                <w:tcPr>
                  <w:tcW w:w="4083" w:type="dxa"/>
                  <w:tcBorders>
                    <w:top w:val="single" w:color="auto" w:sz="4" w:space="0"/>
                    <w:left w:val="single" w:color="auto" w:sz="4" w:space="0"/>
                    <w:bottom w:val="single" w:color="auto" w:sz="4" w:space="0"/>
                    <w:right w:val="single" w:color="auto" w:sz="4" w:space="0"/>
                  </w:tcBorders>
                  <w:vAlign w:val="center"/>
                </w:tcPr>
                <w:p w14:paraId="51FA414A">
                  <w:pPr>
                    <w:jc w:val="center"/>
                    <w:rPr>
                      <w:rFonts w:ascii="宋体" w:hAnsi="宋体" w:cs="宋体"/>
                      <w:color w:val="auto"/>
                      <w:szCs w:val="21"/>
                      <w:highlight w:val="none"/>
                    </w:rPr>
                  </w:pPr>
                  <w:r>
                    <w:rPr>
                      <w:rFonts w:hint="eastAsia" w:ascii="宋体" w:hAnsi="宋体" w:cs="宋体"/>
                      <w:color w:val="auto"/>
                      <w:szCs w:val="21"/>
                      <w:highlight w:val="none"/>
                    </w:rPr>
                    <w:t>+1 ～ -3dB</w:t>
                  </w:r>
                </w:p>
              </w:tc>
            </w:tr>
            <w:tr w14:paraId="2DC7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D2B824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1245064">
                  <w:pPr>
                    <w:jc w:val="center"/>
                    <w:rPr>
                      <w:rFonts w:ascii="宋体" w:hAnsi="宋体" w:cs="宋体"/>
                      <w:color w:val="auto"/>
                      <w:szCs w:val="21"/>
                      <w:highlight w:val="none"/>
                    </w:rPr>
                  </w:pPr>
                  <w:r>
                    <w:rPr>
                      <w:rFonts w:hint="eastAsia" w:ascii="宋体" w:hAnsi="宋体" w:cs="宋体"/>
                      <w:color w:val="auto"/>
                      <w:szCs w:val="21"/>
                      <w:highlight w:val="none"/>
                    </w:rPr>
                    <w:t>音频失真</w:t>
                  </w:r>
                </w:p>
              </w:tc>
              <w:tc>
                <w:tcPr>
                  <w:tcW w:w="4083" w:type="dxa"/>
                  <w:tcBorders>
                    <w:top w:val="single" w:color="auto" w:sz="4" w:space="0"/>
                    <w:left w:val="single" w:color="auto" w:sz="4" w:space="0"/>
                    <w:bottom w:val="single" w:color="auto" w:sz="4" w:space="0"/>
                    <w:right w:val="single" w:color="auto" w:sz="4" w:space="0"/>
                  </w:tcBorders>
                  <w:vAlign w:val="center"/>
                </w:tcPr>
                <w:p w14:paraId="3DF448BA">
                  <w:pPr>
                    <w:jc w:val="center"/>
                    <w:rPr>
                      <w:rFonts w:ascii="宋体" w:hAnsi="宋体" w:cs="宋体"/>
                      <w:color w:val="auto"/>
                      <w:szCs w:val="21"/>
                      <w:highlight w:val="none"/>
                    </w:rPr>
                  </w:pPr>
                  <w:r>
                    <w:rPr>
                      <w:rFonts w:hint="eastAsia" w:ascii="宋体" w:hAnsi="宋体" w:cs="宋体"/>
                      <w:color w:val="auto"/>
                      <w:szCs w:val="21"/>
                      <w:highlight w:val="none"/>
                    </w:rPr>
                    <w:t>&lt;3%</w:t>
                  </w:r>
                </w:p>
              </w:tc>
            </w:tr>
            <w:tr w14:paraId="5961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171BA38">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88FEFB">
                  <w:pPr>
                    <w:jc w:val="center"/>
                    <w:rPr>
                      <w:rFonts w:ascii="宋体" w:hAnsi="宋体" w:cs="宋体"/>
                      <w:color w:val="auto"/>
                      <w:szCs w:val="21"/>
                      <w:highlight w:val="none"/>
                    </w:rPr>
                  </w:pPr>
                  <w:r>
                    <w:rPr>
                      <w:rFonts w:hint="eastAsia"/>
                      <w:color w:val="auto"/>
                      <w:highlight w:val="none"/>
                    </w:rPr>
                    <w:t>★</w:t>
                  </w:r>
                  <w:r>
                    <w:rPr>
                      <w:rFonts w:hint="eastAsia" w:ascii="宋体" w:hAnsi="宋体" w:cs="宋体"/>
                      <w:color w:val="auto"/>
                      <w:szCs w:val="21"/>
                      <w:highlight w:val="none"/>
                    </w:rPr>
                    <w:t>声码器</w:t>
                  </w:r>
                </w:p>
              </w:tc>
              <w:tc>
                <w:tcPr>
                  <w:tcW w:w="4083" w:type="dxa"/>
                  <w:tcBorders>
                    <w:top w:val="single" w:color="auto" w:sz="4" w:space="0"/>
                    <w:left w:val="single" w:color="auto" w:sz="4" w:space="0"/>
                    <w:bottom w:val="single" w:color="auto" w:sz="4" w:space="0"/>
                    <w:right w:val="single" w:color="auto" w:sz="4" w:space="0"/>
                  </w:tcBorders>
                  <w:vAlign w:val="center"/>
                </w:tcPr>
                <w:p w14:paraId="79A70C81">
                  <w:pPr>
                    <w:jc w:val="center"/>
                    <w:rPr>
                      <w:rFonts w:ascii="宋体" w:hAnsi="宋体" w:cs="宋体"/>
                      <w:color w:val="auto"/>
                      <w:szCs w:val="21"/>
                      <w:highlight w:val="none"/>
                    </w:rPr>
                  </w:pPr>
                  <w:r>
                    <w:rPr>
                      <w:rFonts w:hint="eastAsia" w:ascii="宋体" w:hAnsi="宋体" w:cs="宋体"/>
                      <w:color w:val="auto"/>
                      <w:szCs w:val="21"/>
                      <w:highlight w:val="none"/>
                    </w:rPr>
                    <w:t>AMBE+NVOC</w:t>
                  </w:r>
                </w:p>
              </w:tc>
            </w:tr>
            <w:tr w14:paraId="5359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47FCC18">
                  <w:pPr>
                    <w:jc w:val="center"/>
                    <w:rPr>
                      <w:rFonts w:ascii="宋体" w:hAnsi="宋体" w:cs="宋体"/>
                      <w:color w:val="auto"/>
                      <w:szCs w:val="21"/>
                      <w:highlight w:val="none"/>
                    </w:rPr>
                  </w:pPr>
                  <w:r>
                    <w:rPr>
                      <w:rFonts w:hint="eastAsia" w:ascii="宋体" w:hAnsi="宋体" w:cs="宋体"/>
                      <w:color w:val="auto"/>
                      <w:szCs w:val="21"/>
                      <w:highlight w:val="none"/>
                    </w:rPr>
                    <w:t>发射部分</w:t>
                  </w:r>
                </w:p>
              </w:tc>
              <w:tc>
                <w:tcPr>
                  <w:tcW w:w="1984" w:type="dxa"/>
                  <w:tcBorders>
                    <w:top w:val="single" w:color="auto" w:sz="4" w:space="0"/>
                    <w:left w:val="single" w:color="auto" w:sz="4" w:space="0"/>
                    <w:bottom w:val="single" w:color="auto" w:sz="4" w:space="0"/>
                    <w:right w:val="single" w:color="auto" w:sz="4" w:space="0"/>
                  </w:tcBorders>
                  <w:vAlign w:val="center"/>
                </w:tcPr>
                <w:p w14:paraId="37B22F48">
                  <w:pPr>
                    <w:jc w:val="center"/>
                    <w:rPr>
                      <w:rFonts w:ascii="宋体" w:hAnsi="宋体" w:cs="宋体"/>
                      <w:color w:val="auto"/>
                      <w:szCs w:val="21"/>
                      <w:highlight w:val="none"/>
                    </w:rPr>
                  </w:pPr>
                  <w:r>
                    <w:rPr>
                      <w:rFonts w:hint="eastAsia" w:ascii="宋体" w:hAnsi="宋体" w:cs="宋体"/>
                      <w:color w:val="auto"/>
                      <w:szCs w:val="21"/>
                      <w:highlight w:val="none"/>
                    </w:rPr>
                    <w:t>输出功率</w:t>
                  </w:r>
                </w:p>
              </w:tc>
              <w:tc>
                <w:tcPr>
                  <w:tcW w:w="4083" w:type="dxa"/>
                  <w:tcBorders>
                    <w:top w:val="single" w:color="auto" w:sz="4" w:space="0"/>
                    <w:left w:val="single" w:color="auto" w:sz="4" w:space="0"/>
                    <w:bottom w:val="single" w:color="auto" w:sz="4" w:space="0"/>
                    <w:right w:val="single" w:color="auto" w:sz="4" w:space="0"/>
                  </w:tcBorders>
                  <w:vAlign w:val="center"/>
                </w:tcPr>
                <w:p w14:paraId="1238D093">
                  <w:pPr>
                    <w:jc w:val="center"/>
                    <w:rPr>
                      <w:rFonts w:ascii="宋体" w:hAnsi="宋体" w:cs="宋体"/>
                      <w:color w:val="auto"/>
                      <w:szCs w:val="21"/>
                      <w:highlight w:val="none"/>
                    </w:rPr>
                  </w:pPr>
                  <w:r>
                    <w:rPr>
                      <w:rFonts w:hint="eastAsia" w:ascii="宋体" w:hAnsi="宋体" w:cs="宋体"/>
                      <w:color w:val="auto"/>
                      <w:szCs w:val="21"/>
                      <w:highlight w:val="none"/>
                    </w:rPr>
                    <w:t>≤37dBm</w:t>
                  </w:r>
                </w:p>
              </w:tc>
            </w:tr>
            <w:tr w14:paraId="2C37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F39B837">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77DD1A5">
                  <w:pPr>
                    <w:jc w:val="center"/>
                    <w:rPr>
                      <w:rFonts w:ascii="宋体" w:hAnsi="宋体" w:cs="宋体"/>
                      <w:color w:val="auto"/>
                      <w:szCs w:val="21"/>
                      <w:highlight w:val="none"/>
                    </w:rPr>
                  </w:pPr>
                  <w:r>
                    <w:rPr>
                      <w:rFonts w:hint="eastAsia" w:ascii="宋体" w:hAnsi="宋体" w:cs="宋体"/>
                      <w:color w:val="auto"/>
                      <w:szCs w:val="21"/>
                      <w:highlight w:val="none"/>
                    </w:rPr>
                    <w:t>调制方式</w:t>
                  </w:r>
                </w:p>
              </w:tc>
              <w:tc>
                <w:tcPr>
                  <w:tcW w:w="4083" w:type="dxa"/>
                  <w:tcBorders>
                    <w:top w:val="single" w:color="auto" w:sz="4" w:space="0"/>
                    <w:left w:val="single" w:color="auto" w:sz="4" w:space="0"/>
                    <w:bottom w:val="single" w:color="auto" w:sz="4" w:space="0"/>
                    <w:right w:val="single" w:color="auto" w:sz="4" w:space="0"/>
                  </w:tcBorders>
                  <w:vAlign w:val="center"/>
                </w:tcPr>
                <w:p w14:paraId="2921758F">
                  <w:pPr>
                    <w:jc w:val="center"/>
                    <w:rPr>
                      <w:rFonts w:ascii="宋体" w:hAnsi="宋体" w:cs="宋体"/>
                      <w:color w:val="auto"/>
                      <w:szCs w:val="21"/>
                      <w:highlight w:val="none"/>
                    </w:rPr>
                  </w:pPr>
                  <w:r>
                    <w:rPr>
                      <w:rFonts w:hint="eastAsia" w:ascii="宋体" w:hAnsi="宋体" w:cs="宋体"/>
                      <w:color w:val="auto"/>
                      <w:szCs w:val="21"/>
                      <w:highlight w:val="none"/>
                    </w:rPr>
                    <w:t>4FSK/FFSK/FM</w:t>
                  </w:r>
                </w:p>
              </w:tc>
            </w:tr>
            <w:tr w14:paraId="26FF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73C146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7BD58BA">
                  <w:pPr>
                    <w:jc w:val="center"/>
                    <w:rPr>
                      <w:rFonts w:ascii="宋体" w:hAnsi="宋体" w:cs="宋体"/>
                      <w:color w:val="auto"/>
                      <w:szCs w:val="21"/>
                      <w:highlight w:val="none"/>
                    </w:rPr>
                  </w:pPr>
                  <w:r>
                    <w:rPr>
                      <w:rFonts w:hint="eastAsia" w:ascii="宋体" w:hAnsi="宋体" w:cs="宋体"/>
                      <w:color w:val="auto"/>
                      <w:szCs w:val="21"/>
                      <w:highlight w:val="none"/>
                    </w:rPr>
                    <w:t>邻近信道功率</w:t>
                  </w:r>
                </w:p>
              </w:tc>
              <w:tc>
                <w:tcPr>
                  <w:tcW w:w="4083" w:type="dxa"/>
                  <w:tcBorders>
                    <w:top w:val="single" w:color="auto" w:sz="4" w:space="0"/>
                    <w:left w:val="single" w:color="auto" w:sz="4" w:space="0"/>
                    <w:bottom w:val="single" w:color="auto" w:sz="4" w:space="0"/>
                    <w:right w:val="single" w:color="auto" w:sz="4" w:space="0"/>
                  </w:tcBorders>
                  <w:vAlign w:val="center"/>
                </w:tcPr>
                <w:p w14:paraId="688F0E67">
                  <w:pPr>
                    <w:jc w:val="center"/>
                    <w:rPr>
                      <w:rFonts w:ascii="宋体" w:hAnsi="宋体" w:cs="宋体"/>
                      <w:color w:val="auto"/>
                      <w:szCs w:val="21"/>
                      <w:highlight w:val="none"/>
                    </w:rPr>
                  </w:pPr>
                  <w:r>
                    <w:rPr>
                      <w:rFonts w:hint="eastAsia" w:ascii="宋体" w:hAnsi="宋体" w:cs="宋体"/>
                      <w:color w:val="auto"/>
                      <w:szCs w:val="21"/>
                      <w:highlight w:val="none"/>
                    </w:rPr>
                    <w:t>-60dB @ 12.5KHz</w:t>
                  </w:r>
                </w:p>
                <w:p w14:paraId="53AD2E55">
                  <w:pPr>
                    <w:jc w:val="center"/>
                    <w:rPr>
                      <w:rFonts w:ascii="宋体" w:hAnsi="宋体" w:cs="宋体"/>
                      <w:color w:val="auto"/>
                      <w:szCs w:val="21"/>
                      <w:highlight w:val="none"/>
                    </w:rPr>
                  </w:pPr>
                  <w:r>
                    <w:rPr>
                      <w:rFonts w:hint="eastAsia" w:ascii="宋体" w:hAnsi="宋体" w:cs="宋体"/>
                      <w:color w:val="auto"/>
                      <w:szCs w:val="21"/>
                      <w:highlight w:val="none"/>
                    </w:rPr>
                    <w:t>-70dB @ 25KHz</w:t>
                  </w:r>
                </w:p>
              </w:tc>
            </w:tr>
            <w:tr w14:paraId="6ACA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A88939C">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D0AAC98">
                  <w:pPr>
                    <w:jc w:val="center"/>
                    <w:rPr>
                      <w:rFonts w:ascii="宋体" w:hAnsi="宋体" w:cs="宋体"/>
                      <w:color w:val="auto"/>
                      <w:szCs w:val="21"/>
                      <w:highlight w:val="none"/>
                    </w:rPr>
                  </w:pPr>
                  <w:r>
                    <w:rPr>
                      <w:rFonts w:hint="eastAsia" w:ascii="宋体" w:hAnsi="宋体" w:cs="宋体"/>
                      <w:color w:val="auto"/>
                      <w:szCs w:val="21"/>
                      <w:highlight w:val="none"/>
                    </w:rPr>
                    <w:t>传导/辐射发射</w:t>
                  </w:r>
                </w:p>
              </w:tc>
              <w:tc>
                <w:tcPr>
                  <w:tcW w:w="4083" w:type="dxa"/>
                  <w:tcBorders>
                    <w:top w:val="single" w:color="auto" w:sz="4" w:space="0"/>
                    <w:left w:val="single" w:color="auto" w:sz="4" w:space="0"/>
                    <w:bottom w:val="single" w:color="auto" w:sz="4" w:space="0"/>
                    <w:right w:val="single" w:color="auto" w:sz="4" w:space="0"/>
                  </w:tcBorders>
                  <w:vAlign w:val="center"/>
                </w:tcPr>
                <w:p w14:paraId="5AF17276">
                  <w:pPr>
                    <w:jc w:val="center"/>
                    <w:rPr>
                      <w:rFonts w:ascii="宋体" w:hAnsi="宋体" w:cs="宋体"/>
                      <w:color w:val="auto"/>
                      <w:szCs w:val="21"/>
                      <w:highlight w:val="none"/>
                    </w:rPr>
                  </w:pPr>
                  <w:r>
                    <w:rPr>
                      <w:rFonts w:hint="eastAsia" w:ascii="宋体" w:hAnsi="宋体" w:cs="宋体"/>
                      <w:color w:val="auto"/>
                      <w:szCs w:val="21"/>
                      <w:highlight w:val="none"/>
                    </w:rPr>
                    <w:t>9KHz ～ 1GHz:-36dBm</w:t>
                  </w:r>
                </w:p>
                <w:p w14:paraId="174AF813">
                  <w:pPr>
                    <w:jc w:val="center"/>
                    <w:rPr>
                      <w:rFonts w:ascii="宋体" w:hAnsi="宋体" w:cs="宋体"/>
                      <w:color w:val="auto"/>
                      <w:szCs w:val="21"/>
                      <w:highlight w:val="none"/>
                    </w:rPr>
                  </w:pPr>
                  <w:r>
                    <w:rPr>
                      <w:rFonts w:hint="eastAsia" w:ascii="宋体" w:hAnsi="宋体" w:cs="宋体"/>
                      <w:color w:val="auto"/>
                      <w:szCs w:val="21"/>
                      <w:highlight w:val="none"/>
                    </w:rPr>
                    <w:t>1GHz ～ 12.75GHz:-30dBm</w:t>
                  </w:r>
                </w:p>
              </w:tc>
            </w:tr>
            <w:tr w14:paraId="3FF7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496E80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FCA8E76">
                  <w:pPr>
                    <w:jc w:val="center"/>
                    <w:rPr>
                      <w:rFonts w:ascii="宋体" w:hAnsi="宋体" w:cs="宋体"/>
                      <w:color w:val="auto"/>
                      <w:szCs w:val="21"/>
                      <w:highlight w:val="none"/>
                    </w:rPr>
                  </w:pPr>
                  <w:r>
                    <w:rPr>
                      <w:rFonts w:hint="eastAsia" w:ascii="宋体" w:hAnsi="宋体" w:cs="宋体"/>
                      <w:color w:val="auto"/>
                      <w:szCs w:val="21"/>
                      <w:highlight w:val="none"/>
                    </w:rPr>
                    <w:t>交流声与噪声</w:t>
                  </w:r>
                </w:p>
              </w:tc>
              <w:tc>
                <w:tcPr>
                  <w:tcW w:w="4083" w:type="dxa"/>
                  <w:tcBorders>
                    <w:top w:val="single" w:color="auto" w:sz="4" w:space="0"/>
                    <w:left w:val="single" w:color="auto" w:sz="4" w:space="0"/>
                    <w:bottom w:val="single" w:color="auto" w:sz="4" w:space="0"/>
                    <w:right w:val="single" w:color="auto" w:sz="4" w:space="0"/>
                  </w:tcBorders>
                  <w:vAlign w:val="center"/>
                </w:tcPr>
                <w:p w14:paraId="5EABE6A6">
                  <w:pPr>
                    <w:jc w:val="center"/>
                    <w:rPr>
                      <w:rFonts w:ascii="宋体" w:hAnsi="宋体" w:cs="宋体"/>
                      <w:color w:val="auto"/>
                      <w:szCs w:val="21"/>
                      <w:highlight w:val="none"/>
                    </w:rPr>
                  </w:pPr>
                  <w:r>
                    <w:rPr>
                      <w:rFonts w:hint="eastAsia" w:ascii="宋体" w:hAnsi="宋体" w:cs="宋体"/>
                      <w:color w:val="auto"/>
                      <w:szCs w:val="21"/>
                      <w:highlight w:val="none"/>
                    </w:rPr>
                    <w:t>-40dB</w:t>
                  </w:r>
                </w:p>
              </w:tc>
            </w:tr>
            <w:tr w14:paraId="55B5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385C1A81">
                  <w:pPr>
                    <w:jc w:val="center"/>
                    <w:rPr>
                      <w:rFonts w:ascii="宋体" w:hAnsi="宋体" w:cs="宋体"/>
                      <w:color w:val="auto"/>
                      <w:szCs w:val="21"/>
                      <w:highlight w:val="none"/>
                    </w:rPr>
                  </w:pPr>
                  <w:r>
                    <w:rPr>
                      <w:rFonts w:hint="eastAsia" w:ascii="宋体" w:hAnsi="宋体" w:cs="宋体"/>
                      <w:color w:val="auto"/>
                      <w:szCs w:val="21"/>
                      <w:highlight w:val="none"/>
                    </w:rPr>
                    <w:t>接收部分</w:t>
                  </w:r>
                </w:p>
              </w:tc>
              <w:tc>
                <w:tcPr>
                  <w:tcW w:w="1984" w:type="dxa"/>
                  <w:tcBorders>
                    <w:top w:val="single" w:color="auto" w:sz="4" w:space="0"/>
                    <w:left w:val="single" w:color="auto" w:sz="4" w:space="0"/>
                    <w:bottom w:val="single" w:color="auto" w:sz="4" w:space="0"/>
                    <w:right w:val="single" w:color="auto" w:sz="4" w:space="0"/>
                  </w:tcBorders>
                  <w:vAlign w:val="center"/>
                </w:tcPr>
                <w:p w14:paraId="08C2FC9A">
                  <w:pPr>
                    <w:jc w:val="center"/>
                    <w:rPr>
                      <w:rFonts w:ascii="宋体" w:hAnsi="宋体" w:cs="宋体"/>
                      <w:color w:val="auto"/>
                      <w:szCs w:val="21"/>
                      <w:highlight w:val="none"/>
                    </w:rPr>
                  </w:pPr>
                  <w:r>
                    <w:rPr>
                      <w:rFonts w:hint="eastAsia" w:ascii="宋体" w:hAnsi="宋体" w:cs="宋体"/>
                      <w:color w:val="auto"/>
                      <w:szCs w:val="21"/>
                      <w:highlight w:val="none"/>
                    </w:rPr>
                    <w:t>数字灵敏度</w:t>
                  </w:r>
                </w:p>
              </w:tc>
              <w:tc>
                <w:tcPr>
                  <w:tcW w:w="4083" w:type="dxa"/>
                  <w:tcBorders>
                    <w:top w:val="single" w:color="auto" w:sz="4" w:space="0"/>
                    <w:left w:val="single" w:color="auto" w:sz="4" w:space="0"/>
                    <w:bottom w:val="single" w:color="auto" w:sz="4" w:space="0"/>
                    <w:right w:val="single" w:color="auto" w:sz="4" w:space="0"/>
                  </w:tcBorders>
                  <w:vAlign w:val="center"/>
                </w:tcPr>
                <w:p w14:paraId="649C20A7">
                  <w:pPr>
                    <w:jc w:val="center"/>
                    <w:rPr>
                      <w:rFonts w:ascii="宋体" w:hAnsi="宋体" w:cs="宋体"/>
                      <w:color w:val="auto"/>
                      <w:szCs w:val="21"/>
                      <w:highlight w:val="none"/>
                    </w:rPr>
                  </w:pPr>
                  <w:r>
                    <w:rPr>
                      <w:rFonts w:hint="eastAsia" w:ascii="宋体" w:hAnsi="宋体" w:cs="宋体"/>
                      <w:color w:val="auto"/>
                      <w:szCs w:val="21"/>
                      <w:highlight w:val="none"/>
                    </w:rPr>
                    <w:t>-118 dBm(BER 5%)</w:t>
                  </w:r>
                </w:p>
              </w:tc>
            </w:tr>
            <w:tr w14:paraId="1110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993CB67">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21B7D97">
                  <w:pPr>
                    <w:jc w:val="center"/>
                    <w:rPr>
                      <w:rFonts w:ascii="宋体" w:hAnsi="宋体" w:cs="宋体"/>
                      <w:color w:val="auto"/>
                      <w:szCs w:val="21"/>
                      <w:highlight w:val="none"/>
                    </w:rPr>
                  </w:pPr>
                  <w:r>
                    <w:rPr>
                      <w:rFonts w:hint="eastAsia" w:ascii="宋体" w:hAnsi="宋体" w:cs="宋体"/>
                      <w:color w:val="auto"/>
                      <w:szCs w:val="21"/>
                      <w:highlight w:val="none"/>
                    </w:rPr>
                    <w:t>互调抑制</w:t>
                  </w:r>
                </w:p>
              </w:tc>
              <w:tc>
                <w:tcPr>
                  <w:tcW w:w="4083" w:type="dxa"/>
                  <w:tcBorders>
                    <w:top w:val="single" w:color="auto" w:sz="4" w:space="0"/>
                    <w:left w:val="single" w:color="auto" w:sz="4" w:space="0"/>
                    <w:bottom w:val="single" w:color="auto" w:sz="4" w:space="0"/>
                    <w:right w:val="single" w:color="auto" w:sz="4" w:space="0"/>
                  </w:tcBorders>
                  <w:vAlign w:val="center"/>
                </w:tcPr>
                <w:p w14:paraId="736B2B8D">
                  <w:pPr>
                    <w:jc w:val="center"/>
                    <w:rPr>
                      <w:rFonts w:ascii="宋体" w:hAnsi="宋体" w:cs="宋体"/>
                      <w:color w:val="auto"/>
                      <w:szCs w:val="21"/>
                      <w:highlight w:val="none"/>
                    </w:rPr>
                  </w:pPr>
                  <w:r>
                    <w:rPr>
                      <w:rFonts w:hint="eastAsia" w:ascii="宋体" w:hAnsi="宋体" w:cs="宋体"/>
                      <w:color w:val="auto"/>
                      <w:szCs w:val="21"/>
                      <w:highlight w:val="none"/>
                    </w:rPr>
                    <w:t>65dB</w:t>
                  </w:r>
                </w:p>
              </w:tc>
            </w:tr>
            <w:tr w14:paraId="6175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2169BC8">
                  <w:pPr>
                    <w:rPr>
                      <w:color w:val="auto"/>
                      <w:highlight w:val="none"/>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D8DDD1B">
                  <w:pPr>
                    <w:jc w:val="center"/>
                    <w:rPr>
                      <w:rFonts w:ascii="宋体" w:hAnsi="宋体" w:cs="宋体"/>
                      <w:color w:val="auto"/>
                      <w:szCs w:val="21"/>
                      <w:highlight w:val="none"/>
                    </w:rPr>
                  </w:pPr>
                  <w:r>
                    <w:rPr>
                      <w:rFonts w:hint="eastAsia" w:ascii="宋体" w:hAnsi="宋体" w:cs="宋体"/>
                      <w:color w:val="auto"/>
                      <w:szCs w:val="21"/>
                      <w:highlight w:val="none"/>
                    </w:rPr>
                    <w:t>邻近信道选择性</w:t>
                  </w:r>
                </w:p>
              </w:tc>
              <w:tc>
                <w:tcPr>
                  <w:tcW w:w="4083" w:type="dxa"/>
                  <w:tcBorders>
                    <w:top w:val="single" w:color="auto" w:sz="4" w:space="0"/>
                    <w:left w:val="single" w:color="auto" w:sz="4" w:space="0"/>
                    <w:bottom w:val="single" w:color="auto" w:sz="4" w:space="0"/>
                    <w:right w:val="single" w:color="auto" w:sz="4" w:space="0"/>
                  </w:tcBorders>
                  <w:vAlign w:val="center"/>
                </w:tcPr>
                <w:p w14:paraId="5D3B095F">
                  <w:pPr>
                    <w:jc w:val="center"/>
                    <w:rPr>
                      <w:rFonts w:ascii="宋体" w:hAnsi="宋体" w:cs="宋体"/>
                      <w:color w:val="auto"/>
                      <w:szCs w:val="21"/>
                      <w:highlight w:val="none"/>
                    </w:rPr>
                  </w:pPr>
                  <w:r>
                    <w:rPr>
                      <w:rFonts w:hint="eastAsia" w:ascii="宋体" w:hAnsi="宋体" w:cs="宋体"/>
                      <w:color w:val="auto"/>
                      <w:szCs w:val="21"/>
                      <w:highlight w:val="none"/>
                    </w:rPr>
                    <w:t>±12.5kHz:≥60dB</w:t>
                  </w:r>
                </w:p>
              </w:tc>
            </w:tr>
            <w:tr w14:paraId="355F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F571A64">
                  <w:pPr>
                    <w:rPr>
                      <w:color w:val="auto"/>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0C8DEA07">
                  <w:pPr>
                    <w:rPr>
                      <w:color w:val="auto"/>
                      <w:highlight w:val="none"/>
                    </w:rPr>
                  </w:pPr>
                </w:p>
              </w:tc>
              <w:tc>
                <w:tcPr>
                  <w:tcW w:w="4083" w:type="dxa"/>
                  <w:tcBorders>
                    <w:top w:val="single" w:color="auto" w:sz="4" w:space="0"/>
                    <w:left w:val="single" w:color="auto" w:sz="4" w:space="0"/>
                    <w:bottom w:val="single" w:color="auto" w:sz="4" w:space="0"/>
                    <w:right w:val="single" w:color="auto" w:sz="4" w:space="0"/>
                  </w:tcBorders>
                  <w:vAlign w:val="center"/>
                </w:tcPr>
                <w:p w14:paraId="4048BAD4">
                  <w:pPr>
                    <w:jc w:val="center"/>
                    <w:rPr>
                      <w:rFonts w:ascii="宋体" w:hAnsi="宋体" w:cs="宋体"/>
                      <w:color w:val="auto"/>
                      <w:szCs w:val="21"/>
                      <w:highlight w:val="none"/>
                    </w:rPr>
                  </w:pPr>
                  <w:r>
                    <w:rPr>
                      <w:rFonts w:hint="eastAsia" w:ascii="宋体" w:hAnsi="宋体" w:cs="宋体"/>
                      <w:color w:val="auto"/>
                      <w:szCs w:val="21"/>
                      <w:highlight w:val="none"/>
                    </w:rPr>
                    <w:t>±25KHz: ≥70dB</w:t>
                  </w:r>
                </w:p>
              </w:tc>
            </w:tr>
            <w:tr w14:paraId="4F0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A418E7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10A01A2">
                  <w:pPr>
                    <w:jc w:val="center"/>
                    <w:rPr>
                      <w:rFonts w:ascii="宋体" w:hAnsi="宋体" w:cs="宋体"/>
                      <w:color w:val="auto"/>
                      <w:szCs w:val="21"/>
                      <w:highlight w:val="none"/>
                    </w:rPr>
                  </w:pPr>
                  <w:r>
                    <w:rPr>
                      <w:rFonts w:hint="eastAsia" w:ascii="宋体" w:hAnsi="宋体" w:cs="宋体"/>
                      <w:color w:val="auto"/>
                      <w:szCs w:val="21"/>
                      <w:highlight w:val="none"/>
                    </w:rPr>
                    <w:t>阻塞抑制</w:t>
                  </w:r>
                </w:p>
              </w:tc>
              <w:tc>
                <w:tcPr>
                  <w:tcW w:w="4083" w:type="dxa"/>
                  <w:tcBorders>
                    <w:top w:val="single" w:color="auto" w:sz="4" w:space="0"/>
                    <w:left w:val="single" w:color="auto" w:sz="4" w:space="0"/>
                    <w:bottom w:val="single" w:color="auto" w:sz="4" w:space="0"/>
                    <w:right w:val="single" w:color="auto" w:sz="4" w:space="0"/>
                  </w:tcBorders>
                  <w:vAlign w:val="center"/>
                </w:tcPr>
                <w:p w14:paraId="46C2C8B7">
                  <w:pPr>
                    <w:jc w:val="center"/>
                    <w:rPr>
                      <w:rFonts w:ascii="宋体" w:hAnsi="宋体" w:cs="宋体"/>
                      <w:color w:val="auto"/>
                      <w:szCs w:val="21"/>
                      <w:highlight w:val="none"/>
                    </w:rPr>
                  </w:pPr>
                  <w:r>
                    <w:rPr>
                      <w:rFonts w:hint="eastAsia" w:ascii="宋体" w:hAnsi="宋体" w:cs="宋体"/>
                      <w:color w:val="auto"/>
                      <w:szCs w:val="21"/>
                      <w:highlight w:val="none"/>
                    </w:rPr>
                    <w:t>≥84dB</w:t>
                  </w:r>
                </w:p>
              </w:tc>
            </w:tr>
            <w:tr w14:paraId="041D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68134D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9350EE3">
                  <w:pPr>
                    <w:jc w:val="center"/>
                    <w:rPr>
                      <w:rFonts w:ascii="宋体" w:hAnsi="宋体" w:cs="宋体"/>
                      <w:color w:val="auto"/>
                      <w:szCs w:val="21"/>
                      <w:highlight w:val="none"/>
                    </w:rPr>
                  </w:pPr>
                  <w:r>
                    <w:rPr>
                      <w:rFonts w:hint="eastAsia" w:ascii="宋体" w:hAnsi="宋体" w:cs="宋体"/>
                      <w:color w:val="auto"/>
                      <w:szCs w:val="21"/>
                      <w:highlight w:val="none"/>
                    </w:rPr>
                    <w:t>杂散响应抑制</w:t>
                  </w:r>
                </w:p>
              </w:tc>
              <w:tc>
                <w:tcPr>
                  <w:tcW w:w="4083" w:type="dxa"/>
                  <w:tcBorders>
                    <w:top w:val="single" w:color="auto" w:sz="4" w:space="0"/>
                    <w:left w:val="single" w:color="auto" w:sz="4" w:space="0"/>
                    <w:bottom w:val="single" w:color="auto" w:sz="4" w:space="0"/>
                    <w:right w:val="single" w:color="auto" w:sz="4" w:space="0"/>
                  </w:tcBorders>
                  <w:vAlign w:val="center"/>
                </w:tcPr>
                <w:p w14:paraId="31B8428F">
                  <w:pPr>
                    <w:jc w:val="center"/>
                    <w:rPr>
                      <w:rFonts w:ascii="宋体" w:hAnsi="宋体" w:cs="宋体"/>
                      <w:color w:val="auto"/>
                      <w:szCs w:val="21"/>
                      <w:highlight w:val="none"/>
                    </w:rPr>
                  </w:pPr>
                  <w:r>
                    <w:rPr>
                      <w:rFonts w:hint="eastAsia" w:ascii="宋体" w:hAnsi="宋体" w:cs="宋体"/>
                      <w:color w:val="auto"/>
                      <w:szCs w:val="21"/>
                      <w:highlight w:val="none"/>
                    </w:rPr>
                    <w:t>≥70dB</w:t>
                  </w:r>
                </w:p>
              </w:tc>
            </w:tr>
            <w:tr w14:paraId="1FF4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6152587">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B699BE0">
                  <w:pPr>
                    <w:jc w:val="center"/>
                    <w:rPr>
                      <w:rFonts w:ascii="宋体" w:hAnsi="宋体" w:cs="宋体"/>
                      <w:color w:val="auto"/>
                      <w:szCs w:val="21"/>
                      <w:highlight w:val="none"/>
                    </w:rPr>
                  </w:pPr>
                  <w:r>
                    <w:rPr>
                      <w:rFonts w:hint="eastAsia" w:ascii="宋体" w:hAnsi="宋体" w:cs="宋体"/>
                      <w:color w:val="auto"/>
                      <w:szCs w:val="21"/>
                      <w:highlight w:val="none"/>
                    </w:rPr>
                    <w:t>接收杂散发射</w:t>
                  </w:r>
                </w:p>
              </w:tc>
              <w:tc>
                <w:tcPr>
                  <w:tcW w:w="4083" w:type="dxa"/>
                  <w:tcBorders>
                    <w:top w:val="single" w:color="auto" w:sz="4" w:space="0"/>
                    <w:left w:val="single" w:color="auto" w:sz="4" w:space="0"/>
                    <w:bottom w:val="single" w:color="auto" w:sz="4" w:space="0"/>
                    <w:right w:val="single" w:color="auto" w:sz="4" w:space="0"/>
                  </w:tcBorders>
                  <w:vAlign w:val="center"/>
                </w:tcPr>
                <w:p w14:paraId="3F18EC42">
                  <w:pPr>
                    <w:jc w:val="center"/>
                    <w:rPr>
                      <w:rFonts w:ascii="宋体" w:hAnsi="宋体" w:cs="宋体"/>
                      <w:color w:val="auto"/>
                      <w:szCs w:val="21"/>
                      <w:highlight w:val="none"/>
                    </w:rPr>
                  </w:pPr>
                  <w:r>
                    <w:rPr>
                      <w:rFonts w:hint="eastAsia" w:ascii="宋体" w:hAnsi="宋体" w:cs="宋体"/>
                      <w:color w:val="auto"/>
                      <w:szCs w:val="21"/>
                      <w:highlight w:val="none"/>
                    </w:rPr>
                    <w:t>30MHz ～ 1GHz: ≤-57dBm</w:t>
                  </w:r>
                </w:p>
                <w:p w14:paraId="3097040C">
                  <w:pPr>
                    <w:jc w:val="center"/>
                    <w:rPr>
                      <w:rFonts w:ascii="宋体" w:hAnsi="宋体" w:cs="宋体"/>
                      <w:color w:val="auto"/>
                      <w:szCs w:val="21"/>
                      <w:highlight w:val="none"/>
                    </w:rPr>
                  </w:pPr>
                  <w:r>
                    <w:rPr>
                      <w:rFonts w:hint="eastAsia" w:ascii="宋体" w:hAnsi="宋体" w:cs="宋体"/>
                      <w:color w:val="auto"/>
                      <w:szCs w:val="21"/>
                      <w:highlight w:val="none"/>
                    </w:rPr>
                    <w:t>1GHz ～ 12.75GHz: ≤-47dBm</w:t>
                  </w:r>
                </w:p>
              </w:tc>
            </w:tr>
            <w:tr w14:paraId="4F9D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413D0A47">
                  <w:pPr>
                    <w:jc w:val="center"/>
                    <w:rPr>
                      <w:rFonts w:ascii="宋体" w:hAnsi="宋体" w:cs="宋体"/>
                      <w:color w:val="auto"/>
                      <w:szCs w:val="21"/>
                      <w:highlight w:val="none"/>
                    </w:rPr>
                  </w:pPr>
                  <w:r>
                    <w:rPr>
                      <w:rFonts w:hint="eastAsia" w:ascii="宋体" w:hAnsi="宋体" w:cs="宋体"/>
                      <w:color w:val="auto"/>
                      <w:szCs w:val="21"/>
                      <w:highlight w:val="none"/>
                    </w:rPr>
                    <w:t>环境规格</w:t>
                  </w:r>
                </w:p>
              </w:tc>
              <w:tc>
                <w:tcPr>
                  <w:tcW w:w="1984" w:type="dxa"/>
                  <w:tcBorders>
                    <w:top w:val="single" w:color="auto" w:sz="4" w:space="0"/>
                    <w:left w:val="single" w:color="auto" w:sz="4" w:space="0"/>
                    <w:bottom w:val="single" w:color="auto" w:sz="4" w:space="0"/>
                    <w:right w:val="single" w:color="auto" w:sz="4" w:space="0"/>
                  </w:tcBorders>
                  <w:vAlign w:val="center"/>
                </w:tcPr>
                <w:p w14:paraId="7205125D">
                  <w:pPr>
                    <w:jc w:val="center"/>
                    <w:rPr>
                      <w:rFonts w:ascii="宋体" w:hAnsi="宋体" w:cs="宋体"/>
                      <w:color w:val="auto"/>
                      <w:szCs w:val="21"/>
                      <w:highlight w:val="none"/>
                    </w:rPr>
                  </w:pPr>
                  <w:r>
                    <w:rPr>
                      <w:rFonts w:hint="eastAsia" w:ascii="宋体" w:hAnsi="宋体" w:cs="宋体"/>
                      <w:color w:val="auto"/>
                      <w:szCs w:val="21"/>
                      <w:highlight w:val="none"/>
                    </w:rPr>
                    <w:t>工作温度</w:t>
                  </w:r>
                </w:p>
              </w:tc>
              <w:tc>
                <w:tcPr>
                  <w:tcW w:w="4083" w:type="dxa"/>
                  <w:tcBorders>
                    <w:top w:val="single" w:color="auto" w:sz="4" w:space="0"/>
                    <w:left w:val="single" w:color="auto" w:sz="4" w:space="0"/>
                    <w:bottom w:val="single" w:color="auto" w:sz="4" w:space="0"/>
                    <w:right w:val="single" w:color="auto" w:sz="4" w:space="0"/>
                  </w:tcBorders>
                  <w:vAlign w:val="center"/>
                </w:tcPr>
                <w:p w14:paraId="034EE459">
                  <w:pPr>
                    <w:jc w:val="center"/>
                    <w:rPr>
                      <w:rFonts w:ascii="宋体" w:hAnsi="宋体" w:cs="宋体"/>
                      <w:color w:val="auto"/>
                      <w:szCs w:val="21"/>
                      <w:highlight w:val="none"/>
                    </w:rPr>
                  </w:pPr>
                  <w:r>
                    <w:rPr>
                      <w:rFonts w:hint="eastAsia" w:ascii="宋体" w:hAnsi="宋体" w:cs="宋体"/>
                      <w:color w:val="auto"/>
                      <w:szCs w:val="21"/>
                      <w:highlight w:val="none"/>
                    </w:rPr>
                    <w:t>-30℃ ～ +60℃</w:t>
                  </w:r>
                </w:p>
              </w:tc>
            </w:tr>
            <w:tr w14:paraId="1352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D5D6C93">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DB23B14">
                  <w:pPr>
                    <w:jc w:val="center"/>
                    <w:rPr>
                      <w:rFonts w:ascii="宋体" w:hAnsi="宋体" w:cs="宋体"/>
                      <w:color w:val="auto"/>
                      <w:szCs w:val="21"/>
                      <w:highlight w:val="none"/>
                    </w:rPr>
                  </w:pPr>
                  <w:r>
                    <w:rPr>
                      <w:rFonts w:hint="eastAsia" w:ascii="宋体" w:hAnsi="宋体" w:cs="宋体"/>
                      <w:color w:val="auto"/>
                      <w:szCs w:val="21"/>
                      <w:highlight w:val="none"/>
                    </w:rPr>
                    <w:t>存放温度</w:t>
                  </w:r>
                </w:p>
              </w:tc>
              <w:tc>
                <w:tcPr>
                  <w:tcW w:w="4083" w:type="dxa"/>
                  <w:tcBorders>
                    <w:top w:val="single" w:color="auto" w:sz="4" w:space="0"/>
                    <w:left w:val="single" w:color="auto" w:sz="4" w:space="0"/>
                    <w:bottom w:val="single" w:color="auto" w:sz="4" w:space="0"/>
                    <w:right w:val="single" w:color="auto" w:sz="4" w:space="0"/>
                  </w:tcBorders>
                  <w:vAlign w:val="center"/>
                </w:tcPr>
                <w:p w14:paraId="572686DB">
                  <w:pPr>
                    <w:jc w:val="center"/>
                    <w:rPr>
                      <w:rFonts w:ascii="宋体" w:hAnsi="宋体" w:cs="宋体"/>
                      <w:color w:val="auto"/>
                      <w:szCs w:val="21"/>
                      <w:highlight w:val="none"/>
                    </w:rPr>
                  </w:pPr>
                  <w:r>
                    <w:rPr>
                      <w:rFonts w:hint="eastAsia" w:ascii="宋体" w:hAnsi="宋体" w:cs="宋体"/>
                      <w:color w:val="auto"/>
                      <w:szCs w:val="21"/>
                      <w:highlight w:val="none"/>
                    </w:rPr>
                    <w:t>-40℃ ～ +85℃</w:t>
                  </w:r>
                </w:p>
              </w:tc>
            </w:tr>
            <w:tr w14:paraId="3A9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DC79C7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90DA59">
                  <w:pPr>
                    <w:jc w:val="center"/>
                    <w:rPr>
                      <w:rFonts w:ascii="宋体" w:hAnsi="宋体" w:cs="宋体"/>
                      <w:color w:val="auto"/>
                      <w:szCs w:val="21"/>
                      <w:highlight w:val="none"/>
                    </w:rPr>
                  </w:pPr>
                  <w:r>
                    <w:rPr>
                      <w:rFonts w:hint="eastAsia" w:ascii="宋体" w:hAnsi="宋体" w:cs="宋体"/>
                      <w:color w:val="auto"/>
                      <w:szCs w:val="21"/>
                      <w:highlight w:val="none"/>
                    </w:rPr>
                    <w:t>ESD</w:t>
                  </w:r>
                </w:p>
              </w:tc>
              <w:tc>
                <w:tcPr>
                  <w:tcW w:w="4083" w:type="dxa"/>
                  <w:tcBorders>
                    <w:top w:val="single" w:color="auto" w:sz="4" w:space="0"/>
                    <w:left w:val="single" w:color="auto" w:sz="4" w:space="0"/>
                    <w:bottom w:val="single" w:color="auto" w:sz="4" w:space="0"/>
                    <w:right w:val="single" w:color="auto" w:sz="4" w:space="0"/>
                  </w:tcBorders>
                  <w:vAlign w:val="center"/>
                </w:tcPr>
                <w:p w14:paraId="5CB06DB9">
                  <w:pPr>
                    <w:jc w:val="center"/>
                    <w:rPr>
                      <w:rFonts w:ascii="宋体" w:hAnsi="宋体" w:cs="宋体"/>
                      <w:color w:val="auto"/>
                      <w:szCs w:val="21"/>
                      <w:highlight w:val="none"/>
                    </w:rPr>
                  </w:pPr>
                  <w:r>
                    <w:rPr>
                      <w:rFonts w:hint="eastAsia" w:ascii="宋体" w:hAnsi="宋体" w:cs="宋体"/>
                      <w:color w:val="auto"/>
                      <w:szCs w:val="21"/>
                      <w:highlight w:val="none"/>
                    </w:rPr>
                    <w:t>GB/T17626.2和IEC61000-4-2 Level 4空气 15KV;接触 8KV</w:t>
                  </w:r>
                </w:p>
              </w:tc>
            </w:tr>
            <w:tr w14:paraId="4547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C9326B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242FCC0">
                  <w:pPr>
                    <w:jc w:val="center"/>
                    <w:rPr>
                      <w:rFonts w:ascii="宋体" w:hAnsi="宋体" w:cs="宋体"/>
                      <w:color w:val="auto"/>
                      <w:szCs w:val="21"/>
                      <w:highlight w:val="none"/>
                    </w:rPr>
                  </w:pPr>
                  <w:r>
                    <w:rPr>
                      <w:rFonts w:hint="eastAsia" w:ascii="宋体" w:hAnsi="宋体" w:cs="宋体"/>
                      <w:color w:val="auto"/>
                      <w:szCs w:val="21"/>
                      <w:highlight w:val="none"/>
                    </w:rPr>
                    <w:t>EMC</w:t>
                  </w:r>
                </w:p>
              </w:tc>
              <w:tc>
                <w:tcPr>
                  <w:tcW w:w="4083" w:type="dxa"/>
                  <w:tcBorders>
                    <w:top w:val="single" w:color="auto" w:sz="4" w:space="0"/>
                    <w:left w:val="single" w:color="auto" w:sz="4" w:space="0"/>
                    <w:bottom w:val="single" w:color="auto" w:sz="4" w:space="0"/>
                    <w:right w:val="single" w:color="auto" w:sz="4" w:space="0"/>
                  </w:tcBorders>
                  <w:vAlign w:val="center"/>
                </w:tcPr>
                <w:p w14:paraId="34A0CBF1">
                  <w:pPr>
                    <w:jc w:val="center"/>
                    <w:rPr>
                      <w:rFonts w:ascii="宋体" w:hAnsi="宋体" w:cs="宋体"/>
                      <w:color w:val="auto"/>
                      <w:szCs w:val="21"/>
                      <w:highlight w:val="none"/>
                    </w:rPr>
                  </w:pPr>
                  <w:r>
                    <w:rPr>
                      <w:rFonts w:hint="eastAsia" w:ascii="宋体" w:hAnsi="宋体" w:cs="宋体"/>
                      <w:color w:val="auto"/>
                      <w:szCs w:val="21"/>
                      <w:highlight w:val="none"/>
                    </w:rPr>
                    <w:t>GB/T 17626.2-2018《电磁兼容 试验和测量技术 静电放电抗扰度试验》、</w:t>
                  </w:r>
                  <w:r>
                    <w:rPr>
                      <w:rFonts w:ascii="Segoe UI" w:hAnsi="Segoe UI" w:eastAsia="Segoe UI" w:cs="Segoe UI"/>
                      <w:color w:val="auto"/>
                      <w:sz w:val="22"/>
                      <w:szCs w:val="22"/>
                      <w:highlight w:val="none"/>
                      <w:shd w:val="clear" w:color="auto" w:fill="F7F2EB"/>
                    </w:rPr>
                    <w:t xml:space="preserve">GB/T </w:t>
                  </w:r>
                  <w:r>
                    <w:rPr>
                      <w:rFonts w:ascii="Segoe UI" w:hAnsi="Segoe UI" w:eastAsia="Segoe UI" w:cs="Segoe UI"/>
                      <w:color w:val="auto"/>
                      <w:sz w:val="22"/>
                      <w:szCs w:val="22"/>
                      <w:highlight w:val="none"/>
                      <w:shd w:val="clear" w:color="auto" w:fill="F7F2EB"/>
                    </w:rPr>
                    <w:t>17626.3 - 2023</w:t>
                  </w:r>
                  <w:r>
                    <w:rPr>
                      <w:rFonts w:hint="eastAsia" w:ascii="宋体" w:hAnsi="宋体" w:cs="宋体"/>
                      <w:color w:val="auto"/>
                      <w:szCs w:val="21"/>
                      <w:highlight w:val="none"/>
                    </w:rPr>
                    <w:t xml:space="preserve"> 《电磁兼容 试验和测量技术 射频电磁场辐射抗扰度试验》、</w:t>
                  </w:r>
                  <w:r>
                    <w:rPr>
                      <w:rFonts w:ascii="Segoe UI" w:hAnsi="Segoe UI" w:eastAsia="Segoe UI" w:cs="Segoe UI"/>
                      <w:color w:val="auto"/>
                      <w:sz w:val="22"/>
                      <w:szCs w:val="22"/>
                      <w:highlight w:val="none"/>
                      <w:shd w:val="clear" w:color="auto" w:fill="F7F2EB"/>
                    </w:rPr>
                    <w:t>GB /T9254 - 2021</w:t>
                  </w:r>
                  <w:r>
                    <w:rPr>
                      <w:rFonts w:hint="eastAsia" w:ascii="宋体" w:hAnsi="宋体" w:cs="宋体"/>
                      <w:color w:val="auto"/>
                      <w:szCs w:val="21"/>
                      <w:highlight w:val="none"/>
                    </w:rPr>
                    <w:t>《信息技术设备的无线电骚扰限值和测量方法》B 级</w:t>
                  </w:r>
                </w:p>
              </w:tc>
            </w:tr>
            <w:tr w14:paraId="6D88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C4667AC">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C892C64">
                  <w:pPr>
                    <w:jc w:val="center"/>
                    <w:rPr>
                      <w:rFonts w:ascii="宋体" w:hAnsi="宋体" w:cs="宋体"/>
                      <w:color w:val="auto"/>
                      <w:szCs w:val="21"/>
                      <w:highlight w:val="none"/>
                    </w:rPr>
                  </w:pPr>
                  <w:r>
                    <w:rPr>
                      <w:rFonts w:hint="eastAsia" w:ascii="宋体" w:hAnsi="宋体" w:cs="宋体"/>
                      <w:color w:val="auto"/>
                      <w:szCs w:val="21"/>
                      <w:highlight w:val="none"/>
                    </w:rPr>
                    <w:t>防水防尘</w:t>
                  </w:r>
                </w:p>
              </w:tc>
              <w:tc>
                <w:tcPr>
                  <w:tcW w:w="4083" w:type="dxa"/>
                  <w:tcBorders>
                    <w:top w:val="single" w:color="auto" w:sz="4" w:space="0"/>
                    <w:left w:val="single" w:color="auto" w:sz="4" w:space="0"/>
                    <w:bottom w:val="single" w:color="auto" w:sz="4" w:space="0"/>
                    <w:right w:val="single" w:color="auto" w:sz="4" w:space="0"/>
                  </w:tcBorders>
                  <w:vAlign w:val="center"/>
                </w:tcPr>
                <w:p w14:paraId="0CDB2650">
                  <w:pPr>
                    <w:jc w:val="center"/>
                    <w:rPr>
                      <w:rFonts w:ascii="宋体" w:hAnsi="宋体" w:cs="宋体"/>
                      <w:color w:val="auto"/>
                      <w:szCs w:val="21"/>
                      <w:highlight w:val="none"/>
                    </w:rPr>
                  </w:pPr>
                  <w:r>
                    <w:rPr>
                      <w:rFonts w:hint="eastAsia" w:ascii="宋体" w:hAnsi="宋体" w:cs="宋体"/>
                      <w:color w:val="auto"/>
                      <w:szCs w:val="21"/>
                      <w:highlight w:val="none"/>
                    </w:rPr>
                    <w:t>IP68, 符合</w:t>
                  </w:r>
                  <w:r>
                    <w:rPr>
                      <w:rFonts w:hint="eastAsia" w:ascii="宋体" w:hAnsi="宋体" w:cs="宋体"/>
                      <w:color w:val="auto"/>
                      <w:szCs w:val="21"/>
                      <w:highlight w:val="none"/>
                    </w:rPr>
                    <w:t>GB</w:t>
                  </w:r>
                  <w:r>
                    <w:rPr>
                      <w:rFonts w:ascii="宋体" w:hAnsi="宋体" w:cs="宋体"/>
                      <w:color w:val="auto"/>
                      <w:szCs w:val="21"/>
                      <w:highlight w:val="none"/>
                    </w:rPr>
                    <w:t>/T</w:t>
                  </w:r>
                  <w:r>
                    <w:rPr>
                      <w:rFonts w:hint="eastAsia" w:ascii="宋体" w:hAnsi="宋体" w:cs="宋体"/>
                      <w:color w:val="auto"/>
                      <w:szCs w:val="21"/>
                      <w:highlight w:val="none"/>
                    </w:rPr>
                    <w:t xml:space="preserve"> 4208-2017</w:t>
                  </w:r>
                  <w:r>
                    <w:rPr>
                      <w:rFonts w:hint="eastAsia" w:ascii="宋体" w:hAnsi="宋体" w:cs="宋体"/>
                      <w:color w:val="auto"/>
                      <w:szCs w:val="21"/>
                      <w:highlight w:val="none"/>
                    </w:rPr>
                    <w:t>标准</w:t>
                  </w:r>
                </w:p>
              </w:tc>
            </w:tr>
            <w:tr w14:paraId="14C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90F5C72">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5B715F">
                  <w:pPr>
                    <w:jc w:val="center"/>
                    <w:rPr>
                      <w:rFonts w:ascii="宋体" w:hAnsi="宋体" w:cs="宋体"/>
                      <w:color w:val="auto"/>
                      <w:szCs w:val="21"/>
                      <w:highlight w:val="none"/>
                    </w:rPr>
                  </w:pPr>
                  <w:r>
                    <w:rPr>
                      <w:rFonts w:hint="eastAsia" w:ascii="宋体" w:hAnsi="宋体" w:cs="宋体"/>
                      <w:color w:val="auto"/>
                      <w:szCs w:val="21"/>
                      <w:highlight w:val="none"/>
                    </w:rPr>
                    <w:t>湿热</w:t>
                  </w:r>
                </w:p>
              </w:tc>
              <w:tc>
                <w:tcPr>
                  <w:tcW w:w="4083" w:type="dxa"/>
                  <w:tcBorders>
                    <w:top w:val="single" w:color="auto" w:sz="4" w:space="0"/>
                    <w:left w:val="single" w:color="auto" w:sz="4" w:space="0"/>
                    <w:bottom w:val="single" w:color="auto" w:sz="4" w:space="0"/>
                    <w:right w:val="single" w:color="auto" w:sz="4" w:space="0"/>
                  </w:tcBorders>
                  <w:vAlign w:val="center"/>
                </w:tcPr>
                <w:p w14:paraId="47387632">
                  <w:pPr>
                    <w:jc w:val="center"/>
                    <w:rPr>
                      <w:rFonts w:ascii="宋体" w:hAnsi="宋体" w:cs="宋体"/>
                      <w:color w:val="auto"/>
                      <w:szCs w:val="21"/>
                      <w:highlight w:val="none"/>
                    </w:rPr>
                  </w:pPr>
                  <w:r>
                    <w:rPr>
                      <w:rFonts w:hint="eastAsia" w:ascii="宋体" w:hAnsi="宋体" w:cs="宋体"/>
                      <w:color w:val="auto"/>
                      <w:szCs w:val="21"/>
                      <w:highlight w:val="none"/>
                    </w:rPr>
                    <w:t>符合以下标准</w:t>
                  </w:r>
                </w:p>
                <w:p w14:paraId="59F6B965">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GJB 150.9A</w:t>
                  </w:r>
                </w:p>
                <w:p w14:paraId="624436EA">
                  <w:pPr>
                    <w:jc w:val="center"/>
                    <w:rPr>
                      <w:rFonts w:ascii="宋体" w:hAnsi="宋体" w:cs="宋体"/>
                      <w:color w:val="auto"/>
                      <w:szCs w:val="21"/>
                      <w:highlight w:val="none"/>
                    </w:rPr>
                  </w:pPr>
                  <w:r>
                    <w:rPr>
                      <w:rFonts w:hint="eastAsia" w:ascii="宋体" w:hAnsi="宋体" w:cs="宋体"/>
                      <w:color w:val="auto"/>
                      <w:szCs w:val="21"/>
                      <w:highlight w:val="none"/>
                    </w:rPr>
                    <w:t>GJB 367A</w:t>
                  </w:r>
                </w:p>
                <w:p w14:paraId="007C4209">
                  <w:pPr>
                    <w:jc w:val="center"/>
                    <w:rPr>
                      <w:rFonts w:ascii="宋体" w:hAnsi="宋体" w:cs="宋体"/>
                      <w:color w:val="auto"/>
                      <w:szCs w:val="21"/>
                      <w:highlight w:val="none"/>
                    </w:rPr>
                  </w:pPr>
                  <w:r>
                    <w:rPr>
                      <w:rFonts w:hint="eastAsia" w:ascii="宋体" w:hAnsi="宋体" w:cs="宋体"/>
                      <w:color w:val="auto"/>
                      <w:szCs w:val="21"/>
                      <w:highlight w:val="none"/>
                    </w:rPr>
                    <w:t>GB/T 2423.4-2008</w:t>
                  </w:r>
                </w:p>
              </w:tc>
            </w:tr>
            <w:tr w14:paraId="76C7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BB112E6">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110C438">
                  <w:pPr>
                    <w:jc w:val="center"/>
                    <w:rPr>
                      <w:rFonts w:ascii="宋体" w:hAnsi="宋体" w:cs="宋体"/>
                      <w:color w:val="auto"/>
                      <w:szCs w:val="21"/>
                      <w:highlight w:val="none"/>
                    </w:rPr>
                  </w:pPr>
                  <w:r>
                    <w:rPr>
                      <w:rFonts w:hint="eastAsia" w:ascii="宋体" w:hAnsi="宋体" w:cs="宋体"/>
                      <w:color w:val="auto"/>
                      <w:szCs w:val="21"/>
                      <w:highlight w:val="none"/>
                    </w:rPr>
                    <w:t>冲击和振动</w:t>
                  </w:r>
                </w:p>
              </w:tc>
              <w:tc>
                <w:tcPr>
                  <w:tcW w:w="4083" w:type="dxa"/>
                  <w:tcBorders>
                    <w:top w:val="single" w:color="auto" w:sz="4" w:space="0"/>
                    <w:left w:val="single" w:color="auto" w:sz="4" w:space="0"/>
                    <w:bottom w:val="single" w:color="auto" w:sz="4" w:space="0"/>
                    <w:right w:val="single" w:color="auto" w:sz="4" w:space="0"/>
                  </w:tcBorders>
                  <w:vAlign w:val="center"/>
                </w:tcPr>
                <w:p w14:paraId="7FED47B0">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GJB 150.16A</w:t>
                  </w:r>
                </w:p>
                <w:p w14:paraId="6151CFEB">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GJB 367A</w:t>
                  </w:r>
                </w:p>
                <w:p w14:paraId="6BE2E24C">
                  <w:pPr>
                    <w:jc w:val="center"/>
                    <w:rPr>
                      <w:rFonts w:ascii="宋体" w:hAnsi="宋体" w:cs="宋体"/>
                      <w:color w:val="auto"/>
                      <w:szCs w:val="21"/>
                      <w:highlight w:val="none"/>
                    </w:rPr>
                  </w:pPr>
                  <w:r>
                    <w:rPr>
                      <w:rFonts w:hint="eastAsia" w:ascii="宋体" w:hAnsi="宋体" w:cs="宋体"/>
                      <w:color w:val="auto"/>
                      <w:szCs w:val="21"/>
                      <w:highlight w:val="none"/>
                    </w:rPr>
                    <w:t>GJB  150.18A</w:t>
                  </w:r>
                </w:p>
                <w:p w14:paraId="4003B151">
                  <w:pPr>
                    <w:jc w:val="center"/>
                    <w:rPr>
                      <w:rFonts w:ascii="宋体" w:hAnsi="宋体" w:cs="宋体"/>
                      <w:color w:val="auto"/>
                      <w:szCs w:val="21"/>
                      <w:highlight w:val="none"/>
                    </w:rPr>
                  </w:pPr>
                  <w:r>
                    <w:rPr>
                      <w:rFonts w:hint="eastAsia" w:ascii="宋体" w:hAnsi="宋体" w:cs="宋体"/>
                      <w:color w:val="auto"/>
                      <w:szCs w:val="21"/>
                      <w:highlight w:val="none"/>
                    </w:rPr>
                    <w:t>GB/T 2423.10-2008</w:t>
                  </w:r>
                </w:p>
              </w:tc>
            </w:tr>
            <w:tr w14:paraId="4A3B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553F94C2">
                  <w:pPr>
                    <w:jc w:val="center"/>
                    <w:rPr>
                      <w:rFonts w:ascii="宋体" w:hAnsi="宋体" w:cs="宋体"/>
                      <w:color w:val="auto"/>
                      <w:szCs w:val="21"/>
                      <w:highlight w:val="none"/>
                    </w:rPr>
                  </w:pPr>
                  <w:r>
                    <w:rPr>
                      <w:rFonts w:hint="eastAsia" w:ascii="宋体" w:hAnsi="宋体" w:cs="宋体"/>
                      <w:color w:val="auto"/>
                      <w:szCs w:val="21"/>
                      <w:highlight w:val="none"/>
                    </w:rPr>
                    <w:t>蓝牙</w:t>
                  </w:r>
                </w:p>
              </w:tc>
              <w:tc>
                <w:tcPr>
                  <w:tcW w:w="1984" w:type="dxa"/>
                  <w:tcBorders>
                    <w:top w:val="single" w:color="auto" w:sz="4" w:space="0"/>
                    <w:left w:val="single" w:color="auto" w:sz="4" w:space="0"/>
                    <w:bottom w:val="single" w:color="auto" w:sz="4" w:space="0"/>
                    <w:right w:val="single" w:color="auto" w:sz="4" w:space="0"/>
                  </w:tcBorders>
                  <w:vAlign w:val="center"/>
                </w:tcPr>
                <w:p w14:paraId="49AFBF73">
                  <w:pPr>
                    <w:jc w:val="center"/>
                    <w:rPr>
                      <w:rFonts w:ascii="宋体" w:hAnsi="宋体" w:cs="宋体"/>
                      <w:color w:val="auto"/>
                      <w:szCs w:val="21"/>
                      <w:highlight w:val="none"/>
                    </w:rPr>
                  </w:pPr>
                  <w:r>
                    <w:rPr>
                      <w:rFonts w:hint="eastAsia" w:ascii="宋体" w:hAnsi="宋体" w:cs="宋体"/>
                      <w:color w:val="auto"/>
                      <w:szCs w:val="21"/>
                      <w:highlight w:val="none"/>
                    </w:rPr>
                    <w:t>版本</w:t>
                  </w:r>
                </w:p>
              </w:tc>
              <w:tc>
                <w:tcPr>
                  <w:tcW w:w="4083" w:type="dxa"/>
                  <w:tcBorders>
                    <w:top w:val="single" w:color="auto" w:sz="4" w:space="0"/>
                    <w:left w:val="single" w:color="auto" w:sz="4" w:space="0"/>
                    <w:bottom w:val="single" w:color="auto" w:sz="4" w:space="0"/>
                    <w:right w:val="single" w:color="auto" w:sz="4" w:space="0"/>
                  </w:tcBorders>
                  <w:vAlign w:val="center"/>
                </w:tcPr>
                <w:p w14:paraId="4FF7040C">
                  <w:pPr>
                    <w:jc w:val="center"/>
                    <w:rPr>
                      <w:rFonts w:ascii="宋体" w:hAnsi="宋体" w:cs="宋体"/>
                      <w:color w:val="auto"/>
                      <w:szCs w:val="21"/>
                      <w:highlight w:val="none"/>
                    </w:rPr>
                  </w:pPr>
                  <w:r>
                    <w:rPr>
                      <w:rFonts w:hint="eastAsia" w:ascii="宋体" w:hAnsi="宋体" w:cs="宋体"/>
                      <w:color w:val="auto"/>
                      <w:szCs w:val="21"/>
                      <w:highlight w:val="none"/>
                    </w:rPr>
                    <w:t>支持Bluetooth 4.0</w:t>
                  </w:r>
                </w:p>
              </w:tc>
            </w:tr>
            <w:tr w14:paraId="4C07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54F3513">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52760A3">
                  <w:pPr>
                    <w:jc w:val="center"/>
                    <w:rPr>
                      <w:rFonts w:ascii="宋体" w:hAnsi="宋体" w:cs="宋体"/>
                      <w:color w:val="auto"/>
                      <w:szCs w:val="21"/>
                      <w:highlight w:val="none"/>
                    </w:rPr>
                  </w:pPr>
                  <w:r>
                    <w:rPr>
                      <w:rFonts w:hint="eastAsia" w:ascii="宋体" w:hAnsi="宋体" w:cs="宋体"/>
                      <w:color w:val="auto"/>
                      <w:szCs w:val="21"/>
                      <w:highlight w:val="none"/>
                    </w:rPr>
                    <w:t>范围</w:t>
                  </w:r>
                </w:p>
              </w:tc>
              <w:tc>
                <w:tcPr>
                  <w:tcW w:w="4083" w:type="dxa"/>
                  <w:tcBorders>
                    <w:top w:val="single" w:color="auto" w:sz="4" w:space="0"/>
                    <w:left w:val="single" w:color="auto" w:sz="4" w:space="0"/>
                    <w:bottom w:val="single" w:color="auto" w:sz="4" w:space="0"/>
                    <w:right w:val="single" w:color="auto" w:sz="4" w:space="0"/>
                  </w:tcBorders>
                  <w:vAlign w:val="center"/>
                </w:tcPr>
                <w:p w14:paraId="33860453">
                  <w:pPr>
                    <w:jc w:val="center"/>
                    <w:rPr>
                      <w:rFonts w:ascii="宋体" w:hAnsi="宋体" w:cs="宋体"/>
                      <w:color w:val="auto"/>
                      <w:szCs w:val="21"/>
                      <w:highlight w:val="none"/>
                    </w:rPr>
                  </w:pPr>
                  <w:r>
                    <w:rPr>
                      <w:rFonts w:hint="eastAsia" w:ascii="宋体" w:hAnsi="宋体" w:cs="宋体"/>
                      <w:color w:val="auto"/>
                      <w:szCs w:val="21"/>
                      <w:highlight w:val="none"/>
                    </w:rPr>
                    <w:t>2类，10米</w:t>
                  </w:r>
                </w:p>
              </w:tc>
            </w:tr>
            <w:tr w14:paraId="22D7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1FBF914E">
                  <w:pPr>
                    <w:jc w:val="center"/>
                    <w:rPr>
                      <w:rFonts w:ascii="宋体" w:hAnsi="宋体" w:cs="宋体"/>
                      <w:color w:val="auto"/>
                      <w:szCs w:val="21"/>
                      <w:highlight w:val="none"/>
                    </w:rPr>
                  </w:pPr>
                  <w:r>
                    <w:rPr>
                      <w:rFonts w:hint="eastAsia" w:ascii="宋体" w:hAnsi="宋体" w:cs="宋体"/>
                      <w:color w:val="auto"/>
                      <w:szCs w:val="21"/>
                      <w:highlight w:val="none"/>
                    </w:rPr>
                    <w:t>防水防尘</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1987280C">
                  <w:pPr>
                    <w:jc w:val="center"/>
                    <w:rPr>
                      <w:rFonts w:ascii="宋体" w:hAnsi="宋体" w:cs="宋体"/>
                      <w:color w:val="auto"/>
                      <w:szCs w:val="21"/>
                      <w:highlight w:val="none"/>
                    </w:rPr>
                  </w:pPr>
                  <w:r>
                    <w:rPr>
                      <w:rFonts w:hint="eastAsia" w:ascii="宋体" w:hAnsi="宋体" w:cs="宋体"/>
                      <w:color w:val="auto"/>
                      <w:szCs w:val="21"/>
                      <w:highlight w:val="none"/>
                    </w:rPr>
                    <w:t>IP68防尘防水等级</w:t>
                  </w:r>
                </w:p>
              </w:tc>
            </w:tr>
            <w:tr w14:paraId="18E4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5E72B653">
                  <w:pPr>
                    <w:jc w:val="center"/>
                    <w:rPr>
                      <w:rFonts w:ascii="宋体" w:hAnsi="宋体" w:cs="宋体"/>
                      <w:color w:val="auto"/>
                      <w:szCs w:val="21"/>
                      <w:highlight w:val="none"/>
                    </w:rPr>
                  </w:pPr>
                  <w:r>
                    <w:rPr>
                      <w:rFonts w:hint="eastAsia" w:ascii="宋体" w:hAnsi="宋体" w:cs="宋体"/>
                      <w:color w:val="auto"/>
                      <w:szCs w:val="21"/>
                      <w:highlight w:val="none"/>
                    </w:rPr>
                    <w:t>充电器规格</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03655A90">
                  <w:pPr>
                    <w:jc w:val="center"/>
                    <w:rPr>
                      <w:rFonts w:ascii="宋体" w:hAnsi="宋体" w:cs="宋体"/>
                      <w:color w:val="auto"/>
                      <w:szCs w:val="21"/>
                      <w:highlight w:val="none"/>
                    </w:rPr>
                  </w:pPr>
                  <w:r>
                    <w:rPr>
                      <w:rFonts w:hint="eastAsia" w:ascii="宋体" w:hAnsi="宋体" w:cs="宋体"/>
                      <w:color w:val="auto"/>
                      <w:szCs w:val="21"/>
                      <w:highlight w:val="none"/>
                    </w:rPr>
                    <w:t>1+1充电器,可同时充两块电池</w:t>
                  </w:r>
                </w:p>
              </w:tc>
            </w:tr>
            <w:tr w14:paraId="324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4C07DFA4">
                  <w:pPr>
                    <w:jc w:val="center"/>
                    <w:rPr>
                      <w:rFonts w:ascii="宋体" w:hAnsi="宋体" w:cs="宋体"/>
                      <w:color w:val="auto"/>
                      <w:szCs w:val="21"/>
                      <w:highlight w:val="none"/>
                    </w:rPr>
                  </w:pPr>
                  <w:r>
                    <w:rPr>
                      <w:rFonts w:hint="eastAsia" w:ascii="宋体" w:hAnsi="宋体" w:cs="宋体"/>
                      <w:color w:val="auto"/>
                      <w:szCs w:val="21"/>
                      <w:highlight w:val="none"/>
                    </w:rPr>
                    <w:t>声码器</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5A8D6604">
                  <w:pPr>
                    <w:jc w:val="left"/>
                    <w:rPr>
                      <w:rFonts w:ascii="宋体" w:hAnsi="宋体" w:cs="宋体"/>
                      <w:b/>
                      <w:color w:val="auto"/>
                      <w:szCs w:val="21"/>
                      <w:highlight w:val="none"/>
                    </w:rPr>
                  </w:pPr>
                  <w:r>
                    <w:rPr>
                      <w:rFonts w:hint="eastAsia" w:ascii="宋体" w:hAnsi="宋体" w:cs="宋体"/>
                      <w:color w:val="auto"/>
                      <w:szCs w:val="21"/>
                      <w:highlight w:val="none"/>
                    </w:rPr>
                    <w:t>支持AMBE+NVOC声码器,支持通过UI菜单选择NVOC和AMBE声码器。</w:t>
                  </w:r>
                </w:p>
              </w:tc>
            </w:tr>
            <w:tr w14:paraId="684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545C2FAD">
                  <w:pPr>
                    <w:jc w:val="center"/>
                    <w:rPr>
                      <w:rFonts w:ascii="宋体" w:hAnsi="宋体" w:cs="宋体"/>
                      <w:color w:val="auto"/>
                      <w:szCs w:val="21"/>
                      <w:highlight w:val="none"/>
                    </w:rPr>
                  </w:pPr>
                  <w:r>
                    <w:rPr>
                      <w:rFonts w:hint="eastAsia" w:ascii="宋体" w:hAnsi="宋体" w:cs="宋体"/>
                      <w:color w:val="auto"/>
                      <w:szCs w:val="21"/>
                      <w:highlight w:val="none"/>
                    </w:rPr>
                    <w:t>PDT基站辅助控制信道</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7BBFF174">
                  <w:pPr>
                    <w:jc w:val="left"/>
                    <w:rPr>
                      <w:rFonts w:ascii="宋体" w:hAnsi="宋体" w:cs="宋体"/>
                      <w:b/>
                      <w:color w:val="auto"/>
                      <w:szCs w:val="21"/>
                      <w:highlight w:val="none"/>
                    </w:rPr>
                  </w:pPr>
                  <w:r>
                    <w:rPr>
                      <w:rFonts w:hint="eastAsia"/>
                      <w:color w:val="auto"/>
                      <w:highlight w:val="none"/>
                    </w:rPr>
                    <w:t>★</w:t>
                  </w:r>
                  <w:r>
                    <w:rPr>
                      <w:rFonts w:hint="eastAsia" w:ascii="宋体" w:hAnsi="宋体" w:cs="宋体"/>
                      <w:color w:val="auto"/>
                      <w:szCs w:val="21"/>
                      <w:highlight w:val="none"/>
                    </w:rPr>
                    <w:t>支持PDT基站辅控功能，根据基站的辅助控制信道个数自动适配登记到对应的控制/辅控信道。</w:t>
                  </w:r>
                </w:p>
              </w:tc>
            </w:tr>
            <w:tr w14:paraId="01BE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6839516D">
                  <w:pPr>
                    <w:jc w:val="center"/>
                    <w:rPr>
                      <w:rFonts w:ascii="宋体" w:hAnsi="宋体" w:cs="宋体"/>
                      <w:color w:val="auto"/>
                      <w:szCs w:val="21"/>
                      <w:highlight w:val="none"/>
                    </w:rPr>
                  </w:pPr>
                  <w:r>
                    <w:rPr>
                      <w:rFonts w:hint="eastAsia" w:ascii="宋体" w:hAnsi="宋体" w:cs="宋体"/>
                      <w:color w:val="auto"/>
                      <w:szCs w:val="21"/>
                      <w:highlight w:val="none"/>
                    </w:rPr>
                    <w:t>数字集群终端设备</w:t>
                  </w:r>
                </w:p>
                <w:p w14:paraId="223D73AF">
                  <w:pPr>
                    <w:jc w:val="center"/>
                    <w:rPr>
                      <w:rFonts w:ascii="宋体" w:hAnsi="宋体" w:cs="宋体"/>
                      <w:color w:val="auto"/>
                      <w:szCs w:val="21"/>
                      <w:highlight w:val="none"/>
                    </w:rPr>
                  </w:pPr>
                  <w:r>
                    <w:rPr>
                      <w:rFonts w:hint="eastAsia" w:ascii="宋体" w:hAnsi="宋体" w:cs="宋体"/>
                      <w:color w:val="auto"/>
                      <w:szCs w:val="21"/>
                      <w:highlight w:val="none"/>
                    </w:rPr>
                    <w:t>单键报备</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7F794B52">
                  <w:pPr>
                    <w:jc w:val="left"/>
                    <w:rPr>
                      <w:rFonts w:ascii="宋体" w:hAnsi="宋体" w:cs="宋体"/>
                      <w:color w:val="auto"/>
                      <w:szCs w:val="21"/>
                      <w:highlight w:val="none"/>
                    </w:rPr>
                  </w:pPr>
                  <w:r>
                    <w:rPr>
                      <w:rFonts w:hint="eastAsia" w:ascii="宋体" w:hAnsi="宋体" w:cs="宋体"/>
                      <w:color w:val="auto"/>
                      <w:szCs w:val="21"/>
                      <w:highlight w:val="none"/>
                    </w:rPr>
                    <w:t>可对数字集群终端设备进行单键设置，分别设置单键组呼、单键单呼、单键短信发送等功能，数字集群终端设备长按已设置的单键功能就可实现以上功能。</w:t>
                  </w:r>
                </w:p>
              </w:tc>
            </w:tr>
            <w:tr w14:paraId="327C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3CA5F2C6">
                  <w:pPr>
                    <w:jc w:val="center"/>
                    <w:rPr>
                      <w:rFonts w:ascii="宋体" w:hAnsi="宋体" w:cs="宋体"/>
                      <w:color w:val="auto"/>
                      <w:szCs w:val="21"/>
                      <w:highlight w:val="none"/>
                    </w:rPr>
                  </w:pPr>
                  <w:r>
                    <w:rPr>
                      <w:rFonts w:hint="eastAsia" w:ascii="宋体" w:hAnsi="宋体" w:cs="宋体"/>
                      <w:color w:val="auto"/>
                      <w:szCs w:val="21"/>
                      <w:highlight w:val="none"/>
                    </w:rPr>
                    <w:t>智能上传数字集群终端设备场强和电量信息</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111D2996">
                  <w:pPr>
                    <w:jc w:val="left"/>
                    <w:rPr>
                      <w:rFonts w:ascii="宋体" w:hAnsi="宋体" w:cs="宋体"/>
                      <w:b/>
                      <w:color w:val="auto"/>
                      <w:szCs w:val="21"/>
                      <w:highlight w:val="none"/>
                    </w:rPr>
                  </w:pPr>
                  <w:r>
                    <w:rPr>
                      <w:rFonts w:hint="eastAsia"/>
                      <w:color w:val="auto"/>
                      <w:highlight w:val="none"/>
                    </w:rPr>
                    <w:t>★</w:t>
                  </w:r>
                  <w:r>
                    <w:rPr>
                      <w:rFonts w:hint="eastAsia" w:ascii="宋体" w:hAnsi="宋体" w:cs="宋体"/>
                      <w:color w:val="auto"/>
                      <w:szCs w:val="21"/>
                      <w:highlight w:val="none"/>
                    </w:rPr>
                    <w:t>开启数字集群终端设备后，自动进行场强和电量上报,系统后台可以实时掌握场强信息和终端电量信息。</w:t>
                  </w:r>
                </w:p>
              </w:tc>
            </w:tr>
            <w:tr w14:paraId="77B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6DC09EF8">
                  <w:pPr>
                    <w:jc w:val="center"/>
                    <w:rPr>
                      <w:rFonts w:ascii="宋体" w:hAnsi="宋体" w:cs="宋体"/>
                      <w:color w:val="auto"/>
                      <w:szCs w:val="21"/>
                      <w:highlight w:val="none"/>
                    </w:rPr>
                  </w:pPr>
                  <w:r>
                    <w:rPr>
                      <w:rFonts w:hint="eastAsia" w:ascii="宋体" w:hAnsi="宋体" w:cs="宋体"/>
                      <w:color w:val="auto"/>
                      <w:szCs w:val="21"/>
                      <w:highlight w:val="none"/>
                    </w:rPr>
                    <w:t>终端设备管理服务</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66AD7CE5">
                  <w:pPr>
                    <w:jc w:val="left"/>
                    <w:rPr>
                      <w:rFonts w:ascii="宋体" w:hAnsi="宋体" w:cs="宋体"/>
                      <w:color w:val="auto"/>
                      <w:szCs w:val="21"/>
                      <w:highlight w:val="none"/>
                    </w:rPr>
                  </w:pPr>
                  <w:r>
                    <w:rPr>
                      <w:rFonts w:hint="eastAsia" w:ascii="宋体" w:hAnsi="宋体" w:cs="宋体"/>
                      <w:color w:val="auto"/>
                      <w:szCs w:val="21"/>
                      <w:highlight w:val="none"/>
                    </w:rPr>
                    <w:t>▲提供基于GIS的监控及管理服务，通过有线链路接入杭州市公安局PDT数字集群系统交换中心服务器。实现交警支队对PDT数字集群终端设备的遥晕、遥启、录音等操作。</w:t>
                  </w:r>
                </w:p>
              </w:tc>
            </w:tr>
            <w:tr w14:paraId="2B5C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11B3D92F">
                  <w:pPr>
                    <w:jc w:val="center"/>
                    <w:rPr>
                      <w:rFonts w:ascii="宋体" w:hAnsi="宋体" w:cs="宋体"/>
                      <w:color w:val="auto"/>
                      <w:szCs w:val="21"/>
                      <w:highlight w:val="none"/>
                    </w:rPr>
                  </w:pPr>
                  <w:r>
                    <w:rPr>
                      <w:rFonts w:hint="eastAsia" w:ascii="宋体" w:hAnsi="宋体" w:cs="宋体"/>
                      <w:color w:val="auto"/>
                      <w:szCs w:val="21"/>
                      <w:highlight w:val="none"/>
                    </w:rPr>
                    <w:t>配件</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2629A58F">
                  <w:pPr>
                    <w:jc w:val="left"/>
                    <w:rPr>
                      <w:rFonts w:ascii="宋体" w:hAnsi="宋体" w:cs="宋体"/>
                      <w:color w:val="auto"/>
                      <w:szCs w:val="21"/>
                      <w:highlight w:val="none"/>
                    </w:rPr>
                  </w:pPr>
                  <w:r>
                    <w:rPr>
                      <w:rFonts w:hint="eastAsia" w:ascii="宋体" w:hAnsi="宋体" w:cs="宋体"/>
                      <w:color w:val="auto"/>
                      <w:szCs w:val="21"/>
                      <w:highlight w:val="none"/>
                    </w:rPr>
                    <w:t>▲冗余电池260块、耳麦60套</w:t>
                  </w:r>
                </w:p>
              </w:tc>
            </w:tr>
          </w:tbl>
          <w:p w14:paraId="4E29F999">
            <w:pPr>
              <w:ind w:firstLine="480"/>
              <w:rPr>
                <w:rFonts w:ascii="宋体" w:hAnsi="宋体" w:cs="宋体"/>
                <w:b/>
                <w:bCs/>
                <w:color w:val="auto"/>
                <w:highlight w:val="none"/>
              </w:rPr>
            </w:pPr>
          </w:p>
          <w:p w14:paraId="54393E84">
            <w:pPr>
              <w:ind w:firstLine="480"/>
              <w:rPr>
                <w:rFonts w:ascii="宋体" w:hAnsi="宋体" w:cs="宋体"/>
                <w:color w:val="auto"/>
                <w:highlight w:val="none"/>
              </w:rPr>
            </w:pPr>
            <w:r>
              <w:rPr>
                <w:rFonts w:hint="eastAsia" w:ascii="宋体" w:hAnsi="宋体" w:cs="宋体"/>
                <w:color w:val="auto"/>
                <w:highlight w:val="none"/>
              </w:rPr>
              <w:t>2.加密卡参数</w:t>
            </w:r>
          </w:p>
          <w:tbl>
            <w:tblPr>
              <w:tblStyle w:val="63"/>
              <w:tblW w:w="43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782"/>
              <w:gridCol w:w="5457"/>
              <w:gridCol w:w="906"/>
            </w:tblGrid>
            <w:tr w14:paraId="29C2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2" w:type="dxa"/>
                  <w:tcBorders>
                    <w:top w:val="single" w:color="auto" w:sz="4" w:space="0"/>
                    <w:left w:val="single" w:color="auto" w:sz="4" w:space="0"/>
                    <w:bottom w:val="single" w:color="auto" w:sz="4" w:space="0"/>
                    <w:right w:val="single" w:color="auto" w:sz="4" w:space="0"/>
                  </w:tcBorders>
                  <w:noWrap/>
                  <w:vAlign w:val="center"/>
                </w:tcPr>
                <w:p w14:paraId="26672209">
                  <w:pPr>
                    <w:jc w:val="left"/>
                    <w:rPr>
                      <w:rFonts w:ascii="宋体" w:hAnsi="宋体" w:cs="宋体"/>
                      <w:color w:val="auto"/>
                      <w:szCs w:val="21"/>
                      <w:highlight w:val="none"/>
                    </w:rPr>
                  </w:pPr>
                  <w:r>
                    <w:rPr>
                      <w:rFonts w:hint="eastAsia" w:ascii="宋体" w:hAnsi="宋体" w:cs="宋体"/>
                      <w:color w:val="auto"/>
                      <w:szCs w:val="21"/>
                      <w:highlight w:val="none"/>
                    </w:rPr>
                    <w:t>序号</w:t>
                  </w:r>
                </w:p>
              </w:tc>
              <w:tc>
                <w:tcPr>
                  <w:tcW w:w="746" w:type="dxa"/>
                  <w:tcBorders>
                    <w:top w:val="single" w:color="auto" w:sz="4" w:space="0"/>
                    <w:left w:val="nil"/>
                    <w:bottom w:val="single" w:color="auto" w:sz="4" w:space="0"/>
                    <w:right w:val="single" w:color="auto" w:sz="4" w:space="0"/>
                  </w:tcBorders>
                  <w:noWrap/>
                  <w:vAlign w:val="center"/>
                </w:tcPr>
                <w:p w14:paraId="38FA3643">
                  <w:pPr>
                    <w:jc w:val="left"/>
                    <w:rPr>
                      <w:rFonts w:ascii="宋体" w:hAnsi="宋体" w:cs="宋体"/>
                      <w:color w:val="auto"/>
                      <w:szCs w:val="21"/>
                      <w:highlight w:val="none"/>
                    </w:rPr>
                  </w:pPr>
                  <w:r>
                    <w:rPr>
                      <w:rFonts w:hint="eastAsia" w:ascii="宋体" w:hAnsi="宋体" w:cs="宋体"/>
                      <w:color w:val="auto"/>
                      <w:szCs w:val="21"/>
                      <w:highlight w:val="none"/>
                    </w:rPr>
                    <w:t>内容明细</w:t>
                  </w:r>
                </w:p>
              </w:tc>
              <w:tc>
                <w:tcPr>
                  <w:tcW w:w="5204" w:type="dxa"/>
                  <w:tcBorders>
                    <w:top w:val="single" w:color="auto" w:sz="4" w:space="0"/>
                    <w:left w:val="nil"/>
                    <w:bottom w:val="single" w:color="auto" w:sz="4" w:space="0"/>
                    <w:right w:val="single" w:color="auto" w:sz="4" w:space="0"/>
                  </w:tcBorders>
                  <w:noWrap/>
                  <w:vAlign w:val="center"/>
                </w:tcPr>
                <w:p w14:paraId="1AC9F3FB">
                  <w:pPr>
                    <w:jc w:val="left"/>
                    <w:rPr>
                      <w:rFonts w:ascii="宋体" w:hAnsi="宋体" w:cs="宋体"/>
                      <w:color w:val="auto"/>
                      <w:szCs w:val="21"/>
                      <w:highlight w:val="none"/>
                    </w:rPr>
                  </w:pPr>
                  <w:r>
                    <w:rPr>
                      <w:rFonts w:hint="eastAsia" w:ascii="宋体" w:hAnsi="宋体" w:cs="宋体"/>
                      <w:color w:val="auto"/>
                      <w:szCs w:val="21"/>
                      <w:highlight w:val="none"/>
                    </w:rPr>
                    <w:t>规格（技术参数）</w:t>
                  </w:r>
                </w:p>
              </w:tc>
              <w:tc>
                <w:tcPr>
                  <w:tcW w:w="863" w:type="dxa"/>
                  <w:tcBorders>
                    <w:top w:val="single" w:color="auto" w:sz="4" w:space="0"/>
                    <w:left w:val="nil"/>
                    <w:bottom w:val="single" w:color="auto" w:sz="4" w:space="0"/>
                    <w:right w:val="single" w:color="auto" w:sz="4" w:space="0"/>
                  </w:tcBorders>
                  <w:noWrap/>
                  <w:vAlign w:val="center"/>
                </w:tcPr>
                <w:p w14:paraId="03BD4FB7">
                  <w:pPr>
                    <w:jc w:val="left"/>
                    <w:rPr>
                      <w:rFonts w:ascii="宋体" w:hAnsi="宋体" w:cs="宋体"/>
                      <w:color w:val="auto"/>
                      <w:szCs w:val="21"/>
                      <w:highlight w:val="none"/>
                    </w:rPr>
                  </w:pPr>
                  <w:r>
                    <w:rPr>
                      <w:rFonts w:hint="eastAsia" w:ascii="宋体" w:hAnsi="宋体" w:cs="宋体"/>
                      <w:color w:val="auto"/>
                      <w:szCs w:val="21"/>
                      <w:highlight w:val="none"/>
                    </w:rPr>
                    <w:t>数量</w:t>
                  </w:r>
                </w:p>
              </w:tc>
            </w:tr>
            <w:tr w14:paraId="0013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2" w:type="dxa"/>
                  <w:tcBorders>
                    <w:top w:val="single" w:color="auto" w:sz="4" w:space="0"/>
                    <w:left w:val="single" w:color="auto" w:sz="4" w:space="0"/>
                    <w:bottom w:val="single" w:color="auto" w:sz="4" w:space="0"/>
                    <w:right w:val="single" w:color="auto" w:sz="4" w:space="0"/>
                  </w:tcBorders>
                  <w:noWrap/>
                  <w:vAlign w:val="center"/>
                </w:tcPr>
                <w:p w14:paraId="72173F43">
                  <w:pPr>
                    <w:jc w:val="left"/>
                    <w:rPr>
                      <w:rFonts w:ascii="宋体" w:hAnsi="宋体" w:cs="宋体"/>
                      <w:color w:val="auto"/>
                      <w:szCs w:val="21"/>
                      <w:highlight w:val="none"/>
                    </w:rPr>
                  </w:pPr>
                  <w:r>
                    <w:rPr>
                      <w:rFonts w:hint="eastAsia" w:ascii="宋体" w:hAnsi="宋体" w:cs="宋体"/>
                      <w:color w:val="auto"/>
                      <w:szCs w:val="21"/>
                      <w:highlight w:val="none"/>
                    </w:rPr>
                    <w:t>1</w:t>
                  </w:r>
                </w:p>
              </w:tc>
              <w:tc>
                <w:tcPr>
                  <w:tcW w:w="746" w:type="dxa"/>
                  <w:tcBorders>
                    <w:top w:val="single" w:color="auto" w:sz="4" w:space="0"/>
                    <w:left w:val="nil"/>
                    <w:bottom w:val="single" w:color="auto" w:sz="4" w:space="0"/>
                    <w:right w:val="single" w:color="auto" w:sz="4" w:space="0"/>
                  </w:tcBorders>
                  <w:noWrap/>
                  <w:vAlign w:val="center"/>
                </w:tcPr>
                <w:p w14:paraId="64ACD85C">
                  <w:pPr>
                    <w:jc w:val="left"/>
                    <w:rPr>
                      <w:rFonts w:ascii="宋体" w:hAnsi="宋体" w:cs="宋体"/>
                      <w:color w:val="auto"/>
                      <w:szCs w:val="21"/>
                      <w:highlight w:val="none"/>
                    </w:rPr>
                  </w:pPr>
                  <w:r>
                    <w:rPr>
                      <w:rFonts w:hint="eastAsia" w:ascii="宋体" w:hAnsi="宋体" w:cs="宋体"/>
                      <w:color w:val="auto"/>
                      <w:szCs w:val="21"/>
                      <w:highlight w:val="none"/>
                    </w:rPr>
                    <w:t>PDT加密卡</w:t>
                  </w:r>
                </w:p>
              </w:tc>
              <w:tc>
                <w:tcPr>
                  <w:tcW w:w="5204" w:type="dxa"/>
                  <w:tcBorders>
                    <w:top w:val="single" w:color="auto" w:sz="4" w:space="0"/>
                    <w:left w:val="nil"/>
                    <w:bottom w:val="single" w:color="auto" w:sz="4" w:space="0"/>
                    <w:right w:val="single" w:color="auto" w:sz="4" w:space="0"/>
                  </w:tcBorders>
                  <w:noWrap/>
                  <w:vAlign w:val="center"/>
                </w:tcPr>
                <w:p w14:paraId="3266009D">
                  <w:pPr>
                    <w:jc w:val="left"/>
                    <w:rPr>
                      <w:rFonts w:ascii="宋体" w:hAnsi="宋体" w:cs="宋体"/>
                      <w:color w:val="auto"/>
                      <w:szCs w:val="21"/>
                      <w:highlight w:val="none"/>
                    </w:rPr>
                  </w:pPr>
                  <w:r>
                    <w:rPr>
                      <w:rFonts w:hint="eastAsia" w:ascii="宋体" w:hAnsi="宋体" w:cs="宋体"/>
                      <w:color w:val="auto"/>
                      <w:szCs w:val="21"/>
                      <w:highlight w:val="none"/>
                    </w:rPr>
                    <w:t>1、尺寸规格</w:t>
                  </w:r>
                </w:p>
                <w:p w14:paraId="552E7BD3">
                  <w:pPr>
                    <w:jc w:val="left"/>
                    <w:rPr>
                      <w:rFonts w:ascii="宋体" w:hAnsi="宋体" w:cs="宋体"/>
                      <w:color w:val="auto"/>
                      <w:szCs w:val="21"/>
                      <w:highlight w:val="none"/>
                    </w:rPr>
                  </w:pPr>
                  <w:r>
                    <w:rPr>
                      <w:rFonts w:hint="eastAsia" w:ascii="宋体" w:hAnsi="宋体" w:cs="宋体"/>
                      <w:color w:val="auto"/>
                      <w:szCs w:val="21"/>
                      <w:highlight w:val="none"/>
                    </w:rPr>
                    <w:t>Micro SD卡尺寸：长15.0mm×宽11.0mm×厚1.0 mm</w:t>
                  </w:r>
                </w:p>
                <w:p w14:paraId="7610BA0A">
                  <w:pPr>
                    <w:jc w:val="left"/>
                    <w:rPr>
                      <w:rFonts w:ascii="宋体" w:hAnsi="宋体" w:cs="宋体"/>
                      <w:color w:val="auto"/>
                      <w:szCs w:val="21"/>
                      <w:highlight w:val="none"/>
                    </w:rPr>
                  </w:pPr>
                  <w:r>
                    <w:rPr>
                      <w:rFonts w:hint="eastAsia" w:ascii="宋体" w:hAnsi="宋体" w:cs="宋体"/>
                      <w:color w:val="auto"/>
                      <w:szCs w:val="21"/>
                      <w:highlight w:val="none"/>
                    </w:rPr>
                    <w:t>2、主要技术性能</w:t>
                  </w:r>
                </w:p>
                <w:p w14:paraId="0B5A1052">
                  <w:pPr>
                    <w:jc w:val="left"/>
                    <w:rPr>
                      <w:rFonts w:ascii="宋体" w:hAnsi="宋体" w:cs="宋体"/>
                      <w:color w:val="auto"/>
                      <w:szCs w:val="21"/>
                      <w:highlight w:val="none"/>
                    </w:rPr>
                  </w:pPr>
                  <w:r>
                    <w:rPr>
                      <w:rFonts w:hint="eastAsia" w:ascii="宋体" w:hAnsi="宋体" w:cs="宋体"/>
                      <w:color w:val="auto"/>
                      <w:szCs w:val="21"/>
                      <w:highlight w:val="none"/>
                    </w:rPr>
                    <w:t>（1）配合终端实现双向鉴权功能、序列号同步功能、安全的遥晕/遥毙/复活功能；</w:t>
                  </w:r>
                </w:p>
                <w:p w14:paraId="483C9117">
                  <w:pPr>
                    <w:jc w:val="left"/>
                    <w:rPr>
                      <w:rFonts w:ascii="宋体" w:hAnsi="宋体" w:cs="宋体"/>
                      <w:color w:val="auto"/>
                      <w:szCs w:val="21"/>
                      <w:highlight w:val="none"/>
                    </w:rPr>
                  </w:pPr>
                  <w:r>
                    <w:rPr>
                      <w:rFonts w:hint="eastAsia" w:ascii="宋体" w:hAnsi="宋体" w:cs="宋体"/>
                      <w:color w:val="auto"/>
                      <w:szCs w:val="21"/>
                      <w:highlight w:val="none"/>
                    </w:rPr>
                    <w:t>（2）配合终端实现端到端密钥管理和端到端加密功能；</w:t>
                  </w:r>
                </w:p>
                <w:p w14:paraId="4A104AD4">
                  <w:pPr>
                    <w:jc w:val="left"/>
                    <w:rPr>
                      <w:rFonts w:ascii="宋体" w:hAnsi="宋体" w:cs="宋体"/>
                      <w:color w:val="auto"/>
                      <w:szCs w:val="21"/>
                      <w:highlight w:val="none"/>
                    </w:rPr>
                  </w:pPr>
                  <w:r>
                    <w:rPr>
                      <w:rFonts w:hint="eastAsia" w:ascii="宋体" w:hAnsi="宋体" w:cs="宋体"/>
                      <w:color w:val="auto"/>
                      <w:szCs w:val="21"/>
                      <w:highlight w:val="none"/>
                    </w:rPr>
                    <w:t>（3）使用国家密码管理局认可的商用密码算法，做为专用的安全硬件模块生成、 存储和使用鉴权及端到端加密主密钥；</w:t>
                  </w:r>
                </w:p>
                <w:p w14:paraId="5B4F9542">
                  <w:pPr>
                    <w:jc w:val="left"/>
                    <w:rPr>
                      <w:rFonts w:ascii="宋体" w:hAnsi="宋体" w:cs="宋体"/>
                      <w:color w:val="auto"/>
                      <w:szCs w:val="21"/>
                      <w:highlight w:val="none"/>
                    </w:rPr>
                  </w:pPr>
                  <w:r>
                    <w:rPr>
                      <w:rFonts w:hint="eastAsia" w:ascii="宋体" w:hAnsi="宋体" w:cs="宋体"/>
                      <w:color w:val="auto"/>
                      <w:szCs w:val="21"/>
                      <w:highlight w:val="none"/>
                    </w:rPr>
                    <w:t>（4）加密处理性能200Mb/s；</w:t>
                  </w:r>
                </w:p>
                <w:p w14:paraId="22FCFE0E">
                  <w:pPr>
                    <w:jc w:val="left"/>
                    <w:rPr>
                      <w:rFonts w:ascii="宋体" w:hAnsi="宋体" w:cs="宋体"/>
                      <w:color w:val="auto"/>
                      <w:szCs w:val="21"/>
                      <w:highlight w:val="none"/>
                    </w:rPr>
                  </w:pPr>
                  <w:r>
                    <w:rPr>
                      <w:rFonts w:hint="eastAsia" w:ascii="宋体" w:hAnsi="宋体" w:cs="宋体"/>
                      <w:color w:val="auto"/>
                      <w:szCs w:val="21"/>
                      <w:highlight w:val="none"/>
                    </w:rPr>
                    <w:t>（5）可支持不少于100个加密通话组；</w:t>
                  </w:r>
                </w:p>
                <w:p w14:paraId="64ACB3FB">
                  <w:pPr>
                    <w:jc w:val="left"/>
                    <w:rPr>
                      <w:rFonts w:ascii="宋体" w:hAnsi="宋体" w:cs="宋体"/>
                      <w:color w:val="auto"/>
                      <w:szCs w:val="21"/>
                      <w:highlight w:val="none"/>
                    </w:rPr>
                  </w:pPr>
                  <w:r>
                    <w:rPr>
                      <w:rFonts w:hint="eastAsia" w:ascii="宋体" w:hAnsi="宋体" w:cs="宋体"/>
                      <w:color w:val="auto"/>
                      <w:szCs w:val="21"/>
                      <w:highlight w:val="none"/>
                    </w:rPr>
                    <w:t>（6）接口响应时间不大于30ms。</w:t>
                  </w:r>
                </w:p>
              </w:tc>
              <w:tc>
                <w:tcPr>
                  <w:tcW w:w="863" w:type="dxa"/>
                  <w:tcBorders>
                    <w:top w:val="single" w:color="auto" w:sz="4" w:space="0"/>
                    <w:left w:val="nil"/>
                    <w:bottom w:val="single" w:color="auto" w:sz="4" w:space="0"/>
                    <w:right w:val="single" w:color="auto" w:sz="4" w:space="0"/>
                  </w:tcBorders>
                  <w:noWrap/>
                  <w:vAlign w:val="center"/>
                </w:tcPr>
                <w:p w14:paraId="5897060F">
                  <w:pPr>
                    <w:jc w:val="left"/>
                    <w:rPr>
                      <w:rFonts w:ascii="宋体" w:hAnsi="宋体" w:cs="宋体"/>
                      <w:color w:val="auto"/>
                      <w:szCs w:val="21"/>
                      <w:highlight w:val="none"/>
                    </w:rPr>
                  </w:pPr>
                  <w:r>
                    <w:rPr>
                      <w:rFonts w:hint="eastAsia" w:ascii="宋体" w:hAnsi="宋体" w:cs="宋体"/>
                      <w:color w:val="auto"/>
                      <w:szCs w:val="21"/>
                      <w:highlight w:val="none"/>
                    </w:rPr>
                    <w:t>500</w:t>
                  </w:r>
                </w:p>
              </w:tc>
            </w:tr>
          </w:tbl>
          <w:p w14:paraId="32498288">
            <w:pPr>
              <w:ind w:firstLine="480"/>
              <w:jc w:val="center"/>
              <w:rPr>
                <w:rFonts w:ascii="宋体" w:hAnsi="宋体" w:cs="宋体"/>
                <w:b/>
                <w:bCs/>
                <w:color w:val="auto"/>
                <w:highlight w:val="none"/>
              </w:rPr>
            </w:pPr>
          </w:p>
          <w:p w14:paraId="3907B4C0">
            <w:pPr>
              <w:spacing w:line="360" w:lineRule="auto"/>
              <w:ind w:firstLine="480" w:firstLineChars="200"/>
              <w:rPr>
                <w:rFonts w:ascii="宋体" w:hAnsi="宋体" w:cs="宋体"/>
                <w:color w:val="auto"/>
                <w:sz w:val="24"/>
                <w:highlight w:val="none"/>
              </w:rPr>
            </w:pPr>
          </w:p>
          <w:p w14:paraId="39A22FA4">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二、服务要求</w:t>
            </w:r>
          </w:p>
          <w:p w14:paraId="5E998D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1、投标人在租赁期内，保证租赁设备的正常使用及日常维护工作。</w:t>
            </w:r>
          </w:p>
          <w:p w14:paraId="239B744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2、投标人需在服务期开始前，完成标的设备入网并实现项目所需全部功能，提供经采购人确认的测试报告。</w:t>
            </w:r>
          </w:p>
          <w:p w14:paraId="10D068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3、投标人次月15日前出具当月的巡检报告，服务期满后一周内，出具租赁总结报告。报告内容应包括：租赁设备运行情况，发生故障及维修的记录(人员、时间、内容、结果)。</w:t>
            </w:r>
          </w:p>
          <w:p w14:paraId="5094C9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4、故障分析时间：投标人在设备恢复正常运行后，应对设备的运行情况进行跟踪，并结合故障现场信息对设备故障产生原因进行分析，3日内提交故障分析报告及解决方案。</w:t>
            </w:r>
          </w:p>
          <w:p w14:paraId="5E616C7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由于投标人可预见的原因，影响或可能影响采购人使用的，应在24小时前通知采购人，并做好应急方案，包括建立运行服务保障应急预案、对可能遇到的问题具有相应的应对措施，在服务期间巡检、故障处理的组织和联系机制等。</w:t>
            </w:r>
          </w:p>
          <w:p w14:paraId="0B7BA4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6、重大节假日、活动前投标人对设备进行事先排查，重大节假日、活动期间现场技术人员进行保障，根据采购人需要增加2名技术人员赴全市各大队、中队进行上门服务保障工作。</w:t>
            </w:r>
          </w:p>
          <w:p w14:paraId="33E9B6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56564B4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项目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59D1C9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投标人建立建全针对本项目相应的管理制度，包括日常管理规章制度、内部岗位责任制度（包括各岗位职责等）、管理运作制度（包括档案管理制度、标准化服务制度等）、考核制度（包括考核机制、激励机制、监督机制等）等。</w:t>
            </w:r>
          </w:p>
          <w:p w14:paraId="483FB01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10、培训要求</w:t>
            </w:r>
          </w:p>
          <w:p w14:paraId="6D5140C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1.培训对象:终端使用人员。培训人数根据采购人要求确定（每个大队指挥室及路面执勤小教员进行设备使用培训，不少于10人次）</w:t>
            </w:r>
          </w:p>
          <w:p w14:paraId="583EE8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2.培训方式及培训时间：理论培训、实践培训和采购人自定义需求培训三个方式。项目租赁期间，至少组织一次培训。</w:t>
            </w:r>
          </w:p>
          <w:p w14:paraId="457C40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3.培训地点：培训地点由项目投标人与采购人共同协商确定。</w:t>
            </w:r>
          </w:p>
          <w:p w14:paraId="09B86B6F">
            <w:pPr>
              <w:spacing w:line="360" w:lineRule="auto"/>
              <w:ind w:firstLine="480" w:firstLineChars="200"/>
              <w:rPr>
                <w:rFonts w:ascii="宋体" w:hAnsi="宋体" w:cs="宋体"/>
                <w:color w:val="auto"/>
                <w:sz w:val="24"/>
                <w:highlight w:val="none"/>
              </w:rPr>
            </w:pPr>
            <w:bookmarkStart w:id="29" w:name="_Toc648253218"/>
            <w:bookmarkStart w:id="30" w:name="_Toc8832"/>
            <w:bookmarkStart w:id="31" w:name="_Toc458245752"/>
            <w:bookmarkStart w:id="32" w:name="_Toc19783522"/>
            <w:bookmarkStart w:id="33" w:name="_Toc457900747"/>
            <w:r>
              <w:rPr>
                <w:rFonts w:hint="eastAsia" w:ascii="宋体" w:hAnsi="宋体" w:cs="宋体"/>
                <w:color w:val="auto"/>
                <w:sz w:val="24"/>
                <w:highlight w:val="none"/>
              </w:rPr>
              <w:t>4．培训内容</w:t>
            </w:r>
            <w:bookmarkEnd w:id="29"/>
            <w:bookmarkEnd w:id="30"/>
            <w:bookmarkEnd w:id="31"/>
            <w:bookmarkEnd w:id="32"/>
            <w:bookmarkEnd w:id="33"/>
            <w:r>
              <w:rPr>
                <w:rFonts w:hint="eastAsia" w:ascii="宋体" w:hAnsi="宋体" w:cs="宋体"/>
                <w:color w:val="auto"/>
                <w:sz w:val="24"/>
                <w:highlight w:val="none"/>
              </w:rPr>
              <w:t>：包括PDT数字集群终端设备操作与使用、常见故障处理。所有培训以中文进行，具体以采购人要求为准。</w:t>
            </w:r>
          </w:p>
          <w:p w14:paraId="53AD03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5．培训师资：由投标人提供1名技术人员或工程师。</w:t>
            </w:r>
          </w:p>
          <w:p w14:paraId="6CA02DA1">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三、质量保证</w:t>
            </w:r>
          </w:p>
          <w:p w14:paraId="646AAA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须保证所提供设备符合国家有关规定。投标人须保证所提供设备具有合法的版权或使用权，本项目租赁的设备，如在本项目范围内使用过程中出现版权或使用权纠纷或知识产权纠纷，应由投标人负责，采购人不承担责任。</w:t>
            </w:r>
          </w:p>
          <w:p w14:paraId="409451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2）投标人必须保证解决项目所涉及的技术问题，如因技术原因无法满足采购人需求，由此产生的风险由投标人承担。</w:t>
            </w:r>
          </w:p>
          <w:p w14:paraId="1EE36D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3）投标人在服务期内，如遇软件升级、改版，应提供更新、升级服务。</w:t>
            </w:r>
          </w:p>
          <w:p w14:paraId="024F14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4）租赁期内确保一周内同台设备不得出现2次及以上的重复故障。如出现第二次，则更换设备。充分保障租赁的设备日常正常使用。</w:t>
            </w:r>
          </w:p>
          <w:p w14:paraId="08CC56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5）投标人应在10个工作日内提交采购人交办的文档资料、监理单位需要投标人配合完成的文档资料等。</w:t>
            </w:r>
          </w:p>
          <w:p w14:paraId="7C8904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人在租赁期内应加强管理避免出现由于维护不利而造成租赁设备无法正常使用影响采购人工作的情况；避免出现由于维护人员技术能力不足、工作疏忽、操作不当等自身原因发生重大设备损坏导致影响采购人工作的情况。</w:t>
            </w:r>
          </w:p>
          <w:p w14:paraId="40AB986B">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四、服务响应时间</w:t>
            </w:r>
          </w:p>
          <w:p w14:paraId="71B58068">
            <w:pPr>
              <w:spacing w:line="360" w:lineRule="auto"/>
              <w:ind w:firstLine="482" w:firstLineChars="200"/>
              <w:jc w:val="left"/>
              <w:rPr>
                <w:rFonts w:ascii="宋体" w:hAnsi="宋体" w:cs="宋体"/>
                <w:b/>
                <w:color w:val="auto"/>
                <w:sz w:val="24"/>
                <w:highlight w:val="none"/>
                <w:u w:val="single"/>
              </w:rPr>
            </w:pPr>
            <w:r>
              <w:rPr>
                <w:rFonts w:hint="eastAsia" w:ascii="宋体" w:hAnsi="宋体" w:cs="宋体"/>
                <w:b/>
                <w:color w:val="auto"/>
                <w:sz w:val="24"/>
                <w:highlight w:val="none"/>
                <w:u w:val="single"/>
              </w:rPr>
              <w:t>提供7*24小时响应服务，并保证电话畅通，服务期内投标人必须确保设备的稳定运行，提供完善的运行维保服务。出现故障时，投标人在接到故障申告后，30分钟内响应，4小时以内派技术人员现场检修，并在48小时内修复故障。</w:t>
            </w:r>
          </w:p>
          <w:p w14:paraId="65685AB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五、人员要求</w:t>
            </w:r>
          </w:p>
          <w:p w14:paraId="5EA3553A">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1、配备数量</w:t>
            </w:r>
          </w:p>
          <w:p w14:paraId="4E653BD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按照实际工作需要，配备1名项目负责人以及1名驻点人员，为本项目提供技术支持及服务。</w:t>
            </w:r>
          </w:p>
          <w:p w14:paraId="53E98CCD">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2、人员服务时间</w:t>
            </w:r>
          </w:p>
          <w:p w14:paraId="44EB58DB">
            <w:pPr>
              <w:tabs>
                <w:tab w:val="left" w:pos="432"/>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1）项目负责人服务时间：7*24小时；</w:t>
            </w:r>
          </w:p>
          <w:p w14:paraId="60D20980">
            <w:pPr>
              <w:tabs>
                <w:tab w:val="left" w:pos="432"/>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驻点人员服务时间：工作日：5*8小时，（上午9：00-12：00；下午12：30-17：30）（除法定节假日）驻点服务（具体时间根据采购人工作要求安排）。驻点人员实施地点：杭州市公安局交通警察支队文晖路336号（具体根据采购人通知为准）。</w:t>
            </w:r>
          </w:p>
          <w:p w14:paraId="4A3A2F06">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3、人员配备标准</w:t>
            </w:r>
          </w:p>
          <w:p w14:paraId="0F8BB9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项目负责人及驻点人员配备标准：年龄55周岁（含）以下，且均具有大专及以上学历，并具有类似移动终端租赁项目工作经验。</w:t>
            </w:r>
          </w:p>
          <w:p w14:paraId="34F66BAA">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4、人员工作内容及职责</w:t>
            </w:r>
          </w:p>
          <w:p w14:paraId="2CDC33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负责人主要负责项目整体实施管理及与采购人的沟通协调等工作；技术人员由投标人自行配备，负责维修解决租赁设备的故障，对项目稳定运行提供维护工作；驻点人员负责PDT数字集群终端设备的维护及巡检工作。严禁穿拖鞋、凉鞋或带钉的鞋进入工作区域，操作应保持规范，运维需要的办公用品包含在投标报价中。</w:t>
            </w:r>
          </w:p>
          <w:p w14:paraId="6B1EBE9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5、其他要求</w:t>
            </w:r>
          </w:p>
          <w:p w14:paraId="3721D5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配备固定的项目负责人及驻点人员，合同期内人员不得随意变动，因采购人工作存在即时性和突发性，能够随时响应配合采购人的工作，利于合作的顺利开展；人员如需发生变更，投标人应提前1个月通知采购人，需采购人经办人、审核人对服务人员变更提前进行书面审批，签发人员变更审批单。审批通过后方可更换，更换人员资历不得低于投标时人员资历，且确保任何时候无人员缺位现象发生。</w:t>
            </w:r>
          </w:p>
          <w:p w14:paraId="44DFE1E6">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w:t>
            </w:r>
            <w:r>
              <w:rPr>
                <w:rFonts w:hint="eastAsia" w:ascii="宋体" w:hAnsi="宋体" w:cs="宋体"/>
                <w:b/>
                <w:color w:val="auto"/>
                <w:sz w:val="24"/>
                <w:highlight w:val="none"/>
              </w:rPr>
              <w:t>网络安全责任和义务</w:t>
            </w:r>
          </w:p>
          <w:p w14:paraId="19B63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1、明确投标人法定代表人为合作事项网络安全第一责任人，具体承担合作事项的部门主要负责人为直接责任人。</w:t>
            </w:r>
          </w:p>
          <w:p w14:paraId="512A0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2、投标人不得转包合同任务，未经采购人书面同意不得分包合同任务。</w:t>
            </w:r>
          </w:p>
          <w:p w14:paraId="3B5202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3、投标人应制订与合作事项相关的网络安全保障方案和网络安全事件应急预案。</w:t>
            </w:r>
          </w:p>
          <w:p w14:paraId="343726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4、投标人发现网络安全漏洞、缺陷或者其他严重网络安全风险，应及时向采购人报告。</w:t>
            </w:r>
          </w:p>
          <w:p w14:paraId="73D71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5、处理合作事项的信息平台应当优先采用符合安全可靠测评要求的硬件和软件产品</w:t>
            </w:r>
          </w:p>
          <w:p w14:paraId="759B3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6、发生可能影响合作事项的网络安全重大事项，包括负责人及重要工作人员变更、业务转型、合并重组和投资并购等，投标人应提前向采购人报告。</w:t>
            </w:r>
          </w:p>
          <w:p w14:paraId="338083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7、采用社会公共网络平台实施合作事项时，严禁涉及国家秘密和警务工作秘密。</w:t>
            </w:r>
          </w:p>
          <w:p w14:paraId="2481D5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8、投标人应于2026年8月1日前向采购人提交网络安全报告。</w:t>
            </w:r>
          </w:p>
          <w:p w14:paraId="113E0B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9、其他应当落实的网络安全责任和义务。</w:t>
            </w:r>
          </w:p>
          <w:p w14:paraId="466577FC">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七、保密</w:t>
            </w:r>
          </w:p>
          <w:p w14:paraId="1F1D451C">
            <w:pPr>
              <w:adjustRightInd w:val="0"/>
              <w:snapToGrid w:val="0"/>
              <w:spacing w:after="120" w:line="360" w:lineRule="auto"/>
              <w:ind w:firstLine="482"/>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应当对工作人员开展常态化安全保密教育，组织签订安全保密承诺书，明确具体安全管理内容、安全保密义务和责任；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9AB36A6">
            <w:pPr>
              <w:adjustRightInd w:val="0"/>
              <w:snapToGrid w:val="0"/>
              <w:spacing w:after="120" w:line="360" w:lineRule="auto"/>
              <w:ind w:firstLine="482"/>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投标人须严格按照采购人规定使用、存储、处理文档资料和数据。合同终止时，应当交还全部资料和数据。</w:t>
            </w:r>
          </w:p>
          <w:p w14:paraId="207B2481">
            <w:pPr>
              <w:spacing w:line="360" w:lineRule="auto"/>
              <w:ind w:firstLine="480" w:firstLineChars="200"/>
              <w:jc w:val="left"/>
              <w:outlineLvl w:val="2"/>
              <w:rPr>
                <w:rFonts w:ascii="宋体" w:hAnsi="宋体" w:cs="宋体"/>
                <w:b/>
                <w:color w:val="auto"/>
                <w:sz w:val="24"/>
                <w:highlight w:val="none"/>
                <w:u w:val="single"/>
              </w:rPr>
            </w:pPr>
            <w:r>
              <w:rPr>
                <w:rFonts w:hint="eastAsia" w:ascii="宋体" w:hAnsi="宋体" w:cs="宋体"/>
                <w:color w:val="auto"/>
                <w:kern w:val="0"/>
                <w:sz w:val="24"/>
                <w:szCs w:val="20"/>
                <w:highlight w:val="none"/>
              </w:rPr>
              <w:t>投标人需与采购人签署保密协议，投标人对在项目实施期间所获得的采购人的情报和资料有保密义务（包括但不限于合同履约期内），泄漏秘密应承担相应的责任。如有违反，按合同的违约条款向采购人支付违约金，造成采购人损失的应予赔偿，涉嫌违法或犯罪的依法追究法律责任。</w:t>
            </w:r>
          </w:p>
          <w:p w14:paraId="26752F9B">
            <w:pPr>
              <w:spacing w:line="360" w:lineRule="auto"/>
              <w:ind w:left="241"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若项目涉及分包的，投标人须按照以上保密要求，与分包供应商签订单位保密协议、个人保密承诺书、开展日常保密教育等措施，确保分包供应商严格落实各项保密规定，并与分包供应商承担连带责任。</w:t>
            </w:r>
          </w:p>
          <w:p w14:paraId="6EA663FD">
            <w:pPr>
              <w:spacing w:line="360" w:lineRule="auto"/>
              <w:ind w:firstLine="482" w:firstLineChars="200"/>
              <w:jc w:val="left"/>
              <w:outlineLvl w:val="2"/>
              <w:rPr>
                <w:rFonts w:ascii="宋体" w:hAnsi="宋体" w:cs="宋体"/>
                <w:color w:val="auto"/>
                <w:sz w:val="24"/>
                <w:highlight w:val="none"/>
                <w:lang w:val="zh-CN"/>
              </w:rPr>
            </w:pPr>
            <w:r>
              <w:rPr>
                <w:rFonts w:hint="eastAsia" w:ascii="宋体" w:hAnsi="宋体" w:cs="宋体"/>
                <w:b/>
                <w:color w:val="auto"/>
                <w:sz w:val="24"/>
                <w:highlight w:val="none"/>
                <w:u w:val="single"/>
              </w:rPr>
              <w:t>投标人所有人员的事故和投标人或投标人派遣人员工作过错造成的安全管理事故，投标人自行负全部责任及相关费用。</w:t>
            </w:r>
          </w:p>
        </w:tc>
      </w:tr>
    </w:tbl>
    <w:p w14:paraId="36677F6E">
      <w:pPr>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（六）拟采购标的的商务要求</w:t>
      </w:r>
    </w:p>
    <w:p w14:paraId="0F5DE70C">
      <w:pPr>
        <w:adjustRightInd w:val="0"/>
        <w:snapToGrid w:val="0"/>
        <w:spacing w:line="360" w:lineRule="auto"/>
        <w:ind w:firstLine="482" w:firstLineChars="200"/>
        <w:jc w:val="left"/>
        <w:rPr>
          <w:rFonts w:hint="eastAsia" w:ascii="宋体" w:hAnsi="宋体" w:cs="宋体"/>
          <w:bCs/>
          <w:color w:val="auto"/>
          <w:sz w:val="24"/>
          <w:highlight w:val="none"/>
          <w:u w:val="single"/>
        </w:rPr>
      </w:pPr>
      <w:r>
        <w:rPr>
          <w:rFonts w:hint="eastAsia" w:ascii="宋体" w:hAnsi="宋体" w:cs="宋体"/>
          <w:b/>
          <w:color w:val="auto"/>
          <w:sz w:val="24"/>
          <w:highlight w:val="none"/>
        </w:rPr>
        <w:t>1.交付（实施）的时间（期限）：</w:t>
      </w:r>
      <w:r>
        <w:rPr>
          <w:rFonts w:hint="eastAsia" w:ascii="宋体" w:hAnsi="宋体" w:cs="宋体"/>
          <w:bCs/>
          <w:color w:val="auto"/>
          <w:sz w:val="24"/>
          <w:highlight w:val="none"/>
          <w:u w:val="single"/>
        </w:rPr>
        <w:t>12个月（2025年8月1日-2026年7月31日）。</w:t>
      </w:r>
    </w:p>
    <w:p w14:paraId="29049267">
      <w:pPr>
        <w:adjustRightInd w:val="0"/>
        <w:snapToGrid w:val="0"/>
        <w:spacing w:line="360" w:lineRule="auto"/>
        <w:ind w:firstLine="482" w:firstLineChars="200"/>
        <w:jc w:val="left"/>
        <w:rPr>
          <w:rFonts w:ascii="宋体" w:hAnsi="宋体" w:cs="宋体"/>
          <w:color w:val="auto"/>
          <w:sz w:val="24"/>
          <w:highlight w:val="none"/>
          <w:u w:val="single"/>
        </w:rPr>
      </w:pPr>
      <w:r>
        <w:rPr>
          <w:rFonts w:hint="eastAsia" w:ascii="宋体" w:hAnsi="宋体" w:cs="宋体"/>
          <w:b/>
          <w:color w:val="auto"/>
          <w:sz w:val="24"/>
          <w:highlight w:val="none"/>
        </w:rPr>
        <w:t>2.交付（实施）的地点（范围）：</w:t>
      </w:r>
      <w:r>
        <w:rPr>
          <w:rFonts w:hint="eastAsia" w:ascii="宋体" w:hAnsi="宋体" w:cs="宋体"/>
          <w:color w:val="auto"/>
          <w:sz w:val="24"/>
          <w:highlight w:val="none"/>
          <w:u w:val="single"/>
        </w:rPr>
        <w:t>杭州市公安局交通警察支队（杭州市文晖路336号）。</w:t>
      </w:r>
    </w:p>
    <w:p w14:paraId="592BF8AF">
      <w:pPr>
        <w:adjustRightInd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3.付款条件（进度和方式）</w:t>
      </w:r>
    </w:p>
    <w:tbl>
      <w:tblPr>
        <w:tblStyle w:val="63"/>
        <w:tblW w:w="935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701"/>
      </w:tblGrid>
      <w:tr w14:paraId="1F39E1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1BB996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1FE89F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付款比例（%）</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55C568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付款方式</w:t>
            </w:r>
          </w:p>
        </w:tc>
      </w:tr>
      <w:tr w14:paraId="168ECB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6CD3D85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44526119">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第一期付款：</w:t>
            </w:r>
            <w:r>
              <w:rPr>
                <w:rFonts w:hint="eastAsia" w:ascii="宋体" w:hAnsi="宋体" w:cs="宋体"/>
                <w:color w:val="auto"/>
                <w:sz w:val="24"/>
                <w:highlight w:val="none"/>
                <w:lang w:val="zh-CN"/>
              </w:rPr>
              <w:t>合同签订后5个工作日内，</w:t>
            </w:r>
            <w:r>
              <w:rPr>
                <w:rFonts w:hint="eastAsia" w:ascii="宋体" w:hAnsi="宋体" w:cs="宋体"/>
                <w:color w:val="auto"/>
                <w:sz w:val="24"/>
                <w:highlight w:val="none"/>
              </w:rPr>
              <w:t>项目</w:t>
            </w:r>
            <w:r>
              <w:rPr>
                <w:rFonts w:hint="eastAsia" w:ascii="宋体" w:hAnsi="宋体" w:cs="宋体"/>
                <w:color w:val="auto"/>
                <w:sz w:val="24"/>
                <w:highlight w:val="none"/>
                <w:lang w:val="zh-CN"/>
              </w:rPr>
              <w:t>具备实施条件后，采购人支付合同金额的</w:t>
            </w:r>
            <w:r>
              <w:rPr>
                <w:rFonts w:hint="eastAsia" w:ascii="宋体" w:hAnsi="宋体" w:cs="宋体"/>
                <w:color w:val="auto"/>
                <w:sz w:val="24"/>
                <w:highlight w:val="none"/>
              </w:rPr>
              <w:t>4</w:t>
            </w:r>
            <w:r>
              <w:rPr>
                <w:rFonts w:hint="eastAsia" w:ascii="宋体" w:hAnsi="宋体" w:cs="宋体"/>
                <w:color w:val="auto"/>
                <w:sz w:val="24"/>
                <w:highlight w:val="none"/>
                <w:lang w:val="zh-CN"/>
              </w:rPr>
              <w:t>0%，同时投标人缴纳合同总价1%的履约保证金；</w:t>
            </w:r>
            <w:r>
              <w:rPr>
                <w:rFonts w:hint="eastAsia" w:ascii="宋体" w:hAnsi="宋体" w:cs="宋体"/>
                <w:color w:val="auto"/>
                <w:sz w:val="24"/>
                <w:highlight w:val="none"/>
              </w:rPr>
              <w:t>(鼓励和支持供应商以银行、保险公司出具的保函形式提供履约保证金）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417095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753858E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3BF7E3">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8AFBB9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第二期付款：</w:t>
            </w:r>
            <w:r>
              <w:rPr>
                <w:rFonts w:hint="eastAsia" w:ascii="宋体" w:hAnsi="宋体" w:cs="宋体"/>
                <w:color w:val="auto"/>
                <w:sz w:val="24"/>
                <w:highlight w:val="none"/>
              </w:rPr>
              <w:t>服务至2025年11月30日，通过验收后，凭双方签字盖章的验收意见、验收小组签字的验收报告、</w:t>
            </w:r>
            <w:r>
              <w:rPr>
                <w:rFonts w:hint="eastAsia" w:ascii="宋体" w:hAnsi="宋体" w:cs="宋体"/>
                <w:snapToGrid w:val="0"/>
                <w:color w:val="auto"/>
                <w:sz w:val="24"/>
                <w:highlight w:val="none"/>
              </w:rPr>
              <w:t>租赁设备清单、每月巡检报告、项目组人员清单、人员更变审批表（如有）、社保证明材料、</w:t>
            </w:r>
            <w:r>
              <w:rPr>
                <w:rFonts w:hint="eastAsia" w:ascii="宋体" w:hAnsi="宋体" w:cs="宋体"/>
                <w:color w:val="auto"/>
                <w:sz w:val="24"/>
                <w:highlight w:val="none"/>
              </w:rPr>
              <w:t>学历证明、资历证明、</w:t>
            </w:r>
            <w:r>
              <w:rPr>
                <w:rFonts w:hint="eastAsia" w:ascii="宋体" w:hAnsi="宋体" w:cs="宋体"/>
                <w:snapToGrid w:val="0"/>
                <w:color w:val="auto"/>
                <w:sz w:val="24"/>
                <w:highlight w:val="none"/>
              </w:rPr>
              <w:t>驻点人员每日钉钉考勤打卡记录、每月考核材料、验收报审表、培训记录、培训资料、维修记录、应急抢修维护方案</w:t>
            </w:r>
            <w:r>
              <w:rPr>
                <w:rFonts w:hint="eastAsia" w:ascii="宋体" w:hAnsi="宋体" w:cs="宋体"/>
                <w:color w:val="auto"/>
                <w:sz w:val="24"/>
                <w:highlight w:val="none"/>
              </w:rPr>
              <w:t>、故障分析报告及解决方案、故障说明材料（如有）</w:t>
            </w:r>
            <w:r>
              <w:rPr>
                <w:rFonts w:hint="eastAsia" w:ascii="宋体" w:hAnsi="宋体" w:cs="宋体"/>
                <w:snapToGrid w:val="0"/>
                <w:color w:val="auto"/>
                <w:sz w:val="24"/>
                <w:highlight w:val="none"/>
              </w:rPr>
              <w:t>、</w:t>
            </w:r>
            <w:r>
              <w:rPr>
                <w:rFonts w:hint="eastAsia" w:ascii="宋体" w:hAnsi="宋体" w:cs="宋体"/>
                <w:color w:val="auto"/>
                <w:sz w:val="24"/>
                <w:highlight w:val="none"/>
              </w:rPr>
              <w:t>产品合格证、质量保证书、</w:t>
            </w:r>
            <w:r>
              <w:rPr>
                <w:rFonts w:hint="eastAsia" w:ascii="宋体" w:hAnsi="宋体" w:cs="宋体"/>
                <w:snapToGrid w:val="0"/>
                <w:color w:val="auto"/>
                <w:sz w:val="24"/>
                <w:highlight w:val="none"/>
              </w:rPr>
              <w:t>网络安全保障方案、网络安全事件应急预案、网络安全风险书面报告（如有）、网络安全重大事项书面报告（如有）、信息化建设项目变更审批表（如有）</w:t>
            </w:r>
            <w:r>
              <w:rPr>
                <w:rFonts w:hint="eastAsia" w:ascii="宋体" w:hAnsi="宋体" w:cs="宋体"/>
                <w:color w:val="auto"/>
                <w:sz w:val="24"/>
                <w:highlight w:val="none"/>
              </w:rPr>
              <w:t>、单位保密协议、个人保密承诺书、日常保密教育台帐、中小企业证明材料等相关资料，最多支付至2025年预算113.5万元（113.5万元已含采购人已向投标人支付的第一期合同价款）</w:t>
            </w:r>
          </w:p>
          <w:p w14:paraId="01A4561A">
            <w:pPr>
              <w:pStyle w:val="2"/>
              <w:rPr>
                <w:color w:val="auto"/>
                <w:highlight w:val="none"/>
              </w:rPr>
            </w:pP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1C77D0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6C443CC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EC30FF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BB1A359">
            <w:pPr>
              <w:spacing w:line="360" w:lineRule="auto"/>
              <w:rPr>
                <w:rFonts w:ascii="宋体" w:hAnsi="宋体" w:cs="宋体"/>
                <w:color w:val="auto"/>
                <w:sz w:val="24"/>
                <w:highlight w:val="none"/>
              </w:rPr>
            </w:pPr>
            <w:r>
              <w:rPr>
                <w:rFonts w:hint="eastAsia" w:ascii="宋体" w:hAnsi="宋体" w:cs="宋体"/>
                <w:b/>
                <w:color w:val="auto"/>
                <w:sz w:val="24"/>
                <w:highlight w:val="none"/>
              </w:rPr>
              <w:t>第三期付款：</w:t>
            </w:r>
            <w:r>
              <w:rPr>
                <w:rFonts w:hint="eastAsia" w:ascii="宋体" w:hAnsi="宋体" w:cs="宋体"/>
                <w:color w:val="auto"/>
                <w:sz w:val="24"/>
                <w:highlight w:val="none"/>
              </w:rPr>
              <w:t>服务期结束，无任何服务问题，凭双方签字盖章的验收意见、验收小组签字的验收报告、</w:t>
            </w:r>
            <w:r>
              <w:rPr>
                <w:rFonts w:hint="eastAsia" w:ascii="宋体" w:hAnsi="宋体" w:cs="宋体"/>
                <w:snapToGrid w:val="0"/>
                <w:color w:val="auto"/>
                <w:sz w:val="24"/>
                <w:highlight w:val="none"/>
              </w:rPr>
              <w:t>租赁设备清单、每月巡检报告、租赁总结报告、项目组人员清单、人员更变审批表（如有）、社保证明材料、</w:t>
            </w:r>
            <w:r>
              <w:rPr>
                <w:rFonts w:hint="eastAsia" w:ascii="宋体" w:hAnsi="宋体" w:cs="宋体"/>
                <w:color w:val="auto"/>
                <w:sz w:val="24"/>
                <w:highlight w:val="none"/>
              </w:rPr>
              <w:t>学历证明、资历证明、</w:t>
            </w:r>
            <w:r>
              <w:rPr>
                <w:rFonts w:hint="eastAsia" w:ascii="宋体" w:hAnsi="宋体" w:cs="宋体"/>
                <w:snapToGrid w:val="0"/>
                <w:color w:val="auto"/>
                <w:sz w:val="24"/>
                <w:highlight w:val="none"/>
              </w:rPr>
              <w:t>驻点人员每日钉钉考勤打卡记录、每月考核材料、验收报审表、培训记录、培训资料、维修记录、应急抢修维护方案</w:t>
            </w:r>
            <w:r>
              <w:rPr>
                <w:rFonts w:hint="eastAsia" w:ascii="宋体" w:hAnsi="宋体" w:cs="宋体"/>
                <w:color w:val="auto"/>
                <w:sz w:val="24"/>
                <w:highlight w:val="none"/>
              </w:rPr>
              <w:t>、故障分析报告及解决方案、故障说明材料（如有）</w:t>
            </w:r>
            <w:r>
              <w:rPr>
                <w:rFonts w:hint="eastAsia" w:ascii="宋体" w:hAnsi="宋体" w:cs="宋体"/>
                <w:snapToGrid w:val="0"/>
                <w:color w:val="auto"/>
                <w:sz w:val="24"/>
                <w:highlight w:val="none"/>
              </w:rPr>
              <w:t>、</w:t>
            </w:r>
            <w:r>
              <w:rPr>
                <w:rFonts w:hint="eastAsia" w:ascii="宋体" w:hAnsi="宋体" w:cs="宋体"/>
                <w:color w:val="auto"/>
                <w:sz w:val="24"/>
                <w:highlight w:val="none"/>
              </w:rPr>
              <w:t>产品合格证、质量保证书、</w:t>
            </w:r>
            <w:r>
              <w:rPr>
                <w:rFonts w:hint="eastAsia" w:ascii="宋体" w:hAnsi="宋体" w:cs="宋体"/>
                <w:snapToGrid w:val="0"/>
                <w:color w:val="auto"/>
                <w:sz w:val="24"/>
                <w:highlight w:val="none"/>
              </w:rPr>
              <w:t>网络安全保障方案、网络安全事件应急预案、网络安全风险书面报告（如有）、网络安全重大事项书面报告（如有）、网络安全报告、信息化建设项目变更审批表（如有）</w:t>
            </w:r>
            <w:r>
              <w:rPr>
                <w:rFonts w:hint="eastAsia" w:ascii="宋体" w:hAnsi="宋体" w:cs="宋体"/>
                <w:color w:val="auto"/>
                <w:sz w:val="24"/>
                <w:highlight w:val="none"/>
              </w:rPr>
              <w:t>、单位保密协议、个人保密承诺书、日常保密教育台帐、中小企业证明材料及验收公示截图等相关资料，经审计确认后（若有），按实际使用</w:t>
            </w:r>
            <w:r>
              <w:rPr>
                <w:rFonts w:hint="eastAsia" w:ascii="宋体" w:hAnsi="宋体" w:cs="宋体"/>
                <w:color w:val="auto"/>
                <w:sz w:val="24"/>
                <w:highlight w:val="none"/>
                <w:lang w:eastAsia="zh-CN"/>
              </w:rPr>
              <w:t>租赁设备数量、租赁天数及合同单价</w:t>
            </w:r>
            <w:r>
              <w:rPr>
                <w:rFonts w:hint="eastAsia" w:ascii="宋体" w:hAnsi="宋体" w:cs="宋体"/>
                <w:color w:val="auto"/>
                <w:sz w:val="24"/>
                <w:highlight w:val="none"/>
              </w:rPr>
              <w:t>按实结算合同价款，且不超过合同总价（同时扣除考核违约金）。</w:t>
            </w:r>
          </w:p>
        </w:tc>
        <w:tc>
          <w:tcPr>
            <w:tcW w:w="1701" w:type="dxa"/>
            <w:tcBorders>
              <w:top w:val="single" w:color="808080" w:sz="4" w:space="0"/>
              <w:left w:val="single" w:color="808080" w:sz="4" w:space="0"/>
              <w:bottom w:val="single" w:color="808080" w:sz="4" w:space="0"/>
              <w:right w:val="single" w:color="808080" w:sz="4" w:space="0"/>
            </w:tcBorders>
            <w:noWrap/>
            <w:vAlign w:val="center"/>
          </w:tcPr>
          <w:p w14:paraId="39104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646066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9351" w:type="dxa"/>
            <w:gridSpan w:val="3"/>
            <w:tcBorders>
              <w:top w:val="single" w:color="808080" w:sz="4" w:space="0"/>
              <w:left w:val="single" w:color="808080" w:sz="4" w:space="0"/>
              <w:bottom w:val="single" w:color="808080" w:sz="4" w:space="0"/>
              <w:right w:val="single" w:color="808080" w:sz="4" w:space="0"/>
            </w:tcBorders>
            <w:noWrap/>
            <w:vAlign w:val="center"/>
          </w:tcPr>
          <w:p w14:paraId="6261DAF9">
            <w:pPr>
              <w:spacing w:line="360"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双方确认，</w:t>
            </w:r>
            <w:r>
              <w:rPr>
                <w:rFonts w:hint="eastAsia" w:ascii="宋体" w:hAnsi="宋体" w:cs="宋体"/>
                <w:color w:val="auto"/>
                <w:sz w:val="24"/>
                <w:highlight w:val="none"/>
              </w:rPr>
              <w:t>采购人</w:t>
            </w:r>
            <w:r>
              <w:rPr>
                <w:rFonts w:hint="eastAsia" w:ascii="宋体" w:hAnsi="宋体" w:cs="宋体"/>
                <w:color w:val="auto"/>
                <w:sz w:val="24"/>
                <w:highlight w:val="none"/>
                <w:lang w:val="zh-CN"/>
              </w:rPr>
              <w:t>按前</w:t>
            </w:r>
            <w:r>
              <w:rPr>
                <w:rFonts w:hint="eastAsia" w:ascii="宋体" w:hAnsi="宋体" w:cs="宋体"/>
                <w:color w:val="auto"/>
                <w:sz w:val="24"/>
                <w:highlight w:val="none"/>
              </w:rPr>
              <w:t>三</w:t>
            </w:r>
            <w:r>
              <w:rPr>
                <w:rFonts w:hint="eastAsia" w:ascii="宋体" w:hAnsi="宋体" w:cs="宋体"/>
                <w:color w:val="auto"/>
                <w:sz w:val="24"/>
                <w:highlight w:val="none"/>
                <w:lang w:val="zh-CN"/>
              </w:rPr>
              <w:t>款结算并向</w:t>
            </w:r>
            <w:r>
              <w:rPr>
                <w:rFonts w:hint="eastAsia" w:ascii="宋体" w:hAnsi="宋体" w:cs="宋体"/>
                <w:color w:val="auto"/>
                <w:sz w:val="24"/>
                <w:highlight w:val="none"/>
              </w:rPr>
              <w:t>投标人</w:t>
            </w:r>
            <w:r>
              <w:rPr>
                <w:rFonts w:hint="eastAsia" w:ascii="宋体" w:hAnsi="宋体" w:cs="宋体"/>
                <w:color w:val="auto"/>
                <w:sz w:val="24"/>
                <w:highlight w:val="none"/>
                <w:lang w:val="zh-CN"/>
              </w:rPr>
              <w:t>支付的款项总额不超过合同总价。</w:t>
            </w:r>
          </w:p>
          <w:p w14:paraId="5FD889F6">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CN"/>
              </w:rPr>
              <w:t>前述采购人</w:t>
            </w:r>
            <w:r>
              <w:rPr>
                <w:rFonts w:hint="eastAsia" w:ascii="宋体" w:hAnsi="宋体" w:cs="宋体"/>
                <w:color w:val="auto"/>
                <w:sz w:val="24"/>
                <w:highlight w:val="none"/>
              </w:rPr>
              <w:t>按</w:t>
            </w:r>
            <w:r>
              <w:rPr>
                <w:rFonts w:hint="eastAsia" w:ascii="宋体" w:hAnsi="宋体" w:cs="宋体"/>
                <w:color w:val="auto"/>
                <w:sz w:val="24"/>
                <w:highlight w:val="none"/>
                <w:lang w:val="zh-CN"/>
              </w:rPr>
              <w:t>合同单价、租赁</w:t>
            </w:r>
            <w:r>
              <w:rPr>
                <w:rFonts w:hint="eastAsia" w:ascii="宋体" w:hAnsi="宋体" w:cs="宋体"/>
                <w:color w:val="auto"/>
                <w:sz w:val="24"/>
                <w:highlight w:val="none"/>
              </w:rPr>
              <w:t>数量</w:t>
            </w:r>
            <w:r>
              <w:rPr>
                <w:rFonts w:hint="eastAsia" w:ascii="宋体" w:hAnsi="宋体" w:cs="宋体"/>
                <w:color w:val="auto"/>
                <w:sz w:val="24"/>
                <w:highlight w:val="none"/>
                <w:lang w:val="zh-CN"/>
              </w:rPr>
              <w:t>、租赁天数与投标人进行结算付款的方式不影响投标人承担其因未全面履行本项目义务而产生的相应违约金。</w:t>
            </w:r>
          </w:p>
        </w:tc>
      </w:tr>
    </w:tbl>
    <w:p w14:paraId="6FAFF4FD">
      <w:pPr>
        <w:spacing w:line="360" w:lineRule="auto"/>
        <w:ind w:left="210" w:leftChars="100"/>
        <w:jc w:val="left"/>
        <w:rPr>
          <w:rFonts w:ascii="宋体" w:hAnsi="宋体" w:cs="宋体"/>
          <w:b/>
          <w:color w:val="auto"/>
          <w:sz w:val="24"/>
          <w:highlight w:val="none"/>
        </w:rPr>
      </w:pPr>
      <w:r>
        <w:rPr>
          <w:rFonts w:hint="eastAsia" w:ascii="宋体" w:hAnsi="宋体" w:cs="宋体"/>
          <w:b/>
          <w:color w:val="auto"/>
          <w:sz w:val="24"/>
          <w:highlight w:val="none"/>
        </w:rPr>
        <w:t>4.售后服务要求</w:t>
      </w:r>
    </w:p>
    <w:p w14:paraId="762B7C74">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服务类，无售后服务。</w:t>
      </w:r>
    </w:p>
    <w:p w14:paraId="1C68E0D7">
      <w:pPr>
        <w:spacing w:line="360" w:lineRule="auto"/>
        <w:ind w:left="210" w:leftChars="100"/>
        <w:jc w:val="left"/>
        <w:rPr>
          <w:rFonts w:ascii="宋体" w:hAnsi="宋体" w:cs="宋体"/>
          <w:b/>
          <w:color w:val="auto"/>
          <w:sz w:val="24"/>
          <w:highlight w:val="none"/>
        </w:rPr>
      </w:pPr>
      <w:r>
        <w:rPr>
          <w:rFonts w:hint="eastAsia" w:ascii="宋体" w:hAnsi="宋体" w:cs="宋体"/>
          <w:b/>
          <w:color w:val="auto"/>
          <w:sz w:val="24"/>
          <w:highlight w:val="none"/>
        </w:rPr>
        <w:t>5.其他商务要求（包装和运输、保险等）</w:t>
      </w:r>
    </w:p>
    <w:p w14:paraId="39883169">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1、履约保证金退还：服务期满，验收合格后，无任何质量问题，采购人于收到投标人退还履约保证金申请之日起5个工作日内凭双方签字盖章的验收意见，无息退还投标人履约保证金。</w:t>
      </w:r>
    </w:p>
    <w:p w14:paraId="18989609">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val="zh-CN"/>
        </w:rPr>
        <w:t>投标报价包含设备使用费、维护费、人员（工资、加班费、奖金、津贴及《劳动合同法》各类社会保险、食宿费、办公费等）、税金等为完成本项目各项服务可能发生的全部费用。</w:t>
      </w:r>
    </w:p>
    <w:p w14:paraId="23F7B136">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（七）其他要求</w:t>
      </w:r>
    </w:p>
    <w:p w14:paraId="19BF1F36">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（一）履约验收主体</w:t>
      </w:r>
    </w:p>
    <w:p w14:paraId="2D406DA2">
      <w:pPr>
        <w:spacing w:line="360" w:lineRule="auto"/>
        <w:ind w:left="420" w:leftChars="200"/>
        <w:jc w:val="left"/>
        <w:rPr>
          <w:rFonts w:ascii="宋体" w:hAnsi="宋体" w:cs="宋体"/>
          <w:color w:val="auto"/>
          <w:sz w:val="24"/>
          <w:highlight w:val="none"/>
          <w:u w:val="single"/>
        </w:rPr>
      </w:pPr>
      <w:r>
        <w:rPr>
          <w:rFonts w:hint="eastAsia" w:ascii="宋体" w:hAnsi="宋体" w:cs="宋体"/>
          <w:b/>
          <w:color w:val="auto"/>
          <w:sz w:val="24"/>
          <w:highlight w:val="none"/>
        </w:rPr>
        <w:t>1.采购单位：</w:t>
      </w:r>
      <w:r>
        <w:rPr>
          <w:rFonts w:hint="eastAsia" w:ascii="宋体" w:hAnsi="宋体" w:cs="宋体"/>
          <w:color w:val="auto"/>
          <w:sz w:val="24"/>
          <w:highlight w:val="none"/>
          <w:u w:val="single"/>
        </w:rPr>
        <w:t>杭州市公安局交通警察支队</w:t>
      </w:r>
    </w:p>
    <w:p w14:paraId="506C1795">
      <w:pPr>
        <w:spacing w:line="360" w:lineRule="auto"/>
        <w:ind w:left="420" w:leftChars="200"/>
        <w:jc w:val="left"/>
        <w:rPr>
          <w:rFonts w:ascii="宋体" w:hAnsi="宋体" w:cs="宋体"/>
          <w:color w:val="auto"/>
          <w:sz w:val="24"/>
          <w:highlight w:val="none"/>
          <w:u w:val="single"/>
        </w:rPr>
      </w:pPr>
      <w:r>
        <w:rPr>
          <w:rFonts w:hint="eastAsia" w:ascii="宋体" w:hAnsi="宋体" w:cs="宋体"/>
          <w:b/>
          <w:color w:val="auto"/>
          <w:sz w:val="24"/>
          <w:highlight w:val="none"/>
        </w:rPr>
        <w:t>2.是否选择代理机构：</w:t>
      </w:r>
      <w:r>
        <w:rPr>
          <w:rFonts w:hint="eastAsia" w:ascii="宋体" w:hAnsi="宋体" w:cs="宋体"/>
          <w:color w:val="auto"/>
          <w:sz w:val="24"/>
          <w:highlight w:val="none"/>
        </w:rPr>
        <w:tab/>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t>□否</w:t>
      </w:r>
    </w:p>
    <w:p w14:paraId="34A03065">
      <w:pPr>
        <w:spacing w:line="360" w:lineRule="auto"/>
        <w:ind w:left="420" w:leftChars="200"/>
        <w:jc w:val="left"/>
        <w:rPr>
          <w:rFonts w:ascii="宋体" w:hAnsi="宋体" w:cs="宋体"/>
          <w:color w:val="auto"/>
          <w:sz w:val="24"/>
          <w:highlight w:val="none"/>
          <w:u w:val="single"/>
        </w:rPr>
      </w:pPr>
      <w:r>
        <w:rPr>
          <w:rFonts w:hint="eastAsia" w:ascii="宋体" w:hAnsi="宋体" w:cs="宋体"/>
          <w:b/>
          <w:color w:val="auto"/>
          <w:sz w:val="24"/>
          <w:highlight w:val="none"/>
        </w:rPr>
        <w:t>3.是否邀请本项目的其他供应商：</w:t>
      </w:r>
      <w:r>
        <w:rPr>
          <w:rFonts w:hint="eastAsia" w:ascii="宋体" w:hAnsi="宋体" w:cs="宋体"/>
          <w:color w:val="auto"/>
          <w:sz w:val="24"/>
          <w:highlight w:val="none"/>
        </w:rPr>
        <w:tab/>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t>☑否</w:t>
      </w:r>
    </w:p>
    <w:p w14:paraId="7DF8E287">
      <w:pPr>
        <w:spacing w:line="360" w:lineRule="auto"/>
        <w:ind w:left="420" w:leftChars="200"/>
        <w:jc w:val="left"/>
        <w:rPr>
          <w:rFonts w:ascii="宋体" w:hAnsi="宋体" w:cs="宋体"/>
          <w:color w:val="auto"/>
          <w:sz w:val="24"/>
          <w:highlight w:val="none"/>
        </w:rPr>
      </w:pPr>
      <w:r>
        <w:rPr>
          <w:rFonts w:hint="eastAsia" w:ascii="宋体" w:hAnsi="宋体" w:cs="宋体"/>
          <w:b/>
          <w:color w:val="auto"/>
          <w:sz w:val="24"/>
          <w:highlight w:val="none"/>
        </w:rPr>
        <w:t>4.是否邀请专家：</w:t>
      </w:r>
      <w:r>
        <w:rPr>
          <w:rFonts w:hint="eastAsia" w:ascii="宋体" w:hAnsi="宋体" w:cs="宋体"/>
          <w:color w:val="auto"/>
          <w:sz w:val="24"/>
          <w:highlight w:val="none"/>
        </w:rPr>
        <w:tab/>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t>□否</w:t>
      </w:r>
    </w:p>
    <w:p w14:paraId="0AB9665C">
      <w:pPr>
        <w:spacing w:line="360" w:lineRule="auto"/>
        <w:ind w:left="420" w:leftChars="200"/>
        <w:jc w:val="left"/>
        <w:rPr>
          <w:rFonts w:ascii="宋体" w:hAnsi="宋体" w:cs="宋体"/>
          <w:color w:val="auto"/>
          <w:sz w:val="24"/>
          <w:highlight w:val="none"/>
        </w:rPr>
      </w:pPr>
      <w:r>
        <w:rPr>
          <w:rFonts w:hint="eastAsia" w:ascii="宋体" w:hAnsi="宋体" w:cs="宋体"/>
          <w:b/>
          <w:color w:val="auto"/>
          <w:sz w:val="24"/>
          <w:highlight w:val="none"/>
        </w:rPr>
        <w:t>5.是否邀请服务对象：</w:t>
      </w:r>
      <w:r>
        <w:rPr>
          <w:rFonts w:hint="eastAsia" w:ascii="宋体" w:hAnsi="宋体" w:cs="宋体"/>
          <w:color w:val="auto"/>
          <w:sz w:val="24"/>
          <w:highlight w:val="none"/>
        </w:rPr>
        <w:tab/>
      </w:r>
      <w:r>
        <w:rPr>
          <w:rFonts w:hint="eastAsia" w:ascii="宋体" w:hAnsi="宋体" w:cs="宋体"/>
          <w:color w:val="auto"/>
          <w:sz w:val="24"/>
          <w:highlight w:val="none"/>
        </w:rPr>
        <w:t>□是</w:t>
      </w:r>
      <w:r>
        <w:rPr>
          <w:rFonts w:hint="eastAsia" w:ascii="宋体" w:hAnsi="宋体" w:cs="宋体"/>
          <w:color w:val="auto"/>
          <w:sz w:val="24"/>
          <w:highlight w:val="none"/>
        </w:rPr>
        <w:tab/>
      </w:r>
      <w:r>
        <w:rPr>
          <w:rFonts w:hint="eastAsia" w:ascii="宋体" w:hAnsi="宋体" w:cs="宋体"/>
          <w:color w:val="auto"/>
          <w:sz w:val="24"/>
          <w:highlight w:val="none"/>
        </w:rPr>
        <w:t>☑否</w:t>
      </w:r>
    </w:p>
    <w:p w14:paraId="305996D5">
      <w:pPr>
        <w:pStyle w:val="800"/>
        <w:widowControl/>
        <w:ind w:firstLine="424" w:firstLineChars="176"/>
        <w:rPr>
          <w:rFonts w:ascii="宋体" w:hAnsi="宋体" w:cs="宋体"/>
          <w:color w:val="auto"/>
          <w:highlight w:val="none"/>
          <w:u w:val="single"/>
        </w:rPr>
      </w:pPr>
      <w:r>
        <w:rPr>
          <w:rFonts w:hint="eastAsia" w:ascii="宋体" w:hAnsi="宋体" w:cs="宋体"/>
          <w:b/>
          <w:color w:val="auto"/>
          <w:highlight w:val="none"/>
        </w:rPr>
        <w:t>6.其他：</w:t>
      </w:r>
      <w:r>
        <w:rPr>
          <w:rFonts w:hint="eastAsia" w:ascii="宋体" w:hAnsi="宋体" w:cs="宋体"/>
          <w:color w:val="auto"/>
          <w:highlight w:val="none"/>
          <w:u w:val="single"/>
        </w:rPr>
        <w:t>无</w:t>
      </w:r>
    </w:p>
    <w:p w14:paraId="7A747F70">
      <w:pPr>
        <w:spacing w:line="360" w:lineRule="auto"/>
        <w:jc w:val="left"/>
        <w:rPr>
          <w:rFonts w:ascii="宋体" w:hAnsi="宋体" w:cs="宋体"/>
          <w:color w:val="auto"/>
          <w:sz w:val="24"/>
          <w:highlight w:val="none"/>
          <w:u w:val="single"/>
        </w:rPr>
      </w:pPr>
      <w:r>
        <w:rPr>
          <w:rFonts w:hint="eastAsia" w:ascii="宋体" w:hAnsi="宋体" w:cs="宋体"/>
          <w:b/>
          <w:color w:val="auto"/>
          <w:sz w:val="24"/>
          <w:highlight w:val="none"/>
        </w:rPr>
        <w:t>（二）履约验收时间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第一次验收2025年11月30日以后，第二次验收</w:t>
      </w:r>
      <w:r>
        <w:rPr>
          <w:rFonts w:hint="eastAsia" w:ascii="宋体" w:hAnsi="宋体" w:cs="宋体"/>
          <w:color w:val="auto"/>
          <w:sz w:val="24"/>
          <w:highlight w:val="none"/>
          <w:u w:val="single"/>
        </w:rPr>
        <w:t xml:space="preserve">2026年7月31日服务期结束后。 </w:t>
      </w:r>
    </w:p>
    <w:p w14:paraId="2DEE0D37">
      <w:pPr>
        <w:spacing w:line="360" w:lineRule="auto"/>
        <w:jc w:val="left"/>
        <w:rPr>
          <w:rFonts w:ascii="宋体" w:hAnsi="宋体" w:cs="宋体"/>
          <w:color w:val="auto"/>
          <w:sz w:val="24"/>
          <w:highlight w:val="none"/>
        </w:rPr>
      </w:pPr>
      <w:r>
        <w:rPr>
          <w:rFonts w:hint="eastAsia" w:ascii="宋体" w:hAnsi="宋体" w:cs="宋体"/>
          <w:b/>
          <w:color w:val="auto"/>
          <w:sz w:val="24"/>
          <w:highlight w:val="none"/>
        </w:rPr>
        <w:t>（三）履约验收方式：</w:t>
      </w:r>
      <w:r>
        <w:rPr>
          <w:rFonts w:hint="eastAsia" w:ascii="宋体" w:hAnsi="宋体" w:cs="宋体"/>
          <w:color w:val="auto"/>
          <w:sz w:val="24"/>
          <w:highlight w:val="none"/>
        </w:rPr>
        <w:tab/>
      </w:r>
      <w:r>
        <w:rPr>
          <w:rFonts w:hint="eastAsia" w:ascii="宋体" w:hAnsi="宋体" w:cs="宋体"/>
          <w:color w:val="auto"/>
          <w:sz w:val="24"/>
          <w:highlight w:val="none"/>
        </w:rPr>
        <w:t>□简易程序</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☑一般程序</w:t>
      </w:r>
    </w:p>
    <w:p w14:paraId="32430562">
      <w:pPr>
        <w:spacing w:line="360" w:lineRule="auto"/>
        <w:jc w:val="left"/>
        <w:rPr>
          <w:rFonts w:ascii="宋体" w:hAnsi="宋体" w:cs="宋体"/>
          <w:color w:val="auto"/>
          <w:sz w:val="24"/>
          <w:highlight w:val="none"/>
        </w:rPr>
      </w:pPr>
      <w:r>
        <w:rPr>
          <w:rFonts w:hint="eastAsia" w:ascii="宋体" w:hAnsi="宋体" w:cs="宋体"/>
          <w:b/>
          <w:color w:val="auto"/>
          <w:sz w:val="24"/>
          <w:highlight w:val="none"/>
        </w:rPr>
        <w:t>（四）履约</w:t>
      </w:r>
      <w:bookmarkStart w:id="34" w:name="OLE_LINK10"/>
      <w:bookmarkStart w:id="35" w:name="OLE_LINK7"/>
      <w:r>
        <w:rPr>
          <w:rFonts w:hint="eastAsia" w:ascii="宋体" w:hAnsi="宋体" w:cs="宋体"/>
          <w:b/>
          <w:color w:val="auto"/>
          <w:sz w:val="24"/>
          <w:highlight w:val="none"/>
        </w:rPr>
        <w:t>验收程序</w:t>
      </w:r>
      <w:bookmarkEnd w:id="34"/>
      <w:bookmarkEnd w:id="35"/>
      <w:r>
        <w:rPr>
          <w:rFonts w:hint="eastAsia" w:ascii="宋体" w:hAnsi="宋体" w:cs="宋体"/>
          <w:b/>
          <w:color w:val="auto"/>
          <w:sz w:val="24"/>
          <w:highlight w:val="none"/>
        </w:rPr>
        <w:t>：</w:t>
      </w:r>
      <w:r>
        <w:rPr>
          <w:rFonts w:hint="eastAsia" w:ascii="宋体" w:hAnsi="宋体" w:cs="宋体"/>
          <w:color w:val="auto"/>
          <w:sz w:val="24"/>
          <w:highlight w:val="none"/>
        </w:rPr>
        <w:t xml:space="preserve"> □一</w:t>
      </w:r>
      <w:bookmarkStart w:id="36" w:name="OLE_LINK11"/>
      <w:bookmarkStart w:id="37" w:name="OLE_LINK12"/>
      <w:r>
        <w:rPr>
          <w:rFonts w:hint="eastAsia" w:ascii="宋体" w:hAnsi="宋体" w:cs="宋体"/>
          <w:color w:val="auto"/>
          <w:sz w:val="24"/>
          <w:highlight w:val="none"/>
        </w:rPr>
        <w:t>次性</w:t>
      </w:r>
      <w:bookmarkEnd w:id="36"/>
      <w:bookmarkEnd w:id="37"/>
      <w:r>
        <w:rPr>
          <w:rFonts w:hint="eastAsia" w:ascii="宋体" w:hAnsi="宋体" w:cs="宋体"/>
          <w:color w:val="auto"/>
          <w:sz w:val="24"/>
          <w:highlight w:val="none"/>
        </w:rPr>
        <w:t>验收</w:t>
      </w:r>
      <w:r>
        <w:rPr>
          <w:rFonts w:hint="eastAsia" w:ascii="宋体" w:hAnsi="宋体" w:cs="宋体"/>
          <w:color w:val="auto"/>
          <w:sz w:val="24"/>
          <w:highlight w:val="none"/>
        </w:rPr>
        <w:tab/>
      </w:r>
      <w:r>
        <w:rPr>
          <w:rFonts w:hint="eastAsia" w:ascii="宋体" w:hAnsi="宋体" w:cs="宋体"/>
          <w:color w:val="auto"/>
          <w:sz w:val="24"/>
          <w:highlight w:val="none"/>
        </w:rPr>
        <w:t>□分段验收</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☑分期验收</w:t>
      </w:r>
    </w:p>
    <w:p w14:paraId="40941C6E">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（五）履约验收内容</w:t>
      </w:r>
    </w:p>
    <w:p w14:paraId="7D746CEF">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795E5D3E">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本项目为信息化项目，根据采购人内控要求,项目交付验收时项目单位向采购人提交交付验收材料，由采购人组织开展交付验收；项目服务期满后,项目单位应向市公安局科信局提交《信息化建设项目验收表》及验收所需相应材料,由市公安局科信局按照市政府履约验收相关管理办法的程序,结合市局相关内控制度组织开展终验。</w:t>
      </w:r>
    </w:p>
    <w:p w14:paraId="7079E605">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3、交付验收时，按照采购合同的约定对每一项技术、服务、安全标准的交付情况进行确认；项目终验时，按照采购合同的约定对每一项技术、服务、安全标准的履约情况进行确认。</w:t>
      </w:r>
      <w:r>
        <w:rPr>
          <w:rFonts w:hint="eastAsia" w:ascii="宋体" w:hAnsi="宋体" w:cs="宋体"/>
          <w:color w:val="auto"/>
          <w:kern w:val="0"/>
          <w:sz w:val="24"/>
          <w:highlight w:val="none"/>
          <w:u w:val="single"/>
        </w:rPr>
        <w:t>采购人委托第三方机构组织验收，成立验收小组（验收小组由5人组成：</w:t>
      </w:r>
      <w:r>
        <w:rPr>
          <w:rFonts w:hint="eastAsia" w:ascii="宋体" w:hAnsi="宋体" w:cs="宋体"/>
          <w:bCs/>
          <w:color w:val="auto"/>
          <w:sz w:val="24"/>
          <w:highlight w:val="none"/>
          <w:u w:val="single"/>
        </w:rPr>
        <w:t>其中采购人代表1人，评审专家4人由</w:t>
      </w:r>
      <w:r>
        <w:rPr>
          <w:rFonts w:hint="eastAsia" w:ascii="宋体" w:hAnsi="宋体" w:cs="宋体"/>
          <w:color w:val="auto"/>
          <w:kern w:val="0"/>
          <w:sz w:val="24"/>
          <w:highlight w:val="none"/>
          <w:u w:val="single"/>
        </w:rPr>
        <w:t>第三方机构从乐采云专家库相关专业随机抽取</w:t>
      </w:r>
      <w:r>
        <w:rPr>
          <w:rFonts w:hint="eastAsia" w:ascii="宋体" w:hAnsi="宋体" w:cs="宋体"/>
          <w:bCs/>
          <w:color w:val="auto"/>
          <w:sz w:val="24"/>
          <w:highlight w:val="none"/>
          <w:u w:val="single"/>
        </w:rPr>
        <w:t>）</w:t>
      </w:r>
      <w:r>
        <w:rPr>
          <w:rFonts w:hint="eastAsia" w:ascii="宋体" w:hAnsi="宋体" w:cs="宋体"/>
          <w:color w:val="auto"/>
          <w:sz w:val="24"/>
          <w:highlight w:val="none"/>
          <w:u w:val="single"/>
        </w:rPr>
        <w:t>，验收小组现场组织对设备进行清点，出具验收报告并经验收小组全体成员签字。验收结果分为通过和不通过。验收结果为通过的，如存在待改进完善的问题，投标人应及时整改到位；验收结果为不通过的，投标人应及时整改并重新提出验收申请。采购人根据验收报告形成验收意见并经采购人与投标人签字盖章，并在财政指定媒体上公示无异议后生效。验收结果与采购合同约定的资金支付</w:t>
      </w:r>
      <w:r>
        <w:rPr>
          <w:rFonts w:ascii="宋体" w:hAnsi="宋体" w:cs="宋体"/>
          <w:color w:val="auto"/>
          <w:sz w:val="24"/>
          <w:highlight w:val="none"/>
          <w:u w:val="single"/>
        </w:rPr>
        <w:t>及履约保证金返还</w:t>
      </w:r>
      <w:r>
        <w:rPr>
          <w:rFonts w:hint="eastAsia" w:ascii="宋体" w:hAnsi="宋体" w:cs="宋体"/>
          <w:color w:val="auto"/>
          <w:sz w:val="24"/>
          <w:highlight w:val="none"/>
          <w:u w:val="single"/>
        </w:rPr>
        <w:t>挂钩。履约验收的各项资料应当存档备查。</w:t>
      </w:r>
    </w:p>
    <w:p w14:paraId="7A05E6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4、验收合格的项目，采购人将根据采购合同的约定及时向投标人支付采购资金</w:t>
      </w:r>
      <w:r>
        <w:rPr>
          <w:rFonts w:ascii="宋体" w:hAnsi="宋体" w:cs="宋体"/>
          <w:color w:val="auto"/>
          <w:sz w:val="24"/>
          <w:highlight w:val="none"/>
          <w:u w:val="single"/>
        </w:rPr>
        <w:t>、</w:t>
      </w:r>
      <w:r>
        <w:rPr>
          <w:rFonts w:hint="eastAsia" w:ascii="宋体" w:hAnsi="宋体" w:cs="宋体"/>
          <w:color w:val="auto"/>
          <w:sz w:val="24"/>
          <w:highlight w:val="none"/>
          <w:u w:val="single"/>
          <w:lang w:eastAsia="zh-CN"/>
        </w:rPr>
        <w:t>无息</w:t>
      </w:r>
      <w:r>
        <w:rPr>
          <w:rFonts w:ascii="宋体" w:hAnsi="宋体" w:cs="宋体"/>
          <w:color w:val="auto"/>
          <w:sz w:val="24"/>
          <w:highlight w:val="none"/>
          <w:u w:val="single"/>
        </w:rPr>
        <w:t>退还履约保证金</w:t>
      </w:r>
      <w:r>
        <w:rPr>
          <w:rFonts w:hint="eastAsia" w:ascii="宋体" w:hAnsi="宋体" w:cs="宋体"/>
          <w:color w:val="auto"/>
          <w:sz w:val="24"/>
          <w:highlight w:val="none"/>
          <w:u w:val="single"/>
        </w:rPr>
        <w:t>。验收不合格的项目，采购人将依法及时处理。采购合同的履行、违约责任和解决争议的方式等适用《中华人民共和国民法典》。</w:t>
      </w:r>
    </w:p>
    <w:p w14:paraId="7F2E3858">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5、验收产生的费用首次验收费用由采购人承担，如首次验收不合格，后续验收费用由投标人支付。</w:t>
      </w:r>
    </w:p>
    <w:p w14:paraId="4B8918EB">
      <w:pPr>
        <w:tabs>
          <w:tab w:val="left" w:pos="904"/>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6、验收内容及资料要求：</w:t>
      </w:r>
    </w:p>
    <w:p w14:paraId="476EC457">
      <w:pPr>
        <w:tabs>
          <w:tab w:val="left" w:pos="904"/>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根据采购文件确定的技术指标或者服务要求确定验收指标和标准。未进行相应约定的，应当符合国家强制性规定、政策要求、安全标准、行业和企业有关标准等。</w:t>
      </w:r>
    </w:p>
    <w:p w14:paraId="4FEEEF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w:t>
      </w:r>
    </w:p>
    <w:tbl>
      <w:tblPr>
        <w:tblStyle w:val="63"/>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856"/>
        <w:gridCol w:w="4692"/>
      </w:tblGrid>
      <w:tr w14:paraId="6038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65B774E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73" w:type="pct"/>
            <w:tcBorders>
              <w:top w:val="single" w:color="auto" w:sz="4" w:space="0"/>
              <w:left w:val="single" w:color="auto" w:sz="4" w:space="0"/>
              <w:bottom w:val="single" w:color="auto" w:sz="4" w:space="0"/>
              <w:right w:val="single" w:color="auto" w:sz="4" w:space="0"/>
            </w:tcBorders>
            <w:noWrap/>
            <w:vAlign w:val="center"/>
          </w:tcPr>
          <w:p w14:paraId="6FD3814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验收内容</w:t>
            </w:r>
          </w:p>
        </w:tc>
        <w:tc>
          <w:tcPr>
            <w:tcW w:w="3205" w:type="pct"/>
            <w:tcBorders>
              <w:top w:val="single" w:color="auto" w:sz="4" w:space="0"/>
              <w:left w:val="single" w:color="auto" w:sz="4" w:space="0"/>
              <w:bottom w:val="single" w:color="auto" w:sz="4" w:space="0"/>
              <w:right w:val="single" w:color="auto" w:sz="4" w:space="0"/>
            </w:tcBorders>
            <w:vAlign w:val="center"/>
          </w:tcPr>
          <w:p w14:paraId="1C4512A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验收标准</w:t>
            </w:r>
          </w:p>
        </w:tc>
      </w:tr>
      <w:tr w14:paraId="2C81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77027F0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73" w:type="pct"/>
            <w:tcBorders>
              <w:top w:val="single" w:color="auto" w:sz="4" w:space="0"/>
              <w:left w:val="single" w:color="auto" w:sz="4" w:space="0"/>
              <w:bottom w:val="single" w:color="auto" w:sz="4" w:space="0"/>
              <w:right w:val="single" w:color="auto" w:sz="4" w:space="0"/>
            </w:tcBorders>
            <w:noWrap/>
            <w:vAlign w:val="center"/>
          </w:tcPr>
          <w:p w14:paraId="450B7570">
            <w:pPr>
              <w:widowControl/>
              <w:spacing w:line="360" w:lineRule="auto"/>
              <w:rPr>
                <w:rFonts w:ascii="宋体" w:hAnsi="宋体" w:cs="宋体"/>
                <w:color w:val="auto"/>
                <w:sz w:val="24"/>
                <w:highlight w:val="none"/>
              </w:rPr>
            </w:pPr>
            <w:r>
              <w:rPr>
                <w:rFonts w:hint="eastAsia" w:ascii="宋体" w:hAnsi="宋体" w:cs="宋体"/>
                <w:color w:val="auto"/>
                <w:sz w:val="24"/>
                <w:highlight w:val="none"/>
              </w:rPr>
              <w:t>租赁设备</w:t>
            </w:r>
          </w:p>
        </w:tc>
        <w:tc>
          <w:tcPr>
            <w:tcW w:w="3205" w:type="pct"/>
            <w:tcBorders>
              <w:top w:val="single" w:color="auto" w:sz="4" w:space="0"/>
              <w:left w:val="single" w:color="auto" w:sz="4" w:space="0"/>
              <w:bottom w:val="single" w:color="auto" w:sz="4" w:space="0"/>
              <w:right w:val="single" w:color="auto" w:sz="4" w:space="0"/>
            </w:tcBorders>
            <w:vAlign w:val="center"/>
          </w:tcPr>
          <w:p w14:paraId="36EC9A5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核对租赁清单，对设备的品牌、型号、数量、设备技术参数功能进行验收。</w:t>
            </w:r>
          </w:p>
        </w:tc>
      </w:tr>
      <w:tr w14:paraId="63A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3584FFA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73" w:type="pct"/>
            <w:tcBorders>
              <w:top w:val="single" w:color="auto" w:sz="4" w:space="0"/>
              <w:left w:val="single" w:color="auto" w:sz="4" w:space="0"/>
              <w:bottom w:val="single" w:color="auto" w:sz="4" w:space="0"/>
              <w:right w:val="single" w:color="auto" w:sz="4" w:space="0"/>
            </w:tcBorders>
            <w:noWrap/>
            <w:vAlign w:val="center"/>
          </w:tcPr>
          <w:p w14:paraId="60BE84DF">
            <w:pPr>
              <w:widowControl/>
              <w:spacing w:line="360" w:lineRule="auto"/>
              <w:rPr>
                <w:rFonts w:ascii="宋体" w:hAnsi="宋体" w:cs="宋体"/>
                <w:color w:val="auto"/>
                <w:sz w:val="24"/>
                <w:highlight w:val="none"/>
              </w:rPr>
            </w:pPr>
            <w:r>
              <w:rPr>
                <w:rFonts w:hint="eastAsia" w:ascii="宋体" w:hAnsi="宋体" w:cs="宋体"/>
                <w:color w:val="auto"/>
                <w:sz w:val="24"/>
                <w:highlight w:val="none"/>
              </w:rPr>
              <w:t>对终端设备管理进行管理</w:t>
            </w:r>
          </w:p>
        </w:tc>
        <w:tc>
          <w:tcPr>
            <w:tcW w:w="3205" w:type="pct"/>
            <w:tcBorders>
              <w:top w:val="single" w:color="auto" w:sz="4" w:space="0"/>
              <w:left w:val="single" w:color="auto" w:sz="4" w:space="0"/>
              <w:bottom w:val="single" w:color="auto" w:sz="4" w:space="0"/>
              <w:right w:val="single" w:color="auto" w:sz="4" w:space="0"/>
            </w:tcBorders>
            <w:vAlign w:val="center"/>
          </w:tcPr>
          <w:p w14:paraId="0440062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现场测试对终端设备进行遥晕、遥启、对讲通话录音的管理功能进行验收。</w:t>
            </w:r>
          </w:p>
        </w:tc>
      </w:tr>
      <w:tr w14:paraId="11B2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1034963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373" w:type="pct"/>
            <w:tcBorders>
              <w:top w:val="single" w:color="auto" w:sz="4" w:space="0"/>
              <w:left w:val="single" w:color="auto" w:sz="4" w:space="0"/>
              <w:bottom w:val="single" w:color="auto" w:sz="4" w:space="0"/>
              <w:right w:val="single" w:color="auto" w:sz="4" w:space="0"/>
            </w:tcBorders>
            <w:noWrap/>
            <w:vAlign w:val="center"/>
          </w:tcPr>
          <w:p w14:paraId="6A2AB7F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租赁期间的维护服务</w:t>
            </w:r>
          </w:p>
        </w:tc>
        <w:tc>
          <w:tcPr>
            <w:tcW w:w="3205" w:type="pct"/>
            <w:tcBorders>
              <w:top w:val="single" w:color="auto" w:sz="4" w:space="0"/>
              <w:left w:val="single" w:color="auto" w:sz="4" w:space="0"/>
              <w:bottom w:val="single" w:color="auto" w:sz="4" w:space="0"/>
              <w:right w:val="single" w:color="auto" w:sz="4" w:space="0"/>
            </w:tcBorders>
            <w:vAlign w:val="center"/>
          </w:tcPr>
          <w:p w14:paraId="583E7AC9">
            <w:pPr>
              <w:spacing w:line="360" w:lineRule="auto"/>
              <w:rPr>
                <w:rFonts w:ascii="宋体" w:hAnsi="宋体" w:cs="宋体"/>
                <w:color w:val="auto"/>
                <w:sz w:val="24"/>
                <w:highlight w:val="none"/>
              </w:rPr>
            </w:pPr>
            <w:r>
              <w:rPr>
                <w:rFonts w:hint="eastAsia" w:ascii="宋体" w:hAnsi="宋体" w:cs="宋体"/>
                <w:color w:val="auto"/>
                <w:sz w:val="24"/>
                <w:highlight w:val="none"/>
              </w:rPr>
              <w:t>巡检、故障分析、应急方案等满足采购需求。</w:t>
            </w:r>
          </w:p>
        </w:tc>
      </w:tr>
      <w:tr w14:paraId="7512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3BA6331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373" w:type="pct"/>
            <w:tcBorders>
              <w:top w:val="single" w:color="auto" w:sz="4" w:space="0"/>
              <w:left w:val="single" w:color="auto" w:sz="4" w:space="0"/>
              <w:bottom w:val="single" w:color="auto" w:sz="4" w:space="0"/>
              <w:right w:val="single" w:color="auto" w:sz="4" w:space="0"/>
            </w:tcBorders>
            <w:noWrap/>
            <w:vAlign w:val="center"/>
          </w:tcPr>
          <w:p w14:paraId="4D3BD7E3">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服务人员情况</w:t>
            </w:r>
          </w:p>
        </w:tc>
        <w:tc>
          <w:tcPr>
            <w:tcW w:w="3205" w:type="pct"/>
            <w:tcBorders>
              <w:top w:val="single" w:color="auto" w:sz="4" w:space="0"/>
              <w:left w:val="single" w:color="auto" w:sz="4" w:space="0"/>
              <w:bottom w:val="single" w:color="auto" w:sz="4" w:space="0"/>
              <w:right w:val="single" w:color="auto" w:sz="4" w:space="0"/>
            </w:tcBorders>
            <w:vAlign w:val="center"/>
          </w:tcPr>
          <w:p w14:paraId="2A18E51E">
            <w:pPr>
              <w:adjustRightInd w:val="0"/>
              <w:snapToGrid w:val="0"/>
              <w:spacing w:line="276" w:lineRule="auto"/>
              <w:rPr>
                <w:rFonts w:ascii="宋体" w:hAnsi="宋体" w:cs="宋体"/>
                <w:bCs/>
                <w:color w:val="auto"/>
                <w:sz w:val="24"/>
                <w:highlight w:val="none"/>
              </w:rPr>
            </w:pPr>
            <w:r>
              <w:rPr>
                <w:rFonts w:hint="eastAsia" w:ascii="宋体" w:hAnsi="宋体" w:cs="宋体"/>
                <w:bCs/>
                <w:color w:val="auto"/>
                <w:sz w:val="24"/>
                <w:highlight w:val="none"/>
              </w:rPr>
              <w:t>在服务期间，按合同和投标文件投入相应资质的项目</w:t>
            </w:r>
            <w:r>
              <w:rPr>
                <w:rFonts w:ascii="宋体" w:hAnsi="宋体" w:cs="宋体"/>
                <w:bCs/>
                <w:color w:val="auto"/>
                <w:sz w:val="24"/>
                <w:highlight w:val="none"/>
              </w:rPr>
              <w:t>组</w:t>
            </w:r>
            <w:r>
              <w:rPr>
                <w:rFonts w:hint="eastAsia" w:ascii="宋体" w:hAnsi="宋体" w:cs="宋体"/>
                <w:bCs/>
                <w:color w:val="auto"/>
                <w:sz w:val="24"/>
                <w:highlight w:val="none"/>
              </w:rPr>
              <w:t>成员和技术人员。</w:t>
            </w:r>
          </w:p>
          <w:p w14:paraId="177312D9">
            <w:pPr>
              <w:adjustRightInd w:val="0"/>
              <w:snapToGrid w:val="0"/>
              <w:spacing w:line="276" w:lineRule="auto"/>
              <w:rPr>
                <w:rFonts w:ascii="宋体" w:hAnsi="宋体" w:cs="宋体"/>
                <w:bCs/>
                <w:color w:val="auto"/>
                <w:sz w:val="24"/>
                <w:highlight w:val="none"/>
              </w:rPr>
            </w:pPr>
            <w:r>
              <w:rPr>
                <w:rFonts w:hint="eastAsia" w:ascii="宋体" w:hAnsi="宋体" w:cs="宋体"/>
                <w:bCs/>
                <w:color w:val="auto"/>
                <w:sz w:val="24"/>
                <w:highlight w:val="none"/>
              </w:rPr>
              <w:t>提供至少2名服务人员（含项目负责人、驻点人员），</w:t>
            </w:r>
            <w:r>
              <w:rPr>
                <w:rFonts w:hint="eastAsia" w:ascii="宋体" w:hAnsi="宋体" w:cs="宋体"/>
                <w:color w:val="auto"/>
                <w:sz w:val="24"/>
                <w:highlight w:val="none"/>
              </w:rPr>
              <w:t>年龄均55周岁（含）以下，</w:t>
            </w:r>
            <w:r>
              <w:rPr>
                <w:rFonts w:hint="eastAsia" w:ascii="宋体" w:hAnsi="宋体" w:cs="宋体"/>
                <w:color w:val="auto"/>
                <w:kern w:val="0"/>
                <w:sz w:val="24"/>
                <w:highlight w:val="none"/>
              </w:rPr>
              <w:t>且均具有大专及以上学历，并且均</w:t>
            </w:r>
            <w:r>
              <w:rPr>
                <w:rFonts w:hint="eastAsia" w:ascii="宋体" w:hAnsi="宋体" w:cs="宋体"/>
                <w:bCs/>
                <w:color w:val="auto"/>
                <w:sz w:val="24"/>
                <w:highlight w:val="none"/>
              </w:rPr>
              <w:t>具有</w:t>
            </w:r>
            <w:r>
              <w:rPr>
                <w:rFonts w:hint="eastAsia" w:ascii="宋体" w:hAnsi="宋体" w:cs="宋体"/>
                <w:bCs/>
                <w:color w:val="auto"/>
                <w:sz w:val="24"/>
                <w:highlight w:val="none"/>
                <w:lang w:eastAsia="zh-CN"/>
              </w:rPr>
              <w:t>类似</w:t>
            </w:r>
            <w:r>
              <w:rPr>
                <w:rFonts w:hint="eastAsia" w:ascii="宋体" w:hAnsi="宋体" w:cs="宋体"/>
                <w:bCs/>
                <w:color w:val="auto"/>
                <w:sz w:val="24"/>
                <w:highlight w:val="none"/>
              </w:rPr>
              <w:t>移动终端租赁项目工作经验。</w:t>
            </w:r>
          </w:p>
          <w:p w14:paraId="724B437F">
            <w:pPr>
              <w:adjustRightInd w:val="0"/>
              <w:snapToGrid w:val="0"/>
              <w:spacing w:line="276" w:lineRule="auto"/>
              <w:rPr>
                <w:rFonts w:ascii="宋体" w:hAnsi="宋体" w:cs="宋体"/>
                <w:color w:val="auto"/>
                <w:sz w:val="24"/>
                <w:highlight w:val="none"/>
              </w:rPr>
            </w:pPr>
            <w:r>
              <w:rPr>
                <w:rFonts w:hint="eastAsia" w:ascii="宋体" w:hAnsi="宋体" w:cs="宋体"/>
                <w:bCs/>
                <w:color w:val="auto"/>
                <w:sz w:val="24"/>
                <w:highlight w:val="none"/>
              </w:rPr>
              <w:t>服务人员工作时间、地点满足采购要求。</w:t>
            </w:r>
          </w:p>
        </w:tc>
      </w:tr>
      <w:tr w14:paraId="074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5D29AD1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373" w:type="pct"/>
            <w:tcBorders>
              <w:top w:val="single" w:color="auto" w:sz="4" w:space="0"/>
              <w:left w:val="single" w:color="auto" w:sz="4" w:space="0"/>
              <w:bottom w:val="single" w:color="auto" w:sz="4" w:space="0"/>
              <w:right w:val="single" w:color="auto" w:sz="4" w:space="0"/>
            </w:tcBorders>
            <w:noWrap/>
            <w:vAlign w:val="center"/>
          </w:tcPr>
          <w:p w14:paraId="70BED59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故障维修情况</w:t>
            </w:r>
          </w:p>
        </w:tc>
        <w:tc>
          <w:tcPr>
            <w:tcW w:w="3205" w:type="pct"/>
            <w:tcBorders>
              <w:top w:val="single" w:color="auto" w:sz="4" w:space="0"/>
              <w:left w:val="single" w:color="auto" w:sz="4" w:space="0"/>
              <w:bottom w:val="single" w:color="auto" w:sz="4" w:space="0"/>
              <w:right w:val="single" w:color="auto" w:sz="4" w:space="0"/>
            </w:tcBorders>
            <w:vAlign w:val="center"/>
          </w:tcPr>
          <w:p w14:paraId="193F9F1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故障响应时间按照合同及投标文件要求实施响应、修复。</w:t>
            </w:r>
          </w:p>
        </w:tc>
      </w:tr>
      <w:tr w14:paraId="084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04ACB8D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373" w:type="pct"/>
            <w:tcBorders>
              <w:top w:val="single" w:color="auto" w:sz="4" w:space="0"/>
              <w:left w:val="single" w:color="auto" w:sz="4" w:space="0"/>
              <w:bottom w:val="single" w:color="auto" w:sz="4" w:space="0"/>
              <w:right w:val="single" w:color="auto" w:sz="4" w:space="0"/>
            </w:tcBorders>
            <w:noWrap/>
            <w:vAlign w:val="center"/>
          </w:tcPr>
          <w:p w14:paraId="5052A154">
            <w:pPr>
              <w:widowControl/>
              <w:spacing w:line="360" w:lineRule="auto"/>
              <w:rPr>
                <w:rFonts w:ascii="宋体" w:hAnsi="宋体" w:cs="宋体"/>
                <w:color w:val="auto"/>
                <w:sz w:val="24"/>
                <w:highlight w:val="none"/>
              </w:rPr>
            </w:pPr>
            <w:r>
              <w:rPr>
                <w:rFonts w:hint="eastAsia" w:ascii="宋体" w:hAnsi="宋体" w:cs="宋体"/>
                <w:color w:val="auto"/>
                <w:sz w:val="24"/>
                <w:highlight w:val="none"/>
              </w:rPr>
              <w:t>保密要求</w:t>
            </w:r>
          </w:p>
        </w:tc>
        <w:tc>
          <w:tcPr>
            <w:tcW w:w="3205" w:type="pct"/>
            <w:tcBorders>
              <w:top w:val="single" w:color="auto" w:sz="4" w:space="0"/>
              <w:left w:val="single" w:color="auto" w:sz="4" w:space="0"/>
              <w:bottom w:val="single" w:color="auto" w:sz="4" w:space="0"/>
              <w:right w:val="single" w:color="auto" w:sz="4" w:space="0"/>
            </w:tcBorders>
            <w:vAlign w:val="center"/>
          </w:tcPr>
          <w:p w14:paraId="5009461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满足采购人的保密规定实施，签订单位保密协议、个人保密承诺书。</w:t>
            </w:r>
          </w:p>
        </w:tc>
      </w:tr>
      <w:tr w14:paraId="0D9B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12A9BFA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373" w:type="pct"/>
            <w:tcBorders>
              <w:top w:val="single" w:color="auto" w:sz="4" w:space="0"/>
              <w:left w:val="single" w:color="auto" w:sz="4" w:space="0"/>
              <w:bottom w:val="single" w:color="auto" w:sz="4" w:space="0"/>
              <w:right w:val="single" w:color="auto" w:sz="4" w:space="0"/>
            </w:tcBorders>
            <w:noWrap/>
            <w:vAlign w:val="center"/>
          </w:tcPr>
          <w:p w14:paraId="52A1C30F">
            <w:pPr>
              <w:widowControl/>
              <w:spacing w:line="360" w:lineRule="auto"/>
              <w:rPr>
                <w:rFonts w:ascii="宋体" w:hAnsi="宋体" w:cs="宋体"/>
                <w:color w:val="auto"/>
                <w:sz w:val="24"/>
                <w:highlight w:val="none"/>
              </w:rPr>
            </w:pPr>
            <w:r>
              <w:rPr>
                <w:rFonts w:hint="eastAsia" w:ascii="宋体" w:hAnsi="宋体" w:cs="宋体"/>
                <w:bCs/>
                <w:color w:val="auto"/>
                <w:kern w:val="0"/>
                <w:sz w:val="24"/>
                <w:highlight w:val="none"/>
              </w:rPr>
              <w:t>网络安全与责任管理</w:t>
            </w:r>
          </w:p>
        </w:tc>
        <w:tc>
          <w:tcPr>
            <w:tcW w:w="3205" w:type="pct"/>
            <w:tcBorders>
              <w:top w:val="single" w:color="auto" w:sz="4" w:space="0"/>
              <w:left w:val="single" w:color="auto" w:sz="4" w:space="0"/>
              <w:bottom w:val="single" w:color="auto" w:sz="4" w:space="0"/>
              <w:right w:val="single" w:color="auto" w:sz="4" w:space="0"/>
            </w:tcBorders>
            <w:vAlign w:val="center"/>
          </w:tcPr>
          <w:p w14:paraId="04DDC07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1、明确投标人法定代表人为合作事项网络安全第一责任人，具体承担合作事项的部门主要负责人为直接责任人。</w:t>
            </w:r>
          </w:p>
          <w:p w14:paraId="1B635B0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2、投标人不得转包合同任务，未经采购人书面同意不得分包合同任务。</w:t>
            </w:r>
          </w:p>
          <w:p w14:paraId="29FC5BE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3、投标人应制订与合作事项相关的网络安全保障方案和网络安全事件应急预案。</w:t>
            </w:r>
          </w:p>
          <w:p w14:paraId="43E7859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4、投标人发现网络安全漏洞、缺陷或者其他严重网络安全风险，应及时向采购人报告。</w:t>
            </w:r>
          </w:p>
          <w:p w14:paraId="100D655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5、处理合作事项的信息平台应当优先采用符合安全可靠测评要求的硬件和软件产品</w:t>
            </w:r>
          </w:p>
          <w:p w14:paraId="7B3DC94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6、发生可能影响合作事项的网络安全重大事项，包括负责人及重要工作人员变更、业务转型、合并重组和投资并购等，投标人应提前向采购人报告。</w:t>
            </w:r>
          </w:p>
          <w:p w14:paraId="0CC7EC7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7、采用社会公共网络平台实施合作事项时，严禁涉及国家秘密和警务工作秘密。</w:t>
            </w:r>
          </w:p>
          <w:p w14:paraId="6578351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8、投标人应于2026年8月1日前向采购人提交网络安全报告。</w:t>
            </w:r>
          </w:p>
          <w:p w14:paraId="7EDA7E2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9、其他应当落实的网络安全责任和义务。</w:t>
            </w:r>
          </w:p>
          <w:p w14:paraId="7F8EA647">
            <w:pPr>
              <w:spacing w:line="276" w:lineRule="auto"/>
              <w:ind w:left="-161" w:leftChars="-89" w:hanging="26" w:hangingChars="11"/>
              <w:jc w:val="left"/>
              <w:rPr>
                <w:rFonts w:ascii="宋体" w:hAnsi="宋体" w:cs="宋体"/>
                <w:color w:val="auto"/>
                <w:kern w:val="0"/>
                <w:sz w:val="24"/>
                <w:highlight w:val="none"/>
              </w:rPr>
            </w:pPr>
          </w:p>
        </w:tc>
      </w:tr>
      <w:tr w14:paraId="0F1B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0899973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373" w:type="pct"/>
            <w:tcBorders>
              <w:top w:val="single" w:color="auto" w:sz="4" w:space="0"/>
              <w:left w:val="single" w:color="auto" w:sz="4" w:space="0"/>
              <w:bottom w:val="single" w:color="auto" w:sz="4" w:space="0"/>
              <w:right w:val="single" w:color="auto" w:sz="4" w:space="0"/>
            </w:tcBorders>
            <w:noWrap/>
            <w:vAlign w:val="center"/>
          </w:tcPr>
          <w:p w14:paraId="104C986E">
            <w:pPr>
              <w:widowControl/>
              <w:spacing w:line="360" w:lineRule="auto"/>
              <w:rPr>
                <w:rFonts w:ascii="宋体" w:hAnsi="宋体" w:cs="宋体"/>
                <w:color w:val="auto"/>
                <w:sz w:val="24"/>
                <w:highlight w:val="none"/>
              </w:rPr>
            </w:pPr>
            <w:r>
              <w:rPr>
                <w:rFonts w:hint="eastAsia" w:ascii="宋体" w:hAnsi="宋体" w:cs="宋体"/>
                <w:color w:val="auto"/>
                <w:sz w:val="24"/>
                <w:highlight w:val="none"/>
              </w:rPr>
              <w:t>项目资料</w:t>
            </w:r>
          </w:p>
        </w:tc>
        <w:tc>
          <w:tcPr>
            <w:tcW w:w="3205" w:type="pct"/>
            <w:tcBorders>
              <w:top w:val="single" w:color="auto" w:sz="4" w:space="0"/>
              <w:left w:val="single" w:color="auto" w:sz="4" w:space="0"/>
              <w:bottom w:val="single" w:color="auto" w:sz="4" w:space="0"/>
              <w:right w:val="single" w:color="auto" w:sz="4" w:space="0"/>
            </w:tcBorders>
            <w:vAlign w:val="center"/>
          </w:tcPr>
          <w:p w14:paraId="7486859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要及时做好租赁总结报告、巡检报告、故障分析报告、采购人交办的文档资料、监理单位需要投标人配合完成的文档资料、信息化建设项目变更审批表（如有）、故障分析说明（如有）等。</w:t>
            </w:r>
          </w:p>
        </w:tc>
      </w:tr>
      <w:tr w14:paraId="7417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177DE26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373" w:type="pct"/>
            <w:tcBorders>
              <w:top w:val="single" w:color="auto" w:sz="4" w:space="0"/>
              <w:left w:val="single" w:color="auto" w:sz="4" w:space="0"/>
              <w:bottom w:val="single" w:color="auto" w:sz="4" w:space="0"/>
              <w:right w:val="single" w:color="auto" w:sz="4" w:space="0"/>
            </w:tcBorders>
            <w:noWrap/>
            <w:vAlign w:val="center"/>
          </w:tcPr>
          <w:p w14:paraId="033CD9FC">
            <w:pPr>
              <w:widowControl/>
              <w:spacing w:line="360" w:lineRule="auto"/>
              <w:rPr>
                <w:rFonts w:ascii="宋体" w:hAnsi="宋体" w:cs="宋体"/>
                <w:color w:val="auto"/>
                <w:sz w:val="24"/>
                <w:highlight w:val="none"/>
              </w:rPr>
            </w:pPr>
            <w:r>
              <w:rPr>
                <w:rFonts w:hint="eastAsia" w:ascii="宋体" w:hAnsi="宋体" w:cs="宋体"/>
                <w:color w:val="auto"/>
                <w:sz w:val="24"/>
                <w:highlight w:val="none"/>
              </w:rPr>
              <w:t>中小企业比例</w:t>
            </w:r>
          </w:p>
        </w:tc>
        <w:tc>
          <w:tcPr>
            <w:tcW w:w="3205" w:type="pct"/>
            <w:tcBorders>
              <w:top w:val="single" w:color="auto" w:sz="4" w:space="0"/>
              <w:left w:val="single" w:color="auto" w:sz="4" w:space="0"/>
              <w:bottom w:val="single" w:color="auto" w:sz="4" w:space="0"/>
              <w:right w:val="single" w:color="auto" w:sz="4" w:space="0"/>
            </w:tcBorders>
            <w:vAlign w:val="center"/>
          </w:tcPr>
          <w:p w14:paraId="41DE851A">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本项目履约过程中，不存在转包行为，且确保服务内容100%面向中小企业。</w:t>
            </w:r>
          </w:p>
        </w:tc>
      </w:tr>
      <w:tr w14:paraId="171F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 w:type="pct"/>
            <w:tcBorders>
              <w:top w:val="single" w:color="auto" w:sz="4" w:space="0"/>
              <w:left w:val="single" w:color="auto" w:sz="4" w:space="0"/>
              <w:bottom w:val="single" w:color="auto" w:sz="4" w:space="0"/>
              <w:right w:val="single" w:color="auto" w:sz="4" w:space="0"/>
            </w:tcBorders>
            <w:noWrap/>
            <w:vAlign w:val="center"/>
          </w:tcPr>
          <w:p w14:paraId="453D67D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373" w:type="pct"/>
            <w:tcBorders>
              <w:top w:val="single" w:color="auto" w:sz="4" w:space="0"/>
              <w:left w:val="single" w:color="auto" w:sz="4" w:space="0"/>
              <w:bottom w:val="single" w:color="auto" w:sz="4" w:space="0"/>
              <w:right w:val="single" w:color="auto" w:sz="4" w:space="0"/>
            </w:tcBorders>
            <w:vAlign w:val="center"/>
          </w:tcPr>
          <w:p w14:paraId="7F4BAD11">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其他工作</w:t>
            </w:r>
          </w:p>
        </w:tc>
        <w:tc>
          <w:tcPr>
            <w:tcW w:w="3205" w:type="pct"/>
            <w:tcBorders>
              <w:top w:val="single" w:color="auto" w:sz="4" w:space="0"/>
              <w:left w:val="single" w:color="auto" w:sz="4" w:space="0"/>
              <w:bottom w:val="single" w:color="auto" w:sz="4" w:space="0"/>
              <w:right w:val="single" w:color="auto" w:sz="4" w:space="0"/>
            </w:tcBorders>
            <w:vAlign w:val="center"/>
          </w:tcPr>
          <w:p w14:paraId="18CF5D8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履行项目采购文件、投标文件、合同条款中涉及的其他承诺的情况。</w:t>
            </w:r>
          </w:p>
        </w:tc>
      </w:tr>
    </w:tbl>
    <w:p w14:paraId="09F72A1B">
      <w:pPr>
        <w:pStyle w:val="33"/>
        <w:adjustRightInd w:val="0"/>
        <w:snapToGrid w:val="0"/>
        <w:spacing w:line="360" w:lineRule="auto"/>
        <w:ind w:right="-512" w:firstLine="542" w:firstLineChars="225"/>
        <w:rPr>
          <w:rFonts w:hAnsi="宋体" w:cs="宋体"/>
          <w:color w:val="auto"/>
          <w:sz w:val="24"/>
          <w:szCs w:val="24"/>
          <w:highlight w:val="none"/>
        </w:rPr>
      </w:pPr>
      <w:r>
        <w:rPr>
          <w:rFonts w:hint="eastAsia" w:hAnsi="宋体" w:cs="宋体"/>
          <w:b/>
          <w:color w:val="auto"/>
          <w:sz w:val="24"/>
          <w:szCs w:val="24"/>
          <w:highlight w:val="none"/>
        </w:rPr>
        <w:t>6.2 验收资料：</w:t>
      </w:r>
    </w:p>
    <w:p w14:paraId="189BBA47">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招标文件；</w:t>
      </w:r>
    </w:p>
    <w:p w14:paraId="1C947B03">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投标文件；</w:t>
      </w:r>
    </w:p>
    <w:p w14:paraId="652DBEF2">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项目合同；</w:t>
      </w:r>
    </w:p>
    <w:p w14:paraId="6FD8770F">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租赁设备清单：需采购人、中标单位、监理单位签字并盖章；</w:t>
      </w:r>
    </w:p>
    <w:p w14:paraId="5A4F3D81">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每月巡检报告：需采购人、中标单位、监理单位签字并盖章；</w:t>
      </w:r>
    </w:p>
    <w:p w14:paraId="6A4DF1E4">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租赁总结报告</w:t>
      </w:r>
      <w:r>
        <w:rPr>
          <w:rFonts w:hint="eastAsia" w:hAnsi="宋体" w:cs="宋体"/>
          <w:color w:val="auto"/>
          <w:sz w:val="24"/>
          <w:highlight w:val="none"/>
        </w:rPr>
        <w:t>（第二次验收时提供）</w:t>
      </w:r>
      <w:r>
        <w:rPr>
          <w:rFonts w:hint="eastAsia" w:hAnsi="宋体" w:cs="宋体"/>
          <w:color w:val="auto"/>
          <w:kern w:val="2"/>
          <w:sz w:val="24"/>
          <w:szCs w:val="24"/>
          <w:highlight w:val="none"/>
        </w:rPr>
        <w:t>；</w:t>
      </w:r>
    </w:p>
    <w:p w14:paraId="27825610">
      <w:pPr>
        <w:pStyle w:val="6"/>
        <w:numPr>
          <w:ilvl w:val="0"/>
          <w:numId w:val="3"/>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项目组人员清单、人员更变审批表（如有）、社保证明材料、学历证明、资历证明、驻点人员每日钉钉考勤打卡记录；</w:t>
      </w:r>
    </w:p>
    <w:p w14:paraId="743009F8">
      <w:pPr>
        <w:pStyle w:val="6"/>
        <w:numPr>
          <w:ilvl w:val="0"/>
          <w:numId w:val="3"/>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每月考核材料：需采购人、中标单位、监理单位签字并盖章；</w:t>
      </w:r>
    </w:p>
    <w:p w14:paraId="15495F8E">
      <w:pPr>
        <w:pStyle w:val="6"/>
        <w:numPr>
          <w:ilvl w:val="0"/>
          <w:numId w:val="3"/>
        </w:numPr>
        <w:tabs>
          <w:tab w:val="center" w:pos="4153"/>
        </w:tabs>
        <w:spacing w:line="360" w:lineRule="auto"/>
        <w:ind w:left="60"/>
        <w:rPr>
          <w:rFonts w:hAnsi="宋体" w:cs="宋体"/>
          <w:color w:val="auto"/>
          <w:sz w:val="24"/>
          <w:szCs w:val="24"/>
          <w:highlight w:val="none"/>
        </w:rPr>
      </w:pPr>
      <w:r>
        <w:rPr>
          <w:rFonts w:hint="eastAsia" w:hAnsi="宋体" w:cs="宋体"/>
          <w:color w:val="auto"/>
          <w:kern w:val="2"/>
          <w:sz w:val="24"/>
          <w:szCs w:val="24"/>
          <w:highlight w:val="none"/>
        </w:rPr>
        <w:t>验收报审表：由中标单位提交，经监理单位及采购人审批；</w:t>
      </w:r>
    </w:p>
    <w:p w14:paraId="2221C118">
      <w:pPr>
        <w:pStyle w:val="6"/>
        <w:numPr>
          <w:ilvl w:val="0"/>
          <w:numId w:val="3"/>
        </w:numPr>
        <w:tabs>
          <w:tab w:val="center" w:pos="4153"/>
        </w:tabs>
        <w:spacing w:line="360" w:lineRule="auto"/>
        <w:ind w:left="60"/>
        <w:rPr>
          <w:rFonts w:hAnsi="宋体" w:cs="宋体"/>
          <w:color w:val="auto"/>
          <w:sz w:val="24"/>
          <w:szCs w:val="24"/>
          <w:highlight w:val="none"/>
        </w:rPr>
      </w:pPr>
      <w:r>
        <w:rPr>
          <w:rFonts w:hint="eastAsia" w:hAnsi="宋体" w:cs="宋体"/>
          <w:color w:val="auto"/>
          <w:sz w:val="24"/>
          <w:szCs w:val="24"/>
          <w:highlight w:val="none"/>
        </w:rPr>
        <w:t>培训记录、培训资料；</w:t>
      </w:r>
    </w:p>
    <w:p w14:paraId="7362CE13">
      <w:pPr>
        <w:pStyle w:val="6"/>
        <w:numPr>
          <w:ilvl w:val="0"/>
          <w:numId w:val="3"/>
        </w:numPr>
        <w:tabs>
          <w:tab w:val="center" w:pos="4153"/>
        </w:tabs>
        <w:spacing w:line="360" w:lineRule="auto"/>
        <w:ind w:left="60"/>
        <w:rPr>
          <w:rFonts w:hAnsi="宋体" w:cs="宋体"/>
          <w:color w:val="auto"/>
          <w:sz w:val="24"/>
          <w:szCs w:val="24"/>
          <w:highlight w:val="none"/>
        </w:rPr>
      </w:pPr>
      <w:r>
        <w:rPr>
          <w:rFonts w:hint="eastAsia" w:hAnsi="宋体" w:cs="宋体"/>
          <w:color w:val="auto"/>
          <w:sz w:val="24"/>
          <w:szCs w:val="24"/>
          <w:highlight w:val="none"/>
        </w:rPr>
        <w:t>维修记录、应急抢修维护方案、故障分析报告及解决方案、故障说明材料（如有）；</w:t>
      </w:r>
    </w:p>
    <w:p w14:paraId="10D9DF5C">
      <w:pPr>
        <w:pStyle w:val="6"/>
        <w:numPr>
          <w:ilvl w:val="0"/>
          <w:numId w:val="3"/>
        </w:numPr>
        <w:tabs>
          <w:tab w:val="center" w:pos="4153"/>
        </w:tabs>
        <w:spacing w:line="360" w:lineRule="auto"/>
        <w:ind w:left="60"/>
        <w:rPr>
          <w:rFonts w:hAnsi="宋体" w:cs="宋体"/>
          <w:color w:val="auto"/>
          <w:sz w:val="24"/>
          <w:szCs w:val="24"/>
          <w:highlight w:val="none"/>
        </w:rPr>
      </w:pPr>
      <w:r>
        <w:rPr>
          <w:rFonts w:hint="eastAsia" w:hAnsi="宋体" w:cs="宋体"/>
          <w:color w:val="auto"/>
          <w:sz w:val="24"/>
          <w:szCs w:val="24"/>
          <w:highlight w:val="none"/>
        </w:rPr>
        <w:t>产品合格证、质量保证书；</w:t>
      </w:r>
    </w:p>
    <w:p w14:paraId="64E431BD">
      <w:pPr>
        <w:pStyle w:val="6"/>
        <w:numPr>
          <w:ilvl w:val="0"/>
          <w:numId w:val="3"/>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网络安全保障方案、网络安全事件应急预案、网络安全风险书面报告（如有）、网络安全重大事项书面报告（如有）、网络安全报告</w:t>
      </w:r>
      <w:r>
        <w:rPr>
          <w:rFonts w:hint="eastAsia" w:hAnsi="宋体" w:cs="宋体"/>
          <w:color w:val="auto"/>
          <w:sz w:val="24"/>
          <w:highlight w:val="none"/>
        </w:rPr>
        <w:t>（第二次验收时提供）</w:t>
      </w:r>
      <w:r>
        <w:rPr>
          <w:rFonts w:hint="eastAsia" w:hAnsi="宋体" w:cs="宋体"/>
          <w:color w:val="auto"/>
          <w:kern w:val="2"/>
          <w:sz w:val="24"/>
          <w:szCs w:val="24"/>
          <w:highlight w:val="none"/>
        </w:rPr>
        <w:t>；</w:t>
      </w:r>
    </w:p>
    <w:p w14:paraId="3D2DDC9B">
      <w:pPr>
        <w:pStyle w:val="6"/>
        <w:numPr>
          <w:ilvl w:val="0"/>
          <w:numId w:val="3"/>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信息化建设项目变更审批表（如有）；</w:t>
      </w:r>
    </w:p>
    <w:p w14:paraId="332DE94E">
      <w:pPr>
        <w:pStyle w:val="6"/>
        <w:numPr>
          <w:ilvl w:val="0"/>
          <w:numId w:val="3"/>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单位保密协议、个人保密承诺书、日常保密教育台帐；</w:t>
      </w:r>
    </w:p>
    <w:p w14:paraId="36B0A895">
      <w:pPr>
        <w:pStyle w:val="6"/>
        <w:numPr>
          <w:ilvl w:val="0"/>
          <w:numId w:val="3"/>
        </w:numPr>
        <w:tabs>
          <w:tab w:val="center" w:pos="4153"/>
        </w:tabs>
        <w:spacing w:line="360" w:lineRule="auto"/>
        <w:ind w:left="60"/>
        <w:rPr>
          <w:rFonts w:hAnsi="宋体" w:cs="宋体"/>
          <w:color w:val="auto"/>
          <w:sz w:val="24"/>
          <w:highlight w:val="none"/>
        </w:rPr>
      </w:pPr>
      <w:r>
        <w:rPr>
          <w:rFonts w:hint="eastAsia" w:hAnsi="宋体" w:cs="宋体"/>
          <w:color w:val="auto"/>
          <w:kern w:val="2"/>
          <w:sz w:val="24"/>
          <w:szCs w:val="24"/>
          <w:highlight w:val="none"/>
        </w:rPr>
        <w:t>中小企业证明材料；</w:t>
      </w:r>
    </w:p>
    <w:p w14:paraId="31BD9951">
      <w:pPr>
        <w:pStyle w:val="6"/>
        <w:numPr>
          <w:ilvl w:val="0"/>
          <w:numId w:val="3"/>
        </w:numPr>
        <w:tabs>
          <w:tab w:val="center" w:pos="4153"/>
        </w:tabs>
        <w:spacing w:line="360" w:lineRule="auto"/>
        <w:ind w:left="60"/>
        <w:rPr>
          <w:rFonts w:hAnsi="宋体" w:cs="宋体"/>
          <w:color w:val="auto"/>
          <w:sz w:val="24"/>
          <w:highlight w:val="none"/>
        </w:rPr>
      </w:pPr>
      <w:r>
        <w:rPr>
          <w:rFonts w:hint="eastAsia" w:hAnsi="宋体" w:cs="宋体"/>
          <w:color w:val="auto"/>
          <w:kern w:val="2"/>
          <w:sz w:val="24"/>
          <w:szCs w:val="24"/>
          <w:highlight w:val="none"/>
        </w:rPr>
        <w:t>其他项目所需的资料。</w:t>
      </w:r>
    </w:p>
    <w:p w14:paraId="4B1F212F">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八、考核</w:t>
      </w:r>
    </w:p>
    <w:p w14:paraId="63887D31">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投标人履行对服务全流程服务内容及其相关的服务项目，采购人负责投标人的管理指导、验收考核等职责，督促其履行合同。</w:t>
      </w:r>
    </w:p>
    <w:p w14:paraId="0117D05C">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本考核以月为考核周期，采用百分制计分方式，采购人根据逐条考核事项及对应扣分对投标人（人员）进行计分。投标人每被扣1分，扣除违约金</w:t>
      </w:r>
      <w:r>
        <w:rPr>
          <w:rFonts w:hint="eastAsia" w:ascii="宋体" w:hAnsi="宋体" w:cs="宋体"/>
          <w:color w:val="auto"/>
          <w:sz w:val="24"/>
          <w:highlight w:val="none"/>
          <w:u w:val="single"/>
        </w:rPr>
        <w:t>1000</w:t>
      </w:r>
      <w:r>
        <w:rPr>
          <w:rFonts w:hint="eastAsia" w:ascii="宋体" w:hAnsi="宋体" w:cs="宋体"/>
          <w:color w:val="auto"/>
          <w:sz w:val="24"/>
          <w:highlight w:val="none"/>
          <w:u w:val="single"/>
          <w:lang w:val="zh-CN"/>
        </w:rPr>
        <w:t>元，违约金在结算合同尾款时扣除。考核分值高于90分（含90分）视为合格，90分以下视为不合格；如投标人经采购人考评连续两次均为不合格，采购人有权无条件终止合同,并没收投标人全部履约保证金，如给采购人造成损失的有权向投标人提出索赔。</w:t>
      </w:r>
    </w:p>
    <w:p w14:paraId="56075524">
      <w:pPr>
        <w:spacing w:before="120"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每月考核表（202  年  月）</w:t>
      </w:r>
    </w:p>
    <w:tbl>
      <w:tblPr>
        <w:tblStyle w:val="6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3"/>
        <w:gridCol w:w="1932"/>
        <w:gridCol w:w="2231"/>
        <w:gridCol w:w="1945"/>
        <w:gridCol w:w="455"/>
      </w:tblGrid>
      <w:tr w14:paraId="6998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pct"/>
            <w:gridSpan w:val="2"/>
            <w:vAlign w:val="center"/>
          </w:tcPr>
          <w:p w14:paraId="30510ED7">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中标单位：</w:t>
            </w:r>
          </w:p>
        </w:tc>
        <w:tc>
          <w:tcPr>
            <w:tcW w:w="1137" w:type="pct"/>
            <w:vAlign w:val="center"/>
          </w:tcPr>
          <w:p w14:paraId="0610670B">
            <w:pPr>
              <w:adjustRightInd w:val="0"/>
              <w:snapToGrid w:val="0"/>
              <w:spacing w:line="360" w:lineRule="auto"/>
              <w:jc w:val="center"/>
              <w:rPr>
                <w:rFonts w:ascii="宋体" w:hAnsi="宋体" w:cs="宋体"/>
                <w:color w:val="auto"/>
                <w:sz w:val="24"/>
                <w:highlight w:val="none"/>
              </w:rPr>
            </w:pPr>
          </w:p>
        </w:tc>
        <w:tc>
          <w:tcPr>
            <w:tcW w:w="1313" w:type="pct"/>
            <w:vAlign w:val="center"/>
          </w:tcPr>
          <w:p w14:paraId="799A983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考核月份：</w:t>
            </w:r>
          </w:p>
        </w:tc>
        <w:tc>
          <w:tcPr>
            <w:tcW w:w="1413" w:type="pct"/>
            <w:gridSpan w:val="2"/>
            <w:vAlign w:val="center"/>
          </w:tcPr>
          <w:p w14:paraId="6F3D6F47">
            <w:pPr>
              <w:adjustRightInd w:val="0"/>
              <w:snapToGrid w:val="0"/>
              <w:spacing w:line="360" w:lineRule="auto"/>
              <w:jc w:val="center"/>
              <w:rPr>
                <w:rFonts w:ascii="宋体" w:hAnsi="宋体" w:cs="宋体"/>
                <w:color w:val="auto"/>
                <w:sz w:val="24"/>
                <w:highlight w:val="none"/>
              </w:rPr>
            </w:pPr>
          </w:p>
        </w:tc>
      </w:tr>
      <w:tr w14:paraId="5B1B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043E3DF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152" w:type="pct"/>
            <w:gridSpan w:val="3"/>
            <w:tcBorders>
              <w:left w:val="single" w:color="auto" w:sz="4" w:space="0"/>
            </w:tcBorders>
            <w:vAlign w:val="center"/>
          </w:tcPr>
          <w:p w14:paraId="7169D301">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考核内容</w:t>
            </w:r>
          </w:p>
        </w:tc>
        <w:tc>
          <w:tcPr>
            <w:tcW w:w="1145" w:type="pct"/>
            <w:tcBorders>
              <w:left w:val="single" w:color="auto" w:sz="4" w:space="0"/>
            </w:tcBorders>
            <w:vAlign w:val="center"/>
          </w:tcPr>
          <w:p w14:paraId="4B785942">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考核扣分</w:t>
            </w:r>
          </w:p>
        </w:tc>
        <w:tc>
          <w:tcPr>
            <w:tcW w:w="268" w:type="pct"/>
            <w:tcBorders>
              <w:left w:val="single" w:color="auto" w:sz="4" w:space="0"/>
            </w:tcBorders>
            <w:vAlign w:val="center"/>
          </w:tcPr>
          <w:p w14:paraId="7FBFFF8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CF4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5" w:type="pct"/>
            <w:vAlign w:val="center"/>
          </w:tcPr>
          <w:p w14:paraId="7FF2300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152" w:type="pct"/>
            <w:gridSpan w:val="3"/>
            <w:tcBorders>
              <w:left w:val="single" w:color="auto" w:sz="4" w:space="0"/>
            </w:tcBorders>
            <w:vAlign w:val="center"/>
          </w:tcPr>
          <w:p w14:paraId="43714B83">
            <w:pPr>
              <w:adjustRightInd w:val="0"/>
              <w:snapToGrid w:val="0"/>
              <w:spacing w:line="276" w:lineRule="auto"/>
              <w:rPr>
                <w:rFonts w:ascii="宋体" w:hAnsi="宋体" w:cs="宋体"/>
                <w:color w:val="auto"/>
                <w:sz w:val="24"/>
                <w:highlight w:val="none"/>
              </w:rPr>
            </w:pPr>
            <w:r>
              <w:rPr>
                <w:rFonts w:hint="eastAsia" w:ascii="宋体" w:hAnsi="宋体" w:cs="宋体"/>
                <w:color w:val="auto"/>
                <w:kern w:val="0"/>
                <w:sz w:val="24"/>
                <w:highlight w:val="none"/>
              </w:rPr>
              <w:t>租用的设备不满足采购需求或与投标承诺不符的，每发生一次扣5分。</w:t>
            </w:r>
          </w:p>
        </w:tc>
        <w:tc>
          <w:tcPr>
            <w:tcW w:w="1145" w:type="pct"/>
            <w:tcBorders>
              <w:left w:val="single" w:color="auto" w:sz="4" w:space="0"/>
            </w:tcBorders>
            <w:vAlign w:val="center"/>
          </w:tcPr>
          <w:p w14:paraId="441F80F9">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64C7BE84">
            <w:pPr>
              <w:adjustRightInd w:val="0"/>
              <w:snapToGrid w:val="0"/>
              <w:spacing w:line="360" w:lineRule="auto"/>
              <w:rPr>
                <w:rFonts w:ascii="宋体" w:hAnsi="宋体" w:cs="宋体"/>
                <w:color w:val="auto"/>
                <w:sz w:val="24"/>
                <w:highlight w:val="none"/>
              </w:rPr>
            </w:pPr>
          </w:p>
        </w:tc>
      </w:tr>
      <w:tr w14:paraId="6E22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5" w:type="pct"/>
            <w:vAlign w:val="center"/>
          </w:tcPr>
          <w:p w14:paraId="2C48FDDE">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152" w:type="pct"/>
            <w:gridSpan w:val="3"/>
            <w:tcBorders>
              <w:left w:val="single" w:color="auto" w:sz="4" w:space="0"/>
            </w:tcBorders>
            <w:vAlign w:val="center"/>
          </w:tcPr>
          <w:p w14:paraId="694320BE">
            <w:pPr>
              <w:jc w:val="left"/>
              <w:rPr>
                <w:rFonts w:ascii="宋体" w:hAnsi="宋体" w:cs="宋体"/>
                <w:color w:val="auto"/>
                <w:sz w:val="24"/>
                <w:highlight w:val="none"/>
              </w:rPr>
            </w:pPr>
            <w:r>
              <w:rPr>
                <w:rFonts w:hint="eastAsia" w:ascii="宋体" w:hAnsi="宋体" w:cs="宋体"/>
                <w:color w:val="auto"/>
                <w:sz w:val="24"/>
                <w:highlight w:val="none"/>
              </w:rPr>
              <w:t>出现故障时，未在接到故障申告后30分钟内响应，未在4小时以内派技术人员现场检修，未在48小时内修复故障的，每发生一次扣2分。</w:t>
            </w:r>
          </w:p>
        </w:tc>
        <w:tc>
          <w:tcPr>
            <w:tcW w:w="1145" w:type="pct"/>
            <w:tcBorders>
              <w:left w:val="single" w:color="auto" w:sz="4" w:space="0"/>
            </w:tcBorders>
            <w:vAlign w:val="center"/>
          </w:tcPr>
          <w:p w14:paraId="2C626F9C">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4AF3A4F9">
            <w:pPr>
              <w:adjustRightInd w:val="0"/>
              <w:snapToGrid w:val="0"/>
              <w:spacing w:line="360" w:lineRule="auto"/>
              <w:rPr>
                <w:rFonts w:ascii="宋体" w:hAnsi="宋体" w:cs="宋体"/>
                <w:color w:val="auto"/>
                <w:sz w:val="24"/>
                <w:highlight w:val="none"/>
              </w:rPr>
            </w:pPr>
          </w:p>
        </w:tc>
      </w:tr>
      <w:tr w14:paraId="76AC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5" w:type="pct"/>
            <w:vAlign w:val="center"/>
          </w:tcPr>
          <w:p w14:paraId="1DCC349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152" w:type="pct"/>
            <w:gridSpan w:val="3"/>
            <w:tcBorders>
              <w:left w:val="single" w:color="auto" w:sz="4" w:space="0"/>
            </w:tcBorders>
            <w:vAlign w:val="center"/>
          </w:tcPr>
          <w:p w14:paraId="7C85C7E5">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租赁期内的一周内同台设备出现2次及以上的重复故障未进行更换的，每发生一次扣2分。</w:t>
            </w:r>
          </w:p>
        </w:tc>
        <w:tc>
          <w:tcPr>
            <w:tcW w:w="1145" w:type="pct"/>
            <w:tcBorders>
              <w:left w:val="single" w:color="auto" w:sz="4" w:space="0"/>
            </w:tcBorders>
            <w:vAlign w:val="center"/>
          </w:tcPr>
          <w:p w14:paraId="55FBFC52">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514F2254">
            <w:pPr>
              <w:adjustRightInd w:val="0"/>
              <w:snapToGrid w:val="0"/>
              <w:spacing w:line="360" w:lineRule="auto"/>
              <w:rPr>
                <w:rFonts w:ascii="宋体" w:hAnsi="宋体" w:cs="宋体"/>
                <w:color w:val="auto"/>
                <w:sz w:val="24"/>
                <w:highlight w:val="none"/>
              </w:rPr>
            </w:pPr>
          </w:p>
        </w:tc>
      </w:tr>
      <w:tr w14:paraId="4C3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5" w:type="pct"/>
            <w:vAlign w:val="center"/>
          </w:tcPr>
          <w:p w14:paraId="27CFCE86">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152" w:type="pct"/>
            <w:gridSpan w:val="3"/>
            <w:tcBorders>
              <w:left w:val="single" w:color="auto" w:sz="4" w:space="0"/>
            </w:tcBorders>
            <w:vAlign w:val="center"/>
          </w:tcPr>
          <w:p w14:paraId="1DE8E8ED">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出现由于维护不利而造成租赁设备无法正常使用影响采购人工作的情况或出现由于维护人员技术能力不足、工作疏忽、操作不当等自身原因发生重大设备损坏导致影响采购人工作的情况，每发生一次扣5分。</w:t>
            </w:r>
          </w:p>
        </w:tc>
        <w:tc>
          <w:tcPr>
            <w:tcW w:w="1145" w:type="pct"/>
            <w:tcBorders>
              <w:left w:val="single" w:color="auto" w:sz="4" w:space="0"/>
            </w:tcBorders>
            <w:vAlign w:val="center"/>
          </w:tcPr>
          <w:p w14:paraId="73D2CA28">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01FD5A5B">
            <w:pPr>
              <w:adjustRightInd w:val="0"/>
              <w:snapToGrid w:val="0"/>
              <w:spacing w:line="360" w:lineRule="auto"/>
              <w:rPr>
                <w:rFonts w:ascii="宋体" w:hAnsi="宋体" w:cs="宋体"/>
                <w:color w:val="auto"/>
                <w:sz w:val="24"/>
                <w:highlight w:val="none"/>
              </w:rPr>
            </w:pPr>
          </w:p>
        </w:tc>
      </w:tr>
      <w:tr w14:paraId="2995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35" w:type="pct"/>
            <w:vAlign w:val="center"/>
          </w:tcPr>
          <w:p w14:paraId="2D656EF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152" w:type="pct"/>
            <w:gridSpan w:val="3"/>
            <w:tcBorders>
              <w:left w:val="single" w:color="auto" w:sz="4" w:space="0"/>
            </w:tcBorders>
            <w:vAlign w:val="center"/>
          </w:tcPr>
          <w:p w14:paraId="0E034247">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未及时提交文档资料的，每发生一次扣1分。</w:t>
            </w:r>
          </w:p>
        </w:tc>
        <w:tc>
          <w:tcPr>
            <w:tcW w:w="1145" w:type="pct"/>
            <w:tcBorders>
              <w:left w:val="single" w:color="auto" w:sz="4" w:space="0"/>
            </w:tcBorders>
            <w:vAlign w:val="center"/>
          </w:tcPr>
          <w:p w14:paraId="2E622E28">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267DFAC7">
            <w:pPr>
              <w:adjustRightInd w:val="0"/>
              <w:snapToGrid w:val="0"/>
              <w:spacing w:line="360" w:lineRule="auto"/>
              <w:rPr>
                <w:rFonts w:ascii="宋体" w:hAnsi="宋体" w:cs="宋体"/>
                <w:color w:val="auto"/>
                <w:sz w:val="24"/>
                <w:highlight w:val="none"/>
              </w:rPr>
            </w:pPr>
          </w:p>
        </w:tc>
      </w:tr>
      <w:tr w14:paraId="4596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435" w:type="pct"/>
            <w:vAlign w:val="center"/>
          </w:tcPr>
          <w:p w14:paraId="6CB9283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3152" w:type="pct"/>
            <w:gridSpan w:val="3"/>
            <w:tcBorders>
              <w:left w:val="single" w:color="auto" w:sz="4" w:space="0"/>
            </w:tcBorders>
            <w:vAlign w:val="center"/>
          </w:tcPr>
          <w:p w14:paraId="5A832AC4">
            <w:pPr>
              <w:adjustRightInd w:val="0"/>
              <w:snapToGrid w:val="0"/>
              <w:spacing w:line="276" w:lineRule="auto"/>
              <w:rPr>
                <w:rFonts w:ascii="宋体" w:hAnsi="宋体" w:cs="宋体"/>
                <w:color w:val="auto"/>
                <w:kern w:val="0"/>
                <w:sz w:val="24"/>
                <w:highlight w:val="none"/>
              </w:rPr>
            </w:pPr>
            <w:r>
              <w:rPr>
                <w:rFonts w:hint="eastAsia" w:ascii="宋体" w:hAnsi="宋体" w:cs="宋体"/>
                <w:color w:val="auto"/>
                <w:sz w:val="24"/>
                <w:highlight w:val="none"/>
              </w:rPr>
              <w:t>未按要求巡检的，每发生一次，扣3分。</w:t>
            </w:r>
          </w:p>
        </w:tc>
        <w:tc>
          <w:tcPr>
            <w:tcW w:w="1145" w:type="pct"/>
            <w:tcBorders>
              <w:left w:val="single" w:color="auto" w:sz="4" w:space="0"/>
            </w:tcBorders>
            <w:vAlign w:val="center"/>
          </w:tcPr>
          <w:p w14:paraId="19622A1E">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74032705">
            <w:pPr>
              <w:adjustRightInd w:val="0"/>
              <w:snapToGrid w:val="0"/>
              <w:spacing w:line="360" w:lineRule="auto"/>
              <w:rPr>
                <w:rFonts w:ascii="宋体" w:hAnsi="宋体" w:cs="宋体"/>
                <w:color w:val="auto"/>
                <w:sz w:val="24"/>
                <w:highlight w:val="none"/>
              </w:rPr>
            </w:pPr>
          </w:p>
        </w:tc>
      </w:tr>
      <w:tr w14:paraId="0847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5" w:type="pct"/>
            <w:vAlign w:val="center"/>
          </w:tcPr>
          <w:p w14:paraId="7F41B7E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3152" w:type="pct"/>
            <w:gridSpan w:val="3"/>
            <w:tcBorders>
              <w:left w:val="single" w:color="auto" w:sz="4" w:space="0"/>
            </w:tcBorders>
            <w:vAlign w:val="center"/>
          </w:tcPr>
          <w:p w14:paraId="6F895760">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租赁期内未提供7*24小时响应服务的，每发生一次，扣1分；本项最高扣3分。</w:t>
            </w:r>
          </w:p>
        </w:tc>
        <w:tc>
          <w:tcPr>
            <w:tcW w:w="1145" w:type="pct"/>
            <w:tcBorders>
              <w:left w:val="single" w:color="auto" w:sz="4" w:space="0"/>
            </w:tcBorders>
            <w:vAlign w:val="center"/>
          </w:tcPr>
          <w:p w14:paraId="2A2B5005">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6CC4B359">
            <w:pPr>
              <w:adjustRightInd w:val="0"/>
              <w:snapToGrid w:val="0"/>
              <w:spacing w:line="360" w:lineRule="auto"/>
              <w:rPr>
                <w:rFonts w:ascii="宋体" w:hAnsi="宋体" w:cs="宋体"/>
                <w:color w:val="auto"/>
                <w:sz w:val="24"/>
                <w:highlight w:val="none"/>
              </w:rPr>
            </w:pPr>
          </w:p>
        </w:tc>
      </w:tr>
      <w:tr w14:paraId="3D84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vAlign w:val="center"/>
          </w:tcPr>
          <w:p w14:paraId="4217819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3152" w:type="pct"/>
            <w:gridSpan w:val="3"/>
            <w:tcBorders>
              <w:left w:val="single" w:color="auto" w:sz="4" w:space="0"/>
            </w:tcBorders>
            <w:vAlign w:val="center"/>
          </w:tcPr>
          <w:p w14:paraId="3863E33C">
            <w:pPr>
              <w:adjustRightInd w:val="0"/>
              <w:snapToGrid w:val="0"/>
              <w:spacing w:line="276" w:lineRule="auto"/>
              <w:rPr>
                <w:rFonts w:ascii="宋体" w:hAnsi="宋体" w:cs="宋体"/>
                <w:color w:val="auto"/>
                <w:sz w:val="24"/>
                <w:highlight w:val="none"/>
              </w:rPr>
            </w:pPr>
            <w:r>
              <w:rPr>
                <w:rFonts w:hint="eastAsia" w:ascii="宋体" w:hAnsi="宋体" w:cs="宋体"/>
                <w:snapToGrid w:val="0"/>
                <w:color w:val="auto"/>
                <w:kern w:val="28"/>
                <w:sz w:val="24"/>
                <w:highlight w:val="none"/>
                <w:lang w:val="zh-CN"/>
              </w:rPr>
              <w:t>未按</w:t>
            </w:r>
            <w:r>
              <w:rPr>
                <w:rFonts w:hint="eastAsia" w:ascii="宋体" w:hAnsi="宋体" w:cs="宋体"/>
                <w:snapToGrid w:val="0"/>
                <w:color w:val="auto"/>
                <w:kern w:val="28"/>
                <w:sz w:val="24"/>
                <w:highlight w:val="none"/>
              </w:rPr>
              <w:t>合同</w:t>
            </w:r>
            <w:r>
              <w:rPr>
                <w:rFonts w:hint="eastAsia" w:ascii="宋体" w:hAnsi="宋体" w:cs="宋体"/>
                <w:snapToGrid w:val="0"/>
                <w:color w:val="auto"/>
                <w:kern w:val="28"/>
                <w:sz w:val="24"/>
                <w:highlight w:val="none"/>
                <w:lang w:val="zh-CN"/>
              </w:rPr>
              <w:t>提供项目组人员，数量或资质不符合要求的，每出现一次扣1分。</w:t>
            </w:r>
          </w:p>
        </w:tc>
        <w:tc>
          <w:tcPr>
            <w:tcW w:w="1145" w:type="pct"/>
            <w:tcBorders>
              <w:left w:val="single" w:color="auto" w:sz="4" w:space="0"/>
            </w:tcBorders>
            <w:vAlign w:val="center"/>
          </w:tcPr>
          <w:p w14:paraId="2D865F47">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4C3F83AA">
            <w:pPr>
              <w:adjustRightInd w:val="0"/>
              <w:snapToGrid w:val="0"/>
              <w:spacing w:line="360" w:lineRule="auto"/>
              <w:rPr>
                <w:rFonts w:ascii="宋体" w:hAnsi="宋体" w:cs="宋体"/>
                <w:color w:val="auto"/>
                <w:sz w:val="24"/>
                <w:highlight w:val="none"/>
              </w:rPr>
            </w:pPr>
          </w:p>
        </w:tc>
      </w:tr>
      <w:tr w14:paraId="6250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vAlign w:val="center"/>
          </w:tcPr>
          <w:p w14:paraId="41C4B26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152" w:type="pct"/>
            <w:gridSpan w:val="3"/>
            <w:tcBorders>
              <w:left w:val="single" w:color="auto" w:sz="4" w:space="0"/>
            </w:tcBorders>
            <w:vAlign w:val="center"/>
          </w:tcPr>
          <w:p w14:paraId="599C637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未及时提交故障分析说明、故障分析报告及解决方案的，每发生一次扣1分。</w:t>
            </w:r>
          </w:p>
        </w:tc>
        <w:tc>
          <w:tcPr>
            <w:tcW w:w="1145" w:type="pct"/>
            <w:tcBorders>
              <w:left w:val="single" w:color="auto" w:sz="4" w:space="0"/>
            </w:tcBorders>
            <w:vAlign w:val="center"/>
          </w:tcPr>
          <w:p w14:paraId="1FC4F5BA">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4AADF13C">
            <w:pPr>
              <w:adjustRightInd w:val="0"/>
              <w:snapToGrid w:val="0"/>
              <w:spacing w:line="360" w:lineRule="auto"/>
              <w:rPr>
                <w:rFonts w:ascii="宋体" w:hAnsi="宋体" w:cs="宋体"/>
                <w:color w:val="auto"/>
                <w:sz w:val="24"/>
                <w:highlight w:val="none"/>
              </w:rPr>
            </w:pPr>
          </w:p>
        </w:tc>
      </w:tr>
      <w:tr w14:paraId="1BB0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35" w:type="pct"/>
            <w:vAlign w:val="center"/>
          </w:tcPr>
          <w:p w14:paraId="4DF3D8B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152" w:type="pct"/>
            <w:gridSpan w:val="3"/>
            <w:tcBorders>
              <w:left w:val="single" w:color="auto" w:sz="4" w:space="0"/>
            </w:tcBorders>
            <w:vAlign w:val="center"/>
          </w:tcPr>
          <w:p w14:paraId="34AEA53E">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其他工作未满足采购人要求的，每发生一次扣1分。</w:t>
            </w:r>
          </w:p>
        </w:tc>
        <w:tc>
          <w:tcPr>
            <w:tcW w:w="1145" w:type="pct"/>
            <w:tcBorders>
              <w:left w:val="single" w:color="auto" w:sz="4" w:space="0"/>
            </w:tcBorders>
            <w:vAlign w:val="center"/>
          </w:tcPr>
          <w:p w14:paraId="1A0C2020">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6E4BA6FC">
            <w:pPr>
              <w:adjustRightInd w:val="0"/>
              <w:snapToGrid w:val="0"/>
              <w:spacing w:line="360" w:lineRule="auto"/>
              <w:rPr>
                <w:rFonts w:ascii="宋体" w:hAnsi="宋体" w:cs="宋体"/>
                <w:color w:val="auto"/>
                <w:sz w:val="24"/>
                <w:highlight w:val="none"/>
              </w:rPr>
            </w:pPr>
          </w:p>
        </w:tc>
      </w:tr>
      <w:tr w14:paraId="584F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5" w:type="pct"/>
            <w:vAlign w:val="center"/>
          </w:tcPr>
          <w:p w14:paraId="2CE325C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3152" w:type="pct"/>
            <w:gridSpan w:val="3"/>
            <w:tcBorders>
              <w:left w:val="single" w:color="auto" w:sz="4" w:space="0"/>
            </w:tcBorders>
            <w:vAlign w:val="center"/>
          </w:tcPr>
          <w:p w14:paraId="1556B6AC">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iCs/>
                <w:color w:val="auto"/>
                <w:sz w:val="24"/>
                <w:highlight w:val="none"/>
              </w:rPr>
              <w:t>未按</w:t>
            </w:r>
            <w:r>
              <w:rPr>
                <w:rFonts w:hint="eastAsia" w:ascii="宋体" w:hAnsi="宋体" w:cs="宋体"/>
                <w:color w:val="auto"/>
                <w:sz w:val="24"/>
                <w:highlight w:val="none"/>
              </w:rPr>
              <w:t>网络安全履行责任和义务的，每发生一次扣除</w:t>
            </w:r>
            <w:r>
              <w:rPr>
                <w:rFonts w:hint="eastAsia" w:ascii="宋体" w:hAnsi="宋体" w:cs="宋体"/>
                <w:iCs/>
                <w:color w:val="auto"/>
                <w:sz w:val="24"/>
                <w:highlight w:val="none"/>
              </w:rPr>
              <w:t>违约金10000</w:t>
            </w:r>
            <w:r>
              <w:rPr>
                <w:rFonts w:hint="eastAsia" w:ascii="宋体" w:hAnsi="宋体" w:cs="宋体"/>
                <w:color w:val="auto"/>
                <w:sz w:val="24"/>
                <w:highlight w:val="none"/>
              </w:rPr>
              <w:t>元。</w:t>
            </w:r>
          </w:p>
        </w:tc>
        <w:tc>
          <w:tcPr>
            <w:tcW w:w="1145" w:type="pct"/>
            <w:tcBorders>
              <w:left w:val="single" w:color="auto" w:sz="4" w:space="0"/>
            </w:tcBorders>
            <w:vAlign w:val="center"/>
          </w:tcPr>
          <w:p w14:paraId="5852DE11">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2FD48AD4">
            <w:pPr>
              <w:adjustRightInd w:val="0"/>
              <w:snapToGrid w:val="0"/>
              <w:spacing w:line="360" w:lineRule="auto"/>
              <w:rPr>
                <w:rFonts w:ascii="宋体" w:hAnsi="宋体" w:cs="宋体"/>
                <w:color w:val="auto"/>
                <w:sz w:val="24"/>
                <w:highlight w:val="none"/>
              </w:rPr>
            </w:pPr>
          </w:p>
        </w:tc>
      </w:tr>
      <w:tr w14:paraId="41B4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5" w:type="pct"/>
            <w:vAlign w:val="center"/>
          </w:tcPr>
          <w:p w14:paraId="2115C598">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3152" w:type="pct"/>
            <w:gridSpan w:val="3"/>
            <w:tcBorders>
              <w:left w:val="single" w:color="auto" w:sz="4" w:space="0"/>
            </w:tcBorders>
            <w:vAlign w:val="center"/>
          </w:tcPr>
          <w:p w14:paraId="7F93ED67">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未按保密管理条款规定执行的，每发现一次处违约金10000元，如发生泄密事件，除赔偿采购人损失外，还应承担全部法律责任。</w:t>
            </w:r>
          </w:p>
        </w:tc>
        <w:tc>
          <w:tcPr>
            <w:tcW w:w="1145" w:type="pct"/>
            <w:tcBorders>
              <w:left w:val="single" w:color="auto" w:sz="4" w:space="0"/>
            </w:tcBorders>
            <w:vAlign w:val="center"/>
          </w:tcPr>
          <w:p w14:paraId="6A8CBB71">
            <w:pPr>
              <w:adjustRightInd w:val="0"/>
              <w:snapToGrid w:val="0"/>
              <w:spacing w:line="360" w:lineRule="auto"/>
              <w:rPr>
                <w:rFonts w:ascii="宋体" w:hAnsi="宋体" w:cs="宋体"/>
                <w:color w:val="auto"/>
                <w:sz w:val="24"/>
                <w:highlight w:val="none"/>
              </w:rPr>
            </w:pPr>
          </w:p>
        </w:tc>
        <w:tc>
          <w:tcPr>
            <w:tcW w:w="268" w:type="pct"/>
            <w:tcBorders>
              <w:left w:val="single" w:color="auto" w:sz="4" w:space="0"/>
            </w:tcBorders>
            <w:vAlign w:val="center"/>
          </w:tcPr>
          <w:p w14:paraId="04569C09">
            <w:pPr>
              <w:adjustRightInd w:val="0"/>
              <w:snapToGrid w:val="0"/>
              <w:spacing w:line="360" w:lineRule="auto"/>
              <w:rPr>
                <w:rFonts w:ascii="宋体" w:hAnsi="宋体" w:cs="宋体"/>
                <w:color w:val="auto"/>
                <w:sz w:val="24"/>
                <w:highlight w:val="none"/>
              </w:rPr>
            </w:pPr>
          </w:p>
        </w:tc>
      </w:tr>
      <w:tr w14:paraId="3D67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7" w:type="pct"/>
            <w:gridSpan w:val="4"/>
            <w:vAlign w:val="center"/>
          </w:tcPr>
          <w:p w14:paraId="51AB133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考核分小计</w:t>
            </w:r>
          </w:p>
        </w:tc>
        <w:tc>
          <w:tcPr>
            <w:tcW w:w="1413" w:type="pct"/>
            <w:gridSpan w:val="2"/>
            <w:tcBorders>
              <w:left w:val="single" w:color="auto" w:sz="4" w:space="0"/>
            </w:tcBorders>
            <w:vAlign w:val="center"/>
          </w:tcPr>
          <w:p w14:paraId="653B100D">
            <w:pPr>
              <w:adjustRightInd w:val="0"/>
              <w:snapToGrid w:val="0"/>
              <w:spacing w:line="360" w:lineRule="auto"/>
              <w:rPr>
                <w:rFonts w:ascii="宋体" w:hAnsi="宋体" w:cs="宋体"/>
                <w:color w:val="auto"/>
                <w:sz w:val="24"/>
                <w:highlight w:val="none"/>
              </w:rPr>
            </w:pPr>
          </w:p>
        </w:tc>
      </w:tr>
      <w:tr w14:paraId="43E9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00" w:type="pct"/>
            <w:gridSpan w:val="6"/>
            <w:vAlign w:val="center"/>
          </w:tcPr>
          <w:p w14:paraId="44A63131">
            <w:pPr>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投标人项目负责人签字（盖章）：               监理单位签字（盖章）：          </w:t>
            </w:r>
          </w:p>
          <w:p w14:paraId="54809D84">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采购人经办人、 审核人签字（盖章）： </w:t>
            </w:r>
          </w:p>
        </w:tc>
      </w:tr>
    </w:tbl>
    <w:p w14:paraId="5EF506E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8" w:name="_Toc184313293"/>
      <w:bookmarkEnd w:id="38"/>
      <w:bookmarkStart w:id="39" w:name="_Toc184310289"/>
      <w:bookmarkEnd w:id="39"/>
      <w:bookmarkStart w:id="40" w:name="_Toc184313273"/>
      <w:bookmarkEnd w:id="40"/>
      <w:bookmarkStart w:id="41" w:name="_Toc184308055"/>
      <w:bookmarkEnd w:id="41"/>
      <w:bookmarkStart w:id="42" w:name="_Toc184313239"/>
      <w:bookmarkEnd w:id="42"/>
      <w:bookmarkStart w:id="43" w:name="_Toc184313249"/>
      <w:bookmarkEnd w:id="43"/>
      <w:bookmarkStart w:id="44" w:name="_Toc184312112"/>
      <w:bookmarkEnd w:id="44"/>
      <w:bookmarkStart w:id="45" w:name="_Toc184313250"/>
      <w:bookmarkEnd w:id="45"/>
      <w:bookmarkStart w:id="46" w:name="_Toc184314468"/>
      <w:bookmarkEnd w:id="46"/>
      <w:bookmarkStart w:id="47" w:name="_Toc184314465"/>
      <w:bookmarkEnd w:id="47"/>
      <w:bookmarkStart w:id="48" w:name="_Toc184312073"/>
      <w:bookmarkEnd w:id="48"/>
      <w:bookmarkStart w:id="49" w:name="_Toc184314426"/>
      <w:bookmarkEnd w:id="49"/>
      <w:bookmarkStart w:id="50" w:name="_Toc184310276"/>
      <w:bookmarkEnd w:id="50"/>
      <w:bookmarkStart w:id="51" w:name="_Toc184310298"/>
      <w:bookmarkEnd w:id="51"/>
      <w:bookmarkStart w:id="52" w:name="_Toc184313310"/>
      <w:bookmarkEnd w:id="52"/>
      <w:bookmarkStart w:id="53" w:name="_Toc184310306"/>
      <w:bookmarkEnd w:id="53"/>
      <w:bookmarkStart w:id="54" w:name="_Toc184310328"/>
      <w:bookmarkEnd w:id="54"/>
      <w:bookmarkStart w:id="55" w:name="_Toc184308076"/>
      <w:bookmarkEnd w:id="55"/>
      <w:bookmarkStart w:id="56" w:name="_Toc184310292"/>
      <w:bookmarkEnd w:id="56"/>
      <w:bookmarkStart w:id="57" w:name="_Toc184310301"/>
      <w:bookmarkEnd w:id="57"/>
      <w:bookmarkStart w:id="58" w:name="_Toc184312136"/>
      <w:bookmarkEnd w:id="58"/>
      <w:bookmarkStart w:id="59" w:name="_Toc184312069"/>
      <w:bookmarkEnd w:id="59"/>
      <w:bookmarkStart w:id="60" w:name="_Toc184313291"/>
      <w:bookmarkEnd w:id="60"/>
      <w:bookmarkStart w:id="61" w:name="_Toc184314436"/>
      <w:bookmarkEnd w:id="61"/>
      <w:bookmarkStart w:id="62" w:name="_Toc184314425"/>
      <w:bookmarkEnd w:id="62"/>
      <w:bookmarkStart w:id="63" w:name="_Toc184308094"/>
      <w:bookmarkEnd w:id="63"/>
      <w:bookmarkStart w:id="64" w:name="_Toc184313282"/>
      <w:bookmarkEnd w:id="64"/>
      <w:bookmarkStart w:id="65" w:name="_Toc184310321"/>
      <w:bookmarkEnd w:id="65"/>
      <w:bookmarkStart w:id="66" w:name="_Toc184312077"/>
      <w:bookmarkEnd w:id="66"/>
      <w:bookmarkStart w:id="67" w:name="_Toc184308051"/>
      <w:bookmarkEnd w:id="67"/>
      <w:bookmarkStart w:id="68" w:name="_Toc184312092"/>
      <w:bookmarkEnd w:id="68"/>
      <w:bookmarkStart w:id="69" w:name="_Toc184308066"/>
      <w:bookmarkEnd w:id="69"/>
      <w:bookmarkStart w:id="70" w:name="_Toc184314419"/>
      <w:bookmarkEnd w:id="70"/>
      <w:bookmarkStart w:id="71" w:name="_Toc184313280"/>
      <w:bookmarkEnd w:id="71"/>
      <w:bookmarkStart w:id="72" w:name="_Toc184308057"/>
      <w:bookmarkEnd w:id="72"/>
      <w:bookmarkStart w:id="73" w:name="_Toc184310340"/>
      <w:bookmarkEnd w:id="73"/>
      <w:bookmarkStart w:id="74" w:name="_Toc184308054"/>
      <w:bookmarkEnd w:id="74"/>
      <w:bookmarkStart w:id="75" w:name="_Toc184310305"/>
      <w:bookmarkEnd w:id="75"/>
      <w:bookmarkStart w:id="76" w:name="_Toc184312115"/>
      <w:bookmarkEnd w:id="76"/>
      <w:bookmarkStart w:id="77" w:name="_Toc184312127"/>
      <w:bookmarkEnd w:id="77"/>
      <w:bookmarkStart w:id="78" w:name="_Toc184313283"/>
      <w:bookmarkEnd w:id="78"/>
      <w:bookmarkStart w:id="79" w:name="_Toc184312099"/>
      <w:bookmarkEnd w:id="79"/>
      <w:bookmarkStart w:id="80" w:name="_Toc184314434"/>
      <w:bookmarkEnd w:id="80"/>
      <w:bookmarkStart w:id="81" w:name="_Toc184314411"/>
      <w:bookmarkEnd w:id="81"/>
      <w:bookmarkStart w:id="82" w:name="_Toc184314454"/>
      <w:bookmarkEnd w:id="82"/>
      <w:bookmarkStart w:id="83" w:name="_Toc184313300"/>
      <w:bookmarkEnd w:id="83"/>
      <w:bookmarkStart w:id="84" w:name="_Toc184308101"/>
      <w:bookmarkEnd w:id="84"/>
      <w:bookmarkStart w:id="85" w:name="_Toc184313270"/>
      <w:bookmarkEnd w:id="85"/>
      <w:bookmarkStart w:id="86" w:name="_Toc184312104"/>
      <w:bookmarkEnd w:id="86"/>
      <w:bookmarkStart w:id="87" w:name="_Toc184312079"/>
      <w:bookmarkEnd w:id="87"/>
      <w:bookmarkStart w:id="88" w:name="_Toc184313269"/>
      <w:bookmarkEnd w:id="88"/>
      <w:bookmarkStart w:id="89" w:name="_Toc184314429"/>
      <w:bookmarkEnd w:id="89"/>
      <w:bookmarkStart w:id="90" w:name="_Toc184314431"/>
      <w:bookmarkEnd w:id="90"/>
      <w:bookmarkStart w:id="91" w:name="_Toc184310325"/>
      <w:bookmarkEnd w:id="91"/>
      <w:bookmarkStart w:id="92" w:name="_Toc184310343"/>
      <w:bookmarkEnd w:id="92"/>
      <w:bookmarkStart w:id="93" w:name="_Toc184314428"/>
      <w:bookmarkEnd w:id="93"/>
      <w:bookmarkStart w:id="94" w:name="_Toc184313263"/>
      <w:bookmarkEnd w:id="94"/>
      <w:bookmarkStart w:id="95" w:name="_Toc184314432"/>
      <w:bookmarkEnd w:id="95"/>
      <w:bookmarkStart w:id="96" w:name="_Toc184308048"/>
      <w:bookmarkEnd w:id="96"/>
      <w:bookmarkStart w:id="97" w:name="_Toc184308103"/>
      <w:bookmarkEnd w:id="97"/>
      <w:bookmarkStart w:id="98" w:name="_Toc184308063"/>
      <w:bookmarkEnd w:id="98"/>
      <w:bookmarkStart w:id="99" w:name="_Toc184314479"/>
      <w:bookmarkEnd w:id="99"/>
      <w:bookmarkStart w:id="100" w:name="_Toc184314439"/>
      <w:bookmarkEnd w:id="100"/>
      <w:bookmarkStart w:id="101" w:name="_Toc184308090"/>
      <w:bookmarkEnd w:id="101"/>
      <w:bookmarkStart w:id="102" w:name="_Toc184308098"/>
      <w:bookmarkEnd w:id="102"/>
      <w:bookmarkStart w:id="103" w:name="_Toc184314470"/>
      <w:bookmarkEnd w:id="103"/>
      <w:bookmarkStart w:id="104" w:name="_Toc184314441"/>
      <w:bookmarkEnd w:id="104"/>
      <w:bookmarkStart w:id="105" w:name="_Toc184310303"/>
      <w:bookmarkEnd w:id="105"/>
      <w:bookmarkStart w:id="106" w:name="_Toc184314424"/>
      <w:bookmarkEnd w:id="106"/>
      <w:bookmarkStart w:id="107" w:name="_Toc184308047"/>
      <w:bookmarkEnd w:id="107"/>
      <w:bookmarkStart w:id="108" w:name="_Toc184314433"/>
      <w:bookmarkEnd w:id="108"/>
      <w:bookmarkStart w:id="109" w:name="_Toc184312103"/>
      <w:bookmarkEnd w:id="109"/>
      <w:bookmarkStart w:id="110" w:name="_Toc184314416"/>
      <w:bookmarkEnd w:id="110"/>
      <w:bookmarkStart w:id="111" w:name="_Toc184312126"/>
      <w:bookmarkEnd w:id="111"/>
      <w:bookmarkStart w:id="112" w:name="_Toc184312085"/>
      <w:bookmarkEnd w:id="112"/>
      <w:bookmarkStart w:id="113" w:name="_Toc184314421"/>
      <w:bookmarkEnd w:id="113"/>
      <w:bookmarkStart w:id="114" w:name="_Toc184314474"/>
      <w:bookmarkEnd w:id="114"/>
      <w:bookmarkStart w:id="115" w:name="_Toc184312124"/>
      <w:bookmarkEnd w:id="115"/>
      <w:bookmarkStart w:id="116" w:name="_Toc184314449"/>
      <w:bookmarkEnd w:id="116"/>
      <w:bookmarkStart w:id="117" w:name="_Toc184312098"/>
      <w:bookmarkEnd w:id="117"/>
      <w:bookmarkStart w:id="118" w:name="_Toc184314482"/>
      <w:bookmarkEnd w:id="118"/>
      <w:bookmarkStart w:id="119" w:name="_Toc184314415"/>
      <w:bookmarkEnd w:id="119"/>
      <w:bookmarkStart w:id="120" w:name="_Toc184310327"/>
      <w:bookmarkEnd w:id="120"/>
      <w:bookmarkStart w:id="121" w:name="_Toc184312075"/>
      <w:bookmarkEnd w:id="121"/>
      <w:bookmarkStart w:id="122" w:name="_Toc184310280"/>
      <w:bookmarkEnd w:id="122"/>
      <w:bookmarkStart w:id="123" w:name="_Toc184313261"/>
      <w:bookmarkEnd w:id="123"/>
      <w:bookmarkStart w:id="124" w:name="_Toc184313277"/>
      <w:bookmarkEnd w:id="124"/>
      <w:bookmarkStart w:id="125" w:name="_Toc184310341"/>
      <w:bookmarkEnd w:id="125"/>
      <w:bookmarkStart w:id="126" w:name="_Toc184313290"/>
      <w:bookmarkEnd w:id="126"/>
      <w:bookmarkStart w:id="127" w:name="_Toc184310313"/>
      <w:bookmarkEnd w:id="127"/>
      <w:bookmarkStart w:id="128" w:name="_Toc184313298"/>
      <w:bookmarkEnd w:id="128"/>
      <w:bookmarkStart w:id="129" w:name="_Toc184314414"/>
      <w:bookmarkEnd w:id="129"/>
      <w:bookmarkStart w:id="130" w:name="_Toc184310324"/>
      <w:bookmarkEnd w:id="130"/>
      <w:bookmarkStart w:id="131" w:name="_Toc184312095"/>
      <w:bookmarkEnd w:id="131"/>
      <w:bookmarkStart w:id="132" w:name="_Toc184312111"/>
      <w:bookmarkEnd w:id="132"/>
      <w:bookmarkStart w:id="133" w:name="_Toc184312093"/>
      <w:bookmarkEnd w:id="133"/>
      <w:bookmarkStart w:id="134" w:name="_Toc184312088"/>
      <w:bookmarkEnd w:id="134"/>
      <w:bookmarkStart w:id="135" w:name="_Toc184308077"/>
      <w:bookmarkEnd w:id="135"/>
      <w:bookmarkStart w:id="136" w:name="_Toc184312082"/>
      <w:bookmarkEnd w:id="136"/>
      <w:bookmarkStart w:id="137" w:name="_Toc184312067"/>
      <w:bookmarkEnd w:id="137"/>
      <w:bookmarkStart w:id="138" w:name="_Toc184308042"/>
      <w:bookmarkEnd w:id="138"/>
      <w:bookmarkStart w:id="139" w:name="_Toc184310295"/>
      <w:bookmarkEnd w:id="139"/>
      <w:bookmarkStart w:id="140" w:name="_Toc184314458"/>
      <w:bookmarkEnd w:id="140"/>
      <w:bookmarkStart w:id="141" w:name="_Toc184312134"/>
      <w:bookmarkEnd w:id="141"/>
      <w:bookmarkStart w:id="142" w:name="_Toc184312139"/>
      <w:bookmarkEnd w:id="142"/>
      <w:bookmarkStart w:id="143" w:name="_Toc184312074"/>
      <w:bookmarkEnd w:id="143"/>
      <w:bookmarkStart w:id="144" w:name="_Toc184312123"/>
      <w:bookmarkEnd w:id="144"/>
      <w:bookmarkStart w:id="145" w:name="_Toc184313243"/>
      <w:bookmarkEnd w:id="145"/>
      <w:bookmarkStart w:id="146" w:name="_Toc184308079"/>
      <w:bookmarkEnd w:id="146"/>
      <w:bookmarkStart w:id="147" w:name="_Toc184308069"/>
      <w:bookmarkEnd w:id="147"/>
      <w:bookmarkStart w:id="148" w:name="_Toc184313247"/>
      <w:bookmarkEnd w:id="148"/>
      <w:bookmarkStart w:id="149" w:name="_Toc184310315"/>
      <w:bookmarkEnd w:id="149"/>
      <w:bookmarkStart w:id="150" w:name="_Toc184308052"/>
      <w:bookmarkEnd w:id="150"/>
      <w:bookmarkStart w:id="151" w:name="_Toc184314448"/>
      <w:bookmarkEnd w:id="151"/>
      <w:bookmarkStart w:id="152" w:name="_Toc184314412"/>
      <w:bookmarkEnd w:id="152"/>
      <w:bookmarkStart w:id="153" w:name="_Toc184313254"/>
      <w:bookmarkEnd w:id="153"/>
      <w:bookmarkStart w:id="154" w:name="_Toc184313266"/>
      <w:bookmarkEnd w:id="154"/>
      <w:bookmarkStart w:id="155" w:name="_Toc184312084"/>
      <w:bookmarkEnd w:id="155"/>
      <w:bookmarkStart w:id="156" w:name="_Toc184310275"/>
      <w:bookmarkEnd w:id="156"/>
      <w:bookmarkStart w:id="157" w:name="_Toc184314480"/>
      <w:bookmarkEnd w:id="157"/>
      <w:bookmarkStart w:id="158" w:name="_Toc184308097"/>
      <w:bookmarkEnd w:id="158"/>
      <w:bookmarkStart w:id="159" w:name="_Toc184313253"/>
      <w:bookmarkEnd w:id="159"/>
      <w:bookmarkStart w:id="160" w:name="_Toc184308041"/>
      <w:bookmarkEnd w:id="160"/>
      <w:bookmarkStart w:id="161" w:name="_Toc184314460"/>
      <w:bookmarkEnd w:id="161"/>
      <w:bookmarkStart w:id="162" w:name="_Toc184313305"/>
      <w:bookmarkEnd w:id="162"/>
      <w:bookmarkStart w:id="163" w:name="_Toc184312089"/>
      <w:bookmarkEnd w:id="163"/>
      <w:bookmarkStart w:id="164" w:name="_Toc184308046"/>
      <w:bookmarkEnd w:id="164"/>
      <w:bookmarkStart w:id="165" w:name="_Toc184308071"/>
      <w:bookmarkEnd w:id="165"/>
      <w:bookmarkStart w:id="166" w:name="_Toc184310290"/>
      <w:bookmarkEnd w:id="166"/>
      <w:bookmarkStart w:id="167" w:name="_Toc184314446"/>
      <w:bookmarkEnd w:id="167"/>
      <w:bookmarkStart w:id="168" w:name="_Toc184312114"/>
      <w:bookmarkEnd w:id="168"/>
      <w:bookmarkStart w:id="169" w:name="_Toc184310329"/>
      <w:bookmarkEnd w:id="169"/>
      <w:bookmarkStart w:id="170" w:name="_Toc184312090"/>
      <w:bookmarkEnd w:id="170"/>
      <w:bookmarkStart w:id="171" w:name="_Toc184313285"/>
      <w:bookmarkEnd w:id="171"/>
      <w:bookmarkStart w:id="172" w:name="_Toc184308107"/>
      <w:bookmarkEnd w:id="172"/>
      <w:bookmarkStart w:id="173" w:name="_Toc184308072"/>
      <w:bookmarkEnd w:id="173"/>
      <w:bookmarkStart w:id="174" w:name="_Toc184310278"/>
      <w:bookmarkEnd w:id="174"/>
      <w:bookmarkStart w:id="175" w:name="_Toc184308104"/>
      <w:bookmarkEnd w:id="175"/>
      <w:bookmarkStart w:id="176" w:name="_Toc184312125"/>
      <w:bookmarkEnd w:id="176"/>
      <w:bookmarkStart w:id="177" w:name="_Toc184314464"/>
      <w:bookmarkEnd w:id="177"/>
      <w:bookmarkStart w:id="178" w:name="_Toc184313275"/>
      <w:bookmarkEnd w:id="178"/>
      <w:bookmarkStart w:id="179" w:name="_Toc184313281"/>
      <w:bookmarkEnd w:id="179"/>
      <w:bookmarkStart w:id="180" w:name="_Toc184313286"/>
      <w:bookmarkEnd w:id="180"/>
      <w:bookmarkStart w:id="181" w:name="_Toc184314462"/>
      <w:bookmarkEnd w:id="181"/>
      <w:bookmarkStart w:id="182" w:name="_Toc184313246"/>
      <w:bookmarkEnd w:id="182"/>
      <w:bookmarkStart w:id="183" w:name="_Toc184314472"/>
      <w:bookmarkEnd w:id="183"/>
      <w:bookmarkStart w:id="184" w:name="_Toc184308092"/>
      <w:bookmarkEnd w:id="184"/>
      <w:bookmarkStart w:id="185" w:name="_Toc184310314"/>
      <w:bookmarkEnd w:id="185"/>
      <w:bookmarkStart w:id="186" w:name="_Toc184313295"/>
      <w:bookmarkEnd w:id="186"/>
      <w:bookmarkStart w:id="187" w:name="_Toc184314447"/>
      <w:bookmarkEnd w:id="187"/>
      <w:bookmarkStart w:id="188" w:name="_Toc184313272"/>
      <w:bookmarkEnd w:id="188"/>
      <w:bookmarkStart w:id="189" w:name="_Toc184314444"/>
      <w:bookmarkEnd w:id="189"/>
      <w:bookmarkStart w:id="190" w:name="_Toc184313256"/>
      <w:bookmarkEnd w:id="190"/>
      <w:bookmarkStart w:id="191" w:name="_Toc184312135"/>
      <w:bookmarkEnd w:id="191"/>
      <w:bookmarkStart w:id="192" w:name="_Toc184314473"/>
      <w:bookmarkEnd w:id="192"/>
      <w:bookmarkStart w:id="193" w:name="_Toc184313288"/>
      <w:bookmarkEnd w:id="193"/>
      <w:bookmarkStart w:id="194" w:name="_Toc184312100"/>
      <w:bookmarkEnd w:id="194"/>
      <w:bookmarkStart w:id="195" w:name="_Toc184314417"/>
      <w:bookmarkEnd w:id="195"/>
      <w:bookmarkStart w:id="196" w:name="_Toc184310338"/>
      <w:bookmarkEnd w:id="196"/>
      <w:bookmarkStart w:id="197" w:name="_Toc184312122"/>
      <w:bookmarkEnd w:id="197"/>
      <w:bookmarkStart w:id="198" w:name="_Toc184310326"/>
      <w:bookmarkEnd w:id="198"/>
      <w:bookmarkStart w:id="199" w:name="_Toc184310293"/>
      <w:bookmarkEnd w:id="199"/>
      <w:bookmarkStart w:id="200" w:name="_Toc184310318"/>
      <w:bookmarkEnd w:id="200"/>
      <w:bookmarkStart w:id="201" w:name="_Toc184313292"/>
      <w:bookmarkEnd w:id="201"/>
      <w:bookmarkStart w:id="202" w:name="_Toc184312078"/>
      <w:bookmarkEnd w:id="202"/>
      <w:bookmarkStart w:id="203" w:name="_Toc184310339"/>
      <w:bookmarkEnd w:id="203"/>
      <w:bookmarkStart w:id="204" w:name="_Toc184313294"/>
      <w:bookmarkEnd w:id="204"/>
      <w:bookmarkStart w:id="205" w:name="_Toc184308075"/>
      <w:bookmarkEnd w:id="205"/>
      <w:bookmarkStart w:id="206" w:name="_Toc184312109"/>
      <w:bookmarkEnd w:id="206"/>
      <w:bookmarkStart w:id="207" w:name="_Toc184314410"/>
      <w:bookmarkEnd w:id="207"/>
      <w:bookmarkStart w:id="208" w:name="_Toc184308087"/>
      <w:bookmarkEnd w:id="208"/>
      <w:bookmarkStart w:id="209" w:name="_Toc184314435"/>
      <w:bookmarkEnd w:id="209"/>
      <w:bookmarkStart w:id="210" w:name="_Toc184313242"/>
      <w:bookmarkEnd w:id="210"/>
      <w:bookmarkStart w:id="211" w:name="_Toc184314422"/>
      <w:bookmarkEnd w:id="211"/>
      <w:bookmarkStart w:id="212" w:name="_Toc184313301"/>
      <w:bookmarkEnd w:id="212"/>
      <w:bookmarkStart w:id="213" w:name="_Toc184313303"/>
      <w:bookmarkEnd w:id="213"/>
      <w:bookmarkStart w:id="214" w:name="_Toc184314481"/>
      <w:bookmarkEnd w:id="214"/>
      <w:bookmarkStart w:id="215" w:name="_Toc184312108"/>
      <w:bookmarkEnd w:id="215"/>
      <w:bookmarkStart w:id="216" w:name="_Toc184313257"/>
      <w:bookmarkEnd w:id="216"/>
      <w:bookmarkStart w:id="217" w:name="_Toc184310286"/>
      <w:bookmarkEnd w:id="217"/>
      <w:bookmarkStart w:id="218" w:name="_Toc184314475"/>
      <w:bookmarkEnd w:id="218"/>
      <w:bookmarkStart w:id="219" w:name="_Toc184314451"/>
      <w:bookmarkEnd w:id="219"/>
      <w:bookmarkStart w:id="220" w:name="_Toc184310284"/>
      <w:bookmarkEnd w:id="220"/>
      <w:bookmarkStart w:id="221" w:name="_Toc184308073"/>
      <w:bookmarkEnd w:id="221"/>
      <w:bookmarkStart w:id="222" w:name="_Toc184308067"/>
      <w:bookmarkEnd w:id="222"/>
      <w:bookmarkStart w:id="223" w:name="_Toc184313296"/>
      <w:bookmarkEnd w:id="223"/>
      <w:bookmarkStart w:id="224" w:name="_Toc184308082"/>
      <w:bookmarkEnd w:id="224"/>
      <w:bookmarkStart w:id="225" w:name="_Toc184314456"/>
      <w:bookmarkEnd w:id="225"/>
      <w:bookmarkStart w:id="226" w:name="_Toc184308074"/>
      <w:bookmarkEnd w:id="226"/>
      <w:bookmarkStart w:id="227" w:name="_Toc184314427"/>
      <w:bookmarkEnd w:id="227"/>
      <w:bookmarkStart w:id="228" w:name="_Toc184313274"/>
      <w:bookmarkEnd w:id="228"/>
      <w:bookmarkStart w:id="229" w:name="_Toc184308068"/>
      <w:bookmarkEnd w:id="229"/>
      <w:bookmarkStart w:id="230" w:name="_Toc184314469"/>
      <w:bookmarkEnd w:id="230"/>
      <w:bookmarkStart w:id="231" w:name="_Toc184313271"/>
      <w:bookmarkEnd w:id="231"/>
      <w:bookmarkStart w:id="232" w:name="_Toc184312138"/>
      <w:bookmarkEnd w:id="232"/>
      <w:bookmarkStart w:id="233" w:name="_Toc184308037"/>
      <w:bookmarkEnd w:id="233"/>
      <w:bookmarkStart w:id="234" w:name="_Toc184314418"/>
      <w:bookmarkEnd w:id="234"/>
      <w:bookmarkStart w:id="235" w:name="_Toc184310277"/>
      <w:bookmarkEnd w:id="235"/>
      <w:bookmarkStart w:id="236" w:name="_Toc184308038"/>
      <w:bookmarkEnd w:id="236"/>
      <w:bookmarkStart w:id="237" w:name="_Toc184310291"/>
      <w:bookmarkEnd w:id="237"/>
      <w:bookmarkStart w:id="238" w:name="_Toc184310299"/>
      <w:bookmarkEnd w:id="238"/>
      <w:bookmarkStart w:id="239" w:name="_Toc184313248"/>
      <w:bookmarkEnd w:id="239"/>
      <w:bookmarkStart w:id="240" w:name="_Toc184310274"/>
      <w:bookmarkEnd w:id="240"/>
      <w:bookmarkStart w:id="241" w:name="_Toc184310281"/>
      <w:bookmarkEnd w:id="241"/>
      <w:bookmarkStart w:id="242" w:name="_Toc184310312"/>
      <w:bookmarkEnd w:id="242"/>
      <w:bookmarkStart w:id="243" w:name="_Toc184310297"/>
      <w:bookmarkEnd w:id="243"/>
      <w:bookmarkStart w:id="244" w:name="_Toc184308056"/>
      <w:bookmarkEnd w:id="244"/>
      <w:bookmarkStart w:id="245" w:name="_Toc184310296"/>
      <w:bookmarkEnd w:id="245"/>
      <w:bookmarkStart w:id="246" w:name="_Toc184310320"/>
      <w:bookmarkEnd w:id="246"/>
      <w:bookmarkStart w:id="247" w:name="_Toc184313302"/>
      <w:bookmarkEnd w:id="247"/>
      <w:bookmarkStart w:id="248" w:name="_Toc184310342"/>
      <w:bookmarkEnd w:id="248"/>
      <w:bookmarkStart w:id="249" w:name="_Toc184308108"/>
      <w:bookmarkEnd w:id="249"/>
      <w:bookmarkStart w:id="250" w:name="_Toc184308083"/>
      <w:bookmarkEnd w:id="250"/>
      <w:bookmarkStart w:id="251" w:name="_Toc184310272"/>
      <w:bookmarkEnd w:id="251"/>
      <w:bookmarkStart w:id="252" w:name="_Toc184312105"/>
      <w:bookmarkEnd w:id="252"/>
      <w:bookmarkStart w:id="253" w:name="_Toc184312068"/>
      <w:bookmarkEnd w:id="253"/>
      <w:bookmarkStart w:id="254" w:name="_Toc184310287"/>
      <w:bookmarkEnd w:id="254"/>
      <w:bookmarkStart w:id="255" w:name="_Toc184314445"/>
      <w:bookmarkEnd w:id="255"/>
      <w:bookmarkStart w:id="256" w:name="_Toc184312107"/>
      <w:bookmarkEnd w:id="256"/>
      <w:bookmarkStart w:id="257" w:name="_Toc184308100"/>
      <w:bookmarkEnd w:id="257"/>
      <w:bookmarkStart w:id="258" w:name="_Toc184308088"/>
      <w:bookmarkEnd w:id="258"/>
      <w:bookmarkStart w:id="259" w:name="_Toc184310334"/>
      <w:bookmarkEnd w:id="259"/>
      <w:bookmarkStart w:id="260" w:name="_Toc184313299"/>
      <w:bookmarkEnd w:id="260"/>
      <w:bookmarkStart w:id="261" w:name="_Toc184314437"/>
      <w:bookmarkEnd w:id="261"/>
      <w:bookmarkStart w:id="262" w:name="_Toc184308096"/>
      <w:bookmarkEnd w:id="262"/>
      <w:bookmarkStart w:id="263" w:name="_Toc184312128"/>
      <w:bookmarkEnd w:id="263"/>
      <w:bookmarkStart w:id="264" w:name="_Toc184310307"/>
      <w:bookmarkEnd w:id="264"/>
      <w:bookmarkStart w:id="265" w:name="_Toc184312106"/>
      <w:bookmarkEnd w:id="265"/>
      <w:bookmarkStart w:id="266" w:name="_Toc184314413"/>
      <w:bookmarkEnd w:id="266"/>
      <w:bookmarkStart w:id="267" w:name="_Toc184310335"/>
      <w:bookmarkEnd w:id="267"/>
      <w:bookmarkStart w:id="268" w:name="_Toc184313241"/>
      <w:bookmarkEnd w:id="268"/>
      <w:bookmarkStart w:id="269" w:name="_Toc184310319"/>
      <w:bookmarkEnd w:id="269"/>
      <w:bookmarkStart w:id="270" w:name="_Toc184313244"/>
      <w:bookmarkEnd w:id="270"/>
      <w:bookmarkStart w:id="271" w:name="_Toc184310294"/>
      <w:bookmarkEnd w:id="271"/>
      <w:bookmarkStart w:id="272" w:name="_Toc184312129"/>
      <w:bookmarkEnd w:id="272"/>
      <w:bookmarkStart w:id="273" w:name="_Toc184312101"/>
      <w:bookmarkEnd w:id="273"/>
      <w:bookmarkStart w:id="274" w:name="_Toc184314440"/>
      <w:bookmarkEnd w:id="274"/>
      <w:bookmarkStart w:id="275" w:name="_Toc184313238"/>
      <w:bookmarkEnd w:id="275"/>
      <w:bookmarkStart w:id="276" w:name="_Toc184312102"/>
      <w:bookmarkEnd w:id="276"/>
      <w:bookmarkStart w:id="277" w:name="_Toc184308084"/>
      <w:bookmarkEnd w:id="277"/>
      <w:bookmarkStart w:id="278" w:name="_Toc184308105"/>
      <w:bookmarkEnd w:id="278"/>
      <w:bookmarkStart w:id="279" w:name="_Toc184308065"/>
      <w:bookmarkEnd w:id="279"/>
      <w:bookmarkStart w:id="280" w:name="_Toc184310300"/>
      <w:bookmarkEnd w:id="280"/>
      <w:bookmarkStart w:id="281" w:name="_Toc184313267"/>
      <w:bookmarkEnd w:id="281"/>
      <w:bookmarkStart w:id="282" w:name="_Toc184310336"/>
      <w:bookmarkEnd w:id="282"/>
      <w:bookmarkStart w:id="283" w:name="_Toc184310302"/>
      <w:bookmarkEnd w:id="283"/>
      <w:bookmarkStart w:id="284" w:name="_Toc184313255"/>
      <w:bookmarkEnd w:id="284"/>
      <w:bookmarkStart w:id="285" w:name="_Toc184312132"/>
      <w:bookmarkEnd w:id="285"/>
      <w:bookmarkStart w:id="286" w:name="_Toc184308064"/>
      <w:bookmarkEnd w:id="286"/>
      <w:bookmarkStart w:id="287" w:name="_Toc184313260"/>
      <w:bookmarkEnd w:id="287"/>
      <w:bookmarkStart w:id="288" w:name="_Toc184314423"/>
      <w:bookmarkEnd w:id="288"/>
      <w:bookmarkStart w:id="289" w:name="_Toc184310332"/>
      <w:bookmarkEnd w:id="289"/>
      <w:bookmarkStart w:id="290" w:name="_Toc184312110"/>
      <w:bookmarkEnd w:id="290"/>
      <w:bookmarkStart w:id="291" w:name="_Toc184308058"/>
      <w:bookmarkEnd w:id="291"/>
      <w:bookmarkStart w:id="292" w:name="_Toc184313265"/>
      <w:bookmarkEnd w:id="292"/>
      <w:bookmarkStart w:id="293" w:name="_Toc184310310"/>
      <w:bookmarkEnd w:id="293"/>
      <w:bookmarkStart w:id="294" w:name="_Toc184312133"/>
      <w:bookmarkEnd w:id="294"/>
      <w:bookmarkStart w:id="295" w:name="_Toc184308036"/>
      <w:bookmarkEnd w:id="295"/>
      <w:bookmarkStart w:id="296" w:name="_Toc184313264"/>
      <w:bookmarkEnd w:id="296"/>
      <w:bookmarkStart w:id="297" w:name="_Toc184312120"/>
      <w:bookmarkEnd w:id="297"/>
      <w:bookmarkStart w:id="298" w:name="_Toc184308102"/>
      <w:bookmarkEnd w:id="298"/>
      <w:bookmarkStart w:id="299" w:name="_Toc184313245"/>
      <w:bookmarkEnd w:id="299"/>
      <w:bookmarkStart w:id="300" w:name="_Toc184312087"/>
      <w:bookmarkEnd w:id="300"/>
      <w:bookmarkStart w:id="301" w:name="_Toc184312071"/>
      <w:bookmarkEnd w:id="301"/>
      <w:bookmarkStart w:id="302" w:name="_Toc184313284"/>
      <w:bookmarkEnd w:id="302"/>
      <w:bookmarkStart w:id="303" w:name="_Toc184313251"/>
      <w:bookmarkEnd w:id="303"/>
      <w:bookmarkStart w:id="304" w:name="_Toc184308095"/>
      <w:bookmarkEnd w:id="304"/>
      <w:bookmarkStart w:id="305" w:name="_Toc184314430"/>
      <w:bookmarkEnd w:id="305"/>
      <w:bookmarkStart w:id="306" w:name="_Toc184313306"/>
      <w:bookmarkEnd w:id="306"/>
      <w:bookmarkStart w:id="307" w:name="_Toc184310316"/>
      <w:bookmarkEnd w:id="307"/>
      <w:bookmarkStart w:id="308" w:name="_Toc184314450"/>
      <w:bookmarkEnd w:id="308"/>
      <w:bookmarkStart w:id="309" w:name="_Toc184310283"/>
      <w:bookmarkEnd w:id="309"/>
      <w:bookmarkStart w:id="310" w:name="_Toc184308089"/>
      <w:bookmarkEnd w:id="310"/>
      <w:bookmarkStart w:id="311" w:name="_Toc184308078"/>
      <w:bookmarkEnd w:id="311"/>
      <w:bookmarkStart w:id="312" w:name="_Toc184312072"/>
      <w:bookmarkEnd w:id="312"/>
      <w:bookmarkStart w:id="313" w:name="_Toc184313278"/>
      <w:bookmarkEnd w:id="313"/>
      <w:bookmarkStart w:id="314" w:name="_Toc184314420"/>
      <w:bookmarkEnd w:id="314"/>
      <w:bookmarkStart w:id="315" w:name="_Toc184313252"/>
      <w:bookmarkEnd w:id="315"/>
      <w:bookmarkStart w:id="316" w:name="_Toc184314477"/>
      <w:bookmarkEnd w:id="316"/>
      <w:bookmarkStart w:id="317" w:name="_Toc184312091"/>
      <w:bookmarkEnd w:id="317"/>
      <w:bookmarkStart w:id="318" w:name="_Toc184312081"/>
      <w:bookmarkEnd w:id="318"/>
      <w:bookmarkStart w:id="319" w:name="_Toc184314478"/>
      <w:bookmarkEnd w:id="319"/>
      <w:bookmarkStart w:id="320" w:name="_Toc184314471"/>
      <w:bookmarkEnd w:id="320"/>
      <w:bookmarkStart w:id="321" w:name="_Toc184313287"/>
      <w:bookmarkEnd w:id="321"/>
      <w:bookmarkStart w:id="322" w:name="_Toc184312118"/>
      <w:bookmarkEnd w:id="322"/>
      <w:bookmarkStart w:id="323" w:name="_Toc184312096"/>
      <w:bookmarkEnd w:id="323"/>
      <w:bookmarkStart w:id="324" w:name="_Toc184308059"/>
      <w:bookmarkEnd w:id="324"/>
      <w:bookmarkStart w:id="325" w:name="_Toc184313240"/>
      <w:bookmarkEnd w:id="325"/>
      <w:bookmarkStart w:id="326" w:name="_Toc184314455"/>
      <w:bookmarkEnd w:id="326"/>
      <w:bookmarkStart w:id="327" w:name="_Toc184308093"/>
      <w:bookmarkEnd w:id="327"/>
      <w:bookmarkStart w:id="328" w:name="_Toc184310317"/>
      <w:bookmarkEnd w:id="328"/>
      <w:bookmarkStart w:id="329" w:name="_Toc184314442"/>
      <w:bookmarkEnd w:id="329"/>
      <w:bookmarkStart w:id="330" w:name="_Toc184314467"/>
      <w:bookmarkEnd w:id="330"/>
      <w:bookmarkStart w:id="331" w:name="_Toc184312130"/>
      <w:bookmarkEnd w:id="331"/>
      <w:bookmarkStart w:id="332" w:name="_Toc184313259"/>
      <w:bookmarkEnd w:id="332"/>
      <w:bookmarkStart w:id="333" w:name="_Toc184308044"/>
      <w:bookmarkEnd w:id="333"/>
      <w:bookmarkStart w:id="334" w:name="_Toc184308043"/>
      <w:bookmarkEnd w:id="334"/>
      <w:bookmarkStart w:id="335" w:name="_Toc184314476"/>
      <w:bookmarkEnd w:id="335"/>
      <w:bookmarkStart w:id="336" w:name="_Toc184310333"/>
      <w:bookmarkEnd w:id="336"/>
      <w:bookmarkStart w:id="337" w:name="_Toc184310344"/>
      <w:bookmarkEnd w:id="337"/>
      <w:bookmarkStart w:id="338" w:name="_Toc184313279"/>
      <w:bookmarkEnd w:id="338"/>
      <w:bookmarkStart w:id="339" w:name="_Toc184308106"/>
      <w:bookmarkEnd w:id="339"/>
      <w:bookmarkStart w:id="340" w:name="_Toc184310331"/>
      <w:bookmarkEnd w:id="340"/>
      <w:bookmarkStart w:id="341" w:name="_Toc184310322"/>
      <w:bookmarkEnd w:id="341"/>
      <w:bookmarkStart w:id="342" w:name="_Toc184310311"/>
      <w:bookmarkEnd w:id="342"/>
      <w:bookmarkStart w:id="343" w:name="_Toc184312113"/>
      <w:bookmarkEnd w:id="343"/>
      <w:bookmarkStart w:id="344" w:name="_Toc184314463"/>
      <w:bookmarkEnd w:id="344"/>
      <w:bookmarkStart w:id="345" w:name="_Toc184310308"/>
      <w:bookmarkEnd w:id="345"/>
      <w:bookmarkStart w:id="346" w:name="_Toc184310323"/>
      <w:bookmarkEnd w:id="346"/>
      <w:bookmarkStart w:id="347" w:name="_Toc184314457"/>
      <w:bookmarkEnd w:id="347"/>
      <w:bookmarkStart w:id="348" w:name="_Toc184308085"/>
      <w:bookmarkEnd w:id="348"/>
      <w:bookmarkStart w:id="349" w:name="_Toc184310304"/>
      <w:bookmarkEnd w:id="349"/>
      <w:bookmarkStart w:id="350" w:name="_Toc184314459"/>
      <w:bookmarkEnd w:id="350"/>
      <w:bookmarkStart w:id="351" w:name="_Toc184312094"/>
      <w:bookmarkEnd w:id="351"/>
      <w:bookmarkStart w:id="352" w:name="_Toc184308099"/>
      <w:bookmarkEnd w:id="352"/>
      <w:bookmarkStart w:id="353" w:name="_Toc184310279"/>
      <w:bookmarkEnd w:id="353"/>
      <w:bookmarkStart w:id="354" w:name="_Toc184313289"/>
      <w:bookmarkEnd w:id="354"/>
      <w:bookmarkStart w:id="355" w:name="_Toc184308070"/>
      <w:bookmarkEnd w:id="355"/>
      <w:bookmarkStart w:id="356" w:name="_Toc184312076"/>
      <w:bookmarkEnd w:id="356"/>
      <w:bookmarkStart w:id="357" w:name="_Toc184308061"/>
      <w:bookmarkEnd w:id="357"/>
      <w:bookmarkStart w:id="358" w:name="_Toc184308045"/>
      <w:bookmarkEnd w:id="358"/>
      <w:bookmarkStart w:id="359" w:name="_Toc184310330"/>
      <w:bookmarkEnd w:id="359"/>
      <w:bookmarkStart w:id="360" w:name="_Toc184308086"/>
      <w:bookmarkEnd w:id="360"/>
      <w:bookmarkStart w:id="361" w:name="_Toc184312117"/>
      <w:bookmarkEnd w:id="361"/>
      <w:bookmarkStart w:id="362" w:name="_Toc184314453"/>
      <w:bookmarkEnd w:id="362"/>
      <w:bookmarkStart w:id="363" w:name="_Toc184313304"/>
      <w:bookmarkEnd w:id="363"/>
      <w:bookmarkStart w:id="364" w:name="_Toc184313297"/>
      <w:bookmarkEnd w:id="364"/>
      <w:bookmarkStart w:id="365" w:name="_Toc184313276"/>
      <w:bookmarkEnd w:id="365"/>
      <w:bookmarkStart w:id="366" w:name="_Toc184313258"/>
      <w:bookmarkEnd w:id="366"/>
      <w:bookmarkStart w:id="367" w:name="_Toc184310337"/>
      <w:bookmarkEnd w:id="367"/>
      <w:bookmarkStart w:id="368" w:name="_Toc184312116"/>
      <w:bookmarkEnd w:id="368"/>
      <w:bookmarkStart w:id="369" w:name="_Toc184312070"/>
      <w:bookmarkEnd w:id="369"/>
      <w:bookmarkStart w:id="370" w:name="_Toc184312080"/>
      <w:bookmarkEnd w:id="370"/>
      <w:bookmarkStart w:id="371" w:name="_Toc184312083"/>
      <w:bookmarkEnd w:id="371"/>
      <w:bookmarkStart w:id="372" w:name="_Toc184308050"/>
      <w:bookmarkEnd w:id="372"/>
      <w:bookmarkStart w:id="373" w:name="_Toc184308091"/>
      <w:bookmarkEnd w:id="373"/>
      <w:bookmarkStart w:id="374" w:name="_Toc184308039"/>
      <w:bookmarkEnd w:id="374"/>
      <w:bookmarkStart w:id="375" w:name="_Toc184314466"/>
      <w:bookmarkEnd w:id="375"/>
      <w:bookmarkStart w:id="376" w:name="_Toc184313307"/>
      <w:bookmarkEnd w:id="376"/>
      <w:bookmarkStart w:id="377" w:name="_Toc184312086"/>
      <w:bookmarkEnd w:id="377"/>
      <w:bookmarkStart w:id="378" w:name="_Toc184314461"/>
      <w:bookmarkEnd w:id="378"/>
      <w:bookmarkStart w:id="379" w:name="_Toc184310282"/>
      <w:bookmarkEnd w:id="379"/>
      <w:bookmarkStart w:id="380" w:name="_Toc184308053"/>
      <w:bookmarkEnd w:id="380"/>
      <w:bookmarkStart w:id="381" w:name="_Toc184314438"/>
      <w:bookmarkEnd w:id="381"/>
      <w:bookmarkStart w:id="382" w:name="_Toc184308081"/>
      <w:bookmarkEnd w:id="382"/>
      <w:bookmarkStart w:id="383" w:name="_Toc184312119"/>
      <w:bookmarkEnd w:id="383"/>
      <w:bookmarkStart w:id="384" w:name="_Toc184312121"/>
      <w:bookmarkEnd w:id="384"/>
      <w:bookmarkStart w:id="385" w:name="_Toc184308049"/>
      <w:bookmarkEnd w:id="385"/>
      <w:bookmarkStart w:id="386" w:name="_Toc184312097"/>
      <w:bookmarkEnd w:id="386"/>
      <w:bookmarkStart w:id="387" w:name="_Toc184312131"/>
      <w:bookmarkEnd w:id="387"/>
      <w:bookmarkStart w:id="388" w:name="_Toc184314452"/>
      <w:bookmarkEnd w:id="388"/>
      <w:bookmarkStart w:id="389" w:name="_Toc184310273"/>
      <w:bookmarkEnd w:id="389"/>
      <w:bookmarkStart w:id="390" w:name="_Toc184313308"/>
      <w:bookmarkEnd w:id="390"/>
      <w:bookmarkStart w:id="391" w:name="_Toc184308062"/>
      <w:bookmarkEnd w:id="391"/>
      <w:bookmarkStart w:id="392" w:name="_Toc184312137"/>
      <w:bookmarkEnd w:id="392"/>
      <w:bookmarkStart w:id="393" w:name="_Toc184310309"/>
      <w:bookmarkEnd w:id="393"/>
      <w:bookmarkStart w:id="394" w:name="_Toc184310285"/>
      <w:bookmarkEnd w:id="394"/>
      <w:bookmarkStart w:id="395" w:name="_Toc184313262"/>
      <w:bookmarkEnd w:id="395"/>
      <w:bookmarkStart w:id="396" w:name="_Toc184308040"/>
      <w:bookmarkEnd w:id="396"/>
      <w:bookmarkStart w:id="397" w:name="_Toc184313268"/>
      <w:bookmarkEnd w:id="397"/>
      <w:bookmarkStart w:id="398" w:name="_Toc184308060"/>
      <w:bookmarkEnd w:id="398"/>
      <w:bookmarkStart w:id="399" w:name="_Toc184310288"/>
      <w:bookmarkEnd w:id="399"/>
      <w:bookmarkStart w:id="400" w:name="_Toc184313309"/>
      <w:bookmarkEnd w:id="400"/>
      <w:bookmarkStart w:id="401" w:name="_Toc184308080"/>
      <w:bookmarkEnd w:id="401"/>
      <w:bookmarkStart w:id="402" w:name="_Toc184314443"/>
      <w:bookmarkEnd w:id="402"/>
      <w:r>
        <w:rPr>
          <w:rFonts w:hint="eastAsia" w:ascii="宋体" w:hAnsi="宋体" w:cs="宋体"/>
          <w:b/>
          <w:color w:val="auto"/>
          <w:sz w:val="36"/>
          <w:szCs w:val="36"/>
          <w:highlight w:val="none"/>
        </w:rPr>
        <w:t>评标办法</w:t>
      </w:r>
    </w:p>
    <w:p w14:paraId="24EC8C6F">
      <w:pPr>
        <w:adjustRightInd w:val="0"/>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2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4983"/>
        <w:gridCol w:w="710"/>
        <w:gridCol w:w="992"/>
        <w:gridCol w:w="1602"/>
      </w:tblGrid>
      <w:tr w14:paraId="4C12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2BB92E4C">
            <w:pPr>
              <w:adjustRightInd w:val="0"/>
              <w:snapToGrid w:val="0"/>
              <w:spacing w:line="360" w:lineRule="auto"/>
              <w:jc w:val="center"/>
              <w:rPr>
                <w:rFonts w:ascii="宋体" w:hAnsi="宋体" w:cs="宋体"/>
                <w:color w:val="auto"/>
                <w:sz w:val="24"/>
                <w:highlight w:val="none"/>
              </w:rPr>
            </w:pPr>
            <w:bookmarkStart w:id="403" w:name="_Hlk127269896"/>
            <w:r>
              <w:rPr>
                <w:rFonts w:hint="eastAsia" w:ascii="宋体" w:hAnsi="宋体" w:cs="宋体"/>
                <w:color w:val="auto"/>
                <w:sz w:val="24"/>
                <w:highlight w:val="none"/>
              </w:rPr>
              <w:t>序号</w:t>
            </w:r>
          </w:p>
        </w:tc>
        <w:tc>
          <w:tcPr>
            <w:tcW w:w="2787" w:type="pct"/>
            <w:vAlign w:val="center"/>
          </w:tcPr>
          <w:p w14:paraId="2CA3FFD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397" w:type="pct"/>
            <w:vAlign w:val="center"/>
          </w:tcPr>
          <w:p w14:paraId="7BB5F07D">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55" w:type="pct"/>
            <w:vAlign w:val="center"/>
          </w:tcPr>
          <w:p w14:paraId="212C4C78">
            <w:pPr>
              <w:adjustRightInd w:val="0"/>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主观分/客观分属性</w:t>
            </w:r>
          </w:p>
        </w:tc>
        <w:tc>
          <w:tcPr>
            <w:tcW w:w="896" w:type="pct"/>
          </w:tcPr>
          <w:p w14:paraId="7AE0B6AC">
            <w:pPr>
              <w:adjustRightInd w:val="0"/>
              <w:snapToGrid w:val="0"/>
              <w:spacing w:line="360" w:lineRule="auto"/>
              <w:jc w:val="center"/>
              <w:rPr>
                <w:rFonts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14:paraId="7687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5" w:type="pct"/>
            <w:vAlign w:val="center"/>
          </w:tcPr>
          <w:p w14:paraId="27029A32">
            <w:pPr>
              <w:adjustRightInd w:val="0"/>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一</w:t>
            </w:r>
          </w:p>
        </w:tc>
        <w:tc>
          <w:tcPr>
            <w:tcW w:w="2787" w:type="pct"/>
            <w:tcBorders>
              <w:left w:val="single" w:color="auto" w:sz="4" w:space="0"/>
            </w:tcBorders>
            <w:vAlign w:val="center"/>
          </w:tcPr>
          <w:p w14:paraId="203A05DF">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技术和服务方案：</w:t>
            </w:r>
          </w:p>
        </w:tc>
        <w:tc>
          <w:tcPr>
            <w:tcW w:w="397" w:type="pct"/>
            <w:tcBorders>
              <w:left w:val="single" w:color="auto" w:sz="4" w:space="0"/>
            </w:tcBorders>
            <w:vAlign w:val="center"/>
          </w:tcPr>
          <w:p w14:paraId="15163E1E">
            <w:pPr>
              <w:adjustRightInd w:val="0"/>
              <w:snapToGrid w:val="0"/>
              <w:spacing w:line="360" w:lineRule="auto"/>
              <w:jc w:val="center"/>
              <w:rPr>
                <w:rFonts w:ascii="宋体" w:hAnsi="宋体" w:cs="宋体"/>
                <w:color w:val="auto"/>
                <w:sz w:val="24"/>
                <w:highlight w:val="none"/>
              </w:rPr>
            </w:pPr>
          </w:p>
        </w:tc>
        <w:tc>
          <w:tcPr>
            <w:tcW w:w="555" w:type="pct"/>
            <w:tcBorders>
              <w:left w:val="single" w:color="auto" w:sz="4" w:space="0"/>
            </w:tcBorders>
            <w:vAlign w:val="center"/>
          </w:tcPr>
          <w:p w14:paraId="15F0A378">
            <w:pPr>
              <w:adjustRightInd w:val="0"/>
              <w:snapToGrid w:val="0"/>
              <w:spacing w:line="360" w:lineRule="auto"/>
              <w:jc w:val="center"/>
              <w:rPr>
                <w:rFonts w:ascii="宋体" w:hAnsi="宋体" w:cs="宋体"/>
                <w:bCs/>
                <w:color w:val="auto"/>
                <w:sz w:val="24"/>
                <w:highlight w:val="none"/>
              </w:rPr>
            </w:pPr>
          </w:p>
        </w:tc>
        <w:tc>
          <w:tcPr>
            <w:tcW w:w="896" w:type="pct"/>
            <w:tcBorders>
              <w:left w:val="single" w:color="auto" w:sz="4" w:space="0"/>
            </w:tcBorders>
          </w:tcPr>
          <w:p w14:paraId="345D6874">
            <w:pPr>
              <w:adjustRightInd w:val="0"/>
              <w:snapToGrid w:val="0"/>
              <w:spacing w:line="360" w:lineRule="auto"/>
              <w:jc w:val="center"/>
              <w:rPr>
                <w:rFonts w:ascii="宋体" w:hAnsi="宋体" w:cs="宋体"/>
                <w:bCs/>
                <w:color w:val="auto"/>
                <w:sz w:val="24"/>
                <w:highlight w:val="none"/>
              </w:rPr>
            </w:pPr>
          </w:p>
        </w:tc>
      </w:tr>
      <w:tr w14:paraId="73BE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365" w:type="pct"/>
            <w:vAlign w:val="center"/>
          </w:tcPr>
          <w:p w14:paraId="02C0EC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87" w:type="pct"/>
            <w:tcBorders>
              <w:left w:val="single" w:color="auto" w:sz="4" w:space="0"/>
            </w:tcBorders>
            <w:vAlign w:val="center"/>
          </w:tcPr>
          <w:p w14:paraId="6B2C9487">
            <w:pPr>
              <w:spacing w:line="360" w:lineRule="auto"/>
              <w:rPr>
                <w:rFonts w:ascii="宋体" w:hAnsi="宋体" w:cs="宋体"/>
                <w:color w:val="auto"/>
                <w:sz w:val="24"/>
                <w:highlight w:val="none"/>
              </w:rPr>
            </w:pPr>
            <w:r>
              <w:rPr>
                <w:rFonts w:hint="eastAsia" w:ascii="宋体" w:hAnsi="宋体" w:cs="宋体"/>
                <w:snapToGrid w:val="0"/>
                <w:color w:val="auto"/>
                <w:sz w:val="24"/>
                <w:highlight w:val="none"/>
                <w:lang w:val="zh-CN"/>
              </w:rPr>
              <w:t>投标人针对本项目服务期内终端设备维护服务方案情况，包括①设备管理，②运行维护，③设备保障，④故障排除</w:t>
            </w:r>
            <w:r>
              <w:rPr>
                <w:rFonts w:hint="eastAsia" w:ascii="宋体" w:hAnsi="宋体" w:cs="宋体"/>
                <w:color w:val="auto"/>
                <w:sz w:val="24"/>
                <w:highlight w:val="none"/>
              </w:rPr>
              <w:t>；根据提供的方案内容进行评分，每一项方案内容完整且合理、可行、满足需求的得4分，不满足采购人实际情况的不得分，最高得16分。</w:t>
            </w:r>
          </w:p>
        </w:tc>
        <w:tc>
          <w:tcPr>
            <w:tcW w:w="397" w:type="pct"/>
            <w:tcBorders>
              <w:left w:val="single" w:color="auto" w:sz="4" w:space="0"/>
            </w:tcBorders>
            <w:vAlign w:val="center"/>
          </w:tcPr>
          <w:p w14:paraId="6DA6E47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16</w:t>
            </w:r>
          </w:p>
        </w:tc>
        <w:tc>
          <w:tcPr>
            <w:tcW w:w="555" w:type="pct"/>
            <w:tcBorders>
              <w:left w:val="single" w:color="auto" w:sz="4" w:space="0"/>
            </w:tcBorders>
            <w:vAlign w:val="center"/>
          </w:tcPr>
          <w:p w14:paraId="16DCA55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主观分</w:t>
            </w:r>
          </w:p>
        </w:tc>
        <w:tc>
          <w:tcPr>
            <w:tcW w:w="896" w:type="pct"/>
            <w:vMerge w:val="restart"/>
            <w:tcBorders>
              <w:left w:val="single" w:color="auto" w:sz="4" w:space="0"/>
            </w:tcBorders>
            <w:vAlign w:val="center"/>
          </w:tcPr>
          <w:p w14:paraId="31AE92D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一、服务方案优势情况</w:t>
            </w:r>
          </w:p>
        </w:tc>
      </w:tr>
      <w:tr w14:paraId="3964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65" w:type="pct"/>
            <w:vAlign w:val="center"/>
          </w:tcPr>
          <w:p w14:paraId="252D99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787" w:type="pct"/>
            <w:tcBorders>
              <w:left w:val="single" w:color="auto" w:sz="4" w:space="0"/>
            </w:tcBorders>
            <w:vAlign w:val="center"/>
          </w:tcPr>
          <w:p w14:paraId="20077042">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snapToGrid w:val="0"/>
                <w:color w:val="auto"/>
                <w:sz w:val="24"/>
                <w:highlight w:val="none"/>
                <w:lang w:val="zh-CN"/>
              </w:rPr>
              <w:t>针对</w:t>
            </w:r>
            <w:r>
              <w:rPr>
                <w:rFonts w:hint="eastAsia" w:ascii="宋体" w:hAnsi="宋体" w:cs="宋体"/>
                <w:b/>
                <w:snapToGrid w:val="0"/>
                <w:color w:val="auto"/>
                <w:sz w:val="24"/>
                <w:highlight w:val="none"/>
                <w:lang w:val="zh-CN"/>
              </w:rPr>
              <w:t>本项目</w:t>
            </w:r>
            <w:r>
              <w:rPr>
                <w:rFonts w:hint="eastAsia" w:ascii="宋体" w:hAnsi="宋体" w:cs="宋体"/>
                <w:b/>
                <w:color w:val="auto"/>
                <w:sz w:val="24"/>
                <w:highlight w:val="none"/>
              </w:rPr>
              <w:t>紧急事件处理应急方案</w:t>
            </w:r>
            <w:r>
              <w:rPr>
                <w:rFonts w:hint="eastAsia" w:ascii="宋体" w:hAnsi="宋体" w:cs="宋体"/>
                <w:color w:val="auto"/>
                <w:sz w:val="24"/>
                <w:highlight w:val="none"/>
              </w:rPr>
              <w:t>情况：①是否建立运行服务保障应急预案，②方案对可能遇到的问题具有相应的应对措施，在服务期间巡检、故障处理的组织和联系机制的合理性、有效性等；根据提供的方案内容进行评分，每一项方案内容完整且合理、可行、满足需求的得4分，不满足采购人实际情况的不得分，最高得8分。</w:t>
            </w:r>
          </w:p>
        </w:tc>
        <w:tc>
          <w:tcPr>
            <w:tcW w:w="397" w:type="pct"/>
            <w:tcBorders>
              <w:left w:val="single" w:color="auto" w:sz="4" w:space="0"/>
            </w:tcBorders>
            <w:vAlign w:val="center"/>
          </w:tcPr>
          <w:p w14:paraId="3CBFB363">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8</w:t>
            </w:r>
          </w:p>
        </w:tc>
        <w:tc>
          <w:tcPr>
            <w:tcW w:w="555" w:type="pct"/>
            <w:tcBorders>
              <w:left w:val="single" w:color="auto" w:sz="4" w:space="0"/>
            </w:tcBorders>
            <w:vAlign w:val="center"/>
          </w:tcPr>
          <w:p w14:paraId="299C23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主观分</w:t>
            </w:r>
          </w:p>
        </w:tc>
        <w:tc>
          <w:tcPr>
            <w:tcW w:w="896" w:type="pct"/>
            <w:vMerge w:val="continue"/>
            <w:tcBorders>
              <w:left w:val="single" w:color="auto" w:sz="4" w:space="0"/>
            </w:tcBorders>
            <w:vAlign w:val="center"/>
          </w:tcPr>
          <w:p w14:paraId="0F2CDE32">
            <w:pPr>
              <w:rPr>
                <w:color w:val="auto"/>
                <w:highlight w:val="none"/>
              </w:rPr>
            </w:pPr>
          </w:p>
        </w:tc>
      </w:tr>
      <w:tr w14:paraId="458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65" w:type="pct"/>
            <w:vAlign w:val="center"/>
          </w:tcPr>
          <w:p w14:paraId="6B1FD6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787" w:type="pct"/>
            <w:tcBorders>
              <w:left w:val="single" w:color="auto" w:sz="4" w:space="0"/>
            </w:tcBorders>
            <w:vAlign w:val="center"/>
          </w:tcPr>
          <w:p w14:paraId="42C85C93">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具有针对本项目的①完善的日常管理规章制度、②内部岗位责任制度（包括各岗位职责等）、③管理运作制度（包括档案管理制度、标准化服务制度等）、④考核制度（包括考核机制、激励机制、监督机制等）；根据提供的方案内容进行评分，每一项方案内容完整且合理、可行的得3分，不满足采购人实际情况的不得分，最高得12分。</w:t>
            </w:r>
          </w:p>
        </w:tc>
        <w:tc>
          <w:tcPr>
            <w:tcW w:w="397" w:type="pct"/>
            <w:tcBorders>
              <w:left w:val="single" w:color="auto" w:sz="4" w:space="0"/>
            </w:tcBorders>
            <w:vAlign w:val="center"/>
          </w:tcPr>
          <w:p w14:paraId="4BEA1BFB">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12</w:t>
            </w:r>
          </w:p>
        </w:tc>
        <w:tc>
          <w:tcPr>
            <w:tcW w:w="555" w:type="pct"/>
            <w:tcBorders>
              <w:left w:val="single" w:color="auto" w:sz="4" w:space="0"/>
            </w:tcBorders>
            <w:vAlign w:val="center"/>
          </w:tcPr>
          <w:p w14:paraId="2E8EDE3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主观分</w:t>
            </w:r>
          </w:p>
        </w:tc>
        <w:tc>
          <w:tcPr>
            <w:tcW w:w="896" w:type="pct"/>
            <w:tcBorders>
              <w:left w:val="single" w:color="auto" w:sz="4" w:space="0"/>
            </w:tcBorders>
            <w:vAlign w:val="center"/>
          </w:tcPr>
          <w:p w14:paraId="79BE9AD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二、管理制度</w:t>
            </w:r>
          </w:p>
        </w:tc>
      </w:tr>
      <w:tr w14:paraId="61CE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65" w:type="pct"/>
            <w:vAlign w:val="center"/>
          </w:tcPr>
          <w:p w14:paraId="592CA2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787" w:type="pct"/>
            <w:tcBorders>
              <w:left w:val="single" w:color="auto" w:sz="4" w:space="0"/>
            </w:tcBorders>
            <w:vAlign w:val="center"/>
          </w:tcPr>
          <w:p w14:paraId="2BC60A99">
            <w:pPr>
              <w:spacing w:line="360" w:lineRule="auto"/>
              <w:jc w:val="left"/>
              <w:rPr>
                <w:rFonts w:ascii="宋体" w:hAnsi="宋体" w:cs="宋体"/>
                <w:color w:val="auto"/>
                <w:sz w:val="24"/>
                <w:highlight w:val="none"/>
              </w:rPr>
            </w:pPr>
            <w:r>
              <w:rPr>
                <w:rFonts w:hint="eastAsia" w:ascii="宋体" w:hAnsi="宋体" w:cs="宋体"/>
                <w:bCs/>
                <w:color w:val="auto"/>
                <w:sz w:val="24"/>
                <w:highlight w:val="none"/>
              </w:rPr>
              <w:t>根据投标人提供的租赁设备参数与需求的符合情况，</w:t>
            </w:r>
            <w:r>
              <w:rPr>
                <w:rFonts w:hint="eastAsia" w:ascii="宋体" w:hAnsi="宋体" w:cs="宋体"/>
                <w:color w:val="auto"/>
                <w:sz w:val="24"/>
                <w:highlight w:val="none"/>
              </w:rPr>
              <w:t>“★”项为产品重要技术指标，重要技术指标参数投标人</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提供具有CMA资质的第三方检测机构或国家认可的检测机构出具的检测报告复印件；其他参数项投标人</w:t>
            </w:r>
            <w:r>
              <w:rPr>
                <w:rFonts w:hint="eastAsia" w:ascii="宋体" w:hAnsi="宋体" w:cs="宋体"/>
                <w:color w:val="auto"/>
                <w:sz w:val="24"/>
                <w:highlight w:val="none"/>
                <w:lang w:val="en-US" w:eastAsia="zh-CN"/>
              </w:rPr>
              <w:t>需</w:t>
            </w:r>
            <w:r>
              <w:rPr>
                <w:rFonts w:hint="eastAsia" w:ascii="宋体" w:hAnsi="宋体" w:cs="宋体"/>
                <w:color w:val="auto"/>
                <w:sz w:val="24"/>
                <w:highlight w:val="none"/>
              </w:rPr>
              <w:t>提供官网截图或产品彩页或承诺函。</w:t>
            </w:r>
          </w:p>
          <w:p w14:paraId="46B4F1C7">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highlight w:val="none"/>
              </w:rPr>
              <w:t>项负偏离或无有效证明材料的每一项扣4分，其余负偏离的或无有效证明材料的每一项扣0.5分，扣完为止，本项最高32分。</w:t>
            </w:r>
          </w:p>
        </w:tc>
        <w:tc>
          <w:tcPr>
            <w:tcW w:w="397" w:type="pct"/>
            <w:tcBorders>
              <w:left w:val="single" w:color="auto" w:sz="4" w:space="0"/>
            </w:tcBorders>
            <w:vAlign w:val="center"/>
          </w:tcPr>
          <w:p w14:paraId="4511517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32</w:t>
            </w:r>
          </w:p>
        </w:tc>
        <w:tc>
          <w:tcPr>
            <w:tcW w:w="555" w:type="pct"/>
            <w:tcBorders>
              <w:left w:val="single" w:color="auto" w:sz="4" w:space="0"/>
            </w:tcBorders>
            <w:vAlign w:val="center"/>
          </w:tcPr>
          <w:p w14:paraId="7A49E988">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75410EE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三、租赁设备参数与需求的吻合程度</w:t>
            </w:r>
          </w:p>
          <w:p w14:paraId="1541D76D">
            <w:pPr>
              <w:spacing w:line="360" w:lineRule="auto"/>
              <w:jc w:val="center"/>
              <w:rPr>
                <w:rFonts w:ascii="宋体" w:hAnsi="宋体" w:cs="宋体"/>
                <w:b/>
                <w:bCs/>
                <w:color w:val="auto"/>
                <w:sz w:val="24"/>
                <w:highlight w:val="none"/>
              </w:rPr>
            </w:pPr>
          </w:p>
        </w:tc>
      </w:tr>
      <w:tr w14:paraId="00A9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546D400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787" w:type="pct"/>
            <w:tcBorders>
              <w:left w:val="single" w:color="auto" w:sz="4" w:space="0"/>
            </w:tcBorders>
            <w:vAlign w:val="center"/>
          </w:tcPr>
          <w:p w14:paraId="7FB4AF30">
            <w:pPr>
              <w:spacing w:line="360" w:lineRule="auto"/>
              <w:ind w:right="119" w:firstLine="84" w:firstLineChars="35"/>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投标人针对本项目的服务承诺情况，投标人承诺：</w:t>
            </w:r>
          </w:p>
          <w:p w14:paraId="502CBAC3">
            <w:pPr>
              <w:spacing w:line="360" w:lineRule="auto"/>
              <w:ind w:firstLine="309" w:firstLineChars="129"/>
              <w:jc w:val="left"/>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①提供7*24小时响应服务，并保证电话畅通，服务期内投标人确保设备的稳定运行，提供完善的运行维保服务。出现故障时，投标人在接到故障申告后，30分钟内响应，4小时以内派技术人员现场检修，并在48小时内修复故障。</w:t>
            </w:r>
          </w:p>
          <w:p w14:paraId="4A389AA4">
            <w:pPr>
              <w:spacing w:line="360" w:lineRule="auto"/>
              <w:ind w:right="119" w:firstLine="235" w:firstLineChars="98"/>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②投标人次月15日前出具当月的巡检报告，服务期满后一周内，出具租赁总结报告。报告内容应包括：租赁设备运行情况，发生故障及维修的记录(人员、时间、内容、结果)。</w:t>
            </w:r>
          </w:p>
          <w:p w14:paraId="424A56CA">
            <w:pPr>
              <w:spacing w:line="360" w:lineRule="auto"/>
              <w:ind w:right="119" w:firstLine="235" w:firstLineChars="98"/>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③故障分析时间：投标人在设备恢复正常运行后，应对设备的运行情况进行跟踪，并结合故障现场信息对设备故障产生原因进行分析，3日内提交故障分析报告及解决方案。</w:t>
            </w:r>
          </w:p>
          <w:p w14:paraId="17473B02">
            <w:pPr>
              <w:spacing w:line="360" w:lineRule="auto"/>
              <w:ind w:right="119" w:firstLine="235" w:firstLineChars="98"/>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④重大节假日、活动前投标人对设备进行事先排查，重大节假日、活动期间现场技术人员进行保障，根据采购人需要增加2名技术人员赴全市各大队、中队进行上门服务保障工作。</w:t>
            </w:r>
          </w:p>
          <w:p w14:paraId="7A21EE93">
            <w:pPr>
              <w:spacing w:line="360" w:lineRule="auto"/>
              <w:ind w:right="119" w:firstLine="240" w:firstLineChars="100"/>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⑤投标人须保证所提供设备符合国家有关规定。投标人须保证所提供设备具有合法的版权或使用权，本项目租赁的设备，如在本项目范围内使用过程中出现版权或使用权纠纷或知识产权纠纷，应由投标人负责，采购人不承担责任。</w:t>
            </w:r>
          </w:p>
          <w:p w14:paraId="4F612050">
            <w:pPr>
              <w:spacing w:line="360" w:lineRule="auto"/>
              <w:ind w:right="119" w:firstLine="240" w:firstLineChars="100"/>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⑥投标人必须保证解决项目所涉及的技术问题，如因技术原因无法满足采购人需求，由此产生的风险由投标人承担。</w:t>
            </w:r>
          </w:p>
          <w:p w14:paraId="416F7518">
            <w:pPr>
              <w:spacing w:line="360" w:lineRule="auto"/>
              <w:ind w:right="119" w:firstLine="240" w:firstLineChars="100"/>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fldChar w:fldCharType="begin"/>
            </w:r>
            <w:r>
              <w:rPr>
                <w:rFonts w:hint="eastAsia" w:ascii="宋体" w:hAnsi="宋体" w:cs="宋体"/>
                <w:snapToGrid w:val="0"/>
                <w:color w:val="auto"/>
                <w:sz w:val="24"/>
                <w:highlight w:val="none"/>
                <w:lang w:val="zh-CN"/>
              </w:rPr>
              <w:instrText xml:space="preserve"> = 7 \* GB3 </w:instrText>
            </w:r>
            <w:r>
              <w:rPr>
                <w:rFonts w:hint="eastAsia" w:ascii="宋体" w:hAnsi="宋体" w:cs="宋体"/>
                <w:snapToGrid w:val="0"/>
                <w:color w:val="auto"/>
                <w:sz w:val="24"/>
                <w:highlight w:val="none"/>
                <w:lang w:val="zh-CN"/>
              </w:rPr>
              <w:fldChar w:fldCharType="separate"/>
            </w:r>
            <w:r>
              <w:rPr>
                <w:rFonts w:hint="eastAsia" w:ascii="宋体" w:hAnsi="宋体" w:cs="宋体"/>
                <w:snapToGrid w:val="0"/>
                <w:color w:val="auto"/>
                <w:sz w:val="24"/>
                <w:highlight w:val="none"/>
                <w:lang w:val="zh-CN"/>
              </w:rPr>
              <w:t>⑦</w:t>
            </w:r>
            <w:r>
              <w:rPr>
                <w:rFonts w:hint="eastAsia" w:ascii="宋体" w:hAnsi="宋体" w:cs="宋体"/>
                <w:snapToGrid w:val="0"/>
                <w:color w:val="auto"/>
                <w:sz w:val="24"/>
                <w:highlight w:val="none"/>
                <w:lang w:val="zh-CN"/>
              </w:rPr>
              <w:fldChar w:fldCharType="end"/>
            </w:r>
            <w:r>
              <w:rPr>
                <w:rFonts w:hint="eastAsia" w:ascii="宋体" w:hAnsi="宋体" w:cs="宋体"/>
                <w:snapToGrid w:val="0"/>
                <w:color w:val="auto"/>
                <w:sz w:val="24"/>
                <w:highlight w:val="none"/>
                <w:lang w:val="zh-CN"/>
              </w:rPr>
              <w:t>投标人在服务期内，如遇软件升级、改版，应提供更新、升级服务。</w:t>
            </w:r>
          </w:p>
          <w:p w14:paraId="1FF48CA1">
            <w:pPr>
              <w:spacing w:line="360" w:lineRule="auto"/>
              <w:ind w:right="119" w:firstLine="240" w:firstLineChars="100"/>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fldChar w:fldCharType="begin"/>
            </w:r>
            <w:r>
              <w:rPr>
                <w:rFonts w:hint="eastAsia" w:ascii="宋体" w:hAnsi="宋体" w:cs="宋体"/>
                <w:snapToGrid w:val="0"/>
                <w:color w:val="auto"/>
                <w:sz w:val="24"/>
                <w:highlight w:val="none"/>
                <w:lang w:val="zh-CN"/>
              </w:rPr>
              <w:instrText xml:space="preserve"> = 8 \* GB3 </w:instrText>
            </w:r>
            <w:r>
              <w:rPr>
                <w:rFonts w:hint="eastAsia" w:ascii="宋体" w:hAnsi="宋体" w:cs="宋体"/>
                <w:snapToGrid w:val="0"/>
                <w:color w:val="auto"/>
                <w:sz w:val="24"/>
                <w:highlight w:val="none"/>
                <w:lang w:val="zh-CN"/>
              </w:rPr>
              <w:fldChar w:fldCharType="separate"/>
            </w:r>
            <w:r>
              <w:rPr>
                <w:rFonts w:hint="eastAsia" w:ascii="宋体" w:hAnsi="宋体" w:cs="宋体"/>
                <w:snapToGrid w:val="0"/>
                <w:color w:val="auto"/>
                <w:sz w:val="24"/>
                <w:highlight w:val="none"/>
                <w:lang w:val="zh-CN"/>
              </w:rPr>
              <w:t>⑧</w:t>
            </w:r>
            <w:r>
              <w:rPr>
                <w:rFonts w:hint="eastAsia" w:ascii="宋体" w:hAnsi="宋体" w:cs="宋体"/>
                <w:snapToGrid w:val="0"/>
                <w:color w:val="auto"/>
                <w:sz w:val="24"/>
                <w:highlight w:val="none"/>
                <w:lang w:val="zh-CN"/>
              </w:rPr>
              <w:fldChar w:fldCharType="end"/>
            </w:r>
            <w:r>
              <w:rPr>
                <w:rFonts w:hint="eastAsia" w:ascii="宋体" w:hAnsi="宋体" w:cs="宋体"/>
                <w:snapToGrid w:val="0"/>
                <w:color w:val="auto"/>
                <w:sz w:val="24"/>
                <w:highlight w:val="none"/>
                <w:lang w:val="zh-CN"/>
              </w:rPr>
              <w:t>租赁期内确保一周内同台设备不出现2次及以上的重复故障。如出现第二次，则更换设备。充分保障租赁的设备日常正常使用。</w:t>
            </w:r>
          </w:p>
          <w:p w14:paraId="4F32D100">
            <w:pPr>
              <w:widowControl/>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snapToGrid w:val="0"/>
                <w:color w:val="auto"/>
                <w:sz w:val="24"/>
                <w:highlight w:val="none"/>
                <w:lang w:val="zh-CN"/>
              </w:rPr>
              <w:fldChar w:fldCharType="begin"/>
            </w:r>
            <w:r>
              <w:rPr>
                <w:rFonts w:hint="eastAsia" w:ascii="宋体" w:hAnsi="宋体" w:cs="宋体"/>
                <w:snapToGrid w:val="0"/>
                <w:color w:val="auto"/>
                <w:sz w:val="24"/>
                <w:highlight w:val="none"/>
                <w:lang w:val="zh-CN"/>
              </w:rPr>
              <w:instrText xml:space="preserve"> = 9 \* GB3 </w:instrText>
            </w:r>
            <w:r>
              <w:rPr>
                <w:rFonts w:hint="eastAsia" w:ascii="宋体" w:hAnsi="宋体" w:cs="宋体"/>
                <w:snapToGrid w:val="0"/>
                <w:color w:val="auto"/>
                <w:sz w:val="24"/>
                <w:highlight w:val="none"/>
                <w:lang w:val="zh-CN"/>
              </w:rPr>
              <w:fldChar w:fldCharType="separate"/>
            </w:r>
            <w:r>
              <w:rPr>
                <w:rFonts w:hint="eastAsia" w:ascii="宋体" w:hAnsi="宋体" w:cs="宋体"/>
                <w:snapToGrid w:val="0"/>
                <w:color w:val="auto"/>
                <w:sz w:val="24"/>
                <w:highlight w:val="none"/>
                <w:lang w:val="zh-CN"/>
              </w:rPr>
              <w:t>⑨</w:t>
            </w:r>
            <w:r>
              <w:rPr>
                <w:rFonts w:hint="eastAsia" w:ascii="宋体" w:hAnsi="宋体" w:cs="宋体"/>
                <w:snapToGrid w:val="0"/>
                <w:color w:val="auto"/>
                <w:sz w:val="24"/>
                <w:highlight w:val="none"/>
                <w:lang w:val="zh-CN"/>
              </w:rPr>
              <w:fldChar w:fldCharType="end"/>
            </w:r>
            <w:r>
              <w:rPr>
                <w:rFonts w:hint="eastAsia" w:ascii="宋体" w:hAnsi="宋体" w:cs="宋体"/>
                <w:color w:val="auto"/>
                <w:sz w:val="24"/>
                <w:highlight w:val="none"/>
              </w:rPr>
              <w:t>投标人在10个工作日内提交采购人交办的文档资料、监理单位需要</w:t>
            </w:r>
            <w:r>
              <w:rPr>
                <w:rFonts w:hint="eastAsia" w:ascii="宋体" w:hAnsi="宋体" w:cs="宋体"/>
                <w:snapToGrid w:val="0"/>
                <w:color w:val="auto"/>
                <w:sz w:val="24"/>
                <w:highlight w:val="none"/>
                <w:lang w:val="zh-CN"/>
              </w:rPr>
              <w:t>投标人</w:t>
            </w:r>
            <w:r>
              <w:rPr>
                <w:rFonts w:hint="eastAsia" w:ascii="宋体" w:hAnsi="宋体" w:cs="宋体"/>
                <w:color w:val="auto"/>
                <w:sz w:val="24"/>
                <w:highlight w:val="none"/>
              </w:rPr>
              <w:t>配合完成的文档资料等。</w:t>
            </w:r>
          </w:p>
          <w:p w14:paraId="342BFCF7">
            <w:pPr>
              <w:spacing w:line="360" w:lineRule="auto"/>
              <w:ind w:right="119" w:firstLine="235" w:firstLineChars="98"/>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投标人提供承诺并符合要求的每一项得1分，未提供或不符合的不得分，最高得</w:t>
            </w:r>
            <w:r>
              <w:rPr>
                <w:rFonts w:hint="eastAsia" w:ascii="宋体" w:hAnsi="宋体" w:cs="宋体"/>
                <w:snapToGrid w:val="0"/>
                <w:color w:val="auto"/>
                <w:sz w:val="24"/>
                <w:highlight w:val="none"/>
                <w:lang w:val="en-US" w:eastAsia="zh-CN"/>
              </w:rPr>
              <w:t>9</w:t>
            </w:r>
            <w:r>
              <w:rPr>
                <w:rFonts w:hint="eastAsia" w:ascii="宋体" w:hAnsi="宋体" w:cs="宋体"/>
                <w:snapToGrid w:val="0"/>
                <w:color w:val="auto"/>
                <w:sz w:val="24"/>
                <w:highlight w:val="none"/>
                <w:lang w:val="zh-CN"/>
              </w:rPr>
              <w:t>分。</w:t>
            </w:r>
          </w:p>
        </w:tc>
        <w:tc>
          <w:tcPr>
            <w:tcW w:w="397" w:type="pct"/>
            <w:tcBorders>
              <w:left w:val="single" w:color="auto" w:sz="4" w:space="0"/>
            </w:tcBorders>
            <w:vAlign w:val="center"/>
          </w:tcPr>
          <w:p w14:paraId="435A82F8">
            <w:pPr>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9</w:t>
            </w:r>
          </w:p>
        </w:tc>
        <w:tc>
          <w:tcPr>
            <w:tcW w:w="555" w:type="pct"/>
            <w:tcBorders>
              <w:left w:val="single" w:color="auto" w:sz="4" w:space="0"/>
            </w:tcBorders>
            <w:vAlign w:val="center"/>
          </w:tcPr>
          <w:p w14:paraId="4335BD5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3214625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四、服务承诺</w:t>
            </w:r>
          </w:p>
        </w:tc>
      </w:tr>
      <w:tr w14:paraId="2F17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35F5DF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787" w:type="pct"/>
            <w:tcBorders>
              <w:left w:val="single" w:color="auto" w:sz="4" w:space="0"/>
            </w:tcBorders>
            <w:vAlign w:val="center"/>
          </w:tcPr>
          <w:p w14:paraId="3F7EFDDE">
            <w:pPr>
              <w:spacing w:line="360" w:lineRule="auto"/>
              <w:rPr>
                <w:rFonts w:ascii="宋体" w:hAnsi="宋体" w:cs="宋体"/>
                <w:b/>
                <w:snapToGrid w:val="0"/>
                <w:color w:val="auto"/>
                <w:sz w:val="24"/>
                <w:highlight w:val="none"/>
              </w:rPr>
            </w:pPr>
            <w:r>
              <w:rPr>
                <w:rFonts w:hint="eastAsia" w:ascii="宋体" w:hAnsi="宋体" w:cs="宋体"/>
                <w:color w:val="auto"/>
                <w:sz w:val="24"/>
                <w:highlight w:val="none"/>
                <w:lang w:val="zh-CN"/>
              </w:rPr>
              <w:t>拟派</w:t>
            </w:r>
            <w:r>
              <w:rPr>
                <w:rFonts w:hint="eastAsia" w:ascii="宋体" w:hAnsi="宋体" w:cs="宋体"/>
                <w:b/>
                <w:color w:val="auto"/>
                <w:sz w:val="24"/>
                <w:highlight w:val="none"/>
                <w:lang w:val="zh-CN"/>
              </w:rPr>
              <w:t>本项目负责人及驻点人员</w:t>
            </w:r>
            <w:r>
              <w:rPr>
                <w:rFonts w:hint="eastAsia" w:ascii="宋体" w:hAnsi="宋体" w:cs="宋体"/>
                <w:b/>
                <w:snapToGrid w:val="0"/>
                <w:color w:val="auto"/>
                <w:sz w:val="24"/>
                <w:highlight w:val="none"/>
              </w:rPr>
              <w:t>情况：</w:t>
            </w:r>
          </w:p>
          <w:p w14:paraId="6555D26D">
            <w:pPr>
              <w:numPr>
                <w:ilvl w:val="0"/>
                <w:numId w:val="4"/>
              </w:numPr>
              <w:spacing w:line="360" w:lineRule="auto"/>
              <w:ind w:left="-62" w:firstLine="201"/>
              <w:rPr>
                <w:rFonts w:ascii="宋体" w:hAnsi="宋体" w:cs="宋体"/>
                <w:color w:val="auto"/>
                <w:sz w:val="24"/>
                <w:highlight w:val="none"/>
              </w:rPr>
            </w:pPr>
            <w:r>
              <w:rPr>
                <w:rFonts w:hint="eastAsia" w:ascii="宋体" w:hAnsi="宋体" w:cs="宋体"/>
                <w:color w:val="auto"/>
                <w:sz w:val="24"/>
                <w:highlight w:val="none"/>
              </w:rPr>
              <w:t>均年龄55周岁（含）以下（提供身份证），且均具有大专及以上学历(提供学历证书)，得3分；</w:t>
            </w:r>
          </w:p>
          <w:p w14:paraId="6EA37F70">
            <w:pPr>
              <w:spacing w:line="360" w:lineRule="auto"/>
              <w:ind w:firstLine="158" w:firstLineChars="66"/>
              <w:rPr>
                <w:rFonts w:ascii="宋体" w:hAnsi="宋体" w:cs="宋体"/>
                <w:bCs/>
                <w:color w:val="auto"/>
                <w:sz w:val="24"/>
                <w:highlight w:val="none"/>
              </w:rPr>
            </w:pPr>
            <w:r>
              <w:rPr>
                <w:rFonts w:hint="eastAsia" w:ascii="宋体" w:hAnsi="宋体" w:cs="宋体"/>
                <w:color w:val="auto"/>
                <w:sz w:val="24"/>
                <w:highlight w:val="none"/>
              </w:rPr>
              <w:t>②均具有类似移动终端租赁项目工作经验</w:t>
            </w:r>
            <w:r>
              <w:rPr>
                <w:rFonts w:hint="eastAsia" w:ascii="宋体" w:hAnsi="宋体" w:cs="宋体"/>
                <w:bCs/>
                <w:color w:val="auto"/>
                <w:sz w:val="24"/>
                <w:highlight w:val="none"/>
              </w:rPr>
              <w:t>（</w:t>
            </w:r>
            <w:r>
              <w:rPr>
                <w:rFonts w:hint="eastAsia" w:ascii="宋体" w:hAnsi="宋体" w:cs="宋体"/>
                <w:bCs w:val="0"/>
                <w:color w:val="auto"/>
                <w:sz w:val="24"/>
                <w:highlight w:val="none"/>
              </w:rPr>
              <w:t>提供业绩合同</w:t>
            </w:r>
            <w:r>
              <w:rPr>
                <w:rFonts w:hint="eastAsia" w:ascii="宋体" w:hAnsi="宋体" w:cs="宋体"/>
                <w:bCs w:val="0"/>
                <w:color w:val="auto"/>
                <w:sz w:val="24"/>
                <w:highlight w:val="none"/>
                <w:lang w:val="en-US" w:eastAsia="zh-CN"/>
              </w:rPr>
              <w:t>,未</w:t>
            </w:r>
            <w:r>
              <w:rPr>
                <w:rFonts w:hint="eastAsia" w:ascii="宋体" w:hAnsi="宋体" w:cs="宋体"/>
                <w:bCs w:val="0"/>
                <w:color w:val="auto"/>
                <w:sz w:val="24"/>
                <w:highlight w:val="none"/>
              </w:rPr>
              <w:t>体现人员姓名的</w:t>
            </w:r>
            <w:r>
              <w:rPr>
                <w:rFonts w:hint="eastAsia" w:ascii="宋体" w:hAnsi="宋体" w:cs="宋体"/>
                <w:bCs w:val="0"/>
                <w:color w:val="auto"/>
                <w:sz w:val="24"/>
                <w:highlight w:val="none"/>
                <w:lang w:val="en-US" w:eastAsia="zh-CN"/>
              </w:rPr>
              <w:t>需</w:t>
            </w:r>
            <w:r>
              <w:rPr>
                <w:rFonts w:hint="eastAsia" w:ascii="宋体" w:hAnsi="宋体" w:cs="宋体"/>
                <w:bCs w:val="0"/>
                <w:color w:val="auto"/>
                <w:sz w:val="24"/>
                <w:highlight w:val="none"/>
              </w:rPr>
              <w:t>提供业主证明</w:t>
            </w:r>
            <w:r>
              <w:rPr>
                <w:rFonts w:hint="eastAsia" w:ascii="宋体" w:hAnsi="宋体" w:cs="宋体"/>
                <w:bCs w:val="0"/>
                <w:color w:val="auto"/>
                <w:sz w:val="24"/>
                <w:highlight w:val="none"/>
                <w:lang w:val="en-US" w:eastAsia="zh-CN"/>
              </w:rPr>
              <w:t>材料</w:t>
            </w:r>
            <w:r>
              <w:rPr>
                <w:rFonts w:hint="eastAsia" w:ascii="宋体" w:hAnsi="宋体" w:cs="宋体"/>
                <w:bCs/>
                <w:color w:val="auto"/>
                <w:sz w:val="24"/>
                <w:highlight w:val="none"/>
              </w:rPr>
              <w:t>），</w:t>
            </w:r>
            <w:r>
              <w:rPr>
                <w:rFonts w:hint="eastAsia" w:ascii="宋体" w:hAnsi="宋体" w:cs="宋体"/>
                <w:color w:val="auto"/>
                <w:sz w:val="24"/>
                <w:highlight w:val="none"/>
              </w:rPr>
              <w:t>得3分；</w:t>
            </w:r>
          </w:p>
          <w:p w14:paraId="069CBC44">
            <w:pPr>
              <w:spacing w:line="360" w:lineRule="auto"/>
              <w:ind w:firstLine="158" w:firstLineChars="66"/>
              <w:rPr>
                <w:rFonts w:ascii="宋体" w:hAnsi="宋体" w:cs="宋体"/>
                <w:color w:val="auto"/>
                <w:sz w:val="24"/>
                <w:highlight w:val="none"/>
              </w:rPr>
            </w:pPr>
            <w:r>
              <w:rPr>
                <w:rFonts w:hint="eastAsia" w:ascii="宋体" w:hAnsi="宋体" w:cs="宋体"/>
                <w:bCs/>
                <w:color w:val="auto"/>
                <w:sz w:val="24"/>
                <w:highlight w:val="none"/>
              </w:rPr>
              <w:t>（提供项目负责人及驻点人员社保缴纳记录，不提供不得分）</w:t>
            </w:r>
          </w:p>
        </w:tc>
        <w:tc>
          <w:tcPr>
            <w:tcW w:w="397" w:type="pct"/>
            <w:tcBorders>
              <w:left w:val="single" w:color="auto" w:sz="4" w:space="0"/>
            </w:tcBorders>
            <w:vAlign w:val="center"/>
          </w:tcPr>
          <w:p w14:paraId="5405F6F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6</w:t>
            </w:r>
          </w:p>
        </w:tc>
        <w:tc>
          <w:tcPr>
            <w:tcW w:w="555" w:type="pct"/>
            <w:tcBorders>
              <w:left w:val="single" w:color="auto" w:sz="4" w:space="0"/>
            </w:tcBorders>
            <w:vAlign w:val="center"/>
          </w:tcPr>
          <w:p w14:paraId="75BED05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3FA7261C">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五、项目组人员情况</w:t>
            </w:r>
          </w:p>
        </w:tc>
      </w:tr>
      <w:tr w14:paraId="283A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67E913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787" w:type="pct"/>
            <w:tcBorders>
              <w:left w:val="single" w:color="auto" w:sz="4" w:space="0"/>
            </w:tcBorders>
            <w:vAlign w:val="center"/>
          </w:tcPr>
          <w:p w14:paraId="57C7446D">
            <w:pPr>
              <w:spacing w:line="360" w:lineRule="auto"/>
              <w:rPr>
                <w:rFonts w:ascii="宋体" w:hAnsi="宋体" w:cs="宋体"/>
                <w:color w:val="auto"/>
                <w:sz w:val="24"/>
                <w:highlight w:val="none"/>
              </w:rPr>
            </w:pPr>
            <w:r>
              <w:rPr>
                <w:rFonts w:hint="eastAsia" w:ascii="宋体" w:hAnsi="宋体" w:cs="宋体"/>
                <w:bCs/>
                <w:color w:val="auto"/>
                <w:sz w:val="24"/>
                <w:highlight w:val="none"/>
              </w:rPr>
              <w:t>投标人针对本项目的</w:t>
            </w:r>
            <w:r>
              <w:rPr>
                <w:rFonts w:hint="eastAsia" w:ascii="宋体" w:hAnsi="宋体" w:cs="宋体"/>
                <w:b/>
                <w:color w:val="auto"/>
                <w:sz w:val="24"/>
                <w:highlight w:val="none"/>
              </w:rPr>
              <w:t>保密情况</w:t>
            </w:r>
            <w:r>
              <w:rPr>
                <w:rFonts w:hint="eastAsia" w:ascii="宋体" w:hAnsi="宋体" w:cs="宋体"/>
                <w:bCs/>
                <w:color w:val="auto"/>
                <w:sz w:val="24"/>
                <w:highlight w:val="none"/>
              </w:rPr>
              <w:t>，承诺保密按照采购需求实施，对工作人员开展常态化安全保密教育，组织签订单位保密协议、安全保密承诺书，履行具体保密管理内容、安全保密义务和责任等。</w:t>
            </w:r>
            <w:r>
              <w:rPr>
                <w:rFonts w:hint="eastAsia" w:ascii="宋体" w:hAnsi="宋体" w:cs="宋体"/>
                <w:b/>
                <w:color w:val="auto"/>
                <w:sz w:val="24"/>
                <w:highlight w:val="none"/>
              </w:rPr>
              <w:t>满足的得2分，不满足的不得分。</w:t>
            </w:r>
          </w:p>
        </w:tc>
        <w:tc>
          <w:tcPr>
            <w:tcW w:w="397" w:type="pct"/>
            <w:tcBorders>
              <w:left w:val="single" w:color="auto" w:sz="4" w:space="0"/>
            </w:tcBorders>
            <w:vAlign w:val="center"/>
          </w:tcPr>
          <w:p w14:paraId="3192392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555" w:type="pct"/>
            <w:tcBorders>
              <w:left w:val="single" w:color="auto" w:sz="4" w:space="0"/>
            </w:tcBorders>
            <w:vAlign w:val="center"/>
          </w:tcPr>
          <w:p w14:paraId="448A7CE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66F2CAF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六、保密承诺</w:t>
            </w:r>
          </w:p>
        </w:tc>
      </w:tr>
      <w:tr w14:paraId="1E40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06CAA39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787" w:type="pct"/>
            <w:tcBorders>
              <w:left w:val="single" w:color="auto" w:sz="4" w:space="0"/>
            </w:tcBorders>
            <w:vAlign w:val="center"/>
          </w:tcPr>
          <w:p w14:paraId="7D8F4E62">
            <w:pPr>
              <w:spacing w:line="360" w:lineRule="auto"/>
              <w:ind w:right="119" w:firstLine="84" w:firstLineChars="35"/>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投标人承诺：</w:t>
            </w:r>
          </w:p>
          <w:p w14:paraId="7B3210BF">
            <w:pPr>
              <w:spacing w:line="360" w:lineRule="auto"/>
              <w:rPr>
                <w:rFonts w:ascii="宋体" w:hAnsi="宋体" w:cs="宋体"/>
                <w:color w:val="auto"/>
                <w:sz w:val="24"/>
                <w:highlight w:val="none"/>
              </w:rPr>
            </w:pPr>
            <w:r>
              <w:rPr>
                <w:rFonts w:hint="eastAsia" w:ascii="宋体" w:hAnsi="宋体" w:cs="宋体"/>
                <w:color w:val="auto"/>
                <w:sz w:val="24"/>
                <w:highlight w:val="none"/>
              </w:rPr>
              <w:t>1、明确投标人法定代表人为合作事项网络安全第一责任人，具体承担合作事项的部门主要负责人为直接责任人。</w:t>
            </w:r>
          </w:p>
          <w:p w14:paraId="16B236C2">
            <w:pPr>
              <w:spacing w:line="360" w:lineRule="auto"/>
              <w:rPr>
                <w:rFonts w:ascii="宋体" w:hAnsi="宋体" w:cs="宋体"/>
                <w:color w:val="auto"/>
                <w:sz w:val="24"/>
                <w:highlight w:val="none"/>
              </w:rPr>
            </w:pPr>
            <w:r>
              <w:rPr>
                <w:rFonts w:hint="eastAsia" w:ascii="宋体" w:hAnsi="宋体" w:cs="宋体"/>
                <w:color w:val="auto"/>
                <w:sz w:val="24"/>
                <w:highlight w:val="none"/>
              </w:rPr>
              <w:t>2、投标人不得转包合同任务，未经采购人书面同意不得分包合同任务。</w:t>
            </w:r>
          </w:p>
          <w:p w14:paraId="3ED3D40F">
            <w:pPr>
              <w:spacing w:line="360" w:lineRule="auto"/>
              <w:rPr>
                <w:rFonts w:ascii="宋体" w:hAnsi="宋体" w:cs="宋体"/>
                <w:color w:val="auto"/>
                <w:sz w:val="24"/>
                <w:highlight w:val="none"/>
              </w:rPr>
            </w:pPr>
            <w:r>
              <w:rPr>
                <w:rFonts w:hint="eastAsia" w:ascii="宋体" w:hAnsi="宋体" w:cs="宋体"/>
                <w:color w:val="auto"/>
                <w:sz w:val="24"/>
                <w:highlight w:val="none"/>
              </w:rPr>
              <w:t>3、投标人应制订与合作事项相关的网络安全保障方案和网络安全事件应急预案。</w:t>
            </w:r>
          </w:p>
          <w:p w14:paraId="0DE93D1C">
            <w:pPr>
              <w:spacing w:line="360" w:lineRule="auto"/>
              <w:rPr>
                <w:rFonts w:ascii="宋体" w:hAnsi="宋体" w:cs="宋体"/>
                <w:color w:val="auto"/>
                <w:sz w:val="24"/>
                <w:highlight w:val="none"/>
              </w:rPr>
            </w:pPr>
            <w:r>
              <w:rPr>
                <w:rFonts w:hint="eastAsia" w:ascii="宋体" w:hAnsi="宋体" w:cs="宋体"/>
                <w:color w:val="auto"/>
                <w:sz w:val="24"/>
                <w:highlight w:val="none"/>
              </w:rPr>
              <w:t>4、投标人发现网络安全漏洞、缺陷或者其他严重网络安全风险，应及时向采购人报告。</w:t>
            </w:r>
          </w:p>
          <w:p w14:paraId="3748C66B">
            <w:pPr>
              <w:spacing w:line="360" w:lineRule="auto"/>
              <w:rPr>
                <w:rFonts w:ascii="宋体" w:hAnsi="宋体" w:cs="宋体"/>
                <w:color w:val="auto"/>
                <w:sz w:val="24"/>
                <w:highlight w:val="none"/>
              </w:rPr>
            </w:pPr>
            <w:r>
              <w:rPr>
                <w:rFonts w:hint="eastAsia" w:ascii="宋体" w:hAnsi="宋体" w:cs="宋体"/>
                <w:color w:val="auto"/>
                <w:sz w:val="24"/>
                <w:highlight w:val="none"/>
              </w:rPr>
              <w:t>5、处理合作事项的信息平台应当优先采用符合安全可靠测评要求的硬件和软件产品</w:t>
            </w:r>
          </w:p>
          <w:p w14:paraId="461B4731">
            <w:pPr>
              <w:spacing w:line="360" w:lineRule="auto"/>
              <w:rPr>
                <w:rFonts w:ascii="宋体" w:hAnsi="宋体" w:cs="宋体"/>
                <w:color w:val="auto"/>
                <w:sz w:val="24"/>
                <w:highlight w:val="none"/>
              </w:rPr>
            </w:pPr>
            <w:r>
              <w:rPr>
                <w:rFonts w:hint="eastAsia" w:ascii="宋体" w:hAnsi="宋体" w:cs="宋体"/>
                <w:color w:val="auto"/>
                <w:sz w:val="24"/>
                <w:highlight w:val="none"/>
              </w:rPr>
              <w:t>6、发生可能影响合作事项的网络安全重大事项，包括负责人及重要工作人员变更、业务转型、合并重组和投资并购等，投标人应提前向采购人报告。</w:t>
            </w:r>
          </w:p>
          <w:p w14:paraId="7A05B865">
            <w:pPr>
              <w:spacing w:line="360" w:lineRule="auto"/>
              <w:rPr>
                <w:rFonts w:ascii="宋体" w:hAnsi="宋体" w:cs="宋体"/>
                <w:color w:val="auto"/>
                <w:sz w:val="24"/>
                <w:highlight w:val="none"/>
              </w:rPr>
            </w:pPr>
            <w:r>
              <w:rPr>
                <w:rFonts w:hint="eastAsia" w:ascii="宋体" w:hAnsi="宋体" w:cs="宋体"/>
                <w:color w:val="auto"/>
                <w:sz w:val="24"/>
                <w:highlight w:val="none"/>
              </w:rPr>
              <w:t>7、采用社会公共网络平台实施合作事项时，严禁涉及国家秘密和警务工作秘密。</w:t>
            </w:r>
          </w:p>
          <w:p w14:paraId="01FEB4E6">
            <w:pPr>
              <w:spacing w:line="360" w:lineRule="auto"/>
              <w:rPr>
                <w:rFonts w:ascii="宋体" w:hAnsi="宋体" w:cs="宋体"/>
                <w:color w:val="auto"/>
                <w:sz w:val="24"/>
                <w:highlight w:val="none"/>
              </w:rPr>
            </w:pPr>
            <w:r>
              <w:rPr>
                <w:rFonts w:hint="eastAsia" w:ascii="宋体" w:hAnsi="宋体" w:cs="宋体"/>
                <w:color w:val="auto"/>
                <w:sz w:val="24"/>
                <w:highlight w:val="none"/>
              </w:rPr>
              <w:t>8、投标人应于2026年8月1日前向采购人提交网络安全报告。</w:t>
            </w:r>
          </w:p>
          <w:p w14:paraId="0183D797">
            <w:pPr>
              <w:spacing w:line="360" w:lineRule="auto"/>
              <w:rPr>
                <w:rFonts w:ascii="宋体" w:hAnsi="宋体" w:cs="宋体"/>
                <w:color w:val="auto"/>
                <w:highlight w:val="none"/>
              </w:rPr>
            </w:pPr>
            <w:r>
              <w:rPr>
                <w:rFonts w:hint="eastAsia" w:ascii="宋体" w:hAnsi="宋体" w:cs="宋体"/>
                <w:color w:val="auto"/>
                <w:sz w:val="24"/>
                <w:highlight w:val="none"/>
              </w:rPr>
              <w:t>9、其他应当落实的网络安全责任和义务。</w:t>
            </w:r>
          </w:p>
          <w:p w14:paraId="529CAE33">
            <w:pPr>
              <w:spacing w:line="360" w:lineRule="auto"/>
              <w:ind w:right="119" w:firstLine="84" w:firstLineChars="35"/>
              <w:rPr>
                <w:rFonts w:ascii="宋体" w:hAnsi="宋体" w:cs="宋体"/>
                <w:snapToGrid w:val="0"/>
                <w:color w:val="auto"/>
                <w:sz w:val="24"/>
                <w:highlight w:val="none"/>
                <w:lang w:val="zh-CN"/>
              </w:rPr>
            </w:pPr>
            <w:r>
              <w:rPr>
                <w:rFonts w:hint="eastAsia" w:ascii="宋体" w:hAnsi="宋体" w:cs="宋体"/>
                <w:snapToGrid w:val="0"/>
                <w:color w:val="auto"/>
                <w:sz w:val="24"/>
                <w:highlight w:val="none"/>
                <w:lang w:val="zh-CN"/>
              </w:rPr>
              <w:t>投标人提供承诺并全部满足的得</w:t>
            </w:r>
            <w:r>
              <w:rPr>
                <w:rFonts w:hint="eastAsia" w:ascii="宋体" w:hAnsi="宋体" w:cs="宋体"/>
                <w:snapToGrid w:val="0"/>
                <w:color w:val="auto"/>
                <w:sz w:val="24"/>
                <w:highlight w:val="none"/>
                <w:lang w:val="en-US" w:eastAsia="zh-CN"/>
              </w:rPr>
              <w:t>4</w:t>
            </w:r>
            <w:r>
              <w:rPr>
                <w:rFonts w:hint="eastAsia" w:ascii="宋体" w:hAnsi="宋体" w:cs="宋体"/>
                <w:snapToGrid w:val="0"/>
                <w:color w:val="auto"/>
                <w:sz w:val="24"/>
                <w:highlight w:val="none"/>
                <w:lang w:val="zh-CN"/>
              </w:rPr>
              <w:t>分，不满足不得分</w:t>
            </w:r>
            <w:r>
              <w:rPr>
                <w:rFonts w:hint="eastAsia" w:ascii="宋体" w:hAnsi="宋体" w:cs="宋体"/>
                <w:b/>
                <w:bCs/>
                <w:snapToGrid w:val="0"/>
                <w:color w:val="auto"/>
                <w:sz w:val="24"/>
                <w:highlight w:val="none"/>
                <w:lang w:val="zh-CN"/>
              </w:rPr>
              <w:t>。</w:t>
            </w:r>
          </w:p>
        </w:tc>
        <w:tc>
          <w:tcPr>
            <w:tcW w:w="397" w:type="pct"/>
            <w:tcBorders>
              <w:left w:val="single" w:color="auto" w:sz="4" w:space="0"/>
            </w:tcBorders>
            <w:vAlign w:val="center"/>
          </w:tcPr>
          <w:p w14:paraId="2441D160">
            <w:pPr>
              <w:spacing w:line="36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4</w:t>
            </w:r>
          </w:p>
        </w:tc>
        <w:tc>
          <w:tcPr>
            <w:tcW w:w="555" w:type="pct"/>
            <w:tcBorders>
              <w:left w:val="single" w:color="auto" w:sz="4" w:space="0"/>
            </w:tcBorders>
            <w:vAlign w:val="center"/>
          </w:tcPr>
          <w:p w14:paraId="2C59AA9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4E03018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七、网络安全责任与义务承诺</w:t>
            </w:r>
          </w:p>
        </w:tc>
      </w:tr>
      <w:tr w14:paraId="421A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628AF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二</w:t>
            </w:r>
          </w:p>
        </w:tc>
        <w:tc>
          <w:tcPr>
            <w:tcW w:w="2787" w:type="pct"/>
            <w:tcBorders>
              <w:left w:val="single" w:color="auto" w:sz="4" w:space="0"/>
            </w:tcBorders>
            <w:vAlign w:val="center"/>
          </w:tcPr>
          <w:p w14:paraId="647B8F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投标人类似项目建设的成功经验：</w:t>
            </w:r>
            <w:r>
              <w:rPr>
                <w:rFonts w:hint="eastAsia" w:ascii="宋体" w:hAnsi="宋体" w:cs="宋体"/>
                <w:color w:val="auto"/>
                <w:kern w:val="0"/>
                <w:sz w:val="24"/>
                <w:highlight w:val="none"/>
              </w:rPr>
              <w:t>供应商自投标截止日近三年（以合同签订日期为准）</w:t>
            </w:r>
            <w:r>
              <w:rPr>
                <w:rFonts w:hint="eastAsia" w:ascii="宋体" w:hAnsi="宋体" w:cs="宋体"/>
                <w:color w:val="auto"/>
                <w:sz w:val="24"/>
                <w:highlight w:val="none"/>
              </w:rPr>
              <w:t>，投标人承担类似移动终端租赁项目实施的成功经验情况，每个项目得0.5分，</w:t>
            </w:r>
            <w:r>
              <w:rPr>
                <w:rFonts w:hint="eastAsia" w:ascii="宋体" w:hAnsi="宋体" w:cs="宋体"/>
                <w:bCs/>
                <w:color w:val="auto"/>
                <w:sz w:val="24"/>
                <w:highlight w:val="none"/>
              </w:rPr>
              <w:t>最高得1分。（同时提供合同和项目业主对其履约情况的证明材料，否则不得分）</w:t>
            </w:r>
          </w:p>
        </w:tc>
        <w:tc>
          <w:tcPr>
            <w:tcW w:w="397" w:type="pct"/>
            <w:tcBorders>
              <w:left w:val="single" w:color="auto" w:sz="4" w:space="0"/>
            </w:tcBorders>
            <w:vAlign w:val="center"/>
          </w:tcPr>
          <w:p w14:paraId="371D1A0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555" w:type="pct"/>
            <w:tcBorders>
              <w:left w:val="single" w:color="auto" w:sz="4" w:space="0"/>
            </w:tcBorders>
            <w:vAlign w:val="center"/>
          </w:tcPr>
          <w:p w14:paraId="18FD173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客观分</w:t>
            </w:r>
          </w:p>
        </w:tc>
        <w:tc>
          <w:tcPr>
            <w:tcW w:w="896" w:type="pct"/>
            <w:tcBorders>
              <w:left w:val="single" w:color="auto" w:sz="4" w:space="0"/>
            </w:tcBorders>
            <w:vAlign w:val="center"/>
          </w:tcPr>
          <w:p w14:paraId="0EC1908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八、成功经验</w:t>
            </w:r>
          </w:p>
        </w:tc>
      </w:tr>
      <w:tr w14:paraId="1A89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642D6E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三</w:t>
            </w:r>
          </w:p>
        </w:tc>
        <w:tc>
          <w:tcPr>
            <w:tcW w:w="2787" w:type="pct"/>
            <w:tcBorders>
              <w:left w:val="single" w:color="auto" w:sz="4" w:space="0"/>
            </w:tcBorders>
          </w:tcPr>
          <w:p w14:paraId="41709E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663CF192">
            <w:pPr>
              <w:widowControl/>
              <w:shd w:val="clear" w:color="auto" w:fill="FFFFFF"/>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71B684F2">
            <w:pPr>
              <w:widowControl/>
              <w:shd w:val="clear" w:color="auto" w:fill="FFFFFF"/>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397" w:type="pct"/>
            <w:tcBorders>
              <w:left w:val="single" w:color="auto" w:sz="4" w:space="0"/>
            </w:tcBorders>
            <w:vAlign w:val="center"/>
          </w:tcPr>
          <w:p w14:paraId="04347B68">
            <w:pPr>
              <w:spacing w:line="360" w:lineRule="auto"/>
              <w:jc w:val="center"/>
              <w:outlineLvl w:val="0"/>
              <w:rPr>
                <w:rFonts w:ascii="宋体" w:hAnsi="宋体" w:cs="宋体"/>
                <w:b/>
                <w:bCs/>
                <w:color w:val="auto"/>
                <w:sz w:val="24"/>
                <w:highlight w:val="none"/>
              </w:rPr>
            </w:pPr>
            <w:r>
              <w:rPr>
                <w:rFonts w:hint="eastAsia" w:ascii="宋体" w:hAnsi="宋体" w:cs="宋体"/>
                <w:b/>
                <w:bCs/>
                <w:color w:val="auto"/>
                <w:sz w:val="24"/>
                <w:highlight w:val="none"/>
              </w:rPr>
              <w:t>10</w:t>
            </w:r>
          </w:p>
        </w:tc>
        <w:tc>
          <w:tcPr>
            <w:tcW w:w="555" w:type="pct"/>
            <w:tcBorders>
              <w:left w:val="single" w:color="auto" w:sz="4" w:space="0"/>
            </w:tcBorders>
            <w:vAlign w:val="center"/>
          </w:tcPr>
          <w:p w14:paraId="4692B8AD">
            <w:pPr>
              <w:spacing w:line="360" w:lineRule="auto"/>
              <w:jc w:val="center"/>
              <w:outlineLvl w:val="0"/>
              <w:rPr>
                <w:rFonts w:ascii="宋体" w:hAnsi="宋体" w:cs="宋体"/>
                <w:b/>
                <w:bCs/>
                <w:color w:val="auto"/>
                <w:sz w:val="24"/>
                <w:highlight w:val="none"/>
              </w:rPr>
            </w:pPr>
          </w:p>
        </w:tc>
        <w:tc>
          <w:tcPr>
            <w:tcW w:w="896" w:type="pct"/>
            <w:tcBorders>
              <w:left w:val="single" w:color="auto" w:sz="4" w:space="0"/>
            </w:tcBorders>
            <w:vAlign w:val="center"/>
          </w:tcPr>
          <w:p w14:paraId="16EFF7BF">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w:t>
            </w:r>
          </w:p>
        </w:tc>
      </w:tr>
      <w:bookmarkEnd w:id="403"/>
    </w:tbl>
    <w:p w14:paraId="2F3A11AF">
      <w:pPr>
        <w:rPr>
          <w:rFonts w:ascii="宋体" w:hAnsi="宋体" w:cs="宋体"/>
          <w:color w:val="auto"/>
          <w:highlight w:val="none"/>
        </w:rPr>
      </w:pPr>
    </w:p>
    <w:p w14:paraId="54C3B6B7">
      <w:pPr>
        <w:adjustRightInd w:val="0"/>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3EB8709">
      <w:pPr>
        <w:adjustRightInd w:val="0"/>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408CA4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29209D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F25952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04A4B9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C4F5A8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1C52D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F3563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396947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4DF74EE">
      <w:pPr>
        <w:pStyle w:val="127"/>
        <w:spacing w:before="0"/>
        <w:ind w:firstLine="504" w:firstLineChars="210"/>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822CF54">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9387F78">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9CBCBEE">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4C478E9">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D30B769">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FCC2951">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C3E18C4">
      <w:pPr>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DD7A85C">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16F992">
      <w:pPr>
        <w:pStyle w:val="127"/>
        <w:spacing w:before="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6B669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rPr>
        <w:t xml:space="preserve"> 。</w:t>
      </w:r>
    </w:p>
    <w:p w14:paraId="5A7B98B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1F426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03549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11BF24">
      <w:pPr>
        <w:pStyle w:val="12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7D280E">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85D45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86288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E80F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6CAB6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E648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D87D87">
      <w:pPr>
        <w:adjustRightInd w:val="0"/>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FD1C70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DC176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4DF530ED">
      <w:pPr>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4.2.9投标人提供虚假材料投标的；</w:t>
      </w:r>
    </w:p>
    <w:p w14:paraId="56C75B5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116C9950">
      <w:pPr>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4EF01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FB0FF9C">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4DDC8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D4D0D60">
      <w:pPr>
        <w:pStyle w:val="25"/>
        <w:adjustRightInd w:val="0"/>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705703F">
      <w:pPr>
        <w:pStyle w:val="25"/>
        <w:adjustRightInd w:val="0"/>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1E40B23">
      <w:pPr>
        <w:pStyle w:val="25"/>
        <w:adjustRightInd w:val="0"/>
        <w:snapToGrid w:val="0"/>
        <w:spacing w:line="360" w:lineRule="auto"/>
        <w:rPr>
          <w:rFonts w:cs="宋体"/>
          <w:color w:val="auto"/>
          <w:highlight w:val="none"/>
        </w:rPr>
      </w:pPr>
      <w:r>
        <w:rPr>
          <w:rFonts w:hint="eastAsia" w:cs="宋体"/>
          <w:color w:val="auto"/>
          <w:highlight w:val="none"/>
        </w:rPr>
        <w:t>5.2出现影响采购公正的违法、违规行为的；</w:t>
      </w:r>
    </w:p>
    <w:p w14:paraId="194B7F0F">
      <w:pPr>
        <w:pStyle w:val="25"/>
        <w:adjustRightInd w:val="0"/>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68CDDC1">
      <w:pPr>
        <w:pStyle w:val="25"/>
        <w:adjustRightInd w:val="0"/>
        <w:snapToGrid w:val="0"/>
        <w:spacing w:line="360" w:lineRule="auto"/>
        <w:rPr>
          <w:rFonts w:cs="宋体"/>
          <w:color w:val="auto"/>
          <w:highlight w:val="none"/>
        </w:rPr>
      </w:pPr>
      <w:r>
        <w:rPr>
          <w:rFonts w:hint="eastAsia" w:cs="宋体"/>
          <w:color w:val="auto"/>
          <w:highlight w:val="none"/>
        </w:rPr>
        <w:t>5.4因重大变故，采购任务取消的。</w:t>
      </w:r>
    </w:p>
    <w:p w14:paraId="08578AE0">
      <w:pPr>
        <w:pStyle w:val="25"/>
        <w:adjustRightInd w:val="0"/>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FFB3B22">
      <w:pPr>
        <w:pStyle w:val="25"/>
        <w:adjustRightInd w:val="0"/>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AC26B5A">
      <w:pPr>
        <w:pStyle w:val="25"/>
        <w:adjustRightInd w:val="0"/>
        <w:snapToGrid w:val="0"/>
        <w:spacing w:line="360" w:lineRule="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EBE5E0">
      <w:pPr>
        <w:pStyle w:val="25"/>
        <w:adjustRightInd w:val="0"/>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38C09B3">
      <w:pPr>
        <w:pStyle w:val="25"/>
        <w:adjustRightInd w:val="0"/>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1FE50B">
      <w:pPr>
        <w:pStyle w:val="25"/>
        <w:adjustRightInd w:val="0"/>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0576B3">
      <w:pPr>
        <w:pStyle w:val="25"/>
        <w:adjustRightInd w:val="0"/>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86CF8DD">
      <w:pPr>
        <w:pStyle w:val="25"/>
        <w:adjustRightInd w:val="0"/>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04" w:name="第五部分"/>
      <w:bookmarkStart w:id="405" w:name="_Toc86217003"/>
    </w:p>
    <w:p w14:paraId="0AE17112">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011F662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11A4D9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59C6416">
      <w:pPr>
        <w:spacing w:line="480" w:lineRule="auto"/>
        <w:jc w:val="center"/>
        <w:rPr>
          <w:rFonts w:ascii="宋体" w:hAnsi="宋体" w:cs="宋体"/>
          <w:b/>
          <w:color w:val="auto"/>
          <w:sz w:val="28"/>
          <w:szCs w:val="28"/>
          <w:highlight w:val="none"/>
        </w:rPr>
      </w:pPr>
    </w:p>
    <w:p w14:paraId="6CAE0A70">
      <w:pPr>
        <w:spacing w:line="480" w:lineRule="auto"/>
        <w:jc w:val="center"/>
        <w:rPr>
          <w:rFonts w:ascii="宋体" w:hAnsi="宋体" w:cs="宋体"/>
          <w:b/>
          <w:color w:val="auto"/>
          <w:sz w:val="24"/>
          <w:highlight w:val="none"/>
        </w:rPr>
      </w:pPr>
    </w:p>
    <w:p w14:paraId="39133E6A">
      <w:pPr>
        <w:spacing w:line="480" w:lineRule="auto"/>
        <w:jc w:val="center"/>
        <w:rPr>
          <w:rFonts w:ascii="宋体" w:hAnsi="宋体" w:cs="宋体"/>
          <w:b/>
          <w:color w:val="auto"/>
          <w:sz w:val="24"/>
          <w:highlight w:val="none"/>
        </w:rPr>
      </w:pPr>
    </w:p>
    <w:p w14:paraId="6948907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4BCBC6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1B4D92B">
      <w:pPr>
        <w:pStyle w:val="64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B4631AA">
      <w:pPr>
        <w:spacing w:before="120" w:line="22" w:lineRule="atLeast"/>
        <w:rPr>
          <w:rFonts w:ascii="宋体" w:hAnsi="宋体" w:cs="宋体"/>
          <w:color w:val="auto"/>
          <w:sz w:val="24"/>
          <w:highlight w:val="none"/>
        </w:rPr>
      </w:pPr>
    </w:p>
    <w:p w14:paraId="1A386078">
      <w:pPr>
        <w:pStyle w:val="4"/>
        <w:rPr>
          <w:rFonts w:ascii="宋体" w:hAnsi="宋体" w:eastAsia="宋体" w:cs="宋体"/>
          <w:color w:val="auto"/>
          <w:highlight w:val="none"/>
        </w:rPr>
      </w:pPr>
    </w:p>
    <w:p w14:paraId="3A6DE74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2025年杭州交警业务系统租赁使用服务-2025年PDT数字集群终端设备使用服务项目   </w:t>
      </w:r>
    </w:p>
    <w:p w14:paraId="6C625C78">
      <w:pPr>
        <w:pStyle w:val="537"/>
        <w:spacing w:before="120" w:line="22" w:lineRule="atLeast"/>
        <w:rPr>
          <w:rFonts w:ascii="宋体" w:hAnsi="宋体" w:eastAsia="宋体" w:cs="宋体"/>
          <w:color w:val="auto"/>
          <w:szCs w:val="24"/>
          <w:highlight w:val="none"/>
        </w:rPr>
      </w:pPr>
    </w:p>
    <w:p w14:paraId="26DC6F47">
      <w:pPr>
        <w:pStyle w:val="537"/>
        <w:spacing w:before="120" w:line="22" w:lineRule="atLeast"/>
        <w:rPr>
          <w:rFonts w:ascii="宋体" w:hAnsi="宋体" w:eastAsia="宋体" w:cs="宋体"/>
          <w:color w:val="auto"/>
          <w:szCs w:val="24"/>
          <w:highlight w:val="none"/>
        </w:rPr>
      </w:pPr>
    </w:p>
    <w:p w14:paraId="6751DED0">
      <w:pPr>
        <w:rPr>
          <w:rFonts w:ascii="宋体" w:hAnsi="宋体" w:cs="宋体"/>
          <w:color w:val="auto"/>
          <w:sz w:val="24"/>
          <w:highlight w:val="none"/>
        </w:rPr>
      </w:pPr>
    </w:p>
    <w:p w14:paraId="2ADDD2F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杭州市公安局                    </w:t>
      </w:r>
    </w:p>
    <w:p w14:paraId="55DBB8A4">
      <w:pPr>
        <w:spacing w:before="120" w:line="22" w:lineRule="atLeast"/>
        <w:rPr>
          <w:rFonts w:ascii="宋体" w:hAnsi="宋体" w:cs="宋体"/>
          <w:color w:val="auto"/>
          <w:sz w:val="24"/>
          <w:highlight w:val="none"/>
        </w:rPr>
      </w:pPr>
    </w:p>
    <w:p w14:paraId="0822827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D01F3BB">
      <w:pPr>
        <w:spacing w:before="120" w:line="22" w:lineRule="atLeast"/>
        <w:rPr>
          <w:rFonts w:ascii="宋体" w:hAnsi="宋体" w:cs="宋体"/>
          <w:color w:val="auto"/>
          <w:sz w:val="24"/>
          <w:highlight w:val="none"/>
        </w:rPr>
      </w:pPr>
    </w:p>
    <w:p w14:paraId="52EBE11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4797504">
      <w:pPr>
        <w:spacing w:before="120" w:line="22" w:lineRule="atLeast"/>
        <w:rPr>
          <w:rFonts w:ascii="宋体" w:hAnsi="宋体" w:cs="宋体"/>
          <w:color w:val="auto"/>
          <w:sz w:val="24"/>
          <w:highlight w:val="none"/>
        </w:rPr>
      </w:pPr>
    </w:p>
    <w:p w14:paraId="039B72E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3C2048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docGrid w:linePitch="312" w:charSpace="0"/>
        </w:sectPr>
      </w:pPr>
    </w:p>
    <w:p w14:paraId="06F3A927">
      <w:pPr>
        <w:rPr>
          <w:rFonts w:ascii="宋体" w:hAnsi="宋体" w:cs="宋体"/>
          <w:b/>
          <w:color w:val="auto"/>
          <w:sz w:val="24"/>
          <w:highlight w:val="none"/>
        </w:rPr>
      </w:pPr>
    </w:p>
    <w:p w14:paraId="78F91C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杭州市公安局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公开招标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2025年杭州交警业务系统租赁使用服务-2025年PDT数字集群终端设备使用服务项目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评标委员会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04CEE8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杭州市公安局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E77C284">
      <w:pPr>
        <w:spacing w:line="560" w:lineRule="exact"/>
        <w:ind w:firstLine="482" w:firstLineChars="200"/>
        <w:outlineLvl w:val="0"/>
        <w:rPr>
          <w:rFonts w:ascii="宋体" w:hAnsi="宋体" w:cs="宋体"/>
          <w:color w:val="auto"/>
          <w:sz w:val="24"/>
          <w:highlight w:val="none"/>
        </w:rPr>
      </w:pPr>
      <w:bookmarkStart w:id="406" w:name="_Toc22967"/>
      <w:bookmarkStart w:id="407" w:name="_Toc15367"/>
      <w:bookmarkStart w:id="408" w:name="_Toc28855"/>
      <w:bookmarkStart w:id="409" w:name="_Toc19273"/>
      <w:bookmarkStart w:id="410" w:name="_Toc20421"/>
      <w:r>
        <w:rPr>
          <w:rFonts w:hint="eastAsia" w:ascii="宋体" w:hAnsi="宋体" w:cs="宋体"/>
          <w:b/>
          <w:color w:val="auto"/>
          <w:sz w:val="24"/>
          <w:highlight w:val="none"/>
        </w:rPr>
        <w:t>1.1 合同组成部分</w:t>
      </w:r>
      <w:bookmarkEnd w:id="406"/>
      <w:bookmarkEnd w:id="407"/>
      <w:bookmarkEnd w:id="408"/>
      <w:bookmarkEnd w:id="409"/>
      <w:bookmarkEnd w:id="410"/>
    </w:p>
    <w:p w14:paraId="2A4F2B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8AF9D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60F12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005AA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5345B2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79410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92DC2C0">
      <w:pPr>
        <w:spacing w:line="560" w:lineRule="exact"/>
        <w:ind w:firstLine="482" w:firstLineChars="200"/>
        <w:outlineLvl w:val="0"/>
        <w:rPr>
          <w:rFonts w:ascii="宋体" w:hAnsi="宋体" w:cs="宋体"/>
          <w:b/>
          <w:color w:val="auto"/>
          <w:sz w:val="24"/>
          <w:highlight w:val="none"/>
        </w:rPr>
      </w:pPr>
      <w:bookmarkStart w:id="411" w:name="_Toc2918"/>
      <w:bookmarkStart w:id="412" w:name="_Toc6773"/>
      <w:bookmarkStart w:id="413" w:name="_Toc22185"/>
      <w:bookmarkStart w:id="414" w:name="_Toc18585"/>
      <w:bookmarkStart w:id="415" w:name="_Toc6311"/>
      <w:r>
        <w:rPr>
          <w:rFonts w:hint="eastAsia" w:ascii="宋体" w:hAnsi="宋体" w:cs="宋体"/>
          <w:b/>
          <w:color w:val="auto"/>
          <w:sz w:val="24"/>
          <w:highlight w:val="none"/>
        </w:rPr>
        <w:t>1.2 标的</w:t>
      </w:r>
      <w:bookmarkEnd w:id="411"/>
      <w:bookmarkEnd w:id="412"/>
      <w:bookmarkEnd w:id="413"/>
      <w:bookmarkEnd w:id="414"/>
      <w:bookmarkEnd w:id="415"/>
    </w:p>
    <w:p w14:paraId="0A27CAB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1.2.1 </w:t>
      </w:r>
      <w:bookmarkStart w:id="416" w:name="OLE_LINK8"/>
      <w:bookmarkStart w:id="417" w:name="OLE_LINK9"/>
      <w:r>
        <w:rPr>
          <w:rFonts w:hint="eastAsia" w:ascii="宋体" w:hAnsi="宋体" w:cs="宋体"/>
          <w:color w:val="auto"/>
          <w:sz w:val="24"/>
          <w:highlight w:val="none"/>
        </w:rPr>
        <w:t>服务内容</w:t>
      </w:r>
      <w:bookmarkEnd w:id="416"/>
      <w:bookmarkEnd w:id="417"/>
      <w:r>
        <w:rPr>
          <w:rFonts w:hint="eastAsia" w:ascii="宋体" w:hAnsi="宋体" w:cs="宋体"/>
          <w:color w:val="auto"/>
          <w:sz w:val="24"/>
          <w:highlight w:val="none"/>
        </w:rPr>
        <w:t>：</w:t>
      </w:r>
      <w:r>
        <w:rPr>
          <w:rFonts w:hint="eastAsia" w:ascii="宋体" w:hAnsi="宋体" w:cs="宋体"/>
          <w:color w:val="auto"/>
          <w:sz w:val="24"/>
          <w:highlight w:val="none"/>
          <w:u w:val="single"/>
        </w:rPr>
        <w:t>提供2000台PDT数字集群终端设备及终端设备管理服务</w:t>
      </w:r>
    </w:p>
    <w:p w14:paraId="4749A8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根据采购文件确定的技术指标或者服务要求确定验收指标和标准。未进行相应约定的，应当符合国家强制性规定、政策要求、安全标准、行业和企业有关标准等</w:t>
      </w:r>
      <w:r>
        <w:rPr>
          <w:rFonts w:hint="eastAsia" w:ascii="宋体" w:hAnsi="宋体" w:cs="宋体"/>
          <w:color w:val="auto"/>
          <w:sz w:val="24"/>
          <w:highlight w:val="none"/>
        </w:rPr>
        <w:t>；</w:t>
      </w:r>
    </w:p>
    <w:p w14:paraId="244EEE5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3.1服务要求</w:t>
      </w:r>
    </w:p>
    <w:p w14:paraId="285A8452">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详见附件二项目人员名单</w:t>
      </w:r>
      <w:r>
        <w:rPr>
          <w:rFonts w:hint="eastAsia" w:ascii="宋体" w:hAnsi="宋体" w:cs="宋体"/>
          <w:color w:val="auto"/>
          <w:sz w:val="24"/>
          <w:highlight w:val="none"/>
        </w:rPr>
        <w:t>；</w:t>
      </w:r>
    </w:p>
    <w:p w14:paraId="17CF7CC5">
      <w:pPr>
        <w:spacing w:line="560" w:lineRule="exact"/>
        <w:ind w:firstLine="482" w:firstLineChars="200"/>
        <w:outlineLvl w:val="0"/>
        <w:rPr>
          <w:rFonts w:ascii="宋体" w:hAnsi="宋体" w:cs="宋体"/>
          <w:b/>
          <w:color w:val="auto"/>
          <w:sz w:val="24"/>
          <w:highlight w:val="none"/>
        </w:rPr>
      </w:pPr>
      <w:bookmarkStart w:id="418" w:name="_Toc13918"/>
      <w:bookmarkStart w:id="419" w:name="_Toc5635"/>
      <w:bookmarkStart w:id="420" w:name="_Toc21124"/>
      <w:bookmarkStart w:id="421" w:name="_Toc1386"/>
      <w:bookmarkStart w:id="422" w:name="_Toc4929"/>
      <w:r>
        <w:rPr>
          <w:rFonts w:hint="eastAsia" w:ascii="宋体" w:hAnsi="宋体" w:cs="宋体"/>
          <w:b/>
          <w:color w:val="auto"/>
          <w:sz w:val="24"/>
          <w:highlight w:val="none"/>
        </w:rPr>
        <w:t>1.3 价款</w:t>
      </w:r>
      <w:bookmarkEnd w:id="418"/>
      <w:bookmarkEnd w:id="419"/>
      <w:bookmarkEnd w:id="420"/>
      <w:bookmarkEnd w:id="421"/>
      <w:bookmarkEnd w:id="422"/>
    </w:p>
    <w:p w14:paraId="65D526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1.3.2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3D494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51A91D4">
      <w:pPr>
        <w:spacing w:line="360" w:lineRule="auto"/>
        <w:ind w:firstLine="480" w:firstLineChars="200"/>
        <w:rPr>
          <w:rFonts w:ascii="宋体" w:hAnsi="宋体" w:cs="宋体"/>
          <w:color w:val="auto"/>
          <w:sz w:val="24"/>
          <w:highlight w:val="none"/>
          <w:u w:val="single"/>
        </w:rPr>
      </w:pPr>
      <w:bookmarkStart w:id="423" w:name="_Toc1814"/>
      <w:bookmarkStart w:id="424" w:name="_Toc10340"/>
      <w:bookmarkStart w:id="425" w:name="_Toc22618"/>
      <w:bookmarkStart w:id="426" w:name="_Toc4760"/>
      <w:bookmarkStart w:id="427" w:name="_Toc31421"/>
      <w:bookmarkStart w:id="428" w:name="_Toc8772"/>
      <w:bookmarkStart w:id="429" w:name="_Toc3625"/>
      <w:bookmarkStart w:id="430" w:name="_Toc11108"/>
      <w:r>
        <w:rPr>
          <w:rFonts w:hint="eastAsia" w:ascii="宋体" w:hAnsi="宋体" w:cs="宋体"/>
          <w:bCs/>
          <w:color w:val="auto"/>
          <w:sz w:val="24"/>
          <w:highlight w:val="none"/>
        </w:rPr>
        <w:t>1.3.2单价合同，本合同单价（含税）标准为：合同价格清单，详见附件三。</w:t>
      </w:r>
      <w:r>
        <w:rPr>
          <w:rFonts w:hint="eastAsia" w:ascii="宋体" w:hAnsi="宋体" w:cs="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。单价合同，在合同履行期间内，根据</w:t>
      </w:r>
      <w:r>
        <w:rPr>
          <w:rFonts w:hint="eastAsia" w:ascii="宋体" w:hAnsi="宋体" w:cs="宋体"/>
          <w:bCs/>
          <w:color w:val="auto"/>
          <w:sz w:val="24"/>
          <w:highlight w:val="none"/>
          <w:lang w:val="zh-CN"/>
        </w:rPr>
        <w:t>实际租赁设备数量、租赁天数及</w:t>
      </w:r>
      <w:r>
        <w:rPr>
          <w:rFonts w:hint="eastAsia" w:ascii="宋体" w:hAnsi="宋体" w:cs="宋体"/>
          <w:bCs/>
          <w:color w:val="auto"/>
          <w:sz w:val="24"/>
          <w:highlight w:val="none"/>
          <w:lang w:val="en-US" w:eastAsia="zh-CN"/>
        </w:rPr>
        <w:t>合同</w:t>
      </w:r>
      <w:r>
        <w:rPr>
          <w:rFonts w:hint="eastAsia" w:ascii="宋体" w:hAnsi="宋体" w:cs="宋体"/>
          <w:bCs/>
          <w:color w:val="auto"/>
          <w:sz w:val="24"/>
          <w:highlight w:val="none"/>
          <w:lang w:val="zh-CN"/>
        </w:rPr>
        <w:t>单价进行结算</w:t>
      </w:r>
      <w:r>
        <w:rPr>
          <w:rFonts w:hint="eastAsia" w:ascii="宋体" w:hAnsi="宋体" w:cs="宋体"/>
          <w:color w:val="auto"/>
          <w:sz w:val="24"/>
          <w:highlight w:val="none"/>
        </w:rPr>
        <w:t>，但结算总价上限不得超过合同金额￥元（大写：元人民币）</w:t>
      </w:r>
    </w:p>
    <w:p w14:paraId="6817D2C6">
      <w:pPr>
        <w:pStyle w:val="889"/>
        <w:spacing w:before="0" w:beforeAutospacing="0" w:after="0" w:afterAutospacing="0" w:line="360" w:lineRule="auto"/>
        <w:ind w:firstLine="480"/>
        <w:rPr>
          <w:b/>
          <w:color w:val="auto"/>
          <w:highlight w:val="none"/>
        </w:rPr>
      </w:pPr>
      <w:r>
        <w:rPr>
          <w:rFonts w:hint="eastAsia"/>
          <w:b/>
          <w:color w:val="auto"/>
          <w:highlight w:val="none"/>
        </w:rPr>
        <w:t>1.4履约保证金</w:t>
      </w:r>
    </w:p>
    <w:p w14:paraId="203CA8AF">
      <w:pPr>
        <w:pStyle w:val="88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（是/否）需要支付履约保证金。若需要支付履约保证金的，则：</w:t>
      </w:r>
    </w:p>
    <w:p w14:paraId="3365B687">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w:t>
      </w:r>
    </w:p>
    <w:p w14:paraId="63F19F44">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bCs/>
          <w:i/>
          <w:iCs/>
          <w:color w:val="auto"/>
          <w:kern w:val="0"/>
          <w:sz w:val="24"/>
          <w:highlight w:val="none"/>
          <w:u w:val="single"/>
        </w:rPr>
        <w:t>合同专用条款</w:t>
      </w:r>
      <w:r>
        <w:rPr>
          <w:rFonts w:hint="eastAsia" w:ascii="宋体" w:hAnsi="宋体" w:cs="宋体"/>
          <w:color w:val="auto"/>
          <w:kern w:val="0"/>
          <w:sz w:val="24"/>
          <w:highlight w:val="none"/>
        </w:rPr>
        <w:t>；</w:t>
      </w:r>
    </w:p>
    <w:p w14:paraId="4D80BD49">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D4DE1F">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1.4.4甲方在项目验收结束后及时退还履约保证金。甲方在项目通过验收之日起5个工作日内将履约保证金无息退还乙方，逾期退还的，乙方可要求甲方支付违约金，违约金按每迟延退还一日的应退还而未退还金额的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29FC97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3"/>
      <w:bookmarkEnd w:id="424"/>
      <w:bookmarkEnd w:id="425"/>
      <w:r>
        <w:rPr>
          <w:rFonts w:hint="eastAsia" w:ascii="宋体" w:hAnsi="宋体" w:cs="宋体"/>
          <w:b/>
          <w:color w:val="auto"/>
          <w:sz w:val="24"/>
          <w:highlight w:val="none"/>
        </w:rPr>
        <w:t>预付款</w:t>
      </w:r>
    </w:p>
    <w:p w14:paraId="3BEDA57A">
      <w:pPr>
        <w:pStyle w:val="88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rPr>
        <w:t xml:space="preserve"> 是</w:t>
      </w:r>
      <w:r>
        <w:rPr>
          <w:rFonts w:hint="eastAsia"/>
          <w:color w:val="auto"/>
          <w:highlight w:val="none"/>
          <w:u w:val="single"/>
        </w:rPr>
        <w:t xml:space="preserve">  </w:t>
      </w:r>
      <w:r>
        <w:rPr>
          <w:rFonts w:hint="eastAsia"/>
          <w:color w:val="auto"/>
          <w:highlight w:val="none"/>
        </w:rPr>
        <w:t>（是/否）需要支付预付款。若需要支付预付款的，则：</w:t>
      </w:r>
    </w:p>
    <w:p w14:paraId="3B72C0F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AFFA0F">
      <w:pPr>
        <w:pStyle w:val="88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10560CC">
      <w:pPr>
        <w:pStyle w:val="88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ACE6ADD">
      <w:pPr>
        <w:pStyle w:val="88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5870547">
      <w:pPr>
        <w:pStyle w:val="88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08507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A0050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26"/>
      <w:bookmarkEnd w:id="427"/>
      <w:bookmarkEnd w:id="428"/>
      <w:bookmarkEnd w:id="429"/>
      <w:bookmarkEnd w:id="430"/>
    </w:p>
    <w:p w14:paraId="6A561D7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3280F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CDBB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D76054">
      <w:pPr>
        <w:spacing w:line="560" w:lineRule="exact"/>
        <w:ind w:firstLine="480" w:firstLineChars="200"/>
        <w:outlineLvl w:val="0"/>
        <w:rPr>
          <w:rFonts w:ascii="宋体" w:hAnsi="宋体" w:cs="宋体"/>
          <w:bCs/>
          <w:color w:val="auto"/>
          <w:sz w:val="24"/>
          <w:highlight w:val="none"/>
        </w:rPr>
      </w:pPr>
      <w:bookmarkStart w:id="431" w:name="_Toc24662"/>
      <w:bookmarkStart w:id="432" w:name="_Toc8586"/>
      <w:bookmarkStart w:id="433" w:name="_Toc2375"/>
      <w:bookmarkStart w:id="434" w:name="_Toc5698"/>
      <w:bookmarkStart w:id="435" w:name="_Toc3079"/>
      <w:r>
        <w:rPr>
          <w:rFonts w:hint="eastAsia" w:ascii="宋体" w:hAnsi="宋体" w:cs="宋体"/>
          <w:bCs/>
          <w:color w:val="auto"/>
          <w:sz w:val="24"/>
          <w:highlight w:val="none"/>
        </w:rPr>
        <w:t>1.7.4若服务涉及货物的，则货物的：</w:t>
      </w:r>
    </w:p>
    <w:p w14:paraId="1E5CF5B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6F3B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B636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7E354A">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31"/>
      <w:bookmarkEnd w:id="432"/>
      <w:bookmarkEnd w:id="433"/>
      <w:bookmarkEnd w:id="434"/>
      <w:bookmarkEnd w:id="435"/>
    </w:p>
    <w:p w14:paraId="01FA97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251B65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878E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DFD353D">
      <w:pPr>
        <w:spacing w:line="560" w:lineRule="exact"/>
        <w:ind w:firstLine="480" w:firstLineChars="200"/>
        <w:rPr>
          <w:rFonts w:ascii="宋体" w:hAnsi="宋体" w:cs="宋体"/>
          <w:color w:val="auto"/>
          <w:sz w:val="24"/>
          <w:highlight w:val="none"/>
        </w:rPr>
      </w:pPr>
      <w:bookmarkStart w:id="436" w:name="_Toc18683"/>
      <w:bookmarkStart w:id="437" w:name="_Toc9497"/>
      <w:bookmarkStart w:id="438" w:name="_Toc32454"/>
      <w:bookmarkStart w:id="439" w:name="_Toc26807"/>
      <w:bookmarkStart w:id="440"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1C6B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11D2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426292C">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6"/>
    <w:bookmarkEnd w:id="437"/>
    <w:bookmarkEnd w:id="438"/>
    <w:bookmarkEnd w:id="439"/>
    <w:bookmarkEnd w:id="440"/>
    <w:p w14:paraId="5959CCF9">
      <w:pPr>
        <w:spacing w:line="560" w:lineRule="exact"/>
        <w:ind w:firstLine="482" w:firstLineChars="200"/>
        <w:outlineLvl w:val="0"/>
        <w:rPr>
          <w:rFonts w:ascii="宋体" w:hAnsi="宋体" w:cs="宋体"/>
          <w:b/>
          <w:color w:val="auto"/>
          <w:sz w:val="24"/>
          <w:highlight w:val="none"/>
        </w:rPr>
      </w:pPr>
      <w:bookmarkStart w:id="441" w:name="_Toc16021"/>
      <w:bookmarkStart w:id="442" w:name="_Toc28375"/>
      <w:bookmarkStart w:id="443" w:name="_Toc15583"/>
      <w:r>
        <w:rPr>
          <w:rFonts w:hint="eastAsia" w:ascii="宋体" w:hAnsi="宋体" w:cs="宋体"/>
          <w:b/>
          <w:color w:val="auto"/>
          <w:sz w:val="24"/>
          <w:highlight w:val="none"/>
        </w:rPr>
        <w:t>1.9合同争议的解决</w:t>
      </w:r>
      <w:bookmarkEnd w:id="441"/>
      <w:bookmarkEnd w:id="442"/>
      <w:bookmarkEnd w:id="443"/>
    </w:p>
    <w:p w14:paraId="18A2165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2D8FCF1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65E576A">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E6EDCC5">
      <w:pPr>
        <w:spacing w:line="560" w:lineRule="exact"/>
        <w:ind w:firstLine="482" w:firstLineChars="200"/>
        <w:outlineLvl w:val="0"/>
        <w:rPr>
          <w:rFonts w:ascii="宋体" w:hAnsi="宋体" w:cs="宋体"/>
          <w:b/>
          <w:color w:val="auto"/>
          <w:sz w:val="24"/>
          <w:highlight w:val="none"/>
        </w:rPr>
      </w:pPr>
      <w:bookmarkStart w:id="444" w:name="_Toc7245"/>
      <w:bookmarkStart w:id="445" w:name="_Toc15322"/>
      <w:bookmarkStart w:id="446" w:name="_Toc11173"/>
      <w:r>
        <w:rPr>
          <w:rFonts w:hint="eastAsia" w:ascii="宋体" w:hAnsi="宋体" w:cs="宋体"/>
          <w:b/>
          <w:color w:val="auto"/>
          <w:sz w:val="24"/>
          <w:highlight w:val="none"/>
        </w:rPr>
        <w:t>2.0 合同生效</w:t>
      </w:r>
      <w:bookmarkEnd w:id="444"/>
      <w:bookmarkEnd w:id="445"/>
      <w:bookmarkEnd w:id="446"/>
    </w:p>
    <w:p w14:paraId="4205C78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06A3D46">
      <w:pPr>
        <w:autoSpaceDE w:val="0"/>
        <w:autoSpaceDN w:val="0"/>
        <w:spacing w:line="560" w:lineRule="exact"/>
        <w:rPr>
          <w:rFonts w:ascii="宋体" w:hAnsi="宋体" w:cs="宋体"/>
          <w:color w:val="auto"/>
          <w:sz w:val="24"/>
          <w:highlight w:val="none"/>
          <w:lang w:val="zh-CN"/>
        </w:rPr>
      </w:pPr>
    </w:p>
    <w:p w14:paraId="43007CC3">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FC3CF5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4E303FF">
      <w:pPr>
        <w:autoSpaceDE w:val="0"/>
        <w:autoSpaceDN w:val="0"/>
        <w:spacing w:line="560" w:lineRule="exact"/>
        <w:rPr>
          <w:rFonts w:ascii="宋体" w:hAnsi="宋体" w:cs="宋体"/>
          <w:color w:val="auto"/>
          <w:sz w:val="24"/>
          <w:highlight w:val="none"/>
          <w:lang w:val="zh-CN"/>
        </w:rPr>
      </w:pPr>
    </w:p>
    <w:p w14:paraId="55F58C3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096C89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7DA24A7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09BE1F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77E954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461B36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D6E011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A7B8A5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EC7ECF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763FAE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C85453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40C47A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38B24AF">
      <w:pPr>
        <w:widowControl/>
        <w:spacing w:line="560" w:lineRule="exact"/>
        <w:jc w:val="left"/>
        <w:rPr>
          <w:rFonts w:ascii="宋体" w:hAnsi="宋体" w:cs="宋体"/>
          <w:b/>
          <w:color w:val="auto"/>
          <w:sz w:val="24"/>
          <w:highlight w:val="none"/>
        </w:rPr>
      </w:pPr>
    </w:p>
    <w:p w14:paraId="3076E988">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5DA6CE0D">
      <w:pPr>
        <w:pStyle w:val="640"/>
        <w:spacing w:line="560" w:lineRule="exact"/>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A191D8B">
      <w:pPr>
        <w:spacing w:line="560" w:lineRule="exact"/>
        <w:ind w:firstLine="482" w:firstLineChars="200"/>
        <w:outlineLvl w:val="0"/>
        <w:rPr>
          <w:rFonts w:ascii="宋体" w:hAnsi="宋体" w:cs="宋体"/>
          <w:b/>
          <w:color w:val="auto"/>
          <w:sz w:val="24"/>
          <w:highlight w:val="none"/>
        </w:rPr>
      </w:pPr>
      <w:bookmarkStart w:id="447" w:name="_Toc19680"/>
      <w:bookmarkStart w:id="448" w:name="_Toc5228"/>
      <w:bookmarkStart w:id="449" w:name="_Toc31297"/>
      <w:bookmarkStart w:id="450" w:name="_Toc25079"/>
      <w:bookmarkStart w:id="451" w:name="_Toc14021"/>
      <w:r>
        <w:rPr>
          <w:rFonts w:hint="eastAsia" w:ascii="宋体" w:hAnsi="宋体" w:cs="宋体"/>
          <w:b/>
          <w:color w:val="auto"/>
          <w:sz w:val="24"/>
          <w:highlight w:val="none"/>
        </w:rPr>
        <w:t>2.1 定义</w:t>
      </w:r>
      <w:bookmarkEnd w:id="447"/>
      <w:bookmarkEnd w:id="448"/>
      <w:bookmarkEnd w:id="449"/>
      <w:bookmarkEnd w:id="450"/>
      <w:bookmarkEnd w:id="451"/>
    </w:p>
    <w:p w14:paraId="26ED6A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D43D3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4E65F1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58A48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47D03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7A73DF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4D695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52A9E22B">
      <w:pPr>
        <w:spacing w:line="560" w:lineRule="exact"/>
        <w:ind w:firstLine="482" w:firstLineChars="200"/>
        <w:outlineLvl w:val="0"/>
        <w:rPr>
          <w:rFonts w:ascii="宋体" w:hAnsi="宋体" w:cs="宋体"/>
          <w:b/>
          <w:color w:val="auto"/>
          <w:sz w:val="24"/>
          <w:highlight w:val="none"/>
        </w:rPr>
      </w:pPr>
      <w:bookmarkStart w:id="452" w:name="_Toc19539"/>
      <w:bookmarkStart w:id="453" w:name="_Toc3769"/>
      <w:bookmarkStart w:id="454" w:name="_Toc23289"/>
      <w:bookmarkStart w:id="455" w:name="_Toc16752"/>
      <w:bookmarkStart w:id="456" w:name="_Toc31402"/>
      <w:r>
        <w:rPr>
          <w:rFonts w:hint="eastAsia" w:ascii="宋体" w:hAnsi="宋体" w:cs="宋体"/>
          <w:b/>
          <w:color w:val="auto"/>
          <w:sz w:val="24"/>
          <w:highlight w:val="none"/>
        </w:rPr>
        <w:t>2.2 技术规范</w:t>
      </w:r>
      <w:bookmarkEnd w:id="452"/>
      <w:bookmarkEnd w:id="453"/>
      <w:bookmarkEnd w:id="454"/>
      <w:bookmarkEnd w:id="455"/>
      <w:bookmarkEnd w:id="456"/>
    </w:p>
    <w:p w14:paraId="05FE4C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8CE8C4B">
      <w:pPr>
        <w:spacing w:line="560" w:lineRule="exact"/>
        <w:ind w:firstLine="482" w:firstLineChars="200"/>
        <w:outlineLvl w:val="0"/>
        <w:rPr>
          <w:rFonts w:ascii="宋体" w:hAnsi="宋体" w:cs="宋体"/>
          <w:b/>
          <w:color w:val="auto"/>
          <w:sz w:val="24"/>
          <w:highlight w:val="none"/>
        </w:rPr>
      </w:pPr>
      <w:bookmarkStart w:id="457" w:name="_Toc4133"/>
      <w:bookmarkStart w:id="458" w:name="_Toc27945"/>
      <w:bookmarkStart w:id="459" w:name="_Toc13673"/>
      <w:bookmarkStart w:id="460" w:name="_Toc12412"/>
      <w:bookmarkStart w:id="461" w:name="_Toc9161"/>
      <w:r>
        <w:rPr>
          <w:rFonts w:hint="eastAsia" w:ascii="宋体" w:hAnsi="宋体" w:cs="宋体"/>
          <w:b/>
          <w:color w:val="auto"/>
          <w:sz w:val="24"/>
          <w:highlight w:val="none"/>
        </w:rPr>
        <w:t>2.3 知识产权</w:t>
      </w:r>
      <w:bookmarkEnd w:id="457"/>
      <w:bookmarkEnd w:id="458"/>
      <w:bookmarkEnd w:id="459"/>
      <w:bookmarkEnd w:id="460"/>
      <w:bookmarkEnd w:id="461"/>
    </w:p>
    <w:p w14:paraId="7C7F79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3BEC5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B4E8D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17FD8C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A55F2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3300C9D0">
      <w:pPr>
        <w:spacing w:line="560" w:lineRule="exact"/>
        <w:ind w:firstLine="482" w:firstLineChars="200"/>
        <w:outlineLvl w:val="0"/>
        <w:rPr>
          <w:rFonts w:ascii="宋体" w:hAnsi="宋体" w:cs="宋体"/>
          <w:b/>
          <w:color w:val="auto"/>
          <w:sz w:val="24"/>
          <w:highlight w:val="none"/>
        </w:rPr>
      </w:pPr>
      <w:bookmarkStart w:id="462" w:name="_Toc15447"/>
      <w:bookmarkStart w:id="463" w:name="_Toc31233"/>
      <w:bookmarkStart w:id="464" w:name="_Toc32670"/>
      <w:bookmarkStart w:id="465" w:name="_Toc22011"/>
      <w:bookmarkStart w:id="466" w:name="_Toc26555"/>
      <w:r>
        <w:rPr>
          <w:rFonts w:hint="eastAsia" w:ascii="宋体" w:hAnsi="宋体" w:cs="宋体"/>
          <w:b/>
          <w:color w:val="auto"/>
          <w:sz w:val="24"/>
          <w:highlight w:val="none"/>
        </w:rPr>
        <w:t>2.5 结算方式和付款条件</w:t>
      </w:r>
      <w:bookmarkEnd w:id="462"/>
      <w:bookmarkEnd w:id="463"/>
      <w:bookmarkEnd w:id="464"/>
      <w:bookmarkEnd w:id="465"/>
      <w:bookmarkEnd w:id="466"/>
    </w:p>
    <w:p w14:paraId="692006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C7AEE1E">
      <w:pPr>
        <w:spacing w:line="560" w:lineRule="exact"/>
        <w:ind w:firstLine="482" w:firstLineChars="200"/>
        <w:outlineLvl w:val="0"/>
        <w:rPr>
          <w:rFonts w:ascii="宋体" w:hAnsi="宋体" w:cs="宋体"/>
          <w:b/>
          <w:color w:val="auto"/>
          <w:sz w:val="24"/>
          <w:highlight w:val="none"/>
        </w:rPr>
      </w:pPr>
      <w:bookmarkStart w:id="467" w:name="_Toc13154"/>
      <w:bookmarkStart w:id="468" w:name="_Toc18990"/>
      <w:bookmarkStart w:id="469" w:name="_Toc13467"/>
      <w:bookmarkStart w:id="470" w:name="_Toc30507"/>
      <w:bookmarkStart w:id="471" w:name="_Toc16163"/>
      <w:r>
        <w:rPr>
          <w:rFonts w:hint="eastAsia" w:ascii="宋体" w:hAnsi="宋体" w:cs="宋体"/>
          <w:b/>
          <w:color w:val="auto"/>
          <w:sz w:val="24"/>
          <w:highlight w:val="none"/>
        </w:rPr>
        <w:t>2.6 技术资料和保密义务</w:t>
      </w:r>
      <w:bookmarkEnd w:id="467"/>
      <w:bookmarkEnd w:id="468"/>
      <w:bookmarkEnd w:id="469"/>
      <w:bookmarkEnd w:id="470"/>
      <w:bookmarkEnd w:id="471"/>
    </w:p>
    <w:p w14:paraId="1F07D1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71A65C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710D5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B02C8C">
      <w:pPr>
        <w:spacing w:line="560" w:lineRule="exact"/>
        <w:ind w:firstLine="482" w:firstLineChars="200"/>
        <w:outlineLvl w:val="0"/>
        <w:rPr>
          <w:rFonts w:ascii="宋体" w:hAnsi="宋体" w:cs="宋体"/>
          <w:b/>
          <w:color w:val="auto"/>
          <w:sz w:val="24"/>
          <w:highlight w:val="none"/>
        </w:rPr>
      </w:pPr>
      <w:bookmarkStart w:id="472" w:name="_Toc19069"/>
      <w:r>
        <w:rPr>
          <w:rFonts w:hint="eastAsia" w:ascii="宋体" w:hAnsi="宋体" w:cs="宋体"/>
          <w:b/>
          <w:color w:val="auto"/>
          <w:sz w:val="24"/>
          <w:highlight w:val="none"/>
        </w:rPr>
        <w:t>2.7 质量保证</w:t>
      </w:r>
      <w:bookmarkEnd w:id="472"/>
    </w:p>
    <w:p w14:paraId="5F7CAA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A3BB5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C8200CB">
      <w:pPr>
        <w:spacing w:line="560" w:lineRule="exact"/>
        <w:ind w:firstLine="482" w:firstLineChars="200"/>
        <w:outlineLvl w:val="0"/>
        <w:rPr>
          <w:rFonts w:ascii="宋体" w:hAnsi="宋体" w:cs="宋体"/>
          <w:b/>
          <w:color w:val="auto"/>
          <w:sz w:val="24"/>
          <w:highlight w:val="none"/>
        </w:rPr>
      </w:pPr>
      <w:bookmarkStart w:id="473" w:name="_Toc22267"/>
      <w:r>
        <w:rPr>
          <w:rFonts w:hint="eastAsia" w:ascii="宋体" w:hAnsi="宋体" w:cs="宋体"/>
          <w:b/>
          <w:color w:val="auto"/>
          <w:sz w:val="24"/>
          <w:highlight w:val="none"/>
        </w:rPr>
        <w:t>2.8 延迟履行</w:t>
      </w:r>
      <w:bookmarkEnd w:id="473"/>
    </w:p>
    <w:p w14:paraId="2E1482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922AFDA">
      <w:pPr>
        <w:spacing w:line="560" w:lineRule="exact"/>
        <w:ind w:firstLine="482" w:firstLineChars="200"/>
        <w:outlineLvl w:val="0"/>
        <w:rPr>
          <w:rFonts w:ascii="宋体" w:hAnsi="宋体" w:cs="宋体"/>
          <w:b/>
          <w:color w:val="auto"/>
          <w:sz w:val="24"/>
          <w:highlight w:val="none"/>
        </w:rPr>
      </w:pPr>
      <w:bookmarkStart w:id="474" w:name="_Toc10611"/>
      <w:r>
        <w:rPr>
          <w:rFonts w:hint="eastAsia" w:ascii="宋体" w:hAnsi="宋体" w:cs="宋体"/>
          <w:b/>
          <w:color w:val="auto"/>
          <w:sz w:val="24"/>
          <w:highlight w:val="none"/>
        </w:rPr>
        <w:t>2.9 合同变更</w:t>
      </w:r>
      <w:bookmarkEnd w:id="474"/>
    </w:p>
    <w:p w14:paraId="38443B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338D120">
      <w:pPr>
        <w:spacing w:line="560" w:lineRule="exact"/>
        <w:ind w:firstLine="482" w:firstLineChars="200"/>
        <w:outlineLvl w:val="0"/>
        <w:rPr>
          <w:rFonts w:ascii="宋体" w:hAnsi="宋体" w:cs="宋体"/>
          <w:b/>
          <w:color w:val="auto"/>
          <w:sz w:val="24"/>
          <w:highlight w:val="none"/>
        </w:rPr>
      </w:pPr>
      <w:bookmarkStart w:id="475" w:name="_Toc42"/>
      <w:bookmarkStart w:id="476" w:name="_Toc10663"/>
      <w:bookmarkStart w:id="477" w:name="_Toc21830"/>
      <w:bookmarkStart w:id="478" w:name="_Toc23368"/>
      <w:bookmarkStart w:id="479" w:name="_Toc26689"/>
      <w:r>
        <w:rPr>
          <w:rFonts w:hint="eastAsia" w:ascii="宋体" w:hAnsi="宋体" w:cs="宋体"/>
          <w:b/>
          <w:color w:val="auto"/>
          <w:sz w:val="24"/>
          <w:highlight w:val="none"/>
        </w:rPr>
        <w:t>2.10 合同转让和分包</w:t>
      </w:r>
      <w:bookmarkEnd w:id="475"/>
      <w:bookmarkEnd w:id="476"/>
      <w:bookmarkEnd w:id="477"/>
      <w:bookmarkEnd w:id="478"/>
      <w:bookmarkEnd w:id="479"/>
    </w:p>
    <w:p w14:paraId="2E11852B">
      <w:pPr>
        <w:spacing w:line="560" w:lineRule="exact"/>
        <w:ind w:firstLine="480" w:firstLineChars="200"/>
        <w:rPr>
          <w:rFonts w:ascii="宋体" w:hAnsi="宋体" w:cs="宋体"/>
          <w:color w:val="auto"/>
          <w:sz w:val="24"/>
          <w:highlight w:val="none"/>
        </w:rPr>
      </w:pPr>
      <w:bookmarkStart w:id="480" w:name="_Toc26633"/>
      <w:bookmarkStart w:id="481" w:name="_Toc32494"/>
      <w:bookmarkStart w:id="482" w:name="_Toc25571"/>
      <w:bookmarkStart w:id="483" w:name="_Toc14371"/>
      <w:bookmarkStart w:id="484" w:name="_Toc4720"/>
      <w:r>
        <w:rPr>
          <w:rFonts w:hint="eastAsia" w:ascii="宋体" w:hAnsi="宋体" w:cs="宋体"/>
          <w:color w:val="auto"/>
          <w:sz w:val="24"/>
          <w:highlight w:val="none"/>
        </w:rPr>
        <w:t>2.10.1合同的权利义务依法不得转让，但经甲方同意，乙方可以依法采取分包方式履行合同，即：依法可以将合同项下的部分非主体、非关键性</w:t>
      </w:r>
      <w:r>
        <w:rPr>
          <w:rFonts w:hint="eastAsia" w:ascii="宋体" w:hAnsi="宋体" w:cs="宋体"/>
          <w:color w:val="auto"/>
          <w:sz w:val="24"/>
          <w:highlight w:val="none"/>
          <w:u w:val="single"/>
        </w:rPr>
        <w:t>终端设备维护</w:t>
      </w:r>
      <w:r>
        <w:rPr>
          <w:rFonts w:hint="eastAsia" w:ascii="宋体" w:hAnsi="宋体" w:cs="宋体"/>
          <w:color w:val="auto"/>
          <w:sz w:val="24"/>
          <w:highlight w:val="none"/>
        </w:rPr>
        <w:t>工作分包给他人完成，接受分包的人应当具备相应的资格条件，并不得再次分包，且乙方应就分包项目向甲方负责，并与分包供应商就分包项目向甲方承担连带责任。</w:t>
      </w:r>
    </w:p>
    <w:p w14:paraId="4A53C1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2.10.2乙方采取分包方式履行合同的，甲方可直接向分包供应商支付款项。</w:t>
      </w:r>
    </w:p>
    <w:p w14:paraId="71DB892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2.11 不可抗力</w:t>
      </w:r>
      <w:bookmarkEnd w:id="480"/>
      <w:bookmarkEnd w:id="481"/>
      <w:bookmarkEnd w:id="482"/>
      <w:bookmarkEnd w:id="483"/>
      <w:bookmarkEnd w:id="484"/>
    </w:p>
    <w:p w14:paraId="45BB92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19655C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2752C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A6EA8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524A084">
      <w:pPr>
        <w:spacing w:line="560" w:lineRule="exact"/>
        <w:ind w:firstLine="482" w:firstLineChars="200"/>
        <w:outlineLvl w:val="0"/>
        <w:rPr>
          <w:rFonts w:ascii="宋体" w:hAnsi="宋体" w:cs="宋体"/>
          <w:b/>
          <w:color w:val="auto"/>
          <w:sz w:val="24"/>
          <w:highlight w:val="none"/>
        </w:rPr>
      </w:pPr>
      <w:bookmarkStart w:id="485" w:name="_Toc3638"/>
      <w:bookmarkStart w:id="486" w:name="_Toc23854"/>
      <w:bookmarkStart w:id="487" w:name="_Toc25783"/>
      <w:bookmarkStart w:id="488" w:name="_Toc14115"/>
      <w:bookmarkStart w:id="489" w:name="_Toc24465"/>
      <w:r>
        <w:rPr>
          <w:rFonts w:hint="eastAsia" w:ascii="宋体" w:hAnsi="宋体" w:cs="宋体"/>
          <w:b/>
          <w:color w:val="auto"/>
          <w:sz w:val="24"/>
          <w:highlight w:val="none"/>
        </w:rPr>
        <w:t>2.12 税费</w:t>
      </w:r>
      <w:bookmarkEnd w:id="485"/>
      <w:bookmarkEnd w:id="486"/>
      <w:bookmarkEnd w:id="487"/>
      <w:bookmarkEnd w:id="488"/>
      <w:bookmarkEnd w:id="489"/>
    </w:p>
    <w:p w14:paraId="1CE5D3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1FA4C719">
      <w:pPr>
        <w:spacing w:line="560" w:lineRule="exact"/>
        <w:ind w:firstLine="482" w:firstLineChars="200"/>
        <w:outlineLvl w:val="0"/>
        <w:rPr>
          <w:rFonts w:ascii="宋体" w:hAnsi="宋体" w:cs="宋体"/>
          <w:b/>
          <w:color w:val="auto"/>
          <w:sz w:val="24"/>
          <w:highlight w:val="none"/>
        </w:rPr>
      </w:pPr>
      <w:bookmarkStart w:id="490" w:name="_Toc14814"/>
      <w:bookmarkStart w:id="491" w:name="_Toc25525"/>
      <w:bookmarkStart w:id="492" w:name="_Toc30105"/>
      <w:bookmarkStart w:id="493" w:name="_Toc26883"/>
      <w:bookmarkStart w:id="494" w:name="_Toc7315"/>
      <w:r>
        <w:rPr>
          <w:rFonts w:hint="eastAsia" w:ascii="宋体" w:hAnsi="宋体" w:cs="宋体"/>
          <w:b/>
          <w:color w:val="auto"/>
          <w:sz w:val="24"/>
          <w:highlight w:val="none"/>
        </w:rPr>
        <w:t>2.13 乙方破产</w:t>
      </w:r>
      <w:bookmarkEnd w:id="490"/>
      <w:bookmarkEnd w:id="491"/>
      <w:bookmarkEnd w:id="492"/>
      <w:bookmarkEnd w:id="493"/>
      <w:bookmarkEnd w:id="494"/>
    </w:p>
    <w:p w14:paraId="65FDD8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C52580">
      <w:pPr>
        <w:spacing w:line="560" w:lineRule="exact"/>
        <w:ind w:firstLine="482" w:firstLineChars="200"/>
        <w:outlineLvl w:val="0"/>
        <w:rPr>
          <w:rFonts w:ascii="宋体" w:hAnsi="宋体" w:cs="宋体"/>
          <w:b/>
          <w:color w:val="auto"/>
          <w:sz w:val="24"/>
          <w:highlight w:val="none"/>
        </w:rPr>
      </w:pPr>
      <w:bookmarkStart w:id="495" w:name="_Toc2016"/>
      <w:bookmarkStart w:id="496" w:name="_Toc23323"/>
      <w:bookmarkStart w:id="497" w:name="_Toc1123"/>
      <w:r>
        <w:rPr>
          <w:rFonts w:hint="eastAsia" w:ascii="宋体" w:hAnsi="宋体" w:cs="宋体"/>
          <w:b/>
          <w:color w:val="auto"/>
          <w:sz w:val="24"/>
          <w:highlight w:val="none"/>
        </w:rPr>
        <w:t>2.14 合同中止、终止</w:t>
      </w:r>
      <w:bookmarkEnd w:id="495"/>
      <w:bookmarkEnd w:id="496"/>
      <w:bookmarkEnd w:id="497"/>
    </w:p>
    <w:p w14:paraId="00F316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50D039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0C5E058">
      <w:pPr>
        <w:spacing w:line="560" w:lineRule="exact"/>
        <w:ind w:firstLine="482" w:firstLineChars="200"/>
        <w:outlineLvl w:val="0"/>
        <w:rPr>
          <w:rFonts w:ascii="宋体" w:hAnsi="宋体" w:cs="宋体"/>
          <w:b/>
          <w:color w:val="auto"/>
          <w:sz w:val="24"/>
          <w:highlight w:val="none"/>
        </w:rPr>
      </w:pPr>
      <w:bookmarkStart w:id="498" w:name="_Toc17363"/>
      <w:bookmarkStart w:id="499" w:name="_Toc14525"/>
      <w:bookmarkStart w:id="500" w:name="_Toc1969"/>
      <w:r>
        <w:rPr>
          <w:rFonts w:hint="eastAsia" w:ascii="宋体" w:hAnsi="宋体" w:cs="宋体"/>
          <w:b/>
          <w:color w:val="auto"/>
          <w:sz w:val="24"/>
          <w:highlight w:val="none"/>
        </w:rPr>
        <w:t>2.15 检验和验收</w:t>
      </w:r>
      <w:bookmarkEnd w:id="498"/>
      <w:bookmarkEnd w:id="499"/>
      <w:bookmarkEnd w:id="500"/>
    </w:p>
    <w:p w14:paraId="3CEEB8B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035B0B6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EB8B6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70239A79">
      <w:pPr>
        <w:spacing w:line="560" w:lineRule="exact"/>
        <w:ind w:firstLine="482" w:firstLineChars="200"/>
        <w:outlineLvl w:val="0"/>
        <w:rPr>
          <w:rFonts w:ascii="宋体" w:hAnsi="宋体" w:cs="宋体"/>
          <w:b/>
          <w:color w:val="auto"/>
          <w:sz w:val="24"/>
          <w:highlight w:val="none"/>
        </w:rPr>
      </w:pPr>
      <w:bookmarkStart w:id="501" w:name="_Toc25198"/>
      <w:bookmarkStart w:id="502" w:name="_Toc12666"/>
      <w:bookmarkStart w:id="503" w:name="_Toc31892"/>
      <w:bookmarkStart w:id="504" w:name="_Toc2308"/>
      <w:bookmarkStart w:id="505" w:name="_Toc9808"/>
      <w:r>
        <w:rPr>
          <w:rFonts w:hint="eastAsia" w:ascii="宋体" w:hAnsi="宋体" w:cs="宋体"/>
          <w:b/>
          <w:color w:val="auto"/>
          <w:sz w:val="24"/>
          <w:highlight w:val="none"/>
        </w:rPr>
        <w:t>2.16 通知和送达</w:t>
      </w:r>
      <w:bookmarkEnd w:id="501"/>
      <w:bookmarkEnd w:id="502"/>
      <w:bookmarkEnd w:id="503"/>
      <w:bookmarkEnd w:id="504"/>
      <w:bookmarkEnd w:id="505"/>
    </w:p>
    <w:p w14:paraId="0CBC3FC2">
      <w:pPr>
        <w:spacing w:line="560" w:lineRule="exact"/>
        <w:ind w:firstLine="480" w:firstLineChars="200"/>
        <w:rPr>
          <w:rFonts w:ascii="宋体" w:hAnsi="宋体" w:cs="宋体"/>
          <w:color w:val="auto"/>
          <w:sz w:val="24"/>
          <w:highlight w:val="none"/>
        </w:rPr>
      </w:pPr>
      <w:bookmarkStart w:id="506" w:name="_Toc27674"/>
      <w:bookmarkStart w:id="507"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69F3C3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61AC93E6">
      <w:pPr>
        <w:spacing w:line="560" w:lineRule="exact"/>
        <w:ind w:firstLine="482" w:firstLineChars="200"/>
        <w:outlineLvl w:val="0"/>
        <w:rPr>
          <w:rFonts w:ascii="宋体" w:hAnsi="宋体" w:cs="宋体"/>
          <w:b/>
          <w:color w:val="auto"/>
          <w:sz w:val="24"/>
          <w:highlight w:val="none"/>
        </w:rPr>
      </w:pPr>
      <w:bookmarkStart w:id="508" w:name="_Toc5063"/>
      <w:bookmarkStart w:id="509" w:name="_Toc12254"/>
      <w:bookmarkStart w:id="510" w:name="_Toc27644"/>
      <w:bookmarkStart w:id="511" w:name="_Toc28906"/>
      <w:bookmarkStart w:id="512" w:name="_Toc20808"/>
      <w:r>
        <w:rPr>
          <w:rFonts w:hint="eastAsia" w:ascii="宋体" w:hAnsi="宋体" w:cs="宋体"/>
          <w:b/>
          <w:color w:val="auto"/>
          <w:sz w:val="24"/>
          <w:highlight w:val="none"/>
        </w:rPr>
        <w:t>2.17 合同使用的文字和适用的法律</w:t>
      </w:r>
      <w:bookmarkEnd w:id="508"/>
      <w:bookmarkEnd w:id="509"/>
      <w:bookmarkEnd w:id="510"/>
      <w:bookmarkEnd w:id="511"/>
      <w:bookmarkEnd w:id="512"/>
    </w:p>
    <w:p w14:paraId="34941A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合同使用汉语书写、变更和解释；</w:t>
      </w:r>
    </w:p>
    <w:p w14:paraId="13CC85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AAD8117">
      <w:pPr>
        <w:spacing w:line="560" w:lineRule="exact"/>
        <w:ind w:firstLine="482" w:firstLineChars="200"/>
        <w:outlineLvl w:val="0"/>
        <w:rPr>
          <w:rFonts w:ascii="宋体" w:hAnsi="宋体" w:cs="宋体"/>
          <w:b/>
          <w:color w:val="auto"/>
          <w:sz w:val="24"/>
          <w:highlight w:val="none"/>
        </w:rPr>
      </w:pPr>
      <w:bookmarkStart w:id="513" w:name="_Toc18540"/>
      <w:bookmarkStart w:id="514" w:name="_Toc30599"/>
      <w:bookmarkStart w:id="515" w:name="_Toc4355"/>
      <w:r>
        <w:rPr>
          <w:rFonts w:hint="eastAsia" w:ascii="宋体" w:hAnsi="宋体" w:cs="宋体"/>
          <w:b/>
          <w:color w:val="auto"/>
          <w:sz w:val="24"/>
          <w:highlight w:val="none"/>
        </w:rPr>
        <w:t>2.18 计量单位</w:t>
      </w:r>
      <w:bookmarkEnd w:id="513"/>
      <w:bookmarkEnd w:id="514"/>
      <w:bookmarkEnd w:id="515"/>
    </w:p>
    <w:p w14:paraId="21C1A6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A7D6B8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2D807D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82B7EB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6" w:name="_Toc331685784"/>
      <w:r>
        <w:rPr>
          <w:rFonts w:hint="eastAsia" w:ascii="宋体" w:hAnsi="宋体" w:cs="宋体"/>
          <w:b/>
          <w:color w:val="auto"/>
          <w:sz w:val="24"/>
          <w:highlight w:val="none"/>
        </w:rPr>
        <w:t xml:space="preserve"> </w:t>
      </w:r>
      <w:bookmarkEnd w:id="516"/>
      <w:r>
        <w:rPr>
          <w:rFonts w:hint="eastAsia" w:ascii="宋体" w:hAnsi="宋体" w:cs="宋体"/>
          <w:b/>
          <w:color w:val="auto"/>
          <w:sz w:val="24"/>
          <w:highlight w:val="none"/>
        </w:rPr>
        <w:t>第三部分  合同专用条款</w:t>
      </w:r>
    </w:p>
    <w:p w14:paraId="7BC152D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3"/>
        <w:gridCol w:w="8123"/>
      </w:tblGrid>
      <w:tr w14:paraId="61B0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D6D88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73A9EA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9DF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CCCF41">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tcBorders>
              <w:left w:val="single" w:color="auto" w:sz="6" w:space="0"/>
            </w:tcBorders>
            <w:vAlign w:val="center"/>
          </w:tcPr>
          <w:p w14:paraId="7E60B782">
            <w:pP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lang w:val="zh-CN"/>
              </w:rPr>
              <w:t>最终</w:t>
            </w:r>
            <w:r>
              <w:rPr>
                <w:rFonts w:hint="eastAsia" w:ascii="宋体" w:hAnsi="宋体" w:cs="宋体"/>
                <w:color w:val="auto"/>
                <w:sz w:val="24"/>
                <w:highlight w:val="none"/>
              </w:rPr>
              <w:t>按实际使用</w:t>
            </w:r>
            <w:r>
              <w:rPr>
                <w:rFonts w:hint="eastAsia" w:ascii="宋体" w:hAnsi="宋体" w:cs="宋体"/>
                <w:color w:val="auto"/>
                <w:sz w:val="24"/>
                <w:highlight w:val="none"/>
                <w:lang w:eastAsia="zh-CN"/>
              </w:rPr>
              <w:t>租赁设备数量、租赁天数及合同单价</w:t>
            </w:r>
            <w:r>
              <w:rPr>
                <w:rFonts w:hint="eastAsia" w:ascii="宋体" w:hAnsi="宋体" w:cs="宋体"/>
                <w:color w:val="auto"/>
                <w:sz w:val="24"/>
                <w:highlight w:val="none"/>
                <w:lang w:val="zh-CN"/>
              </w:rPr>
              <w:t>按实结算。</w:t>
            </w:r>
          </w:p>
        </w:tc>
      </w:tr>
      <w:tr w14:paraId="48EB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022FC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tcBorders>
              <w:left w:val="single" w:color="auto" w:sz="6" w:space="0"/>
            </w:tcBorders>
            <w:vAlign w:val="center"/>
          </w:tcPr>
          <w:p w14:paraId="5EF82E6C">
            <w:pPr>
              <w:spacing w:line="360" w:lineRule="auto"/>
              <w:rPr>
                <w:rFonts w:ascii="宋体" w:hAnsi="宋体" w:cs="宋体"/>
                <w:color w:val="auto"/>
                <w:sz w:val="24"/>
                <w:highlight w:val="none"/>
                <w:lang w:val="zh-CN"/>
              </w:rPr>
            </w:pPr>
            <w:r>
              <w:rPr>
                <w:rFonts w:hint="eastAsia" w:ascii="宋体" w:hAnsi="宋体" w:cs="宋体"/>
                <w:color w:val="auto"/>
                <w:sz w:val="24"/>
                <w:highlight w:val="none"/>
              </w:rPr>
              <w:t>鼓励和支持供应商以银行、保险公司出具的保函形式提供履约保证金</w:t>
            </w:r>
          </w:p>
        </w:tc>
      </w:tr>
      <w:tr w14:paraId="44EA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47C4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tcBorders>
              <w:left w:val="single" w:color="auto" w:sz="6" w:space="0"/>
            </w:tcBorders>
            <w:vAlign w:val="center"/>
          </w:tcPr>
          <w:p w14:paraId="08D2A657">
            <w:pPr>
              <w:spacing w:line="360" w:lineRule="auto"/>
              <w:rPr>
                <w:rFonts w:ascii="宋体" w:hAnsi="宋体" w:cs="宋体"/>
                <w:color w:val="auto"/>
                <w:sz w:val="24"/>
                <w:highlight w:val="none"/>
              </w:rPr>
            </w:pPr>
            <w:r>
              <w:rPr>
                <w:rFonts w:hint="eastAsia" w:ascii="宋体" w:hAnsi="宋体" w:cs="宋体"/>
                <w:color w:val="auto"/>
                <w:sz w:val="24"/>
                <w:highlight w:val="none"/>
                <w:lang w:val="zh-CN"/>
              </w:rPr>
              <w:t>合同签订后5个工作日内，</w:t>
            </w:r>
            <w:r>
              <w:rPr>
                <w:rFonts w:hint="eastAsia" w:ascii="宋体" w:hAnsi="宋体" w:cs="宋体"/>
                <w:color w:val="auto"/>
                <w:sz w:val="24"/>
                <w:highlight w:val="none"/>
              </w:rPr>
              <w:t>项目</w:t>
            </w:r>
            <w:r>
              <w:rPr>
                <w:rFonts w:hint="eastAsia" w:ascii="宋体" w:hAnsi="宋体" w:cs="宋体"/>
                <w:color w:val="auto"/>
                <w:sz w:val="24"/>
                <w:highlight w:val="none"/>
                <w:lang w:val="zh-CN"/>
              </w:rPr>
              <w:t>具备实施条件后，甲方支付合同金额的</w:t>
            </w:r>
            <w:r>
              <w:rPr>
                <w:rFonts w:hint="eastAsia" w:ascii="宋体" w:hAnsi="宋体" w:cs="宋体"/>
                <w:color w:val="auto"/>
                <w:sz w:val="24"/>
                <w:highlight w:val="none"/>
              </w:rPr>
              <w:t>4</w:t>
            </w:r>
            <w:r>
              <w:rPr>
                <w:rFonts w:hint="eastAsia" w:ascii="宋体" w:hAnsi="宋体" w:cs="宋体"/>
                <w:color w:val="auto"/>
                <w:sz w:val="24"/>
                <w:highlight w:val="none"/>
                <w:lang w:val="zh-CN"/>
              </w:rPr>
              <w:t>0%，同时乙方缴纳合同总价1%的履约保证金；</w:t>
            </w:r>
            <w:r>
              <w:rPr>
                <w:rFonts w:hint="eastAsia" w:ascii="宋体" w:hAnsi="宋体" w:cs="宋体"/>
                <w:color w:val="auto"/>
                <w:sz w:val="24"/>
                <w:highlight w:val="none"/>
              </w:rPr>
              <w:t>(鼓励和支持乙方以银行、保险公司出具的保函形式提供履约保证金）</w:t>
            </w:r>
          </w:p>
        </w:tc>
      </w:tr>
      <w:tr w14:paraId="75C0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072901">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tcBorders>
              <w:left w:val="single" w:color="auto" w:sz="6" w:space="0"/>
            </w:tcBorders>
            <w:vAlign w:val="center"/>
          </w:tcPr>
          <w:p w14:paraId="4BDC821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预付款不扣回，包含在第二期合同款支付内。</w:t>
            </w:r>
          </w:p>
        </w:tc>
      </w:tr>
      <w:tr w14:paraId="57ECC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1769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tcBorders>
              <w:left w:val="single" w:color="auto" w:sz="6" w:space="0"/>
            </w:tcBorders>
            <w:vAlign w:val="center"/>
          </w:tcPr>
          <w:p w14:paraId="0DC6A6C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18B5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9" w:hRule="atLeast"/>
        </w:trPr>
        <w:tc>
          <w:tcPr>
            <w:tcW w:w="535" w:type="pct"/>
            <w:tcBorders>
              <w:left w:val="single" w:color="auto" w:sz="4" w:space="0"/>
            </w:tcBorders>
            <w:vAlign w:val="center"/>
          </w:tcPr>
          <w:p w14:paraId="105A092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tbl>
            <w:tblPr>
              <w:tblStyle w:val="63"/>
              <w:tblW w:w="851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45"/>
              <w:gridCol w:w="6324"/>
              <w:gridCol w:w="1549"/>
            </w:tblGrid>
            <w:tr w14:paraId="046CCB7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1" w:hRule="atLeast"/>
                <w:jc w:val="center"/>
              </w:trPr>
              <w:tc>
                <w:tcPr>
                  <w:tcW w:w="645" w:type="dxa"/>
                  <w:tcBorders>
                    <w:top w:val="single" w:color="808080" w:sz="4" w:space="0"/>
                    <w:left w:val="single" w:color="808080" w:sz="4" w:space="0"/>
                    <w:bottom w:val="single" w:color="808080" w:sz="4" w:space="0"/>
                    <w:right w:val="single" w:color="808080" w:sz="4" w:space="0"/>
                  </w:tcBorders>
                  <w:noWrap/>
                  <w:vAlign w:val="center"/>
                </w:tcPr>
                <w:p w14:paraId="36B7DB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324" w:type="dxa"/>
                  <w:tcBorders>
                    <w:top w:val="single" w:color="808080" w:sz="4" w:space="0"/>
                    <w:left w:val="single" w:color="808080" w:sz="4" w:space="0"/>
                    <w:bottom w:val="single" w:color="808080" w:sz="4" w:space="0"/>
                    <w:right w:val="single" w:color="808080" w:sz="4" w:space="0"/>
                  </w:tcBorders>
                  <w:noWrap/>
                  <w:vAlign w:val="center"/>
                </w:tcPr>
                <w:p w14:paraId="6ED4DA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付款比例（%）</w:t>
                  </w:r>
                </w:p>
              </w:tc>
              <w:tc>
                <w:tcPr>
                  <w:tcW w:w="1549" w:type="dxa"/>
                  <w:tcBorders>
                    <w:top w:val="single" w:color="808080" w:sz="4" w:space="0"/>
                    <w:left w:val="single" w:color="808080" w:sz="4" w:space="0"/>
                    <w:bottom w:val="single" w:color="808080" w:sz="4" w:space="0"/>
                    <w:right w:val="single" w:color="808080" w:sz="4" w:space="0"/>
                  </w:tcBorders>
                  <w:noWrap/>
                  <w:vAlign w:val="center"/>
                </w:tcPr>
                <w:p w14:paraId="358801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付款方式</w:t>
                  </w:r>
                </w:p>
              </w:tc>
            </w:tr>
            <w:tr w14:paraId="77D8F8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849" w:hRule="atLeast"/>
                <w:jc w:val="center"/>
              </w:trPr>
              <w:tc>
                <w:tcPr>
                  <w:tcW w:w="645" w:type="dxa"/>
                  <w:tcBorders>
                    <w:top w:val="single" w:color="808080" w:sz="4" w:space="0"/>
                    <w:left w:val="single" w:color="808080" w:sz="4" w:space="0"/>
                    <w:bottom w:val="single" w:color="808080" w:sz="4" w:space="0"/>
                    <w:right w:val="single" w:color="808080" w:sz="4" w:space="0"/>
                  </w:tcBorders>
                  <w:noWrap/>
                  <w:vAlign w:val="center"/>
                </w:tcPr>
                <w:p w14:paraId="1CE6AF92">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1</w:t>
                  </w:r>
                </w:p>
              </w:tc>
              <w:tc>
                <w:tcPr>
                  <w:tcW w:w="6324" w:type="dxa"/>
                  <w:tcBorders>
                    <w:top w:val="single" w:color="808080" w:sz="4" w:space="0"/>
                    <w:left w:val="single" w:color="808080" w:sz="4" w:space="0"/>
                    <w:bottom w:val="single" w:color="808080" w:sz="4" w:space="0"/>
                    <w:right w:val="single" w:color="808080" w:sz="4" w:space="0"/>
                  </w:tcBorders>
                  <w:noWrap/>
                  <w:vAlign w:val="center"/>
                </w:tcPr>
                <w:p w14:paraId="6A35ACBB">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第一期付款：</w:t>
                  </w:r>
                  <w:r>
                    <w:rPr>
                      <w:rFonts w:hint="eastAsia" w:ascii="宋体" w:hAnsi="宋体" w:cs="宋体"/>
                      <w:color w:val="auto"/>
                      <w:sz w:val="24"/>
                      <w:highlight w:val="none"/>
                      <w:lang w:val="zh-CN"/>
                    </w:rPr>
                    <w:t>合同签订后5个工作日内，</w:t>
                  </w:r>
                  <w:r>
                    <w:rPr>
                      <w:rFonts w:hint="eastAsia" w:ascii="宋体" w:hAnsi="宋体" w:cs="宋体"/>
                      <w:color w:val="auto"/>
                      <w:sz w:val="24"/>
                      <w:highlight w:val="none"/>
                    </w:rPr>
                    <w:t>项目</w:t>
                  </w:r>
                  <w:r>
                    <w:rPr>
                      <w:rFonts w:hint="eastAsia" w:ascii="宋体" w:hAnsi="宋体" w:cs="宋体"/>
                      <w:color w:val="auto"/>
                      <w:sz w:val="24"/>
                      <w:highlight w:val="none"/>
                      <w:lang w:val="zh-CN"/>
                    </w:rPr>
                    <w:t>具备实施条件后，甲方支付合同金额的</w:t>
                  </w:r>
                  <w:r>
                    <w:rPr>
                      <w:rFonts w:hint="eastAsia" w:ascii="宋体" w:hAnsi="宋体" w:cs="宋体"/>
                      <w:color w:val="auto"/>
                      <w:sz w:val="24"/>
                      <w:highlight w:val="none"/>
                    </w:rPr>
                    <w:t>4</w:t>
                  </w:r>
                  <w:r>
                    <w:rPr>
                      <w:rFonts w:hint="eastAsia" w:ascii="宋体" w:hAnsi="宋体" w:cs="宋体"/>
                      <w:color w:val="auto"/>
                      <w:sz w:val="24"/>
                      <w:highlight w:val="none"/>
                      <w:lang w:val="zh-CN"/>
                    </w:rPr>
                    <w:t>0%，同时乙方缴纳合同总价1%的履约保证金；</w:t>
                  </w:r>
                  <w:r>
                    <w:rPr>
                      <w:rFonts w:hint="eastAsia" w:ascii="宋体" w:hAnsi="宋体" w:cs="宋体"/>
                      <w:color w:val="auto"/>
                      <w:sz w:val="24"/>
                      <w:highlight w:val="none"/>
                    </w:rPr>
                    <w:t>(鼓励和支持乙方以银行、保险公司出具的保函形式提供履约保证金）</w:t>
                  </w:r>
                </w:p>
              </w:tc>
              <w:tc>
                <w:tcPr>
                  <w:tcW w:w="1549" w:type="dxa"/>
                  <w:tcBorders>
                    <w:top w:val="single" w:color="808080" w:sz="4" w:space="0"/>
                    <w:left w:val="single" w:color="808080" w:sz="4" w:space="0"/>
                    <w:bottom w:val="single" w:color="808080" w:sz="4" w:space="0"/>
                    <w:right w:val="single" w:color="808080" w:sz="4" w:space="0"/>
                  </w:tcBorders>
                  <w:noWrap/>
                  <w:vAlign w:val="center"/>
                </w:tcPr>
                <w:p w14:paraId="09CE2F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2E2D14F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892" w:hRule="atLeast"/>
                <w:jc w:val="center"/>
              </w:trPr>
              <w:tc>
                <w:tcPr>
                  <w:tcW w:w="64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FE6A1BB">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2</w:t>
                  </w:r>
                </w:p>
              </w:tc>
              <w:tc>
                <w:tcPr>
                  <w:tcW w:w="632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47A47D4">
                  <w:pPr>
                    <w:spacing w:line="360" w:lineRule="auto"/>
                    <w:rPr>
                      <w:rFonts w:ascii="宋体" w:hAnsi="宋体" w:cs="宋体"/>
                      <w:b/>
                      <w:color w:val="auto"/>
                      <w:sz w:val="24"/>
                      <w:highlight w:val="none"/>
                    </w:rPr>
                  </w:pPr>
                  <w:r>
                    <w:rPr>
                      <w:rFonts w:hint="eastAsia" w:ascii="宋体" w:hAnsi="宋体" w:cs="宋体"/>
                      <w:b/>
                      <w:color w:val="auto"/>
                      <w:sz w:val="24"/>
                      <w:highlight w:val="none"/>
                    </w:rPr>
                    <w:t>第二期付款：</w:t>
                  </w:r>
                  <w:r>
                    <w:rPr>
                      <w:rFonts w:hint="eastAsia" w:ascii="宋体" w:hAnsi="宋体" w:cs="宋体"/>
                      <w:color w:val="auto"/>
                      <w:sz w:val="24"/>
                      <w:highlight w:val="none"/>
                    </w:rPr>
                    <w:t>服务至2025年11月30日，通过验收后，凭双方签字盖章的验收意见、验收小组签字的验收报告、</w:t>
                  </w:r>
                  <w:r>
                    <w:rPr>
                      <w:rFonts w:hint="eastAsia" w:ascii="宋体" w:hAnsi="宋体" w:cs="宋体"/>
                      <w:snapToGrid w:val="0"/>
                      <w:color w:val="auto"/>
                      <w:sz w:val="24"/>
                      <w:highlight w:val="none"/>
                    </w:rPr>
                    <w:t>租赁设备清单、每月巡检报告、项目组人员清单、人员更变审批表（如有）、社保证明材料、</w:t>
                  </w:r>
                  <w:r>
                    <w:rPr>
                      <w:rFonts w:hint="eastAsia" w:ascii="宋体" w:hAnsi="宋体" w:cs="宋体"/>
                      <w:color w:val="auto"/>
                      <w:sz w:val="24"/>
                      <w:highlight w:val="none"/>
                    </w:rPr>
                    <w:t>学历证明、资历证明、</w:t>
                  </w:r>
                  <w:r>
                    <w:rPr>
                      <w:rFonts w:hint="eastAsia" w:ascii="宋体" w:hAnsi="宋体" w:cs="宋体"/>
                      <w:snapToGrid w:val="0"/>
                      <w:color w:val="auto"/>
                      <w:sz w:val="24"/>
                      <w:highlight w:val="none"/>
                    </w:rPr>
                    <w:t>驻点人员每日钉钉考勤打卡记录、每月考核材料、验收报审表、培训记录、培训资料、维修记录、应急抢修维护方案</w:t>
                  </w:r>
                  <w:r>
                    <w:rPr>
                      <w:rFonts w:hint="eastAsia" w:ascii="宋体" w:hAnsi="宋体" w:cs="宋体"/>
                      <w:color w:val="auto"/>
                      <w:sz w:val="24"/>
                      <w:highlight w:val="none"/>
                    </w:rPr>
                    <w:t>、故障分析报告及解决方案、故障说明材料（如有）</w:t>
                  </w:r>
                  <w:r>
                    <w:rPr>
                      <w:rFonts w:hint="eastAsia" w:ascii="宋体" w:hAnsi="宋体" w:cs="宋体"/>
                      <w:snapToGrid w:val="0"/>
                      <w:color w:val="auto"/>
                      <w:sz w:val="24"/>
                      <w:highlight w:val="none"/>
                    </w:rPr>
                    <w:t>、</w:t>
                  </w:r>
                  <w:r>
                    <w:rPr>
                      <w:rFonts w:hint="eastAsia" w:ascii="宋体" w:hAnsi="宋体" w:cs="宋体"/>
                      <w:color w:val="auto"/>
                      <w:sz w:val="24"/>
                      <w:highlight w:val="none"/>
                    </w:rPr>
                    <w:t>产品合格证、质量保证书、</w:t>
                  </w:r>
                  <w:r>
                    <w:rPr>
                      <w:rFonts w:hint="eastAsia" w:ascii="宋体" w:hAnsi="宋体" w:cs="宋体"/>
                      <w:snapToGrid w:val="0"/>
                      <w:color w:val="auto"/>
                      <w:sz w:val="24"/>
                      <w:highlight w:val="none"/>
                    </w:rPr>
                    <w:t>网络安全保障方案、网络安全事件应急预案、网络安全风险书面报告（如有）、网络安全重大事项书面报告（如有）、信息化建设项目变更审批表（如有）</w:t>
                  </w:r>
                  <w:r>
                    <w:rPr>
                      <w:rFonts w:hint="eastAsia" w:ascii="宋体" w:hAnsi="宋体" w:cs="宋体"/>
                      <w:color w:val="auto"/>
                      <w:sz w:val="24"/>
                      <w:highlight w:val="none"/>
                    </w:rPr>
                    <w:t>、单位保密协议、个人保密承诺书、日常保密教育台帐、中小企业证明材料等相关资料，最多支付至2025年预算113.5万元（113.5万元已含甲方已向乙方支付的第一期合同价款）</w:t>
                  </w:r>
                </w:p>
              </w:tc>
              <w:tc>
                <w:tcPr>
                  <w:tcW w:w="1549" w:type="dxa"/>
                  <w:tcBorders>
                    <w:top w:val="single" w:color="808080" w:sz="4" w:space="0"/>
                    <w:left w:val="single" w:color="808080" w:sz="4" w:space="0"/>
                    <w:bottom w:val="single" w:color="808080" w:sz="4" w:space="0"/>
                    <w:right w:val="single" w:color="808080" w:sz="4" w:space="0"/>
                  </w:tcBorders>
                  <w:noWrap/>
                  <w:vAlign w:val="center"/>
                </w:tcPr>
                <w:p w14:paraId="5A573D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2178876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6446" w:hRule="atLeast"/>
                <w:jc w:val="center"/>
              </w:trPr>
              <w:tc>
                <w:tcPr>
                  <w:tcW w:w="64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037F0B">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3</w:t>
                  </w:r>
                </w:p>
              </w:tc>
              <w:tc>
                <w:tcPr>
                  <w:tcW w:w="6324"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2D46DEA9">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第三期付款：</w:t>
                  </w:r>
                  <w:r>
                    <w:rPr>
                      <w:rFonts w:hint="eastAsia" w:ascii="宋体" w:hAnsi="宋体" w:cs="宋体"/>
                      <w:color w:val="auto"/>
                      <w:sz w:val="24"/>
                      <w:highlight w:val="none"/>
                    </w:rPr>
                    <w:t>服务期结束，无任何服务问题，凭双方签字盖章的验收意见、验收小组签字的验收报告、</w:t>
                  </w:r>
                  <w:r>
                    <w:rPr>
                      <w:rFonts w:hint="eastAsia" w:ascii="宋体" w:hAnsi="宋体" w:cs="宋体"/>
                      <w:snapToGrid w:val="0"/>
                      <w:color w:val="auto"/>
                      <w:sz w:val="24"/>
                      <w:highlight w:val="none"/>
                    </w:rPr>
                    <w:t>租赁设备清单、每月巡检报告、租赁总结报告、项目组人员清单、人员更变审批表（如有）、社保证明材料、</w:t>
                  </w:r>
                  <w:r>
                    <w:rPr>
                      <w:rFonts w:hint="eastAsia" w:ascii="宋体" w:hAnsi="宋体" w:cs="宋体"/>
                      <w:color w:val="auto"/>
                      <w:sz w:val="24"/>
                      <w:highlight w:val="none"/>
                    </w:rPr>
                    <w:t>学历证明、资历证明、</w:t>
                  </w:r>
                  <w:r>
                    <w:rPr>
                      <w:rFonts w:hint="eastAsia" w:ascii="宋体" w:hAnsi="宋体" w:cs="宋体"/>
                      <w:snapToGrid w:val="0"/>
                      <w:color w:val="auto"/>
                      <w:sz w:val="24"/>
                      <w:highlight w:val="none"/>
                    </w:rPr>
                    <w:t>驻点人员每日钉钉考勤打卡记录、每月考核材料、验收报审表、培训记录、培训资料、维修记录、应急抢修维护方案</w:t>
                  </w:r>
                  <w:r>
                    <w:rPr>
                      <w:rFonts w:hint="eastAsia" w:ascii="宋体" w:hAnsi="宋体" w:cs="宋体"/>
                      <w:color w:val="auto"/>
                      <w:sz w:val="24"/>
                      <w:highlight w:val="none"/>
                    </w:rPr>
                    <w:t>、故障分析报告及解决方案、故障说明材料（如有）</w:t>
                  </w:r>
                  <w:r>
                    <w:rPr>
                      <w:rFonts w:hint="eastAsia" w:ascii="宋体" w:hAnsi="宋体" w:cs="宋体"/>
                      <w:snapToGrid w:val="0"/>
                      <w:color w:val="auto"/>
                      <w:sz w:val="24"/>
                      <w:highlight w:val="none"/>
                    </w:rPr>
                    <w:t>、</w:t>
                  </w:r>
                  <w:r>
                    <w:rPr>
                      <w:rFonts w:hint="eastAsia" w:ascii="宋体" w:hAnsi="宋体" w:cs="宋体"/>
                      <w:color w:val="auto"/>
                      <w:sz w:val="24"/>
                      <w:highlight w:val="none"/>
                    </w:rPr>
                    <w:t>产品合格证、质量保证书、</w:t>
                  </w:r>
                  <w:r>
                    <w:rPr>
                      <w:rFonts w:hint="eastAsia" w:ascii="宋体" w:hAnsi="宋体" w:cs="宋体"/>
                      <w:snapToGrid w:val="0"/>
                      <w:color w:val="auto"/>
                      <w:sz w:val="24"/>
                      <w:highlight w:val="none"/>
                    </w:rPr>
                    <w:t>网络安全保障方案、网络安全事件应急预案、网络安全风险书面报告（如有）、网络安全重大事项书面报告（如有）、网络安全报告、信息化建设项目变更审批表（如有）</w:t>
                  </w:r>
                  <w:r>
                    <w:rPr>
                      <w:rFonts w:hint="eastAsia" w:ascii="宋体" w:hAnsi="宋体" w:cs="宋体"/>
                      <w:color w:val="auto"/>
                      <w:sz w:val="24"/>
                      <w:highlight w:val="none"/>
                    </w:rPr>
                    <w:t>、单位保密协议、个人保密承诺书、日常保密教育台帐、中小企业证明材料及验收公示截图等相关资料，经审计确认后（若有），按实际使用</w:t>
                  </w:r>
                  <w:r>
                    <w:rPr>
                      <w:rFonts w:hint="eastAsia" w:ascii="宋体" w:hAnsi="宋体" w:cs="宋体"/>
                      <w:color w:val="auto"/>
                      <w:sz w:val="24"/>
                      <w:highlight w:val="none"/>
                      <w:lang w:eastAsia="zh-CN"/>
                    </w:rPr>
                    <w:t>租赁设备数量、租赁天数及合同单价</w:t>
                  </w:r>
                  <w:r>
                    <w:rPr>
                      <w:rFonts w:hint="eastAsia" w:ascii="宋体" w:hAnsi="宋体" w:cs="宋体"/>
                      <w:color w:val="auto"/>
                      <w:sz w:val="24"/>
                      <w:highlight w:val="none"/>
                    </w:rPr>
                    <w:t>按实结算合同价款，且不超过合同总价（同时扣除考核违约金）。</w:t>
                  </w:r>
                </w:p>
                <w:p w14:paraId="44AA570B">
                  <w:pPr>
                    <w:pStyle w:val="2"/>
                    <w:rPr>
                      <w:color w:val="auto"/>
                      <w:highlight w:val="none"/>
                    </w:rPr>
                  </w:pPr>
                </w:p>
              </w:tc>
              <w:tc>
                <w:tcPr>
                  <w:tcW w:w="1549" w:type="dxa"/>
                  <w:tcBorders>
                    <w:top w:val="single" w:color="808080" w:sz="4" w:space="0"/>
                    <w:left w:val="single" w:color="808080" w:sz="4" w:space="0"/>
                    <w:bottom w:val="single" w:color="808080" w:sz="4" w:space="0"/>
                    <w:right w:val="single" w:color="808080" w:sz="4" w:space="0"/>
                  </w:tcBorders>
                  <w:noWrap/>
                  <w:vAlign w:val="center"/>
                </w:tcPr>
                <w:p w14:paraId="561387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国库转账支付</w:t>
                  </w:r>
                </w:p>
              </w:tc>
            </w:tr>
            <w:tr w14:paraId="32EE1E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399" w:hRule="atLeast"/>
                <w:jc w:val="center"/>
              </w:trPr>
              <w:tc>
                <w:tcPr>
                  <w:tcW w:w="8518" w:type="dxa"/>
                  <w:gridSpan w:val="3"/>
                  <w:tcBorders>
                    <w:top w:val="single" w:color="808080" w:sz="4" w:space="0"/>
                    <w:left w:val="single" w:color="808080" w:sz="4" w:space="0"/>
                    <w:bottom w:val="single" w:color="808080" w:sz="4" w:space="0"/>
                    <w:right w:val="single" w:color="808080" w:sz="4" w:space="0"/>
                  </w:tcBorders>
                  <w:noWrap/>
                  <w:vAlign w:val="center"/>
                </w:tcPr>
                <w:p w14:paraId="79CA74CE">
                  <w:pPr>
                    <w:spacing w:line="360" w:lineRule="auto"/>
                    <w:jc w:val="left"/>
                    <w:rPr>
                      <w:rFonts w:ascii="宋体" w:hAnsi="宋体" w:cs="宋体"/>
                      <w:color w:val="auto"/>
                      <w:sz w:val="24"/>
                      <w:highlight w:val="none"/>
                      <w:lang w:val="zh-CN"/>
                    </w:rPr>
                  </w:pPr>
                  <w:r>
                    <w:rPr>
                      <w:rFonts w:ascii="宋体" w:hAnsi="宋体" w:cs="宋体"/>
                      <w:color w:val="auto"/>
                      <w:sz w:val="24"/>
                      <w:highlight w:val="none"/>
                      <w:lang w:val="zh-CN"/>
                    </w:rPr>
                    <w:t>双方</w:t>
                  </w:r>
                  <w:r>
                    <w:rPr>
                      <w:rFonts w:hint="eastAsia" w:ascii="宋体" w:hAnsi="宋体" w:cs="宋体"/>
                      <w:color w:val="auto"/>
                      <w:sz w:val="24"/>
                      <w:highlight w:val="none"/>
                      <w:lang w:val="zh-CN"/>
                    </w:rPr>
                    <w:t>确认，</w:t>
                  </w:r>
                  <w:r>
                    <w:rPr>
                      <w:rFonts w:hint="eastAsia" w:ascii="宋体" w:hAnsi="宋体" w:cs="宋体"/>
                      <w:color w:val="auto"/>
                      <w:sz w:val="24"/>
                      <w:highlight w:val="none"/>
                    </w:rPr>
                    <w:t>甲方</w:t>
                  </w:r>
                  <w:r>
                    <w:rPr>
                      <w:rFonts w:hint="eastAsia" w:ascii="宋体" w:hAnsi="宋体" w:cs="宋体"/>
                      <w:color w:val="auto"/>
                      <w:sz w:val="24"/>
                      <w:highlight w:val="none"/>
                      <w:lang w:val="zh-CN"/>
                    </w:rPr>
                    <w:t>按前三款结算并向</w:t>
                  </w:r>
                  <w:r>
                    <w:rPr>
                      <w:rFonts w:hint="eastAsia" w:ascii="宋体" w:hAnsi="宋体" w:cs="宋体"/>
                      <w:color w:val="auto"/>
                      <w:sz w:val="24"/>
                      <w:highlight w:val="none"/>
                    </w:rPr>
                    <w:t>乙方</w:t>
                  </w:r>
                  <w:r>
                    <w:rPr>
                      <w:rFonts w:hint="eastAsia" w:ascii="宋体" w:hAnsi="宋体" w:cs="宋体"/>
                      <w:color w:val="auto"/>
                      <w:sz w:val="24"/>
                      <w:highlight w:val="none"/>
                      <w:lang w:val="zh-CN"/>
                    </w:rPr>
                    <w:t>支付的款项总额不超过合同总价。</w:t>
                  </w:r>
                </w:p>
                <w:p w14:paraId="5908ADF1">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CN"/>
                    </w:rPr>
                    <w:t>前述甲方</w:t>
                  </w:r>
                  <w:r>
                    <w:rPr>
                      <w:rFonts w:hint="eastAsia" w:ascii="宋体" w:hAnsi="宋体" w:cs="宋体"/>
                      <w:color w:val="auto"/>
                      <w:sz w:val="24"/>
                      <w:highlight w:val="none"/>
                    </w:rPr>
                    <w:t>按</w:t>
                  </w:r>
                  <w:r>
                    <w:rPr>
                      <w:rFonts w:hint="eastAsia" w:ascii="宋体" w:hAnsi="宋体" w:cs="宋体"/>
                      <w:color w:val="auto"/>
                      <w:sz w:val="24"/>
                      <w:highlight w:val="none"/>
                      <w:lang w:val="zh-CN"/>
                    </w:rPr>
                    <w:t>合同单价、租赁</w:t>
                  </w:r>
                  <w:r>
                    <w:rPr>
                      <w:rFonts w:hint="eastAsia" w:ascii="宋体" w:hAnsi="宋体" w:cs="宋体"/>
                      <w:color w:val="auto"/>
                      <w:sz w:val="24"/>
                      <w:highlight w:val="none"/>
                    </w:rPr>
                    <w:t>数量</w:t>
                  </w:r>
                  <w:r>
                    <w:rPr>
                      <w:rFonts w:hint="eastAsia" w:ascii="宋体" w:hAnsi="宋体" w:cs="宋体"/>
                      <w:color w:val="auto"/>
                      <w:sz w:val="24"/>
                      <w:highlight w:val="none"/>
                      <w:lang w:val="zh-CN"/>
                    </w:rPr>
                    <w:t>、租赁天数与乙方进行结算付款的方式不影响乙方承担其因未全面履行本项目义务而产生的相应违约金。</w:t>
                  </w:r>
                </w:p>
              </w:tc>
            </w:tr>
          </w:tbl>
          <w:p w14:paraId="6574561A">
            <w:pPr>
              <w:adjustRightInd/>
              <w:snapToGrid w:val="0"/>
              <w:spacing w:line="360" w:lineRule="auto"/>
              <w:rPr>
                <w:rFonts w:ascii="宋体" w:hAnsi="宋体" w:cs="宋体"/>
                <w:color w:val="auto"/>
                <w:highlight w:val="none"/>
              </w:rPr>
            </w:pPr>
          </w:p>
        </w:tc>
      </w:tr>
      <w:tr w14:paraId="2A3A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691C8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tcBorders>
              <w:left w:val="single" w:color="auto" w:sz="6" w:space="0"/>
            </w:tcBorders>
            <w:vAlign w:val="center"/>
          </w:tcPr>
          <w:p w14:paraId="1A0DB9F1">
            <w:pPr>
              <w:adjustRightInd w:val="0"/>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u w:val="single"/>
              </w:rPr>
              <w:t>12个月（2025年8月1日-2026年7月31日）。</w:t>
            </w:r>
          </w:p>
        </w:tc>
      </w:tr>
      <w:tr w14:paraId="478D4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F50FF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tcBorders>
              <w:left w:val="single" w:color="auto" w:sz="6" w:space="0"/>
            </w:tcBorders>
            <w:vAlign w:val="center"/>
          </w:tcPr>
          <w:p w14:paraId="2AA97706">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杭州市公安局交通警察支队（杭州市文晖路336号）。</w:t>
            </w:r>
          </w:p>
        </w:tc>
      </w:tr>
      <w:tr w14:paraId="08149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8BA2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tcBorders>
              <w:left w:val="single" w:color="auto" w:sz="6" w:space="0"/>
            </w:tcBorders>
            <w:vAlign w:val="center"/>
          </w:tcPr>
          <w:p w14:paraId="1DDC8FC1">
            <w:pPr>
              <w:spacing w:line="360" w:lineRule="auto"/>
              <w:rPr>
                <w:rFonts w:ascii="宋体" w:hAnsi="宋体" w:cs="宋体"/>
                <w:color w:val="auto"/>
                <w:sz w:val="24"/>
                <w:highlight w:val="none"/>
              </w:rPr>
            </w:pPr>
            <w:r>
              <w:rPr>
                <w:rFonts w:hint="eastAsia" w:ascii="宋体" w:hAnsi="宋体" w:cs="宋体"/>
                <w:color w:val="auto"/>
                <w:sz w:val="24"/>
                <w:highlight w:val="none"/>
              </w:rPr>
              <w:t>现场实施</w:t>
            </w:r>
          </w:p>
        </w:tc>
      </w:tr>
      <w:tr w14:paraId="34645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A80AE">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tcBorders>
              <w:left w:val="single" w:color="auto" w:sz="6" w:space="0"/>
            </w:tcBorders>
            <w:vAlign w:val="center"/>
          </w:tcPr>
          <w:p w14:paraId="2E3722F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235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B230F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tcBorders>
              <w:left w:val="single" w:color="auto" w:sz="6" w:space="0"/>
            </w:tcBorders>
            <w:vAlign w:val="center"/>
          </w:tcPr>
          <w:p w14:paraId="5D95CB48">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67A4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69D05D">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tcBorders>
              <w:left w:val="single" w:color="auto" w:sz="6" w:space="0"/>
            </w:tcBorders>
            <w:vAlign w:val="center"/>
          </w:tcPr>
          <w:p w14:paraId="52BFC085">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CF0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8E7A80">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tcBorders>
              <w:left w:val="single" w:color="auto" w:sz="6" w:space="0"/>
            </w:tcBorders>
            <w:vAlign w:val="center"/>
          </w:tcPr>
          <w:p w14:paraId="106798D4">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（1）甲方应当履行合同约定的义务，如有违反，须承担相应的违约责任。</w:t>
            </w:r>
          </w:p>
          <w:p w14:paraId="040C13F5">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（2）除不可抗力外，如果</w:t>
            </w:r>
            <w:r>
              <w:rPr>
                <w:rFonts w:hint="eastAsia" w:ascii="宋体" w:hAnsi="宋体" w:cs="宋体"/>
                <w:color w:val="auto"/>
                <w:sz w:val="24"/>
                <w:highlight w:val="none"/>
                <w:u w:val="single"/>
              </w:rPr>
              <w:t>乙方未能在合同签订后5个工作日内完成标的设备入网并实现项目所需全部功能，</w:t>
            </w:r>
            <w:r>
              <w:rPr>
                <w:rFonts w:hint="eastAsia" w:ascii="宋体" w:hAnsi="宋体" w:cs="宋体"/>
                <w:iCs/>
                <w:color w:val="auto"/>
                <w:sz w:val="24"/>
                <w:highlight w:val="none"/>
                <w:u w:val="single"/>
              </w:rPr>
              <w:t>甲方有权书面通知乙方解除本合同；</w:t>
            </w:r>
          </w:p>
          <w:p w14:paraId="6D380DF7">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3）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504D82C3">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4）除不可抗力外，如果乙方没有按照本合同约定的期限、地点和方式提供服务，那么甲方可要求乙方支付违约金，违约金按每迟延一日的应提供而未提供服务价格的0.05%计算，最高限额为本合同总价的20%；迟延提供服务的违约金计算数额达到前述最高限额之日起，甲方有权在要求乙方支付违约金的同时，书面通知乙方解除本合同；</w:t>
            </w:r>
          </w:p>
          <w:p w14:paraId="2112CEA2">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5）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14:paraId="743148B6">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（6）乙方擅自将本合同的全部或部分事务转由第三方承担（除甲方书面同意的分包人除外），甲方可解除本合同，且乙方应按合同总价的30%向甲方支付违约金。如发生损失的，乙方应赔偿甲方损失。</w:t>
            </w:r>
          </w:p>
          <w:p w14:paraId="0EEEA69C">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（7）乙方未按网络安全履行责任和义务的，每发生一次扣除违约金10000元。</w:t>
            </w:r>
          </w:p>
          <w:p w14:paraId="760DC057">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（8）乙方未按保密管理条款规定执行的，每发现一次处违约金10000元，如发生泄密事件，除赔偿甲方损失外，还应承担全部法律责任。</w:t>
            </w:r>
          </w:p>
          <w:p w14:paraId="6192086B">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（9）服务期间，甲方对乙方实施考核，如有违约的，根据考核条款进行处置，直至解除合同。</w:t>
            </w:r>
          </w:p>
          <w:p w14:paraId="7312CE1B">
            <w:pPr>
              <w:adjustRightInd w:val="0"/>
              <w:snapToGrid w:val="0"/>
              <w:spacing w:line="360" w:lineRule="auto"/>
              <w:ind w:firstLine="480" w:firstLineChars="200"/>
              <w:rPr>
                <w:rFonts w:ascii="宋体" w:hAnsi="宋体" w:cs="宋体"/>
                <w:iCs/>
                <w:color w:val="auto"/>
                <w:sz w:val="24"/>
                <w:highlight w:val="none"/>
                <w:u w:val="single"/>
              </w:rPr>
            </w:pPr>
            <w:r>
              <w:rPr>
                <w:rFonts w:hint="eastAsia" w:ascii="宋体" w:hAnsi="宋体" w:cs="宋体"/>
                <w:iCs/>
                <w:color w:val="auto"/>
                <w:sz w:val="24"/>
                <w:highlight w:val="none"/>
                <w:u w:val="single"/>
              </w:rPr>
              <w:t>（10）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10000元违约金，且甲方有权在要求乙方支付违约金的同时，单方面解除合同，并就由此造成的一切损失均由乙方负责赔偿。</w:t>
            </w:r>
          </w:p>
          <w:p w14:paraId="14B573EB">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iCs/>
                <w:color w:val="auto"/>
                <w:sz w:val="24"/>
                <w:highlight w:val="none"/>
                <w:u w:val="single"/>
              </w:rPr>
              <w:t>（11）</w:t>
            </w:r>
            <w:r>
              <w:rPr>
                <w:rFonts w:hint="eastAsia" w:ascii="宋体" w:hAnsi="宋体" w:cs="宋体"/>
                <w:color w:val="auto"/>
                <w:sz w:val="24"/>
                <w:highlight w:val="none"/>
                <w:u w:val="single"/>
              </w:rPr>
              <w:t>本项目履约过程中，乙方承诺预留中小企业的比例应达到合同总价的【100】%，若未达到此要求，甲方有权没收全部履约保证金（如有），报送相关采购监管部门，提前列入失信行为记录名单，追究相关责任，且乙方应向甲方支付合同总价30%的违约金。</w:t>
            </w:r>
          </w:p>
          <w:p w14:paraId="1A4BB908">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（12）乙方所有人员的事故和乙方或乙方派遣人员工作过错造成的安全管理事故，乙方自行负全部责任及相关费用。</w:t>
            </w:r>
          </w:p>
          <w:p w14:paraId="2CC68354">
            <w:pPr>
              <w:spacing w:line="480" w:lineRule="auto"/>
              <w:ind w:firstLine="480" w:firstLineChars="200"/>
              <w:rPr>
                <w:rFonts w:ascii="宋体" w:hAnsi="宋体" w:cs="宋体"/>
                <w:color w:val="auto"/>
                <w:sz w:val="24"/>
                <w:highlight w:val="none"/>
              </w:rPr>
            </w:pPr>
            <w:r>
              <w:rPr>
                <w:rFonts w:hint="eastAsia" w:ascii="宋体" w:hAnsi="宋体" w:cs="宋体"/>
                <w:iCs/>
                <w:color w:val="auto"/>
                <w:sz w:val="24"/>
                <w:highlight w:val="none"/>
                <w:u w:val="single"/>
              </w:rPr>
              <w:t>（13）服务违约金在结算合同尾款时一次性扣除。</w:t>
            </w:r>
          </w:p>
        </w:tc>
      </w:tr>
      <w:tr w14:paraId="7F76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043C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tcBorders>
              <w:left w:val="single" w:color="auto" w:sz="6" w:space="0"/>
            </w:tcBorders>
            <w:vAlign w:val="center"/>
          </w:tcPr>
          <w:p w14:paraId="7E6A992B">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529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A3069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tcBorders>
              <w:left w:val="single" w:color="auto" w:sz="6" w:space="0"/>
            </w:tcBorders>
            <w:vAlign w:val="center"/>
          </w:tcPr>
          <w:p w14:paraId="1C1DF2CF">
            <w:pPr>
              <w:spacing w:line="360" w:lineRule="auto"/>
              <w:rPr>
                <w:rFonts w:ascii="宋体" w:hAnsi="宋体" w:cs="宋体"/>
                <w:color w:val="auto"/>
                <w:sz w:val="24"/>
                <w:highlight w:val="none"/>
              </w:rPr>
            </w:pPr>
            <w:r>
              <w:rPr>
                <w:rFonts w:hint="eastAsia" w:ascii="宋体" w:hAnsi="宋体" w:cs="宋体"/>
                <w:color w:val="auto"/>
                <w:sz w:val="24"/>
                <w:highlight w:val="none"/>
              </w:rPr>
              <w:t>向甲方所在地人民法院起诉。</w:t>
            </w:r>
          </w:p>
        </w:tc>
      </w:tr>
      <w:tr w14:paraId="03B8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1E4E09">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tcBorders>
              <w:left w:val="single" w:color="auto" w:sz="6" w:space="0"/>
            </w:tcBorders>
            <w:vAlign w:val="center"/>
          </w:tcPr>
          <w:p w14:paraId="60C8826D">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本项目所产生的相关文档知识产权归属甲方。</w:t>
            </w:r>
          </w:p>
        </w:tc>
      </w:tr>
      <w:tr w14:paraId="013E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2E5384">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64" w:type="pct"/>
            <w:tcBorders>
              <w:left w:val="single" w:color="auto" w:sz="6" w:space="0"/>
            </w:tcBorders>
            <w:vAlign w:val="center"/>
          </w:tcPr>
          <w:p w14:paraId="401AE858">
            <w:pPr>
              <w:spacing w:line="360" w:lineRule="auto"/>
              <w:ind w:left="0" w:leftChars="0" w:right="-420" w:rightChars="-200" w:firstLine="0" w:firstLineChars="0"/>
              <w:rPr>
                <w:rFonts w:ascii="宋体" w:hAnsi="宋体" w:cs="宋体"/>
                <w:color w:val="auto"/>
                <w:sz w:val="24"/>
                <w:highlight w:val="none"/>
              </w:rPr>
            </w:pPr>
            <w:r>
              <w:rPr>
                <w:rFonts w:hint="eastAsia" w:ascii="宋体" w:hAnsi="宋体" w:cs="宋体"/>
                <w:color w:val="auto"/>
                <w:sz w:val="24"/>
                <w:highlight w:val="none"/>
              </w:rPr>
              <w:t>详见1.6.2</w:t>
            </w:r>
          </w:p>
        </w:tc>
      </w:tr>
      <w:tr w14:paraId="5D1C2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4F097A">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4464" w:type="pct"/>
            <w:tcBorders>
              <w:left w:val="single" w:color="auto" w:sz="6" w:space="0"/>
            </w:tcBorders>
            <w:vAlign w:val="center"/>
          </w:tcPr>
          <w:p w14:paraId="27A29D9D">
            <w:pPr>
              <w:spacing w:line="360" w:lineRule="auto"/>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因不可抗力致使合同有变更必要的，双方当事人应在15个工作日内以书面形式变更合同；</w:t>
            </w:r>
          </w:p>
        </w:tc>
      </w:tr>
      <w:tr w14:paraId="2B84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069E084">
            <w:pPr>
              <w:spacing w:line="360" w:lineRule="auto"/>
              <w:rPr>
                <w:rFonts w:ascii="宋体" w:hAnsi="宋体" w:cs="宋体"/>
                <w:color w:val="auto"/>
                <w:sz w:val="24"/>
                <w:highlight w:val="none"/>
              </w:rPr>
            </w:pPr>
            <w:r>
              <w:rPr>
                <w:rFonts w:hint="eastAsia" w:ascii="宋体" w:hAnsi="宋体" w:cs="宋体"/>
                <w:color w:val="auto"/>
                <w:sz w:val="24"/>
                <w:highlight w:val="none"/>
              </w:rPr>
              <w:t>2.11.4</w:t>
            </w:r>
          </w:p>
        </w:tc>
        <w:tc>
          <w:tcPr>
            <w:tcW w:w="4464" w:type="pct"/>
            <w:tcBorders>
              <w:left w:val="single" w:color="auto" w:sz="6" w:space="0"/>
            </w:tcBorders>
          </w:tcPr>
          <w:p w14:paraId="64944BEC">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受不可抗力影响的一方在不可抗力发生后，应在7个工作日内以书面形式通知对方当事人，并在10个工作日内，将有关部门出具的证明文件送达对方当事人。</w:t>
            </w:r>
          </w:p>
        </w:tc>
      </w:tr>
      <w:tr w14:paraId="1FA0C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E6665F">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4464" w:type="pct"/>
            <w:tcBorders>
              <w:left w:val="single" w:color="auto" w:sz="6" w:space="0"/>
            </w:tcBorders>
            <w:vAlign w:val="center"/>
          </w:tcPr>
          <w:p w14:paraId="13A4498E">
            <w:p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第一次验收2025年11月30日以后，第二次验收</w:t>
            </w:r>
            <w:r>
              <w:rPr>
                <w:rFonts w:hint="eastAsia" w:ascii="宋体" w:hAnsi="宋体" w:cs="宋体"/>
                <w:color w:val="auto"/>
                <w:sz w:val="24"/>
                <w:highlight w:val="none"/>
                <w:u w:val="single"/>
              </w:rPr>
              <w:t>2026年7月31日服务期结束后。</w:t>
            </w:r>
          </w:p>
        </w:tc>
      </w:tr>
      <w:tr w14:paraId="7813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63C625">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4464" w:type="pct"/>
            <w:vAlign w:val="center"/>
          </w:tcPr>
          <w:p w14:paraId="50C13F70">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6A3D4E52">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本项目为信息化项目，根据甲方内控要求,项目交付验收时项目单位向甲方提交交付验收材料，由甲方组织开展交付验收；项目服务期满后,项目单位应向市公安局科信局提交《信息化建设项目验收表》及验收所需相应材料,由市公安局科信局按照市政府履约验收相关管理办法的程序,结合市局相关内控制度组织开展终验。</w:t>
            </w:r>
          </w:p>
          <w:p w14:paraId="4C05A28D">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3、交付验收时，按照采购合同的约定对每一项技术、服务、安全标准的交付情况进行确认；项目终验时，按照采购合同的约定对每一项技术、服务、安全标准的履约情况进行确认。</w:t>
            </w:r>
            <w:r>
              <w:rPr>
                <w:rFonts w:hint="eastAsia" w:ascii="宋体" w:hAnsi="宋体" w:cs="宋体"/>
                <w:color w:val="auto"/>
                <w:kern w:val="0"/>
                <w:sz w:val="24"/>
                <w:highlight w:val="none"/>
                <w:u w:val="single"/>
              </w:rPr>
              <w:t>甲方委托第三方机构组织验收，成立验收小组（验收小组由5人组成：</w:t>
            </w:r>
            <w:r>
              <w:rPr>
                <w:rFonts w:hint="eastAsia" w:ascii="宋体" w:hAnsi="宋体" w:cs="宋体"/>
                <w:bCs/>
                <w:color w:val="auto"/>
                <w:sz w:val="24"/>
                <w:highlight w:val="none"/>
                <w:u w:val="single"/>
              </w:rPr>
              <w:t>其中甲方代表1人，评审专家4人由</w:t>
            </w:r>
            <w:r>
              <w:rPr>
                <w:rFonts w:hint="eastAsia" w:ascii="宋体" w:hAnsi="宋体" w:cs="宋体"/>
                <w:color w:val="auto"/>
                <w:kern w:val="0"/>
                <w:sz w:val="24"/>
                <w:highlight w:val="none"/>
                <w:u w:val="single"/>
              </w:rPr>
              <w:t>第三方机构从乐采云专家库相关专业随机抽取</w:t>
            </w:r>
            <w:r>
              <w:rPr>
                <w:rFonts w:hint="eastAsia" w:ascii="宋体" w:hAnsi="宋体" w:cs="宋体"/>
                <w:bCs/>
                <w:color w:val="auto"/>
                <w:sz w:val="24"/>
                <w:highlight w:val="none"/>
                <w:u w:val="single"/>
              </w:rPr>
              <w:t>）</w:t>
            </w:r>
            <w:r>
              <w:rPr>
                <w:rFonts w:hint="eastAsia" w:ascii="宋体" w:hAnsi="宋体" w:cs="宋体"/>
                <w:color w:val="auto"/>
                <w:sz w:val="24"/>
                <w:highlight w:val="none"/>
                <w:u w:val="single"/>
              </w:rPr>
              <w:t>，验收小组现场组织对设备进行清点，出具验收报告并经验收小组全体成员签字。验收结果分为通过和不通过。验收结果为通过的，如存在待改进完善的问题，乙方应及时整改到位；验收结果为不通过的，乙方应及时整改并重新提出验收申请。甲方根据验收报告形成验收意见并经甲方与乙方签字盖章，并在财政指定媒体上公示无异议后生效。验收结果与采购合同约定的资金支付</w:t>
            </w:r>
            <w:r>
              <w:rPr>
                <w:rFonts w:ascii="宋体" w:hAnsi="宋体" w:cs="宋体"/>
                <w:color w:val="auto"/>
                <w:sz w:val="24"/>
                <w:highlight w:val="none"/>
                <w:u w:val="single"/>
              </w:rPr>
              <w:t>及履约保证金退还</w:t>
            </w:r>
            <w:r>
              <w:rPr>
                <w:rFonts w:hint="eastAsia" w:ascii="宋体" w:hAnsi="宋体" w:cs="宋体"/>
                <w:color w:val="auto"/>
                <w:sz w:val="24"/>
                <w:highlight w:val="none"/>
                <w:u w:val="single"/>
              </w:rPr>
              <w:t>挂钩。履约验收的各项资料应当存档备查。</w:t>
            </w:r>
          </w:p>
          <w:p w14:paraId="798AD1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4、验收合格的项目，甲方将根据采购合同的约定及时向乙方支付采购资金</w:t>
            </w:r>
            <w:r>
              <w:rPr>
                <w:rFonts w:hint="eastAsia" w:ascii="宋体" w:hAnsi="宋体" w:cs="宋体"/>
                <w:color w:val="auto"/>
                <w:sz w:val="24"/>
                <w:highlight w:val="none"/>
                <w:u w:val="single"/>
                <w:lang w:eastAsia="zh-CN"/>
              </w:rPr>
              <w:t>无息</w:t>
            </w:r>
            <w:r>
              <w:rPr>
                <w:rFonts w:ascii="宋体" w:hAnsi="宋体" w:cs="宋体"/>
                <w:color w:val="auto"/>
                <w:sz w:val="24"/>
                <w:highlight w:val="none"/>
                <w:u w:val="single"/>
              </w:rPr>
              <w:t>退还履约保证金</w:t>
            </w:r>
            <w:r>
              <w:rPr>
                <w:rFonts w:hint="eastAsia" w:ascii="宋体" w:hAnsi="宋体" w:cs="宋体"/>
                <w:color w:val="auto"/>
                <w:sz w:val="24"/>
                <w:highlight w:val="none"/>
                <w:u w:val="single"/>
              </w:rPr>
              <w:t>。验收不合格的项目，甲方将依法及时处理。采购合同的履行、违约责任和解决争议的方式等适用《中华人民共和国民法典》。</w:t>
            </w:r>
          </w:p>
          <w:p w14:paraId="762C76A7">
            <w:pPr>
              <w:tabs>
                <w:tab w:val="left" w:pos="904"/>
              </w:tabs>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5、验收产生的费用首次验收费用由甲方承担，如首次验收不合格，后续验收费用由乙方支付。</w:t>
            </w:r>
          </w:p>
          <w:p w14:paraId="54EDD3FA">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6、验收内容及资料要求：</w:t>
            </w:r>
          </w:p>
          <w:p w14:paraId="25196505">
            <w:pPr>
              <w:spacing w:line="360" w:lineRule="auto"/>
              <w:ind w:firstLine="420"/>
              <w:jc w:val="left"/>
              <w:rPr>
                <w:rFonts w:ascii="宋体" w:hAnsi="宋体" w:cs="宋体"/>
                <w:color w:val="auto"/>
                <w:sz w:val="24"/>
                <w:highlight w:val="none"/>
                <w:u w:val="single"/>
              </w:rPr>
            </w:pPr>
            <w:r>
              <w:rPr>
                <w:rFonts w:hint="eastAsia" w:ascii="宋体" w:hAnsi="宋体" w:cs="宋体"/>
                <w:color w:val="auto"/>
                <w:sz w:val="24"/>
                <w:highlight w:val="none"/>
                <w:u w:val="single"/>
              </w:rPr>
              <w:t>根据采购文件确定的技术指标或者服务要求确定验收指标和标准。未进行相应约定的，应当符合国家强制性规定、政策要求、安全标准、行业</w:t>
            </w:r>
            <w:r>
              <w:rPr>
                <w:rFonts w:ascii="宋体" w:hAnsi="宋体" w:cs="宋体"/>
                <w:color w:val="auto"/>
                <w:sz w:val="24"/>
                <w:highlight w:val="none"/>
                <w:u w:val="single"/>
              </w:rPr>
              <w:t>和</w:t>
            </w:r>
            <w:r>
              <w:rPr>
                <w:rFonts w:hint="eastAsia" w:ascii="宋体" w:hAnsi="宋体" w:cs="宋体"/>
                <w:color w:val="auto"/>
                <w:sz w:val="24"/>
                <w:highlight w:val="none"/>
                <w:u w:val="single"/>
              </w:rPr>
              <w:t>企业有关标准等。</w:t>
            </w:r>
          </w:p>
          <w:p w14:paraId="22C6628E">
            <w:pPr>
              <w:spacing w:line="360" w:lineRule="auto"/>
              <w:ind w:firstLine="420"/>
              <w:jc w:val="left"/>
              <w:rPr>
                <w:rFonts w:ascii="宋体" w:hAnsi="宋体" w:cs="宋体"/>
                <w:b/>
                <w:color w:val="auto"/>
                <w:sz w:val="24"/>
                <w:highlight w:val="none"/>
                <w:u w:val="single"/>
              </w:rPr>
            </w:pPr>
            <w:r>
              <w:rPr>
                <w:rFonts w:hint="eastAsia" w:ascii="宋体" w:hAnsi="宋体" w:cs="宋体"/>
                <w:b/>
                <w:color w:val="auto"/>
                <w:sz w:val="24"/>
                <w:highlight w:val="none"/>
                <w:u w:val="single"/>
              </w:rPr>
              <w:t>6.1验收内容</w:t>
            </w:r>
          </w:p>
          <w:tbl>
            <w:tblPr>
              <w:tblStyle w:val="63"/>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72"/>
              <w:gridCol w:w="5230"/>
            </w:tblGrid>
            <w:tr w14:paraId="5737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134228B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61" w:type="pct"/>
                  <w:tcBorders>
                    <w:top w:val="single" w:color="auto" w:sz="4" w:space="0"/>
                    <w:left w:val="single" w:color="auto" w:sz="4" w:space="0"/>
                    <w:bottom w:val="single" w:color="auto" w:sz="4" w:space="0"/>
                    <w:right w:val="single" w:color="auto" w:sz="4" w:space="0"/>
                  </w:tcBorders>
                  <w:noWrap/>
                  <w:vAlign w:val="center"/>
                </w:tcPr>
                <w:p w14:paraId="3DECAB0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验收内容</w:t>
                  </w:r>
                </w:p>
              </w:tc>
              <w:tc>
                <w:tcPr>
                  <w:tcW w:w="3344" w:type="pct"/>
                  <w:tcBorders>
                    <w:top w:val="single" w:color="auto" w:sz="4" w:space="0"/>
                    <w:left w:val="single" w:color="auto" w:sz="4" w:space="0"/>
                    <w:bottom w:val="single" w:color="auto" w:sz="4" w:space="0"/>
                    <w:right w:val="single" w:color="auto" w:sz="4" w:space="0"/>
                  </w:tcBorders>
                  <w:vAlign w:val="center"/>
                </w:tcPr>
                <w:p w14:paraId="2BA2458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验收标准</w:t>
                  </w:r>
                </w:p>
              </w:tc>
            </w:tr>
            <w:tr w14:paraId="1839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4878C0E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61" w:type="pct"/>
                  <w:tcBorders>
                    <w:top w:val="single" w:color="auto" w:sz="4" w:space="0"/>
                    <w:left w:val="single" w:color="auto" w:sz="4" w:space="0"/>
                    <w:bottom w:val="single" w:color="auto" w:sz="4" w:space="0"/>
                    <w:right w:val="single" w:color="auto" w:sz="4" w:space="0"/>
                  </w:tcBorders>
                  <w:noWrap/>
                  <w:vAlign w:val="center"/>
                </w:tcPr>
                <w:p w14:paraId="1B8A0262">
                  <w:pPr>
                    <w:widowControl/>
                    <w:spacing w:line="360" w:lineRule="auto"/>
                    <w:rPr>
                      <w:rFonts w:ascii="宋体" w:hAnsi="宋体" w:cs="宋体"/>
                      <w:color w:val="auto"/>
                      <w:sz w:val="24"/>
                      <w:highlight w:val="none"/>
                    </w:rPr>
                  </w:pPr>
                  <w:r>
                    <w:rPr>
                      <w:rFonts w:hint="eastAsia" w:ascii="宋体" w:hAnsi="宋体" w:cs="宋体"/>
                      <w:color w:val="auto"/>
                      <w:sz w:val="24"/>
                      <w:highlight w:val="none"/>
                    </w:rPr>
                    <w:t>租赁设备</w:t>
                  </w:r>
                </w:p>
              </w:tc>
              <w:tc>
                <w:tcPr>
                  <w:tcW w:w="3344" w:type="pct"/>
                  <w:tcBorders>
                    <w:top w:val="single" w:color="auto" w:sz="4" w:space="0"/>
                    <w:left w:val="single" w:color="auto" w:sz="4" w:space="0"/>
                    <w:bottom w:val="single" w:color="auto" w:sz="4" w:space="0"/>
                    <w:right w:val="single" w:color="auto" w:sz="4" w:space="0"/>
                  </w:tcBorders>
                  <w:vAlign w:val="center"/>
                </w:tcPr>
                <w:p w14:paraId="25F20A0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核对租赁清单，对设备的品牌、型号、数量、设备技术参数功能进行验收。</w:t>
                  </w:r>
                </w:p>
              </w:tc>
            </w:tr>
            <w:tr w14:paraId="163B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20D6564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61" w:type="pct"/>
                  <w:tcBorders>
                    <w:top w:val="single" w:color="auto" w:sz="4" w:space="0"/>
                    <w:left w:val="single" w:color="auto" w:sz="4" w:space="0"/>
                    <w:bottom w:val="single" w:color="auto" w:sz="4" w:space="0"/>
                    <w:right w:val="single" w:color="auto" w:sz="4" w:space="0"/>
                  </w:tcBorders>
                  <w:noWrap/>
                  <w:vAlign w:val="center"/>
                </w:tcPr>
                <w:p w14:paraId="7159DE0C">
                  <w:pPr>
                    <w:widowControl/>
                    <w:spacing w:line="360" w:lineRule="auto"/>
                    <w:rPr>
                      <w:rFonts w:ascii="宋体" w:hAnsi="宋体" w:cs="宋体"/>
                      <w:color w:val="auto"/>
                      <w:sz w:val="24"/>
                      <w:highlight w:val="none"/>
                    </w:rPr>
                  </w:pPr>
                  <w:r>
                    <w:rPr>
                      <w:rFonts w:hint="eastAsia" w:ascii="宋体" w:hAnsi="宋体" w:cs="宋体"/>
                      <w:color w:val="auto"/>
                      <w:sz w:val="24"/>
                      <w:highlight w:val="none"/>
                    </w:rPr>
                    <w:t>对终端设备管理进行管理</w:t>
                  </w:r>
                </w:p>
              </w:tc>
              <w:tc>
                <w:tcPr>
                  <w:tcW w:w="3344" w:type="pct"/>
                  <w:tcBorders>
                    <w:top w:val="single" w:color="auto" w:sz="4" w:space="0"/>
                    <w:left w:val="single" w:color="auto" w:sz="4" w:space="0"/>
                    <w:bottom w:val="single" w:color="auto" w:sz="4" w:space="0"/>
                    <w:right w:val="single" w:color="auto" w:sz="4" w:space="0"/>
                  </w:tcBorders>
                  <w:vAlign w:val="center"/>
                </w:tcPr>
                <w:p w14:paraId="5936AF6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现场测试对终端设备进行遥晕、遥启、对讲通话录音的管理功能进行验收。</w:t>
                  </w:r>
                </w:p>
              </w:tc>
            </w:tr>
            <w:tr w14:paraId="5AA0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39984AC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61" w:type="pct"/>
                  <w:tcBorders>
                    <w:top w:val="single" w:color="auto" w:sz="4" w:space="0"/>
                    <w:left w:val="single" w:color="auto" w:sz="4" w:space="0"/>
                    <w:bottom w:val="single" w:color="auto" w:sz="4" w:space="0"/>
                    <w:right w:val="single" w:color="auto" w:sz="4" w:space="0"/>
                  </w:tcBorders>
                  <w:noWrap/>
                  <w:vAlign w:val="center"/>
                </w:tcPr>
                <w:p w14:paraId="6D00A430">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租赁期间的维护服务</w:t>
                  </w:r>
                </w:p>
              </w:tc>
              <w:tc>
                <w:tcPr>
                  <w:tcW w:w="3344" w:type="pct"/>
                  <w:tcBorders>
                    <w:top w:val="single" w:color="auto" w:sz="4" w:space="0"/>
                    <w:left w:val="single" w:color="auto" w:sz="4" w:space="0"/>
                    <w:bottom w:val="single" w:color="auto" w:sz="4" w:space="0"/>
                    <w:right w:val="single" w:color="auto" w:sz="4" w:space="0"/>
                  </w:tcBorders>
                  <w:vAlign w:val="center"/>
                </w:tcPr>
                <w:p w14:paraId="74B7FB9B">
                  <w:pPr>
                    <w:spacing w:line="360" w:lineRule="auto"/>
                    <w:rPr>
                      <w:rFonts w:ascii="宋体" w:hAnsi="宋体" w:cs="宋体"/>
                      <w:color w:val="auto"/>
                      <w:sz w:val="24"/>
                      <w:highlight w:val="none"/>
                    </w:rPr>
                  </w:pPr>
                  <w:r>
                    <w:rPr>
                      <w:rFonts w:hint="eastAsia" w:ascii="宋体" w:hAnsi="宋体" w:cs="宋体"/>
                      <w:color w:val="auto"/>
                      <w:sz w:val="24"/>
                      <w:highlight w:val="none"/>
                    </w:rPr>
                    <w:t>巡检、故障分析、应急方案等满足采购需求。</w:t>
                  </w:r>
                </w:p>
              </w:tc>
            </w:tr>
            <w:tr w14:paraId="0D57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292CB47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61" w:type="pct"/>
                  <w:tcBorders>
                    <w:top w:val="single" w:color="auto" w:sz="4" w:space="0"/>
                    <w:left w:val="single" w:color="auto" w:sz="4" w:space="0"/>
                    <w:bottom w:val="single" w:color="auto" w:sz="4" w:space="0"/>
                    <w:right w:val="single" w:color="auto" w:sz="4" w:space="0"/>
                  </w:tcBorders>
                  <w:noWrap/>
                  <w:vAlign w:val="center"/>
                </w:tcPr>
                <w:p w14:paraId="43B41A26">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服务人员情况</w:t>
                  </w:r>
                </w:p>
              </w:tc>
              <w:tc>
                <w:tcPr>
                  <w:tcW w:w="3344" w:type="pct"/>
                  <w:tcBorders>
                    <w:top w:val="single" w:color="auto" w:sz="4" w:space="0"/>
                    <w:left w:val="single" w:color="auto" w:sz="4" w:space="0"/>
                    <w:bottom w:val="single" w:color="auto" w:sz="4" w:space="0"/>
                    <w:right w:val="single" w:color="auto" w:sz="4" w:space="0"/>
                  </w:tcBorders>
                  <w:vAlign w:val="center"/>
                </w:tcPr>
                <w:p w14:paraId="638F2D60">
                  <w:pPr>
                    <w:adjustRightInd w:val="0"/>
                    <w:snapToGrid w:val="0"/>
                    <w:spacing w:line="276" w:lineRule="auto"/>
                    <w:rPr>
                      <w:rFonts w:ascii="宋体" w:hAnsi="宋体" w:cs="宋体"/>
                      <w:bCs/>
                      <w:color w:val="auto"/>
                      <w:sz w:val="24"/>
                      <w:highlight w:val="none"/>
                    </w:rPr>
                  </w:pPr>
                  <w:r>
                    <w:rPr>
                      <w:rFonts w:hint="eastAsia" w:ascii="宋体" w:hAnsi="宋体" w:cs="宋体"/>
                      <w:bCs/>
                      <w:color w:val="auto"/>
                      <w:sz w:val="24"/>
                      <w:highlight w:val="none"/>
                    </w:rPr>
                    <w:t>在服务期间，按合同和投标文件投入相应资质的项目组成员和技术人员。</w:t>
                  </w:r>
                </w:p>
                <w:p w14:paraId="61C0F253">
                  <w:pPr>
                    <w:adjustRightInd w:val="0"/>
                    <w:snapToGrid w:val="0"/>
                    <w:spacing w:line="276" w:lineRule="auto"/>
                    <w:rPr>
                      <w:rFonts w:ascii="宋体" w:hAnsi="宋体" w:cs="宋体"/>
                      <w:bCs/>
                      <w:color w:val="auto"/>
                      <w:sz w:val="24"/>
                      <w:highlight w:val="none"/>
                    </w:rPr>
                  </w:pPr>
                  <w:r>
                    <w:rPr>
                      <w:rFonts w:hint="eastAsia" w:ascii="宋体" w:hAnsi="宋体" w:cs="宋体"/>
                      <w:bCs/>
                      <w:color w:val="auto"/>
                      <w:sz w:val="24"/>
                      <w:highlight w:val="none"/>
                    </w:rPr>
                    <w:t>提供至少2名服务人员（含项目负责人、驻点人员），</w:t>
                  </w:r>
                  <w:r>
                    <w:rPr>
                      <w:rFonts w:hint="eastAsia" w:ascii="宋体" w:hAnsi="宋体" w:cs="宋体"/>
                      <w:color w:val="auto"/>
                      <w:sz w:val="24"/>
                      <w:highlight w:val="none"/>
                    </w:rPr>
                    <w:t>年龄均55周岁（含）以下，</w:t>
                  </w:r>
                  <w:r>
                    <w:rPr>
                      <w:rFonts w:hint="eastAsia" w:ascii="宋体" w:hAnsi="宋体" w:cs="宋体"/>
                      <w:color w:val="auto"/>
                      <w:kern w:val="0"/>
                      <w:sz w:val="24"/>
                      <w:highlight w:val="none"/>
                    </w:rPr>
                    <w:t>且均具有大专及以上学历，并且均</w:t>
                  </w:r>
                  <w:r>
                    <w:rPr>
                      <w:rFonts w:hint="eastAsia" w:ascii="宋体" w:hAnsi="宋体" w:cs="宋体"/>
                      <w:bCs/>
                      <w:color w:val="auto"/>
                      <w:sz w:val="24"/>
                      <w:highlight w:val="none"/>
                    </w:rPr>
                    <w:t>具有</w:t>
                  </w:r>
                  <w:r>
                    <w:rPr>
                      <w:rFonts w:hint="eastAsia" w:ascii="宋体" w:hAnsi="宋体" w:cs="宋体"/>
                      <w:bCs/>
                      <w:color w:val="auto"/>
                      <w:sz w:val="24"/>
                      <w:highlight w:val="none"/>
                      <w:lang w:eastAsia="zh-CN"/>
                    </w:rPr>
                    <w:t>类似</w:t>
                  </w:r>
                  <w:r>
                    <w:rPr>
                      <w:rFonts w:hint="eastAsia" w:ascii="宋体" w:hAnsi="宋体" w:cs="宋体"/>
                      <w:bCs/>
                      <w:color w:val="auto"/>
                      <w:sz w:val="24"/>
                      <w:highlight w:val="none"/>
                    </w:rPr>
                    <w:t>移动终端租赁项目工作经验。</w:t>
                  </w:r>
                </w:p>
                <w:p w14:paraId="12738436">
                  <w:pPr>
                    <w:adjustRightInd w:val="0"/>
                    <w:snapToGrid w:val="0"/>
                    <w:spacing w:line="276" w:lineRule="auto"/>
                    <w:rPr>
                      <w:rFonts w:ascii="宋体" w:hAnsi="宋体" w:cs="宋体"/>
                      <w:color w:val="auto"/>
                      <w:sz w:val="24"/>
                      <w:highlight w:val="none"/>
                    </w:rPr>
                  </w:pPr>
                  <w:r>
                    <w:rPr>
                      <w:rFonts w:hint="eastAsia" w:ascii="宋体" w:hAnsi="宋体" w:cs="宋体"/>
                      <w:bCs/>
                      <w:color w:val="auto"/>
                      <w:sz w:val="24"/>
                      <w:highlight w:val="none"/>
                    </w:rPr>
                    <w:t>服务人员工作时间、地点满足采购要求。</w:t>
                  </w:r>
                </w:p>
              </w:tc>
            </w:tr>
            <w:tr w14:paraId="3FCF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51B9CD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61" w:type="pct"/>
                  <w:tcBorders>
                    <w:top w:val="single" w:color="auto" w:sz="4" w:space="0"/>
                    <w:left w:val="single" w:color="auto" w:sz="4" w:space="0"/>
                    <w:bottom w:val="single" w:color="auto" w:sz="4" w:space="0"/>
                    <w:right w:val="single" w:color="auto" w:sz="4" w:space="0"/>
                  </w:tcBorders>
                  <w:noWrap/>
                  <w:vAlign w:val="center"/>
                </w:tcPr>
                <w:p w14:paraId="7ACE171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故障维修情况</w:t>
                  </w:r>
                </w:p>
              </w:tc>
              <w:tc>
                <w:tcPr>
                  <w:tcW w:w="3344" w:type="pct"/>
                  <w:tcBorders>
                    <w:top w:val="single" w:color="auto" w:sz="4" w:space="0"/>
                    <w:left w:val="single" w:color="auto" w:sz="4" w:space="0"/>
                    <w:bottom w:val="single" w:color="auto" w:sz="4" w:space="0"/>
                    <w:right w:val="single" w:color="auto" w:sz="4" w:space="0"/>
                  </w:tcBorders>
                  <w:vAlign w:val="center"/>
                </w:tcPr>
                <w:p w14:paraId="661C5FE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故障响应时间按照合同及投标文件要求实施响应、修复。</w:t>
                  </w:r>
                </w:p>
              </w:tc>
            </w:tr>
            <w:tr w14:paraId="008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493EDC5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61" w:type="pct"/>
                  <w:tcBorders>
                    <w:top w:val="single" w:color="auto" w:sz="4" w:space="0"/>
                    <w:left w:val="single" w:color="auto" w:sz="4" w:space="0"/>
                    <w:bottom w:val="single" w:color="auto" w:sz="4" w:space="0"/>
                    <w:right w:val="single" w:color="auto" w:sz="4" w:space="0"/>
                  </w:tcBorders>
                  <w:noWrap/>
                  <w:vAlign w:val="center"/>
                </w:tcPr>
                <w:p w14:paraId="10B53FF3">
                  <w:pPr>
                    <w:widowControl/>
                    <w:spacing w:line="360" w:lineRule="auto"/>
                    <w:rPr>
                      <w:rFonts w:ascii="宋体" w:hAnsi="宋体" w:cs="宋体"/>
                      <w:color w:val="auto"/>
                      <w:sz w:val="24"/>
                      <w:highlight w:val="none"/>
                    </w:rPr>
                  </w:pPr>
                  <w:r>
                    <w:rPr>
                      <w:rFonts w:hint="eastAsia" w:ascii="宋体" w:hAnsi="宋体" w:cs="宋体"/>
                      <w:color w:val="auto"/>
                      <w:sz w:val="24"/>
                      <w:highlight w:val="none"/>
                    </w:rPr>
                    <w:t>保密要求</w:t>
                  </w:r>
                </w:p>
              </w:tc>
              <w:tc>
                <w:tcPr>
                  <w:tcW w:w="3344" w:type="pct"/>
                  <w:tcBorders>
                    <w:top w:val="single" w:color="auto" w:sz="4" w:space="0"/>
                    <w:left w:val="single" w:color="auto" w:sz="4" w:space="0"/>
                    <w:bottom w:val="single" w:color="auto" w:sz="4" w:space="0"/>
                    <w:right w:val="single" w:color="auto" w:sz="4" w:space="0"/>
                  </w:tcBorders>
                  <w:vAlign w:val="center"/>
                </w:tcPr>
                <w:p w14:paraId="09F78ED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满足甲方的保密规定实施，签订单位保密协议、个人保密承诺书。</w:t>
                  </w:r>
                </w:p>
              </w:tc>
            </w:tr>
            <w:tr w14:paraId="5DA0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698E9513">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261" w:type="pct"/>
                  <w:tcBorders>
                    <w:top w:val="single" w:color="auto" w:sz="4" w:space="0"/>
                    <w:left w:val="single" w:color="auto" w:sz="4" w:space="0"/>
                    <w:bottom w:val="single" w:color="auto" w:sz="4" w:space="0"/>
                    <w:right w:val="single" w:color="auto" w:sz="4" w:space="0"/>
                  </w:tcBorders>
                  <w:noWrap/>
                  <w:vAlign w:val="center"/>
                </w:tcPr>
                <w:p w14:paraId="06F3B864">
                  <w:pPr>
                    <w:widowControl/>
                    <w:spacing w:line="360" w:lineRule="auto"/>
                    <w:rPr>
                      <w:rFonts w:ascii="宋体" w:hAnsi="宋体" w:cs="宋体"/>
                      <w:color w:val="auto"/>
                      <w:sz w:val="24"/>
                      <w:highlight w:val="none"/>
                    </w:rPr>
                  </w:pPr>
                  <w:r>
                    <w:rPr>
                      <w:rFonts w:hint="eastAsia" w:ascii="宋体" w:hAnsi="宋体" w:cs="宋体"/>
                      <w:bCs/>
                      <w:color w:val="auto"/>
                      <w:kern w:val="0"/>
                      <w:sz w:val="24"/>
                      <w:highlight w:val="none"/>
                    </w:rPr>
                    <w:t>网络安全与责任管理</w:t>
                  </w:r>
                </w:p>
              </w:tc>
              <w:tc>
                <w:tcPr>
                  <w:tcW w:w="3344" w:type="pct"/>
                  <w:tcBorders>
                    <w:top w:val="single" w:color="auto" w:sz="4" w:space="0"/>
                    <w:left w:val="single" w:color="auto" w:sz="4" w:space="0"/>
                    <w:bottom w:val="single" w:color="auto" w:sz="4" w:space="0"/>
                    <w:right w:val="single" w:color="auto" w:sz="4" w:space="0"/>
                  </w:tcBorders>
                  <w:vAlign w:val="center"/>
                </w:tcPr>
                <w:p w14:paraId="6E5A2DEF">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1、明确乙方法定代表人为合作事项网络安全第一责任人，具体承担合作事项的部门主要负责人为直接责任人。</w:t>
                  </w:r>
                </w:p>
                <w:p w14:paraId="66DBDED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2、乙方不得转包合同任务，未经甲方书面同意不得分包合同任务。</w:t>
                  </w:r>
                </w:p>
                <w:p w14:paraId="3098454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3、乙方应制订与合作事项相关的网络安全保障方案和网络安全事件应急预案。</w:t>
                  </w:r>
                </w:p>
                <w:p w14:paraId="5AD8BC1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4、乙方发现网络安全漏洞、缺陷或者其他严重网络安全风险，应及时向甲方报告。</w:t>
                  </w:r>
                </w:p>
                <w:p w14:paraId="67E8E16B">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5、处理合作事项的信息平台应当优先采用符合安全可靠测评要求的硬件和软件产品</w:t>
                  </w:r>
                </w:p>
                <w:p w14:paraId="2BF62551">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6、发生可能影响合作事项的网络安全重大事项，包括负责人及重要工作人员变更、业务转型、合并重组和投资并购等，乙方应提前向甲方报告。</w:t>
                  </w:r>
                </w:p>
                <w:p w14:paraId="0668536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7、采用社会公共网络平台实施合作事项时，严禁涉及国家秘密和警务工作秘密。</w:t>
                  </w:r>
                </w:p>
                <w:p w14:paraId="52CD132E">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8、乙方应于2026年8月1日前向甲方提交网络安全报告。</w:t>
                  </w:r>
                </w:p>
                <w:p w14:paraId="083B2830">
                  <w:pPr>
                    <w:widowControl/>
                    <w:spacing w:line="360" w:lineRule="auto"/>
                    <w:ind w:left="0" w:leftChars="0" w:firstLine="0" w:firstLineChars="0"/>
                    <w:jc w:val="left"/>
                    <w:rPr>
                      <w:rFonts w:ascii="宋体" w:hAnsi="宋体" w:cs="宋体"/>
                      <w:color w:val="auto"/>
                      <w:kern w:val="0"/>
                      <w:sz w:val="24"/>
                      <w:highlight w:val="none"/>
                    </w:rPr>
                  </w:pPr>
                  <w:r>
                    <w:rPr>
                      <w:rFonts w:hint="eastAsia" w:ascii="宋体" w:hAnsi="宋体" w:cs="宋体"/>
                      <w:color w:val="auto"/>
                      <w:sz w:val="24"/>
                      <w:highlight w:val="none"/>
                    </w:rPr>
                    <w:t>9、其他应当落实的网络安全责任和义务。</w:t>
                  </w:r>
                </w:p>
              </w:tc>
            </w:tr>
            <w:tr w14:paraId="12E0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5F3E2EC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261" w:type="pct"/>
                  <w:tcBorders>
                    <w:top w:val="single" w:color="auto" w:sz="4" w:space="0"/>
                    <w:left w:val="single" w:color="auto" w:sz="4" w:space="0"/>
                    <w:bottom w:val="single" w:color="auto" w:sz="4" w:space="0"/>
                    <w:right w:val="single" w:color="auto" w:sz="4" w:space="0"/>
                  </w:tcBorders>
                  <w:noWrap/>
                  <w:vAlign w:val="center"/>
                </w:tcPr>
                <w:p w14:paraId="5CA47049">
                  <w:pPr>
                    <w:widowControl/>
                    <w:spacing w:line="360" w:lineRule="auto"/>
                    <w:rPr>
                      <w:rFonts w:ascii="宋体" w:hAnsi="宋体" w:cs="宋体"/>
                      <w:color w:val="auto"/>
                      <w:sz w:val="24"/>
                      <w:highlight w:val="none"/>
                    </w:rPr>
                  </w:pPr>
                  <w:r>
                    <w:rPr>
                      <w:rFonts w:hint="eastAsia" w:ascii="宋体" w:hAnsi="宋体" w:cs="宋体"/>
                      <w:color w:val="auto"/>
                      <w:sz w:val="24"/>
                      <w:highlight w:val="none"/>
                    </w:rPr>
                    <w:t>项目资料</w:t>
                  </w:r>
                </w:p>
              </w:tc>
              <w:tc>
                <w:tcPr>
                  <w:tcW w:w="3344" w:type="pct"/>
                  <w:tcBorders>
                    <w:top w:val="single" w:color="auto" w:sz="4" w:space="0"/>
                    <w:left w:val="single" w:color="auto" w:sz="4" w:space="0"/>
                    <w:bottom w:val="single" w:color="auto" w:sz="4" w:space="0"/>
                    <w:right w:val="single" w:color="auto" w:sz="4" w:space="0"/>
                  </w:tcBorders>
                  <w:vAlign w:val="center"/>
                </w:tcPr>
                <w:p w14:paraId="3C019C59">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要及时做好租赁总结报告、巡检报告、故障分析报告、甲方交办的文档资料、监理单位需要乙方配合完成的文档资料、信息化建设项目变更审批表（如有）、故障分析说明（如有）等。</w:t>
                  </w:r>
                </w:p>
              </w:tc>
            </w:tr>
            <w:tr w14:paraId="58E1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0702901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261" w:type="pct"/>
                  <w:tcBorders>
                    <w:top w:val="single" w:color="auto" w:sz="4" w:space="0"/>
                    <w:left w:val="single" w:color="auto" w:sz="4" w:space="0"/>
                    <w:bottom w:val="single" w:color="auto" w:sz="4" w:space="0"/>
                    <w:right w:val="single" w:color="auto" w:sz="4" w:space="0"/>
                  </w:tcBorders>
                  <w:noWrap/>
                  <w:vAlign w:val="center"/>
                </w:tcPr>
                <w:p w14:paraId="4D5BFC55">
                  <w:pPr>
                    <w:widowControl/>
                    <w:spacing w:line="360" w:lineRule="auto"/>
                    <w:rPr>
                      <w:rFonts w:ascii="宋体" w:hAnsi="宋体" w:cs="宋体"/>
                      <w:color w:val="auto"/>
                      <w:sz w:val="24"/>
                      <w:highlight w:val="none"/>
                    </w:rPr>
                  </w:pPr>
                  <w:r>
                    <w:rPr>
                      <w:rFonts w:hint="eastAsia" w:ascii="宋体" w:hAnsi="宋体" w:cs="宋体"/>
                      <w:color w:val="auto"/>
                      <w:sz w:val="24"/>
                      <w:highlight w:val="none"/>
                    </w:rPr>
                    <w:t>中小企业比例</w:t>
                  </w:r>
                </w:p>
              </w:tc>
              <w:tc>
                <w:tcPr>
                  <w:tcW w:w="3344" w:type="pct"/>
                  <w:tcBorders>
                    <w:top w:val="single" w:color="auto" w:sz="4" w:space="0"/>
                    <w:left w:val="single" w:color="auto" w:sz="4" w:space="0"/>
                    <w:bottom w:val="single" w:color="auto" w:sz="4" w:space="0"/>
                    <w:right w:val="single" w:color="auto" w:sz="4" w:space="0"/>
                  </w:tcBorders>
                  <w:vAlign w:val="center"/>
                </w:tcPr>
                <w:p w14:paraId="22EB511D">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本项目履约过程中，不存在转包行为，且确保服务内容100%面向中小企业。</w:t>
                  </w:r>
                </w:p>
              </w:tc>
            </w:tr>
            <w:tr w14:paraId="6159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5" w:type="pct"/>
                  <w:tcBorders>
                    <w:top w:val="single" w:color="auto" w:sz="4" w:space="0"/>
                    <w:left w:val="single" w:color="auto" w:sz="4" w:space="0"/>
                    <w:bottom w:val="single" w:color="auto" w:sz="4" w:space="0"/>
                    <w:right w:val="single" w:color="auto" w:sz="4" w:space="0"/>
                  </w:tcBorders>
                  <w:noWrap/>
                  <w:vAlign w:val="center"/>
                </w:tcPr>
                <w:p w14:paraId="000F7B6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261" w:type="pct"/>
                  <w:tcBorders>
                    <w:top w:val="single" w:color="auto" w:sz="4" w:space="0"/>
                    <w:left w:val="single" w:color="auto" w:sz="4" w:space="0"/>
                    <w:bottom w:val="single" w:color="auto" w:sz="4" w:space="0"/>
                    <w:right w:val="single" w:color="auto" w:sz="4" w:space="0"/>
                  </w:tcBorders>
                  <w:vAlign w:val="center"/>
                </w:tcPr>
                <w:p w14:paraId="090A4BA9">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其他工作</w:t>
                  </w:r>
                </w:p>
              </w:tc>
              <w:tc>
                <w:tcPr>
                  <w:tcW w:w="3344" w:type="pct"/>
                  <w:tcBorders>
                    <w:top w:val="single" w:color="auto" w:sz="4" w:space="0"/>
                    <w:left w:val="single" w:color="auto" w:sz="4" w:space="0"/>
                    <w:bottom w:val="single" w:color="auto" w:sz="4" w:space="0"/>
                    <w:right w:val="single" w:color="auto" w:sz="4" w:space="0"/>
                  </w:tcBorders>
                  <w:vAlign w:val="center"/>
                </w:tcPr>
                <w:p w14:paraId="125F3B08">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履行项目采购文件、投标文件、合同条款中涉及的其他承诺的情况。</w:t>
                  </w:r>
                </w:p>
              </w:tc>
            </w:tr>
          </w:tbl>
          <w:p w14:paraId="7306F8D3">
            <w:pPr>
              <w:pStyle w:val="33"/>
              <w:adjustRightInd w:val="0"/>
              <w:snapToGrid w:val="0"/>
              <w:spacing w:line="360" w:lineRule="auto"/>
              <w:ind w:right="-512" w:firstLine="542" w:firstLineChars="225"/>
              <w:rPr>
                <w:rFonts w:hAnsi="宋体" w:cs="宋体"/>
                <w:color w:val="auto"/>
                <w:sz w:val="24"/>
                <w:szCs w:val="24"/>
                <w:highlight w:val="none"/>
              </w:rPr>
            </w:pPr>
            <w:r>
              <w:rPr>
                <w:rFonts w:hint="eastAsia" w:hAnsi="宋体" w:cs="宋体"/>
                <w:b/>
                <w:color w:val="auto"/>
                <w:sz w:val="24"/>
                <w:szCs w:val="24"/>
                <w:highlight w:val="none"/>
              </w:rPr>
              <w:t>6.2 验收资料：</w:t>
            </w:r>
          </w:p>
          <w:p w14:paraId="01C8C01E">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招标文件；</w:t>
            </w:r>
          </w:p>
          <w:p w14:paraId="2671CCA6">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投标文件；</w:t>
            </w:r>
          </w:p>
          <w:p w14:paraId="71B22A56">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项目合同；</w:t>
            </w:r>
          </w:p>
          <w:p w14:paraId="0C6AC271">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租赁设备清单：需甲方、中标单位、监理单位签字并盖章；</w:t>
            </w:r>
          </w:p>
          <w:p w14:paraId="2FD1E16B">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每月巡检报告：需甲方、中标单位、监理单位签字并盖章；</w:t>
            </w:r>
          </w:p>
          <w:p w14:paraId="52F576D7">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租赁总结报告；</w:t>
            </w:r>
          </w:p>
          <w:p w14:paraId="0E6B7675">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项目组人员清单、人员更变审批表（如有）、社保证明材料、学历证明、资历证明、驻点人员每日钉钉考勤打卡记录；</w:t>
            </w:r>
          </w:p>
          <w:p w14:paraId="01BBDC10">
            <w:pPr>
              <w:pStyle w:val="6"/>
              <w:numPr>
                <w:ilvl w:val="0"/>
                <w:numId w:val="5"/>
              </w:numPr>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每月考核材料：需甲方、中标单位、监理单位签字并盖章；</w:t>
            </w:r>
          </w:p>
          <w:p w14:paraId="72B4E8F2">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验收报审表：由中标单位提交，经监理单位及甲方审批；</w:t>
            </w:r>
          </w:p>
          <w:p w14:paraId="4ECEE27C">
            <w:pPr>
              <w:numPr>
                <w:ilvl w:val="0"/>
                <w:numId w:val="5"/>
              </w:numPr>
              <w:adjustRightInd w:val="0"/>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培训记录、培训资料；</w:t>
            </w:r>
          </w:p>
          <w:p w14:paraId="576CBF4E">
            <w:pPr>
              <w:numPr>
                <w:ilvl w:val="0"/>
                <w:numId w:val="5"/>
              </w:numPr>
              <w:adjustRightInd w:val="0"/>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维修记录、应急抢修维护方案、故障分析报告及解决方案、故障说明材料（如有）；</w:t>
            </w:r>
          </w:p>
          <w:p w14:paraId="1C40456F">
            <w:pPr>
              <w:numPr>
                <w:ilvl w:val="0"/>
                <w:numId w:val="5"/>
              </w:numPr>
              <w:adjustRightInd w:val="0"/>
              <w:snapToGrid w:val="0"/>
              <w:spacing w:line="360" w:lineRule="auto"/>
              <w:ind w:left="0" w:firstLine="420"/>
              <w:rPr>
                <w:rFonts w:ascii="宋体" w:hAnsi="宋体" w:cs="宋体"/>
                <w:color w:val="auto"/>
                <w:sz w:val="24"/>
                <w:highlight w:val="none"/>
              </w:rPr>
            </w:pPr>
            <w:r>
              <w:rPr>
                <w:rFonts w:hint="eastAsia" w:ascii="宋体" w:hAnsi="宋体" w:cs="宋体"/>
                <w:color w:val="auto"/>
                <w:sz w:val="24"/>
                <w:highlight w:val="none"/>
              </w:rPr>
              <w:t>产品合格证、质量保证书；</w:t>
            </w:r>
          </w:p>
          <w:p w14:paraId="75AC384D">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网络安全保障方案、网络安全事件应急预案、网络安全风险书面报告（如有）、网络安全重大事项书面报告（如有）、网络安全报告</w:t>
            </w:r>
            <w:r>
              <w:rPr>
                <w:rFonts w:hint="eastAsia" w:hAnsi="宋体" w:cs="宋体"/>
                <w:color w:val="auto"/>
                <w:sz w:val="24"/>
                <w:highlight w:val="none"/>
              </w:rPr>
              <w:t>（第二次验收时提供）</w:t>
            </w:r>
            <w:r>
              <w:rPr>
                <w:rFonts w:hint="eastAsia" w:hAnsi="宋体" w:cs="宋体"/>
                <w:color w:val="auto"/>
                <w:kern w:val="2"/>
                <w:sz w:val="24"/>
                <w:szCs w:val="24"/>
                <w:highlight w:val="none"/>
              </w:rPr>
              <w:t>；</w:t>
            </w:r>
          </w:p>
          <w:p w14:paraId="05379190">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信息化建设项目变更审批表（如有）；</w:t>
            </w:r>
          </w:p>
          <w:p w14:paraId="45B720AD">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单位保密协议、个人保密承诺书、日常保密教育台帐；</w:t>
            </w:r>
          </w:p>
          <w:p w14:paraId="2AC2826F">
            <w:pPr>
              <w:pStyle w:val="6"/>
              <w:numPr>
                <w:ilvl w:val="0"/>
                <w:numId w:val="5"/>
              </w:numPr>
              <w:tabs>
                <w:tab w:val="center" w:pos="4153"/>
              </w:tabs>
              <w:spacing w:line="360" w:lineRule="auto"/>
              <w:ind w:left="60"/>
              <w:rPr>
                <w:rFonts w:hAnsi="宋体" w:cs="宋体"/>
                <w:color w:val="auto"/>
                <w:kern w:val="2"/>
                <w:sz w:val="24"/>
                <w:szCs w:val="24"/>
                <w:highlight w:val="none"/>
              </w:rPr>
            </w:pPr>
            <w:r>
              <w:rPr>
                <w:rFonts w:hint="eastAsia" w:hAnsi="宋体" w:cs="宋体"/>
                <w:color w:val="auto"/>
                <w:kern w:val="2"/>
                <w:sz w:val="24"/>
                <w:szCs w:val="24"/>
                <w:highlight w:val="none"/>
              </w:rPr>
              <w:t>中小企业证明材料；</w:t>
            </w:r>
          </w:p>
          <w:p w14:paraId="4E7945B5">
            <w:pPr>
              <w:pStyle w:val="6"/>
              <w:numPr>
                <w:ilvl w:val="0"/>
                <w:numId w:val="5"/>
              </w:numPr>
              <w:tabs>
                <w:tab w:val="center" w:pos="4153"/>
              </w:tabs>
              <w:spacing w:line="360" w:lineRule="auto"/>
              <w:ind w:left="60"/>
              <w:rPr>
                <w:rFonts w:hAnsi="宋体" w:cs="宋体"/>
                <w:color w:val="auto"/>
                <w:sz w:val="24"/>
                <w:highlight w:val="none"/>
              </w:rPr>
            </w:pPr>
            <w:r>
              <w:rPr>
                <w:rFonts w:hint="eastAsia" w:hAnsi="宋体" w:cs="宋体"/>
                <w:color w:val="auto"/>
                <w:kern w:val="2"/>
                <w:sz w:val="24"/>
                <w:szCs w:val="24"/>
                <w:highlight w:val="none"/>
              </w:rPr>
              <w:t>其他项目所需的资料。</w:t>
            </w:r>
          </w:p>
        </w:tc>
      </w:tr>
      <w:tr w14:paraId="6EC3D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9A8D2E2">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Borders>
              <w:left w:val="single" w:color="auto" w:sz="6" w:space="0"/>
            </w:tcBorders>
          </w:tcPr>
          <w:p w14:paraId="1F45A4F8">
            <w:pPr>
              <w:spacing w:line="360" w:lineRule="auto"/>
              <w:rPr>
                <w:rFonts w:ascii="宋体" w:hAnsi="宋体" w:cs="宋体"/>
                <w:color w:val="auto"/>
                <w:sz w:val="24"/>
                <w:highlight w:val="none"/>
              </w:rPr>
            </w:pPr>
            <w:r>
              <w:rPr>
                <w:rFonts w:hint="eastAsia" w:ascii="宋体" w:hAnsi="宋体" w:cs="宋体"/>
                <w:color w:val="auto"/>
                <w:sz w:val="24"/>
                <w:highlight w:val="none"/>
              </w:rPr>
              <w:t>本合同正本壹式陆份，具有同等法律效力，甲乙双方各执叁份。</w:t>
            </w:r>
          </w:p>
        </w:tc>
      </w:tr>
      <w:tr w14:paraId="025C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31DE984">
            <w:pPr>
              <w:spacing w:line="360" w:lineRule="auto"/>
              <w:rPr>
                <w:rFonts w:ascii="宋体" w:hAnsi="宋体" w:cs="宋体"/>
                <w:color w:val="auto"/>
                <w:sz w:val="24"/>
                <w:highlight w:val="none"/>
              </w:rPr>
            </w:pPr>
            <w:r>
              <w:rPr>
                <w:rFonts w:hint="eastAsia" w:ascii="宋体" w:hAnsi="宋体" w:cs="宋体"/>
                <w:color w:val="auto"/>
                <w:sz w:val="24"/>
                <w:highlight w:val="none"/>
              </w:rPr>
              <w:t>3.1</w:t>
            </w:r>
          </w:p>
        </w:tc>
        <w:tc>
          <w:tcPr>
            <w:tcW w:w="4464" w:type="pct"/>
          </w:tcPr>
          <w:p w14:paraId="5E56CC2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一、项目服务内容</w:t>
            </w:r>
          </w:p>
          <w:p w14:paraId="7B731492">
            <w:pPr>
              <w:spacing w:line="360" w:lineRule="auto"/>
              <w:ind w:firstLine="580"/>
              <w:rPr>
                <w:rFonts w:ascii="宋体" w:hAnsi="宋体" w:cs="宋体"/>
                <w:color w:val="auto"/>
                <w:sz w:val="24"/>
                <w:highlight w:val="none"/>
              </w:rPr>
            </w:pPr>
            <w:r>
              <w:rPr>
                <w:rFonts w:hint="eastAsia" w:ascii="宋体" w:hAnsi="宋体" w:cs="宋体"/>
                <w:color w:val="auto"/>
                <w:sz w:val="24"/>
                <w:highlight w:val="none"/>
              </w:rPr>
              <w:t>租赁2000台PDT数字集群终端设备及终端设备管理服务。</w:t>
            </w:r>
          </w:p>
          <w:p w14:paraId="50AA3CFC">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具体内容如下：</w:t>
            </w:r>
          </w:p>
          <w:p w14:paraId="31412ED6">
            <w:pPr>
              <w:ind w:firstLine="480"/>
              <w:rPr>
                <w:rFonts w:ascii="宋体" w:hAnsi="宋体" w:cs="宋体"/>
                <w:b/>
                <w:bCs/>
                <w:color w:val="auto"/>
                <w:highlight w:val="none"/>
              </w:rPr>
            </w:pPr>
            <w:r>
              <w:rPr>
                <w:rFonts w:hint="eastAsia" w:ascii="宋体" w:hAnsi="宋体" w:cs="宋体"/>
                <w:b/>
                <w:bCs/>
                <w:color w:val="auto"/>
                <w:highlight w:val="none"/>
              </w:rPr>
              <w:t>一）应用功能</w:t>
            </w:r>
          </w:p>
          <w:p w14:paraId="4BEF446B">
            <w:pPr>
              <w:ind w:firstLine="480"/>
              <w:rPr>
                <w:rFonts w:ascii="宋体" w:hAnsi="宋体" w:cs="宋体"/>
                <w:color w:val="auto"/>
                <w:highlight w:val="none"/>
              </w:rPr>
            </w:pPr>
            <w:r>
              <w:rPr>
                <w:rFonts w:hint="eastAsia" w:ascii="宋体" w:hAnsi="宋体" w:cs="宋体"/>
                <w:color w:val="auto"/>
                <w:highlight w:val="none"/>
              </w:rPr>
              <w:t>1基本功能</w:t>
            </w:r>
          </w:p>
          <w:p w14:paraId="18C75526">
            <w:pPr>
              <w:ind w:firstLine="480"/>
              <w:rPr>
                <w:rFonts w:ascii="宋体" w:hAnsi="宋体" w:cs="宋体"/>
                <w:color w:val="auto"/>
                <w:highlight w:val="none"/>
              </w:rPr>
            </w:pPr>
            <w:r>
              <w:rPr>
                <w:rFonts w:hint="eastAsia" w:ascii="宋体" w:hAnsi="宋体" w:cs="宋体"/>
                <w:color w:val="auto"/>
                <w:highlight w:val="none"/>
              </w:rPr>
              <w:t>1.1移动性管理</w:t>
            </w:r>
          </w:p>
          <w:p w14:paraId="7022CD12">
            <w:pPr>
              <w:ind w:firstLine="480"/>
              <w:rPr>
                <w:rFonts w:ascii="宋体" w:hAnsi="宋体" w:cs="宋体"/>
                <w:color w:val="auto"/>
                <w:highlight w:val="none"/>
              </w:rPr>
            </w:pPr>
            <w:r>
              <w:rPr>
                <w:rFonts w:hint="eastAsia" w:ascii="宋体" w:hAnsi="宋体" w:cs="宋体"/>
                <w:color w:val="auto"/>
                <w:highlight w:val="none"/>
              </w:rPr>
              <w:t>移动性管理包含开机登记、附加鉴权登记、群登记、关机注销、组登记、组注销、越区切换/漫游等业务。</w:t>
            </w:r>
          </w:p>
          <w:p w14:paraId="46D59786">
            <w:pPr>
              <w:ind w:firstLine="480"/>
              <w:rPr>
                <w:rFonts w:ascii="宋体" w:hAnsi="宋体" w:cs="宋体"/>
                <w:color w:val="auto"/>
                <w:highlight w:val="none"/>
              </w:rPr>
            </w:pPr>
            <w:r>
              <w:rPr>
                <w:rFonts w:hint="eastAsia" w:ascii="宋体" w:hAnsi="宋体" w:cs="宋体"/>
                <w:color w:val="auto"/>
                <w:highlight w:val="none"/>
              </w:rPr>
              <w:t>PDT标准鉴权：</w:t>
            </w:r>
          </w:p>
          <w:p w14:paraId="0DE59E85">
            <w:pPr>
              <w:ind w:firstLine="480"/>
              <w:rPr>
                <w:rFonts w:ascii="宋体" w:hAnsi="宋体" w:cs="宋体"/>
                <w:color w:val="auto"/>
                <w:highlight w:val="none"/>
              </w:rPr>
            </w:pPr>
            <w:r>
              <w:rPr>
                <w:rFonts w:hint="eastAsia" w:ascii="宋体" w:hAnsi="宋体" w:cs="宋体"/>
                <w:color w:val="auto"/>
                <w:highlight w:val="none"/>
              </w:rPr>
              <w:t>支持PDT安全技术规范规定的鉴权标准和流程。</w:t>
            </w:r>
          </w:p>
          <w:p w14:paraId="4B58BCD6">
            <w:pPr>
              <w:ind w:firstLine="480"/>
              <w:rPr>
                <w:rFonts w:ascii="宋体" w:hAnsi="宋体" w:cs="宋体"/>
                <w:color w:val="auto"/>
                <w:highlight w:val="none"/>
              </w:rPr>
            </w:pPr>
            <w:r>
              <w:rPr>
                <w:rFonts w:hint="eastAsia" w:ascii="宋体" w:hAnsi="宋体" w:cs="宋体"/>
                <w:color w:val="auto"/>
                <w:highlight w:val="none"/>
              </w:rPr>
              <w:t>开机登记：</w:t>
            </w:r>
          </w:p>
          <w:p w14:paraId="4EF1D016">
            <w:pPr>
              <w:ind w:firstLine="480"/>
              <w:rPr>
                <w:rFonts w:ascii="宋体" w:hAnsi="宋体" w:cs="宋体"/>
                <w:color w:val="auto"/>
                <w:highlight w:val="none"/>
              </w:rPr>
            </w:pPr>
            <w:r>
              <w:rPr>
                <w:rFonts w:hint="eastAsia" w:ascii="宋体" w:hAnsi="宋体" w:cs="宋体"/>
                <w:color w:val="auto"/>
                <w:highlight w:val="none"/>
              </w:rPr>
              <w:t>移动终端开机后，需向系统发起登记请求，待系统确认其身份及服务权限后方可为其提供服务。</w:t>
            </w:r>
          </w:p>
          <w:p w14:paraId="4997FF92">
            <w:pPr>
              <w:ind w:firstLine="480"/>
              <w:rPr>
                <w:rFonts w:ascii="宋体" w:hAnsi="宋体" w:cs="宋体"/>
                <w:color w:val="auto"/>
                <w:highlight w:val="none"/>
              </w:rPr>
            </w:pPr>
            <w:r>
              <w:rPr>
                <w:rFonts w:hint="eastAsia" w:ascii="宋体" w:hAnsi="宋体" w:cs="宋体"/>
                <w:color w:val="auto"/>
                <w:highlight w:val="none"/>
              </w:rPr>
              <w:t>备注：为了避免多个移动终端同时登记造成网络繁忙，系统可以利用参数配置规定移动终端开机选择登记或不登记的业务属性。</w:t>
            </w:r>
          </w:p>
          <w:p w14:paraId="1C432BF3">
            <w:pPr>
              <w:ind w:firstLine="480"/>
              <w:rPr>
                <w:rFonts w:ascii="宋体" w:hAnsi="宋体" w:cs="宋体"/>
                <w:color w:val="auto"/>
                <w:highlight w:val="none"/>
              </w:rPr>
            </w:pPr>
            <w:r>
              <w:rPr>
                <w:rFonts w:hint="eastAsia" w:ascii="宋体" w:hAnsi="宋体" w:cs="宋体"/>
                <w:color w:val="auto"/>
                <w:highlight w:val="none"/>
              </w:rPr>
              <w:t>越区切换/漫游：</w:t>
            </w:r>
          </w:p>
          <w:p w14:paraId="6D90C031">
            <w:pPr>
              <w:ind w:firstLine="480"/>
              <w:rPr>
                <w:rFonts w:ascii="宋体" w:hAnsi="宋体" w:cs="宋体"/>
                <w:color w:val="auto"/>
                <w:highlight w:val="none"/>
              </w:rPr>
            </w:pPr>
            <w:r>
              <w:rPr>
                <w:rFonts w:hint="eastAsia" w:ascii="宋体" w:hAnsi="宋体" w:cs="宋体"/>
                <w:color w:val="auto"/>
                <w:highlight w:val="none"/>
              </w:rPr>
              <w:t>移动终端从一个基站的覆盖区域移动到另一个基站的覆盖区域，在移动过程中提供不间断的系统服务，系统自动同步更新移动终端所在的位置。终端处于通话过程中的接收状态时可以实现无缝越区切换，通话不间断。</w:t>
            </w:r>
          </w:p>
          <w:p w14:paraId="3E88A0B2">
            <w:pPr>
              <w:ind w:firstLine="480"/>
              <w:rPr>
                <w:rFonts w:ascii="宋体" w:hAnsi="宋体" w:cs="宋体"/>
                <w:color w:val="auto"/>
                <w:highlight w:val="none"/>
              </w:rPr>
            </w:pPr>
            <w:r>
              <w:rPr>
                <w:rFonts w:hint="eastAsia" w:ascii="宋体" w:hAnsi="宋体" w:cs="宋体"/>
                <w:color w:val="auto"/>
                <w:highlight w:val="none"/>
              </w:rPr>
              <w:t>组管理功能：</w:t>
            </w:r>
          </w:p>
          <w:p w14:paraId="40AA8907">
            <w:pPr>
              <w:ind w:firstLine="480"/>
              <w:rPr>
                <w:rFonts w:ascii="宋体" w:hAnsi="宋体" w:cs="宋体"/>
                <w:color w:val="auto"/>
                <w:highlight w:val="none"/>
              </w:rPr>
            </w:pPr>
            <w:r>
              <w:rPr>
                <w:rFonts w:hint="eastAsia" w:ascii="宋体" w:hAnsi="宋体" w:cs="宋体"/>
                <w:color w:val="auto"/>
                <w:highlight w:val="none"/>
              </w:rPr>
              <w:t>在系统中预先定义好每一个组在发起呼叫时应该有哪些基站需分配信道， 当组呼发起时，定义参与该组通话的基站分配信道，没有定义参与该组的基站则不必分配信道；当定义参与呼叫的基站下面没有该组成员用户时，则该基站在组呼发起时不分配信道。</w:t>
            </w:r>
          </w:p>
          <w:p w14:paraId="79689B1C">
            <w:pPr>
              <w:ind w:firstLine="480"/>
              <w:rPr>
                <w:rFonts w:ascii="宋体" w:hAnsi="宋体" w:cs="宋体"/>
                <w:color w:val="auto"/>
                <w:highlight w:val="none"/>
              </w:rPr>
            </w:pPr>
            <w:r>
              <w:rPr>
                <w:rFonts w:hint="eastAsia" w:ascii="宋体" w:hAnsi="宋体" w:cs="宋体"/>
                <w:color w:val="auto"/>
                <w:highlight w:val="none"/>
              </w:rPr>
              <w:t>组属性：</w:t>
            </w:r>
          </w:p>
          <w:p w14:paraId="5AFD8C14">
            <w:pPr>
              <w:ind w:firstLine="480"/>
              <w:rPr>
                <w:rFonts w:ascii="宋体" w:hAnsi="宋体" w:cs="宋体"/>
                <w:color w:val="auto"/>
                <w:highlight w:val="none"/>
              </w:rPr>
            </w:pPr>
            <w:r>
              <w:rPr>
                <w:rFonts w:hint="eastAsia" w:ascii="宋体" w:hAnsi="宋体" w:cs="宋体"/>
                <w:color w:val="auto"/>
                <w:highlight w:val="none"/>
              </w:rPr>
              <w:t>针对于不同的职能部门对组呼号码进行规划，可分为响应组，参与组，背景组。</w:t>
            </w:r>
          </w:p>
          <w:p w14:paraId="74189162">
            <w:pPr>
              <w:ind w:firstLine="480"/>
              <w:rPr>
                <w:rFonts w:ascii="宋体" w:hAnsi="宋体" w:cs="宋体"/>
                <w:color w:val="auto"/>
                <w:highlight w:val="none"/>
              </w:rPr>
            </w:pPr>
            <w:r>
              <w:rPr>
                <w:rFonts w:hint="eastAsia" w:ascii="宋体" w:hAnsi="宋体" w:cs="宋体"/>
                <w:color w:val="auto"/>
                <w:highlight w:val="none"/>
              </w:rPr>
              <w:t>响应组：终端不需要旋转组呼钮，只要组呼旋钮里有这个组，在任意组下面，即可响应该组的呼叫</w:t>
            </w:r>
          </w:p>
          <w:p w14:paraId="6D0F023D">
            <w:pPr>
              <w:ind w:firstLine="480"/>
              <w:rPr>
                <w:rFonts w:ascii="宋体" w:hAnsi="宋体" w:cs="宋体"/>
                <w:color w:val="auto"/>
                <w:highlight w:val="none"/>
              </w:rPr>
            </w:pPr>
            <w:r>
              <w:rPr>
                <w:rFonts w:hint="eastAsia" w:ascii="宋体" w:hAnsi="宋体" w:cs="宋体"/>
                <w:color w:val="auto"/>
                <w:highlight w:val="none"/>
              </w:rPr>
              <w:t>参与组：终端需要旋转组呼钮，调整到当前呼叫组，才可以响应该组的呼叫</w:t>
            </w:r>
          </w:p>
          <w:p w14:paraId="476B8D26">
            <w:pPr>
              <w:ind w:firstLine="480"/>
              <w:rPr>
                <w:rFonts w:ascii="宋体" w:hAnsi="宋体" w:cs="宋体"/>
                <w:color w:val="auto"/>
                <w:highlight w:val="none"/>
              </w:rPr>
            </w:pPr>
            <w:r>
              <w:rPr>
                <w:rFonts w:hint="eastAsia" w:ascii="宋体" w:hAnsi="宋体" w:cs="宋体"/>
                <w:color w:val="auto"/>
                <w:highlight w:val="none"/>
              </w:rPr>
              <w:t>背景组：在组呼旋钮里查询不到该组，设为背景组的组成员发起不了对该组的呼叫，但在任意组下面，可以响应该组的呼叫。</w:t>
            </w:r>
          </w:p>
          <w:p w14:paraId="37C88461">
            <w:pPr>
              <w:ind w:firstLine="480"/>
              <w:rPr>
                <w:rFonts w:ascii="宋体" w:hAnsi="宋体" w:cs="宋体"/>
                <w:color w:val="auto"/>
                <w:highlight w:val="none"/>
              </w:rPr>
            </w:pPr>
            <w:r>
              <w:rPr>
                <w:rFonts w:hint="eastAsia" w:ascii="宋体" w:hAnsi="宋体" w:cs="宋体"/>
                <w:color w:val="auto"/>
                <w:highlight w:val="none"/>
              </w:rPr>
              <w:t>组呼参与基站动态分配</w:t>
            </w:r>
          </w:p>
          <w:p w14:paraId="0D6B5758">
            <w:pPr>
              <w:ind w:firstLine="480"/>
              <w:rPr>
                <w:rFonts w:ascii="宋体" w:hAnsi="宋体" w:cs="宋体"/>
                <w:color w:val="auto"/>
                <w:highlight w:val="none"/>
              </w:rPr>
            </w:pPr>
            <w:r>
              <w:rPr>
                <w:rFonts w:hint="eastAsia" w:ascii="宋体" w:hAnsi="宋体" w:cs="宋体"/>
                <w:color w:val="auto"/>
                <w:highlight w:val="none"/>
              </w:rPr>
              <w:t>在组呼过程中，一个组的成员可能分布在很多基站的覆盖区域。对于传统的集群系统，由于无法判断当前某一呼叫的组成员分布在哪些基站的覆盖区域，通常会为该组呼分配所有基站的业务信道，而某些基站覆盖区域实际上没有该组呼的成员存在，造成了这些基站分配的业务信道资源浪费。组呼参与基站动态分配功能可以有效提高系统信道利用率。</w:t>
            </w:r>
          </w:p>
          <w:p w14:paraId="2FDAF6A6">
            <w:pPr>
              <w:ind w:firstLine="480"/>
              <w:rPr>
                <w:rFonts w:ascii="宋体" w:hAnsi="宋体" w:cs="宋体"/>
                <w:color w:val="auto"/>
                <w:highlight w:val="none"/>
              </w:rPr>
            </w:pPr>
            <w:r>
              <w:rPr>
                <w:rFonts w:hint="eastAsia" w:ascii="宋体" w:hAnsi="宋体" w:cs="宋体"/>
                <w:color w:val="auto"/>
                <w:highlight w:val="none"/>
              </w:rPr>
              <w:t>PTT授权：</w:t>
            </w:r>
          </w:p>
          <w:p w14:paraId="07B8FF78">
            <w:pPr>
              <w:ind w:firstLine="480"/>
              <w:rPr>
                <w:rFonts w:ascii="宋体" w:hAnsi="宋体" w:cs="宋体"/>
                <w:color w:val="auto"/>
                <w:highlight w:val="none"/>
              </w:rPr>
            </w:pPr>
            <w:r>
              <w:rPr>
                <w:rFonts w:hint="eastAsia" w:ascii="宋体" w:hAnsi="宋体" w:cs="宋体"/>
                <w:color w:val="auto"/>
                <w:highlight w:val="none"/>
              </w:rPr>
              <w:t>在一次通话过程中可能有多个终端参与这个呼叫，PTT授权功能避免了移动终端间语音碰撞，保证了语音通话的完整性。同时也兼容无授权方案。</w:t>
            </w:r>
          </w:p>
          <w:p w14:paraId="32766573">
            <w:pPr>
              <w:ind w:firstLine="480"/>
              <w:rPr>
                <w:rFonts w:ascii="宋体" w:hAnsi="宋体" w:cs="宋体"/>
                <w:color w:val="auto"/>
                <w:highlight w:val="none"/>
              </w:rPr>
            </w:pPr>
            <w:r>
              <w:rPr>
                <w:rFonts w:hint="eastAsia" w:ascii="宋体" w:hAnsi="宋体" w:cs="宋体"/>
                <w:color w:val="auto"/>
                <w:highlight w:val="none"/>
              </w:rPr>
              <w:t>载波检测：</w:t>
            </w:r>
          </w:p>
          <w:p w14:paraId="1D230E90">
            <w:pPr>
              <w:ind w:firstLine="480"/>
              <w:rPr>
                <w:rFonts w:ascii="宋体" w:hAnsi="宋体" w:cs="宋体"/>
                <w:color w:val="auto"/>
                <w:highlight w:val="none"/>
              </w:rPr>
            </w:pPr>
            <w:r>
              <w:rPr>
                <w:rFonts w:hint="eastAsia" w:ascii="宋体" w:hAnsi="宋体" w:cs="宋体"/>
                <w:color w:val="auto"/>
                <w:highlight w:val="none"/>
              </w:rPr>
              <w:t>为了更合理地利用系统资源，保证通话的有效性，单次呼叫建立以后，如果呼叫双方均没有语音发射，双方无人申请PTT到达一定时间后，系统会主动将呼叫拆除。</w:t>
            </w:r>
          </w:p>
          <w:p w14:paraId="2D0DE41F">
            <w:pPr>
              <w:ind w:firstLine="480"/>
              <w:rPr>
                <w:rFonts w:ascii="宋体" w:hAnsi="宋体" w:cs="宋体"/>
                <w:color w:val="auto"/>
                <w:highlight w:val="none"/>
              </w:rPr>
            </w:pPr>
            <w:r>
              <w:rPr>
                <w:rFonts w:hint="eastAsia" w:ascii="宋体" w:hAnsi="宋体" w:cs="宋体"/>
                <w:color w:val="auto"/>
                <w:highlight w:val="none"/>
              </w:rPr>
              <w:t>自动漫游：</w:t>
            </w:r>
          </w:p>
          <w:p w14:paraId="11C2A650">
            <w:pPr>
              <w:ind w:firstLine="480"/>
              <w:rPr>
                <w:rFonts w:ascii="宋体" w:hAnsi="宋体" w:cs="宋体"/>
                <w:color w:val="auto"/>
                <w:highlight w:val="none"/>
              </w:rPr>
            </w:pPr>
            <w:r>
              <w:rPr>
                <w:rFonts w:hint="eastAsia" w:ascii="宋体" w:hAnsi="宋体" w:cs="宋体"/>
                <w:color w:val="auto"/>
                <w:highlight w:val="none"/>
              </w:rPr>
              <w:t>终端支持控制信道背景扫描，可实现自动基站切换与位置更新登记。</w:t>
            </w:r>
          </w:p>
          <w:p w14:paraId="3845BFC1">
            <w:pPr>
              <w:ind w:firstLine="480"/>
              <w:rPr>
                <w:rFonts w:ascii="宋体" w:hAnsi="宋体" w:cs="宋体"/>
                <w:color w:val="auto"/>
                <w:highlight w:val="none"/>
              </w:rPr>
            </w:pPr>
            <w:r>
              <w:rPr>
                <w:rFonts w:hint="eastAsia" w:ascii="宋体" w:hAnsi="宋体" w:cs="宋体"/>
                <w:color w:val="auto"/>
                <w:highlight w:val="none"/>
              </w:rPr>
              <w:t>优先级：</w:t>
            </w:r>
          </w:p>
          <w:p w14:paraId="48A3A43D">
            <w:pPr>
              <w:ind w:firstLine="480"/>
              <w:rPr>
                <w:rFonts w:ascii="宋体" w:hAnsi="宋体" w:cs="宋体"/>
                <w:color w:val="auto"/>
                <w:highlight w:val="none"/>
              </w:rPr>
            </w:pPr>
            <w:r>
              <w:rPr>
                <w:rFonts w:hint="eastAsia" w:ascii="宋体" w:hAnsi="宋体" w:cs="宋体"/>
                <w:color w:val="auto"/>
                <w:highlight w:val="none"/>
              </w:rPr>
              <w:t>支持PDT标准规定的呼叫优先级方案，在信道繁忙时紧急呼叫和预占优先级呼叫可以拆除低优先级呼叫的信道资源；对于其他优先级的呼叫当信道资源繁忙时按优先级高低进行排队。</w:t>
            </w:r>
          </w:p>
          <w:p w14:paraId="78326B79">
            <w:pPr>
              <w:ind w:firstLine="480"/>
              <w:rPr>
                <w:rFonts w:ascii="宋体" w:hAnsi="宋体" w:cs="宋体"/>
                <w:color w:val="auto"/>
                <w:highlight w:val="none"/>
              </w:rPr>
            </w:pPr>
            <w:r>
              <w:rPr>
                <w:rFonts w:hint="eastAsia" w:ascii="宋体" w:hAnsi="宋体" w:cs="宋体"/>
                <w:color w:val="auto"/>
                <w:highlight w:val="none"/>
              </w:rPr>
              <w:t>绝对频点指定：</w:t>
            </w:r>
          </w:p>
          <w:p w14:paraId="00737BFD">
            <w:pPr>
              <w:ind w:firstLine="480"/>
              <w:rPr>
                <w:rFonts w:ascii="宋体" w:hAnsi="宋体" w:cs="宋体"/>
                <w:color w:val="auto"/>
                <w:highlight w:val="none"/>
              </w:rPr>
            </w:pPr>
            <w:r>
              <w:rPr>
                <w:rFonts w:hint="eastAsia" w:ascii="宋体" w:hAnsi="宋体" w:cs="宋体"/>
                <w:color w:val="auto"/>
                <w:highlight w:val="none"/>
              </w:rPr>
              <w:t>支持物理信道绝对频点指定。</w:t>
            </w:r>
          </w:p>
          <w:p w14:paraId="4FBE41AC">
            <w:pPr>
              <w:ind w:firstLine="480"/>
              <w:rPr>
                <w:rFonts w:ascii="宋体" w:hAnsi="宋体" w:cs="宋体"/>
                <w:color w:val="auto"/>
                <w:highlight w:val="none"/>
              </w:rPr>
            </w:pPr>
            <w:r>
              <w:rPr>
                <w:rFonts w:hint="eastAsia" w:ascii="宋体" w:hAnsi="宋体" w:cs="宋体"/>
                <w:color w:val="auto"/>
                <w:highlight w:val="none"/>
              </w:rPr>
              <w:t>OTAP：</w:t>
            </w:r>
          </w:p>
          <w:p w14:paraId="2F1B7A51">
            <w:pPr>
              <w:ind w:firstLine="480"/>
              <w:rPr>
                <w:rFonts w:ascii="宋体" w:hAnsi="宋体" w:cs="宋体"/>
                <w:color w:val="auto"/>
                <w:highlight w:val="none"/>
              </w:rPr>
            </w:pPr>
            <w:r>
              <w:rPr>
                <w:rFonts w:hint="eastAsia" w:ascii="宋体" w:hAnsi="宋体" w:cs="宋体"/>
                <w:color w:val="auto"/>
                <w:highlight w:val="none"/>
              </w:rPr>
              <w:t>通过空口对终端进行写频，修改终端参数设置，主要包括：终端网络参数远程配置（增加终端控制信道参数）；终端个人参数远程配置（例如终端、组别名）。</w:t>
            </w:r>
          </w:p>
          <w:p w14:paraId="13F22A3A">
            <w:pPr>
              <w:ind w:firstLine="480"/>
              <w:rPr>
                <w:rFonts w:ascii="宋体" w:hAnsi="宋体" w:cs="宋体"/>
                <w:color w:val="auto"/>
                <w:highlight w:val="none"/>
              </w:rPr>
            </w:pPr>
            <w:r>
              <w:rPr>
                <w:rFonts w:hint="eastAsia" w:ascii="宋体" w:hAnsi="宋体" w:cs="宋体"/>
                <w:color w:val="auto"/>
                <w:highlight w:val="none"/>
              </w:rPr>
              <w:t xml:space="preserve">端到端加密： </w:t>
            </w:r>
          </w:p>
          <w:p w14:paraId="5F970D8A">
            <w:pPr>
              <w:ind w:firstLine="480"/>
              <w:rPr>
                <w:rFonts w:ascii="宋体" w:hAnsi="宋体" w:cs="宋体"/>
                <w:color w:val="auto"/>
                <w:highlight w:val="none"/>
              </w:rPr>
            </w:pPr>
            <w:r>
              <w:rPr>
                <w:rFonts w:hint="eastAsia" w:ascii="宋体" w:hAnsi="宋体" w:cs="宋体"/>
                <w:color w:val="auto"/>
                <w:highlight w:val="none"/>
              </w:rPr>
              <w:t>无线终端支持PDT安全技术规范规定的端到端加密标准。</w:t>
            </w:r>
          </w:p>
          <w:p w14:paraId="1F715EAA">
            <w:pPr>
              <w:ind w:firstLine="480"/>
              <w:rPr>
                <w:rFonts w:ascii="宋体" w:hAnsi="宋体" w:cs="宋体"/>
                <w:color w:val="auto"/>
                <w:highlight w:val="none"/>
              </w:rPr>
            </w:pPr>
            <w:r>
              <w:rPr>
                <w:rFonts w:hint="eastAsia" w:ascii="宋体" w:hAnsi="宋体" w:cs="宋体"/>
                <w:color w:val="auto"/>
                <w:highlight w:val="none"/>
              </w:rPr>
              <w:t>ESN检查：</w:t>
            </w:r>
          </w:p>
          <w:p w14:paraId="24B0BEA7">
            <w:pPr>
              <w:ind w:firstLine="480"/>
              <w:rPr>
                <w:rFonts w:ascii="宋体" w:hAnsi="宋体" w:cs="宋体"/>
                <w:color w:val="auto"/>
                <w:highlight w:val="none"/>
              </w:rPr>
            </w:pPr>
            <w:r>
              <w:rPr>
                <w:rFonts w:hint="eastAsia" w:ascii="宋体" w:hAnsi="宋体" w:cs="宋体"/>
                <w:color w:val="auto"/>
                <w:highlight w:val="none"/>
              </w:rPr>
              <w:t>在登记时通过设备ESN号确认设备是否合法。</w:t>
            </w:r>
          </w:p>
          <w:p w14:paraId="7AE4EBD7">
            <w:pPr>
              <w:ind w:firstLine="480"/>
              <w:rPr>
                <w:rFonts w:ascii="宋体" w:hAnsi="宋体" w:cs="宋体"/>
                <w:color w:val="auto"/>
                <w:highlight w:val="none"/>
              </w:rPr>
            </w:pPr>
            <w:r>
              <w:rPr>
                <w:rFonts w:hint="eastAsia" w:ascii="宋体" w:hAnsi="宋体" w:cs="宋体"/>
                <w:color w:val="auto"/>
                <w:highlight w:val="none"/>
              </w:rPr>
              <w:t xml:space="preserve">主控信道备份： </w:t>
            </w:r>
          </w:p>
          <w:p w14:paraId="734F1821">
            <w:pPr>
              <w:ind w:firstLine="480"/>
              <w:rPr>
                <w:rFonts w:ascii="宋体" w:hAnsi="宋体" w:cs="宋体"/>
                <w:color w:val="auto"/>
                <w:highlight w:val="none"/>
              </w:rPr>
            </w:pPr>
            <w:r>
              <w:rPr>
                <w:rFonts w:hint="eastAsia" w:ascii="宋体" w:hAnsi="宋体" w:cs="宋体"/>
                <w:color w:val="auto"/>
                <w:highlight w:val="none"/>
              </w:rPr>
              <w:t>每个基站有两个控制信道频点（其中一个频道作为备份控制信道频点），当主控制信道出现故障时系统可以自动切换到备用控制信道。</w:t>
            </w:r>
          </w:p>
          <w:p w14:paraId="06004D8D">
            <w:pPr>
              <w:ind w:firstLine="480"/>
              <w:rPr>
                <w:rFonts w:ascii="宋体" w:hAnsi="宋体" w:cs="宋体"/>
                <w:color w:val="auto"/>
                <w:highlight w:val="none"/>
              </w:rPr>
            </w:pPr>
            <w:r>
              <w:rPr>
                <w:rFonts w:hint="eastAsia" w:ascii="宋体" w:hAnsi="宋体" w:cs="宋体"/>
                <w:color w:val="auto"/>
                <w:highlight w:val="none"/>
              </w:rPr>
              <w:t>信道机休眠：</w:t>
            </w:r>
          </w:p>
          <w:p w14:paraId="37E595D6">
            <w:pPr>
              <w:ind w:firstLine="480"/>
              <w:rPr>
                <w:rFonts w:ascii="宋体" w:hAnsi="宋体" w:cs="宋体"/>
                <w:color w:val="auto"/>
                <w:highlight w:val="none"/>
              </w:rPr>
            </w:pPr>
            <w:r>
              <w:rPr>
                <w:rFonts w:hint="eastAsia" w:ascii="宋体" w:hAnsi="宋体" w:cs="宋体"/>
                <w:color w:val="auto"/>
                <w:highlight w:val="none"/>
              </w:rPr>
              <w:t>业务信道不使用时，信道机进入休眠状态。</w:t>
            </w:r>
          </w:p>
          <w:p w14:paraId="5BFF0D27">
            <w:pPr>
              <w:ind w:firstLine="480"/>
              <w:rPr>
                <w:rFonts w:ascii="宋体" w:hAnsi="宋体" w:cs="宋体"/>
                <w:color w:val="auto"/>
                <w:highlight w:val="none"/>
              </w:rPr>
            </w:pPr>
            <w:r>
              <w:rPr>
                <w:rFonts w:hint="eastAsia" w:ascii="宋体" w:hAnsi="宋体" w:cs="宋体"/>
                <w:color w:val="auto"/>
                <w:highlight w:val="none"/>
              </w:rPr>
              <w:t>远程升级：</w:t>
            </w:r>
          </w:p>
          <w:p w14:paraId="0CD89FC7">
            <w:pPr>
              <w:ind w:firstLine="480"/>
              <w:rPr>
                <w:rFonts w:ascii="宋体" w:hAnsi="宋体" w:cs="宋体"/>
                <w:color w:val="auto"/>
                <w:highlight w:val="none"/>
              </w:rPr>
            </w:pPr>
            <w:r>
              <w:rPr>
                <w:rFonts w:hint="eastAsia" w:ascii="宋体" w:hAnsi="宋体" w:cs="宋体"/>
                <w:color w:val="auto"/>
                <w:highlight w:val="none"/>
              </w:rPr>
              <w:t>实现对所有网元应用软件模块的远程升级。</w:t>
            </w:r>
          </w:p>
          <w:p w14:paraId="1D8D3061">
            <w:pPr>
              <w:ind w:firstLine="480"/>
              <w:rPr>
                <w:rFonts w:ascii="宋体" w:hAnsi="宋体" w:cs="宋体"/>
                <w:color w:val="auto"/>
                <w:highlight w:val="none"/>
              </w:rPr>
            </w:pPr>
            <w:r>
              <w:rPr>
                <w:rFonts w:hint="eastAsia" w:ascii="宋体" w:hAnsi="宋体" w:cs="宋体"/>
                <w:color w:val="auto"/>
                <w:highlight w:val="none"/>
              </w:rPr>
              <w:t>系统同步：</w:t>
            </w:r>
          </w:p>
          <w:p w14:paraId="572847E1">
            <w:pPr>
              <w:ind w:firstLine="480"/>
              <w:rPr>
                <w:rFonts w:ascii="宋体" w:hAnsi="宋体" w:cs="宋体"/>
                <w:color w:val="auto"/>
                <w:highlight w:val="none"/>
              </w:rPr>
            </w:pPr>
            <w:r>
              <w:rPr>
                <w:rFonts w:hint="eastAsia" w:ascii="宋体" w:hAnsi="宋体" w:cs="宋体"/>
                <w:color w:val="auto"/>
                <w:highlight w:val="none"/>
              </w:rPr>
              <w:t>各基站内以及基站间所有信道机间时隙同步，保证快速呼叫建立及基站间无缝越区切换。</w:t>
            </w:r>
          </w:p>
          <w:p w14:paraId="66285482">
            <w:pPr>
              <w:ind w:firstLine="480"/>
              <w:rPr>
                <w:rFonts w:ascii="宋体" w:hAnsi="宋体" w:cs="宋体"/>
                <w:color w:val="auto"/>
                <w:highlight w:val="none"/>
              </w:rPr>
            </w:pPr>
            <w:r>
              <w:rPr>
                <w:rFonts w:hint="eastAsia" w:ascii="宋体" w:hAnsi="宋体" w:cs="宋体"/>
                <w:color w:val="auto"/>
                <w:highlight w:val="none"/>
              </w:rPr>
              <w:t>API接口：</w:t>
            </w:r>
          </w:p>
          <w:p w14:paraId="6E3CC26D">
            <w:pPr>
              <w:ind w:firstLine="480"/>
              <w:rPr>
                <w:rFonts w:ascii="宋体" w:hAnsi="宋体" w:cs="宋体"/>
                <w:color w:val="auto"/>
                <w:highlight w:val="none"/>
              </w:rPr>
            </w:pPr>
            <w:r>
              <w:rPr>
                <w:rFonts w:hint="eastAsia" w:ascii="宋体" w:hAnsi="宋体" w:cs="宋体"/>
                <w:color w:val="auto"/>
                <w:highlight w:val="none"/>
              </w:rPr>
              <w:t>提供系统API接口，用户可以进行定制化应用开发。</w:t>
            </w:r>
          </w:p>
          <w:p w14:paraId="5149ED1A">
            <w:pPr>
              <w:ind w:firstLine="480"/>
              <w:rPr>
                <w:rFonts w:ascii="宋体" w:hAnsi="宋体" w:cs="宋体"/>
                <w:color w:val="auto"/>
                <w:highlight w:val="none"/>
              </w:rPr>
            </w:pPr>
            <w:r>
              <w:rPr>
                <w:rFonts w:hint="eastAsia" w:ascii="宋体" w:hAnsi="宋体" w:cs="宋体"/>
                <w:color w:val="auto"/>
                <w:highlight w:val="none"/>
              </w:rPr>
              <w:t xml:space="preserve">多国语言支持：  </w:t>
            </w:r>
          </w:p>
          <w:p w14:paraId="3611D0F7">
            <w:pPr>
              <w:ind w:firstLine="480"/>
              <w:rPr>
                <w:rFonts w:ascii="宋体" w:hAnsi="宋体" w:cs="宋体"/>
                <w:color w:val="auto"/>
                <w:highlight w:val="none"/>
              </w:rPr>
            </w:pPr>
            <w:r>
              <w:rPr>
                <w:rFonts w:hint="eastAsia" w:ascii="宋体" w:hAnsi="宋体" w:cs="宋体"/>
                <w:color w:val="auto"/>
                <w:highlight w:val="none"/>
              </w:rPr>
              <w:t>支持中/英等多种语言。</w:t>
            </w:r>
          </w:p>
          <w:p w14:paraId="5E0D8099">
            <w:pPr>
              <w:ind w:firstLine="480"/>
              <w:rPr>
                <w:rFonts w:ascii="宋体" w:hAnsi="宋体" w:cs="宋体"/>
                <w:color w:val="auto"/>
                <w:highlight w:val="none"/>
              </w:rPr>
            </w:pPr>
            <w:r>
              <w:rPr>
                <w:rFonts w:hint="eastAsia" w:ascii="宋体" w:hAnsi="宋体" w:cs="宋体"/>
                <w:color w:val="auto"/>
                <w:highlight w:val="none"/>
              </w:rPr>
              <w:t>系统安全：</w:t>
            </w:r>
          </w:p>
          <w:p w14:paraId="19403948">
            <w:pPr>
              <w:ind w:firstLine="480"/>
              <w:rPr>
                <w:rFonts w:ascii="宋体" w:hAnsi="宋体" w:cs="宋体"/>
                <w:color w:val="auto"/>
                <w:highlight w:val="none"/>
              </w:rPr>
            </w:pPr>
            <w:r>
              <w:rPr>
                <w:rFonts w:hint="eastAsia" w:ascii="宋体" w:hAnsi="宋体" w:cs="宋体"/>
                <w:color w:val="auto"/>
                <w:highlight w:val="none"/>
              </w:rPr>
              <w:t>操作系统采用更为安全的linux系统，客户端采用windows7。</w:t>
            </w:r>
          </w:p>
          <w:p w14:paraId="29470B52">
            <w:pPr>
              <w:ind w:firstLine="480"/>
              <w:rPr>
                <w:rFonts w:ascii="宋体" w:hAnsi="宋体" w:cs="宋体"/>
                <w:color w:val="auto"/>
                <w:highlight w:val="none"/>
              </w:rPr>
            </w:pPr>
            <w:r>
              <w:rPr>
                <w:rFonts w:hint="eastAsia" w:ascii="宋体" w:hAnsi="宋体" w:cs="宋体"/>
                <w:color w:val="auto"/>
                <w:highlight w:val="none"/>
              </w:rPr>
              <w:t>1.2安全功能</w:t>
            </w:r>
          </w:p>
          <w:p w14:paraId="65BF2AD0">
            <w:pPr>
              <w:ind w:firstLine="480"/>
              <w:rPr>
                <w:rFonts w:ascii="宋体" w:hAnsi="宋体" w:cs="宋体"/>
                <w:color w:val="auto"/>
                <w:highlight w:val="none"/>
              </w:rPr>
            </w:pPr>
            <w:r>
              <w:rPr>
                <w:rFonts w:hint="eastAsia" w:ascii="宋体" w:hAnsi="宋体" w:cs="宋体"/>
                <w:color w:val="auto"/>
                <w:highlight w:val="none"/>
              </w:rPr>
              <w:t>安全功能主要包括鉴权和加密。</w:t>
            </w:r>
          </w:p>
          <w:p w14:paraId="6F42AB76">
            <w:pPr>
              <w:ind w:firstLine="480"/>
              <w:rPr>
                <w:rFonts w:ascii="宋体" w:hAnsi="宋体" w:cs="宋体"/>
                <w:color w:val="auto"/>
                <w:highlight w:val="none"/>
              </w:rPr>
            </w:pPr>
            <w:r>
              <w:rPr>
                <w:rFonts w:hint="eastAsia" w:ascii="宋体" w:hAnsi="宋体" w:cs="宋体"/>
                <w:color w:val="auto"/>
                <w:highlight w:val="none"/>
              </w:rPr>
              <w:t>鉴权：移动终端在使用某些业务时，会与系统通过约定的加密算法来验证合法性。在安全认证时，可以由移动终端验证系统的合法性，也可以由系统验证移动终端的合法性，或双方相互验证。</w:t>
            </w:r>
          </w:p>
          <w:p w14:paraId="671367BD">
            <w:pPr>
              <w:ind w:firstLine="480"/>
              <w:rPr>
                <w:rFonts w:ascii="宋体" w:hAnsi="宋体" w:cs="宋体"/>
                <w:color w:val="auto"/>
                <w:highlight w:val="none"/>
              </w:rPr>
            </w:pPr>
            <w:r>
              <w:rPr>
                <w:rFonts w:hint="eastAsia" w:ascii="宋体" w:hAnsi="宋体" w:cs="宋体"/>
                <w:color w:val="auto"/>
                <w:highlight w:val="none"/>
              </w:rPr>
              <w:t>加密：主要包括移动终端和基站之间的空口加密和移动终端之间的端到端加密。</w:t>
            </w:r>
          </w:p>
          <w:p w14:paraId="5879ED84">
            <w:pPr>
              <w:ind w:firstLine="480"/>
              <w:rPr>
                <w:rFonts w:ascii="宋体" w:hAnsi="宋体" w:cs="宋体"/>
                <w:color w:val="auto"/>
                <w:highlight w:val="none"/>
              </w:rPr>
            </w:pPr>
            <w:r>
              <w:rPr>
                <w:rFonts w:hint="eastAsia" w:ascii="宋体" w:hAnsi="宋体" w:cs="宋体"/>
                <w:color w:val="auto"/>
                <w:highlight w:val="none"/>
              </w:rPr>
              <w:t>1.3基本话音业务</w:t>
            </w:r>
          </w:p>
          <w:p w14:paraId="63A59D3E">
            <w:pPr>
              <w:ind w:firstLine="480"/>
              <w:rPr>
                <w:rFonts w:ascii="宋体" w:hAnsi="宋体" w:cs="宋体"/>
                <w:color w:val="auto"/>
                <w:highlight w:val="none"/>
              </w:rPr>
            </w:pPr>
            <w:r>
              <w:rPr>
                <w:rFonts w:hint="eastAsia" w:ascii="宋体" w:hAnsi="宋体" w:cs="宋体"/>
                <w:color w:val="auto"/>
                <w:highlight w:val="none"/>
              </w:rPr>
              <w:t>基本语音业务包括单呼、组呼、调度台互连呼叫、电话互连呼叫、MPT系统互连呼叫、系统全呼、广播呼叫等。</w:t>
            </w:r>
          </w:p>
          <w:p w14:paraId="7226E56A">
            <w:pPr>
              <w:ind w:firstLine="480"/>
              <w:rPr>
                <w:rFonts w:ascii="宋体" w:hAnsi="宋体" w:cs="宋体"/>
                <w:color w:val="auto"/>
                <w:highlight w:val="none"/>
              </w:rPr>
            </w:pPr>
            <w:r>
              <w:rPr>
                <w:rFonts w:hint="eastAsia" w:ascii="宋体" w:hAnsi="宋体" w:cs="宋体"/>
                <w:color w:val="auto"/>
                <w:highlight w:val="none"/>
              </w:rPr>
              <w:t>单呼：自动摘机单呼：呼叫发起后，被叫移动终端自动接通呼叫，不需要做任何操作。</w:t>
            </w:r>
          </w:p>
          <w:p w14:paraId="7B3A245E">
            <w:pPr>
              <w:ind w:firstLine="480"/>
              <w:rPr>
                <w:rFonts w:ascii="宋体" w:hAnsi="宋体" w:cs="宋体"/>
                <w:color w:val="auto"/>
                <w:highlight w:val="none"/>
              </w:rPr>
            </w:pPr>
            <w:r>
              <w:rPr>
                <w:rFonts w:hint="eastAsia" w:ascii="宋体" w:hAnsi="宋体" w:cs="宋体"/>
                <w:color w:val="auto"/>
                <w:highlight w:val="none"/>
              </w:rPr>
              <w:t>手动摘机单呼：呼叫发起后，被叫移动终端显示有呼叫，需要按接听键接通呼叫，或按挂机键拒绝该呼叫。</w:t>
            </w:r>
          </w:p>
          <w:p w14:paraId="50C51C15">
            <w:pPr>
              <w:ind w:firstLine="480"/>
              <w:rPr>
                <w:rFonts w:ascii="宋体" w:hAnsi="宋体" w:cs="宋体"/>
                <w:color w:val="auto"/>
                <w:highlight w:val="none"/>
              </w:rPr>
            </w:pPr>
            <w:r>
              <w:rPr>
                <w:rFonts w:hint="eastAsia" w:ascii="宋体" w:hAnsi="宋体" w:cs="宋体"/>
                <w:color w:val="auto"/>
                <w:highlight w:val="none"/>
              </w:rPr>
              <w:t>组呼：多个移动终端（可以包含调度台）之间相互通话的呼叫。一个组成员发起呼叫，其他组成员加入并参与通话，是一种一对多的半双工语音呼叫业务。</w:t>
            </w:r>
          </w:p>
          <w:p w14:paraId="2A2007C7">
            <w:pPr>
              <w:ind w:firstLine="480"/>
              <w:rPr>
                <w:rFonts w:ascii="宋体" w:hAnsi="宋体" w:cs="宋体"/>
                <w:color w:val="auto"/>
                <w:highlight w:val="none"/>
              </w:rPr>
            </w:pPr>
            <w:r>
              <w:rPr>
                <w:rFonts w:hint="eastAsia" w:ascii="宋体" w:hAnsi="宋体" w:cs="宋体"/>
                <w:color w:val="auto"/>
                <w:highlight w:val="none"/>
              </w:rPr>
              <w:t>调度台互连呼叫：移动终端发起包含调度台的呼叫或调度台发起包含移动终端的呼叫。</w:t>
            </w:r>
          </w:p>
          <w:p w14:paraId="1075D579">
            <w:pPr>
              <w:ind w:firstLine="480"/>
              <w:rPr>
                <w:rFonts w:ascii="宋体" w:hAnsi="宋体" w:cs="宋体"/>
                <w:color w:val="auto"/>
                <w:highlight w:val="none"/>
              </w:rPr>
            </w:pPr>
            <w:r>
              <w:rPr>
                <w:rFonts w:hint="eastAsia" w:ascii="宋体" w:hAnsi="宋体" w:cs="宋体"/>
                <w:color w:val="auto"/>
                <w:highlight w:val="none"/>
              </w:rPr>
              <w:t>系统全呼：全系统所有终端都参与的通话，只有发起通话的终端能讲话，其他终端只能接收通话。</w:t>
            </w:r>
          </w:p>
          <w:p w14:paraId="4D72F9A1">
            <w:pPr>
              <w:ind w:firstLine="480"/>
              <w:rPr>
                <w:rFonts w:ascii="宋体" w:hAnsi="宋体" w:cs="宋体"/>
                <w:color w:val="auto"/>
                <w:highlight w:val="none"/>
              </w:rPr>
            </w:pPr>
            <w:r>
              <w:rPr>
                <w:rFonts w:hint="eastAsia" w:ascii="宋体" w:hAnsi="宋体" w:cs="宋体"/>
                <w:color w:val="auto"/>
                <w:highlight w:val="none"/>
              </w:rPr>
              <w:t>广播呼叫：面向特定的一个或多个移动终端发起的通话，只有发起终端能讲话，其他终端只能接收通话。</w:t>
            </w:r>
          </w:p>
          <w:p w14:paraId="3DEA6068">
            <w:pPr>
              <w:ind w:firstLine="480"/>
              <w:rPr>
                <w:rFonts w:ascii="宋体" w:hAnsi="宋体" w:cs="宋体"/>
                <w:color w:val="auto"/>
                <w:highlight w:val="none"/>
              </w:rPr>
            </w:pPr>
            <w:r>
              <w:rPr>
                <w:rFonts w:hint="eastAsia" w:ascii="宋体" w:hAnsi="宋体" w:cs="宋体"/>
                <w:color w:val="auto"/>
                <w:highlight w:val="none"/>
              </w:rPr>
              <w:t>1.4基本数据业务</w:t>
            </w:r>
          </w:p>
          <w:p w14:paraId="7877A903">
            <w:pPr>
              <w:ind w:firstLine="480"/>
              <w:rPr>
                <w:rFonts w:ascii="宋体" w:hAnsi="宋体" w:cs="宋体"/>
                <w:color w:val="auto"/>
                <w:highlight w:val="none"/>
              </w:rPr>
            </w:pPr>
            <w:r>
              <w:rPr>
                <w:rFonts w:hint="eastAsia" w:ascii="宋体" w:hAnsi="宋体" w:cs="宋体"/>
                <w:color w:val="auto"/>
                <w:highlight w:val="none"/>
              </w:rPr>
              <w:t>基本数据业务：短消息传输、短消息上拉、状态消息和紧急告警等基本数据业务。</w:t>
            </w:r>
          </w:p>
          <w:p w14:paraId="18590B64">
            <w:pPr>
              <w:ind w:firstLine="480"/>
              <w:rPr>
                <w:rFonts w:ascii="宋体" w:hAnsi="宋体" w:cs="宋体"/>
                <w:color w:val="auto"/>
                <w:highlight w:val="none"/>
              </w:rPr>
            </w:pPr>
            <w:r>
              <w:rPr>
                <w:rFonts w:hint="eastAsia" w:ascii="宋体" w:hAnsi="宋体" w:cs="宋体"/>
                <w:color w:val="auto"/>
                <w:highlight w:val="none"/>
              </w:rPr>
              <w:t>短消息传输：用户之间或用户与调度台之间发送短信。</w:t>
            </w:r>
          </w:p>
          <w:p w14:paraId="031D4AF1">
            <w:pPr>
              <w:ind w:firstLine="480"/>
              <w:rPr>
                <w:rFonts w:ascii="宋体" w:hAnsi="宋体" w:cs="宋体"/>
                <w:color w:val="auto"/>
                <w:highlight w:val="none"/>
              </w:rPr>
            </w:pPr>
            <w:r>
              <w:rPr>
                <w:rFonts w:hint="eastAsia" w:ascii="宋体" w:hAnsi="宋体" w:cs="宋体"/>
                <w:color w:val="auto"/>
                <w:highlight w:val="none"/>
              </w:rPr>
              <w:t>位置信息上报：移动终端可根据时间、移动距离、时间和移动距离联合等条件获取信号源提供的位置信息，设置位置信息上报方式向系统发送位置信息。</w:t>
            </w:r>
          </w:p>
          <w:p w14:paraId="6ADFCA6A">
            <w:pPr>
              <w:ind w:firstLine="480"/>
              <w:rPr>
                <w:rFonts w:ascii="宋体" w:hAnsi="宋体" w:cs="宋体"/>
                <w:color w:val="auto"/>
                <w:highlight w:val="none"/>
              </w:rPr>
            </w:pPr>
            <w:r>
              <w:rPr>
                <w:rFonts w:hint="eastAsia" w:ascii="宋体" w:hAnsi="宋体" w:cs="宋体"/>
                <w:color w:val="auto"/>
                <w:highlight w:val="none"/>
              </w:rPr>
              <w:t>状态消息：收发双方预先编码设定好的一些信息，如巡逻、加油等。</w:t>
            </w:r>
          </w:p>
          <w:p w14:paraId="2F22CCEB">
            <w:pPr>
              <w:ind w:firstLine="480"/>
              <w:rPr>
                <w:rFonts w:ascii="宋体" w:hAnsi="宋体" w:cs="宋体"/>
                <w:color w:val="auto"/>
                <w:highlight w:val="none"/>
              </w:rPr>
            </w:pPr>
            <w:r>
              <w:rPr>
                <w:rFonts w:hint="eastAsia" w:ascii="宋体" w:hAnsi="宋体" w:cs="宋体"/>
                <w:color w:val="auto"/>
                <w:highlight w:val="none"/>
              </w:rPr>
              <w:t>紧急告警：是状态消息的一种，通常在移动终端发起紧急呼叫时使用。</w:t>
            </w:r>
          </w:p>
          <w:p w14:paraId="075695EB">
            <w:pPr>
              <w:ind w:firstLine="480"/>
              <w:rPr>
                <w:rFonts w:ascii="宋体" w:hAnsi="宋体" w:cs="宋体"/>
                <w:color w:val="auto"/>
                <w:highlight w:val="none"/>
              </w:rPr>
            </w:pPr>
            <w:r>
              <w:rPr>
                <w:rFonts w:hint="eastAsia" w:ascii="宋体" w:hAnsi="宋体" w:cs="宋体"/>
                <w:color w:val="auto"/>
                <w:highlight w:val="none"/>
              </w:rPr>
              <w:t>1.5补充业务功能</w:t>
            </w:r>
          </w:p>
          <w:p w14:paraId="7FE86741">
            <w:pPr>
              <w:ind w:firstLine="480"/>
              <w:rPr>
                <w:rFonts w:ascii="宋体" w:hAnsi="宋体" w:cs="宋体"/>
                <w:color w:val="auto"/>
                <w:highlight w:val="none"/>
              </w:rPr>
            </w:pPr>
            <w:r>
              <w:rPr>
                <w:rFonts w:hint="eastAsia" w:ascii="宋体" w:hAnsi="宋体" w:cs="宋体"/>
                <w:color w:val="auto"/>
                <w:highlight w:val="none"/>
              </w:rPr>
              <w:t>1.6紧急呼叫</w:t>
            </w:r>
          </w:p>
          <w:p w14:paraId="56E11BE3">
            <w:pPr>
              <w:ind w:firstLine="480"/>
              <w:rPr>
                <w:rFonts w:ascii="宋体" w:hAnsi="宋体" w:cs="宋体"/>
                <w:color w:val="auto"/>
                <w:highlight w:val="none"/>
              </w:rPr>
            </w:pPr>
            <w:r>
              <w:rPr>
                <w:rFonts w:hint="eastAsia" w:ascii="宋体" w:hAnsi="宋体" w:cs="宋体"/>
                <w:color w:val="auto"/>
                <w:highlight w:val="none"/>
              </w:rPr>
              <w:t>紧急呼叫是指用户在紧急情况下发起的呼叫。</w:t>
            </w:r>
          </w:p>
          <w:p w14:paraId="4C83B486">
            <w:pPr>
              <w:ind w:firstLine="480"/>
              <w:rPr>
                <w:rFonts w:ascii="宋体" w:hAnsi="宋体" w:cs="宋体"/>
                <w:color w:val="auto"/>
                <w:highlight w:val="none"/>
              </w:rPr>
            </w:pPr>
            <w:r>
              <w:rPr>
                <w:rFonts w:hint="eastAsia" w:ascii="宋体" w:hAnsi="宋体" w:cs="宋体"/>
                <w:color w:val="auto"/>
                <w:highlight w:val="none"/>
              </w:rPr>
              <w:t>通过紧急呼叫按钮发起的紧急呼叫，一般采用“热麦”方式，即移动终端的麦克风为常开状态，用户无需压下PTT即可随时讲话，只有调度台可以打断用户的讲话，这种紧急呼叫一般是用户处于危险状态且操作不方便的情况下使用。</w:t>
            </w:r>
          </w:p>
          <w:p w14:paraId="5A734F6A">
            <w:pPr>
              <w:ind w:firstLine="480"/>
              <w:rPr>
                <w:rFonts w:ascii="宋体" w:hAnsi="宋体" w:cs="宋体"/>
                <w:color w:val="auto"/>
                <w:highlight w:val="none"/>
              </w:rPr>
            </w:pPr>
            <w:r>
              <w:rPr>
                <w:rFonts w:hint="eastAsia" w:ascii="宋体" w:hAnsi="宋体" w:cs="宋体"/>
                <w:color w:val="auto"/>
                <w:highlight w:val="none"/>
              </w:rPr>
              <w:t>通过拨打特殊号码发起的紧急呼叫，其他呼叫参与方可以在讲话方释放讲话权后申请讲话。这种紧急呼叫其被叫目标可以很灵活，常在用户处理各种紧急事务时使用。</w:t>
            </w:r>
          </w:p>
          <w:p w14:paraId="1AE9154C">
            <w:pPr>
              <w:ind w:firstLine="480"/>
              <w:rPr>
                <w:rFonts w:ascii="宋体" w:hAnsi="宋体" w:cs="宋体"/>
                <w:color w:val="auto"/>
                <w:highlight w:val="none"/>
              </w:rPr>
            </w:pPr>
            <w:r>
              <w:rPr>
                <w:rFonts w:hint="eastAsia" w:ascii="宋体" w:hAnsi="宋体" w:cs="宋体"/>
                <w:color w:val="auto"/>
                <w:highlight w:val="none"/>
              </w:rPr>
              <w:t>1.7动态基站分配</w:t>
            </w:r>
          </w:p>
          <w:p w14:paraId="38392734">
            <w:pPr>
              <w:ind w:firstLine="480"/>
              <w:rPr>
                <w:rFonts w:ascii="宋体" w:hAnsi="宋体" w:cs="宋体"/>
                <w:color w:val="auto"/>
                <w:highlight w:val="none"/>
              </w:rPr>
            </w:pPr>
            <w:r>
              <w:rPr>
                <w:rFonts w:hint="eastAsia" w:ascii="宋体" w:hAnsi="宋体" w:cs="宋体"/>
                <w:color w:val="auto"/>
                <w:highlight w:val="none"/>
              </w:rPr>
              <w:t>在组呼过程中，一个组的成员可能分布在很多基站的覆盖区域。对于传统的集群系统，由于无法判断当前某一呼叫的组成员分布在哪些基站的覆盖区域，通常会为该组呼分配所有基站的业务信道，而某些基站覆盖区域实际上没有该组呼的成员存在，造成了这些基站分配的业务信道资源浪费。动态基站分配功能可以有效提高系统信道利用率。</w:t>
            </w:r>
          </w:p>
          <w:p w14:paraId="3522955E">
            <w:pPr>
              <w:ind w:firstLine="480"/>
              <w:rPr>
                <w:rFonts w:ascii="宋体" w:hAnsi="宋体" w:cs="宋体"/>
                <w:color w:val="auto"/>
                <w:highlight w:val="none"/>
              </w:rPr>
            </w:pPr>
            <w:r>
              <w:rPr>
                <w:rFonts w:hint="eastAsia" w:ascii="宋体" w:hAnsi="宋体" w:cs="宋体"/>
                <w:color w:val="auto"/>
                <w:highlight w:val="none"/>
              </w:rPr>
              <w:t>1.8优先接入</w:t>
            </w:r>
          </w:p>
          <w:p w14:paraId="282592EA">
            <w:pPr>
              <w:ind w:firstLine="480"/>
              <w:rPr>
                <w:rFonts w:ascii="宋体" w:hAnsi="宋体" w:cs="宋体"/>
                <w:color w:val="auto"/>
                <w:highlight w:val="none"/>
              </w:rPr>
            </w:pPr>
            <w:r>
              <w:rPr>
                <w:rFonts w:hint="eastAsia" w:ascii="宋体" w:hAnsi="宋体" w:cs="宋体"/>
                <w:color w:val="auto"/>
                <w:highlight w:val="none"/>
              </w:rPr>
              <w:t>基站的空口资源有限，为了更有效地处理用户的服务需求，系统根据用户等级、用户类型等对用户实施分批接入的策略。系统在某一时段，可能只允许某一级别或某一类用户接入到系统中，对这类用户而言，他们此时拥有优先接入到系统的权利。</w:t>
            </w:r>
          </w:p>
          <w:p w14:paraId="35FA41D3">
            <w:pPr>
              <w:ind w:firstLine="480"/>
              <w:rPr>
                <w:rFonts w:ascii="宋体" w:hAnsi="宋体" w:cs="宋体"/>
                <w:color w:val="auto"/>
                <w:highlight w:val="none"/>
              </w:rPr>
            </w:pPr>
            <w:r>
              <w:rPr>
                <w:rFonts w:hint="eastAsia" w:ascii="宋体" w:hAnsi="宋体" w:cs="宋体"/>
                <w:color w:val="auto"/>
                <w:highlight w:val="none"/>
              </w:rPr>
              <w:t>1.9呼叫优先级</w:t>
            </w:r>
          </w:p>
          <w:p w14:paraId="48518050">
            <w:pPr>
              <w:ind w:firstLine="480"/>
              <w:rPr>
                <w:rFonts w:ascii="宋体" w:hAnsi="宋体" w:cs="宋体"/>
                <w:color w:val="auto"/>
                <w:highlight w:val="none"/>
              </w:rPr>
            </w:pPr>
            <w:r>
              <w:rPr>
                <w:rFonts w:hint="eastAsia" w:ascii="宋体" w:hAnsi="宋体" w:cs="宋体"/>
                <w:color w:val="auto"/>
                <w:highlight w:val="none"/>
              </w:rPr>
              <w:t>系统根据不同的呼叫发起用户、呼叫的类型、参与呼叫的人员结构等，对这些呼叫分优先级别进行处理，先处理优先级别高的呼叫，再处理优先级别低的呼叫。系统繁忙时，可以主动强拆级别比较低、不重要的通话，将资源分配给高级别、高紧急程度的呼叫。</w:t>
            </w:r>
          </w:p>
          <w:p w14:paraId="6CA4CCC1">
            <w:pPr>
              <w:ind w:firstLine="480"/>
              <w:rPr>
                <w:rFonts w:ascii="宋体" w:hAnsi="宋体" w:cs="宋体"/>
                <w:color w:val="auto"/>
                <w:highlight w:val="none"/>
              </w:rPr>
            </w:pPr>
            <w:r>
              <w:rPr>
                <w:rFonts w:hint="eastAsia" w:ascii="宋体" w:hAnsi="宋体" w:cs="宋体"/>
                <w:color w:val="auto"/>
                <w:highlight w:val="none"/>
              </w:rPr>
              <w:t>1.10用户等级</w:t>
            </w:r>
          </w:p>
          <w:p w14:paraId="7C5B4C1D">
            <w:pPr>
              <w:ind w:firstLine="480"/>
              <w:rPr>
                <w:rFonts w:ascii="宋体" w:hAnsi="宋体" w:cs="宋体"/>
                <w:color w:val="auto"/>
                <w:highlight w:val="none"/>
              </w:rPr>
            </w:pPr>
            <w:r>
              <w:rPr>
                <w:rFonts w:hint="eastAsia" w:ascii="宋体" w:hAnsi="宋体" w:cs="宋体"/>
                <w:color w:val="auto"/>
                <w:highlight w:val="none"/>
              </w:rPr>
              <w:t>系统根据重要程度将用户分成不同的等级。（一般用户等级和优先级是放在一起的，重要程度高的用户，其优先级也高）</w:t>
            </w:r>
          </w:p>
          <w:p w14:paraId="0725F238">
            <w:pPr>
              <w:ind w:firstLine="480"/>
              <w:rPr>
                <w:rFonts w:ascii="宋体" w:hAnsi="宋体" w:cs="宋体"/>
                <w:color w:val="auto"/>
                <w:highlight w:val="none"/>
              </w:rPr>
            </w:pPr>
            <w:r>
              <w:rPr>
                <w:rFonts w:hint="eastAsia" w:ascii="宋体" w:hAnsi="宋体" w:cs="宋体"/>
                <w:color w:val="auto"/>
                <w:highlight w:val="none"/>
              </w:rPr>
              <w:t>1.11动态通话限时</w:t>
            </w:r>
          </w:p>
          <w:p w14:paraId="44AF74E9">
            <w:pPr>
              <w:ind w:firstLine="480"/>
              <w:rPr>
                <w:rFonts w:ascii="宋体" w:hAnsi="宋体" w:cs="宋体"/>
                <w:color w:val="auto"/>
                <w:highlight w:val="none"/>
              </w:rPr>
            </w:pPr>
            <w:r>
              <w:rPr>
                <w:rFonts w:hint="eastAsia" w:ascii="宋体" w:hAnsi="宋体" w:cs="宋体"/>
                <w:color w:val="auto"/>
                <w:highlight w:val="none"/>
              </w:rPr>
              <w:t>为了更合理地利用系统资源，保证信道资源不被少数呼叫独占，系统对单次呼叫时长以及呼叫过程中讲话方单次发言的时长进行限制，当呼叫时间超过系统设定的时长后，系统会主动将呼叫拆除。</w:t>
            </w:r>
          </w:p>
          <w:p w14:paraId="185B6A09">
            <w:pPr>
              <w:ind w:firstLine="480"/>
              <w:rPr>
                <w:rFonts w:ascii="宋体" w:hAnsi="宋体" w:cs="宋体"/>
                <w:color w:val="auto"/>
                <w:highlight w:val="none"/>
              </w:rPr>
            </w:pPr>
            <w:r>
              <w:rPr>
                <w:rFonts w:hint="eastAsia" w:ascii="宋体" w:hAnsi="宋体" w:cs="宋体"/>
                <w:color w:val="auto"/>
                <w:highlight w:val="none"/>
              </w:rPr>
              <w:t>动态通话限时是系统根据不同时段的繁忙情况动态调整每个时段呼叫时长限制值，一般而言，繁忙时段设置的呼叫时间较短，空闲时段设置的呼叫时间较长。在通话因限时即将结束时，系统可以通过空中信令通知所有移动终端，终端以声光等警告提示用户本次通话即将结束，预防由于突然断线导致话音中断。</w:t>
            </w:r>
          </w:p>
          <w:p w14:paraId="56691C0D">
            <w:pPr>
              <w:ind w:firstLine="480"/>
              <w:rPr>
                <w:rFonts w:ascii="宋体" w:hAnsi="宋体" w:cs="宋体"/>
                <w:color w:val="auto"/>
                <w:highlight w:val="none"/>
              </w:rPr>
            </w:pPr>
            <w:r>
              <w:rPr>
                <w:rFonts w:hint="eastAsia" w:ascii="宋体" w:hAnsi="宋体" w:cs="宋体"/>
                <w:color w:val="auto"/>
                <w:highlight w:val="none"/>
              </w:rPr>
              <w:t>1.12通话组/背景组扫描</w:t>
            </w:r>
          </w:p>
          <w:p w14:paraId="76CE7834">
            <w:pPr>
              <w:ind w:firstLine="480"/>
              <w:rPr>
                <w:rFonts w:ascii="宋体" w:hAnsi="宋体" w:cs="宋体"/>
                <w:color w:val="auto"/>
                <w:highlight w:val="none"/>
              </w:rPr>
            </w:pPr>
            <w:r>
              <w:rPr>
                <w:rFonts w:hint="eastAsia" w:ascii="宋体" w:hAnsi="宋体" w:cs="宋体"/>
                <w:color w:val="auto"/>
                <w:highlight w:val="none"/>
              </w:rPr>
              <w:t>通话组扫描：移动终端对通话组扫描列表内的组号码进行扫描。当有通话组在通话时，移动终端可以选择加入该通话组进行通话。通话组扫描包含两种情况：当移动终端处于空闲状态时，可以参与接收当前所在组之外的其他扫描组的呼叫；当移动终端处于通话状态时，可以扫描到稍后发起的更高级别的呼叫，并根据需要切换到更高级别的呼叫。</w:t>
            </w:r>
          </w:p>
          <w:p w14:paraId="44168D77">
            <w:pPr>
              <w:ind w:firstLine="480"/>
              <w:rPr>
                <w:rFonts w:ascii="宋体" w:hAnsi="宋体" w:cs="宋体"/>
                <w:color w:val="auto"/>
                <w:highlight w:val="none"/>
              </w:rPr>
            </w:pPr>
            <w:r>
              <w:rPr>
                <w:rFonts w:hint="eastAsia" w:ascii="宋体" w:hAnsi="宋体" w:cs="宋体"/>
                <w:color w:val="auto"/>
                <w:highlight w:val="none"/>
              </w:rPr>
              <w:t>背景组扫描：背景组具有最高的业务优先级，仅授权的调度台或移动终端可以发起组呼，默认不显示在移动终端的组呼列表中。移动终端无法通过旋钮或菜单选中背景组，因此不能对背景组发起呼叫，只能接收其呼叫。移动终端在使用过程中会一直对背景组进行扫描，只要有背景组呼叫，都会加入到该呼叫中。</w:t>
            </w:r>
          </w:p>
          <w:p w14:paraId="744FEEF0">
            <w:pPr>
              <w:ind w:firstLine="480"/>
              <w:rPr>
                <w:rFonts w:ascii="宋体" w:hAnsi="宋体" w:cs="宋体"/>
                <w:color w:val="auto"/>
                <w:highlight w:val="none"/>
              </w:rPr>
            </w:pPr>
            <w:r>
              <w:rPr>
                <w:rFonts w:hint="eastAsia" w:ascii="宋体" w:hAnsi="宋体" w:cs="宋体"/>
                <w:color w:val="auto"/>
                <w:highlight w:val="none"/>
              </w:rPr>
              <w:t>1.13动态重组</w:t>
            </w:r>
          </w:p>
          <w:p w14:paraId="448D2B81">
            <w:pPr>
              <w:ind w:firstLine="480"/>
              <w:rPr>
                <w:rFonts w:ascii="宋体" w:hAnsi="宋体" w:cs="宋体"/>
                <w:color w:val="auto"/>
                <w:highlight w:val="none"/>
              </w:rPr>
            </w:pPr>
            <w:r>
              <w:rPr>
                <w:rFonts w:hint="eastAsia" w:ascii="宋体" w:hAnsi="宋体" w:cs="宋体"/>
                <w:color w:val="auto"/>
                <w:highlight w:val="none"/>
              </w:rPr>
              <w:t>动态重组允许授权的调度台通过空口向移动终端动态添加临时通话组，而不需要对移动终端进行重新编程。授权的调度台可以通过增加或移动的方式，将组成员从一个组调入另一个组，且这种变更能够立即反映到移动终端上。动态重组功能允许建立和解散临时的组。例如：因为紧急任务，将两个不同组织的组临时组合成一个组，任务完成后，再解散这个临时成立的组。</w:t>
            </w:r>
          </w:p>
          <w:p w14:paraId="5D267713">
            <w:pPr>
              <w:ind w:firstLine="480"/>
              <w:rPr>
                <w:rFonts w:ascii="宋体" w:hAnsi="宋体" w:cs="宋体"/>
                <w:color w:val="auto"/>
                <w:highlight w:val="none"/>
              </w:rPr>
            </w:pPr>
            <w:r>
              <w:rPr>
                <w:rFonts w:hint="eastAsia" w:ascii="宋体" w:hAnsi="宋体" w:cs="宋体"/>
                <w:color w:val="auto"/>
                <w:highlight w:val="none"/>
              </w:rPr>
              <w:t>1.14迟后进入</w:t>
            </w:r>
          </w:p>
          <w:p w14:paraId="2325BDEA">
            <w:pPr>
              <w:ind w:firstLine="480"/>
              <w:rPr>
                <w:rFonts w:ascii="宋体" w:hAnsi="宋体" w:cs="宋体"/>
                <w:color w:val="auto"/>
                <w:highlight w:val="none"/>
              </w:rPr>
            </w:pPr>
            <w:r>
              <w:rPr>
                <w:rFonts w:hint="eastAsia" w:ascii="宋体" w:hAnsi="宋体" w:cs="宋体"/>
                <w:color w:val="auto"/>
                <w:highlight w:val="none"/>
              </w:rPr>
              <w:t>迟后进入功能确保未加入组呼的成员在具备条件后能加入到该组呼中。迟后进入在呼叫已经建立且已经为该呼叫分配了业务信道之后发起，呼叫结束且被占用信道释放后结束。</w:t>
            </w:r>
          </w:p>
          <w:p w14:paraId="5CF3EAB9">
            <w:pPr>
              <w:ind w:firstLine="480"/>
              <w:rPr>
                <w:rFonts w:ascii="宋体" w:hAnsi="宋体" w:cs="宋体"/>
                <w:color w:val="auto"/>
                <w:highlight w:val="none"/>
              </w:rPr>
            </w:pPr>
            <w:r>
              <w:rPr>
                <w:rFonts w:hint="eastAsia" w:ascii="宋体" w:hAnsi="宋体" w:cs="宋体"/>
                <w:color w:val="auto"/>
                <w:highlight w:val="none"/>
              </w:rPr>
              <w:t>1.15慎密监听</w:t>
            </w:r>
          </w:p>
          <w:p w14:paraId="74CFE977">
            <w:pPr>
              <w:ind w:firstLine="480"/>
              <w:rPr>
                <w:rFonts w:ascii="宋体" w:hAnsi="宋体" w:cs="宋体"/>
                <w:color w:val="auto"/>
                <w:highlight w:val="none"/>
              </w:rPr>
            </w:pPr>
            <w:r>
              <w:rPr>
                <w:rFonts w:hint="eastAsia" w:ascii="宋体" w:hAnsi="宋体" w:cs="宋体"/>
                <w:color w:val="auto"/>
                <w:highlight w:val="none"/>
              </w:rPr>
              <w:t>授权的调度台对移动终端进行慎密监听时，可以监听到通话过程中的所有内容，并可以根据需要对通话内容进行录音。</w:t>
            </w:r>
          </w:p>
          <w:p w14:paraId="403A63D5">
            <w:pPr>
              <w:ind w:firstLine="480"/>
              <w:rPr>
                <w:rFonts w:ascii="宋体" w:hAnsi="宋体" w:cs="宋体"/>
                <w:color w:val="auto"/>
                <w:highlight w:val="none"/>
              </w:rPr>
            </w:pPr>
            <w:r>
              <w:rPr>
                <w:rFonts w:hint="eastAsia" w:ascii="宋体" w:hAnsi="宋体" w:cs="宋体"/>
                <w:color w:val="auto"/>
                <w:highlight w:val="none"/>
              </w:rPr>
              <w:t>1.16环境侦听</w:t>
            </w:r>
          </w:p>
          <w:p w14:paraId="12E7AFDA">
            <w:pPr>
              <w:ind w:firstLine="480"/>
              <w:rPr>
                <w:rFonts w:ascii="宋体" w:hAnsi="宋体" w:cs="宋体"/>
                <w:color w:val="auto"/>
                <w:highlight w:val="none"/>
              </w:rPr>
            </w:pPr>
            <w:r>
              <w:rPr>
                <w:rFonts w:hint="eastAsia" w:ascii="宋体" w:hAnsi="宋体" w:cs="宋体"/>
                <w:color w:val="auto"/>
                <w:highlight w:val="none"/>
              </w:rPr>
              <w:t>环境侦听通常用于保护用户的安全（例如，当移动终端用户处于比较危险的环境时，控制中心可以通过该功能了解该用户目前所处的状态）。授权用户（如调度台）可以通过该功能建立一个到指定移动终端的特殊呼叫，该呼叫是一个单工呼叫，被叫用户只能发射而不能接收，即被叫移动终端可以将它周围环境的声音上传到控制中心，控制中心不允许发射语音到被叫移动终端。环境侦听不能在被叫移动终端处于呼叫中时发起，被侦听的移动终端用户不知道被呼叫，也不会收到语音信号。当移动终端进行呼叫操作时，已经建立的环境侦听呼叫也将自动退出。</w:t>
            </w:r>
          </w:p>
          <w:p w14:paraId="37BFA487">
            <w:pPr>
              <w:ind w:firstLine="480"/>
              <w:rPr>
                <w:rFonts w:ascii="宋体" w:hAnsi="宋体" w:cs="宋体"/>
                <w:color w:val="auto"/>
                <w:highlight w:val="none"/>
              </w:rPr>
            </w:pPr>
            <w:r>
              <w:rPr>
                <w:rFonts w:hint="eastAsia" w:ascii="宋体" w:hAnsi="宋体" w:cs="宋体"/>
                <w:color w:val="auto"/>
                <w:highlight w:val="none"/>
              </w:rPr>
              <w:t>环境侦听业务一般由网管和调度台（或授权移动终端）共同完成，即调度台或授权用户提出申请，网管在某一时间段内开通该功能。</w:t>
            </w:r>
          </w:p>
          <w:p w14:paraId="782B82D9">
            <w:pPr>
              <w:ind w:firstLine="480"/>
              <w:rPr>
                <w:rFonts w:ascii="宋体" w:hAnsi="宋体" w:cs="宋体"/>
                <w:color w:val="auto"/>
                <w:highlight w:val="none"/>
              </w:rPr>
            </w:pPr>
            <w:r>
              <w:rPr>
                <w:rFonts w:hint="eastAsia" w:ascii="宋体" w:hAnsi="宋体" w:cs="宋体"/>
                <w:color w:val="auto"/>
                <w:highlight w:val="none"/>
              </w:rPr>
              <w:t>1.17强拆/强插</w:t>
            </w:r>
          </w:p>
          <w:p w14:paraId="1833C999">
            <w:pPr>
              <w:ind w:firstLine="480"/>
              <w:rPr>
                <w:rFonts w:ascii="宋体" w:hAnsi="宋体" w:cs="宋体"/>
                <w:color w:val="auto"/>
                <w:highlight w:val="none"/>
              </w:rPr>
            </w:pPr>
            <w:r>
              <w:rPr>
                <w:rFonts w:hint="eastAsia" w:ascii="宋体" w:hAnsi="宋体" w:cs="宋体"/>
                <w:color w:val="auto"/>
                <w:highlight w:val="none"/>
              </w:rPr>
              <w:t>强插：在有调度台参与的呼叫中，当有移动终端在讲话时，调度台可以随时强行终止当前的讲话，获取讲话权开始讲话。</w:t>
            </w:r>
          </w:p>
          <w:p w14:paraId="6BAB7FE4">
            <w:pPr>
              <w:ind w:firstLine="480"/>
              <w:rPr>
                <w:rFonts w:ascii="宋体" w:hAnsi="宋体" w:cs="宋体"/>
                <w:color w:val="auto"/>
                <w:highlight w:val="none"/>
              </w:rPr>
            </w:pPr>
            <w:r>
              <w:rPr>
                <w:rFonts w:hint="eastAsia" w:ascii="宋体" w:hAnsi="宋体" w:cs="宋体"/>
                <w:color w:val="auto"/>
                <w:highlight w:val="none"/>
              </w:rPr>
              <w:t>强拆：无论移动终端是否正在发射，授权的调度台都可以强行结束正在进行的呼叫。</w:t>
            </w:r>
          </w:p>
          <w:p w14:paraId="6BF36865">
            <w:pPr>
              <w:ind w:firstLine="480"/>
              <w:rPr>
                <w:rFonts w:ascii="宋体" w:hAnsi="宋体" w:cs="宋体"/>
                <w:color w:val="auto"/>
                <w:highlight w:val="none"/>
              </w:rPr>
            </w:pPr>
            <w:r>
              <w:rPr>
                <w:rFonts w:hint="eastAsia" w:ascii="宋体" w:hAnsi="宋体" w:cs="宋体"/>
                <w:color w:val="auto"/>
                <w:highlight w:val="none"/>
              </w:rPr>
              <w:t>遥晕/复活</w:t>
            </w:r>
          </w:p>
          <w:p w14:paraId="316934AE">
            <w:pPr>
              <w:ind w:firstLine="480"/>
              <w:rPr>
                <w:rFonts w:ascii="宋体" w:hAnsi="宋体" w:cs="宋体"/>
                <w:color w:val="auto"/>
                <w:highlight w:val="none"/>
              </w:rPr>
            </w:pPr>
            <w:r>
              <w:rPr>
                <w:rFonts w:hint="eastAsia" w:ascii="宋体" w:hAnsi="宋体" w:cs="宋体"/>
                <w:color w:val="auto"/>
                <w:highlight w:val="none"/>
              </w:rPr>
              <w:t>遥晕：如果移动终端出现丢失等情况，调度台可将其遥晕，禁用丢失的移动终端正常呼叫功能。被遥晕的移动终端不能发起或者接收任何网络的服务（包括各类呼叫、短消息等业务）。但移动终端保留了登记和位置信息服务，用来帮助寻找丢失移动终端。</w:t>
            </w:r>
          </w:p>
          <w:p w14:paraId="2164F1F1">
            <w:pPr>
              <w:ind w:firstLine="480"/>
              <w:rPr>
                <w:rFonts w:ascii="宋体" w:hAnsi="宋体" w:cs="宋体"/>
                <w:color w:val="auto"/>
                <w:highlight w:val="none"/>
              </w:rPr>
            </w:pPr>
            <w:r>
              <w:rPr>
                <w:rFonts w:hint="eastAsia" w:ascii="宋体" w:hAnsi="宋体" w:cs="宋体"/>
                <w:color w:val="auto"/>
                <w:highlight w:val="none"/>
              </w:rPr>
              <w:t>复活：授权用户可以对被遥晕的移动终端进行复活，使移动终端恢复正常工作状态并获得遥晕之前设置使用的网络服务。</w:t>
            </w:r>
          </w:p>
          <w:p w14:paraId="488ED0A2">
            <w:pPr>
              <w:ind w:firstLine="480"/>
              <w:rPr>
                <w:rFonts w:ascii="宋体" w:hAnsi="宋体" w:cs="宋体"/>
                <w:color w:val="auto"/>
                <w:highlight w:val="none"/>
              </w:rPr>
            </w:pPr>
            <w:r>
              <w:rPr>
                <w:rFonts w:hint="eastAsia" w:ascii="宋体" w:hAnsi="宋体" w:cs="宋体"/>
                <w:color w:val="auto"/>
                <w:highlight w:val="none"/>
              </w:rPr>
              <w:t>备注：遥晕功能可以配置为系统和移动终端进行双向鉴权，避免操作失误。</w:t>
            </w:r>
          </w:p>
          <w:p w14:paraId="1DA07C11">
            <w:pPr>
              <w:ind w:firstLine="480"/>
              <w:rPr>
                <w:rFonts w:ascii="宋体" w:hAnsi="宋体" w:cs="宋体"/>
                <w:color w:val="auto"/>
                <w:highlight w:val="none"/>
              </w:rPr>
            </w:pPr>
            <w:r>
              <w:rPr>
                <w:rFonts w:hint="eastAsia" w:ascii="宋体" w:hAnsi="宋体" w:cs="宋体"/>
                <w:color w:val="auto"/>
                <w:highlight w:val="none"/>
              </w:rPr>
              <w:t>1.18遥毙</w:t>
            </w:r>
          </w:p>
          <w:p w14:paraId="7FBF3FCA">
            <w:pPr>
              <w:ind w:firstLine="480"/>
              <w:rPr>
                <w:rFonts w:ascii="宋体" w:hAnsi="宋体" w:cs="宋体"/>
                <w:color w:val="auto"/>
                <w:highlight w:val="none"/>
              </w:rPr>
            </w:pPr>
            <w:r>
              <w:rPr>
                <w:rFonts w:hint="eastAsia" w:ascii="宋体" w:hAnsi="宋体" w:cs="宋体"/>
                <w:color w:val="auto"/>
                <w:highlight w:val="none"/>
              </w:rPr>
              <w:t>授权的调度台可以通过界面操作，遥毙移动终端。被遥毙的移动终端将被完全的、永久的禁用，失去所有操作功能。该移动终端要交给具备重新编程烧号的机构重新设置才能重新使用。</w:t>
            </w:r>
          </w:p>
          <w:p w14:paraId="041175AE">
            <w:pPr>
              <w:ind w:firstLine="480"/>
              <w:rPr>
                <w:rFonts w:ascii="宋体" w:hAnsi="宋体" w:cs="宋体"/>
                <w:color w:val="auto"/>
                <w:highlight w:val="none"/>
              </w:rPr>
            </w:pPr>
            <w:r>
              <w:rPr>
                <w:rFonts w:hint="eastAsia" w:ascii="宋体" w:hAnsi="宋体" w:cs="宋体"/>
                <w:color w:val="auto"/>
                <w:highlight w:val="none"/>
              </w:rPr>
              <w:t>备注：遥毙功能可以配置为系统和移动终端进行双向鉴权，避免操作失误。</w:t>
            </w:r>
          </w:p>
          <w:p w14:paraId="65207617">
            <w:pPr>
              <w:ind w:firstLine="480"/>
              <w:rPr>
                <w:rFonts w:ascii="宋体" w:hAnsi="宋体" w:cs="宋体"/>
                <w:color w:val="auto"/>
                <w:highlight w:val="none"/>
              </w:rPr>
            </w:pPr>
            <w:r>
              <w:rPr>
                <w:rFonts w:hint="eastAsia" w:ascii="宋体" w:hAnsi="宋体" w:cs="宋体"/>
                <w:color w:val="auto"/>
                <w:highlight w:val="none"/>
              </w:rPr>
              <w:t>1.19指令脱网并维持</w:t>
            </w:r>
          </w:p>
          <w:p w14:paraId="3036A4A1">
            <w:pPr>
              <w:ind w:firstLine="480"/>
              <w:rPr>
                <w:rFonts w:ascii="宋体" w:hAnsi="宋体" w:cs="宋体"/>
                <w:color w:val="auto"/>
                <w:highlight w:val="none"/>
              </w:rPr>
            </w:pPr>
            <w:r>
              <w:rPr>
                <w:rFonts w:hint="eastAsia" w:ascii="宋体" w:hAnsi="宋体" w:cs="宋体"/>
                <w:color w:val="auto"/>
                <w:highlight w:val="none"/>
              </w:rPr>
              <w:t>调度台可以强行将用户或通话组转移到常规信道上通话。在调度台取消操作之前，这些用户、组将保持在指定的常规信道上通话，不能返回到集群控制信道上，即使返回，也会被重新拉到常规信道上。</w:t>
            </w:r>
          </w:p>
          <w:p w14:paraId="552A3E88">
            <w:pPr>
              <w:ind w:firstLine="480"/>
              <w:rPr>
                <w:rFonts w:ascii="宋体" w:hAnsi="宋体" w:cs="宋体"/>
                <w:color w:val="auto"/>
                <w:highlight w:val="none"/>
              </w:rPr>
            </w:pPr>
            <w:r>
              <w:rPr>
                <w:rFonts w:hint="eastAsia" w:ascii="宋体" w:hAnsi="宋体" w:cs="宋体"/>
                <w:color w:val="auto"/>
                <w:highlight w:val="none"/>
              </w:rPr>
              <w:t>1.20跟踪</w:t>
            </w:r>
          </w:p>
          <w:p w14:paraId="79D1CEA3">
            <w:pPr>
              <w:ind w:firstLine="480"/>
              <w:rPr>
                <w:rFonts w:ascii="宋体" w:hAnsi="宋体" w:cs="宋体"/>
                <w:color w:val="auto"/>
                <w:highlight w:val="none"/>
              </w:rPr>
            </w:pPr>
            <w:r>
              <w:rPr>
                <w:rFonts w:hint="eastAsia" w:ascii="宋体" w:hAnsi="宋体" w:cs="宋体"/>
                <w:color w:val="auto"/>
                <w:highlight w:val="none"/>
              </w:rPr>
              <w:t>调度台可以发起对移动终端的跟踪，获得移动终端当前所处基站、开关机状态、是否处于呼叫等状态信息。当被跟踪的移动终端有呼叫产生时，系统会通知调度台，调度台可以设置成自动加入呼叫，并可以对该呼叫进行监听、强插、强拆、自动录音等操作。</w:t>
            </w:r>
          </w:p>
          <w:p w14:paraId="0F77EDD4">
            <w:pPr>
              <w:ind w:firstLine="480"/>
              <w:rPr>
                <w:rFonts w:ascii="宋体" w:hAnsi="宋体" w:cs="宋体"/>
                <w:color w:val="auto"/>
                <w:highlight w:val="none"/>
              </w:rPr>
            </w:pPr>
            <w:r>
              <w:rPr>
                <w:rFonts w:hint="eastAsia" w:ascii="宋体" w:hAnsi="宋体" w:cs="宋体"/>
                <w:color w:val="auto"/>
                <w:highlight w:val="none"/>
              </w:rPr>
              <w:t>1.21遇忙排队和自动回叫</w:t>
            </w:r>
          </w:p>
          <w:p w14:paraId="0592D24C">
            <w:pPr>
              <w:ind w:firstLine="480"/>
              <w:rPr>
                <w:rFonts w:ascii="宋体" w:hAnsi="宋体" w:cs="宋体"/>
                <w:color w:val="auto"/>
                <w:highlight w:val="none"/>
              </w:rPr>
            </w:pPr>
            <w:r>
              <w:rPr>
                <w:rFonts w:hint="eastAsia" w:ascii="宋体" w:hAnsi="宋体" w:cs="宋体"/>
                <w:color w:val="auto"/>
                <w:highlight w:val="none"/>
              </w:rPr>
              <w:t>遇忙排队：当系统信道全部被占用时，用户通过PTT按键发起呼叫，系统通过移动终端提示用户：“系统繁忙，呼叫已排队”。此时用户发起的呼叫在排队有效期内将处于等待状态，不会结束。</w:t>
            </w:r>
          </w:p>
          <w:p w14:paraId="76044F1F">
            <w:pPr>
              <w:ind w:firstLine="480"/>
              <w:rPr>
                <w:rFonts w:ascii="宋体" w:hAnsi="宋体" w:cs="宋体"/>
                <w:color w:val="auto"/>
                <w:highlight w:val="none"/>
              </w:rPr>
            </w:pPr>
            <w:r>
              <w:rPr>
                <w:rFonts w:hint="eastAsia" w:ascii="宋体" w:hAnsi="宋体" w:cs="宋体"/>
                <w:color w:val="auto"/>
                <w:highlight w:val="none"/>
              </w:rPr>
              <w:t>自动回叫：用户发起呼叫，因为被叫正忙（或其他原因），系统拒绝了呼叫，并开始对被叫进行监控。被叫移动终端在收到系统拒绝信令后，结束呼叫。当系统监控到被叫已经空闲后，会自动建立呼叫，并通知到主叫和被叫。主叫用户在接收到系统的回叫提示后，可以选择接通或拒绝。</w:t>
            </w:r>
          </w:p>
          <w:p w14:paraId="461546F8">
            <w:pPr>
              <w:ind w:firstLine="480"/>
              <w:rPr>
                <w:rFonts w:ascii="宋体" w:hAnsi="宋体" w:cs="宋体"/>
                <w:color w:val="auto"/>
                <w:highlight w:val="none"/>
              </w:rPr>
            </w:pPr>
            <w:r>
              <w:rPr>
                <w:rFonts w:hint="eastAsia" w:ascii="宋体" w:hAnsi="宋体" w:cs="宋体"/>
                <w:color w:val="auto"/>
                <w:highlight w:val="none"/>
              </w:rPr>
              <w:t>1.22自动重发</w:t>
            </w:r>
          </w:p>
          <w:p w14:paraId="7C1D9A43">
            <w:pPr>
              <w:ind w:firstLine="480"/>
              <w:rPr>
                <w:rFonts w:ascii="宋体" w:hAnsi="宋体" w:cs="宋体"/>
                <w:color w:val="auto"/>
                <w:highlight w:val="none"/>
              </w:rPr>
            </w:pPr>
            <w:r>
              <w:rPr>
                <w:rFonts w:hint="eastAsia" w:ascii="宋体" w:hAnsi="宋体" w:cs="宋体"/>
                <w:color w:val="auto"/>
                <w:highlight w:val="none"/>
              </w:rPr>
              <w:t>用户通过PTT按键发起呼叫后，如果在移动终端设定的时间内没有得到系统的确认，用户不需要再按PTT发起呼叫，移动终端会根据随机接入协议重新发起呼叫，自动重发次数由移动终端设定。</w:t>
            </w:r>
          </w:p>
          <w:p w14:paraId="36F255C1">
            <w:pPr>
              <w:ind w:firstLine="480"/>
              <w:rPr>
                <w:rFonts w:ascii="宋体" w:hAnsi="宋体" w:cs="宋体"/>
                <w:color w:val="auto"/>
                <w:highlight w:val="none"/>
              </w:rPr>
            </w:pPr>
            <w:r>
              <w:rPr>
                <w:rFonts w:hint="eastAsia" w:ascii="宋体" w:hAnsi="宋体" w:cs="宋体"/>
                <w:color w:val="auto"/>
                <w:highlight w:val="none"/>
              </w:rPr>
              <w:t>如果移动终端在没有超过自动重发次数时获得系统的确认信息，移动终端停止重发并进入正常的呼叫过程；如果移动终端重发次数已达到设定的最大次数，且没有获得系统的确认信息，移动终端会显示呼叫请求失败信息。</w:t>
            </w:r>
          </w:p>
          <w:p w14:paraId="0873B6A8">
            <w:pPr>
              <w:ind w:firstLine="480"/>
              <w:rPr>
                <w:rFonts w:ascii="宋体" w:hAnsi="宋体" w:cs="宋体"/>
                <w:color w:val="auto"/>
                <w:highlight w:val="none"/>
              </w:rPr>
            </w:pPr>
            <w:r>
              <w:rPr>
                <w:rFonts w:hint="eastAsia" w:ascii="宋体" w:hAnsi="宋体" w:cs="宋体"/>
                <w:color w:val="auto"/>
                <w:highlight w:val="none"/>
              </w:rPr>
              <w:t>1.23呼叫显示</w:t>
            </w:r>
          </w:p>
          <w:p w14:paraId="72FD2D7E">
            <w:pPr>
              <w:ind w:firstLine="480"/>
              <w:rPr>
                <w:rFonts w:ascii="宋体" w:hAnsi="宋体" w:cs="宋体"/>
                <w:color w:val="auto"/>
                <w:highlight w:val="none"/>
              </w:rPr>
            </w:pPr>
            <w:r>
              <w:rPr>
                <w:rFonts w:hint="eastAsia" w:ascii="宋体" w:hAnsi="宋体" w:cs="宋体"/>
                <w:color w:val="auto"/>
                <w:highlight w:val="none"/>
              </w:rPr>
              <w:t>用户通过PTT按键发起呼叫，呼叫接通后，所有参与呼叫的移动终端界面都会显示呼叫的相关状态信息，直到呼叫结束，便于用户了解当前移动终端呼叫状态。</w:t>
            </w:r>
          </w:p>
          <w:p w14:paraId="132F99C4">
            <w:pPr>
              <w:ind w:firstLine="480"/>
              <w:rPr>
                <w:rFonts w:ascii="宋体" w:hAnsi="宋体" w:cs="宋体"/>
                <w:color w:val="auto"/>
                <w:highlight w:val="none"/>
              </w:rPr>
            </w:pPr>
            <w:r>
              <w:rPr>
                <w:rFonts w:hint="eastAsia" w:ascii="宋体" w:hAnsi="宋体" w:cs="宋体"/>
                <w:color w:val="auto"/>
                <w:highlight w:val="none"/>
              </w:rPr>
              <w:t>1.24呼叫提示</w:t>
            </w:r>
          </w:p>
          <w:p w14:paraId="02D16A0D">
            <w:pPr>
              <w:ind w:firstLine="480"/>
              <w:rPr>
                <w:rFonts w:ascii="宋体" w:hAnsi="宋体" w:cs="宋体"/>
                <w:color w:val="auto"/>
                <w:highlight w:val="none"/>
              </w:rPr>
            </w:pPr>
            <w:r>
              <w:rPr>
                <w:rFonts w:hint="eastAsia" w:ascii="宋体" w:hAnsi="宋体" w:cs="宋体"/>
                <w:color w:val="auto"/>
                <w:highlight w:val="none"/>
              </w:rPr>
              <w:t>当用户处于通话过程中，有其他呼叫进来时，用户移动终端屏幕上会显示新呼叫的呼叫类型和主叫方号码。用户可以选择继续当前通话，拒绝新呼叫；或挂断当前通话，接通新呼叫。</w:t>
            </w:r>
          </w:p>
          <w:p w14:paraId="47BAC896">
            <w:pPr>
              <w:ind w:firstLine="480"/>
              <w:rPr>
                <w:rFonts w:ascii="宋体" w:hAnsi="宋体" w:cs="宋体"/>
                <w:color w:val="auto"/>
                <w:highlight w:val="none"/>
              </w:rPr>
            </w:pPr>
            <w:r>
              <w:rPr>
                <w:rFonts w:hint="eastAsia" w:ascii="宋体" w:hAnsi="宋体" w:cs="宋体"/>
                <w:color w:val="auto"/>
                <w:highlight w:val="none"/>
              </w:rPr>
              <w:t>1.25主叫显示</w:t>
            </w:r>
          </w:p>
          <w:p w14:paraId="125AF643">
            <w:pPr>
              <w:ind w:firstLine="480"/>
              <w:rPr>
                <w:rFonts w:ascii="宋体" w:hAnsi="宋体" w:cs="宋体"/>
                <w:color w:val="auto"/>
                <w:highlight w:val="none"/>
              </w:rPr>
            </w:pPr>
            <w:r>
              <w:rPr>
                <w:rFonts w:hint="eastAsia" w:ascii="宋体" w:hAnsi="宋体" w:cs="宋体"/>
                <w:color w:val="auto"/>
                <w:highlight w:val="none"/>
              </w:rPr>
              <w:t>这是针对被叫移动终端的业务。当主叫移动终端发起呼叫请求（按下PTT键）时，如果被叫拥有主叫显示功能，系统在通知被叫时，将主叫号码也传给被叫。这样被叫移动终端就能在提示用户接听电话的同时显示主叫号码，便于被叫用户在接听电话之前知道是谁发起的呼叫。</w:t>
            </w:r>
          </w:p>
          <w:p w14:paraId="4B667344">
            <w:pPr>
              <w:ind w:firstLine="480"/>
              <w:rPr>
                <w:rFonts w:ascii="宋体" w:hAnsi="宋体" w:cs="宋体"/>
                <w:color w:val="auto"/>
                <w:highlight w:val="none"/>
              </w:rPr>
            </w:pPr>
            <w:r>
              <w:rPr>
                <w:rFonts w:hint="eastAsia" w:ascii="宋体" w:hAnsi="宋体" w:cs="宋体"/>
                <w:color w:val="auto"/>
                <w:highlight w:val="none"/>
              </w:rPr>
              <w:t>1.26讲话方身份识别</w:t>
            </w:r>
          </w:p>
          <w:p w14:paraId="1F49739E">
            <w:pPr>
              <w:ind w:firstLine="480"/>
              <w:rPr>
                <w:rFonts w:ascii="宋体" w:hAnsi="宋体" w:cs="宋体"/>
                <w:color w:val="auto"/>
                <w:highlight w:val="none"/>
              </w:rPr>
            </w:pPr>
            <w:r>
              <w:rPr>
                <w:rFonts w:hint="eastAsia" w:ascii="宋体" w:hAnsi="宋体" w:cs="宋体"/>
                <w:color w:val="auto"/>
                <w:highlight w:val="none"/>
              </w:rPr>
              <w:t>在组呼过程中，当某个移动终端获得讲话权（按下PTT键后获取），那么在所有正在接听讲话的移动终端上实时显示讲话方的移动终端号码，使接听讲话的用户能够知道当前讲话方是谁。</w:t>
            </w:r>
          </w:p>
          <w:p w14:paraId="541CE7E6">
            <w:pPr>
              <w:ind w:firstLine="480"/>
              <w:rPr>
                <w:rFonts w:ascii="宋体" w:hAnsi="宋体" w:cs="宋体"/>
                <w:color w:val="auto"/>
                <w:highlight w:val="none"/>
              </w:rPr>
            </w:pPr>
            <w:r>
              <w:rPr>
                <w:rFonts w:hint="eastAsia" w:ascii="宋体" w:hAnsi="宋体" w:cs="宋体"/>
                <w:color w:val="auto"/>
                <w:highlight w:val="none"/>
              </w:rPr>
              <w:t>1.27呼叫限制</w:t>
            </w:r>
          </w:p>
          <w:p w14:paraId="474506C5">
            <w:pPr>
              <w:ind w:firstLine="480"/>
              <w:rPr>
                <w:rFonts w:ascii="宋体" w:hAnsi="宋体" w:cs="宋体"/>
                <w:color w:val="auto"/>
                <w:highlight w:val="none"/>
              </w:rPr>
            </w:pPr>
            <w:r>
              <w:rPr>
                <w:rFonts w:hint="eastAsia" w:ascii="宋体" w:hAnsi="宋体" w:cs="宋体"/>
                <w:color w:val="auto"/>
                <w:highlight w:val="none"/>
              </w:rPr>
              <w:t>通过对系统的配置，在系统上实现对某个移动终端的呼入/呼出限制（例如：单呼、组呼、外网呼叫、短消息、分组数据业务等），使呼叫的请求信令直接在系统被拒绝，相关信令不会到达被叫方。</w:t>
            </w:r>
          </w:p>
          <w:p w14:paraId="145F357E">
            <w:pPr>
              <w:ind w:firstLine="480"/>
              <w:rPr>
                <w:rFonts w:ascii="宋体" w:hAnsi="宋体" w:cs="宋体"/>
                <w:color w:val="auto"/>
                <w:highlight w:val="none"/>
              </w:rPr>
            </w:pPr>
            <w:r>
              <w:rPr>
                <w:rFonts w:hint="eastAsia" w:ascii="宋体" w:hAnsi="宋体" w:cs="宋体"/>
                <w:color w:val="auto"/>
                <w:highlight w:val="none"/>
              </w:rPr>
              <w:t>1.28录音功能</w:t>
            </w:r>
          </w:p>
          <w:p w14:paraId="000238DF">
            <w:pPr>
              <w:ind w:firstLine="480"/>
              <w:rPr>
                <w:rFonts w:ascii="宋体" w:hAnsi="宋体" w:cs="宋体"/>
                <w:color w:val="auto"/>
                <w:highlight w:val="none"/>
              </w:rPr>
            </w:pPr>
            <w:r>
              <w:rPr>
                <w:rFonts w:hint="eastAsia" w:ascii="宋体" w:hAnsi="宋体" w:cs="宋体"/>
                <w:color w:val="auto"/>
                <w:highlight w:val="none"/>
              </w:rPr>
              <w:t>系统支持录音功能。录音系统为系统管理员提供建立使用者相关设定，包含登录ID，登录密码以及使用权限等；授权用户可根据主被叫号码、日期、通话时长、呼叫类型、备注等条件查询录音，可以直接通过声卡播放，或是经由桌上电话播放。</w:t>
            </w:r>
          </w:p>
          <w:p w14:paraId="2DACB893">
            <w:pPr>
              <w:ind w:firstLine="480"/>
              <w:rPr>
                <w:rFonts w:ascii="宋体" w:hAnsi="宋体" w:cs="宋体"/>
                <w:color w:val="auto"/>
                <w:highlight w:val="none"/>
              </w:rPr>
            </w:pPr>
            <w:r>
              <w:rPr>
                <w:rFonts w:hint="eastAsia" w:ascii="宋体" w:hAnsi="宋体" w:cs="宋体"/>
                <w:color w:val="auto"/>
                <w:highlight w:val="none"/>
              </w:rPr>
              <w:t>系统支持录音查询的回放、循环播放以及连续播放。</w:t>
            </w:r>
          </w:p>
          <w:p w14:paraId="7B1D3398">
            <w:pPr>
              <w:ind w:firstLine="480"/>
              <w:rPr>
                <w:rFonts w:ascii="宋体" w:hAnsi="宋体" w:cs="宋体"/>
                <w:color w:val="auto"/>
                <w:highlight w:val="none"/>
              </w:rPr>
            </w:pPr>
            <w:r>
              <w:rPr>
                <w:rFonts w:hint="eastAsia" w:ascii="宋体" w:hAnsi="宋体" w:cs="宋体"/>
                <w:color w:val="auto"/>
                <w:highlight w:val="none"/>
              </w:rPr>
              <w:t>系统还可设置录音自动备份的时间、备份介质，也可以通过系统手工备份到您指定的介质（如：硬盘、DVD-R、可移动硬盘等数据存储设备）</w:t>
            </w:r>
          </w:p>
          <w:p w14:paraId="49304468">
            <w:pPr>
              <w:ind w:firstLine="480"/>
              <w:rPr>
                <w:rFonts w:ascii="宋体" w:hAnsi="宋体" w:cs="宋体"/>
                <w:color w:val="auto"/>
                <w:highlight w:val="none"/>
              </w:rPr>
            </w:pPr>
            <w:r>
              <w:rPr>
                <w:rFonts w:hint="eastAsia" w:ascii="宋体" w:hAnsi="宋体" w:cs="宋体"/>
                <w:color w:val="auto"/>
                <w:highlight w:val="none"/>
              </w:rPr>
              <w:t>1.29虚拟专网功能</w:t>
            </w:r>
          </w:p>
          <w:p w14:paraId="2B798102">
            <w:pPr>
              <w:ind w:firstLine="480"/>
              <w:rPr>
                <w:rFonts w:ascii="宋体" w:hAnsi="宋体" w:cs="宋体"/>
                <w:color w:val="auto"/>
                <w:highlight w:val="none"/>
              </w:rPr>
            </w:pPr>
            <w:r>
              <w:rPr>
                <w:rFonts w:hint="eastAsia" w:ascii="宋体" w:hAnsi="宋体" w:cs="宋体"/>
                <w:color w:val="auto"/>
                <w:highlight w:val="none"/>
              </w:rPr>
              <w:t>采用VPN方式，以公安350兆PDT数字集群通信系统为基础，为全市消防、武警、应急、城管、卫生、环卫等政府部门的无线应急通信需要提供授权，对各部门开放对所属用户的调度权限和部分管理权限，用于各部门对配备移动台的所属人员进行独立的调度指挥和管理，组成统一的应急通信指挥平台。</w:t>
            </w:r>
          </w:p>
          <w:p w14:paraId="4BAC4C76">
            <w:pPr>
              <w:ind w:firstLine="480"/>
              <w:rPr>
                <w:rFonts w:ascii="宋体" w:hAnsi="宋体" w:cs="宋体"/>
                <w:color w:val="auto"/>
                <w:highlight w:val="none"/>
              </w:rPr>
            </w:pPr>
            <w:r>
              <w:rPr>
                <w:rFonts w:hint="eastAsia" w:ascii="宋体" w:hAnsi="宋体" w:cs="宋体"/>
                <w:color w:val="auto"/>
                <w:highlight w:val="none"/>
              </w:rPr>
              <w:t>虚拟专网设备主要包括远程网管终端、远程调度终端和所属移动台。在各个政府应急部门配套建设。</w:t>
            </w:r>
          </w:p>
          <w:p w14:paraId="6CDC8284">
            <w:pPr>
              <w:ind w:firstLine="480"/>
              <w:rPr>
                <w:rFonts w:ascii="宋体" w:hAnsi="宋体" w:cs="宋体"/>
                <w:color w:val="auto"/>
                <w:highlight w:val="none"/>
              </w:rPr>
            </w:pPr>
            <w:r>
              <w:rPr>
                <w:rFonts w:hint="eastAsia" w:ascii="宋体" w:hAnsi="宋体" w:cs="宋体"/>
                <w:color w:val="auto"/>
                <w:highlight w:val="none"/>
              </w:rPr>
              <w:t>远程调度终端、网管终端通过路由器和链路接入公安联网交换管理中心，可按授权登录数字集群通信网对本部门配备的移动台进行分组编号管理，可对管辖移动台进行各种单呼、组呼、信息发布。</w:t>
            </w:r>
          </w:p>
          <w:p w14:paraId="73A263BF">
            <w:pPr>
              <w:ind w:firstLine="480"/>
              <w:rPr>
                <w:rFonts w:ascii="宋体" w:hAnsi="宋体" w:cs="宋体"/>
                <w:color w:val="auto"/>
                <w:highlight w:val="none"/>
              </w:rPr>
            </w:pPr>
            <w:r>
              <w:rPr>
                <w:rFonts w:hint="eastAsia" w:ascii="宋体" w:hAnsi="宋体" w:cs="宋体"/>
                <w:color w:val="auto"/>
                <w:highlight w:val="none"/>
              </w:rPr>
              <w:t>系统同时支持64个虚拟专网，不同的虚拟专网之间具有高度的通信保密性和独立的控制权限，不会产生干扰和失密。</w:t>
            </w:r>
          </w:p>
          <w:p w14:paraId="182B06CE">
            <w:pPr>
              <w:ind w:firstLine="480"/>
              <w:rPr>
                <w:rFonts w:ascii="宋体" w:hAnsi="宋体" w:cs="宋体"/>
                <w:color w:val="auto"/>
                <w:highlight w:val="none"/>
              </w:rPr>
            </w:pPr>
            <w:r>
              <w:rPr>
                <w:rFonts w:hint="eastAsia" w:ascii="宋体" w:hAnsi="宋体" w:cs="宋体"/>
                <w:color w:val="auto"/>
                <w:highlight w:val="none"/>
              </w:rPr>
              <w:t>1.30故障弱化功能</w:t>
            </w:r>
          </w:p>
          <w:p w14:paraId="39624427">
            <w:pPr>
              <w:ind w:firstLine="480"/>
              <w:rPr>
                <w:rFonts w:ascii="宋体" w:hAnsi="宋体" w:cs="宋体"/>
                <w:color w:val="auto"/>
                <w:highlight w:val="none"/>
              </w:rPr>
            </w:pPr>
            <w:r>
              <w:rPr>
                <w:rFonts w:hint="eastAsia" w:ascii="宋体" w:hAnsi="宋体" w:cs="宋体"/>
                <w:color w:val="auto"/>
                <w:highlight w:val="none"/>
              </w:rPr>
              <w:t>当交换机与基站之间的链路发生故障时，基站以集群方式独立工作，通话组保持不变，具有组呼、优先级、紧急呼叫等基本集群功能，为其覆盖区内的移动用户提供话音服务；当故障排除后，系统自动恢复到正常运行状态，而用户的通话组也不用做任何调整，仍可按原来的通话组方式通信。</w:t>
            </w:r>
          </w:p>
          <w:p w14:paraId="22F6779E">
            <w:pPr>
              <w:ind w:firstLine="480"/>
              <w:rPr>
                <w:rFonts w:ascii="宋体" w:hAnsi="宋体" w:cs="宋体"/>
                <w:color w:val="auto"/>
                <w:highlight w:val="none"/>
              </w:rPr>
            </w:pPr>
            <w:r>
              <w:rPr>
                <w:rFonts w:hint="eastAsia" w:ascii="宋体" w:hAnsi="宋体" w:cs="宋体"/>
                <w:color w:val="auto"/>
                <w:highlight w:val="none"/>
              </w:rPr>
              <w:t>故障弱化情况下支持的主要功能包括：</w:t>
            </w:r>
          </w:p>
          <w:p w14:paraId="030C875D">
            <w:pPr>
              <w:ind w:firstLine="480"/>
              <w:rPr>
                <w:rFonts w:ascii="宋体" w:hAnsi="宋体" w:cs="宋体"/>
                <w:color w:val="auto"/>
                <w:highlight w:val="none"/>
              </w:rPr>
            </w:pPr>
            <w:r>
              <w:rPr>
                <w:rFonts w:hint="eastAsia" w:ascii="宋体" w:hAnsi="宋体" w:cs="宋体"/>
                <w:color w:val="auto"/>
                <w:highlight w:val="none"/>
              </w:rPr>
              <w:t>基站入网登记</w:t>
            </w:r>
          </w:p>
          <w:p w14:paraId="7513F72D">
            <w:pPr>
              <w:ind w:firstLine="480"/>
              <w:rPr>
                <w:rFonts w:ascii="宋体" w:hAnsi="宋体" w:cs="宋体"/>
                <w:color w:val="auto"/>
                <w:highlight w:val="none"/>
              </w:rPr>
            </w:pPr>
            <w:r>
              <w:rPr>
                <w:rFonts w:hint="eastAsia" w:ascii="宋体" w:hAnsi="宋体" w:cs="宋体"/>
                <w:color w:val="auto"/>
                <w:highlight w:val="none"/>
              </w:rPr>
              <w:t>基站信道动态分配</w:t>
            </w:r>
          </w:p>
          <w:p w14:paraId="4274A633">
            <w:pPr>
              <w:ind w:firstLine="480"/>
              <w:rPr>
                <w:rFonts w:ascii="宋体" w:hAnsi="宋体" w:cs="宋体"/>
                <w:color w:val="auto"/>
                <w:highlight w:val="none"/>
              </w:rPr>
            </w:pPr>
            <w:r>
              <w:rPr>
                <w:rFonts w:hint="eastAsia" w:ascii="宋体" w:hAnsi="宋体" w:cs="宋体"/>
                <w:color w:val="auto"/>
                <w:highlight w:val="none"/>
              </w:rPr>
              <w:t>控制信道备份</w:t>
            </w:r>
          </w:p>
          <w:p w14:paraId="1A1BCCA6">
            <w:pPr>
              <w:ind w:firstLine="480"/>
              <w:rPr>
                <w:rFonts w:ascii="宋体" w:hAnsi="宋体" w:cs="宋体"/>
                <w:color w:val="auto"/>
                <w:highlight w:val="none"/>
              </w:rPr>
            </w:pPr>
            <w:r>
              <w:rPr>
                <w:rFonts w:hint="eastAsia" w:ascii="宋体" w:hAnsi="宋体" w:cs="宋体"/>
                <w:color w:val="auto"/>
                <w:highlight w:val="none"/>
              </w:rPr>
              <w:t>组呼</w:t>
            </w:r>
          </w:p>
          <w:p w14:paraId="352488BC">
            <w:pPr>
              <w:ind w:firstLine="480"/>
              <w:rPr>
                <w:rFonts w:ascii="宋体" w:hAnsi="宋体" w:cs="宋体"/>
                <w:color w:val="auto"/>
                <w:highlight w:val="none"/>
              </w:rPr>
            </w:pPr>
            <w:r>
              <w:rPr>
                <w:rFonts w:hint="eastAsia" w:ascii="宋体" w:hAnsi="宋体" w:cs="宋体"/>
                <w:color w:val="auto"/>
                <w:highlight w:val="none"/>
              </w:rPr>
              <w:t>紧急呼叫</w:t>
            </w:r>
          </w:p>
          <w:p w14:paraId="4A9F3E7A">
            <w:pPr>
              <w:ind w:firstLine="480"/>
              <w:rPr>
                <w:rFonts w:ascii="宋体" w:hAnsi="宋体" w:cs="宋体"/>
                <w:color w:val="auto"/>
                <w:highlight w:val="none"/>
              </w:rPr>
            </w:pPr>
            <w:r>
              <w:rPr>
                <w:rFonts w:hint="eastAsia" w:ascii="宋体" w:hAnsi="宋体" w:cs="宋体"/>
                <w:color w:val="auto"/>
                <w:highlight w:val="none"/>
              </w:rPr>
              <w:t>迟后加入</w:t>
            </w:r>
          </w:p>
          <w:p w14:paraId="6C8E8C2C">
            <w:pPr>
              <w:ind w:firstLine="480"/>
              <w:rPr>
                <w:rFonts w:ascii="宋体" w:hAnsi="宋体" w:cs="宋体"/>
                <w:color w:val="auto"/>
                <w:highlight w:val="none"/>
              </w:rPr>
            </w:pPr>
            <w:r>
              <w:rPr>
                <w:rFonts w:hint="eastAsia" w:ascii="宋体" w:hAnsi="宋体" w:cs="宋体"/>
                <w:color w:val="auto"/>
                <w:highlight w:val="none"/>
              </w:rPr>
              <w:t>新近用户优先</w:t>
            </w:r>
          </w:p>
          <w:p w14:paraId="17D20A99">
            <w:pPr>
              <w:ind w:firstLine="480"/>
              <w:rPr>
                <w:rFonts w:ascii="宋体" w:hAnsi="宋体" w:cs="宋体"/>
                <w:color w:val="auto"/>
                <w:highlight w:val="none"/>
              </w:rPr>
            </w:pPr>
            <w:r>
              <w:rPr>
                <w:rFonts w:hint="eastAsia" w:ascii="宋体" w:hAnsi="宋体" w:cs="宋体"/>
                <w:color w:val="auto"/>
                <w:highlight w:val="none"/>
              </w:rPr>
              <w:t>讲话方号码显示</w:t>
            </w:r>
          </w:p>
          <w:p w14:paraId="7A46DC72">
            <w:pPr>
              <w:ind w:firstLine="480"/>
              <w:rPr>
                <w:rFonts w:ascii="宋体" w:hAnsi="宋体" w:cs="宋体"/>
                <w:color w:val="auto"/>
                <w:highlight w:val="none"/>
              </w:rPr>
            </w:pPr>
            <w:r>
              <w:rPr>
                <w:rFonts w:hint="eastAsia" w:ascii="宋体" w:hAnsi="宋体" w:cs="宋体"/>
                <w:color w:val="auto"/>
                <w:highlight w:val="none"/>
              </w:rPr>
              <w:t>2联网功能</w:t>
            </w:r>
          </w:p>
          <w:p w14:paraId="13D15897">
            <w:pPr>
              <w:ind w:firstLine="480"/>
              <w:rPr>
                <w:rFonts w:ascii="宋体" w:hAnsi="宋体" w:cs="宋体"/>
                <w:color w:val="auto"/>
                <w:highlight w:val="none"/>
              </w:rPr>
            </w:pPr>
            <w:r>
              <w:rPr>
                <w:rFonts w:hint="eastAsia" w:ascii="宋体" w:hAnsi="宋体" w:cs="宋体"/>
                <w:color w:val="auto"/>
                <w:highlight w:val="none"/>
              </w:rPr>
              <w:t>跨基站单呼：系统支持跨基站之间的单呼呼叫以及对漫游用户的呼叫。</w:t>
            </w:r>
          </w:p>
          <w:p w14:paraId="41A4D632">
            <w:pPr>
              <w:ind w:firstLine="480"/>
              <w:rPr>
                <w:rFonts w:ascii="宋体" w:hAnsi="宋体" w:cs="宋体"/>
                <w:color w:val="auto"/>
                <w:highlight w:val="none"/>
              </w:rPr>
            </w:pPr>
            <w:r>
              <w:rPr>
                <w:rFonts w:hint="eastAsia" w:ascii="宋体" w:hAnsi="宋体" w:cs="宋体"/>
                <w:color w:val="auto"/>
                <w:highlight w:val="none"/>
              </w:rPr>
              <w:t>跨基站组呼：联网的系统支持跨基站的组呼，并且在多个用户同时通话时，话音强度不能减弱。在联网交换中心的管理终端上设置跨基站组呼的参与基站，当该组呼叫发起时，未设定的参与基站不分配信道。在已设定的参与基站中如果没有该组用户也不分配信道。跨基站组呼具有维持（只有主叫用户可以拆线）功能和迟后进入（组呼发起后，后登记的该组用户自动加入该组呼叫）功能。</w:t>
            </w:r>
          </w:p>
          <w:p w14:paraId="23B1B50E">
            <w:pPr>
              <w:ind w:firstLine="480"/>
              <w:rPr>
                <w:rFonts w:ascii="宋体" w:hAnsi="宋体" w:cs="宋体"/>
                <w:color w:val="auto"/>
                <w:highlight w:val="none"/>
              </w:rPr>
            </w:pPr>
            <w:r>
              <w:rPr>
                <w:rFonts w:hint="eastAsia" w:ascii="宋体" w:hAnsi="宋体" w:cs="宋体"/>
                <w:color w:val="auto"/>
                <w:highlight w:val="none"/>
              </w:rPr>
              <w:t>漫游组呼：漫游用户可以发起本基站组呼或跨基站组呼。</w:t>
            </w:r>
          </w:p>
          <w:p w14:paraId="07F42834">
            <w:pPr>
              <w:ind w:firstLine="480"/>
              <w:rPr>
                <w:rFonts w:ascii="宋体" w:hAnsi="宋体" w:cs="宋体"/>
                <w:color w:val="auto"/>
                <w:highlight w:val="none"/>
              </w:rPr>
            </w:pPr>
            <w:r>
              <w:rPr>
                <w:rFonts w:hint="eastAsia" w:ascii="宋体" w:hAnsi="宋体" w:cs="宋体"/>
                <w:color w:val="auto"/>
                <w:highlight w:val="none"/>
              </w:rPr>
              <w:t>3网络管理功能</w:t>
            </w:r>
          </w:p>
          <w:p w14:paraId="58572EF2">
            <w:pPr>
              <w:ind w:firstLine="480"/>
              <w:rPr>
                <w:rFonts w:ascii="宋体" w:hAnsi="宋体" w:cs="宋体"/>
                <w:color w:val="auto"/>
                <w:highlight w:val="none"/>
              </w:rPr>
            </w:pPr>
            <w:r>
              <w:rPr>
                <w:rFonts w:hint="eastAsia" w:ascii="宋体" w:hAnsi="宋体" w:cs="宋体"/>
                <w:color w:val="auto"/>
                <w:highlight w:val="none"/>
              </w:rPr>
              <w:t>3.1用户管理</w:t>
            </w:r>
          </w:p>
          <w:p w14:paraId="2FC419D6">
            <w:pPr>
              <w:ind w:firstLine="480"/>
              <w:rPr>
                <w:rFonts w:ascii="宋体" w:hAnsi="宋体" w:cs="宋体"/>
                <w:color w:val="auto"/>
                <w:highlight w:val="none"/>
              </w:rPr>
            </w:pPr>
            <w:r>
              <w:rPr>
                <w:rFonts w:hint="eastAsia" w:ascii="宋体" w:hAnsi="宋体" w:cs="宋体"/>
                <w:color w:val="auto"/>
                <w:highlight w:val="none"/>
              </w:rPr>
              <w:t>用户管理功能包括：</w:t>
            </w:r>
          </w:p>
          <w:p w14:paraId="4D4DE507">
            <w:pPr>
              <w:ind w:firstLine="480"/>
              <w:rPr>
                <w:rFonts w:ascii="宋体" w:hAnsi="宋体" w:cs="宋体"/>
                <w:color w:val="auto"/>
                <w:highlight w:val="none"/>
              </w:rPr>
            </w:pPr>
            <w:r>
              <w:rPr>
                <w:rFonts w:hint="eastAsia" w:ascii="宋体" w:hAnsi="宋体" w:cs="宋体"/>
                <w:color w:val="auto"/>
                <w:highlight w:val="none"/>
              </w:rPr>
              <w:t>集群用户管理，包括创建、查询、删除用户，及修改用户业务属性。</w:t>
            </w:r>
          </w:p>
          <w:p w14:paraId="227FE60C">
            <w:pPr>
              <w:ind w:firstLine="480"/>
              <w:rPr>
                <w:rFonts w:ascii="宋体" w:hAnsi="宋体" w:cs="宋体"/>
                <w:color w:val="auto"/>
                <w:highlight w:val="none"/>
              </w:rPr>
            </w:pPr>
            <w:r>
              <w:rPr>
                <w:rFonts w:hint="eastAsia" w:ascii="宋体" w:hAnsi="宋体" w:cs="宋体"/>
                <w:color w:val="auto"/>
                <w:highlight w:val="none"/>
              </w:rPr>
              <w:t>通话组管理，包括创建、查询、删除通话组，及修改通话组业务属性。</w:t>
            </w:r>
          </w:p>
          <w:p w14:paraId="137E1B54">
            <w:pPr>
              <w:ind w:firstLine="480"/>
              <w:rPr>
                <w:rFonts w:ascii="宋体" w:hAnsi="宋体" w:cs="宋体"/>
                <w:color w:val="auto"/>
                <w:highlight w:val="none"/>
              </w:rPr>
            </w:pPr>
            <w:r>
              <w:rPr>
                <w:rFonts w:hint="eastAsia" w:ascii="宋体" w:hAnsi="宋体" w:cs="宋体"/>
                <w:color w:val="auto"/>
                <w:highlight w:val="none"/>
              </w:rPr>
              <w:t>基本业务管理</w:t>
            </w:r>
          </w:p>
          <w:p w14:paraId="6A4C5AEA">
            <w:pPr>
              <w:ind w:firstLine="480"/>
              <w:rPr>
                <w:rFonts w:ascii="宋体" w:hAnsi="宋体" w:cs="宋体"/>
                <w:color w:val="auto"/>
                <w:highlight w:val="none"/>
              </w:rPr>
            </w:pPr>
            <w:r>
              <w:rPr>
                <w:rFonts w:hint="eastAsia" w:ascii="宋体" w:hAnsi="宋体" w:cs="宋体"/>
                <w:color w:val="auto"/>
                <w:highlight w:val="none"/>
              </w:rPr>
              <w:t>补充业务管理</w:t>
            </w:r>
          </w:p>
          <w:p w14:paraId="3437A486">
            <w:pPr>
              <w:ind w:firstLine="480"/>
              <w:rPr>
                <w:rFonts w:ascii="宋体" w:hAnsi="宋体" w:cs="宋体"/>
                <w:color w:val="auto"/>
                <w:highlight w:val="none"/>
              </w:rPr>
            </w:pPr>
            <w:r>
              <w:rPr>
                <w:rFonts w:hint="eastAsia" w:ascii="宋体" w:hAnsi="宋体" w:cs="宋体"/>
                <w:color w:val="auto"/>
                <w:highlight w:val="none"/>
              </w:rPr>
              <w:t>漫游管理</w:t>
            </w:r>
          </w:p>
          <w:p w14:paraId="396E77B0">
            <w:pPr>
              <w:ind w:firstLine="480"/>
              <w:rPr>
                <w:rFonts w:ascii="宋体" w:hAnsi="宋体" w:cs="宋体"/>
                <w:color w:val="auto"/>
                <w:highlight w:val="none"/>
              </w:rPr>
            </w:pPr>
            <w:r>
              <w:rPr>
                <w:rFonts w:hint="eastAsia" w:ascii="宋体" w:hAnsi="宋体" w:cs="宋体"/>
                <w:color w:val="auto"/>
                <w:highlight w:val="none"/>
              </w:rPr>
              <w:t>3.2配置管理</w:t>
            </w:r>
          </w:p>
          <w:p w14:paraId="152F20DB">
            <w:pPr>
              <w:ind w:firstLine="480"/>
              <w:rPr>
                <w:rFonts w:ascii="宋体" w:hAnsi="宋体" w:cs="宋体"/>
                <w:color w:val="auto"/>
                <w:highlight w:val="none"/>
              </w:rPr>
            </w:pPr>
            <w:r>
              <w:rPr>
                <w:rFonts w:hint="eastAsia" w:ascii="宋体" w:hAnsi="宋体" w:cs="宋体"/>
                <w:color w:val="auto"/>
                <w:highlight w:val="none"/>
              </w:rPr>
              <w:t>配置管理功能包括：</w:t>
            </w:r>
          </w:p>
          <w:p w14:paraId="622AFDFB">
            <w:pPr>
              <w:ind w:firstLine="480"/>
              <w:rPr>
                <w:rFonts w:ascii="宋体" w:hAnsi="宋体" w:cs="宋体"/>
                <w:color w:val="auto"/>
                <w:highlight w:val="none"/>
              </w:rPr>
            </w:pPr>
            <w:r>
              <w:rPr>
                <w:rFonts w:hint="eastAsia" w:ascii="宋体" w:hAnsi="宋体" w:cs="宋体"/>
                <w:color w:val="auto"/>
                <w:highlight w:val="none"/>
              </w:rPr>
              <w:t>对影响网络的要素进行管理，包括查询、修改和进行缺省配置。</w:t>
            </w:r>
          </w:p>
          <w:p w14:paraId="48B2B753">
            <w:pPr>
              <w:ind w:firstLine="480"/>
              <w:rPr>
                <w:rFonts w:ascii="宋体" w:hAnsi="宋体" w:cs="宋体"/>
                <w:color w:val="auto"/>
                <w:highlight w:val="none"/>
              </w:rPr>
            </w:pPr>
            <w:r>
              <w:rPr>
                <w:rFonts w:hint="eastAsia" w:ascii="宋体" w:hAnsi="宋体" w:cs="宋体"/>
                <w:color w:val="auto"/>
                <w:highlight w:val="none"/>
              </w:rPr>
              <w:t>网元参数管理，包括查询、修改和进行缺省配置。</w:t>
            </w:r>
          </w:p>
          <w:p w14:paraId="788159F4">
            <w:pPr>
              <w:ind w:firstLine="480"/>
              <w:rPr>
                <w:rFonts w:ascii="宋体" w:hAnsi="宋体" w:cs="宋体"/>
                <w:color w:val="auto"/>
                <w:highlight w:val="none"/>
              </w:rPr>
            </w:pPr>
            <w:r>
              <w:rPr>
                <w:rFonts w:hint="eastAsia" w:ascii="宋体" w:hAnsi="宋体" w:cs="宋体"/>
                <w:color w:val="auto"/>
                <w:highlight w:val="none"/>
              </w:rPr>
              <w:t>3.3故障管理</w:t>
            </w:r>
          </w:p>
          <w:p w14:paraId="238C6A43">
            <w:pPr>
              <w:ind w:firstLine="480"/>
              <w:rPr>
                <w:rFonts w:ascii="宋体" w:hAnsi="宋体" w:cs="宋体"/>
                <w:color w:val="auto"/>
                <w:highlight w:val="none"/>
              </w:rPr>
            </w:pPr>
            <w:r>
              <w:rPr>
                <w:rFonts w:hint="eastAsia" w:ascii="宋体" w:hAnsi="宋体" w:cs="宋体"/>
                <w:color w:val="auto"/>
                <w:highlight w:val="none"/>
              </w:rPr>
              <w:t>故障管理功能包括：</w:t>
            </w:r>
          </w:p>
          <w:p w14:paraId="2CA8CBEE">
            <w:pPr>
              <w:ind w:firstLine="480"/>
              <w:rPr>
                <w:rFonts w:ascii="宋体" w:hAnsi="宋体" w:cs="宋体"/>
                <w:color w:val="auto"/>
                <w:highlight w:val="none"/>
              </w:rPr>
            </w:pPr>
            <w:r>
              <w:rPr>
                <w:rFonts w:hint="eastAsia" w:ascii="宋体" w:hAnsi="宋体" w:cs="宋体"/>
                <w:color w:val="auto"/>
                <w:highlight w:val="none"/>
              </w:rPr>
              <w:t>告警信息采集，实时采集系统各网元设备的故障告警信息。</w:t>
            </w:r>
          </w:p>
          <w:p w14:paraId="1BC06EBA">
            <w:pPr>
              <w:ind w:firstLine="480"/>
              <w:rPr>
                <w:rFonts w:ascii="宋体" w:hAnsi="宋体" w:cs="宋体"/>
                <w:color w:val="auto"/>
                <w:highlight w:val="none"/>
              </w:rPr>
            </w:pPr>
            <w:r>
              <w:rPr>
                <w:rFonts w:hint="eastAsia" w:ascii="宋体" w:hAnsi="宋体" w:cs="宋体"/>
                <w:color w:val="auto"/>
                <w:highlight w:val="none"/>
              </w:rPr>
              <w:t>告警状态监视和呈现，系统可设置告警显示过滤、告警优先级、告警屏蔽、声光颜色告警、告警确认。</w:t>
            </w:r>
          </w:p>
          <w:p w14:paraId="2B5EF7EE">
            <w:pPr>
              <w:ind w:firstLine="480"/>
              <w:rPr>
                <w:rFonts w:ascii="宋体" w:hAnsi="宋体" w:cs="宋体"/>
                <w:color w:val="auto"/>
                <w:highlight w:val="none"/>
              </w:rPr>
            </w:pPr>
            <w:r>
              <w:rPr>
                <w:rFonts w:hint="eastAsia" w:ascii="宋体" w:hAnsi="宋体" w:cs="宋体"/>
                <w:color w:val="auto"/>
                <w:highlight w:val="none"/>
              </w:rPr>
              <w:t>告警信息保存和历史告警检索查询。</w:t>
            </w:r>
          </w:p>
          <w:p w14:paraId="10C464D6">
            <w:pPr>
              <w:ind w:firstLine="480"/>
              <w:rPr>
                <w:rFonts w:ascii="宋体" w:hAnsi="宋体" w:cs="宋体"/>
                <w:color w:val="auto"/>
                <w:highlight w:val="none"/>
              </w:rPr>
            </w:pPr>
            <w:r>
              <w:rPr>
                <w:rFonts w:hint="eastAsia" w:ascii="宋体" w:hAnsi="宋体" w:cs="宋体"/>
                <w:color w:val="auto"/>
                <w:highlight w:val="none"/>
              </w:rPr>
              <w:t>故障定位，告警的故障定位到模块级，并给出故障修复建议。</w:t>
            </w:r>
          </w:p>
          <w:p w14:paraId="49A5DE5C">
            <w:pPr>
              <w:ind w:firstLine="480"/>
              <w:rPr>
                <w:rFonts w:ascii="宋体" w:hAnsi="宋体" w:cs="宋体"/>
                <w:color w:val="auto"/>
                <w:highlight w:val="none"/>
              </w:rPr>
            </w:pPr>
            <w:r>
              <w:rPr>
                <w:rFonts w:hint="eastAsia" w:ascii="宋体" w:hAnsi="宋体" w:cs="宋体"/>
                <w:color w:val="auto"/>
                <w:highlight w:val="none"/>
              </w:rPr>
              <w:t>3.4安全管理</w:t>
            </w:r>
          </w:p>
          <w:p w14:paraId="4B528714">
            <w:pPr>
              <w:ind w:firstLine="480"/>
              <w:rPr>
                <w:rFonts w:ascii="宋体" w:hAnsi="宋体" w:cs="宋体"/>
                <w:color w:val="auto"/>
                <w:highlight w:val="none"/>
              </w:rPr>
            </w:pPr>
            <w:r>
              <w:rPr>
                <w:rFonts w:hint="eastAsia" w:ascii="宋体" w:hAnsi="宋体" w:cs="宋体"/>
                <w:color w:val="auto"/>
                <w:highlight w:val="none"/>
              </w:rPr>
              <w:t>安全管理功能包括：</w:t>
            </w:r>
          </w:p>
          <w:p w14:paraId="5D5DF147">
            <w:pPr>
              <w:ind w:firstLine="480"/>
              <w:rPr>
                <w:rFonts w:ascii="宋体" w:hAnsi="宋体" w:cs="宋体"/>
                <w:color w:val="auto"/>
                <w:highlight w:val="none"/>
              </w:rPr>
            </w:pPr>
            <w:r>
              <w:rPr>
                <w:rFonts w:hint="eastAsia" w:ascii="宋体" w:hAnsi="宋体" w:cs="宋体"/>
                <w:color w:val="auto"/>
                <w:highlight w:val="none"/>
              </w:rPr>
              <w:t>操作员权限管理，可定制不同操作员的操作权限。</w:t>
            </w:r>
          </w:p>
          <w:p w14:paraId="4252BBC2">
            <w:pPr>
              <w:ind w:firstLine="480"/>
              <w:rPr>
                <w:rFonts w:ascii="宋体" w:hAnsi="宋体" w:cs="宋体"/>
                <w:color w:val="auto"/>
                <w:highlight w:val="none"/>
              </w:rPr>
            </w:pPr>
            <w:r>
              <w:rPr>
                <w:rFonts w:hint="eastAsia" w:ascii="宋体" w:hAnsi="宋体" w:cs="宋体"/>
                <w:color w:val="auto"/>
                <w:highlight w:val="none"/>
              </w:rPr>
              <w:t>记录、保存、查询操作日志。</w:t>
            </w:r>
          </w:p>
          <w:p w14:paraId="42905E98">
            <w:pPr>
              <w:ind w:firstLine="480"/>
              <w:rPr>
                <w:rFonts w:ascii="宋体" w:hAnsi="宋体" w:cs="宋体"/>
                <w:color w:val="auto"/>
                <w:highlight w:val="none"/>
              </w:rPr>
            </w:pPr>
            <w:r>
              <w:rPr>
                <w:rFonts w:hint="eastAsia" w:ascii="宋体" w:hAnsi="宋体" w:cs="宋体"/>
                <w:color w:val="auto"/>
                <w:highlight w:val="none"/>
              </w:rPr>
              <w:t>3.5性能管理</w:t>
            </w:r>
          </w:p>
          <w:p w14:paraId="156A4755">
            <w:pPr>
              <w:ind w:firstLine="480"/>
              <w:rPr>
                <w:rFonts w:ascii="宋体" w:hAnsi="宋体" w:cs="宋体"/>
                <w:color w:val="auto"/>
                <w:highlight w:val="none"/>
              </w:rPr>
            </w:pPr>
            <w:r>
              <w:rPr>
                <w:rFonts w:hint="eastAsia" w:ascii="宋体" w:hAnsi="宋体" w:cs="宋体"/>
                <w:color w:val="auto"/>
                <w:highlight w:val="none"/>
              </w:rPr>
              <w:t>性能管理功能包括：</w:t>
            </w:r>
          </w:p>
          <w:p w14:paraId="1042D744">
            <w:pPr>
              <w:ind w:firstLine="480"/>
              <w:rPr>
                <w:rFonts w:ascii="宋体" w:hAnsi="宋体" w:cs="宋体"/>
                <w:color w:val="auto"/>
                <w:highlight w:val="none"/>
              </w:rPr>
            </w:pPr>
            <w:r>
              <w:rPr>
                <w:rFonts w:hint="eastAsia" w:ascii="宋体" w:hAnsi="宋体" w:cs="宋体"/>
                <w:color w:val="auto"/>
                <w:highlight w:val="none"/>
              </w:rPr>
              <w:t>性能数据测量管理。</w:t>
            </w:r>
          </w:p>
          <w:p w14:paraId="442A8D60">
            <w:pPr>
              <w:ind w:firstLine="480"/>
              <w:rPr>
                <w:rFonts w:ascii="宋体" w:hAnsi="宋体" w:cs="宋体"/>
                <w:color w:val="auto"/>
                <w:highlight w:val="none"/>
              </w:rPr>
            </w:pPr>
            <w:r>
              <w:rPr>
                <w:rFonts w:hint="eastAsia" w:ascii="宋体" w:hAnsi="宋体" w:cs="宋体"/>
                <w:color w:val="auto"/>
                <w:highlight w:val="none"/>
              </w:rPr>
              <w:t>话务数据测量统计，对整个系统、单个基站或几个基站的组合区域、单个信道等范围内的呼叫接续情况进行测量，测量的指标集中包含了测量范围内的总的呼叫数量、总的呼叫持续时间、所有呼叫（个呼＋组呼＋紧急呼叫）的总呼叫数和成功的呼叫数、个呼/组呼/紧急呼叫的持续时长等。</w:t>
            </w:r>
          </w:p>
          <w:p w14:paraId="305DA58A">
            <w:pPr>
              <w:ind w:firstLine="480"/>
              <w:rPr>
                <w:rFonts w:ascii="宋体" w:hAnsi="宋体" w:cs="宋体"/>
                <w:color w:val="auto"/>
                <w:highlight w:val="none"/>
              </w:rPr>
            </w:pPr>
            <w:r>
              <w:rPr>
                <w:rFonts w:hint="eastAsia" w:ascii="宋体" w:hAnsi="宋体" w:cs="宋体"/>
                <w:color w:val="auto"/>
                <w:highlight w:val="none"/>
              </w:rPr>
              <w:t>性能报表和综合性能分析报告。</w:t>
            </w:r>
          </w:p>
          <w:p w14:paraId="190D57D4">
            <w:pPr>
              <w:ind w:firstLine="480"/>
              <w:rPr>
                <w:rFonts w:ascii="宋体" w:hAnsi="宋体" w:cs="宋体"/>
                <w:color w:val="auto"/>
                <w:highlight w:val="none"/>
              </w:rPr>
            </w:pPr>
            <w:r>
              <w:rPr>
                <w:rFonts w:hint="eastAsia" w:ascii="宋体" w:hAnsi="宋体" w:cs="宋体"/>
                <w:color w:val="auto"/>
                <w:highlight w:val="none"/>
              </w:rPr>
              <w:t>3.6辅助管理</w:t>
            </w:r>
          </w:p>
          <w:p w14:paraId="7761B489">
            <w:pPr>
              <w:ind w:firstLine="480"/>
              <w:rPr>
                <w:rFonts w:ascii="宋体" w:hAnsi="宋体" w:cs="宋体"/>
                <w:color w:val="auto"/>
                <w:highlight w:val="none"/>
              </w:rPr>
            </w:pPr>
            <w:r>
              <w:rPr>
                <w:rFonts w:hint="eastAsia" w:ascii="宋体" w:hAnsi="宋体" w:cs="宋体"/>
                <w:color w:val="auto"/>
                <w:highlight w:val="none"/>
              </w:rPr>
              <w:t>辅助管理功能包括：</w:t>
            </w:r>
          </w:p>
          <w:p w14:paraId="273C0C1B">
            <w:pPr>
              <w:ind w:firstLine="480"/>
              <w:rPr>
                <w:rFonts w:ascii="宋体" w:hAnsi="宋体" w:cs="宋体"/>
                <w:color w:val="auto"/>
                <w:highlight w:val="none"/>
              </w:rPr>
            </w:pPr>
            <w:r>
              <w:rPr>
                <w:rFonts w:hint="eastAsia" w:ascii="宋体" w:hAnsi="宋体" w:cs="宋体"/>
                <w:color w:val="auto"/>
                <w:highlight w:val="none"/>
              </w:rPr>
              <w:t>系统状态显示：包括无线信道状态和占用显示。</w:t>
            </w:r>
          </w:p>
          <w:p w14:paraId="0AE16C26">
            <w:pPr>
              <w:ind w:firstLine="480"/>
              <w:rPr>
                <w:rFonts w:ascii="宋体" w:hAnsi="宋体" w:cs="宋体"/>
                <w:color w:val="auto"/>
                <w:highlight w:val="none"/>
              </w:rPr>
            </w:pPr>
            <w:r>
              <w:rPr>
                <w:rFonts w:hint="eastAsia" w:ascii="宋体" w:hAnsi="宋体" w:cs="宋体"/>
                <w:color w:val="auto"/>
                <w:highlight w:val="none"/>
              </w:rPr>
              <w:t>移动台/通话组核查：显示无线用户和通话组的位置信息、状态等。</w:t>
            </w:r>
          </w:p>
          <w:p w14:paraId="6D9BD135">
            <w:pPr>
              <w:ind w:firstLine="480"/>
              <w:rPr>
                <w:rFonts w:ascii="宋体" w:hAnsi="宋体" w:cs="宋体"/>
                <w:color w:val="auto"/>
                <w:highlight w:val="none"/>
              </w:rPr>
            </w:pPr>
            <w:r>
              <w:rPr>
                <w:rFonts w:hint="eastAsia" w:ascii="宋体" w:hAnsi="宋体" w:cs="宋体"/>
                <w:color w:val="auto"/>
                <w:highlight w:val="none"/>
              </w:rPr>
              <w:t>紧急调度预案：系统可事先保存紧急调度预案，每个调度预案最多可设置4个动态重组通话组，每个动态重组最多可派接100个通话组。</w:t>
            </w:r>
          </w:p>
          <w:p w14:paraId="55BCD8DC">
            <w:pPr>
              <w:ind w:firstLine="480"/>
              <w:rPr>
                <w:rFonts w:ascii="宋体" w:hAnsi="宋体" w:cs="宋体"/>
                <w:color w:val="auto"/>
                <w:highlight w:val="none"/>
              </w:rPr>
            </w:pPr>
            <w:r>
              <w:rPr>
                <w:rFonts w:hint="eastAsia" w:ascii="宋体" w:hAnsi="宋体" w:cs="宋体"/>
                <w:color w:val="auto"/>
                <w:highlight w:val="none"/>
              </w:rPr>
              <w:t>软件升级：包括网元单板上的映像文件管理、基站程序升级、局数据导入导出。</w:t>
            </w:r>
          </w:p>
          <w:p w14:paraId="0EC68F3B">
            <w:pPr>
              <w:ind w:firstLine="480"/>
              <w:rPr>
                <w:rFonts w:ascii="宋体" w:hAnsi="宋体" w:cs="宋体"/>
                <w:color w:val="auto"/>
                <w:highlight w:val="none"/>
              </w:rPr>
            </w:pPr>
            <w:r>
              <w:rPr>
                <w:rFonts w:hint="eastAsia" w:ascii="宋体" w:hAnsi="宋体" w:cs="宋体"/>
                <w:color w:val="auto"/>
                <w:highlight w:val="none"/>
              </w:rPr>
              <w:t>3.7系统远程升级</w:t>
            </w:r>
          </w:p>
          <w:p w14:paraId="1D836295">
            <w:pPr>
              <w:ind w:firstLine="480"/>
              <w:rPr>
                <w:rFonts w:ascii="宋体" w:hAnsi="宋体" w:cs="宋体"/>
                <w:color w:val="auto"/>
                <w:highlight w:val="none"/>
              </w:rPr>
            </w:pPr>
            <w:r>
              <w:rPr>
                <w:rFonts w:hint="eastAsia" w:ascii="宋体" w:hAnsi="宋体" w:cs="宋体"/>
                <w:color w:val="auto"/>
                <w:highlight w:val="none"/>
              </w:rPr>
              <w:t>系统远程升级：系统支持对基站进行远程升级功能，最大程度减少基站维护的工作量。</w:t>
            </w:r>
          </w:p>
          <w:p w14:paraId="75192BCE">
            <w:pPr>
              <w:ind w:firstLine="480"/>
              <w:rPr>
                <w:rFonts w:ascii="宋体" w:hAnsi="宋体" w:cs="宋体"/>
                <w:color w:val="auto"/>
                <w:highlight w:val="none"/>
              </w:rPr>
            </w:pPr>
            <w:r>
              <w:rPr>
                <w:rFonts w:hint="eastAsia" w:ascii="宋体" w:hAnsi="宋体" w:cs="宋体"/>
                <w:color w:val="auto"/>
                <w:highlight w:val="none"/>
              </w:rPr>
              <w:t>4网络调度台功能</w:t>
            </w:r>
          </w:p>
          <w:p w14:paraId="7FE76A62">
            <w:pPr>
              <w:ind w:firstLine="480"/>
              <w:rPr>
                <w:rFonts w:ascii="宋体" w:hAnsi="宋体" w:cs="宋体"/>
                <w:color w:val="auto"/>
                <w:highlight w:val="none"/>
              </w:rPr>
            </w:pPr>
            <w:r>
              <w:rPr>
                <w:rFonts w:hint="eastAsia" w:ascii="宋体" w:hAnsi="宋体" w:cs="宋体"/>
                <w:color w:val="auto"/>
                <w:highlight w:val="none"/>
              </w:rPr>
              <w:t>调度台呼叫</w:t>
            </w:r>
          </w:p>
          <w:p w14:paraId="5111AB41">
            <w:pPr>
              <w:ind w:firstLine="480"/>
              <w:rPr>
                <w:rFonts w:ascii="宋体" w:hAnsi="宋体" w:cs="宋体"/>
                <w:color w:val="auto"/>
                <w:highlight w:val="none"/>
              </w:rPr>
            </w:pPr>
            <w:r>
              <w:rPr>
                <w:rFonts w:hint="eastAsia" w:ascii="宋体" w:hAnsi="宋体" w:cs="宋体"/>
                <w:color w:val="auto"/>
                <w:highlight w:val="none"/>
              </w:rPr>
              <w:t>通话时长限制</w:t>
            </w:r>
          </w:p>
          <w:p w14:paraId="4E4DF55C">
            <w:pPr>
              <w:ind w:firstLine="480"/>
              <w:rPr>
                <w:rFonts w:ascii="宋体" w:hAnsi="宋体" w:cs="宋体"/>
                <w:color w:val="auto"/>
                <w:highlight w:val="none"/>
              </w:rPr>
            </w:pPr>
            <w:r>
              <w:rPr>
                <w:rFonts w:hint="eastAsia" w:ascii="宋体" w:hAnsi="宋体" w:cs="宋体"/>
                <w:color w:val="auto"/>
                <w:highlight w:val="none"/>
              </w:rPr>
              <w:t>组呼ID显示</w:t>
            </w:r>
          </w:p>
          <w:p w14:paraId="45280574">
            <w:pPr>
              <w:ind w:firstLine="480"/>
              <w:rPr>
                <w:rFonts w:ascii="宋体" w:hAnsi="宋体" w:cs="宋体"/>
                <w:color w:val="auto"/>
                <w:highlight w:val="none"/>
              </w:rPr>
            </w:pPr>
            <w:r>
              <w:rPr>
                <w:rFonts w:hint="eastAsia" w:ascii="宋体" w:hAnsi="宋体" w:cs="宋体"/>
                <w:color w:val="auto"/>
                <w:highlight w:val="none"/>
              </w:rPr>
              <w:t>通话记录查询</w:t>
            </w:r>
          </w:p>
          <w:p w14:paraId="0F596948">
            <w:pPr>
              <w:ind w:firstLine="480"/>
              <w:rPr>
                <w:rFonts w:ascii="宋体" w:hAnsi="宋体" w:cs="宋体"/>
                <w:color w:val="auto"/>
                <w:highlight w:val="none"/>
              </w:rPr>
            </w:pPr>
            <w:r>
              <w:rPr>
                <w:rFonts w:hint="eastAsia" w:ascii="宋体" w:hAnsi="宋体" w:cs="宋体"/>
                <w:color w:val="auto"/>
                <w:highlight w:val="none"/>
              </w:rPr>
              <w:t>通信簿管理</w:t>
            </w:r>
          </w:p>
          <w:p w14:paraId="55749BAB">
            <w:pPr>
              <w:ind w:firstLine="480"/>
              <w:rPr>
                <w:rFonts w:ascii="宋体" w:hAnsi="宋体" w:cs="宋体"/>
                <w:color w:val="auto"/>
                <w:highlight w:val="none"/>
              </w:rPr>
            </w:pPr>
            <w:r>
              <w:rPr>
                <w:rFonts w:hint="eastAsia" w:ascii="宋体" w:hAnsi="宋体" w:cs="宋体"/>
                <w:color w:val="auto"/>
                <w:highlight w:val="none"/>
              </w:rPr>
              <w:t>系统状态显示</w:t>
            </w:r>
          </w:p>
          <w:p w14:paraId="2B69D4F8">
            <w:pPr>
              <w:ind w:firstLine="480"/>
              <w:rPr>
                <w:rFonts w:ascii="宋体" w:hAnsi="宋体" w:cs="宋体"/>
                <w:color w:val="auto"/>
                <w:highlight w:val="none"/>
              </w:rPr>
            </w:pPr>
            <w:r>
              <w:rPr>
                <w:rFonts w:hint="eastAsia" w:ascii="宋体" w:hAnsi="宋体" w:cs="宋体"/>
                <w:color w:val="auto"/>
                <w:highlight w:val="none"/>
              </w:rPr>
              <w:t>录音管理和查询</w:t>
            </w:r>
          </w:p>
          <w:p w14:paraId="520B440D">
            <w:pPr>
              <w:ind w:firstLine="480"/>
              <w:rPr>
                <w:rFonts w:ascii="宋体" w:hAnsi="宋体" w:cs="宋体"/>
                <w:color w:val="auto"/>
                <w:highlight w:val="none"/>
              </w:rPr>
            </w:pPr>
            <w:r>
              <w:rPr>
                <w:rFonts w:hint="eastAsia" w:ascii="宋体" w:hAnsi="宋体" w:cs="宋体"/>
                <w:color w:val="auto"/>
                <w:highlight w:val="none"/>
              </w:rPr>
              <w:t>信道监控</w:t>
            </w:r>
          </w:p>
          <w:p w14:paraId="64C6241B">
            <w:pPr>
              <w:ind w:firstLine="480"/>
              <w:rPr>
                <w:rFonts w:ascii="宋体" w:hAnsi="宋体" w:cs="宋体"/>
                <w:color w:val="auto"/>
                <w:highlight w:val="none"/>
              </w:rPr>
            </w:pPr>
            <w:r>
              <w:rPr>
                <w:rFonts w:hint="eastAsia" w:ascii="宋体" w:hAnsi="宋体" w:cs="宋体"/>
                <w:color w:val="auto"/>
                <w:highlight w:val="none"/>
              </w:rPr>
              <w:t>5位置信息及警力资源管理应用</w:t>
            </w:r>
          </w:p>
          <w:p w14:paraId="41D301B6">
            <w:pPr>
              <w:ind w:firstLine="480"/>
              <w:rPr>
                <w:rFonts w:ascii="宋体" w:hAnsi="宋体" w:cs="宋体"/>
                <w:color w:val="auto"/>
                <w:highlight w:val="none"/>
              </w:rPr>
            </w:pPr>
            <w:r>
              <w:rPr>
                <w:rFonts w:hint="eastAsia" w:ascii="宋体" w:hAnsi="宋体" w:cs="宋体"/>
                <w:color w:val="auto"/>
                <w:highlight w:val="none"/>
              </w:rPr>
              <w:t>位置信息管理功能是PDT系统具备的一项重要功能，每个基站能支持的终端数量，将依据每个终端位置信息的刷新间隔确定。</w:t>
            </w:r>
          </w:p>
          <w:p w14:paraId="2FC6050B">
            <w:pPr>
              <w:ind w:firstLine="480"/>
              <w:rPr>
                <w:rFonts w:ascii="宋体" w:hAnsi="宋体" w:cs="宋体"/>
                <w:color w:val="auto"/>
                <w:highlight w:val="none"/>
              </w:rPr>
            </w:pPr>
            <w:r>
              <w:rPr>
                <w:rFonts w:hint="eastAsia" w:ascii="宋体" w:hAnsi="宋体" w:cs="宋体"/>
                <w:color w:val="auto"/>
                <w:highlight w:val="none"/>
              </w:rPr>
              <w:t>PDT标准明确规定位置信息管理功能实现过程和信令标准，终端自身配置位置信息服务，无需外置，利用集群专网传送</w:t>
            </w:r>
          </w:p>
          <w:p w14:paraId="70B5233C">
            <w:pPr>
              <w:ind w:firstLine="480"/>
              <w:rPr>
                <w:rFonts w:ascii="宋体" w:hAnsi="宋体" w:cs="宋体"/>
                <w:color w:val="auto"/>
                <w:highlight w:val="none"/>
              </w:rPr>
            </w:pPr>
            <w:r>
              <w:rPr>
                <w:rFonts w:hint="eastAsia" w:ascii="宋体" w:hAnsi="宋体" w:cs="宋体"/>
                <w:color w:val="auto"/>
                <w:highlight w:val="none"/>
              </w:rPr>
              <w:t>终端位置信息上报方式支持：距离、定期、距离和时间间隔满足一个就上报</w:t>
            </w:r>
          </w:p>
          <w:p w14:paraId="0ED70BEC">
            <w:pPr>
              <w:ind w:firstLine="480"/>
              <w:rPr>
                <w:rFonts w:ascii="宋体" w:hAnsi="宋体" w:cs="宋体"/>
                <w:color w:val="auto"/>
                <w:highlight w:val="none"/>
              </w:rPr>
            </w:pPr>
            <w:r>
              <w:rPr>
                <w:rFonts w:hint="eastAsia" w:ascii="宋体" w:hAnsi="宋体" w:cs="宋体"/>
                <w:color w:val="auto"/>
                <w:highlight w:val="none"/>
              </w:rPr>
              <w:t>本项目各PDT基站的载频数量分别配置为3载频、4载频和8载频，各基站开通一个专用的数字时隙传输位置信息，可以做到每个基站每分钟最大上传不少于500条位置信息，从而保证路面巡逻警员的位置信息实时传送到指挥中心，以便指挥中心可以快速派警增援。</w:t>
            </w:r>
          </w:p>
          <w:p w14:paraId="79E3D6F4">
            <w:pPr>
              <w:ind w:firstLine="480"/>
              <w:rPr>
                <w:rFonts w:ascii="宋体" w:hAnsi="宋体" w:cs="宋体"/>
                <w:color w:val="auto"/>
                <w:highlight w:val="none"/>
              </w:rPr>
            </w:pPr>
            <w:r>
              <w:rPr>
                <w:rFonts w:hint="eastAsia" w:ascii="宋体" w:hAnsi="宋体" w:cs="宋体"/>
                <w:color w:val="auto"/>
                <w:highlight w:val="none"/>
              </w:rPr>
              <w:t>路面巡逻警员的位置信息实时上传到集群系统的控制中心后再通过一系列应用软件处理，可以有效帮助指挥中心或各层级领导对路面警员进行实时监控和管理。</w:t>
            </w:r>
          </w:p>
          <w:p w14:paraId="26316CD3">
            <w:pPr>
              <w:ind w:firstLine="480"/>
              <w:rPr>
                <w:rFonts w:ascii="宋体" w:hAnsi="宋体" w:cs="宋体"/>
                <w:color w:val="auto"/>
                <w:highlight w:val="none"/>
              </w:rPr>
            </w:pPr>
            <w:r>
              <w:rPr>
                <w:rFonts w:hint="eastAsia" w:ascii="宋体" w:hAnsi="宋体" w:cs="宋体"/>
                <w:color w:val="auto"/>
                <w:highlight w:val="none"/>
              </w:rPr>
              <w:t>配置的可视化指挥调度系统客户端软件可以安装在各区县局指挥中心或者安装在各层级领导的桌面电脑上，通过该软件即可实现以下的警力资源的管理应用。</w:t>
            </w:r>
          </w:p>
          <w:p w14:paraId="5E3DDFF9">
            <w:pPr>
              <w:ind w:firstLine="480"/>
              <w:rPr>
                <w:rFonts w:ascii="宋体" w:hAnsi="宋体" w:cs="宋体"/>
                <w:color w:val="auto"/>
                <w:highlight w:val="none"/>
              </w:rPr>
            </w:pPr>
            <w:r>
              <w:rPr>
                <w:rFonts w:hint="eastAsia" w:ascii="宋体" w:hAnsi="宋体" w:cs="宋体"/>
                <w:color w:val="auto"/>
                <w:highlight w:val="none"/>
              </w:rPr>
              <w:t>5.1警员位置信息实时显示</w:t>
            </w:r>
          </w:p>
          <w:p w14:paraId="487BA8A8">
            <w:pPr>
              <w:ind w:firstLine="480"/>
              <w:rPr>
                <w:rFonts w:ascii="宋体" w:hAnsi="宋体" w:cs="宋体"/>
                <w:color w:val="auto"/>
                <w:highlight w:val="none"/>
              </w:rPr>
            </w:pPr>
            <w:r>
              <w:rPr>
                <w:rFonts w:hint="eastAsia" w:ascii="宋体" w:hAnsi="宋体" w:cs="宋体"/>
                <w:color w:val="auto"/>
                <w:highlight w:val="none"/>
              </w:rPr>
              <w:t>各种警力资源在电子地图上赋予人性化的符号，以便对警力资源（车辆、民警等）进行区分等。</w:t>
            </w:r>
          </w:p>
          <w:p w14:paraId="4E34A93F">
            <w:pPr>
              <w:ind w:firstLine="480"/>
              <w:rPr>
                <w:rFonts w:ascii="宋体" w:hAnsi="宋体" w:cs="宋体"/>
                <w:color w:val="auto"/>
                <w:highlight w:val="none"/>
              </w:rPr>
            </w:pPr>
            <w:r>
              <w:rPr>
                <w:rFonts w:hint="eastAsia" w:ascii="宋体" w:hAnsi="宋体" w:cs="宋体"/>
                <w:color w:val="auto"/>
                <w:highlight w:val="none"/>
              </w:rPr>
              <w:t>当调度员的光标点在电子地图的车辆符号上时，系统显示车辆的详细信息，包括车牌号、所属单位、状态、车台号、经纬度和时间等；光标点在电子地图的民警符号上时，系统显示民警的详细信息，信息包括：警号、姓名、所属单位、状态、数字集群终端设备号、经纬度和时间等。</w:t>
            </w:r>
          </w:p>
          <w:p w14:paraId="3358F360">
            <w:pPr>
              <w:ind w:firstLine="480"/>
              <w:rPr>
                <w:rFonts w:ascii="宋体" w:hAnsi="宋体" w:cs="宋体"/>
                <w:color w:val="auto"/>
                <w:highlight w:val="none"/>
              </w:rPr>
            </w:pPr>
            <w:r>
              <w:rPr>
                <w:rFonts w:hint="eastAsia" w:ascii="宋体" w:hAnsi="宋体" w:cs="宋体"/>
                <w:color w:val="auto"/>
                <w:highlight w:val="none"/>
              </w:rPr>
              <w:t>5.2点击警员位置图标发起呼叫通话</w:t>
            </w:r>
          </w:p>
          <w:p w14:paraId="5138658F">
            <w:pPr>
              <w:ind w:firstLine="480"/>
              <w:rPr>
                <w:rFonts w:ascii="宋体" w:hAnsi="宋体" w:cs="宋体"/>
                <w:color w:val="auto"/>
                <w:highlight w:val="none"/>
              </w:rPr>
            </w:pPr>
            <w:r>
              <w:rPr>
                <w:rFonts w:hint="eastAsia" w:ascii="宋体" w:hAnsi="宋体" w:cs="宋体"/>
                <w:color w:val="auto"/>
                <w:highlight w:val="none"/>
              </w:rPr>
              <w:t>在地图上或在线列表上可通过界面选择点击呼叫在线警员，系统自动与调度台联动发起呼叫，并弹出通话界面显示通话状态，地图上的当前被呼的对象闪烁显示，通话结束时，弹出界面自动消失。</w:t>
            </w:r>
          </w:p>
          <w:p w14:paraId="59363FFC">
            <w:pPr>
              <w:ind w:firstLine="480"/>
              <w:rPr>
                <w:rFonts w:ascii="宋体" w:hAnsi="宋体" w:cs="宋体"/>
                <w:color w:val="auto"/>
                <w:highlight w:val="none"/>
              </w:rPr>
            </w:pPr>
            <w:r>
              <w:rPr>
                <w:rFonts w:hint="eastAsia" w:ascii="宋体" w:hAnsi="宋体" w:cs="宋体"/>
                <w:color w:val="auto"/>
                <w:highlight w:val="none"/>
              </w:rPr>
              <w:t>5.3向警员发送警情信息</w:t>
            </w:r>
          </w:p>
          <w:p w14:paraId="3C540996">
            <w:pPr>
              <w:ind w:firstLine="480"/>
              <w:rPr>
                <w:rFonts w:ascii="宋体" w:hAnsi="宋体" w:cs="宋体"/>
                <w:color w:val="auto"/>
                <w:highlight w:val="none"/>
              </w:rPr>
            </w:pPr>
            <w:r>
              <w:rPr>
                <w:rFonts w:hint="eastAsia" w:ascii="宋体" w:hAnsi="宋体" w:cs="宋体"/>
                <w:color w:val="auto"/>
                <w:highlight w:val="none"/>
              </w:rPr>
              <w:t>调度员发布警情简要信息和调度指挥信息给指定警员，警员可通过移动终端实时查看警情信息。</w:t>
            </w:r>
          </w:p>
          <w:p w14:paraId="4A0AE0B1">
            <w:pPr>
              <w:ind w:firstLine="480"/>
              <w:rPr>
                <w:rFonts w:ascii="宋体" w:hAnsi="宋体" w:cs="宋体"/>
                <w:color w:val="auto"/>
                <w:highlight w:val="none"/>
              </w:rPr>
            </w:pPr>
            <w:r>
              <w:rPr>
                <w:rFonts w:hint="eastAsia" w:ascii="宋体" w:hAnsi="宋体" w:cs="宋体"/>
                <w:color w:val="auto"/>
                <w:highlight w:val="none"/>
              </w:rPr>
              <w:t>5.5警力资源的管理和监控</w:t>
            </w:r>
          </w:p>
          <w:p w14:paraId="5A1C584B">
            <w:pPr>
              <w:ind w:firstLine="480"/>
              <w:rPr>
                <w:rFonts w:ascii="宋体" w:hAnsi="宋体" w:cs="宋体"/>
                <w:color w:val="auto"/>
                <w:highlight w:val="none"/>
              </w:rPr>
            </w:pPr>
            <w:r>
              <w:rPr>
                <w:rFonts w:hint="eastAsia" w:ascii="宋体" w:hAnsi="宋体" w:cs="宋体"/>
                <w:color w:val="auto"/>
                <w:highlight w:val="none"/>
              </w:rPr>
              <w:t>警力资源管理：通过警员发送不同的个人状态信息，结合警员的个呼号码、发送时间和经纬度信息等对警员实施实时的警员状态资源管理。警员的个呼号吗、状态信息和发送时间以数据库的形式保存在开放式的应用服务器中。</w:t>
            </w:r>
          </w:p>
          <w:p w14:paraId="281EB464">
            <w:pPr>
              <w:ind w:firstLine="480"/>
              <w:rPr>
                <w:rFonts w:ascii="宋体" w:hAnsi="宋体" w:cs="宋体"/>
                <w:color w:val="auto"/>
                <w:highlight w:val="none"/>
              </w:rPr>
            </w:pPr>
            <w:r>
              <w:rPr>
                <w:rFonts w:hint="eastAsia" w:ascii="宋体" w:hAnsi="宋体" w:cs="宋体"/>
                <w:color w:val="auto"/>
                <w:highlight w:val="none"/>
              </w:rPr>
              <w:t>巡逻线路设定。通过对交通事故高发和热点地区的分析，设定相应的巡逻线路，定期通过管理系统进行发布，指导巡逻人员按时按线路进行巡逻。巡逻警员未按照巡逻路线和设定时间巡逻时，数字集群终端设备将收到系统信息提示。</w:t>
            </w:r>
          </w:p>
          <w:p w14:paraId="518A4D10">
            <w:pPr>
              <w:ind w:firstLine="480"/>
              <w:rPr>
                <w:rFonts w:ascii="宋体" w:hAnsi="宋体" w:cs="宋体"/>
                <w:color w:val="auto"/>
                <w:highlight w:val="none"/>
              </w:rPr>
            </w:pPr>
            <w:r>
              <w:rPr>
                <w:rFonts w:hint="eastAsia" w:ascii="宋体" w:hAnsi="宋体" w:cs="宋体"/>
                <w:color w:val="auto"/>
                <w:highlight w:val="none"/>
              </w:rPr>
              <w:t>巡逻区域设定。设定所有巡逻人员规定的各个巡逻区域.巡逻警员未按照巡逻区域巡逻时，数字集群终端设备将收到系统信息提示。</w:t>
            </w:r>
          </w:p>
          <w:p w14:paraId="4CC55CD2">
            <w:pPr>
              <w:ind w:firstLine="480"/>
              <w:rPr>
                <w:rFonts w:ascii="宋体" w:hAnsi="宋体" w:cs="宋体"/>
                <w:color w:val="auto"/>
                <w:highlight w:val="none"/>
              </w:rPr>
            </w:pPr>
            <w:r>
              <w:rPr>
                <w:rFonts w:hint="eastAsia" w:ascii="宋体" w:hAnsi="宋体" w:cs="宋体"/>
                <w:color w:val="auto"/>
                <w:highlight w:val="none"/>
              </w:rPr>
              <w:t>巡逻督查。通过对比预设线路和实际轨迹，确定巡逻人员是否巡逻到位，特别是一些必到点是否已按时巡逻。</w:t>
            </w:r>
          </w:p>
          <w:p w14:paraId="6F77707F">
            <w:pPr>
              <w:ind w:firstLine="480"/>
              <w:rPr>
                <w:rFonts w:ascii="宋体" w:hAnsi="宋体" w:cs="宋体"/>
                <w:color w:val="auto"/>
                <w:highlight w:val="none"/>
              </w:rPr>
            </w:pPr>
            <w:r>
              <w:rPr>
                <w:rFonts w:hint="eastAsia" w:ascii="宋体" w:hAnsi="宋体" w:cs="宋体"/>
                <w:color w:val="auto"/>
                <w:highlight w:val="none"/>
              </w:rPr>
              <w:t>如果巡逻人员离开巡逻区域，系统自动报警并记录该事件（报警记录记录查询），在客户端会弹出越界报警窗口（越界的终端以红色图标显示），同时把此事件通知用户终端。</w:t>
            </w:r>
          </w:p>
          <w:p w14:paraId="15166032">
            <w:pPr>
              <w:ind w:firstLine="480"/>
              <w:rPr>
                <w:rFonts w:ascii="宋体" w:hAnsi="宋体" w:cs="宋体"/>
                <w:color w:val="auto"/>
                <w:highlight w:val="none"/>
              </w:rPr>
            </w:pPr>
            <w:r>
              <w:rPr>
                <w:rFonts w:hint="eastAsia" w:ascii="宋体" w:hAnsi="宋体" w:cs="宋体"/>
                <w:color w:val="auto"/>
                <w:highlight w:val="none"/>
              </w:rPr>
              <w:t>5.6轨迹回放</w:t>
            </w:r>
          </w:p>
          <w:p w14:paraId="327E699B">
            <w:pPr>
              <w:ind w:firstLine="480"/>
              <w:rPr>
                <w:rFonts w:ascii="宋体" w:hAnsi="宋体" w:cs="宋体"/>
                <w:color w:val="auto"/>
                <w:highlight w:val="none"/>
              </w:rPr>
            </w:pPr>
            <w:r>
              <w:rPr>
                <w:rFonts w:hint="eastAsia" w:ascii="宋体" w:hAnsi="宋体" w:cs="宋体"/>
                <w:color w:val="auto"/>
                <w:highlight w:val="none"/>
              </w:rPr>
              <w:t>巡访警员某时段的位置信息轨迹查询回放；</w:t>
            </w:r>
          </w:p>
          <w:p w14:paraId="10774D4E">
            <w:pPr>
              <w:ind w:firstLine="480"/>
              <w:rPr>
                <w:rFonts w:ascii="宋体" w:hAnsi="宋体" w:cs="宋体"/>
                <w:color w:val="auto"/>
                <w:highlight w:val="none"/>
              </w:rPr>
            </w:pPr>
            <w:r>
              <w:rPr>
                <w:rFonts w:hint="eastAsia" w:ascii="宋体" w:hAnsi="宋体" w:cs="宋体"/>
                <w:color w:val="auto"/>
                <w:highlight w:val="none"/>
              </w:rPr>
              <w:t>5.7位置信息和可视化实现的调度功能</w:t>
            </w:r>
          </w:p>
          <w:p w14:paraId="6C5E5C59">
            <w:pPr>
              <w:ind w:firstLine="480"/>
              <w:rPr>
                <w:rFonts w:ascii="宋体" w:hAnsi="宋体" w:cs="宋体"/>
                <w:color w:val="auto"/>
                <w:highlight w:val="none"/>
              </w:rPr>
            </w:pPr>
            <w:r>
              <w:rPr>
                <w:rFonts w:hint="eastAsia" w:ascii="宋体" w:hAnsi="宋体" w:cs="宋体"/>
                <w:color w:val="auto"/>
                <w:highlight w:val="none"/>
              </w:rPr>
              <w:t>通过位置信息及警力资源管理应用服务器，可以将警员的可视化信息及时的反馈到可视化调度终端。并通过基于桌面化的可视化调度终端进行语音和短信息的即时通讯：</w:t>
            </w:r>
          </w:p>
          <w:p w14:paraId="32272A24">
            <w:pPr>
              <w:ind w:firstLine="480"/>
              <w:rPr>
                <w:rFonts w:ascii="宋体" w:hAnsi="宋体" w:cs="宋体"/>
                <w:color w:val="auto"/>
                <w:highlight w:val="none"/>
              </w:rPr>
            </w:pPr>
            <w:r>
              <w:rPr>
                <w:rFonts w:hint="eastAsia" w:ascii="宋体" w:hAnsi="宋体" w:cs="宋体"/>
                <w:color w:val="auto"/>
                <w:highlight w:val="none"/>
              </w:rPr>
              <w:t>1、警员位置信息在调度台上实时显示；</w:t>
            </w:r>
          </w:p>
          <w:p w14:paraId="768D3848">
            <w:pPr>
              <w:ind w:firstLine="480"/>
              <w:rPr>
                <w:rFonts w:ascii="宋体" w:hAnsi="宋体" w:cs="宋体"/>
                <w:color w:val="auto"/>
                <w:highlight w:val="none"/>
              </w:rPr>
            </w:pPr>
            <w:r>
              <w:rPr>
                <w:rFonts w:hint="eastAsia" w:ascii="宋体" w:hAnsi="宋体" w:cs="宋体"/>
                <w:color w:val="auto"/>
                <w:highlight w:val="none"/>
              </w:rPr>
              <w:t>2、点击呼叫电子地图上的警员，接收警员向调度台发起的呼叫；</w:t>
            </w:r>
          </w:p>
          <w:p w14:paraId="3AC647E8">
            <w:pPr>
              <w:ind w:firstLine="480"/>
              <w:rPr>
                <w:rFonts w:ascii="宋体" w:hAnsi="宋体" w:cs="宋体"/>
                <w:color w:val="auto"/>
                <w:highlight w:val="none"/>
              </w:rPr>
            </w:pPr>
            <w:r>
              <w:rPr>
                <w:rFonts w:hint="eastAsia" w:ascii="宋体" w:hAnsi="宋体" w:cs="宋体"/>
                <w:color w:val="auto"/>
                <w:highlight w:val="none"/>
              </w:rPr>
              <w:t>3、向警员发布中文警情信息，接收警员的中文信息；</w:t>
            </w:r>
          </w:p>
          <w:p w14:paraId="38331B16">
            <w:pPr>
              <w:ind w:firstLine="480"/>
              <w:rPr>
                <w:rFonts w:ascii="宋体" w:hAnsi="宋体" w:cs="宋体"/>
                <w:color w:val="auto"/>
                <w:highlight w:val="none"/>
              </w:rPr>
            </w:pPr>
            <w:r>
              <w:rPr>
                <w:rFonts w:hint="eastAsia" w:ascii="宋体" w:hAnsi="宋体" w:cs="宋体"/>
                <w:color w:val="auto"/>
                <w:highlight w:val="none"/>
              </w:rPr>
              <w:t>4、与警员之间进行状态信息的传送，实时监控警员工作中的状态信息；</w:t>
            </w:r>
          </w:p>
          <w:p w14:paraId="5CFBD6A2">
            <w:pPr>
              <w:ind w:firstLine="480"/>
              <w:rPr>
                <w:rFonts w:ascii="宋体" w:hAnsi="宋体" w:cs="宋体"/>
                <w:color w:val="auto"/>
                <w:highlight w:val="none"/>
              </w:rPr>
            </w:pPr>
            <w:r>
              <w:rPr>
                <w:rFonts w:hint="eastAsia" w:ascii="宋体" w:hAnsi="宋体" w:cs="宋体"/>
                <w:color w:val="auto"/>
                <w:highlight w:val="none"/>
              </w:rPr>
              <w:t>5、电子地图上其他应用业务如地图操作、巡逻管理等参见位置信息可视化调度一节。</w:t>
            </w:r>
          </w:p>
          <w:p w14:paraId="77DEB667">
            <w:pPr>
              <w:ind w:firstLine="480"/>
              <w:rPr>
                <w:rFonts w:ascii="宋体" w:hAnsi="宋体" w:cs="宋体"/>
                <w:color w:val="auto"/>
                <w:highlight w:val="none"/>
              </w:rPr>
            </w:pPr>
            <w:r>
              <w:rPr>
                <w:rFonts w:hint="eastAsia" w:ascii="宋体" w:hAnsi="宋体" w:cs="宋体"/>
                <w:color w:val="auto"/>
                <w:highlight w:val="none"/>
              </w:rPr>
              <w:t>6全网录音与查询应用</w:t>
            </w:r>
          </w:p>
          <w:p w14:paraId="7AAEEA68">
            <w:pPr>
              <w:ind w:firstLine="480"/>
              <w:rPr>
                <w:rFonts w:ascii="宋体" w:hAnsi="宋体" w:cs="宋体"/>
                <w:color w:val="auto"/>
                <w:highlight w:val="none"/>
              </w:rPr>
            </w:pPr>
            <w:r>
              <w:rPr>
                <w:rFonts w:hint="eastAsia" w:ascii="宋体" w:hAnsi="宋体" w:cs="宋体"/>
                <w:color w:val="auto"/>
                <w:highlight w:val="none"/>
              </w:rPr>
              <w:t>全网录音系统可以对该网络下的所有呼叫进行录音，包括组呼、个呼、个用户和调度用户等所有的呼叫进行录音，录音可供需要进行查询、录音回放。各个分局配置自己的录音查询系统,市局拥有统一的录音查询系统.</w:t>
            </w:r>
          </w:p>
          <w:p w14:paraId="1A54649B">
            <w:pPr>
              <w:ind w:firstLine="480"/>
              <w:rPr>
                <w:rFonts w:ascii="宋体" w:hAnsi="宋体" w:cs="宋体"/>
                <w:color w:val="auto"/>
                <w:highlight w:val="none"/>
              </w:rPr>
            </w:pPr>
            <w:r>
              <w:rPr>
                <w:rFonts w:hint="eastAsia" w:ascii="宋体" w:hAnsi="宋体" w:cs="宋体"/>
                <w:color w:val="auto"/>
                <w:highlight w:val="none"/>
              </w:rPr>
              <w:t>7互联功能</w:t>
            </w:r>
          </w:p>
          <w:p w14:paraId="15167076">
            <w:pPr>
              <w:ind w:firstLine="480"/>
              <w:rPr>
                <w:rFonts w:ascii="宋体" w:hAnsi="宋体" w:cs="宋体"/>
                <w:color w:val="auto"/>
                <w:highlight w:val="none"/>
              </w:rPr>
            </w:pPr>
            <w:r>
              <w:rPr>
                <w:rFonts w:hint="eastAsia" w:ascii="宋体" w:hAnsi="宋体" w:cs="宋体"/>
                <w:color w:val="auto"/>
                <w:highlight w:val="none"/>
              </w:rPr>
              <w:t>7.1长短信</w:t>
            </w:r>
          </w:p>
          <w:p w14:paraId="449CA7D8">
            <w:pPr>
              <w:ind w:firstLine="480"/>
              <w:rPr>
                <w:rFonts w:ascii="宋体" w:hAnsi="宋体" w:cs="宋体"/>
                <w:color w:val="auto"/>
                <w:highlight w:val="none"/>
              </w:rPr>
            </w:pPr>
            <w:r>
              <w:rPr>
                <w:rFonts w:hint="eastAsia" w:ascii="宋体" w:hAnsi="宋体" w:cs="宋体"/>
                <w:color w:val="auto"/>
                <w:highlight w:val="none"/>
              </w:rPr>
              <w:t>长短信采用“n/m：”作为拆分/拼接特征字符。长短信发送方根据短信内容及空口限制将短信分拆成m条。每条前固定添加“n/m：”，其中“n”代表长短信分隔的序号，范围为1～m。长短信的分拆和拼接由终端完成，系统按普通短信处理分拆后的短信。（n和m均为十进制编码。）</w:t>
            </w:r>
          </w:p>
          <w:p w14:paraId="4AC214DE">
            <w:pPr>
              <w:ind w:firstLine="480"/>
              <w:rPr>
                <w:rFonts w:ascii="宋体" w:hAnsi="宋体" w:cs="宋体"/>
                <w:color w:val="auto"/>
                <w:highlight w:val="none"/>
              </w:rPr>
            </w:pPr>
            <w:r>
              <w:rPr>
                <w:rFonts w:hint="eastAsia" w:ascii="宋体" w:hAnsi="宋体" w:cs="宋体"/>
                <w:color w:val="auto"/>
                <w:highlight w:val="none"/>
              </w:rPr>
              <w:t>7.2位置信息上报方式</w:t>
            </w:r>
          </w:p>
          <w:p w14:paraId="2AB6005A">
            <w:pPr>
              <w:ind w:firstLine="480"/>
              <w:rPr>
                <w:rFonts w:ascii="宋体" w:hAnsi="宋体" w:cs="宋体"/>
                <w:color w:val="auto"/>
                <w:highlight w:val="none"/>
              </w:rPr>
            </w:pPr>
            <w:r>
              <w:rPr>
                <w:rFonts w:hint="eastAsia" w:ascii="宋体" w:hAnsi="宋体" w:cs="宋体"/>
                <w:color w:val="auto"/>
                <w:highlight w:val="none"/>
              </w:rPr>
              <w:t>采用公安部PDT设备一致性测试中已明确的专用信道上拉位置信息方案（空口通过C-ACT信令激活终端，自动守候专用信道，终端收到C-DPOLL上拉信令，根据信令要求的格式上报位置信息数据）和专用信道终端主动上报位置信息数据方案。</w:t>
            </w:r>
          </w:p>
          <w:p w14:paraId="5E35F7C5">
            <w:pPr>
              <w:ind w:firstLine="480"/>
              <w:rPr>
                <w:rFonts w:ascii="宋体" w:hAnsi="宋体" w:cs="宋体"/>
                <w:color w:val="auto"/>
                <w:highlight w:val="none"/>
              </w:rPr>
            </w:pPr>
            <w:r>
              <w:rPr>
                <w:rFonts w:hint="eastAsia" w:ascii="宋体" w:hAnsi="宋体" w:cs="宋体"/>
                <w:color w:val="auto"/>
                <w:highlight w:val="none"/>
              </w:rPr>
              <w:t>7.3并组</w:t>
            </w:r>
          </w:p>
          <w:p w14:paraId="068A72EA">
            <w:pPr>
              <w:ind w:firstLine="480"/>
              <w:rPr>
                <w:rFonts w:ascii="宋体" w:hAnsi="宋体" w:cs="宋体"/>
                <w:color w:val="auto"/>
                <w:highlight w:val="none"/>
              </w:rPr>
            </w:pPr>
            <w:r>
              <w:rPr>
                <w:rFonts w:hint="eastAsia" w:ascii="宋体" w:hAnsi="宋体" w:cs="宋体"/>
                <w:color w:val="auto"/>
                <w:highlight w:val="none"/>
              </w:rPr>
              <w:t>并组呼叫是临时将多个移动台用户组合并为一个通话组，当呼叫任意一个组呼号码时，系统内所有被并组的用户都进入一个通话组。调度台或者移动台用户都可以发起并组呼叫。一个通话并组包含哪些用户组可由网管或者调度台进行配置。每个组只能被编入一个并组。每个基站最多支持6个并组同时通话，且每个并组最多包含5个组。并组呼叫不会涉及到跨系统，呼叫范围仅限于本地少数几个基站。</w:t>
            </w:r>
          </w:p>
          <w:p w14:paraId="0166E88E">
            <w:pPr>
              <w:ind w:firstLine="480"/>
              <w:rPr>
                <w:rFonts w:ascii="宋体" w:hAnsi="宋体" w:cs="宋体"/>
                <w:color w:val="auto"/>
                <w:highlight w:val="none"/>
              </w:rPr>
            </w:pPr>
            <w:r>
              <w:rPr>
                <w:rFonts w:hint="eastAsia" w:ascii="宋体" w:hAnsi="宋体" w:cs="宋体"/>
                <w:color w:val="auto"/>
                <w:highlight w:val="none"/>
              </w:rPr>
              <w:t>后续并入的组采用第一组的组号作为临时组。</w:t>
            </w:r>
          </w:p>
          <w:p w14:paraId="72119A49">
            <w:pPr>
              <w:ind w:firstLine="480"/>
              <w:rPr>
                <w:rFonts w:ascii="宋体" w:hAnsi="宋体" w:cs="宋体"/>
                <w:color w:val="auto"/>
                <w:highlight w:val="none"/>
              </w:rPr>
            </w:pPr>
            <w:r>
              <w:rPr>
                <w:rFonts w:hint="eastAsia" w:ascii="宋体" w:hAnsi="宋体" w:cs="宋体"/>
                <w:color w:val="auto"/>
                <w:highlight w:val="none"/>
              </w:rPr>
              <w:t>7.4组动态重组</w:t>
            </w:r>
          </w:p>
          <w:p w14:paraId="0942E230">
            <w:pPr>
              <w:ind w:firstLine="480"/>
              <w:rPr>
                <w:rFonts w:ascii="宋体" w:hAnsi="宋体" w:cs="宋体"/>
                <w:color w:val="auto"/>
                <w:highlight w:val="none"/>
              </w:rPr>
            </w:pPr>
            <w:r>
              <w:rPr>
                <w:rFonts w:hint="eastAsia" w:ascii="宋体" w:hAnsi="宋体" w:cs="宋体"/>
                <w:color w:val="auto"/>
                <w:highlight w:val="none"/>
              </w:rPr>
              <w:t>组动态重组是通过空口信令将多个组重组成一个新组并编入移动台的一种业务。由于针对通话组进行重组，因此组动态重组仅需要向组地址发送重组信令。</w:t>
            </w:r>
          </w:p>
          <w:p w14:paraId="7521AB3E">
            <w:pPr>
              <w:ind w:firstLine="480"/>
              <w:rPr>
                <w:rFonts w:ascii="宋体" w:hAnsi="宋体" w:cs="宋体"/>
                <w:color w:val="auto"/>
                <w:highlight w:val="none"/>
              </w:rPr>
            </w:pPr>
            <w:r>
              <w:rPr>
                <w:rFonts w:hint="eastAsia" w:ascii="宋体" w:hAnsi="宋体" w:cs="宋体"/>
                <w:color w:val="auto"/>
                <w:highlight w:val="none"/>
              </w:rPr>
              <w:t>为了避免终端错过动态组取消信令导致终端侧一直存在动态组，规定在下列两种情况下，动态组自动取消：</w:t>
            </w:r>
          </w:p>
          <w:p w14:paraId="460AF76B">
            <w:pPr>
              <w:ind w:firstLine="480"/>
              <w:rPr>
                <w:rFonts w:ascii="宋体" w:hAnsi="宋体" w:cs="宋体"/>
                <w:color w:val="auto"/>
                <w:highlight w:val="none"/>
              </w:rPr>
            </w:pPr>
            <w:r>
              <w:rPr>
                <w:rFonts w:hint="eastAsia" w:ascii="宋体" w:hAnsi="宋体" w:cs="宋体"/>
                <w:color w:val="auto"/>
                <w:highlight w:val="none"/>
              </w:rPr>
              <w:t>1、手台关机</w:t>
            </w:r>
          </w:p>
          <w:p w14:paraId="15ACFFEA">
            <w:pPr>
              <w:ind w:firstLine="480"/>
              <w:rPr>
                <w:rFonts w:ascii="宋体" w:hAnsi="宋体" w:cs="宋体"/>
                <w:color w:val="auto"/>
                <w:highlight w:val="none"/>
              </w:rPr>
            </w:pPr>
            <w:r>
              <w:rPr>
                <w:rFonts w:hint="eastAsia" w:ascii="宋体" w:hAnsi="宋体" w:cs="宋体"/>
                <w:color w:val="auto"/>
                <w:highlight w:val="none"/>
              </w:rPr>
              <w:t>2、手台在TDGA内没有收到相应的组动态重组信令。</w:t>
            </w:r>
          </w:p>
          <w:p w14:paraId="39513C81">
            <w:pPr>
              <w:ind w:firstLine="480"/>
              <w:rPr>
                <w:rFonts w:ascii="宋体" w:hAnsi="宋体" w:cs="宋体"/>
                <w:color w:val="auto"/>
                <w:highlight w:val="none"/>
              </w:rPr>
            </w:pPr>
            <w:r>
              <w:rPr>
                <w:rFonts w:hint="eastAsia" w:ascii="宋体" w:hAnsi="宋体" w:cs="宋体"/>
                <w:color w:val="auto"/>
                <w:highlight w:val="none"/>
              </w:rPr>
              <w:t>7.5控制信道锁定策略</w:t>
            </w:r>
          </w:p>
          <w:p w14:paraId="38E60744">
            <w:pPr>
              <w:ind w:firstLine="480"/>
              <w:rPr>
                <w:rFonts w:ascii="宋体" w:hAnsi="宋体" w:cs="宋体"/>
                <w:color w:val="auto"/>
                <w:highlight w:val="none"/>
              </w:rPr>
            </w:pPr>
            <w:r>
              <w:rPr>
                <w:rFonts w:hint="eastAsia" w:ascii="宋体" w:hAnsi="宋体" w:cs="宋体"/>
                <w:color w:val="auto"/>
                <w:highlight w:val="none"/>
              </w:rPr>
              <w:t>控制信道锁定策略主要指移动终端在各种情况下如何自动锁定在希望的系统信道上，以进行各类业务应用。需满足以下条件：</w:t>
            </w:r>
          </w:p>
          <w:p w14:paraId="6471AD6C">
            <w:pPr>
              <w:ind w:firstLine="480"/>
              <w:rPr>
                <w:rFonts w:ascii="宋体" w:hAnsi="宋体" w:cs="宋体"/>
                <w:color w:val="auto"/>
                <w:highlight w:val="none"/>
              </w:rPr>
            </w:pPr>
            <w:r>
              <w:rPr>
                <w:rFonts w:hint="eastAsia" w:ascii="宋体" w:hAnsi="宋体" w:cs="宋体"/>
                <w:color w:val="auto"/>
                <w:highlight w:val="none"/>
              </w:rPr>
              <w:t>1、希望能够在锁定小区内有较好的通话质量</w:t>
            </w:r>
          </w:p>
          <w:p w14:paraId="0FB6E4E9">
            <w:pPr>
              <w:ind w:firstLine="480"/>
              <w:rPr>
                <w:rFonts w:ascii="宋体" w:hAnsi="宋体" w:cs="宋体"/>
                <w:color w:val="auto"/>
                <w:highlight w:val="none"/>
              </w:rPr>
            </w:pPr>
            <w:r>
              <w:rPr>
                <w:rFonts w:hint="eastAsia" w:ascii="宋体" w:hAnsi="宋体" w:cs="宋体"/>
                <w:color w:val="auto"/>
                <w:highlight w:val="none"/>
              </w:rPr>
              <w:t>2、尽量优先锁定归属基站</w:t>
            </w:r>
          </w:p>
          <w:p w14:paraId="73FB2A43">
            <w:pPr>
              <w:ind w:firstLine="480"/>
              <w:rPr>
                <w:rFonts w:ascii="宋体" w:hAnsi="宋体" w:cs="宋体"/>
                <w:color w:val="auto"/>
                <w:highlight w:val="none"/>
              </w:rPr>
            </w:pPr>
            <w:r>
              <w:rPr>
                <w:rFonts w:hint="eastAsia" w:ascii="宋体" w:hAnsi="宋体" w:cs="宋体"/>
                <w:color w:val="auto"/>
                <w:highlight w:val="none"/>
              </w:rPr>
              <w:t>3、漫游时尽量避免接入高山站</w:t>
            </w:r>
          </w:p>
          <w:p w14:paraId="00A485D6">
            <w:pPr>
              <w:ind w:firstLine="480"/>
              <w:rPr>
                <w:rFonts w:ascii="宋体" w:hAnsi="宋体" w:cs="宋体"/>
                <w:color w:val="auto"/>
                <w:highlight w:val="none"/>
              </w:rPr>
            </w:pPr>
            <w:r>
              <w:rPr>
                <w:rFonts w:hint="eastAsia" w:ascii="宋体" w:hAnsi="宋体" w:cs="宋体"/>
                <w:color w:val="auto"/>
                <w:highlight w:val="none"/>
              </w:rPr>
              <w:t>4、漫游时尽量少地占用系统资源</w:t>
            </w:r>
          </w:p>
          <w:p w14:paraId="1B343034">
            <w:pPr>
              <w:ind w:firstLine="480"/>
              <w:rPr>
                <w:rFonts w:ascii="宋体" w:hAnsi="宋体" w:cs="宋体"/>
                <w:color w:val="auto"/>
                <w:highlight w:val="none"/>
              </w:rPr>
            </w:pPr>
            <w:r>
              <w:rPr>
                <w:rFonts w:hint="eastAsia" w:ascii="宋体" w:hAnsi="宋体" w:cs="宋体"/>
                <w:color w:val="auto"/>
                <w:highlight w:val="none"/>
              </w:rPr>
              <w:t>5、漫游时尽量均担系统资源的负荷</w:t>
            </w:r>
          </w:p>
          <w:p w14:paraId="1628B19E">
            <w:pPr>
              <w:ind w:firstLine="480"/>
              <w:rPr>
                <w:rFonts w:ascii="宋体" w:hAnsi="宋体" w:cs="宋体"/>
                <w:color w:val="auto"/>
                <w:highlight w:val="none"/>
              </w:rPr>
            </w:pPr>
            <w:r>
              <w:rPr>
                <w:rFonts w:hint="eastAsia" w:ascii="宋体" w:hAnsi="宋体" w:cs="宋体"/>
                <w:color w:val="auto"/>
                <w:highlight w:val="none"/>
              </w:rPr>
              <w:t>6、锁定小区的方法尽量不需要人工参与</w:t>
            </w:r>
          </w:p>
          <w:p w14:paraId="638FCB75">
            <w:pPr>
              <w:ind w:firstLine="480"/>
              <w:rPr>
                <w:rFonts w:ascii="宋体" w:hAnsi="宋体" w:cs="宋体"/>
                <w:color w:val="auto"/>
                <w:highlight w:val="none"/>
              </w:rPr>
            </w:pPr>
            <w:r>
              <w:rPr>
                <w:rFonts w:hint="eastAsia" w:ascii="宋体" w:hAnsi="宋体" w:cs="宋体"/>
                <w:color w:val="auto"/>
                <w:highlight w:val="none"/>
              </w:rPr>
              <w:t>为满足上述要求，移动终端锁定册络依赖以下参数的组合。</w:t>
            </w:r>
          </w:p>
          <w:p w14:paraId="5D07CEAB">
            <w:pPr>
              <w:ind w:firstLine="480"/>
              <w:rPr>
                <w:rFonts w:ascii="宋体" w:hAnsi="宋体" w:cs="宋体"/>
                <w:color w:val="auto"/>
                <w:highlight w:val="none"/>
              </w:rPr>
            </w:pPr>
            <w:r>
              <w:rPr>
                <w:rFonts w:hint="eastAsia" w:ascii="宋体" w:hAnsi="宋体" w:cs="宋体"/>
                <w:color w:val="auto"/>
                <w:highlight w:val="none"/>
              </w:rPr>
              <w:t>1、小区的接收场强或信号质量</w:t>
            </w:r>
          </w:p>
          <w:p w14:paraId="641A59B0">
            <w:pPr>
              <w:ind w:firstLine="480"/>
              <w:rPr>
                <w:rFonts w:ascii="宋体" w:hAnsi="宋体" w:cs="宋体"/>
                <w:color w:val="auto"/>
                <w:highlight w:val="none"/>
              </w:rPr>
            </w:pPr>
            <w:r>
              <w:rPr>
                <w:rFonts w:hint="eastAsia" w:ascii="宋体" w:hAnsi="宋体" w:cs="宋体"/>
                <w:color w:val="auto"/>
                <w:highlight w:val="none"/>
              </w:rPr>
              <w:t>2、小区的归属属性</w:t>
            </w:r>
          </w:p>
          <w:p w14:paraId="33E120F9">
            <w:pPr>
              <w:ind w:firstLine="480"/>
              <w:rPr>
                <w:rFonts w:ascii="宋体" w:hAnsi="宋体" w:cs="宋体"/>
                <w:color w:val="auto"/>
                <w:highlight w:val="none"/>
              </w:rPr>
            </w:pPr>
            <w:r>
              <w:rPr>
                <w:rFonts w:hint="eastAsia" w:ascii="宋体" w:hAnsi="宋体" w:cs="宋体"/>
                <w:color w:val="auto"/>
                <w:highlight w:val="none"/>
              </w:rPr>
              <w:t>3、小区的行政属性</w:t>
            </w:r>
          </w:p>
          <w:p w14:paraId="2C90BA4C">
            <w:pPr>
              <w:ind w:firstLine="480"/>
              <w:rPr>
                <w:rFonts w:ascii="宋体" w:hAnsi="宋体" w:cs="宋体"/>
                <w:color w:val="auto"/>
                <w:highlight w:val="none"/>
              </w:rPr>
            </w:pPr>
            <w:r>
              <w:rPr>
                <w:rFonts w:hint="eastAsia" w:ascii="宋体" w:hAnsi="宋体" w:cs="宋体"/>
                <w:color w:val="auto"/>
                <w:highlight w:val="none"/>
              </w:rPr>
              <w:t>4、用户当前组号和小区的LAI间关系</w:t>
            </w:r>
          </w:p>
          <w:p w14:paraId="5E6B4BE5">
            <w:pPr>
              <w:ind w:firstLine="480"/>
              <w:rPr>
                <w:rFonts w:ascii="宋体" w:hAnsi="宋体" w:cs="宋体"/>
                <w:color w:val="auto"/>
                <w:highlight w:val="none"/>
              </w:rPr>
            </w:pPr>
            <w:r>
              <w:rPr>
                <w:rFonts w:hint="eastAsia" w:ascii="宋体" w:hAnsi="宋体" w:cs="宋体"/>
                <w:color w:val="auto"/>
                <w:highlight w:val="none"/>
              </w:rPr>
              <w:t>基本流程</w:t>
            </w:r>
          </w:p>
          <w:p w14:paraId="4A58C2B5">
            <w:pPr>
              <w:ind w:firstLine="480"/>
              <w:rPr>
                <w:rFonts w:ascii="宋体" w:hAnsi="宋体" w:cs="宋体"/>
                <w:color w:val="auto"/>
                <w:highlight w:val="none"/>
              </w:rPr>
            </w:pPr>
            <w:r>
              <w:rPr>
                <w:rFonts w:hint="eastAsia" w:ascii="宋体" w:hAnsi="宋体" w:cs="宋体"/>
                <w:color w:val="auto"/>
                <w:highlight w:val="none"/>
              </w:rPr>
              <w:t>移动台终端开机是搜索信道的次序如下：</w:t>
            </w:r>
          </w:p>
          <w:p w14:paraId="5897F367">
            <w:pPr>
              <w:ind w:firstLine="480"/>
              <w:rPr>
                <w:rFonts w:ascii="宋体" w:hAnsi="宋体" w:cs="宋体"/>
                <w:color w:val="auto"/>
                <w:highlight w:val="none"/>
              </w:rPr>
            </w:pPr>
            <w:r>
              <w:rPr>
                <w:rFonts w:hint="eastAsia" w:ascii="宋体" w:hAnsi="宋体" w:cs="宋体"/>
                <w:color w:val="auto"/>
                <w:highlight w:val="none"/>
              </w:rPr>
              <w:t>1、之前锁定的信道，可能含归属信道</w:t>
            </w:r>
          </w:p>
          <w:p w14:paraId="1294FDFE">
            <w:pPr>
              <w:ind w:firstLine="480"/>
              <w:rPr>
                <w:rFonts w:ascii="宋体" w:hAnsi="宋体" w:cs="宋体"/>
                <w:color w:val="auto"/>
                <w:highlight w:val="none"/>
              </w:rPr>
            </w:pPr>
            <w:r>
              <w:rPr>
                <w:rFonts w:hint="eastAsia" w:ascii="宋体" w:hAnsi="宋体" w:cs="宋体"/>
                <w:color w:val="auto"/>
                <w:highlight w:val="none"/>
              </w:rPr>
              <w:t>2、归属信道</w:t>
            </w:r>
          </w:p>
          <w:p w14:paraId="6483BAE3">
            <w:pPr>
              <w:ind w:firstLine="480"/>
              <w:rPr>
                <w:rFonts w:ascii="宋体" w:hAnsi="宋体" w:cs="宋体"/>
                <w:color w:val="auto"/>
                <w:highlight w:val="none"/>
              </w:rPr>
            </w:pPr>
            <w:r>
              <w:rPr>
                <w:rFonts w:hint="eastAsia" w:ascii="宋体" w:hAnsi="宋体" w:cs="宋体"/>
                <w:color w:val="auto"/>
                <w:highlight w:val="none"/>
              </w:rPr>
              <w:t>3、优先控制信道（对应的行政属性，当前组和LAI的关系）</w:t>
            </w:r>
          </w:p>
          <w:p w14:paraId="0BD9BD91">
            <w:pPr>
              <w:ind w:firstLine="480"/>
              <w:rPr>
                <w:rFonts w:ascii="宋体" w:hAnsi="宋体" w:cs="宋体"/>
                <w:color w:val="auto"/>
                <w:highlight w:val="none"/>
              </w:rPr>
            </w:pPr>
            <w:r>
              <w:rPr>
                <w:rFonts w:hint="eastAsia" w:ascii="宋体" w:hAnsi="宋体" w:cs="宋体"/>
                <w:color w:val="auto"/>
                <w:highlight w:val="none"/>
              </w:rPr>
              <w:t>4、其他控制信道（对应的行政属性，当前组和LAI的关系）</w:t>
            </w:r>
          </w:p>
          <w:p w14:paraId="0CA34BAE">
            <w:pPr>
              <w:ind w:firstLine="480"/>
              <w:rPr>
                <w:rFonts w:ascii="宋体" w:hAnsi="宋体" w:cs="宋体"/>
                <w:color w:val="auto"/>
                <w:highlight w:val="none"/>
              </w:rPr>
            </w:pPr>
            <w:r>
              <w:rPr>
                <w:rFonts w:hint="eastAsia" w:ascii="宋体" w:hAnsi="宋体" w:cs="宋体"/>
                <w:color w:val="auto"/>
                <w:highlight w:val="none"/>
              </w:rPr>
              <w:t>目前LAI由以下字段组成，省域码2位，地市域码2位，区域码4位，基站编码4位，每个终端将配置归属NAI和归属LAI掩码，当用户锁定系统后，获取NAI和LAI，并和本机归属信息进行比对，以判断是否漫游，若在归属内，则直接说定。</w:t>
            </w:r>
          </w:p>
          <w:p w14:paraId="089C2BE4">
            <w:pPr>
              <w:ind w:firstLine="480"/>
              <w:rPr>
                <w:rFonts w:ascii="宋体" w:hAnsi="宋体" w:cs="宋体"/>
                <w:color w:val="auto"/>
                <w:highlight w:val="none"/>
              </w:rPr>
            </w:pPr>
            <w:r>
              <w:rPr>
                <w:rFonts w:hint="eastAsia" w:ascii="宋体" w:hAnsi="宋体" w:cs="宋体"/>
                <w:color w:val="auto"/>
                <w:highlight w:val="none"/>
              </w:rPr>
              <w:t>7.6 ESN核查</w:t>
            </w:r>
          </w:p>
          <w:p w14:paraId="7824A376">
            <w:pPr>
              <w:ind w:firstLine="480"/>
              <w:rPr>
                <w:rFonts w:ascii="宋体" w:hAnsi="宋体" w:cs="宋体"/>
                <w:color w:val="auto"/>
                <w:highlight w:val="none"/>
              </w:rPr>
            </w:pPr>
            <w:r>
              <w:rPr>
                <w:rFonts w:hint="eastAsia" w:ascii="宋体" w:hAnsi="宋体" w:cs="宋体"/>
                <w:color w:val="auto"/>
                <w:highlight w:val="none"/>
              </w:rPr>
              <w:t>为确保用户的合法性，系统可以在移动用户注册时对用户进行ESN检查。检查支持两种方式，一是系统要求终端上传ESN并进行对比，二是系统对终端进行鉴权挑战，并要求终端使用ESN作为验证算法的参数，系统再对结果进行比对。前者使用标准PDT空口PDU及流程，后者和标准鉴权流程一直。</w:t>
            </w:r>
          </w:p>
          <w:p w14:paraId="6197E0CA">
            <w:pPr>
              <w:ind w:firstLine="480"/>
              <w:rPr>
                <w:rFonts w:ascii="宋体" w:hAnsi="宋体" w:cs="宋体"/>
                <w:color w:val="auto"/>
                <w:highlight w:val="none"/>
              </w:rPr>
            </w:pPr>
            <w:r>
              <w:rPr>
                <w:rFonts w:hint="eastAsia" w:ascii="宋体" w:hAnsi="宋体" w:cs="宋体"/>
                <w:color w:val="auto"/>
                <w:highlight w:val="none"/>
              </w:rPr>
              <w:t>7.7隐含组</w:t>
            </w:r>
          </w:p>
          <w:p w14:paraId="70135912">
            <w:pPr>
              <w:ind w:firstLine="480"/>
              <w:rPr>
                <w:rFonts w:ascii="宋体" w:hAnsi="宋体" w:cs="宋体"/>
                <w:color w:val="auto"/>
                <w:highlight w:val="none"/>
              </w:rPr>
            </w:pPr>
            <w:r>
              <w:rPr>
                <w:rFonts w:hint="eastAsia" w:ascii="宋体" w:hAnsi="宋体" w:cs="宋体"/>
                <w:color w:val="auto"/>
                <w:highlight w:val="none"/>
              </w:rPr>
              <w:t>按PDT规范实施。</w:t>
            </w:r>
          </w:p>
          <w:p w14:paraId="15E85370">
            <w:pPr>
              <w:ind w:firstLine="480"/>
              <w:rPr>
                <w:rFonts w:ascii="宋体" w:hAnsi="宋体" w:cs="宋体"/>
                <w:b/>
                <w:bCs/>
                <w:color w:val="auto"/>
                <w:highlight w:val="none"/>
              </w:rPr>
            </w:pPr>
            <w:r>
              <w:rPr>
                <w:rFonts w:hint="eastAsia" w:ascii="宋体" w:hAnsi="宋体" w:cs="宋体"/>
                <w:b/>
                <w:bCs/>
                <w:color w:val="auto"/>
                <w:highlight w:val="none"/>
              </w:rPr>
              <w:t>二）终端设备管理服务</w:t>
            </w:r>
          </w:p>
          <w:p w14:paraId="78DF3319">
            <w:pPr>
              <w:ind w:firstLine="480"/>
              <w:rPr>
                <w:rFonts w:ascii="宋体" w:hAnsi="宋体" w:cs="宋体"/>
                <w:color w:val="auto"/>
                <w:highlight w:val="none"/>
              </w:rPr>
            </w:pPr>
            <w:r>
              <w:rPr>
                <w:rFonts w:hint="eastAsia" w:ascii="宋体" w:hAnsi="宋体" w:cs="宋体"/>
                <w:color w:val="auto"/>
                <w:highlight w:val="none"/>
              </w:rPr>
              <w:t>提供基于GIS的监控及管理服务，通过有线链路接入杭州市公安局PDT数字集群系统交换中心服务器，实现交警支队对PDT数字集群终端设备的遥晕、遥启、录音等操作。当通话信道被数字集群终端设备长时间占用时，通过此管理服务，把占用信道的数字集群终端设备进行遥晕操作，释放通话信道，恢复通话组正常使用。对数字集群终端设备进行通话录音，可以实时了解各个通话组的通话情况，调取通话录音。</w:t>
            </w:r>
          </w:p>
          <w:p w14:paraId="3308FB90">
            <w:pPr>
              <w:ind w:firstLine="480"/>
              <w:rPr>
                <w:rFonts w:ascii="宋体" w:hAnsi="宋体" w:cs="宋体"/>
                <w:b/>
                <w:bCs/>
                <w:color w:val="auto"/>
                <w:highlight w:val="none"/>
              </w:rPr>
            </w:pPr>
            <w:r>
              <w:rPr>
                <w:rFonts w:hint="eastAsia" w:ascii="宋体" w:hAnsi="宋体" w:cs="宋体"/>
                <w:b/>
                <w:bCs/>
                <w:color w:val="auto"/>
                <w:highlight w:val="none"/>
              </w:rPr>
              <w:t>三）具体技术参数</w:t>
            </w:r>
          </w:p>
          <w:p w14:paraId="285EA5A0">
            <w:pPr>
              <w:ind w:firstLine="480"/>
              <w:rPr>
                <w:rFonts w:ascii="宋体" w:hAnsi="宋体" w:cs="宋体"/>
                <w:color w:val="auto"/>
                <w:highlight w:val="none"/>
              </w:rPr>
            </w:pPr>
            <w:r>
              <w:rPr>
                <w:rFonts w:hint="eastAsia" w:ascii="宋体" w:hAnsi="宋体" w:cs="宋体"/>
                <w:color w:val="auto"/>
                <w:highlight w:val="none"/>
              </w:rPr>
              <w:t>1.数字集群终端设备参数</w:t>
            </w:r>
          </w:p>
          <w:tbl>
            <w:tblPr>
              <w:tblStyle w:val="63"/>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84"/>
              <w:gridCol w:w="4083"/>
            </w:tblGrid>
            <w:tr w14:paraId="7D6B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6BD69583">
                  <w:pPr>
                    <w:jc w:val="center"/>
                    <w:rPr>
                      <w:rFonts w:ascii="宋体" w:hAnsi="宋体" w:cs="宋体"/>
                      <w:color w:val="auto"/>
                      <w:szCs w:val="21"/>
                      <w:highlight w:val="none"/>
                    </w:rPr>
                  </w:pPr>
                  <w:bookmarkStart w:id="517" w:name="OLE_LINK5"/>
                  <w:r>
                    <w:rPr>
                      <w:rFonts w:hint="eastAsia" w:ascii="宋体" w:hAnsi="宋体" w:cs="宋体"/>
                      <w:color w:val="auto"/>
                      <w:szCs w:val="21"/>
                      <w:highlight w:val="none"/>
                    </w:rPr>
                    <w:t>名称</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3F9FCB4D">
                  <w:pPr>
                    <w:jc w:val="center"/>
                    <w:rPr>
                      <w:rFonts w:ascii="宋体" w:hAnsi="宋体" w:cs="宋体"/>
                      <w:color w:val="auto"/>
                      <w:szCs w:val="21"/>
                      <w:highlight w:val="none"/>
                    </w:rPr>
                  </w:pPr>
                  <w:r>
                    <w:rPr>
                      <w:rFonts w:hint="eastAsia" w:ascii="宋体" w:hAnsi="宋体" w:cs="宋体"/>
                      <w:color w:val="auto"/>
                      <w:szCs w:val="21"/>
                      <w:highlight w:val="none"/>
                    </w:rPr>
                    <w:t>描述</w:t>
                  </w:r>
                </w:p>
              </w:tc>
            </w:tr>
            <w:tr w14:paraId="6F4C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22B0EAB5">
                  <w:pPr>
                    <w:jc w:val="center"/>
                    <w:rPr>
                      <w:rFonts w:ascii="宋体" w:hAnsi="宋体" w:cs="宋体"/>
                      <w:color w:val="auto"/>
                      <w:szCs w:val="21"/>
                      <w:highlight w:val="none"/>
                    </w:rPr>
                  </w:pPr>
                  <w:r>
                    <w:rPr>
                      <w:rFonts w:hint="eastAsia" w:ascii="宋体" w:hAnsi="宋体" w:cs="宋体"/>
                      <w:color w:val="auto"/>
                      <w:szCs w:val="21"/>
                      <w:highlight w:val="none"/>
                    </w:rPr>
                    <w:t>一般规格</w:t>
                  </w:r>
                </w:p>
              </w:tc>
              <w:tc>
                <w:tcPr>
                  <w:tcW w:w="1984" w:type="dxa"/>
                  <w:tcBorders>
                    <w:top w:val="single" w:color="auto" w:sz="4" w:space="0"/>
                    <w:left w:val="single" w:color="auto" w:sz="4" w:space="0"/>
                    <w:bottom w:val="single" w:color="auto" w:sz="4" w:space="0"/>
                    <w:right w:val="single" w:color="auto" w:sz="4" w:space="0"/>
                  </w:tcBorders>
                  <w:vAlign w:val="center"/>
                </w:tcPr>
                <w:p w14:paraId="0813E13D">
                  <w:pPr>
                    <w:jc w:val="center"/>
                    <w:rPr>
                      <w:rFonts w:ascii="宋体" w:hAnsi="宋体" w:cs="宋体"/>
                      <w:color w:val="auto"/>
                      <w:szCs w:val="21"/>
                      <w:highlight w:val="none"/>
                    </w:rPr>
                  </w:pPr>
                  <w:r>
                    <w:rPr>
                      <w:rFonts w:hint="eastAsia" w:ascii="宋体" w:hAnsi="宋体" w:cs="宋体"/>
                      <w:color w:val="auto"/>
                      <w:szCs w:val="21"/>
                      <w:highlight w:val="none"/>
                    </w:rPr>
                    <w:t>频率范围</w:t>
                  </w:r>
                </w:p>
              </w:tc>
              <w:tc>
                <w:tcPr>
                  <w:tcW w:w="4083" w:type="dxa"/>
                  <w:tcBorders>
                    <w:top w:val="single" w:color="auto" w:sz="4" w:space="0"/>
                    <w:left w:val="single" w:color="auto" w:sz="4" w:space="0"/>
                    <w:bottom w:val="single" w:color="auto" w:sz="4" w:space="0"/>
                    <w:right w:val="single" w:color="auto" w:sz="4" w:space="0"/>
                  </w:tcBorders>
                  <w:vAlign w:val="center"/>
                </w:tcPr>
                <w:p w14:paraId="1DA26918">
                  <w:pPr>
                    <w:jc w:val="center"/>
                    <w:rPr>
                      <w:rFonts w:ascii="宋体" w:hAnsi="宋体" w:cs="宋体"/>
                      <w:color w:val="auto"/>
                      <w:szCs w:val="21"/>
                      <w:highlight w:val="none"/>
                    </w:rPr>
                  </w:pPr>
                  <w:r>
                    <w:rPr>
                      <w:rFonts w:hint="eastAsia" w:ascii="宋体" w:hAnsi="宋体" w:cs="宋体"/>
                      <w:color w:val="auto"/>
                      <w:szCs w:val="21"/>
                      <w:highlight w:val="none"/>
                    </w:rPr>
                    <w:t>350M~400M</w:t>
                  </w:r>
                </w:p>
              </w:tc>
            </w:tr>
            <w:tr w14:paraId="679C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B607DD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826AA20">
                  <w:pPr>
                    <w:jc w:val="center"/>
                    <w:rPr>
                      <w:rFonts w:ascii="宋体" w:hAnsi="宋体" w:cs="宋体"/>
                      <w:color w:val="auto"/>
                      <w:szCs w:val="21"/>
                      <w:highlight w:val="none"/>
                    </w:rPr>
                  </w:pPr>
                  <w:r>
                    <w:rPr>
                      <w:rFonts w:hint="eastAsia" w:ascii="宋体" w:hAnsi="宋体" w:cs="宋体"/>
                      <w:color w:val="auto"/>
                      <w:szCs w:val="21"/>
                      <w:highlight w:val="none"/>
                    </w:rPr>
                    <w:t>信道容量</w:t>
                  </w:r>
                </w:p>
              </w:tc>
              <w:tc>
                <w:tcPr>
                  <w:tcW w:w="4083" w:type="dxa"/>
                  <w:tcBorders>
                    <w:top w:val="single" w:color="auto" w:sz="4" w:space="0"/>
                    <w:left w:val="single" w:color="auto" w:sz="4" w:space="0"/>
                    <w:bottom w:val="single" w:color="auto" w:sz="4" w:space="0"/>
                    <w:right w:val="single" w:color="auto" w:sz="4" w:space="0"/>
                  </w:tcBorders>
                  <w:vAlign w:val="center"/>
                </w:tcPr>
                <w:p w14:paraId="6E1D68B1">
                  <w:pPr>
                    <w:jc w:val="center"/>
                    <w:rPr>
                      <w:rFonts w:ascii="宋体" w:hAnsi="宋体" w:cs="宋体"/>
                      <w:color w:val="auto"/>
                      <w:szCs w:val="21"/>
                      <w:highlight w:val="none"/>
                    </w:rPr>
                  </w:pPr>
                  <w:r>
                    <w:rPr>
                      <w:rFonts w:hint="eastAsia" w:ascii="宋体" w:hAnsi="宋体" w:cs="宋体"/>
                      <w:color w:val="auto"/>
                      <w:szCs w:val="21"/>
                      <w:highlight w:val="none"/>
                    </w:rPr>
                    <w:t>1024</w:t>
                  </w:r>
                </w:p>
              </w:tc>
            </w:tr>
            <w:tr w14:paraId="5A5F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FE83A0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739B31A">
                  <w:pPr>
                    <w:jc w:val="center"/>
                    <w:rPr>
                      <w:rFonts w:ascii="宋体" w:hAnsi="宋体" w:cs="宋体"/>
                      <w:color w:val="auto"/>
                      <w:szCs w:val="21"/>
                      <w:highlight w:val="none"/>
                    </w:rPr>
                  </w:pPr>
                  <w:r>
                    <w:rPr>
                      <w:rFonts w:hint="eastAsia" w:ascii="宋体" w:hAnsi="宋体" w:cs="宋体"/>
                      <w:color w:val="auto"/>
                      <w:szCs w:val="21"/>
                      <w:highlight w:val="none"/>
                    </w:rPr>
                    <w:t>信道间隔</w:t>
                  </w:r>
                </w:p>
              </w:tc>
              <w:tc>
                <w:tcPr>
                  <w:tcW w:w="4083" w:type="dxa"/>
                  <w:tcBorders>
                    <w:top w:val="single" w:color="auto" w:sz="4" w:space="0"/>
                    <w:left w:val="single" w:color="auto" w:sz="4" w:space="0"/>
                    <w:bottom w:val="single" w:color="auto" w:sz="4" w:space="0"/>
                    <w:right w:val="single" w:color="auto" w:sz="4" w:space="0"/>
                  </w:tcBorders>
                  <w:vAlign w:val="center"/>
                </w:tcPr>
                <w:p w14:paraId="5A20522F">
                  <w:pPr>
                    <w:jc w:val="center"/>
                    <w:rPr>
                      <w:rFonts w:ascii="宋体" w:hAnsi="宋体" w:cs="宋体"/>
                      <w:color w:val="auto"/>
                      <w:szCs w:val="21"/>
                      <w:highlight w:val="none"/>
                    </w:rPr>
                  </w:pPr>
                  <w:r>
                    <w:rPr>
                      <w:rFonts w:hint="eastAsia" w:ascii="宋体" w:hAnsi="宋体" w:cs="宋体"/>
                      <w:color w:val="auto"/>
                      <w:szCs w:val="21"/>
                      <w:highlight w:val="none"/>
                    </w:rPr>
                    <w:t>12.5kHz/25kHz</w:t>
                  </w:r>
                </w:p>
              </w:tc>
            </w:tr>
            <w:tr w14:paraId="0497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171986B">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4244C08">
                  <w:pPr>
                    <w:jc w:val="center"/>
                    <w:rPr>
                      <w:rFonts w:ascii="宋体" w:hAnsi="宋体" w:cs="宋体"/>
                      <w:color w:val="auto"/>
                      <w:szCs w:val="21"/>
                      <w:highlight w:val="none"/>
                    </w:rPr>
                  </w:pPr>
                  <w:r>
                    <w:rPr>
                      <w:rFonts w:hint="eastAsia" w:ascii="宋体" w:hAnsi="宋体" w:cs="宋体"/>
                      <w:color w:val="auto"/>
                      <w:szCs w:val="21"/>
                      <w:highlight w:val="none"/>
                    </w:rPr>
                    <w:t>频率稳定度</w:t>
                  </w:r>
                </w:p>
              </w:tc>
              <w:tc>
                <w:tcPr>
                  <w:tcW w:w="4083" w:type="dxa"/>
                  <w:tcBorders>
                    <w:top w:val="single" w:color="auto" w:sz="4" w:space="0"/>
                    <w:left w:val="single" w:color="auto" w:sz="4" w:space="0"/>
                    <w:bottom w:val="single" w:color="auto" w:sz="4" w:space="0"/>
                    <w:right w:val="single" w:color="auto" w:sz="4" w:space="0"/>
                  </w:tcBorders>
                  <w:vAlign w:val="center"/>
                </w:tcPr>
                <w:p w14:paraId="7EF93113">
                  <w:pPr>
                    <w:jc w:val="center"/>
                    <w:rPr>
                      <w:rFonts w:ascii="宋体" w:hAnsi="宋体" w:cs="宋体"/>
                      <w:color w:val="auto"/>
                      <w:szCs w:val="21"/>
                      <w:highlight w:val="none"/>
                    </w:rPr>
                  </w:pPr>
                  <w:r>
                    <w:rPr>
                      <w:rFonts w:hint="eastAsia" w:ascii="宋体" w:hAnsi="宋体" w:cs="宋体"/>
                      <w:color w:val="auto"/>
                      <w:szCs w:val="21"/>
                      <w:highlight w:val="none"/>
                    </w:rPr>
                    <w:t>±1.5ppm</w:t>
                  </w:r>
                </w:p>
              </w:tc>
            </w:tr>
            <w:tr w14:paraId="4025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53A0A7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BAD21C2">
                  <w:pPr>
                    <w:jc w:val="center"/>
                    <w:rPr>
                      <w:rFonts w:ascii="宋体" w:hAnsi="宋体" w:cs="宋体"/>
                      <w:color w:val="auto"/>
                      <w:szCs w:val="21"/>
                      <w:highlight w:val="none"/>
                    </w:rPr>
                  </w:pPr>
                  <w:r>
                    <w:rPr>
                      <w:rFonts w:hint="eastAsia" w:ascii="宋体" w:hAnsi="宋体" w:cs="宋体"/>
                      <w:color w:val="auto"/>
                      <w:szCs w:val="21"/>
                      <w:highlight w:val="none"/>
                    </w:rPr>
                    <w:t>尺寸</w:t>
                  </w:r>
                </w:p>
              </w:tc>
              <w:tc>
                <w:tcPr>
                  <w:tcW w:w="4083" w:type="dxa"/>
                  <w:tcBorders>
                    <w:top w:val="single" w:color="auto" w:sz="4" w:space="0"/>
                    <w:left w:val="single" w:color="auto" w:sz="4" w:space="0"/>
                    <w:bottom w:val="single" w:color="auto" w:sz="4" w:space="0"/>
                    <w:right w:val="single" w:color="auto" w:sz="4" w:space="0"/>
                  </w:tcBorders>
                  <w:vAlign w:val="center"/>
                </w:tcPr>
                <w:p w14:paraId="28EF3298">
                  <w:pPr>
                    <w:jc w:val="center"/>
                    <w:rPr>
                      <w:rFonts w:ascii="宋体" w:hAnsi="宋体" w:cs="宋体"/>
                      <w:color w:val="auto"/>
                      <w:szCs w:val="21"/>
                      <w:highlight w:val="none"/>
                    </w:rPr>
                  </w:pPr>
                  <w:r>
                    <w:rPr>
                      <w:rFonts w:hint="eastAsia" w:ascii="宋体" w:hAnsi="宋体" w:cs="宋体"/>
                      <w:color w:val="auto"/>
                      <w:szCs w:val="21"/>
                      <w:highlight w:val="none"/>
                    </w:rPr>
                    <w:t>129×59 (54)×36mm</w:t>
                  </w:r>
                </w:p>
              </w:tc>
            </w:tr>
            <w:tr w14:paraId="1BF9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57C8D93">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06908E0">
                  <w:pPr>
                    <w:jc w:val="center"/>
                    <w:rPr>
                      <w:rFonts w:ascii="宋体" w:hAnsi="宋体" w:cs="宋体"/>
                      <w:color w:val="auto"/>
                      <w:szCs w:val="21"/>
                      <w:highlight w:val="none"/>
                    </w:rPr>
                  </w:pPr>
                  <w:r>
                    <w:rPr>
                      <w:rFonts w:hint="eastAsia" w:ascii="宋体" w:hAnsi="宋体" w:cs="宋体"/>
                      <w:color w:val="auto"/>
                      <w:szCs w:val="21"/>
                      <w:highlight w:val="none"/>
                    </w:rPr>
                    <w:t>重量</w:t>
                  </w:r>
                </w:p>
              </w:tc>
              <w:tc>
                <w:tcPr>
                  <w:tcW w:w="4083" w:type="dxa"/>
                  <w:tcBorders>
                    <w:top w:val="single" w:color="auto" w:sz="4" w:space="0"/>
                    <w:left w:val="single" w:color="auto" w:sz="4" w:space="0"/>
                    <w:bottom w:val="single" w:color="auto" w:sz="4" w:space="0"/>
                    <w:right w:val="single" w:color="auto" w:sz="4" w:space="0"/>
                  </w:tcBorders>
                  <w:vAlign w:val="center"/>
                </w:tcPr>
                <w:p w14:paraId="29F197AC">
                  <w:pPr>
                    <w:jc w:val="center"/>
                    <w:rPr>
                      <w:rFonts w:ascii="宋体" w:hAnsi="宋体" w:cs="宋体"/>
                      <w:color w:val="auto"/>
                      <w:szCs w:val="21"/>
                      <w:highlight w:val="none"/>
                    </w:rPr>
                  </w:pPr>
                  <w:r>
                    <w:rPr>
                      <w:rFonts w:hint="eastAsia" w:ascii="宋体" w:hAnsi="宋体" w:cs="宋体"/>
                      <w:color w:val="auto"/>
                      <w:szCs w:val="21"/>
                      <w:highlight w:val="none"/>
                    </w:rPr>
                    <w:t>340g (带电池及腰夹)</w:t>
                  </w:r>
                </w:p>
              </w:tc>
            </w:tr>
            <w:tr w14:paraId="1CB1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4EDF386">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33F493F">
                  <w:pPr>
                    <w:jc w:val="center"/>
                    <w:rPr>
                      <w:rFonts w:ascii="宋体" w:hAnsi="宋体" w:cs="宋体"/>
                      <w:color w:val="auto"/>
                      <w:szCs w:val="21"/>
                      <w:highlight w:val="none"/>
                    </w:rPr>
                  </w:pPr>
                  <w:r>
                    <w:rPr>
                      <w:rFonts w:hint="eastAsia" w:ascii="宋体" w:hAnsi="宋体" w:cs="宋体"/>
                      <w:color w:val="auto"/>
                      <w:szCs w:val="21"/>
                      <w:highlight w:val="none"/>
                    </w:rPr>
                    <w:t>工作电压</w:t>
                  </w:r>
                </w:p>
              </w:tc>
              <w:tc>
                <w:tcPr>
                  <w:tcW w:w="4083" w:type="dxa"/>
                  <w:tcBorders>
                    <w:top w:val="single" w:color="auto" w:sz="4" w:space="0"/>
                    <w:left w:val="single" w:color="auto" w:sz="4" w:space="0"/>
                    <w:bottom w:val="single" w:color="auto" w:sz="4" w:space="0"/>
                    <w:right w:val="single" w:color="auto" w:sz="4" w:space="0"/>
                  </w:tcBorders>
                  <w:vAlign w:val="center"/>
                </w:tcPr>
                <w:p w14:paraId="5621B56A">
                  <w:pPr>
                    <w:jc w:val="center"/>
                    <w:rPr>
                      <w:rFonts w:ascii="宋体" w:hAnsi="宋体" w:cs="宋体"/>
                      <w:color w:val="auto"/>
                      <w:szCs w:val="21"/>
                      <w:highlight w:val="none"/>
                    </w:rPr>
                  </w:pPr>
                  <w:r>
                    <w:rPr>
                      <w:rFonts w:hint="eastAsia" w:ascii="宋体" w:hAnsi="宋体" w:cs="宋体"/>
                      <w:color w:val="auto"/>
                      <w:szCs w:val="21"/>
                      <w:highlight w:val="none"/>
                    </w:rPr>
                    <w:t>额定7.4V</w:t>
                  </w:r>
                </w:p>
              </w:tc>
            </w:tr>
            <w:tr w14:paraId="7E7B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E728165">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D5393FF">
                  <w:pPr>
                    <w:jc w:val="center"/>
                    <w:rPr>
                      <w:rFonts w:ascii="宋体" w:hAnsi="宋体" w:cs="宋体"/>
                      <w:color w:val="auto"/>
                      <w:szCs w:val="21"/>
                      <w:highlight w:val="none"/>
                    </w:rPr>
                  </w:pPr>
                  <w:r>
                    <w:rPr>
                      <w:rFonts w:hint="eastAsia" w:ascii="宋体" w:hAnsi="宋体" w:cs="宋体"/>
                      <w:color w:val="auto"/>
                      <w:szCs w:val="21"/>
                      <w:highlight w:val="none"/>
                    </w:rPr>
                    <w:t>电池容量</w:t>
                  </w:r>
                </w:p>
              </w:tc>
              <w:tc>
                <w:tcPr>
                  <w:tcW w:w="4083" w:type="dxa"/>
                  <w:tcBorders>
                    <w:top w:val="single" w:color="auto" w:sz="4" w:space="0"/>
                    <w:left w:val="single" w:color="auto" w:sz="4" w:space="0"/>
                    <w:bottom w:val="single" w:color="auto" w:sz="4" w:space="0"/>
                    <w:right w:val="single" w:color="auto" w:sz="4" w:space="0"/>
                  </w:tcBorders>
                  <w:vAlign w:val="center"/>
                </w:tcPr>
                <w:p w14:paraId="232A59DA">
                  <w:pPr>
                    <w:jc w:val="center"/>
                    <w:rPr>
                      <w:rFonts w:ascii="宋体" w:hAnsi="宋体" w:cs="宋体"/>
                      <w:color w:val="auto"/>
                      <w:szCs w:val="21"/>
                      <w:highlight w:val="none"/>
                    </w:rPr>
                  </w:pPr>
                  <w:r>
                    <w:rPr>
                      <w:rFonts w:hint="eastAsia" w:ascii="宋体" w:hAnsi="宋体" w:cs="宋体"/>
                      <w:color w:val="auto"/>
                      <w:szCs w:val="21"/>
                      <w:highlight w:val="none"/>
                    </w:rPr>
                    <w:t>2400mAh锂电池</w:t>
                  </w:r>
                </w:p>
              </w:tc>
            </w:tr>
            <w:tr w14:paraId="45F3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E9620F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12415E5">
                  <w:pPr>
                    <w:jc w:val="center"/>
                    <w:rPr>
                      <w:rFonts w:ascii="宋体" w:hAnsi="宋体" w:cs="宋体"/>
                      <w:color w:val="auto"/>
                      <w:szCs w:val="21"/>
                      <w:highlight w:val="none"/>
                    </w:rPr>
                  </w:pPr>
                  <w:r>
                    <w:rPr>
                      <w:rFonts w:hint="eastAsia" w:ascii="宋体" w:hAnsi="宋体" w:cs="宋体"/>
                      <w:color w:val="auto"/>
                      <w:szCs w:val="21"/>
                      <w:highlight w:val="none"/>
                    </w:rPr>
                    <w:t>工作时长(2400mAh电池，5/5/90)</w:t>
                  </w:r>
                </w:p>
              </w:tc>
              <w:tc>
                <w:tcPr>
                  <w:tcW w:w="4083" w:type="dxa"/>
                  <w:tcBorders>
                    <w:top w:val="single" w:color="auto" w:sz="4" w:space="0"/>
                    <w:left w:val="single" w:color="auto" w:sz="4" w:space="0"/>
                    <w:bottom w:val="single" w:color="auto" w:sz="4" w:space="0"/>
                    <w:right w:val="single" w:color="auto" w:sz="4" w:space="0"/>
                  </w:tcBorders>
                  <w:vAlign w:val="center"/>
                </w:tcPr>
                <w:p w14:paraId="44986BC1">
                  <w:pPr>
                    <w:jc w:val="center"/>
                    <w:rPr>
                      <w:rFonts w:ascii="宋体" w:hAnsi="宋体" w:cs="宋体"/>
                      <w:color w:val="auto"/>
                      <w:szCs w:val="21"/>
                      <w:highlight w:val="none"/>
                    </w:rPr>
                  </w:pPr>
                  <w:r>
                    <w:rPr>
                      <w:rFonts w:hint="eastAsia" w:ascii="宋体" w:hAnsi="宋体" w:cs="宋体"/>
                      <w:color w:val="auto"/>
                      <w:szCs w:val="21"/>
                      <w:highlight w:val="none"/>
                    </w:rPr>
                    <w:t>数字：＞14小时；模拟：＞12小时</w:t>
                  </w:r>
                </w:p>
              </w:tc>
            </w:tr>
            <w:tr w14:paraId="516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5796412">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2879FCC">
                  <w:pPr>
                    <w:jc w:val="center"/>
                    <w:rPr>
                      <w:rFonts w:ascii="宋体" w:hAnsi="宋体" w:cs="宋体"/>
                      <w:color w:val="auto"/>
                      <w:szCs w:val="21"/>
                      <w:highlight w:val="none"/>
                    </w:rPr>
                  </w:pPr>
                  <w:r>
                    <w:rPr>
                      <w:rFonts w:hint="eastAsia" w:ascii="宋体" w:hAnsi="宋体" w:cs="宋体"/>
                      <w:color w:val="auto"/>
                      <w:szCs w:val="21"/>
                      <w:highlight w:val="none"/>
                    </w:rPr>
                    <w:t>屏幕</w:t>
                  </w:r>
                </w:p>
              </w:tc>
              <w:tc>
                <w:tcPr>
                  <w:tcW w:w="4083" w:type="dxa"/>
                  <w:tcBorders>
                    <w:top w:val="single" w:color="auto" w:sz="4" w:space="0"/>
                    <w:left w:val="single" w:color="auto" w:sz="4" w:space="0"/>
                    <w:bottom w:val="single" w:color="auto" w:sz="4" w:space="0"/>
                    <w:right w:val="single" w:color="auto" w:sz="4" w:space="0"/>
                  </w:tcBorders>
                  <w:vAlign w:val="center"/>
                </w:tcPr>
                <w:p w14:paraId="361214D2">
                  <w:pPr>
                    <w:jc w:val="center"/>
                    <w:rPr>
                      <w:rFonts w:ascii="宋体" w:hAnsi="宋体" w:cs="宋体"/>
                      <w:color w:val="auto"/>
                      <w:szCs w:val="21"/>
                      <w:highlight w:val="none"/>
                    </w:rPr>
                  </w:pPr>
                  <w:r>
                    <w:rPr>
                      <w:rFonts w:hint="eastAsia" w:ascii="宋体" w:hAnsi="宋体" w:cs="宋体"/>
                      <w:color w:val="auto"/>
                      <w:szCs w:val="21"/>
                      <w:highlight w:val="none"/>
                    </w:rPr>
                    <w:t>240×320像素，2.0寸半透彩色显示屏</w:t>
                  </w:r>
                </w:p>
              </w:tc>
            </w:tr>
            <w:tr w14:paraId="6CE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ECCC823">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B26F525">
                  <w:pPr>
                    <w:jc w:val="center"/>
                    <w:rPr>
                      <w:rFonts w:ascii="宋体" w:hAnsi="宋体" w:cs="宋体"/>
                      <w:color w:val="auto"/>
                      <w:szCs w:val="21"/>
                      <w:highlight w:val="none"/>
                    </w:rPr>
                  </w:pPr>
                  <w:r>
                    <w:rPr>
                      <w:rFonts w:hint="eastAsia" w:ascii="宋体" w:hAnsi="宋体" w:cs="宋体"/>
                      <w:color w:val="auto"/>
                      <w:szCs w:val="21"/>
                      <w:highlight w:val="none"/>
                    </w:rPr>
                    <w:t>显示语言</w:t>
                  </w:r>
                </w:p>
              </w:tc>
              <w:tc>
                <w:tcPr>
                  <w:tcW w:w="4083" w:type="dxa"/>
                  <w:tcBorders>
                    <w:top w:val="single" w:color="auto" w:sz="4" w:space="0"/>
                    <w:left w:val="single" w:color="auto" w:sz="4" w:space="0"/>
                    <w:bottom w:val="single" w:color="auto" w:sz="4" w:space="0"/>
                    <w:right w:val="single" w:color="auto" w:sz="4" w:space="0"/>
                  </w:tcBorders>
                  <w:vAlign w:val="center"/>
                </w:tcPr>
                <w:p w14:paraId="79B14591">
                  <w:pPr>
                    <w:jc w:val="center"/>
                    <w:rPr>
                      <w:rFonts w:ascii="宋体" w:hAnsi="宋体" w:cs="宋体"/>
                      <w:color w:val="auto"/>
                      <w:szCs w:val="21"/>
                      <w:highlight w:val="none"/>
                    </w:rPr>
                  </w:pPr>
                  <w:r>
                    <w:rPr>
                      <w:rFonts w:hint="eastAsia" w:ascii="宋体" w:hAnsi="宋体" w:cs="宋体"/>
                      <w:color w:val="auto"/>
                      <w:szCs w:val="21"/>
                      <w:highlight w:val="none"/>
                    </w:rPr>
                    <w:t>支持中文、英文切换</w:t>
                  </w:r>
                </w:p>
              </w:tc>
            </w:tr>
            <w:tr w14:paraId="7E9B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E0694C8">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CB54BD">
                  <w:pPr>
                    <w:jc w:val="center"/>
                    <w:rPr>
                      <w:rFonts w:ascii="宋体" w:hAnsi="宋体" w:cs="宋体"/>
                      <w:color w:val="auto"/>
                      <w:szCs w:val="21"/>
                      <w:highlight w:val="none"/>
                    </w:rPr>
                  </w:pPr>
                  <w:r>
                    <w:rPr>
                      <w:rFonts w:hint="eastAsia" w:ascii="宋体" w:hAnsi="宋体" w:cs="宋体"/>
                      <w:color w:val="auto"/>
                      <w:szCs w:val="21"/>
                      <w:highlight w:val="none"/>
                    </w:rPr>
                    <w:t>额定音频</w:t>
                  </w:r>
                </w:p>
              </w:tc>
              <w:tc>
                <w:tcPr>
                  <w:tcW w:w="4083" w:type="dxa"/>
                  <w:tcBorders>
                    <w:top w:val="single" w:color="auto" w:sz="4" w:space="0"/>
                    <w:left w:val="single" w:color="auto" w:sz="4" w:space="0"/>
                    <w:bottom w:val="single" w:color="auto" w:sz="4" w:space="0"/>
                    <w:right w:val="single" w:color="auto" w:sz="4" w:space="0"/>
                  </w:tcBorders>
                  <w:vAlign w:val="center"/>
                </w:tcPr>
                <w:p w14:paraId="71A24E61">
                  <w:pPr>
                    <w:jc w:val="center"/>
                    <w:rPr>
                      <w:rFonts w:ascii="宋体" w:hAnsi="宋体" w:cs="宋体"/>
                      <w:color w:val="auto"/>
                      <w:szCs w:val="21"/>
                      <w:highlight w:val="none"/>
                    </w:rPr>
                  </w:pPr>
                  <w:r>
                    <w:rPr>
                      <w:rFonts w:hint="eastAsia" w:ascii="宋体" w:hAnsi="宋体" w:cs="宋体"/>
                      <w:color w:val="auto"/>
                      <w:szCs w:val="21"/>
                      <w:highlight w:val="none"/>
                    </w:rPr>
                    <w:t>1.5W</w:t>
                  </w:r>
                </w:p>
              </w:tc>
            </w:tr>
            <w:tr w14:paraId="5389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4F54415">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1C0573E">
                  <w:pPr>
                    <w:jc w:val="center"/>
                    <w:rPr>
                      <w:rFonts w:ascii="宋体" w:hAnsi="宋体" w:cs="宋体"/>
                      <w:color w:val="auto"/>
                      <w:szCs w:val="21"/>
                      <w:highlight w:val="none"/>
                    </w:rPr>
                  </w:pPr>
                  <w:r>
                    <w:rPr>
                      <w:rFonts w:hint="eastAsia" w:ascii="宋体" w:hAnsi="宋体" w:cs="宋体"/>
                      <w:color w:val="auto"/>
                      <w:szCs w:val="21"/>
                      <w:highlight w:val="none"/>
                    </w:rPr>
                    <w:t>通话组数量</w:t>
                  </w:r>
                </w:p>
              </w:tc>
              <w:tc>
                <w:tcPr>
                  <w:tcW w:w="4083" w:type="dxa"/>
                  <w:tcBorders>
                    <w:top w:val="single" w:color="auto" w:sz="4" w:space="0"/>
                    <w:left w:val="single" w:color="auto" w:sz="4" w:space="0"/>
                    <w:bottom w:val="single" w:color="auto" w:sz="4" w:space="0"/>
                    <w:right w:val="single" w:color="auto" w:sz="4" w:space="0"/>
                  </w:tcBorders>
                  <w:vAlign w:val="center"/>
                </w:tcPr>
                <w:p w14:paraId="7E6A1750">
                  <w:pPr>
                    <w:jc w:val="center"/>
                    <w:rPr>
                      <w:rFonts w:ascii="宋体" w:hAnsi="宋体" w:cs="宋体"/>
                      <w:color w:val="auto"/>
                      <w:szCs w:val="21"/>
                      <w:highlight w:val="none"/>
                    </w:rPr>
                  </w:pPr>
                  <w:r>
                    <w:rPr>
                      <w:rFonts w:hint="eastAsia" w:ascii="宋体" w:hAnsi="宋体" w:cs="宋体"/>
                      <w:color w:val="auto"/>
                      <w:szCs w:val="21"/>
                      <w:highlight w:val="none"/>
                    </w:rPr>
                    <w:t>1024</w:t>
                  </w:r>
                </w:p>
              </w:tc>
            </w:tr>
            <w:tr w14:paraId="271E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C921646">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248809D">
                  <w:pPr>
                    <w:jc w:val="center"/>
                    <w:rPr>
                      <w:rFonts w:ascii="宋体" w:hAnsi="宋体" w:cs="宋体"/>
                      <w:color w:val="auto"/>
                      <w:szCs w:val="21"/>
                      <w:highlight w:val="none"/>
                    </w:rPr>
                  </w:pPr>
                  <w:r>
                    <w:rPr>
                      <w:rFonts w:hint="eastAsia" w:ascii="宋体" w:hAnsi="宋体" w:cs="宋体"/>
                      <w:color w:val="auto"/>
                      <w:szCs w:val="21"/>
                      <w:highlight w:val="none"/>
                    </w:rPr>
                    <w:t>音频响应</w:t>
                  </w:r>
                </w:p>
              </w:tc>
              <w:tc>
                <w:tcPr>
                  <w:tcW w:w="4083" w:type="dxa"/>
                  <w:tcBorders>
                    <w:top w:val="single" w:color="auto" w:sz="4" w:space="0"/>
                    <w:left w:val="single" w:color="auto" w:sz="4" w:space="0"/>
                    <w:bottom w:val="single" w:color="auto" w:sz="4" w:space="0"/>
                    <w:right w:val="single" w:color="auto" w:sz="4" w:space="0"/>
                  </w:tcBorders>
                  <w:vAlign w:val="center"/>
                </w:tcPr>
                <w:p w14:paraId="1BA14E4B">
                  <w:pPr>
                    <w:jc w:val="center"/>
                    <w:rPr>
                      <w:rFonts w:ascii="宋体" w:hAnsi="宋体" w:cs="宋体"/>
                      <w:color w:val="auto"/>
                      <w:szCs w:val="21"/>
                      <w:highlight w:val="none"/>
                    </w:rPr>
                  </w:pPr>
                  <w:r>
                    <w:rPr>
                      <w:rFonts w:hint="eastAsia" w:ascii="宋体" w:hAnsi="宋体" w:cs="宋体"/>
                      <w:color w:val="auto"/>
                      <w:szCs w:val="21"/>
                      <w:highlight w:val="none"/>
                    </w:rPr>
                    <w:t>+1 ～ -3dB</w:t>
                  </w:r>
                </w:p>
              </w:tc>
            </w:tr>
            <w:tr w14:paraId="3EC9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A14C44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F94FC7F">
                  <w:pPr>
                    <w:jc w:val="center"/>
                    <w:rPr>
                      <w:rFonts w:ascii="宋体" w:hAnsi="宋体" w:cs="宋体"/>
                      <w:color w:val="auto"/>
                      <w:szCs w:val="21"/>
                      <w:highlight w:val="none"/>
                    </w:rPr>
                  </w:pPr>
                  <w:r>
                    <w:rPr>
                      <w:rFonts w:hint="eastAsia" w:ascii="宋体" w:hAnsi="宋体" w:cs="宋体"/>
                      <w:color w:val="auto"/>
                      <w:szCs w:val="21"/>
                      <w:highlight w:val="none"/>
                    </w:rPr>
                    <w:t>音频失真</w:t>
                  </w:r>
                </w:p>
              </w:tc>
              <w:tc>
                <w:tcPr>
                  <w:tcW w:w="4083" w:type="dxa"/>
                  <w:tcBorders>
                    <w:top w:val="single" w:color="auto" w:sz="4" w:space="0"/>
                    <w:left w:val="single" w:color="auto" w:sz="4" w:space="0"/>
                    <w:bottom w:val="single" w:color="auto" w:sz="4" w:space="0"/>
                    <w:right w:val="single" w:color="auto" w:sz="4" w:space="0"/>
                  </w:tcBorders>
                  <w:vAlign w:val="center"/>
                </w:tcPr>
                <w:p w14:paraId="77E4EAB6">
                  <w:pPr>
                    <w:jc w:val="center"/>
                    <w:rPr>
                      <w:rFonts w:ascii="宋体" w:hAnsi="宋体" w:cs="宋体"/>
                      <w:color w:val="auto"/>
                      <w:szCs w:val="21"/>
                      <w:highlight w:val="none"/>
                    </w:rPr>
                  </w:pPr>
                  <w:r>
                    <w:rPr>
                      <w:rFonts w:hint="eastAsia" w:ascii="宋体" w:hAnsi="宋体" w:cs="宋体"/>
                      <w:color w:val="auto"/>
                      <w:szCs w:val="21"/>
                      <w:highlight w:val="none"/>
                    </w:rPr>
                    <w:t>&lt;3%</w:t>
                  </w:r>
                </w:p>
              </w:tc>
            </w:tr>
            <w:tr w14:paraId="6B6A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5CA29C5">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06E945A">
                  <w:pPr>
                    <w:jc w:val="center"/>
                    <w:rPr>
                      <w:rFonts w:ascii="宋体" w:hAnsi="宋体" w:cs="宋体"/>
                      <w:color w:val="auto"/>
                      <w:szCs w:val="21"/>
                      <w:highlight w:val="none"/>
                    </w:rPr>
                  </w:pPr>
                  <w:r>
                    <w:rPr>
                      <w:rFonts w:hint="eastAsia" w:ascii="宋体" w:hAnsi="宋体" w:cs="宋体"/>
                      <w:color w:val="auto"/>
                      <w:szCs w:val="21"/>
                      <w:highlight w:val="none"/>
                    </w:rPr>
                    <w:t>声码器</w:t>
                  </w:r>
                </w:p>
              </w:tc>
              <w:tc>
                <w:tcPr>
                  <w:tcW w:w="4083" w:type="dxa"/>
                  <w:tcBorders>
                    <w:top w:val="single" w:color="auto" w:sz="4" w:space="0"/>
                    <w:left w:val="single" w:color="auto" w:sz="4" w:space="0"/>
                    <w:bottom w:val="single" w:color="auto" w:sz="4" w:space="0"/>
                    <w:right w:val="single" w:color="auto" w:sz="4" w:space="0"/>
                  </w:tcBorders>
                  <w:vAlign w:val="center"/>
                </w:tcPr>
                <w:p w14:paraId="37FB4C76">
                  <w:pPr>
                    <w:jc w:val="center"/>
                    <w:rPr>
                      <w:rFonts w:ascii="宋体" w:hAnsi="宋体" w:cs="宋体"/>
                      <w:color w:val="auto"/>
                      <w:szCs w:val="21"/>
                      <w:highlight w:val="none"/>
                    </w:rPr>
                  </w:pPr>
                  <w:r>
                    <w:rPr>
                      <w:rFonts w:hint="eastAsia" w:ascii="宋体" w:hAnsi="宋体" w:cs="宋体"/>
                      <w:color w:val="auto"/>
                      <w:szCs w:val="21"/>
                      <w:highlight w:val="none"/>
                    </w:rPr>
                    <w:t>AMBE+NVOC</w:t>
                  </w:r>
                </w:p>
              </w:tc>
            </w:tr>
            <w:tr w14:paraId="5AC4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5EC54A4A">
                  <w:pPr>
                    <w:jc w:val="center"/>
                    <w:rPr>
                      <w:rFonts w:ascii="宋体" w:hAnsi="宋体" w:cs="宋体"/>
                      <w:color w:val="auto"/>
                      <w:szCs w:val="21"/>
                      <w:highlight w:val="none"/>
                    </w:rPr>
                  </w:pPr>
                  <w:r>
                    <w:rPr>
                      <w:rFonts w:hint="eastAsia" w:ascii="宋体" w:hAnsi="宋体" w:cs="宋体"/>
                      <w:color w:val="auto"/>
                      <w:szCs w:val="21"/>
                      <w:highlight w:val="none"/>
                    </w:rPr>
                    <w:t>发射部分</w:t>
                  </w:r>
                </w:p>
              </w:tc>
              <w:tc>
                <w:tcPr>
                  <w:tcW w:w="1984" w:type="dxa"/>
                  <w:tcBorders>
                    <w:top w:val="single" w:color="auto" w:sz="4" w:space="0"/>
                    <w:left w:val="single" w:color="auto" w:sz="4" w:space="0"/>
                    <w:bottom w:val="single" w:color="auto" w:sz="4" w:space="0"/>
                    <w:right w:val="single" w:color="auto" w:sz="4" w:space="0"/>
                  </w:tcBorders>
                  <w:vAlign w:val="center"/>
                </w:tcPr>
                <w:p w14:paraId="277A36B8">
                  <w:pPr>
                    <w:jc w:val="center"/>
                    <w:rPr>
                      <w:rFonts w:ascii="宋体" w:hAnsi="宋体" w:cs="宋体"/>
                      <w:color w:val="auto"/>
                      <w:szCs w:val="21"/>
                      <w:highlight w:val="none"/>
                    </w:rPr>
                  </w:pPr>
                  <w:r>
                    <w:rPr>
                      <w:rFonts w:hint="eastAsia" w:ascii="宋体" w:hAnsi="宋体" w:cs="宋体"/>
                      <w:color w:val="auto"/>
                      <w:szCs w:val="21"/>
                      <w:highlight w:val="none"/>
                    </w:rPr>
                    <w:t>输出功率</w:t>
                  </w:r>
                </w:p>
              </w:tc>
              <w:tc>
                <w:tcPr>
                  <w:tcW w:w="4083" w:type="dxa"/>
                  <w:tcBorders>
                    <w:top w:val="single" w:color="auto" w:sz="4" w:space="0"/>
                    <w:left w:val="single" w:color="auto" w:sz="4" w:space="0"/>
                    <w:bottom w:val="single" w:color="auto" w:sz="4" w:space="0"/>
                    <w:right w:val="single" w:color="auto" w:sz="4" w:space="0"/>
                  </w:tcBorders>
                  <w:vAlign w:val="center"/>
                </w:tcPr>
                <w:p w14:paraId="53F82848">
                  <w:pPr>
                    <w:jc w:val="center"/>
                    <w:rPr>
                      <w:rFonts w:ascii="宋体" w:hAnsi="宋体" w:cs="宋体"/>
                      <w:color w:val="auto"/>
                      <w:szCs w:val="21"/>
                      <w:highlight w:val="none"/>
                    </w:rPr>
                  </w:pPr>
                  <w:r>
                    <w:rPr>
                      <w:rFonts w:hint="eastAsia" w:ascii="宋体" w:hAnsi="宋体" w:cs="宋体"/>
                      <w:color w:val="auto"/>
                      <w:szCs w:val="21"/>
                      <w:highlight w:val="none"/>
                    </w:rPr>
                    <w:t>≤37dBm</w:t>
                  </w:r>
                </w:p>
              </w:tc>
            </w:tr>
            <w:tr w14:paraId="470B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3BABF99">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A8FDC67">
                  <w:pPr>
                    <w:jc w:val="center"/>
                    <w:rPr>
                      <w:rFonts w:ascii="宋体" w:hAnsi="宋体" w:cs="宋体"/>
                      <w:color w:val="auto"/>
                      <w:szCs w:val="21"/>
                      <w:highlight w:val="none"/>
                    </w:rPr>
                  </w:pPr>
                  <w:r>
                    <w:rPr>
                      <w:rFonts w:hint="eastAsia" w:ascii="宋体" w:hAnsi="宋体" w:cs="宋体"/>
                      <w:color w:val="auto"/>
                      <w:szCs w:val="21"/>
                      <w:highlight w:val="none"/>
                    </w:rPr>
                    <w:t>调制方式</w:t>
                  </w:r>
                </w:p>
              </w:tc>
              <w:tc>
                <w:tcPr>
                  <w:tcW w:w="4083" w:type="dxa"/>
                  <w:tcBorders>
                    <w:top w:val="single" w:color="auto" w:sz="4" w:space="0"/>
                    <w:left w:val="single" w:color="auto" w:sz="4" w:space="0"/>
                    <w:bottom w:val="single" w:color="auto" w:sz="4" w:space="0"/>
                    <w:right w:val="single" w:color="auto" w:sz="4" w:space="0"/>
                  </w:tcBorders>
                  <w:vAlign w:val="center"/>
                </w:tcPr>
                <w:p w14:paraId="797402EA">
                  <w:pPr>
                    <w:jc w:val="center"/>
                    <w:rPr>
                      <w:rFonts w:ascii="宋体" w:hAnsi="宋体" w:cs="宋体"/>
                      <w:color w:val="auto"/>
                      <w:szCs w:val="21"/>
                      <w:highlight w:val="none"/>
                    </w:rPr>
                  </w:pPr>
                  <w:r>
                    <w:rPr>
                      <w:rFonts w:hint="eastAsia" w:ascii="宋体" w:hAnsi="宋体" w:cs="宋体"/>
                      <w:color w:val="auto"/>
                      <w:szCs w:val="21"/>
                      <w:highlight w:val="none"/>
                    </w:rPr>
                    <w:t>4FSK/FFSK/FM</w:t>
                  </w:r>
                </w:p>
              </w:tc>
            </w:tr>
            <w:tr w14:paraId="341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ADAC59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2D91BED">
                  <w:pPr>
                    <w:jc w:val="center"/>
                    <w:rPr>
                      <w:rFonts w:ascii="宋体" w:hAnsi="宋体" w:cs="宋体"/>
                      <w:color w:val="auto"/>
                      <w:szCs w:val="21"/>
                      <w:highlight w:val="none"/>
                    </w:rPr>
                  </w:pPr>
                  <w:r>
                    <w:rPr>
                      <w:rFonts w:hint="eastAsia" w:ascii="宋体" w:hAnsi="宋体" w:cs="宋体"/>
                      <w:color w:val="auto"/>
                      <w:szCs w:val="21"/>
                      <w:highlight w:val="none"/>
                    </w:rPr>
                    <w:t>邻近信道功率</w:t>
                  </w:r>
                </w:p>
              </w:tc>
              <w:tc>
                <w:tcPr>
                  <w:tcW w:w="4083" w:type="dxa"/>
                  <w:tcBorders>
                    <w:top w:val="single" w:color="auto" w:sz="4" w:space="0"/>
                    <w:left w:val="single" w:color="auto" w:sz="4" w:space="0"/>
                    <w:bottom w:val="single" w:color="auto" w:sz="4" w:space="0"/>
                    <w:right w:val="single" w:color="auto" w:sz="4" w:space="0"/>
                  </w:tcBorders>
                  <w:vAlign w:val="center"/>
                </w:tcPr>
                <w:p w14:paraId="6ABDD9D0">
                  <w:pPr>
                    <w:jc w:val="center"/>
                    <w:rPr>
                      <w:rFonts w:ascii="宋体" w:hAnsi="宋体" w:cs="宋体"/>
                      <w:color w:val="auto"/>
                      <w:szCs w:val="21"/>
                      <w:highlight w:val="none"/>
                    </w:rPr>
                  </w:pPr>
                  <w:r>
                    <w:rPr>
                      <w:rFonts w:hint="eastAsia" w:ascii="宋体" w:hAnsi="宋体" w:cs="宋体"/>
                      <w:color w:val="auto"/>
                      <w:szCs w:val="21"/>
                      <w:highlight w:val="none"/>
                    </w:rPr>
                    <w:t>-60dB @ 12.5KHz</w:t>
                  </w:r>
                </w:p>
                <w:p w14:paraId="182AC6E6">
                  <w:pPr>
                    <w:jc w:val="center"/>
                    <w:rPr>
                      <w:rFonts w:ascii="宋体" w:hAnsi="宋体" w:cs="宋体"/>
                      <w:color w:val="auto"/>
                      <w:szCs w:val="21"/>
                      <w:highlight w:val="none"/>
                    </w:rPr>
                  </w:pPr>
                  <w:r>
                    <w:rPr>
                      <w:rFonts w:hint="eastAsia" w:ascii="宋体" w:hAnsi="宋体" w:cs="宋体"/>
                      <w:color w:val="auto"/>
                      <w:szCs w:val="21"/>
                      <w:highlight w:val="none"/>
                    </w:rPr>
                    <w:t>-70dB @ 25KHz</w:t>
                  </w:r>
                </w:p>
              </w:tc>
            </w:tr>
            <w:tr w14:paraId="4F74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357B299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DDA628A">
                  <w:pPr>
                    <w:jc w:val="center"/>
                    <w:rPr>
                      <w:rFonts w:ascii="宋体" w:hAnsi="宋体" w:cs="宋体"/>
                      <w:color w:val="auto"/>
                      <w:szCs w:val="21"/>
                      <w:highlight w:val="none"/>
                    </w:rPr>
                  </w:pPr>
                  <w:r>
                    <w:rPr>
                      <w:rFonts w:hint="eastAsia" w:ascii="宋体" w:hAnsi="宋体" w:cs="宋体"/>
                      <w:color w:val="auto"/>
                      <w:szCs w:val="21"/>
                      <w:highlight w:val="none"/>
                    </w:rPr>
                    <w:t>传导/辐射发射</w:t>
                  </w:r>
                </w:p>
              </w:tc>
              <w:tc>
                <w:tcPr>
                  <w:tcW w:w="4083" w:type="dxa"/>
                  <w:tcBorders>
                    <w:top w:val="single" w:color="auto" w:sz="4" w:space="0"/>
                    <w:left w:val="single" w:color="auto" w:sz="4" w:space="0"/>
                    <w:bottom w:val="single" w:color="auto" w:sz="4" w:space="0"/>
                    <w:right w:val="single" w:color="auto" w:sz="4" w:space="0"/>
                  </w:tcBorders>
                  <w:vAlign w:val="center"/>
                </w:tcPr>
                <w:p w14:paraId="441894E8">
                  <w:pPr>
                    <w:jc w:val="center"/>
                    <w:rPr>
                      <w:rFonts w:ascii="宋体" w:hAnsi="宋体" w:cs="宋体"/>
                      <w:color w:val="auto"/>
                      <w:szCs w:val="21"/>
                      <w:highlight w:val="none"/>
                    </w:rPr>
                  </w:pPr>
                  <w:r>
                    <w:rPr>
                      <w:rFonts w:hint="eastAsia" w:ascii="宋体" w:hAnsi="宋体" w:cs="宋体"/>
                      <w:color w:val="auto"/>
                      <w:szCs w:val="21"/>
                      <w:highlight w:val="none"/>
                    </w:rPr>
                    <w:t>9KHz ～ 1GHz:-36dBm</w:t>
                  </w:r>
                </w:p>
                <w:p w14:paraId="24BE2B75">
                  <w:pPr>
                    <w:jc w:val="center"/>
                    <w:rPr>
                      <w:rFonts w:ascii="宋体" w:hAnsi="宋体" w:cs="宋体"/>
                      <w:color w:val="auto"/>
                      <w:szCs w:val="21"/>
                      <w:highlight w:val="none"/>
                    </w:rPr>
                  </w:pPr>
                  <w:r>
                    <w:rPr>
                      <w:rFonts w:hint="eastAsia" w:ascii="宋体" w:hAnsi="宋体" w:cs="宋体"/>
                      <w:color w:val="auto"/>
                      <w:szCs w:val="21"/>
                      <w:highlight w:val="none"/>
                    </w:rPr>
                    <w:t>1GHz ～ 12.75GHz:-30dBm</w:t>
                  </w:r>
                </w:p>
              </w:tc>
            </w:tr>
            <w:tr w14:paraId="0E00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DAD975A">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BC377DB">
                  <w:pPr>
                    <w:jc w:val="center"/>
                    <w:rPr>
                      <w:rFonts w:ascii="宋体" w:hAnsi="宋体" w:cs="宋体"/>
                      <w:color w:val="auto"/>
                      <w:szCs w:val="21"/>
                      <w:highlight w:val="none"/>
                    </w:rPr>
                  </w:pPr>
                  <w:r>
                    <w:rPr>
                      <w:rFonts w:hint="eastAsia" w:ascii="宋体" w:hAnsi="宋体" w:cs="宋体"/>
                      <w:color w:val="auto"/>
                      <w:szCs w:val="21"/>
                      <w:highlight w:val="none"/>
                    </w:rPr>
                    <w:t>交流声与噪声</w:t>
                  </w:r>
                </w:p>
              </w:tc>
              <w:tc>
                <w:tcPr>
                  <w:tcW w:w="4083" w:type="dxa"/>
                  <w:tcBorders>
                    <w:top w:val="single" w:color="auto" w:sz="4" w:space="0"/>
                    <w:left w:val="single" w:color="auto" w:sz="4" w:space="0"/>
                    <w:bottom w:val="single" w:color="auto" w:sz="4" w:space="0"/>
                    <w:right w:val="single" w:color="auto" w:sz="4" w:space="0"/>
                  </w:tcBorders>
                  <w:vAlign w:val="center"/>
                </w:tcPr>
                <w:p w14:paraId="5EB243CE">
                  <w:pPr>
                    <w:jc w:val="center"/>
                    <w:rPr>
                      <w:rFonts w:ascii="宋体" w:hAnsi="宋体" w:cs="宋体"/>
                      <w:color w:val="auto"/>
                      <w:szCs w:val="21"/>
                      <w:highlight w:val="none"/>
                    </w:rPr>
                  </w:pPr>
                  <w:r>
                    <w:rPr>
                      <w:rFonts w:hint="eastAsia" w:ascii="宋体" w:hAnsi="宋体" w:cs="宋体"/>
                      <w:color w:val="auto"/>
                      <w:szCs w:val="21"/>
                      <w:highlight w:val="none"/>
                    </w:rPr>
                    <w:t>-40dB</w:t>
                  </w:r>
                </w:p>
              </w:tc>
            </w:tr>
            <w:tr w14:paraId="63CF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75BE6A09">
                  <w:pPr>
                    <w:jc w:val="center"/>
                    <w:rPr>
                      <w:rFonts w:ascii="宋体" w:hAnsi="宋体" w:cs="宋体"/>
                      <w:color w:val="auto"/>
                      <w:szCs w:val="21"/>
                      <w:highlight w:val="none"/>
                    </w:rPr>
                  </w:pPr>
                  <w:r>
                    <w:rPr>
                      <w:rFonts w:hint="eastAsia" w:ascii="宋体" w:hAnsi="宋体" w:cs="宋体"/>
                      <w:color w:val="auto"/>
                      <w:szCs w:val="21"/>
                      <w:highlight w:val="none"/>
                    </w:rPr>
                    <w:t>接收部分</w:t>
                  </w:r>
                </w:p>
              </w:tc>
              <w:tc>
                <w:tcPr>
                  <w:tcW w:w="1984" w:type="dxa"/>
                  <w:tcBorders>
                    <w:top w:val="single" w:color="auto" w:sz="4" w:space="0"/>
                    <w:left w:val="single" w:color="auto" w:sz="4" w:space="0"/>
                    <w:bottom w:val="single" w:color="auto" w:sz="4" w:space="0"/>
                    <w:right w:val="single" w:color="auto" w:sz="4" w:space="0"/>
                  </w:tcBorders>
                  <w:vAlign w:val="center"/>
                </w:tcPr>
                <w:p w14:paraId="59625BB0">
                  <w:pPr>
                    <w:jc w:val="center"/>
                    <w:rPr>
                      <w:rFonts w:ascii="宋体" w:hAnsi="宋体" w:cs="宋体"/>
                      <w:color w:val="auto"/>
                      <w:szCs w:val="21"/>
                      <w:highlight w:val="none"/>
                    </w:rPr>
                  </w:pPr>
                  <w:r>
                    <w:rPr>
                      <w:rFonts w:hint="eastAsia" w:ascii="宋体" w:hAnsi="宋体" w:cs="宋体"/>
                      <w:color w:val="auto"/>
                      <w:szCs w:val="21"/>
                      <w:highlight w:val="none"/>
                    </w:rPr>
                    <w:t>数字灵敏度</w:t>
                  </w:r>
                </w:p>
              </w:tc>
              <w:tc>
                <w:tcPr>
                  <w:tcW w:w="4083" w:type="dxa"/>
                  <w:tcBorders>
                    <w:top w:val="single" w:color="auto" w:sz="4" w:space="0"/>
                    <w:left w:val="single" w:color="auto" w:sz="4" w:space="0"/>
                    <w:bottom w:val="single" w:color="auto" w:sz="4" w:space="0"/>
                    <w:right w:val="single" w:color="auto" w:sz="4" w:space="0"/>
                  </w:tcBorders>
                  <w:vAlign w:val="center"/>
                </w:tcPr>
                <w:p w14:paraId="1232E51D">
                  <w:pPr>
                    <w:jc w:val="center"/>
                    <w:rPr>
                      <w:rFonts w:ascii="宋体" w:hAnsi="宋体" w:cs="宋体"/>
                      <w:color w:val="auto"/>
                      <w:szCs w:val="21"/>
                      <w:highlight w:val="none"/>
                    </w:rPr>
                  </w:pPr>
                  <w:r>
                    <w:rPr>
                      <w:rFonts w:hint="eastAsia" w:ascii="宋体" w:hAnsi="宋体" w:cs="宋体"/>
                      <w:color w:val="auto"/>
                      <w:szCs w:val="21"/>
                      <w:highlight w:val="none"/>
                    </w:rPr>
                    <w:t>-118 dBm(BER 5%)</w:t>
                  </w:r>
                </w:p>
              </w:tc>
            </w:tr>
            <w:tr w14:paraId="68BC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22EEE9D">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7DE3D8A">
                  <w:pPr>
                    <w:jc w:val="center"/>
                    <w:rPr>
                      <w:rFonts w:ascii="宋体" w:hAnsi="宋体" w:cs="宋体"/>
                      <w:color w:val="auto"/>
                      <w:szCs w:val="21"/>
                      <w:highlight w:val="none"/>
                    </w:rPr>
                  </w:pPr>
                  <w:r>
                    <w:rPr>
                      <w:rFonts w:hint="eastAsia" w:ascii="宋体" w:hAnsi="宋体" w:cs="宋体"/>
                      <w:color w:val="auto"/>
                      <w:szCs w:val="21"/>
                      <w:highlight w:val="none"/>
                    </w:rPr>
                    <w:t>互调抑制</w:t>
                  </w:r>
                </w:p>
              </w:tc>
              <w:tc>
                <w:tcPr>
                  <w:tcW w:w="4083" w:type="dxa"/>
                  <w:tcBorders>
                    <w:top w:val="single" w:color="auto" w:sz="4" w:space="0"/>
                    <w:left w:val="single" w:color="auto" w:sz="4" w:space="0"/>
                    <w:bottom w:val="single" w:color="auto" w:sz="4" w:space="0"/>
                    <w:right w:val="single" w:color="auto" w:sz="4" w:space="0"/>
                  </w:tcBorders>
                  <w:vAlign w:val="center"/>
                </w:tcPr>
                <w:p w14:paraId="11C8B623">
                  <w:pPr>
                    <w:jc w:val="center"/>
                    <w:rPr>
                      <w:rFonts w:ascii="宋体" w:hAnsi="宋体" w:cs="宋体"/>
                      <w:color w:val="auto"/>
                      <w:szCs w:val="21"/>
                      <w:highlight w:val="none"/>
                    </w:rPr>
                  </w:pPr>
                  <w:r>
                    <w:rPr>
                      <w:rFonts w:hint="eastAsia" w:ascii="宋体" w:hAnsi="宋体" w:cs="宋体"/>
                      <w:color w:val="auto"/>
                      <w:szCs w:val="21"/>
                      <w:highlight w:val="none"/>
                    </w:rPr>
                    <w:t>65dB</w:t>
                  </w:r>
                </w:p>
              </w:tc>
            </w:tr>
            <w:tr w14:paraId="2C74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B12DE10">
                  <w:pPr>
                    <w:rPr>
                      <w:color w:val="auto"/>
                      <w:highlight w:val="none"/>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787CD00D">
                  <w:pPr>
                    <w:jc w:val="center"/>
                    <w:rPr>
                      <w:rFonts w:ascii="宋体" w:hAnsi="宋体" w:cs="宋体"/>
                      <w:color w:val="auto"/>
                      <w:szCs w:val="21"/>
                      <w:highlight w:val="none"/>
                    </w:rPr>
                  </w:pPr>
                  <w:r>
                    <w:rPr>
                      <w:rFonts w:hint="eastAsia" w:ascii="宋体" w:hAnsi="宋体" w:cs="宋体"/>
                      <w:color w:val="auto"/>
                      <w:szCs w:val="21"/>
                      <w:highlight w:val="none"/>
                    </w:rPr>
                    <w:t>邻近信道选择性</w:t>
                  </w:r>
                </w:p>
              </w:tc>
              <w:tc>
                <w:tcPr>
                  <w:tcW w:w="4083" w:type="dxa"/>
                  <w:tcBorders>
                    <w:top w:val="single" w:color="auto" w:sz="4" w:space="0"/>
                    <w:left w:val="single" w:color="auto" w:sz="4" w:space="0"/>
                    <w:bottom w:val="single" w:color="auto" w:sz="4" w:space="0"/>
                    <w:right w:val="single" w:color="auto" w:sz="4" w:space="0"/>
                  </w:tcBorders>
                  <w:vAlign w:val="center"/>
                </w:tcPr>
                <w:p w14:paraId="5CF66369">
                  <w:pPr>
                    <w:jc w:val="center"/>
                    <w:rPr>
                      <w:rFonts w:ascii="宋体" w:hAnsi="宋体" w:cs="宋体"/>
                      <w:color w:val="auto"/>
                      <w:szCs w:val="21"/>
                      <w:highlight w:val="none"/>
                    </w:rPr>
                  </w:pPr>
                  <w:r>
                    <w:rPr>
                      <w:rFonts w:hint="eastAsia" w:ascii="宋体" w:hAnsi="宋体" w:cs="宋体"/>
                      <w:color w:val="auto"/>
                      <w:szCs w:val="21"/>
                      <w:highlight w:val="none"/>
                    </w:rPr>
                    <w:t>±12.5kHz:≥60dB</w:t>
                  </w:r>
                </w:p>
              </w:tc>
            </w:tr>
            <w:tr w14:paraId="532D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63F2F5D">
                  <w:pPr>
                    <w:rPr>
                      <w:color w:val="auto"/>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22907BBE">
                  <w:pPr>
                    <w:rPr>
                      <w:color w:val="auto"/>
                      <w:highlight w:val="none"/>
                    </w:rPr>
                  </w:pPr>
                </w:p>
              </w:tc>
              <w:tc>
                <w:tcPr>
                  <w:tcW w:w="4083" w:type="dxa"/>
                  <w:tcBorders>
                    <w:top w:val="single" w:color="auto" w:sz="4" w:space="0"/>
                    <w:left w:val="single" w:color="auto" w:sz="4" w:space="0"/>
                    <w:bottom w:val="single" w:color="auto" w:sz="4" w:space="0"/>
                    <w:right w:val="single" w:color="auto" w:sz="4" w:space="0"/>
                  </w:tcBorders>
                  <w:vAlign w:val="center"/>
                </w:tcPr>
                <w:p w14:paraId="6269858B">
                  <w:pPr>
                    <w:jc w:val="center"/>
                    <w:rPr>
                      <w:rFonts w:ascii="宋体" w:hAnsi="宋体" w:cs="宋体"/>
                      <w:color w:val="auto"/>
                      <w:szCs w:val="21"/>
                      <w:highlight w:val="none"/>
                    </w:rPr>
                  </w:pPr>
                  <w:r>
                    <w:rPr>
                      <w:rFonts w:hint="eastAsia" w:ascii="宋体" w:hAnsi="宋体" w:cs="宋体"/>
                      <w:color w:val="auto"/>
                      <w:szCs w:val="21"/>
                      <w:highlight w:val="none"/>
                    </w:rPr>
                    <w:t>±25KHz: ≥70dB</w:t>
                  </w:r>
                </w:p>
              </w:tc>
            </w:tr>
            <w:tr w14:paraId="26B5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1A3845FE">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C9FF6A2">
                  <w:pPr>
                    <w:jc w:val="center"/>
                    <w:rPr>
                      <w:rFonts w:ascii="宋体" w:hAnsi="宋体" w:cs="宋体"/>
                      <w:color w:val="auto"/>
                      <w:szCs w:val="21"/>
                      <w:highlight w:val="none"/>
                    </w:rPr>
                  </w:pPr>
                  <w:r>
                    <w:rPr>
                      <w:rFonts w:hint="eastAsia" w:ascii="宋体" w:hAnsi="宋体" w:cs="宋体"/>
                      <w:color w:val="auto"/>
                      <w:szCs w:val="21"/>
                      <w:highlight w:val="none"/>
                    </w:rPr>
                    <w:t>阻塞抑制</w:t>
                  </w:r>
                </w:p>
              </w:tc>
              <w:tc>
                <w:tcPr>
                  <w:tcW w:w="4083" w:type="dxa"/>
                  <w:tcBorders>
                    <w:top w:val="single" w:color="auto" w:sz="4" w:space="0"/>
                    <w:left w:val="single" w:color="auto" w:sz="4" w:space="0"/>
                    <w:bottom w:val="single" w:color="auto" w:sz="4" w:space="0"/>
                    <w:right w:val="single" w:color="auto" w:sz="4" w:space="0"/>
                  </w:tcBorders>
                  <w:vAlign w:val="center"/>
                </w:tcPr>
                <w:p w14:paraId="36CA0F7B">
                  <w:pPr>
                    <w:jc w:val="center"/>
                    <w:rPr>
                      <w:rFonts w:ascii="宋体" w:hAnsi="宋体" w:cs="宋体"/>
                      <w:color w:val="auto"/>
                      <w:szCs w:val="21"/>
                      <w:highlight w:val="none"/>
                    </w:rPr>
                  </w:pPr>
                  <w:r>
                    <w:rPr>
                      <w:rFonts w:hint="eastAsia" w:ascii="宋体" w:hAnsi="宋体" w:cs="宋体"/>
                      <w:color w:val="auto"/>
                      <w:szCs w:val="21"/>
                      <w:highlight w:val="none"/>
                    </w:rPr>
                    <w:t>≥84dB</w:t>
                  </w:r>
                </w:p>
              </w:tc>
            </w:tr>
            <w:tr w14:paraId="6DC2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70CD7278">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95C2F22">
                  <w:pPr>
                    <w:jc w:val="center"/>
                    <w:rPr>
                      <w:rFonts w:ascii="宋体" w:hAnsi="宋体" w:cs="宋体"/>
                      <w:color w:val="auto"/>
                      <w:szCs w:val="21"/>
                      <w:highlight w:val="none"/>
                    </w:rPr>
                  </w:pPr>
                  <w:r>
                    <w:rPr>
                      <w:rFonts w:hint="eastAsia" w:ascii="宋体" w:hAnsi="宋体" w:cs="宋体"/>
                      <w:color w:val="auto"/>
                      <w:szCs w:val="21"/>
                      <w:highlight w:val="none"/>
                    </w:rPr>
                    <w:t>杂散响应抑制</w:t>
                  </w:r>
                </w:p>
              </w:tc>
              <w:tc>
                <w:tcPr>
                  <w:tcW w:w="4083" w:type="dxa"/>
                  <w:tcBorders>
                    <w:top w:val="single" w:color="auto" w:sz="4" w:space="0"/>
                    <w:left w:val="single" w:color="auto" w:sz="4" w:space="0"/>
                    <w:bottom w:val="single" w:color="auto" w:sz="4" w:space="0"/>
                    <w:right w:val="single" w:color="auto" w:sz="4" w:space="0"/>
                  </w:tcBorders>
                  <w:vAlign w:val="center"/>
                </w:tcPr>
                <w:p w14:paraId="57ECFF78">
                  <w:pPr>
                    <w:jc w:val="center"/>
                    <w:rPr>
                      <w:rFonts w:ascii="宋体" w:hAnsi="宋体" w:cs="宋体"/>
                      <w:color w:val="auto"/>
                      <w:szCs w:val="21"/>
                      <w:highlight w:val="none"/>
                    </w:rPr>
                  </w:pPr>
                  <w:r>
                    <w:rPr>
                      <w:rFonts w:hint="eastAsia" w:ascii="宋体" w:hAnsi="宋体" w:cs="宋体"/>
                      <w:color w:val="auto"/>
                      <w:szCs w:val="21"/>
                      <w:highlight w:val="none"/>
                    </w:rPr>
                    <w:t>≥70dB</w:t>
                  </w:r>
                </w:p>
              </w:tc>
            </w:tr>
            <w:tr w14:paraId="1CC4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457EBC60">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7424C56">
                  <w:pPr>
                    <w:jc w:val="center"/>
                    <w:rPr>
                      <w:rFonts w:ascii="宋体" w:hAnsi="宋体" w:cs="宋体"/>
                      <w:color w:val="auto"/>
                      <w:szCs w:val="21"/>
                      <w:highlight w:val="none"/>
                    </w:rPr>
                  </w:pPr>
                  <w:r>
                    <w:rPr>
                      <w:rFonts w:hint="eastAsia" w:ascii="宋体" w:hAnsi="宋体" w:cs="宋体"/>
                      <w:color w:val="auto"/>
                      <w:szCs w:val="21"/>
                      <w:highlight w:val="none"/>
                    </w:rPr>
                    <w:t>接收杂散发射</w:t>
                  </w:r>
                </w:p>
              </w:tc>
              <w:tc>
                <w:tcPr>
                  <w:tcW w:w="4083" w:type="dxa"/>
                  <w:tcBorders>
                    <w:top w:val="single" w:color="auto" w:sz="4" w:space="0"/>
                    <w:left w:val="single" w:color="auto" w:sz="4" w:space="0"/>
                    <w:bottom w:val="single" w:color="auto" w:sz="4" w:space="0"/>
                    <w:right w:val="single" w:color="auto" w:sz="4" w:space="0"/>
                  </w:tcBorders>
                  <w:vAlign w:val="center"/>
                </w:tcPr>
                <w:p w14:paraId="22A10F68">
                  <w:pPr>
                    <w:jc w:val="center"/>
                    <w:rPr>
                      <w:rFonts w:ascii="宋体" w:hAnsi="宋体" w:cs="宋体"/>
                      <w:color w:val="auto"/>
                      <w:szCs w:val="21"/>
                      <w:highlight w:val="none"/>
                    </w:rPr>
                  </w:pPr>
                  <w:r>
                    <w:rPr>
                      <w:rFonts w:hint="eastAsia" w:ascii="宋体" w:hAnsi="宋体" w:cs="宋体"/>
                      <w:color w:val="auto"/>
                      <w:szCs w:val="21"/>
                      <w:highlight w:val="none"/>
                    </w:rPr>
                    <w:t>30MHz ～ 1GHz: ≤-57dBm</w:t>
                  </w:r>
                </w:p>
                <w:p w14:paraId="5CE9B616">
                  <w:pPr>
                    <w:jc w:val="center"/>
                    <w:rPr>
                      <w:rFonts w:ascii="宋体" w:hAnsi="宋体" w:cs="宋体"/>
                      <w:color w:val="auto"/>
                      <w:szCs w:val="21"/>
                      <w:highlight w:val="none"/>
                    </w:rPr>
                  </w:pPr>
                  <w:r>
                    <w:rPr>
                      <w:rFonts w:hint="eastAsia" w:ascii="宋体" w:hAnsi="宋体" w:cs="宋体"/>
                      <w:color w:val="auto"/>
                      <w:szCs w:val="21"/>
                      <w:highlight w:val="none"/>
                    </w:rPr>
                    <w:t>1GHz ～ 12.75GHz: ≤-47dBm</w:t>
                  </w:r>
                </w:p>
              </w:tc>
            </w:tr>
            <w:tr w14:paraId="5CFA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6388C147">
                  <w:pPr>
                    <w:jc w:val="center"/>
                    <w:rPr>
                      <w:rFonts w:ascii="宋体" w:hAnsi="宋体" w:cs="宋体"/>
                      <w:color w:val="auto"/>
                      <w:szCs w:val="21"/>
                      <w:highlight w:val="none"/>
                    </w:rPr>
                  </w:pPr>
                  <w:r>
                    <w:rPr>
                      <w:rFonts w:hint="eastAsia" w:ascii="宋体" w:hAnsi="宋体" w:cs="宋体"/>
                      <w:color w:val="auto"/>
                      <w:szCs w:val="21"/>
                      <w:highlight w:val="none"/>
                    </w:rPr>
                    <w:t>环境规格</w:t>
                  </w:r>
                </w:p>
              </w:tc>
              <w:tc>
                <w:tcPr>
                  <w:tcW w:w="1984" w:type="dxa"/>
                  <w:tcBorders>
                    <w:top w:val="single" w:color="auto" w:sz="4" w:space="0"/>
                    <w:left w:val="single" w:color="auto" w:sz="4" w:space="0"/>
                    <w:bottom w:val="single" w:color="auto" w:sz="4" w:space="0"/>
                    <w:right w:val="single" w:color="auto" w:sz="4" w:space="0"/>
                  </w:tcBorders>
                  <w:vAlign w:val="center"/>
                </w:tcPr>
                <w:p w14:paraId="6140AE9D">
                  <w:pPr>
                    <w:jc w:val="center"/>
                    <w:rPr>
                      <w:rFonts w:ascii="宋体" w:hAnsi="宋体" w:cs="宋体"/>
                      <w:color w:val="auto"/>
                      <w:szCs w:val="21"/>
                      <w:highlight w:val="none"/>
                    </w:rPr>
                  </w:pPr>
                  <w:r>
                    <w:rPr>
                      <w:rFonts w:hint="eastAsia" w:ascii="宋体" w:hAnsi="宋体" w:cs="宋体"/>
                      <w:color w:val="auto"/>
                      <w:szCs w:val="21"/>
                      <w:highlight w:val="none"/>
                    </w:rPr>
                    <w:t>工作温度</w:t>
                  </w:r>
                </w:p>
              </w:tc>
              <w:tc>
                <w:tcPr>
                  <w:tcW w:w="4083" w:type="dxa"/>
                  <w:tcBorders>
                    <w:top w:val="single" w:color="auto" w:sz="4" w:space="0"/>
                    <w:left w:val="single" w:color="auto" w:sz="4" w:space="0"/>
                    <w:bottom w:val="single" w:color="auto" w:sz="4" w:space="0"/>
                    <w:right w:val="single" w:color="auto" w:sz="4" w:space="0"/>
                  </w:tcBorders>
                  <w:vAlign w:val="center"/>
                </w:tcPr>
                <w:p w14:paraId="56FD0466">
                  <w:pPr>
                    <w:jc w:val="center"/>
                    <w:rPr>
                      <w:rFonts w:ascii="宋体" w:hAnsi="宋体" w:cs="宋体"/>
                      <w:color w:val="auto"/>
                      <w:szCs w:val="21"/>
                      <w:highlight w:val="none"/>
                    </w:rPr>
                  </w:pPr>
                  <w:r>
                    <w:rPr>
                      <w:rFonts w:hint="eastAsia" w:ascii="宋体" w:hAnsi="宋体" w:cs="宋体"/>
                      <w:color w:val="auto"/>
                      <w:szCs w:val="21"/>
                      <w:highlight w:val="none"/>
                    </w:rPr>
                    <w:t>-30℃ ～ +60℃</w:t>
                  </w:r>
                </w:p>
              </w:tc>
            </w:tr>
            <w:tr w14:paraId="74EE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94712AA">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33F1600">
                  <w:pPr>
                    <w:jc w:val="center"/>
                    <w:rPr>
                      <w:rFonts w:ascii="宋体" w:hAnsi="宋体" w:cs="宋体"/>
                      <w:color w:val="auto"/>
                      <w:szCs w:val="21"/>
                      <w:highlight w:val="none"/>
                    </w:rPr>
                  </w:pPr>
                  <w:r>
                    <w:rPr>
                      <w:rFonts w:hint="eastAsia" w:ascii="宋体" w:hAnsi="宋体" w:cs="宋体"/>
                      <w:color w:val="auto"/>
                      <w:szCs w:val="21"/>
                      <w:highlight w:val="none"/>
                    </w:rPr>
                    <w:t>存放温度</w:t>
                  </w:r>
                </w:p>
              </w:tc>
              <w:tc>
                <w:tcPr>
                  <w:tcW w:w="4083" w:type="dxa"/>
                  <w:tcBorders>
                    <w:top w:val="single" w:color="auto" w:sz="4" w:space="0"/>
                    <w:left w:val="single" w:color="auto" w:sz="4" w:space="0"/>
                    <w:bottom w:val="single" w:color="auto" w:sz="4" w:space="0"/>
                    <w:right w:val="single" w:color="auto" w:sz="4" w:space="0"/>
                  </w:tcBorders>
                  <w:vAlign w:val="center"/>
                </w:tcPr>
                <w:p w14:paraId="6BBB364E">
                  <w:pPr>
                    <w:jc w:val="center"/>
                    <w:rPr>
                      <w:rFonts w:ascii="宋体" w:hAnsi="宋体" w:cs="宋体"/>
                      <w:color w:val="auto"/>
                      <w:szCs w:val="21"/>
                      <w:highlight w:val="none"/>
                    </w:rPr>
                  </w:pPr>
                  <w:r>
                    <w:rPr>
                      <w:rFonts w:hint="eastAsia" w:ascii="宋体" w:hAnsi="宋体" w:cs="宋体"/>
                      <w:color w:val="auto"/>
                      <w:szCs w:val="21"/>
                      <w:highlight w:val="none"/>
                    </w:rPr>
                    <w:t>-40℃ ～ +85℃</w:t>
                  </w:r>
                </w:p>
              </w:tc>
            </w:tr>
            <w:tr w14:paraId="7630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676D8AD">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FCC6445">
                  <w:pPr>
                    <w:jc w:val="center"/>
                    <w:rPr>
                      <w:rFonts w:ascii="宋体" w:hAnsi="宋体" w:cs="宋体"/>
                      <w:color w:val="auto"/>
                      <w:szCs w:val="21"/>
                      <w:highlight w:val="none"/>
                    </w:rPr>
                  </w:pPr>
                  <w:r>
                    <w:rPr>
                      <w:rFonts w:hint="eastAsia" w:ascii="宋体" w:hAnsi="宋体" w:cs="宋体"/>
                      <w:color w:val="auto"/>
                      <w:szCs w:val="21"/>
                      <w:highlight w:val="none"/>
                    </w:rPr>
                    <w:t>ESD</w:t>
                  </w:r>
                </w:p>
              </w:tc>
              <w:tc>
                <w:tcPr>
                  <w:tcW w:w="4083" w:type="dxa"/>
                  <w:tcBorders>
                    <w:top w:val="single" w:color="auto" w:sz="4" w:space="0"/>
                    <w:left w:val="single" w:color="auto" w:sz="4" w:space="0"/>
                    <w:bottom w:val="single" w:color="auto" w:sz="4" w:space="0"/>
                    <w:right w:val="single" w:color="auto" w:sz="4" w:space="0"/>
                  </w:tcBorders>
                  <w:vAlign w:val="center"/>
                </w:tcPr>
                <w:p w14:paraId="2E0ABBBD">
                  <w:pPr>
                    <w:jc w:val="center"/>
                    <w:rPr>
                      <w:rFonts w:ascii="宋体" w:hAnsi="宋体" w:cs="宋体"/>
                      <w:color w:val="auto"/>
                      <w:szCs w:val="21"/>
                      <w:highlight w:val="none"/>
                    </w:rPr>
                  </w:pPr>
                  <w:r>
                    <w:rPr>
                      <w:rFonts w:hint="eastAsia" w:ascii="宋体" w:hAnsi="宋体" w:cs="宋体"/>
                      <w:color w:val="auto"/>
                      <w:szCs w:val="21"/>
                      <w:highlight w:val="none"/>
                    </w:rPr>
                    <w:t>GB/T17626.2和IEC61000-4-2 Level 4空气 15KV;接触 8KV</w:t>
                  </w:r>
                </w:p>
              </w:tc>
            </w:tr>
            <w:tr w14:paraId="20C6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699BDE15">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D449AC8">
                  <w:pPr>
                    <w:jc w:val="center"/>
                    <w:rPr>
                      <w:rFonts w:ascii="宋体" w:hAnsi="宋体" w:cs="宋体"/>
                      <w:color w:val="auto"/>
                      <w:szCs w:val="21"/>
                      <w:highlight w:val="none"/>
                    </w:rPr>
                  </w:pPr>
                  <w:r>
                    <w:rPr>
                      <w:rFonts w:hint="eastAsia" w:ascii="宋体" w:hAnsi="宋体" w:cs="宋体"/>
                      <w:color w:val="auto"/>
                      <w:szCs w:val="21"/>
                      <w:highlight w:val="none"/>
                    </w:rPr>
                    <w:t>EMC</w:t>
                  </w:r>
                </w:p>
              </w:tc>
              <w:tc>
                <w:tcPr>
                  <w:tcW w:w="4083" w:type="dxa"/>
                  <w:tcBorders>
                    <w:top w:val="single" w:color="auto" w:sz="4" w:space="0"/>
                    <w:left w:val="single" w:color="auto" w:sz="4" w:space="0"/>
                    <w:bottom w:val="single" w:color="auto" w:sz="4" w:space="0"/>
                    <w:right w:val="single" w:color="auto" w:sz="4" w:space="0"/>
                  </w:tcBorders>
                  <w:vAlign w:val="center"/>
                </w:tcPr>
                <w:p w14:paraId="322CFD9E">
                  <w:pPr>
                    <w:jc w:val="center"/>
                    <w:rPr>
                      <w:rFonts w:ascii="宋体" w:hAnsi="宋体" w:cs="宋体"/>
                      <w:color w:val="auto"/>
                      <w:szCs w:val="21"/>
                      <w:highlight w:val="none"/>
                    </w:rPr>
                  </w:pPr>
                  <w:r>
                    <w:rPr>
                      <w:rFonts w:hint="eastAsia" w:ascii="宋体" w:hAnsi="宋体" w:cs="宋体"/>
                      <w:color w:val="auto"/>
                      <w:szCs w:val="21"/>
                      <w:highlight w:val="none"/>
                    </w:rPr>
                    <w:t>GB/T 17626.2-2018《电磁兼容 试验和测量技术 静电放电抗扰度试验》、</w:t>
                  </w:r>
                  <w:r>
                    <w:rPr>
                      <w:rFonts w:ascii="Segoe UI" w:hAnsi="Segoe UI" w:eastAsia="Segoe UI" w:cs="Segoe UI"/>
                      <w:color w:val="auto"/>
                      <w:sz w:val="22"/>
                      <w:szCs w:val="22"/>
                      <w:highlight w:val="none"/>
                      <w:shd w:val="clear" w:color="auto" w:fill="F7F2EB"/>
                    </w:rPr>
                    <w:t xml:space="preserve">GB/T </w:t>
                  </w:r>
                  <w:r>
                    <w:rPr>
                      <w:rFonts w:ascii="Segoe UI" w:hAnsi="Segoe UI" w:eastAsia="Segoe UI" w:cs="Segoe UI"/>
                      <w:color w:val="auto"/>
                      <w:sz w:val="22"/>
                      <w:szCs w:val="22"/>
                      <w:highlight w:val="none"/>
                      <w:shd w:val="clear" w:color="auto" w:fill="F7F2EB"/>
                    </w:rPr>
                    <w:t>17626.3 - 2023</w:t>
                  </w:r>
                  <w:r>
                    <w:rPr>
                      <w:rFonts w:hint="eastAsia" w:ascii="宋体" w:hAnsi="宋体" w:cs="宋体"/>
                      <w:color w:val="auto"/>
                      <w:szCs w:val="21"/>
                      <w:highlight w:val="none"/>
                    </w:rPr>
                    <w:t xml:space="preserve"> 《电磁兼容 试验和测量技术 射频电磁场辐射抗扰度试验》、</w:t>
                  </w:r>
                  <w:r>
                    <w:rPr>
                      <w:rFonts w:ascii="Segoe UI" w:hAnsi="Segoe UI" w:eastAsia="Segoe UI" w:cs="Segoe UI"/>
                      <w:color w:val="auto"/>
                      <w:sz w:val="22"/>
                      <w:szCs w:val="22"/>
                      <w:highlight w:val="none"/>
                      <w:shd w:val="clear" w:color="auto" w:fill="F7F2EB"/>
                    </w:rPr>
                    <w:t>GB /T9254 - 2021</w:t>
                  </w:r>
                  <w:r>
                    <w:rPr>
                      <w:rFonts w:hint="eastAsia" w:ascii="宋体" w:hAnsi="宋体" w:cs="宋体"/>
                      <w:color w:val="auto"/>
                      <w:szCs w:val="21"/>
                      <w:highlight w:val="none"/>
                    </w:rPr>
                    <w:t>《信息技术设备的无线电骚扰限值和测量方法》B 级</w:t>
                  </w:r>
                </w:p>
              </w:tc>
            </w:tr>
            <w:tr w14:paraId="0E9F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6933FBB">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C1A7D91">
                  <w:pPr>
                    <w:jc w:val="center"/>
                    <w:rPr>
                      <w:rFonts w:ascii="宋体" w:hAnsi="宋体" w:cs="宋体"/>
                      <w:color w:val="auto"/>
                      <w:szCs w:val="21"/>
                      <w:highlight w:val="none"/>
                    </w:rPr>
                  </w:pPr>
                  <w:r>
                    <w:rPr>
                      <w:rFonts w:hint="eastAsia" w:ascii="宋体" w:hAnsi="宋体" w:cs="宋体"/>
                      <w:color w:val="auto"/>
                      <w:szCs w:val="21"/>
                      <w:highlight w:val="none"/>
                    </w:rPr>
                    <w:t>防水防尘</w:t>
                  </w:r>
                </w:p>
              </w:tc>
              <w:tc>
                <w:tcPr>
                  <w:tcW w:w="4083" w:type="dxa"/>
                  <w:tcBorders>
                    <w:top w:val="single" w:color="auto" w:sz="4" w:space="0"/>
                    <w:left w:val="single" w:color="auto" w:sz="4" w:space="0"/>
                    <w:bottom w:val="single" w:color="auto" w:sz="4" w:space="0"/>
                    <w:right w:val="single" w:color="auto" w:sz="4" w:space="0"/>
                  </w:tcBorders>
                  <w:vAlign w:val="center"/>
                </w:tcPr>
                <w:p w14:paraId="4E4B22F9">
                  <w:pPr>
                    <w:jc w:val="center"/>
                    <w:rPr>
                      <w:rFonts w:ascii="宋体" w:hAnsi="宋体" w:cs="宋体"/>
                      <w:color w:val="auto"/>
                      <w:szCs w:val="21"/>
                      <w:highlight w:val="none"/>
                    </w:rPr>
                  </w:pPr>
                  <w:r>
                    <w:rPr>
                      <w:rFonts w:hint="eastAsia" w:ascii="宋体" w:hAnsi="宋体" w:cs="宋体"/>
                      <w:color w:val="auto"/>
                      <w:szCs w:val="21"/>
                      <w:highlight w:val="none"/>
                    </w:rPr>
                    <w:t>IP68, 符合</w:t>
                  </w:r>
                  <w:r>
                    <w:rPr>
                      <w:rFonts w:hint="eastAsia" w:ascii="宋体" w:hAnsi="宋体" w:cs="宋体"/>
                      <w:color w:val="auto"/>
                      <w:szCs w:val="21"/>
                      <w:highlight w:val="none"/>
                    </w:rPr>
                    <w:t>GB</w:t>
                  </w:r>
                  <w:r>
                    <w:rPr>
                      <w:rFonts w:ascii="宋体" w:hAnsi="宋体" w:cs="宋体"/>
                      <w:color w:val="auto"/>
                      <w:szCs w:val="21"/>
                      <w:highlight w:val="none"/>
                    </w:rPr>
                    <w:t>/T</w:t>
                  </w:r>
                  <w:r>
                    <w:rPr>
                      <w:rFonts w:hint="eastAsia" w:ascii="宋体" w:hAnsi="宋体" w:cs="宋体"/>
                      <w:color w:val="auto"/>
                      <w:szCs w:val="21"/>
                      <w:highlight w:val="none"/>
                    </w:rPr>
                    <w:t xml:space="preserve"> 4208-2017</w:t>
                  </w:r>
                  <w:r>
                    <w:rPr>
                      <w:rFonts w:hint="eastAsia" w:ascii="宋体" w:hAnsi="宋体" w:cs="宋体"/>
                      <w:color w:val="auto"/>
                      <w:szCs w:val="21"/>
                      <w:highlight w:val="none"/>
                    </w:rPr>
                    <w:t>标准</w:t>
                  </w:r>
                </w:p>
              </w:tc>
            </w:tr>
            <w:tr w14:paraId="05BB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7689AD8">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B6E0DC6">
                  <w:pPr>
                    <w:jc w:val="center"/>
                    <w:rPr>
                      <w:rFonts w:ascii="宋体" w:hAnsi="宋体" w:cs="宋体"/>
                      <w:color w:val="auto"/>
                      <w:szCs w:val="21"/>
                      <w:highlight w:val="none"/>
                    </w:rPr>
                  </w:pPr>
                  <w:r>
                    <w:rPr>
                      <w:rFonts w:hint="eastAsia" w:ascii="宋体" w:hAnsi="宋体" w:cs="宋体"/>
                      <w:color w:val="auto"/>
                      <w:szCs w:val="21"/>
                      <w:highlight w:val="none"/>
                    </w:rPr>
                    <w:t>湿热</w:t>
                  </w:r>
                </w:p>
              </w:tc>
              <w:tc>
                <w:tcPr>
                  <w:tcW w:w="4083" w:type="dxa"/>
                  <w:tcBorders>
                    <w:top w:val="single" w:color="auto" w:sz="4" w:space="0"/>
                    <w:left w:val="single" w:color="auto" w:sz="4" w:space="0"/>
                    <w:bottom w:val="single" w:color="auto" w:sz="4" w:space="0"/>
                    <w:right w:val="single" w:color="auto" w:sz="4" w:space="0"/>
                  </w:tcBorders>
                  <w:vAlign w:val="center"/>
                </w:tcPr>
                <w:p w14:paraId="44F78D05">
                  <w:pPr>
                    <w:jc w:val="center"/>
                    <w:rPr>
                      <w:rFonts w:ascii="宋体" w:hAnsi="宋体" w:cs="宋体"/>
                      <w:color w:val="auto"/>
                      <w:szCs w:val="21"/>
                      <w:highlight w:val="none"/>
                    </w:rPr>
                  </w:pPr>
                  <w:r>
                    <w:rPr>
                      <w:rFonts w:hint="eastAsia" w:ascii="宋体" w:hAnsi="宋体" w:cs="宋体"/>
                      <w:color w:val="auto"/>
                      <w:szCs w:val="21"/>
                      <w:highlight w:val="none"/>
                    </w:rPr>
                    <w:t>符合以下标准</w:t>
                  </w:r>
                </w:p>
                <w:p w14:paraId="744D50ED">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GJB 150.9A</w:t>
                  </w:r>
                </w:p>
                <w:p w14:paraId="4EF067C3">
                  <w:pPr>
                    <w:jc w:val="center"/>
                    <w:rPr>
                      <w:rFonts w:ascii="宋体" w:hAnsi="宋体" w:cs="宋体"/>
                      <w:color w:val="auto"/>
                      <w:szCs w:val="21"/>
                      <w:highlight w:val="none"/>
                    </w:rPr>
                  </w:pPr>
                  <w:r>
                    <w:rPr>
                      <w:rFonts w:hint="eastAsia" w:ascii="宋体" w:hAnsi="宋体" w:cs="宋体"/>
                      <w:color w:val="auto"/>
                      <w:szCs w:val="21"/>
                      <w:highlight w:val="none"/>
                    </w:rPr>
                    <w:t>GJB 367A</w:t>
                  </w:r>
                </w:p>
                <w:p w14:paraId="4BF3CD3E">
                  <w:pPr>
                    <w:jc w:val="center"/>
                    <w:rPr>
                      <w:rFonts w:ascii="宋体" w:hAnsi="宋体" w:cs="宋体"/>
                      <w:color w:val="auto"/>
                      <w:szCs w:val="21"/>
                      <w:highlight w:val="none"/>
                    </w:rPr>
                  </w:pPr>
                  <w:r>
                    <w:rPr>
                      <w:rFonts w:hint="eastAsia" w:ascii="宋体" w:hAnsi="宋体" w:cs="宋体"/>
                      <w:color w:val="auto"/>
                      <w:szCs w:val="21"/>
                      <w:highlight w:val="none"/>
                    </w:rPr>
                    <w:t>GB/T 2423.4-2008</w:t>
                  </w:r>
                </w:p>
              </w:tc>
            </w:tr>
            <w:tr w14:paraId="348C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504C4E34">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CB6B512">
                  <w:pPr>
                    <w:jc w:val="center"/>
                    <w:rPr>
                      <w:rFonts w:ascii="宋体" w:hAnsi="宋体" w:cs="宋体"/>
                      <w:color w:val="auto"/>
                      <w:szCs w:val="21"/>
                      <w:highlight w:val="none"/>
                    </w:rPr>
                  </w:pPr>
                  <w:r>
                    <w:rPr>
                      <w:rFonts w:hint="eastAsia" w:ascii="宋体" w:hAnsi="宋体" w:cs="宋体"/>
                      <w:color w:val="auto"/>
                      <w:szCs w:val="21"/>
                      <w:highlight w:val="none"/>
                    </w:rPr>
                    <w:t>冲击和振动</w:t>
                  </w:r>
                </w:p>
              </w:tc>
              <w:tc>
                <w:tcPr>
                  <w:tcW w:w="4083" w:type="dxa"/>
                  <w:tcBorders>
                    <w:top w:val="single" w:color="auto" w:sz="4" w:space="0"/>
                    <w:left w:val="single" w:color="auto" w:sz="4" w:space="0"/>
                    <w:bottom w:val="single" w:color="auto" w:sz="4" w:space="0"/>
                    <w:right w:val="single" w:color="auto" w:sz="4" w:space="0"/>
                  </w:tcBorders>
                  <w:vAlign w:val="center"/>
                </w:tcPr>
                <w:p w14:paraId="41488CE6">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GJB 150.16A</w:t>
                  </w:r>
                </w:p>
                <w:p w14:paraId="5EE682C0">
                  <w:pPr>
                    <w:jc w:val="center"/>
                    <w:rPr>
                      <w:rFonts w:ascii="宋体" w:hAnsi="宋体" w:cs="宋体"/>
                      <w:color w:val="auto"/>
                      <w:szCs w:val="21"/>
                      <w:highlight w:val="none"/>
                    </w:rPr>
                  </w:pPr>
                  <w:r>
                    <w:rPr>
                      <w:rFonts w:ascii="Segoe UI" w:hAnsi="Segoe UI" w:eastAsia="Segoe UI" w:cs="Segoe UI"/>
                      <w:color w:val="auto"/>
                      <w:sz w:val="22"/>
                      <w:szCs w:val="22"/>
                      <w:highlight w:val="none"/>
                      <w:shd w:val="clear" w:color="auto" w:fill="F7F2EB"/>
                    </w:rPr>
                    <w:t xml:space="preserve">GJB 367A </w:t>
                  </w:r>
                </w:p>
                <w:p w14:paraId="432CFC0B">
                  <w:pPr>
                    <w:jc w:val="center"/>
                    <w:rPr>
                      <w:rFonts w:ascii="宋体" w:hAnsi="宋体" w:cs="宋体"/>
                      <w:color w:val="auto"/>
                      <w:szCs w:val="21"/>
                      <w:highlight w:val="none"/>
                    </w:rPr>
                  </w:pPr>
                  <w:r>
                    <w:rPr>
                      <w:rFonts w:hint="eastAsia" w:ascii="宋体" w:hAnsi="宋体" w:cs="宋体"/>
                      <w:color w:val="auto"/>
                      <w:szCs w:val="21"/>
                      <w:highlight w:val="none"/>
                    </w:rPr>
                    <w:t>GJB  150.18A</w:t>
                  </w:r>
                </w:p>
                <w:p w14:paraId="7D6E23F1">
                  <w:pPr>
                    <w:jc w:val="center"/>
                    <w:rPr>
                      <w:rFonts w:ascii="宋体" w:hAnsi="宋体" w:cs="宋体"/>
                      <w:color w:val="auto"/>
                      <w:szCs w:val="21"/>
                      <w:highlight w:val="none"/>
                    </w:rPr>
                  </w:pPr>
                  <w:r>
                    <w:rPr>
                      <w:rFonts w:hint="eastAsia" w:ascii="宋体" w:hAnsi="宋体" w:cs="宋体"/>
                      <w:color w:val="auto"/>
                      <w:szCs w:val="21"/>
                      <w:highlight w:val="none"/>
                    </w:rPr>
                    <w:t>GB/T 2423.10-2008</w:t>
                  </w:r>
                </w:p>
              </w:tc>
            </w:tr>
            <w:tr w14:paraId="3516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5C0B89C8">
                  <w:pPr>
                    <w:jc w:val="center"/>
                    <w:rPr>
                      <w:rFonts w:ascii="宋体" w:hAnsi="宋体" w:cs="宋体"/>
                      <w:color w:val="auto"/>
                      <w:szCs w:val="21"/>
                      <w:highlight w:val="none"/>
                    </w:rPr>
                  </w:pPr>
                  <w:r>
                    <w:rPr>
                      <w:rFonts w:hint="eastAsia" w:ascii="宋体" w:hAnsi="宋体" w:cs="宋体"/>
                      <w:color w:val="auto"/>
                      <w:szCs w:val="21"/>
                      <w:highlight w:val="none"/>
                    </w:rPr>
                    <w:t>蓝牙</w:t>
                  </w:r>
                </w:p>
              </w:tc>
              <w:tc>
                <w:tcPr>
                  <w:tcW w:w="1984" w:type="dxa"/>
                  <w:tcBorders>
                    <w:top w:val="single" w:color="auto" w:sz="4" w:space="0"/>
                    <w:left w:val="single" w:color="auto" w:sz="4" w:space="0"/>
                    <w:bottom w:val="single" w:color="auto" w:sz="4" w:space="0"/>
                    <w:right w:val="single" w:color="auto" w:sz="4" w:space="0"/>
                  </w:tcBorders>
                  <w:vAlign w:val="center"/>
                </w:tcPr>
                <w:p w14:paraId="1812C112">
                  <w:pPr>
                    <w:jc w:val="center"/>
                    <w:rPr>
                      <w:rFonts w:ascii="宋体" w:hAnsi="宋体" w:cs="宋体"/>
                      <w:color w:val="auto"/>
                      <w:szCs w:val="21"/>
                      <w:highlight w:val="none"/>
                    </w:rPr>
                  </w:pPr>
                  <w:r>
                    <w:rPr>
                      <w:rFonts w:hint="eastAsia" w:ascii="宋体" w:hAnsi="宋体" w:cs="宋体"/>
                      <w:color w:val="auto"/>
                      <w:szCs w:val="21"/>
                      <w:highlight w:val="none"/>
                    </w:rPr>
                    <w:t>版本</w:t>
                  </w:r>
                </w:p>
              </w:tc>
              <w:tc>
                <w:tcPr>
                  <w:tcW w:w="4083" w:type="dxa"/>
                  <w:tcBorders>
                    <w:top w:val="single" w:color="auto" w:sz="4" w:space="0"/>
                    <w:left w:val="single" w:color="auto" w:sz="4" w:space="0"/>
                    <w:bottom w:val="single" w:color="auto" w:sz="4" w:space="0"/>
                    <w:right w:val="single" w:color="auto" w:sz="4" w:space="0"/>
                  </w:tcBorders>
                  <w:vAlign w:val="center"/>
                </w:tcPr>
                <w:p w14:paraId="4B7DF5ED">
                  <w:pPr>
                    <w:jc w:val="center"/>
                    <w:rPr>
                      <w:rFonts w:ascii="宋体" w:hAnsi="宋体" w:cs="宋体"/>
                      <w:color w:val="auto"/>
                      <w:szCs w:val="21"/>
                      <w:highlight w:val="none"/>
                    </w:rPr>
                  </w:pPr>
                  <w:r>
                    <w:rPr>
                      <w:rFonts w:hint="eastAsia" w:ascii="宋体" w:hAnsi="宋体" w:cs="宋体"/>
                      <w:color w:val="auto"/>
                      <w:szCs w:val="21"/>
                      <w:highlight w:val="none"/>
                    </w:rPr>
                    <w:t>支持Bluetooth 4.0</w:t>
                  </w:r>
                </w:p>
              </w:tc>
            </w:tr>
            <w:tr w14:paraId="250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0DB8E7A7">
                  <w:pPr>
                    <w:rPr>
                      <w:color w:val="auto"/>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241395F">
                  <w:pPr>
                    <w:jc w:val="center"/>
                    <w:rPr>
                      <w:rFonts w:ascii="宋体" w:hAnsi="宋体" w:cs="宋体"/>
                      <w:color w:val="auto"/>
                      <w:szCs w:val="21"/>
                      <w:highlight w:val="none"/>
                    </w:rPr>
                  </w:pPr>
                  <w:r>
                    <w:rPr>
                      <w:rFonts w:hint="eastAsia" w:ascii="宋体" w:hAnsi="宋体" w:cs="宋体"/>
                      <w:color w:val="auto"/>
                      <w:szCs w:val="21"/>
                      <w:highlight w:val="none"/>
                    </w:rPr>
                    <w:t>范围</w:t>
                  </w:r>
                </w:p>
              </w:tc>
              <w:tc>
                <w:tcPr>
                  <w:tcW w:w="4083" w:type="dxa"/>
                  <w:tcBorders>
                    <w:top w:val="single" w:color="auto" w:sz="4" w:space="0"/>
                    <w:left w:val="single" w:color="auto" w:sz="4" w:space="0"/>
                    <w:bottom w:val="single" w:color="auto" w:sz="4" w:space="0"/>
                    <w:right w:val="single" w:color="auto" w:sz="4" w:space="0"/>
                  </w:tcBorders>
                  <w:vAlign w:val="center"/>
                </w:tcPr>
                <w:p w14:paraId="5A9CF729">
                  <w:pPr>
                    <w:jc w:val="center"/>
                    <w:rPr>
                      <w:rFonts w:ascii="宋体" w:hAnsi="宋体" w:cs="宋体"/>
                      <w:color w:val="auto"/>
                      <w:szCs w:val="21"/>
                      <w:highlight w:val="none"/>
                    </w:rPr>
                  </w:pPr>
                  <w:r>
                    <w:rPr>
                      <w:rFonts w:hint="eastAsia" w:ascii="宋体" w:hAnsi="宋体" w:cs="宋体"/>
                      <w:color w:val="auto"/>
                      <w:szCs w:val="21"/>
                      <w:highlight w:val="none"/>
                    </w:rPr>
                    <w:t>2类，10米</w:t>
                  </w:r>
                </w:p>
              </w:tc>
            </w:tr>
            <w:tr w14:paraId="4B62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2278FB50">
                  <w:pPr>
                    <w:jc w:val="center"/>
                    <w:rPr>
                      <w:rFonts w:ascii="宋体" w:hAnsi="宋体" w:cs="宋体"/>
                      <w:color w:val="auto"/>
                      <w:szCs w:val="21"/>
                      <w:highlight w:val="none"/>
                    </w:rPr>
                  </w:pPr>
                  <w:r>
                    <w:rPr>
                      <w:rFonts w:hint="eastAsia" w:ascii="宋体" w:hAnsi="宋体" w:cs="宋体"/>
                      <w:color w:val="auto"/>
                      <w:szCs w:val="21"/>
                      <w:highlight w:val="none"/>
                    </w:rPr>
                    <w:t>防水防尘</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00E21DA7">
                  <w:pPr>
                    <w:jc w:val="center"/>
                    <w:rPr>
                      <w:rFonts w:ascii="宋体" w:hAnsi="宋体" w:cs="宋体"/>
                      <w:color w:val="auto"/>
                      <w:szCs w:val="21"/>
                      <w:highlight w:val="none"/>
                    </w:rPr>
                  </w:pPr>
                  <w:r>
                    <w:rPr>
                      <w:rFonts w:hint="eastAsia" w:ascii="宋体" w:hAnsi="宋体" w:cs="宋体"/>
                      <w:color w:val="auto"/>
                      <w:szCs w:val="21"/>
                      <w:highlight w:val="none"/>
                    </w:rPr>
                    <w:t>IP68防尘防水等级</w:t>
                  </w:r>
                </w:p>
              </w:tc>
            </w:tr>
            <w:tr w14:paraId="5C82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25D590F7">
                  <w:pPr>
                    <w:jc w:val="center"/>
                    <w:rPr>
                      <w:rFonts w:ascii="宋体" w:hAnsi="宋体" w:cs="宋体"/>
                      <w:color w:val="auto"/>
                      <w:szCs w:val="21"/>
                      <w:highlight w:val="none"/>
                    </w:rPr>
                  </w:pPr>
                  <w:r>
                    <w:rPr>
                      <w:rFonts w:hint="eastAsia" w:ascii="宋体" w:hAnsi="宋体" w:cs="宋体"/>
                      <w:color w:val="auto"/>
                      <w:szCs w:val="21"/>
                      <w:highlight w:val="none"/>
                    </w:rPr>
                    <w:t>充电器规格</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0528FA8D">
                  <w:pPr>
                    <w:jc w:val="center"/>
                    <w:rPr>
                      <w:rFonts w:ascii="宋体" w:hAnsi="宋体" w:cs="宋体"/>
                      <w:color w:val="auto"/>
                      <w:szCs w:val="21"/>
                      <w:highlight w:val="none"/>
                    </w:rPr>
                  </w:pPr>
                  <w:r>
                    <w:rPr>
                      <w:rFonts w:hint="eastAsia" w:ascii="宋体" w:hAnsi="宋体" w:cs="宋体"/>
                      <w:color w:val="auto"/>
                      <w:szCs w:val="21"/>
                      <w:highlight w:val="none"/>
                    </w:rPr>
                    <w:t>1+1充电器,可同时充两块电池</w:t>
                  </w:r>
                </w:p>
              </w:tc>
            </w:tr>
            <w:tr w14:paraId="12D8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20EE0DBC">
                  <w:pPr>
                    <w:jc w:val="center"/>
                    <w:rPr>
                      <w:rFonts w:ascii="宋体" w:hAnsi="宋体" w:cs="宋体"/>
                      <w:color w:val="auto"/>
                      <w:szCs w:val="21"/>
                      <w:highlight w:val="none"/>
                    </w:rPr>
                  </w:pPr>
                  <w:r>
                    <w:rPr>
                      <w:rFonts w:hint="eastAsia" w:ascii="宋体" w:hAnsi="宋体" w:cs="宋体"/>
                      <w:color w:val="auto"/>
                      <w:szCs w:val="21"/>
                      <w:highlight w:val="none"/>
                    </w:rPr>
                    <w:t>声码器</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546AF4B2">
                  <w:pPr>
                    <w:jc w:val="left"/>
                    <w:rPr>
                      <w:rFonts w:ascii="宋体" w:hAnsi="宋体" w:cs="宋体"/>
                      <w:b/>
                      <w:color w:val="auto"/>
                      <w:szCs w:val="21"/>
                      <w:highlight w:val="none"/>
                    </w:rPr>
                  </w:pPr>
                  <w:r>
                    <w:rPr>
                      <w:rFonts w:hint="eastAsia" w:ascii="宋体" w:hAnsi="宋体" w:cs="宋体"/>
                      <w:color w:val="auto"/>
                      <w:szCs w:val="21"/>
                      <w:highlight w:val="none"/>
                    </w:rPr>
                    <w:t>支持AMBE+NVOC声码器,支持通过UI菜单选择NVOC和AMBE声码器。</w:t>
                  </w:r>
                </w:p>
              </w:tc>
            </w:tr>
            <w:tr w14:paraId="2F10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1E03E683">
                  <w:pPr>
                    <w:jc w:val="center"/>
                    <w:rPr>
                      <w:rFonts w:ascii="宋体" w:hAnsi="宋体" w:cs="宋体"/>
                      <w:color w:val="auto"/>
                      <w:szCs w:val="21"/>
                      <w:highlight w:val="none"/>
                    </w:rPr>
                  </w:pPr>
                  <w:r>
                    <w:rPr>
                      <w:rFonts w:hint="eastAsia" w:ascii="宋体" w:hAnsi="宋体" w:cs="宋体"/>
                      <w:color w:val="auto"/>
                      <w:szCs w:val="21"/>
                      <w:highlight w:val="none"/>
                    </w:rPr>
                    <w:t>PDT基站辅助控制信道</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0C798155">
                  <w:pPr>
                    <w:jc w:val="left"/>
                    <w:rPr>
                      <w:rFonts w:ascii="宋体" w:hAnsi="宋体" w:cs="宋体"/>
                      <w:b/>
                      <w:color w:val="auto"/>
                      <w:szCs w:val="21"/>
                      <w:highlight w:val="none"/>
                    </w:rPr>
                  </w:pPr>
                  <w:r>
                    <w:rPr>
                      <w:rFonts w:hint="eastAsia" w:ascii="宋体" w:hAnsi="宋体" w:cs="宋体"/>
                      <w:color w:val="auto"/>
                      <w:szCs w:val="21"/>
                      <w:highlight w:val="none"/>
                    </w:rPr>
                    <w:t>支持PDT基站辅控功能，根据基站的辅助控制信道个数自动适配登记到对应的控制/辅控信道。</w:t>
                  </w:r>
                </w:p>
              </w:tc>
            </w:tr>
            <w:tr w14:paraId="3CAA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47C944F1">
                  <w:pPr>
                    <w:jc w:val="center"/>
                    <w:rPr>
                      <w:rFonts w:ascii="宋体" w:hAnsi="宋体" w:cs="宋体"/>
                      <w:color w:val="auto"/>
                      <w:szCs w:val="21"/>
                      <w:highlight w:val="none"/>
                    </w:rPr>
                  </w:pPr>
                  <w:r>
                    <w:rPr>
                      <w:rFonts w:hint="eastAsia" w:ascii="宋体" w:hAnsi="宋体" w:cs="宋体"/>
                      <w:color w:val="auto"/>
                      <w:szCs w:val="21"/>
                      <w:highlight w:val="none"/>
                    </w:rPr>
                    <w:t>数字集群终端设备</w:t>
                  </w:r>
                </w:p>
                <w:p w14:paraId="0D8841DC">
                  <w:pPr>
                    <w:jc w:val="center"/>
                    <w:rPr>
                      <w:rFonts w:ascii="宋体" w:hAnsi="宋体" w:cs="宋体"/>
                      <w:color w:val="auto"/>
                      <w:szCs w:val="21"/>
                      <w:highlight w:val="none"/>
                    </w:rPr>
                  </w:pPr>
                  <w:r>
                    <w:rPr>
                      <w:rFonts w:hint="eastAsia" w:ascii="宋体" w:hAnsi="宋体" w:cs="宋体"/>
                      <w:color w:val="auto"/>
                      <w:szCs w:val="21"/>
                      <w:highlight w:val="none"/>
                    </w:rPr>
                    <w:t>单键报备</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45CF3845">
                  <w:pPr>
                    <w:jc w:val="left"/>
                    <w:rPr>
                      <w:rFonts w:ascii="宋体" w:hAnsi="宋体" w:cs="宋体"/>
                      <w:color w:val="auto"/>
                      <w:szCs w:val="21"/>
                      <w:highlight w:val="none"/>
                    </w:rPr>
                  </w:pPr>
                  <w:r>
                    <w:rPr>
                      <w:rFonts w:hint="eastAsia" w:ascii="宋体" w:hAnsi="宋体" w:cs="宋体"/>
                      <w:color w:val="auto"/>
                      <w:szCs w:val="21"/>
                      <w:highlight w:val="none"/>
                    </w:rPr>
                    <w:t>可对数字集群终端设备进行单键设置，分别设置单键组呼、单键单呼、单键短信发送等功能，数字集群终端设备长按已设置的单键功能就可实现以上功能。</w:t>
                  </w:r>
                </w:p>
              </w:tc>
            </w:tr>
            <w:tr w14:paraId="1C8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40B6118F">
                  <w:pPr>
                    <w:jc w:val="center"/>
                    <w:rPr>
                      <w:rFonts w:ascii="宋体" w:hAnsi="宋体" w:cs="宋体"/>
                      <w:color w:val="auto"/>
                      <w:szCs w:val="21"/>
                      <w:highlight w:val="none"/>
                    </w:rPr>
                  </w:pPr>
                  <w:r>
                    <w:rPr>
                      <w:rFonts w:hint="eastAsia" w:ascii="宋体" w:hAnsi="宋体" w:cs="宋体"/>
                      <w:color w:val="auto"/>
                      <w:szCs w:val="21"/>
                      <w:highlight w:val="none"/>
                    </w:rPr>
                    <w:t>智能上传数字集群终端设备场强和电量信息</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4C1E3CAF">
                  <w:pPr>
                    <w:jc w:val="left"/>
                    <w:rPr>
                      <w:rFonts w:ascii="宋体" w:hAnsi="宋体" w:cs="宋体"/>
                      <w:b/>
                      <w:color w:val="auto"/>
                      <w:szCs w:val="21"/>
                      <w:highlight w:val="none"/>
                    </w:rPr>
                  </w:pPr>
                  <w:r>
                    <w:rPr>
                      <w:rFonts w:hint="eastAsia" w:ascii="宋体" w:hAnsi="宋体" w:cs="宋体"/>
                      <w:color w:val="auto"/>
                      <w:szCs w:val="21"/>
                      <w:highlight w:val="none"/>
                    </w:rPr>
                    <w:t>开启数字集群终端设备后，自动进行场强和电量上报,系统后台可以实时掌握场强信息和终端电量信息。</w:t>
                  </w:r>
                </w:p>
              </w:tc>
            </w:tr>
            <w:tr w14:paraId="1732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7ADBED1B">
                  <w:pPr>
                    <w:jc w:val="center"/>
                    <w:rPr>
                      <w:rFonts w:ascii="宋体" w:hAnsi="宋体" w:cs="宋体"/>
                      <w:color w:val="auto"/>
                      <w:szCs w:val="21"/>
                      <w:highlight w:val="none"/>
                    </w:rPr>
                  </w:pPr>
                  <w:r>
                    <w:rPr>
                      <w:rFonts w:hint="eastAsia" w:ascii="宋体" w:hAnsi="宋体" w:cs="宋体"/>
                      <w:color w:val="auto"/>
                      <w:szCs w:val="21"/>
                      <w:highlight w:val="none"/>
                    </w:rPr>
                    <w:t>终端设备管理服务</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73881E18">
                  <w:pPr>
                    <w:jc w:val="left"/>
                    <w:rPr>
                      <w:rFonts w:ascii="宋体" w:hAnsi="宋体" w:cs="宋体"/>
                      <w:color w:val="auto"/>
                      <w:szCs w:val="21"/>
                      <w:highlight w:val="none"/>
                    </w:rPr>
                  </w:pPr>
                  <w:r>
                    <w:rPr>
                      <w:rFonts w:hint="eastAsia" w:ascii="宋体" w:hAnsi="宋体" w:cs="宋体"/>
                      <w:color w:val="auto"/>
                      <w:szCs w:val="21"/>
                      <w:highlight w:val="none"/>
                    </w:rPr>
                    <w:t>提供基于GIS的监控及管理服务，通过有线链路接入杭州市公安局PDT数字集群系统交换中心服务器。实现交警支队对PDT数字集群终端设备的遥晕、遥启、录音等操作。</w:t>
                  </w:r>
                </w:p>
              </w:tc>
            </w:tr>
            <w:tr w14:paraId="72DA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03" w:type="dxa"/>
                  <w:tcBorders>
                    <w:top w:val="single" w:color="auto" w:sz="4" w:space="0"/>
                    <w:left w:val="single" w:color="auto" w:sz="4" w:space="0"/>
                    <w:bottom w:val="single" w:color="auto" w:sz="4" w:space="0"/>
                    <w:right w:val="single" w:color="auto" w:sz="4" w:space="0"/>
                  </w:tcBorders>
                  <w:vAlign w:val="center"/>
                </w:tcPr>
                <w:p w14:paraId="5FA38925">
                  <w:pPr>
                    <w:jc w:val="center"/>
                    <w:rPr>
                      <w:rFonts w:ascii="宋体" w:hAnsi="宋体" w:cs="宋体"/>
                      <w:color w:val="auto"/>
                      <w:szCs w:val="21"/>
                      <w:highlight w:val="none"/>
                    </w:rPr>
                  </w:pPr>
                  <w:r>
                    <w:rPr>
                      <w:rFonts w:hint="eastAsia" w:ascii="宋体" w:hAnsi="宋体" w:cs="宋体"/>
                      <w:color w:val="auto"/>
                      <w:szCs w:val="21"/>
                      <w:highlight w:val="none"/>
                    </w:rPr>
                    <w:t>配件</w:t>
                  </w:r>
                </w:p>
              </w:tc>
              <w:tc>
                <w:tcPr>
                  <w:tcW w:w="6067" w:type="dxa"/>
                  <w:gridSpan w:val="2"/>
                  <w:tcBorders>
                    <w:top w:val="single" w:color="auto" w:sz="4" w:space="0"/>
                    <w:left w:val="single" w:color="auto" w:sz="4" w:space="0"/>
                    <w:bottom w:val="single" w:color="auto" w:sz="4" w:space="0"/>
                    <w:right w:val="single" w:color="auto" w:sz="4" w:space="0"/>
                  </w:tcBorders>
                  <w:vAlign w:val="center"/>
                </w:tcPr>
                <w:p w14:paraId="65040B3A">
                  <w:pPr>
                    <w:jc w:val="left"/>
                    <w:rPr>
                      <w:rFonts w:ascii="宋体" w:hAnsi="宋体" w:cs="宋体"/>
                      <w:color w:val="auto"/>
                      <w:szCs w:val="21"/>
                      <w:highlight w:val="none"/>
                    </w:rPr>
                  </w:pPr>
                  <w:r>
                    <w:rPr>
                      <w:rFonts w:hint="eastAsia" w:ascii="宋体" w:hAnsi="宋体" w:cs="宋体"/>
                      <w:color w:val="auto"/>
                      <w:szCs w:val="21"/>
                      <w:highlight w:val="none"/>
                    </w:rPr>
                    <w:t>冗余电池260块、耳麦60套</w:t>
                  </w:r>
                </w:p>
              </w:tc>
            </w:tr>
            <w:bookmarkEnd w:id="517"/>
          </w:tbl>
          <w:p w14:paraId="154C685A">
            <w:pPr>
              <w:ind w:firstLine="0"/>
              <w:rPr>
                <w:rFonts w:ascii="宋体" w:hAnsi="宋体" w:cs="宋体"/>
                <w:b/>
                <w:bCs/>
                <w:color w:val="auto"/>
                <w:highlight w:val="none"/>
              </w:rPr>
            </w:pPr>
          </w:p>
          <w:p w14:paraId="60139C84">
            <w:pPr>
              <w:ind w:firstLine="480"/>
              <w:rPr>
                <w:rFonts w:ascii="宋体" w:hAnsi="宋体" w:cs="宋体"/>
                <w:color w:val="auto"/>
                <w:highlight w:val="none"/>
              </w:rPr>
            </w:pPr>
            <w:r>
              <w:rPr>
                <w:rFonts w:hint="eastAsia" w:ascii="宋体" w:hAnsi="宋体" w:cs="宋体"/>
                <w:color w:val="auto"/>
                <w:highlight w:val="none"/>
              </w:rPr>
              <w:t>2.加密卡参数</w:t>
            </w:r>
          </w:p>
          <w:tbl>
            <w:tblPr>
              <w:tblStyle w:val="63"/>
              <w:tblW w:w="43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746"/>
              <w:gridCol w:w="5204"/>
              <w:gridCol w:w="863"/>
            </w:tblGrid>
            <w:tr w14:paraId="7AAB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2" w:type="dxa"/>
                  <w:tcBorders>
                    <w:top w:val="single" w:color="auto" w:sz="4" w:space="0"/>
                    <w:left w:val="single" w:color="auto" w:sz="4" w:space="0"/>
                    <w:bottom w:val="single" w:color="auto" w:sz="4" w:space="0"/>
                    <w:right w:val="single" w:color="auto" w:sz="4" w:space="0"/>
                  </w:tcBorders>
                  <w:noWrap/>
                  <w:vAlign w:val="center"/>
                </w:tcPr>
                <w:p w14:paraId="7695742F">
                  <w:pPr>
                    <w:jc w:val="left"/>
                    <w:rPr>
                      <w:rFonts w:ascii="宋体" w:hAnsi="宋体" w:cs="宋体"/>
                      <w:color w:val="auto"/>
                      <w:szCs w:val="21"/>
                      <w:highlight w:val="none"/>
                    </w:rPr>
                  </w:pPr>
                  <w:r>
                    <w:rPr>
                      <w:rFonts w:hint="eastAsia" w:ascii="宋体" w:hAnsi="宋体" w:cs="宋体"/>
                      <w:color w:val="auto"/>
                      <w:szCs w:val="21"/>
                      <w:highlight w:val="none"/>
                    </w:rPr>
                    <w:t>序号</w:t>
                  </w:r>
                </w:p>
              </w:tc>
              <w:tc>
                <w:tcPr>
                  <w:tcW w:w="746" w:type="dxa"/>
                  <w:tcBorders>
                    <w:top w:val="single" w:color="auto" w:sz="4" w:space="0"/>
                    <w:left w:val="nil"/>
                    <w:bottom w:val="single" w:color="auto" w:sz="4" w:space="0"/>
                    <w:right w:val="single" w:color="auto" w:sz="4" w:space="0"/>
                  </w:tcBorders>
                  <w:noWrap/>
                  <w:vAlign w:val="center"/>
                </w:tcPr>
                <w:p w14:paraId="59C5E68B">
                  <w:pPr>
                    <w:jc w:val="left"/>
                    <w:rPr>
                      <w:rFonts w:ascii="宋体" w:hAnsi="宋体" w:cs="宋体"/>
                      <w:color w:val="auto"/>
                      <w:szCs w:val="21"/>
                      <w:highlight w:val="none"/>
                    </w:rPr>
                  </w:pPr>
                  <w:r>
                    <w:rPr>
                      <w:rFonts w:hint="eastAsia" w:ascii="宋体" w:hAnsi="宋体" w:cs="宋体"/>
                      <w:color w:val="auto"/>
                      <w:szCs w:val="21"/>
                      <w:highlight w:val="none"/>
                    </w:rPr>
                    <w:t>内容明细</w:t>
                  </w:r>
                </w:p>
              </w:tc>
              <w:tc>
                <w:tcPr>
                  <w:tcW w:w="5204" w:type="dxa"/>
                  <w:tcBorders>
                    <w:top w:val="single" w:color="auto" w:sz="4" w:space="0"/>
                    <w:left w:val="nil"/>
                    <w:bottom w:val="single" w:color="auto" w:sz="4" w:space="0"/>
                    <w:right w:val="single" w:color="auto" w:sz="4" w:space="0"/>
                  </w:tcBorders>
                  <w:noWrap/>
                  <w:vAlign w:val="center"/>
                </w:tcPr>
                <w:p w14:paraId="16EE2A93">
                  <w:pPr>
                    <w:jc w:val="left"/>
                    <w:rPr>
                      <w:rFonts w:ascii="宋体" w:hAnsi="宋体" w:cs="宋体"/>
                      <w:color w:val="auto"/>
                      <w:szCs w:val="21"/>
                      <w:highlight w:val="none"/>
                    </w:rPr>
                  </w:pPr>
                  <w:r>
                    <w:rPr>
                      <w:rFonts w:hint="eastAsia" w:ascii="宋体" w:hAnsi="宋体" w:cs="宋体"/>
                      <w:color w:val="auto"/>
                      <w:szCs w:val="21"/>
                      <w:highlight w:val="none"/>
                    </w:rPr>
                    <w:t>规格（技术参数）</w:t>
                  </w:r>
                </w:p>
              </w:tc>
              <w:tc>
                <w:tcPr>
                  <w:tcW w:w="863" w:type="dxa"/>
                  <w:tcBorders>
                    <w:top w:val="single" w:color="auto" w:sz="4" w:space="0"/>
                    <w:left w:val="nil"/>
                    <w:bottom w:val="single" w:color="auto" w:sz="4" w:space="0"/>
                    <w:right w:val="single" w:color="auto" w:sz="4" w:space="0"/>
                  </w:tcBorders>
                  <w:noWrap/>
                  <w:vAlign w:val="center"/>
                </w:tcPr>
                <w:p w14:paraId="5C258BFD">
                  <w:pPr>
                    <w:jc w:val="left"/>
                    <w:rPr>
                      <w:rFonts w:ascii="宋体" w:hAnsi="宋体" w:cs="宋体"/>
                      <w:color w:val="auto"/>
                      <w:szCs w:val="21"/>
                      <w:highlight w:val="none"/>
                    </w:rPr>
                  </w:pPr>
                  <w:r>
                    <w:rPr>
                      <w:rFonts w:hint="eastAsia" w:ascii="宋体" w:hAnsi="宋体" w:cs="宋体"/>
                      <w:color w:val="auto"/>
                      <w:szCs w:val="21"/>
                      <w:highlight w:val="none"/>
                    </w:rPr>
                    <w:t>数量</w:t>
                  </w:r>
                </w:p>
              </w:tc>
            </w:tr>
            <w:tr w14:paraId="5AFB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42" w:type="dxa"/>
                  <w:tcBorders>
                    <w:top w:val="single" w:color="auto" w:sz="4" w:space="0"/>
                    <w:left w:val="single" w:color="auto" w:sz="4" w:space="0"/>
                    <w:bottom w:val="single" w:color="auto" w:sz="4" w:space="0"/>
                    <w:right w:val="single" w:color="auto" w:sz="4" w:space="0"/>
                  </w:tcBorders>
                  <w:noWrap/>
                  <w:vAlign w:val="center"/>
                </w:tcPr>
                <w:p w14:paraId="43876DF0">
                  <w:pPr>
                    <w:jc w:val="left"/>
                    <w:rPr>
                      <w:rFonts w:ascii="宋体" w:hAnsi="宋体" w:cs="宋体"/>
                      <w:color w:val="auto"/>
                      <w:szCs w:val="21"/>
                      <w:highlight w:val="none"/>
                    </w:rPr>
                  </w:pPr>
                  <w:r>
                    <w:rPr>
                      <w:rFonts w:hint="eastAsia" w:ascii="宋体" w:hAnsi="宋体" w:cs="宋体"/>
                      <w:color w:val="auto"/>
                      <w:szCs w:val="21"/>
                      <w:highlight w:val="none"/>
                    </w:rPr>
                    <w:t>1</w:t>
                  </w:r>
                </w:p>
              </w:tc>
              <w:tc>
                <w:tcPr>
                  <w:tcW w:w="746" w:type="dxa"/>
                  <w:tcBorders>
                    <w:top w:val="single" w:color="auto" w:sz="4" w:space="0"/>
                    <w:left w:val="nil"/>
                    <w:bottom w:val="single" w:color="auto" w:sz="4" w:space="0"/>
                    <w:right w:val="single" w:color="auto" w:sz="4" w:space="0"/>
                  </w:tcBorders>
                  <w:noWrap/>
                  <w:vAlign w:val="center"/>
                </w:tcPr>
                <w:p w14:paraId="701979BD">
                  <w:pPr>
                    <w:jc w:val="left"/>
                    <w:rPr>
                      <w:rFonts w:ascii="宋体" w:hAnsi="宋体" w:cs="宋体"/>
                      <w:color w:val="auto"/>
                      <w:szCs w:val="21"/>
                      <w:highlight w:val="none"/>
                    </w:rPr>
                  </w:pPr>
                  <w:r>
                    <w:rPr>
                      <w:rFonts w:hint="eastAsia" w:ascii="宋体" w:hAnsi="宋体" w:cs="宋体"/>
                      <w:color w:val="auto"/>
                      <w:szCs w:val="21"/>
                      <w:highlight w:val="none"/>
                    </w:rPr>
                    <w:t>PDT加密卡</w:t>
                  </w:r>
                </w:p>
              </w:tc>
              <w:tc>
                <w:tcPr>
                  <w:tcW w:w="5204" w:type="dxa"/>
                  <w:tcBorders>
                    <w:top w:val="single" w:color="auto" w:sz="4" w:space="0"/>
                    <w:left w:val="nil"/>
                    <w:bottom w:val="single" w:color="auto" w:sz="4" w:space="0"/>
                    <w:right w:val="single" w:color="auto" w:sz="4" w:space="0"/>
                  </w:tcBorders>
                  <w:noWrap/>
                  <w:vAlign w:val="center"/>
                </w:tcPr>
                <w:p w14:paraId="34861E3C">
                  <w:pPr>
                    <w:jc w:val="left"/>
                    <w:rPr>
                      <w:rFonts w:ascii="宋体" w:hAnsi="宋体" w:cs="宋体"/>
                      <w:color w:val="auto"/>
                      <w:szCs w:val="21"/>
                      <w:highlight w:val="none"/>
                    </w:rPr>
                  </w:pPr>
                  <w:r>
                    <w:rPr>
                      <w:rFonts w:hint="eastAsia" w:ascii="宋体" w:hAnsi="宋体" w:cs="宋体"/>
                      <w:color w:val="auto"/>
                      <w:szCs w:val="21"/>
                      <w:highlight w:val="none"/>
                    </w:rPr>
                    <w:t>1、尺寸规格</w:t>
                  </w:r>
                </w:p>
                <w:p w14:paraId="4DCA4018">
                  <w:pPr>
                    <w:jc w:val="left"/>
                    <w:rPr>
                      <w:rFonts w:ascii="宋体" w:hAnsi="宋体" w:cs="宋体"/>
                      <w:color w:val="auto"/>
                      <w:szCs w:val="21"/>
                      <w:highlight w:val="none"/>
                    </w:rPr>
                  </w:pPr>
                  <w:r>
                    <w:rPr>
                      <w:rFonts w:hint="eastAsia" w:ascii="宋体" w:hAnsi="宋体" w:cs="宋体"/>
                      <w:color w:val="auto"/>
                      <w:szCs w:val="21"/>
                      <w:highlight w:val="none"/>
                    </w:rPr>
                    <w:t>Micro SD卡尺寸：长15.0mm×宽11.0mm×厚1.0 mm</w:t>
                  </w:r>
                </w:p>
                <w:p w14:paraId="3F68597B">
                  <w:pPr>
                    <w:jc w:val="left"/>
                    <w:rPr>
                      <w:rFonts w:ascii="宋体" w:hAnsi="宋体" w:cs="宋体"/>
                      <w:color w:val="auto"/>
                      <w:szCs w:val="21"/>
                      <w:highlight w:val="none"/>
                    </w:rPr>
                  </w:pPr>
                  <w:r>
                    <w:rPr>
                      <w:rFonts w:hint="eastAsia" w:ascii="宋体" w:hAnsi="宋体" w:cs="宋体"/>
                      <w:color w:val="auto"/>
                      <w:szCs w:val="21"/>
                      <w:highlight w:val="none"/>
                    </w:rPr>
                    <w:t>2、主要技术性能</w:t>
                  </w:r>
                </w:p>
                <w:p w14:paraId="2D6C9DD8">
                  <w:pPr>
                    <w:jc w:val="left"/>
                    <w:rPr>
                      <w:rFonts w:ascii="宋体" w:hAnsi="宋体" w:cs="宋体"/>
                      <w:color w:val="auto"/>
                      <w:szCs w:val="21"/>
                      <w:highlight w:val="none"/>
                    </w:rPr>
                  </w:pPr>
                  <w:r>
                    <w:rPr>
                      <w:rFonts w:hint="eastAsia" w:ascii="宋体" w:hAnsi="宋体" w:cs="宋体"/>
                      <w:color w:val="auto"/>
                      <w:szCs w:val="21"/>
                      <w:highlight w:val="none"/>
                    </w:rPr>
                    <w:t>（1）配合终端实现双向鉴权功能、序列号同步功能、安全的遥晕/遥毙/复活功能；</w:t>
                  </w:r>
                </w:p>
                <w:p w14:paraId="2673DBBE">
                  <w:pPr>
                    <w:jc w:val="left"/>
                    <w:rPr>
                      <w:rFonts w:ascii="宋体" w:hAnsi="宋体" w:cs="宋体"/>
                      <w:color w:val="auto"/>
                      <w:szCs w:val="21"/>
                      <w:highlight w:val="none"/>
                    </w:rPr>
                  </w:pPr>
                  <w:r>
                    <w:rPr>
                      <w:rFonts w:hint="eastAsia" w:ascii="宋体" w:hAnsi="宋体" w:cs="宋体"/>
                      <w:color w:val="auto"/>
                      <w:szCs w:val="21"/>
                      <w:highlight w:val="none"/>
                    </w:rPr>
                    <w:t>（2）配合终端实现端到端密钥管理和端到端加密功能；</w:t>
                  </w:r>
                </w:p>
                <w:p w14:paraId="05C9EC7B">
                  <w:pPr>
                    <w:jc w:val="left"/>
                    <w:rPr>
                      <w:rFonts w:ascii="宋体" w:hAnsi="宋体" w:cs="宋体"/>
                      <w:color w:val="auto"/>
                      <w:szCs w:val="21"/>
                      <w:highlight w:val="none"/>
                    </w:rPr>
                  </w:pPr>
                  <w:r>
                    <w:rPr>
                      <w:rFonts w:hint="eastAsia" w:ascii="宋体" w:hAnsi="宋体" w:cs="宋体"/>
                      <w:color w:val="auto"/>
                      <w:szCs w:val="21"/>
                      <w:highlight w:val="none"/>
                    </w:rPr>
                    <w:t>（3）使用国家密码管理局认可的商用密码算法，做为专用的安全硬件模块生成、 存储和使用鉴权及端到端加密主密钥；</w:t>
                  </w:r>
                </w:p>
                <w:p w14:paraId="38D0378D">
                  <w:pPr>
                    <w:jc w:val="left"/>
                    <w:rPr>
                      <w:rFonts w:ascii="宋体" w:hAnsi="宋体" w:cs="宋体"/>
                      <w:color w:val="auto"/>
                      <w:szCs w:val="21"/>
                      <w:highlight w:val="none"/>
                    </w:rPr>
                  </w:pPr>
                  <w:r>
                    <w:rPr>
                      <w:rFonts w:hint="eastAsia" w:ascii="宋体" w:hAnsi="宋体" w:cs="宋体"/>
                      <w:color w:val="auto"/>
                      <w:szCs w:val="21"/>
                      <w:highlight w:val="none"/>
                    </w:rPr>
                    <w:t>（4）加密处理性能200Mb/s；</w:t>
                  </w:r>
                </w:p>
                <w:p w14:paraId="2DDF4815">
                  <w:pPr>
                    <w:jc w:val="left"/>
                    <w:rPr>
                      <w:rFonts w:ascii="宋体" w:hAnsi="宋体" w:cs="宋体"/>
                      <w:color w:val="auto"/>
                      <w:szCs w:val="21"/>
                      <w:highlight w:val="none"/>
                    </w:rPr>
                  </w:pPr>
                  <w:r>
                    <w:rPr>
                      <w:rFonts w:hint="eastAsia" w:ascii="宋体" w:hAnsi="宋体" w:cs="宋体"/>
                      <w:color w:val="auto"/>
                      <w:szCs w:val="21"/>
                      <w:highlight w:val="none"/>
                    </w:rPr>
                    <w:t>（5）可支持不少于100个加密通话组；</w:t>
                  </w:r>
                </w:p>
                <w:p w14:paraId="7B372DB7">
                  <w:pPr>
                    <w:jc w:val="left"/>
                    <w:rPr>
                      <w:rFonts w:ascii="宋体" w:hAnsi="宋体" w:cs="宋体"/>
                      <w:color w:val="auto"/>
                      <w:szCs w:val="21"/>
                      <w:highlight w:val="none"/>
                    </w:rPr>
                  </w:pPr>
                  <w:r>
                    <w:rPr>
                      <w:rFonts w:hint="eastAsia" w:ascii="宋体" w:hAnsi="宋体" w:cs="宋体"/>
                      <w:color w:val="auto"/>
                      <w:szCs w:val="21"/>
                      <w:highlight w:val="none"/>
                    </w:rPr>
                    <w:t>（6）接口响应时间不大于30ms。</w:t>
                  </w:r>
                </w:p>
              </w:tc>
              <w:tc>
                <w:tcPr>
                  <w:tcW w:w="863" w:type="dxa"/>
                  <w:tcBorders>
                    <w:top w:val="single" w:color="auto" w:sz="4" w:space="0"/>
                    <w:left w:val="nil"/>
                    <w:bottom w:val="single" w:color="auto" w:sz="4" w:space="0"/>
                    <w:right w:val="single" w:color="auto" w:sz="4" w:space="0"/>
                  </w:tcBorders>
                  <w:noWrap/>
                  <w:vAlign w:val="center"/>
                </w:tcPr>
                <w:p w14:paraId="12FEC18D">
                  <w:pPr>
                    <w:jc w:val="left"/>
                    <w:rPr>
                      <w:rFonts w:ascii="宋体" w:hAnsi="宋体" w:cs="宋体"/>
                      <w:color w:val="auto"/>
                      <w:szCs w:val="21"/>
                      <w:highlight w:val="none"/>
                    </w:rPr>
                  </w:pPr>
                  <w:r>
                    <w:rPr>
                      <w:rFonts w:hint="eastAsia" w:ascii="宋体" w:hAnsi="宋体" w:cs="宋体"/>
                      <w:color w:val="auto"/>
                      <w:szCs w:val="21"/>
                      <w:highlight w:val="none"/>
                    </w:rPr>
                    <w:t>500</w:t>
                  </w:r>
                </w:p>
              </w:tc>
            </w:tr>
          </w:tbl>
          <w:p w14:paraId="6600CFD0">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二、服务要求</w:t>
            </w:r>
          </w:p>
          <w:p w14:paraId="45D870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1、乙方在租赁期内，保证租赁设备的正常使用及日常维护工作。</w:t>
            </w:r>
          </w:p>
          <w:p w14:paraId="110512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2、乙方需在服务期开始前，完成标的设备入网并实现项目所需全部功能，提供经甲方确认的测试报告。</w:t>
            </w:r>
          </w:p>
          <w:p w14:paraId="537AB8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3、乙方次月15日前出具当月的巡检报告，服务期满后一周内，出具租赁总结报告。报告内容应包括：租赁设备运行情况，发生故障及维修的记录(人员、时间、内容、结果)。</w:t>
            </w:r>
          </w:p>
          <w:p w14:paraId="2EE3CC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4、故障分析时间：乙方在设备恢复正常运行后，应对设备的运行情况进行跟踪，并结合故障现场信息对设备故障产生原因进行分析，3日内提交故障分析报告及解决方案。</w:t>
            </w:r>
          </w:p>
          <w:p w14:paraId="0CE9E5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由于乙方可预见的原因，影响或可能影响甲方使用的，应在24小时前通知甲方，并做好应急方案，包括建立运行服务保障应急预案、对可能遇到的问题具有相应的应对措施，在服务期间巡检、故障处理的组织和联系机制等。</w:t>
            </w:r>
          </w:p>
          <w:p w14:paraId="385C35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6、重大节假日、活动前乙方对设备进行事先排查，重大节假日、活动期间现场技术人员进行保障，根据甲方需要增加2名技术人员赴全市各大队、中队进行上门服务保障工作。</w:t>
            </w:r>
          </w:p>
          <w:p w14:paraId="395AED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此项目具有监理，监理的工作职责内容如下：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274C3D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项目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w:t>
            </w:r>
          </w:p>
          <w:p w14:paraId="5F83ABF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乙方建立建全针对本项目相应的管理制度，包括日常管理规章制度、内部岗位责任制度（包括各岗位职责等）、管理运作制度（包括档案管理制度、标准化服务制度等）、考核制度（包括考核机制、激励机制、监督机制等）等。</w:t>
            </w:r>
          </w:p>
          <w:p w14:paraId="6FFB3C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10、培训要求</w:t>
            </w:r>
          </w:p>
          <w:p w14:paraId="3048057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1.培训对象:终端使用人员。培训人数根据甲方要求确定（每个大队指挥室及路面执勤小教员进行设备使用培训，不少于10人次）</w:t>
            </w:r>
          </w:p>
          <w:p w14:paraId="1175EA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2.培训方式及培训时间：理论培训、实践培训和甲方自定义需求培训三个方式。项目租赁期间，至少组织一次培训。</w:t>
            </w:r>
          </w:p>
          <w:p w14:paraId="1E840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3.培训地点：培训地点由项目乙方与甲方共同协商确定。</w:t>
            </w:r>
          </w:p>
          <w:p w14:paraId="5AA7F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4．培训内容：包括PDT数字集群终端设备操作与使用、常见故障处理。所有培训以中文进行，具体以甲方要求为准。</w:t>
            </w:r>
          </w:p>
          <w:p w14:paraId="61496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5．培训师资：由乙方提供1名技术人员或工程师。</w:t>
            </w:r>
          </w:p>
          <w:p w14:paraId="7F853851">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三、质量保证</w:t>
            </w:r>
          </w:p>
          <w:p w14:paraId="76B3AD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乙方须保证所提供设备符合国家有关规定。乙方须保证所提供设备具有合法的版权或使用权，本项目租赁的设备，如在本项目范围内使用过程中出现版权或使用权纠纷或知识产权纠纷，应由乙方负责，甲方不承担责任。</w:t>
            </w:r>
          </w:p>
          <w:p w14:paraId="7FA87A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2）乙方必须保证解决项目所涉及的技术问题，如因技术原因无法满足甲方需求，由此产生的风险由乙方承担。</w:t>
            </w:r>
          </w:p>
          <w:p w14:paraId="46A040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3）乙方在服务期内，如遇软件升级、改版，应提供更新、升级服务。</w:t>
            </w:r>
          </w:p>
          <w:p w14:paraId="412F9F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4）租赁期内确保一周内同台设备不得出现2次及以上的重复故障。如出现第二次，则更换设备。充分保障租赁的设备日常正常使用。</w:t>
            </w:r>
          </w:p>
          <w:p w14:paraId="123FE0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5）乙方应在10个工作日内提交甲方交办的文档资料、监理单位需要乙方配合完成的文档资料等。</w:t>
            </w:r>
          </w:p>
          <w:p w14:paraId="132ADA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乙方在租赁期内应加强管理避免出现由于维护不利而造成租赁设备无法正常使用影响甲方工作的情况；避免出现由于维护人员技术能力不足、工作疏忽、操作不当等自身原因发生重大设备损坏导致影响甲方工作的情况。</w:t>
            </w:r>
          </w:p>
          <w:p w14:paraId="6D576399">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四、服务响应时间</w:t>
            </w:r>
          </w:p>
          <w:p w14:paraId="5E816B46">
            <w:pPr>
              <w:spacing w:line="360" w:lineRule="auto"/>
              <w:ind w:firstLine="482" w:firstLineChars="200"/>
              <w:jc w:val="left"/>
              <w:rPr>
                <w:rFonts w:ascii="宋体" w:hAnsi="宋体" w:cs="宋体"/>
                <w:b/>
                <w:color w:val="auto"/>
                <w:sz w:val="24"/>
                <w:highlight w:val="none"/>
                <w:u w:val="single"/>
              </w:rPr>
            </w:pPr>
            <w:r>
              <w:rPr>
                <w:rFonts w:hint="eastAsia" w:ascii="宋体" w:hAnsi="宋体" w:cs="宋体"/>
                <w:b/>
                <w:color w:val="auto"/>
                <w:sz w:val="24"/>
                <w:highlight w:val="none"/>
                <w:u w:val="single"/>
              </w:rPr>
              <w:t>提供7*24小时响应服务，并保证电话畅通，服务期内乙方必须确保设备的稳定运行，提供完善的运行维保服务。出现故障时，乙方在接到故障申告后，30分钟内响应，4小时以内派技术人员现场检修，并在48小时内修复故障。</w:t>
            </w:r>
          </w:p>
          <w:p w14:paraId="047EBC59">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五、人员要求</w:t>
            </w:r>
          </w:p>
          <w:p w14:paraId="6694606D">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1、配备数量</w:t>
            </w:r>
          </w:p>
          <w:p w14:paraId="23F397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按照实际工作需要，配备1名项目负责人以及1名驻点人员，为本项目提供技术支持及服务。</w:t>
            </w:r>
          </w:p>
          <w:p w14:paraId="287CD142">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2、人员服务时间</w:t>
            </w:r>
          </w:p>
          <w:p w14:paraId="508145F5">
            <w:pPr>
              <w:tabs>
                <w:tab w:val="left" w:pos="432"/>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1）项目负责人服务时间：7*24小时；</w:t>
            </w:r>
          </w:p>
          <w:p w14:paraId="2ABDB3E4">
            <w:pPr>
              <w:tabs>
                <w:tab w:val="left" w:pos="432"/>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驻点人员服务时间：工作日：5*8小时，（上午9：00-12：00；下午12：30-17：30）（除法定节假日）驻点服务（具体时间根据甲方工作要求安排）。驻点人员实施地点：杭州市公安局交通警察支队文晖路336号（具体根据甲方通知为准）。</w:t>
            </w:r>
          </w:p>
          <w:p w14:paraId="28E6039E">
            <w:pPr>
              <w:tabs>
                <w:tab w:val="left" w:pos="432"/>
              </w:tabs>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3、人员配备标准</w:t>
            </w:r>
          </w:p>
          <w:p w14:paraId="21F6FA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项目负责人及驻点人员配备标准：年龄55周岁（含）以下，且均具有大专及以上学历，并具有类似移动终端租赁项目工作经验。</w:t>
            </w:r>
          </w:p>
          <w:p w14:paraId="4A8B05DE">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4、人员工作内容及职责</w:t>
            </w:r>
          </w:p>
          <w:p w14:paraId="718696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负责人主要负责项目整体实施管理及与甲方的沟通协调等工作；技术人员由乙方自行配备，负责维修解决租赁设备的故障，对项目稳定运行提供维护工作；驻点人员负责PDT数字集群终端设备的维护及巡检工作。严禁穿拖鞋、凉鞋或带钉的鞋进入工作区域，操作应保持规范，运维需要的办公用品包含在投标报价中。</w:t>
            </w:r>
          </w:p>
          <w:p w14:paraId="629D4AE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5、其他要求</w:t>
            </w:r>
          </w:p>
          <w:p w14:paraId="150BC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配备固定的项目负责人及驻点人员，合同期内人员不得随意变动，因甲方工作存在即时性和突发性，能够随时响应配合甲方的工作，利于合作的顺利开展；人员如需发生变更，乙方应提前1个月通知甲方，需甲方经办人、审核人对服务人员变更提前进行书面审批，签发人员变更审批单。审批通过后方可更换，更换人员资历不得低于投标时人员资历，且确保任何时候无人员缺位现象发生。</w:t>
            </w:r>
          </w:p>
          <w:p w14:paraId="2211D18D">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w:t>
            </w:r>
            <w:r>
              <w:rPr>
                <w:rFonts w:hint="eastAsia" w:ascii="宋体" w:hAnsi="宋体" w:cs="宋体"/>
                <w:b/>
                <w:color w:val="auto"/>
                <w:sz w:val="24"/>
                <w:highlight w:val="none"/>
              </w:rPr>
              <w:t>网络安全责任和义务</w:t>
            </w:r>
          </w:p>
          <w:p w14:paraId="68E233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1、明确乙方法定代表人为合作事项网络安全第一责任人，具体承担合作事项的部门主要负责人为直接责任人。</w:t>
            </w:r>
          </w:p>
          <w:p w14:paraId="705193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2、乙方不得转包合同任务，未经甲方书面同意不得分包合同任务。</w:t>
            </w:r>
          </w:p>
          <w:p w14:paraId="41ADF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3、乙方应制订与合作事项相关的网络安全保障方案和网络安全事件应急预案。</w:t>
            </w:r>
          </w:p>
          <w:p w14:paraId="6D4418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4、乙方发现网络安全漏洞、缺陷或者其他严重网络安全风险，应及时向甲方报告。</w:t>
            </w:r>
          </w:p>
          <w:p w14:paraId="332F6E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5、处理合作事项的信息平台应当优先采用符合安全可靠测评要求的硬件和软件产品</w:t>
            </w:r>
          </w:p>
          <w:p w14:paraId="726302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6、发生可能影响合作事项的网络安全重大事项，包括负责人及重要工作人员变更、业务转型、合并重组和投资并购等，乙方应提前向甲方报告。</w:t>
            </w:r>
          </w:p>
          <w:p w14:paraId="510F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7、采用社会公共网络平台实施合作事项时，严禁涉及国家秘密和警务工作秘密。</w:t>
            </w:r>
          </w:p>
          <w:p w14:paraId="4C820F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8、乙方应于2026年8月1日前向甲方提交网络安全报告。</w:t>
            </w:r>
          </w:p>
          <w:p w14:paraId="05B34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9、其他应当落实的网络安全责任和义务。</w:t>
            </w:r>
          </w:p>
          <w:p w14:paraId="4F8AC0F4">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七、保密</w:t>
            </w:r>
          </w:p>
          <w:p w14:paraId="1D137848">
            <w:pPr>
              <w:adjustRightInd w:val="0"/>
              <w:snapToGrid w:val="0"/>
              <w:spacing w:after="120" w:line="360" w:lineRule="auto"/>
              <w:ind w:firstLine="482"/>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乙方应当对工作人员开展常态化安全保密教育，组织签订安全保密承诺书，明确具体安全管理内容、安全保密义务和责任；乙方及工作人员违反保密安全管理要求，构成违法犯罪的，甲方将及时报送本级政府采购和市场监督管理部门，提请列入政府采购严重违法失信行为记录名单、市场监督管理严重失信名单，并追究相关责任。</w:t>
            </w:r>
          </w:p>
          <w:p w14:paraId="0866EEBF">
            <w:pPr>
              <w:adjustRightInd w:val="0"/>
              <w:snapToGrid w:val="0"/>
              <w:spacing w:after="120" w:line="360" w:lineRule="auto"/>
              <w:ind w:firstLine="482"/>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乙方须严格按照甲方规定使用、存储、处理文档资料和数据。合同终止时，应当交还全部资料和数据。</w:t>
            </w:r>
          </w:p>
          <w:p w14:paraId="6FF1FE13">
            <w:pPr>
              <w:spacing w:line="360" w:lineRule="auto"/>
              <w:ind w:firstLine="480" w:firstLineChars="200"/>
              <w:jc w:val="left"/>
              <w:outlineLvl w:val="2"/>
              <w:rPr>
                <w:rFonts w:ascii="宋体" w:hAnsi="宋体" w:cs="宋体"/>
                <w:b/>
                <w:color w:val="auto"/>
                <w:sz w:val="24"/>
                <w:highlight w:val="none"/>
                <w:u w:val="single"/>
              </w:rPr>
            </w:pPr>
            <w:r>
              <w:rPr>
                <w:rFonts w:hint="eastAsia" w:ascii="宋体" w:hAnsi="宋体" w:cs="宋体"/>
                <w:color w:val="auto"/>
                <w:kern w:val="0"/>
                <w:sz w:val="24"/>
                <w:szCs w:val="20"/>
                <w:highlight w:val="none"/>
              </w:rPr>
              <w:t>乙方需与甲方签署保密协议，乙方对在项目实施期间所获得的甲方的情报和资料有保密义务（包括但不限于合同履约期内），泄漏秘密应承担相应的责任。如有违反，按合同的违约条款向甲方支付违约金，造成甲方损失的应予赔偿，涉嫌违法或犯罪的依法追究法律责任。</w:t>
            </w:r>
          </w:p>
          <w:p w14:paraId="024B4B83">
            <w:pPr>
              <w:spacing w:line="360" w:lineRule="auto"/>
              <w:ind w:left="241"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若项目涉及分包的，乙方须按照以上保密要求，与分包</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签订单位保密协议、个人保密承诺书、开展日常保密教育等措施，确保分包</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严格落实各项保密规定，并与分包乙方承担连带责任。</w:t>
            </w:r>
          </w:p>
          <w:p w14:paraId="74AEBB50">
            <w:pPr>
              <w:spacing w:line="360" w:lineRule="auto"/>
              <w:ind w:left="241" w:firstLine="482" w:firstLineChars="200"/>
              <w:jc w:val="left"/>
              <w:rPr>
                <w:rFonts w:ascii="宋体" w:hAnsi="宋体" w:cs="宋体"/>
                <w:color w:val="auto"/>
                <w:highlight w:val="none"/>
              </w:rPr>
            </w:pPr>
            <w:r>
              <w:rPr>
                <w:rFonts w:hint="eastAsia" w:ascii="宋体" w:hAnsi="宋体" w:cs="宋体"/>
                <w:b/>
                <w:color w:val="auto"/>
                <w:sz w:val="24"/>
                <w:highlight w:val="none"/>
                <w:u w:val="single"/>
              </w:rPr>
              <w:t>乙方所有人员的事故和乙方或乙方派遣人员工作过错造成的安全管理事故，乙方自行负全部责任及相关费用。</w:t>
            </w:r>
          </w:p>
        </w:tc>
      </w:tr>
    </w:tbl>
    <w:p w14:paraId="267E82C3">
      <w:pPr>
        <w:spacing w:line="360" w:lineRule="auto"/>
        <w:ind w:left="-420" w:leftChars="-200" w:right="-420" w:rightChars="-200" w:firstLine="480" w:firstLineChars="200"/>
        <w:outlineLvl w:val="0"/>
        <w:rPr>
          <w:rFonts w:ascii="宋体" w:hAnsi="宋体" w:cs="宋体"/>
          <w:color w:val="auto"/>
          <w:sz w:val="24"/>
          <w:highlight w:val="none"/>
        </w:rPr>
      </w:pPr>
    </w:p>
    <w:p w14:paraId="1A77BC6F">
      <w:pPr>
        <w:adjustRightInd w:val="0"/>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附件一考核：</w:t>
      </w:r>
    </w:p>
    <w:p w14:paraId="16F7E1E9">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乙方履行对服务全流程服务内容及其相关的服务项目，甲方负责乙方的管理指导、验收考核等职责，督促其履行合同。</w:t>
      </w:r>
    </w:p>
    <w:p w14:paraId="525FC409">
      <w:pPr>
        <w:adjustRightInd w:val="0"/>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本考核以月为考核周期，采用百分制计分方式，甲方根据逐条考核事项及对应扣分对乙方（人员）进行计分。乙方每被扣1分，扣除违约金</w:t>
      </w:r>
      <w:r>
        <w:rPr>
          <w:rFonts w:hint="eastAsia" w:ascii="宋体" w:hAnsi="宋体" w:cs="宋体"/>
          <w:color w:val="auto"/>
          <w:sz w:val="24"/>
          <w:highlight w:val="none"/>
          <w:u w:val="single"/>
        </w:rPr>
        <w:t>1000</w:t>
      </w:r>
      <w:r>
        <w:rPr>
          <w:rFonts w:hint="eastAsia" w:ascii="宋体" w:hAnsi="宋体" w:cs="宋体"/>
          <w:color w:val="auto"/>
          <w:sz w:val="24"/>
          <w:highlight w:val="none"/>
          <w:u w:val="single"/>
          <w:lang w:val="zh-CN"/>
        </w:rPr>
        <w:t>元，违约金在结算合同尾款时扣除。考核分值高于90分（含90分）视为合格，90分以下视为不合格；如乙方经甲方考评连续两次均为不合格，甲方有权无条件终止合同,并没收乙方全部履约保证金，如给甲方造成损失的有权向乙方提出索赔。</w:t>
      </w:r>
    </w:p>
    <w:p w14:paraId="40DCBA85">
      <w:pPr>
        <w:spacing w:before="120"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每月考核表（202  年  月）</w:t>
      </w:r>
    </w:p>
    <w:tbl>
      <w:tblPr>
        <w:tblStyle w:val="6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01"/>
        <w:gridCol w:w="2105"/>
        <w:gridCol w:w="2431"/>
        <w:gridCol w:w="1860"/>
        <w:gridCol w:w="755"/>
      </w:tblGrid>
      <w:tr w14:paraId="3F9B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pct"/>
            <w:gridSpan w:val="2"/>
            <w:vAlign w:val="center"/>
          </w:tcPr>
          <w:p w14:paraId="2190E2C2">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中标单位：</w:t>
            </w:r>
          </w:p>
        </w:tc>
        <w:tc>
          <w:tcPr>
            <w:tcW w:w="1137" w:type="pct"/>
            <w:vAlign w:val="center"/>
          </w:tcPr>
          <w:p w14:paraId="238B4CC8">
            <w:pPr>
              <w:adjustRightInd w:val="0"/>
              <w:snapToGrid w:val="0"/>
              <w:spacing w:line="360" w:lineRule="auto"/>
              <w:jc w:val="center"/>
              <w:rPr>
                <w:rFonts w:ascii="宋体" w:hAnsi="宋体" w:cs="宋体"/>
                <w:color w:val="auto"/>
                <w:sz w:val="24"/>
                <w:highlight w:val="none"/>
              </w:rPr>
            </w:pPr>
          </w:p>
        </w:tc>
        <w:tc>
          <w:tcPr>
            <w:tcW w:w="1313" w:type="pct"/>
            <w:vAlign w:val="center"/>
          </w:tcPr>
          <w:p w14:paraId="47EB5893">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考核月份：</w:t>
            </w:r>
          </w:p>
        </w:tc>
        <w:tc>
          <w:tcPr>
            <w:tcW w:w="1413" w:type="pct"/>
            <w:gridSpan w:val="2"/>
            <w:vAlign w:val="center"/>
          </w:tcPr>
          <w:p w14:paraId="1B6BAD33">
            <w:pPr>
              <w:adjustRightInd w:val="0"/>
              <w:snapToGrid w:val="0"/>
              <w:spacing w:line="360" w:lineRule="auto"/>
              <w:jc w:val="center"/>
              <w:rPr>
                <w:rFonts w:ascii="宋体" w:hAnsi="宋体" w:cs="宋体"/>
                <w:color w:val="auto"/>
                <w:sz w:val="24"/>
                <w:highlight w:val="none"/>
              </w:rPr>
            </w:pPr>
          </w:p>
        </w:tc>
      </w:tr>
      <w:tr w14:paraId="4591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32FDB66D">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153" w:type="pct"/>
            <w:gridSpan w:val="3"/>
            <w:tcBorders>
              <w:left w:val="single" w:color="auto" w:sz="4" w:space="0"/>
            </w:tcBorders>
            <w:vAlign w:val="center"/>
          </w:tcPr>
          <w:p w14:paraId="496EBEFE">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考核内容</w:t>
            </w:r>
          </w:p>
        </w:tc>
        <w:tc>
          <w:tcPr>
            <w:tcW w:w="1005" w:type="pct"/>
            <w:tcBorders>
              <w:left w:val="single" w:color="auto" w:sz="4" w:space="0"/>
            </w:tcBorders>
            <w:vAlign w:val="center"/>
          </w:tcPr>
          <w:p w14:paraId="169F3B2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考核扣分</w:t>
            </w:r>
          </w:p>
        </w:tc>
        <w:tc>
          <w:tcPr>
            <w:tcW w:w="408" w:type="pct"/>
            <w:tcBorders>
              <w:left w:val="single" w:color="auto" w:sz="4" w:space="0"/>
            </w:tcBorders>
            <w:vAlign w:val="center"/>
          </w:tcPr>
          <w:p w14:paraId="25A0857F">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536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34" w:type="pct"/>
            <w:vAlign w:val="center"/>
          </w:tcPr>
          <w:p w14:paraId="20540FF2">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153" w:type="pct"/>
            <w:gridSpan w:val="3"/>
            <w:tcBorders>
              <w:left w:val="single" w:color="auto" w:sz="4" w:space="0"/>
            </w:tcBorders>
            <w:vAlign w:val="center"/>
          </w:tcPr>
          <w:p w14:paraId="00457AFB">
            <w:pPr>
              <w:adjustRightInd w:val="0"/>
              <w:snapToGrid w:val="0"/>
              <w:spacing w:line="276" w:lineRule="auto"/>
              <w:rPr>
                <w:rFonts w:ascii="宋体" w:hAnsi="宋体" w:cs="宋体"/>
                <w:color w:val="auto"/>
                <w:sz w:val="24"/>
                <w:highlight w:val="none"/>
              </w:rPr>
            </w:pPr>
            <w:r>
              <w:rPr>
                <w:rFonts w:hint="eastAsia" w:ascii="宋体" w:hAnsi="宋体" w:cs="宋体"/>
                <w:color w:val="auto"/>
                <w:kern w:val="0"/>
                <w:sz w:val="24"/>
                <w:highlight w:val="none"/>
              </w:rPr>
              <w:t>租用的设备不满足采购需求或与投标承诺不符的，每发生一次扣5分。</w:t>
            </w:r>
          </w:p>
        </w:tc>
        <w:tc>
          <w:tcPr>
            <w:tcW w:w="1005" w:type="pct"/>
            <w:tcBorders>
              <w:left w:val="single" w:color="auto" w:sz="4" w:space="0"/>
            </w:tcBorders>
            <w:vAlign w:val="center"/>
          </w:tcPr>
          <w:p w14:paraId="2C562F4D">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34C0995C">
            <w:pPr>
              <w:adjustRightInd w:val="0"/>
              <w:snapToGrid w:val="0"/>
              <w:spacing w:line="360" w:lineRule="auto"/>
              <w:rPr>
                <w:rFonts w:ascii="宋体" w:hAnsi="宋体" w:cs="宋体"/>
                <w:color w:val="auto"/>
                <w:sz w:val="24"/>
                <w:highlight w:val="none"/>
              </w:rPr>
            </w:pPr>
          </w:p>
        </w:tc>
      </w:tr>
      <w:tr w14:paraId="5873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34" w:type="pct"/>
            <w:vAlign w:val="center"/>
          </w:tcPr>
          <w:p w14:paraId="2419952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153" w:type="pct"/>
            <w:gridSpan w:val="3"/>
            <w:tcBorders>
              <w:left w:val="single" w:color="auto" w:sz="4" w:space="0"/>
            </w:tcBorders>
            <w:vAlign w:val="center"/>
          </w:tcPr>
          <w:p w14:paraId="33ED4D22">
            <w:pPr>
              <w:jc w:val="left"/>
              <w:rPr>
                <w:rFonts w:ascii="宋体" w:hAnsi="宋体" w:cs="宋体"/>
                <w:color w:val="auto"/>
                <w:sz w:val="24"/>
                <w:highlight w:val="none"/>
              </w:rPr>
            </w:pPr>
            <w:r>
              <w:rPr>
                <w:rFonts w:hint="eastAsia" w:ascii="宋体" w:hAnsi="宋体" w:cs="宋体"/>
                <w:color w:val="auto"/>
                <w:sz w:val="24"/>
                <w:highlight w:val="none"/>
              </w:rPr>
              <w:t>出现故障时，未在接到故障申告后30分钟内响应，未在4小时以内派技术人员现场检修，未在48小时内修复故障的，每发生一次扣2分。</w:t>
            </w:r>
          </w:p>
        </w:tc>
        <w:tc>
          <w:tcPr>
            <w:tcW w:w="1005" w:type="pct"/>
            <w:tcBorders>
              <w:left w:val="single" w:color="auto" w:sz="4" w:space="0"/>
            </w:tcBorders>
            <w:vAlign w:val="center"/>
          </w:tcPr>
          <w:p w14:paraId="4F5B74F7">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81B46EE">
            <w:pPr>
              <w:adjustRightInd w:val="0"/>
              <w:snapToGrid w:val="0"/>
              <w:spacing w:line="360" w:lineRule="auto"/>
              <w:rPr>
                <w:rFonts w:ascii="宋体" w:hAnsi="宋体" w:cs="宋体"/>
                <w:color w:val="auto"/>
                <w:sz w:val="24"/>
                <w:highlight w:val="none"/>
              </w:rPr>
            </w:pPr>
          </w:p>
        </w:tc>
      </w:tr>
      <w:tr w14:paraId="156C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4" w:type="pct"/>
            <w:vAlign w:val="center"/>
          </w:tcPr>
          <w:p w14:paraId="532C2D80">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153" w:type="pct"/>
            <w:gridSpan w:val="3"/>
            <w:tcBorders>
              <w:left w:val="single" w:color="auto" w:sz="4" w:space="0"/>
            </w:tcBorders>
            <w:vAlign w:val="center"/>
          </w:tcPr>
          <w:p w14:paraId="25EF95C8">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租赁期内的一周内同台设备出现2次及以上的重复故障未进行更换的，每发生一次扣2分。</w:t>
            </w:r>
          </w:p>
        </w:tc>
        <w:tc>
          <w:tcPr>
            <w:tcW w:w="1005" w:type="pct"/>
            <w:tcBorders>
              <w:left w:val="single" w:color="auto" w:sz="4" w:space="0"/>
            </w:tcBorders>
            <w:vAlign w:val="center"/>
          </w:tcPr>
          <w:p w14:paraId="484623A0">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0792C943">
            <w:pPr>
              <w:adjustRightInd w:val="0"/>
              <w:snapToGrid w:val="0"/>
              <w:spacing w:line="360" w:lineRule="auto"/>
              <w:rPr>
                <w:rFonts w:ascii="宋体" w:hAnsi="宋体" w:cs="宋体"/>
                <w:color w:val="auto"/>
                <w:sz w:val="24"/>
                <w:highlight w:val="none"/>
              </w:rPr>
            </w:pPr>
          </w:p>
        </w:tc>
      </w:tr>
      <w:tr w14:paraId="55C7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34" w:type="pct"/>
            <w:vAlign w:val="center"/>
          </w:tcPr>
          <w:p w14:paraId="6F28C16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153" w:type="pct"/>
            <w:gridSpan w:val="3"/>
            <w:tcBorders>
              <w:left w:val="single" w:color="auto" w:sz="4" w:space="0"/>
            </w:tcBorders>
            <w:vAlign w:val="center"/>
          </w:tcPr>
          <w:p w14:paraId="082E4BAF">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出现由于维护不利而造成租赁设备无法正常使用影响甲方工作的情况或出现由于维护人员技术能力不足、工作疏忽、操作不当等自身原因发生重大设备损坏导致影响甲方工作的情况，每发生一次扣5分。</w:t>
            </w:r>
          </w:p>
        </w:tc>
        <w:tc>
          <w:tcPr>
            <w:tcW w:w="1005" w:type="pct"/>
            <w:tcBorders>
              <w:left w:val="single" w:color="auto" w:sz="4" w:space="0"/>
            </w:tcBorders>
            <w:vAlign w:val="center"/>
          </w:tcPr>
          <w:p w14:paraId="5D984E25">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0A9AE9AB">
            <w:pPr>
              <w:adjustRightInd w:val="0"/>
              <w:snapToGrid w:val="0"/>
              <w:spacing w:line="360" w:lineRule="auto"/>
              <w:rPr>
                <w:rFonts w:ascii="宋体" w:hAnsi="宋体" w:cs="宋体"/>
                <w:color w:val="auto"/>
                <w:sz w:val="24"/>
                <w:highlight w:val="none"/>
              </w:rPr>
            </w:pPr>
          </w:p>
        </w:tc>
      </w:tr>
      <w:tr w14:paraId="2B25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34" w:type="pct"/>
            <w:vAlign w:val="center"/>
          </w:tcPr>
          <w:p w14:paraId="2EF74B8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153" w:type="pct"/>
            <w:gridSpan w:val="3"/>
            <w:tcBorders>
              <w:left w:val="single" w:color="auto" w:sz="4" w:space="0"/>
            </w:tcBorders>
            <w:vAlign w:val="center"/>
          </w:tcPr>
          <w:p w14:paraId="03E48F24">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未及时提交文档资料的，每发生一次扣1分。</w:t>
            </w:r>
          </w:p>
        </w:tc>
        <w:tc>
          <w:tcPr>
            <w:tcW w:w="1005" w:type="pct"/>
            <w:tcBorders>
              <w:left w:val="single" w:color="auto" w:sz="4" w:space="0"/>
            </w:tcBorders>
            <w:vAlign w:val="center"/>
          </w:tcPr>
          <w:p w14:paraId="4F2FA8D1">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ECF1625">
            <w:pPr>
              <w:adjustRightInd w:val="0"/>
              <w:snapToGrid w:val="0"/>
              <w:spacing w:line="360" w:lineRule="auto"/>
              <w:rPr>
                <w:rFonts w:ascii="宋体" w:hAnsi="宋体" w:cs="宋体"/>
                <w:color w:val="auto"/>
                <w:sz w:val="24"/>
                <w:highlight w:val="none"/>
              </w:rPr>
            </w:pPr>
          </w:p>
        </w:tc>
      </w:tr>
      <w:tr w14:paraId="385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434" w:type="pct"/>
            <w:vAlign w:val="center"/>
          </w:tcPr>
          <w:p w14:paraId="4DEBE14F">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3153" w:type="pct"/>
            <w:gridSpan w:val="3"/>
            <w:tcBorders>
              <w:left w:val="single" w:color="auto" w:sz="4" w:space="0"/>
            </w:tcBorders>
            <w:vAlign w:val="center"/>
          </w:tcPr>
          <w:p w14:paraId="0B61A3C2">
            <w:pPr>
              <w:adjustRightInd w:val="0"/>
              <w:snapToGrid w:val="0"/>
              <w:spacing w:line="276" w:lineRule="auto"/>
              <w:rPr>
                <w:rFonts w:ascii="宋体" w:hAnsi="宋体" w:cs="宋体"/>
                <w:color w:val="auto"/>
                <w:kern w:val="0"/>
                <w:sz w:val="24"/>
                <w:highlight w:val="none"/>
              </w:rPr>
            </w:pPr>
            <w:r>
              <w:rPr>
                <w:rFonts w:hint="eastAsia" w:ascii="宋体" w:hAnsi="宋体" w:cs="宋体"/>
                <w:color w:val="auto"/>
                <w:sz w:val="24"/>
                <w:highlight w:val="none"/>
              </w:rPr>
              <w:t>未按要求巡检的，每发生一次，扣3分。</w:t>
            </w:r>
          </w:p>
        </w:tc>
        <w:tc>
          <w:tcPr>
            <w:tcW w:w="1005" w:type="pct"/>
            <w:tcBorders>
              <w:left w:val="single" w:color="auto" w:sz="4" w:space="0"/>
            </w:tcBorders>
            <w:vAlign w:val="center"/>
          </w:tcPr>
          <w:p w14:paraId="6F7D946C">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260AB25">
            <w:pPr>
              <w:adjustRightInd w:val="0"/>
              <w:snapToGrid w:val="0"/>
              <w:spacing w:line="360" w:lineRule="auto"/>
              <w:rPr>
                <w:rFonts w:ascii="宋体" w:hAnsi="宋体" w:cs="宋体"/>
                <w:color w:val="auto"/>
                <w:sz w:val="24"/>
                <w:highlight w:val="none"/>
              </w:rPr>
            </w:pPr>
          </w:p>
        </w:tc>
      </w:tr>
      <w:tr w14:paraId="54EA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4" w:type="pct"/>
            <w:vAlign w:val="center"/>
          </w:tcPr>
          <w:p w14:paraId="0BF61B0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3153" w:type="pct"/>
            <w:gridSpan w:val="3"/>
            <w:tcBorders>
              <w:left w:val="single" w:color="auto" w:sz="4" w:space="0"/>
            </w:tcBorders>
            <w:vAlign w:val="center"/>
          </w:tcPr>
          <w:p w14:paraId="06CB54DD">
            <w:pPr>
              <w:adjustRightInd w:val="0"/>
              <w:snapToGrid w:val="0"/>
              <w:spacing w:line="276" w:lineRule="auto"/>
              <w:rPr>
                <w:rFonts w:ascii="宋体" w:hAnsi="宋体" w:cs="宋体"/>
                <w:color w:val="auto"/>
                <w:sz w:val="24"/>
                <w:highlight w:val="none"/>
              </w:rPr>
            </w:pPr>
            <w:r>
              <w:rPr>
                <w:rFonts w:hint="eastAsia" w:ascii="宋体" w:hAnsi="宋体" w:cs="宋体"/>
                <w:color w:val="auto"/>
                <w:sz w:val="24"/>
                <w:highlight w:val="none"/>
              </w:rPr>
              <w:t>租赁期内未提供7*24小时响应服务的，每发生一次，扣1分；本项最高扣3分。</w:t>
            </w:r>
          </w:p>
        </w:tc>
        <w:tc>
          <w:tcPr>
            <w:tcW w:w="1005" w:type="pct"/>
            <w:tcBorders>
              <w:left w:val="single" w:color="auto" w:sz="4" w:space="0"/>
            </w:tcBorders>
            <w:vAlign w:val="center"/>
          </w:tcPr>
          <w:p w14:paraId="685686EA">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49CFF103">
            <w:pPr>
              <w:adjustRightInd w:val="0"/>
              <w:snapToGrid w:val="0"/>
              <w:spacing w:line="360" w:lineRule="auto"/>
              <w:rPr>
                <w:rFonts w:ascii="宋体" w:hAnsi="宋体" w:cs="宋体"/>
                <w:color w:val="auto"/>
                <w:sz w:val="24"/>
                <w:highlight w:val="none"/>
              </w:rPr>
            </w:pPr>
          </w:p>
        </w:tc>
      </w:tr>
      <w:tr w14:paraId="38D5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 w:type="pct"/>
            <w:vAlign w:val="center"/>
          </w:tcPr>
          <w:p w14:paraId="5C2ECABB">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3153" w:type="pct"/>
            <w:gridSpan w:val="3"/>
            <w:tcBorders>
              <w:left w:val="single" w:color="auto" w:sz="4" w:space="0"/>
            </w:tcBorders>
            <w:vAlign w:val="center"/>
          </w:tcPr>
          <w:p w14:paraId="6A009B61">
            <w:pPr>
              <w:adjustRightInd w:val="0"/>
              <w:snapToGrid w:val="0"/>
              <w:spacing w:line="276" w:lineRule="auto"/>
              <w:rPr>
                <w:rFonts w:ascii="宋体" w:hAnsi="宋体" w:cs="宋体"/>
                <w:color w:val="auto"/>
                <w:sz w:val="24"/>
                <w:highlight w:val="none"/>
              </w:rPr>
            </w:pPr>
            <w:r>
              <w:rPr>
                <w:rFonts w:hint="eastAsia" w:ascii="宋体" w:hAnsi="宋体" w:cs="宋体"/>
                <w:snapToGrid w:val="0"/>
                <w:color w:val="auto"/>
                <w:kern w:val="28"/>
                <w:sz w:val="24"/>
                <w:highlight w:val="none"/>
                <w:lang w:val="zh-CN"/>
              </w:rPr>
              <w:t>未按</w:t>
            </w:r>
            <w:r>
              <w:rPr>
                <w:rFonts w:hint="eastAsia" w:ascii="宋体" w:hAnsi="宋体" w:cs="宋体"/>
                <w:snapToGrid w:val="0"/>
                <w:color w:val="auto"/>
                <w:kern w:val="28"/>
                <w:sz w:val="24"/>
                <w:highlight w:val="none"/>
              </w:rPr>
              <w:t>合同</w:t>
            </w:r>
            <w:r>
              <w:rPr>
                <w:rFonts w:hint="eastAsia" w:ascii="宋体" w:hAnsi="宋体" w:cs="宋体"/>
                <w:snapToGrid w:val="0"/>
                <w:color w:val="auto"/>
                <w:kern w:val="28"/>
                <w:sz w:val="24"/>
                <w:highlight w:val="none"/>
                <w:lang w:val="zh-CN"/>
              </w:rPr>
              <w:t>提供项目组人员，数量或资质不符合要求的，每出现一次扣1分。</w:t>
            </w:r>
          </w:p>
        </w:tc>
        <w:tc>
          <w:tcPr>
            <w:tcW w:w="1005" w:type="pct"/>
            <w:tcBorders>
              <w:left w:val="single" w:color="auto" w:sz="4" w:space="0"/>
            </w:tcBorders>
            <w:vAlign w:val="center"/>
          </w:tcPr>
          <w:p w14:paraId="73507C91">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A03FA1E">
            <w:pPr>
              <w:adjustRightInd w:val="0"/>
              <w:snapToGrid w:val="0"/>
              <w:spacing w:line="360" w:lineRule="auto"/>
              <w:rPr>
                <w:rFonts w:ascii="宋体" w:hAnsi="宋体" w:cs="宋体"/>
                <w:color w:val="auto"/>
                <w:sz w:val="24"/>
                <w:highlight w:val="none"/>
              </w:rPr>
            </w:pPr>
          </w:p>
        </w:tc>
      </w:tr>
      <w:tr w14:paraId="060B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vAlign w:val="center"/>
          </w:tcPr>
          <w:p w14:paraId="2EAC472F">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153" w:type="pct"/>
            <w:gridSpan w:val="3"/>
            <w:tcBorders>
              <w:left w:val="single" w:color="auto" w:sz="4" w:space="0"/>
            </w:tcBorders>
            <w:vAlign w:val="center"/>
          </w:tcPr>
          <w:p w14:paraId="058977D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未及时提交故障分析说明、故障分析报告及解决方案的，每发生一次扣1分。</w:t>
            </w:r>
          </w:p>
        </w:tc>
        <w:tc>
          <w:tcPr>
            <w:tcW w:w="1005" w:type="pct"/>
            <w:tcBorders>
              <w:left w:val="single" w:color="auto" w:sz="4" w:space="0"/>
            </w:tcBorders>
            <w:vAlign w:val="center"/>
          </w:tcPr>
          <w:p w14:paraId="15BA0B63">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2D1D9D8">
            <w:pPr>
              <w:adjustRightInd w:val="0"/>
              <w:snapToGrid w:val="0"/>
              <w:spacing w:line="360" w:lineRule="auto"/>
              <w:rPr>
                <w:rFonts w:ascii="宋体" w:hAnsi="宋体" w:cs="宋体"/>
                <w:color w:val="auto"/>
                <w:sz w:val="24"/>
                <w:highlight w:val="none"/>
              </w:rPr>
            </w:pPr>
          </w:p>
        </w:tc>
      </w:tr>
      <w:tr w14:paraId="0735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34" w:type="pct"/>
            <w:vAlign w:val="center"/>
          </w:tcPr>
          <w:p w14:paraId="3A6E6BE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153" w:type="pct"/>
            <w:gridSpan w:val="3"/>
            <w:tcBorders>
              <w:left w:val="single" w:color="auto" w:sz="4" w:space="0"/>
            </w:tcBorders>
            <w:vAlign w:val="center"/>
          </w:tcPr>
          <w:p w14:paraId="4D27DF82">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其他工作未满足甲方要求的，每发生一次扣1分。</w:t>
            </w:r>
          </w:p>
        </w:tc>
        <w:tc>
          <w:tcPr>
            <w:tcW w:w="1005" w:type="pct"/>
            <w:tcBorders>
              <w:left w:val="single" w:color="auto" w:sz="4" w:space="0"/>
            </w:tcBorders>
            <w:vAlign w:val="center"/>
          </w:tcPr>
          <w:p w14:paraId="75B1D15B">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0891AB5A">
            <w:pPr>
              <w:adjustRightInd w:val="0"/>
              <w:snapToGrid w:val="0"/>
              <w:spacing w:line="360" w:lineRule="auto"/>
              <w:rPr>
                <w:rFonts w:ascii="宋体" w:hAnsi="宋体" w:cs="宋体"/>
                <w:color w:val="auto"/>
                <w:sz w:val="24"/>
                <w:highlight w:val="none"/>
              </w:rPr>
            </w:pPr>
          </w:p>
        </w:tc>
      </w:tr>
      <w:tr w14:paraId="6233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4" w:type="pct"/>
            <w:vAlign w:val="center"/>
          </w:tcPr>
          <w:p w14:paraId="29E1B7D9">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3153" w:type="pct"/>
            <w:gridSpan w:val="3"/>
            <w:tcBorders>
              <w:left w:val="single" w:color="auto" w:sz="4" w:space="0"/>
            </w:tcBorders>
            <w:vAlign w:val="center"/>
          </w:tcPr>
          <w:p w14:paraId="78FF884E">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iCs/>
                <w:color w:val="auto"/>
                <w:sz w:val="24"/>
                <w:highlight w:val="none"/>
              </w:rPr>
              <w:t>未按</w:t>
            </w:r>
            <w:r>
              <w:rPr>
                <w:rFonts w:hint="eastAsia" w:ascii="宋体" w:hAnsi="宋体" w:cs="宋体"/>
                <w:color w:val="auto"/>
                <w:sz w:val="24"/>
                <w:highlight w:val="none"/>
              </w:rPr>
              <w:t>网络安全履行责任和义务的，每发生一次扣除</w:t>
            </w:r>
            <w:r>
              <w:rPr>
                <w:rFonts w:hint="eastAsia" w:ascii="宋体" w:hAnsi="宋体" w:cs="宋体"/>
                <w:iCs/>
                <w:color w:val="auto"/>
                <w:sz w:val="24"/>
                <w:highlight w:val="none"/>
              </w:rPr>
              <w:t>违约金10000</w:t>
            </w:r>
            <w:r>
              <w:rPr>
                <w:rFonts w:hint="eastAsia" w:ascii="宋体" w:hAnsi="宋体" w:cs="宋体"/>
                <w:color w:val="auto"/>
                <w:sz w:val="24"/>
                <w:highlight w:val="none"/>
              </w:rPr>
              <w:t>元。</w:t>
            </w:r>
          </w:p>
        </w:tc>
        <w:tc>
          <w:tcPr>
            <w:tcW w:w="1005" w:type="pct"/>
            <w:tcBorders>
              <w:left w:val="single" w:color="auto" w:sz="4" w:space="0"/>
            </w:tcBorders>
            <w:vAlign w:val="center"/>
          </w:tcPr>
          <w:p w14:paraId="34891603">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69FCF233">
            <w:pPr>
              <w:adjustRightInd w:val="0"/>
              <w:snapToGrid w:val="0"/>
              <w:spacing w:line="360" w:lineRule="auto"/>
              <w:rPr>
                <w:rFonts w:ascii="宋体" w:hAnsi="宋体" w:cs="宋体"/>
                <w:color w:val="auto"/>
                <w:sz w:val="24"/>
                <w:highlight w:val="none"/>
              </w:rPr>
            </w:pPr>
          </w:p>
        </w:tc>
      </w:tr>
      <w:tr w14:paraId="7C24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34" w:type="pct"/>
            <w:vAlign w:val="center"/>
          </w:tcPr>
          <w:p w14:paraId="2D702C27">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3153" w:type="pct"/>
            <w:gridSpan w:val="3"/>
            <w:tcBorders>
              <w:left w:val="single" w:color="auto" w:sz="4" w:space="0"/>
            </w:tcBorders>
            <w:vAlign w:val="center"/>
          </w:tcPr>
          <w:p w14:paraId="63184D1B">
            <w:pPr>
              <w:widowControl/>
              <w:adjustRightInd w:val="0"/>
              <w:snapToGrid w:val="0"/>
              <w:jc w:val="left"/>
              <w:textAlignment w:val="center"/>
              <w:rPr>
                <w:rFonts w:ascii="宋体" w:hAnsi="宋体" w:cs="宋体"/>
                <w:color w:val="auto"/>
                <w:sz w:val="24"/>
                <w:highlight w:val="none"/>
              </w:rPr>
            </w:pPr>
            <w:r>
              <w:rPr>
                <w:rFonts w:hint="eastAsia" w:ascii="宋体" w:hAnsi="宋体" w:cs="宋体"/>
                <w:color w:val="auto"/>
                <w:sz w:val="24"/>
                <w:highlight w:val="none"/>
              </w:rPr>
              <w:t>未按保密管理条款规定执行的，每发现一次处违约金10000元，如发生泄密事件，除赔偿甲方损失外，还应承担全部法律责任。</w:t>
            </w:r>
          </w:p>
        </w:tc>
        <w:tc>
          <w:tcPr>
            <w:tcW w:w="1005" w:type="pct"/>
            <w:tcBorders>
              <w:left w:val="single" w:color="auto" w:sz="4" w:space="0"/>
            </w:tcBorders>
            <w:vAlign w:val="center"/>
          </w:tcPr>
          <w:p w14:paraId="4F992095">
            <w:pPr>
              <w:adjustRightInd w:val="0"/>
              <w:snapToGrid w:val="0"/>
              <w:spacing w:line="360" w:lineRule="auto"/>
              <w:rPr>
                <w:rFonts w:ascii="宋体" w:hAnsi="宋体" w:cs="宋体"/>
                <w:color w:val="auto"/>
                <w:sz w:val="24"/>
                <w:highlight w:val="none"/>
              </w:rPr>
            </w:pPr>
          </w:p>
        </w:tc>
        <w:tc>
          <w:tcPr>
            <w:tcW w:w="408" w:type="pct"/>
            <w:tcBorders>
              <w:left w:val="single" w:color="auto" w:sz="4" w:space="0"/>
            </w:tcBorders>
            <w:vAlign w:val="center"/>
          </w:tcPr>
          <w:p w14:paraId="40E2AADA">
            <w:pPr>
              <w:adjustRightInd w:val="0"/>
              <w:snapToGrid w:val="0"/>
              <w:spacing w:line="360" w:lineRule="auto"/>
              <w:rPr>
                <w:rFonts w:ascii="宋体" w:hAnsi="宋体" w:cs="宋体"/>
                <w:color w:val="auto"/>
                <w:sz w:val="24"/>
                <w:highlight w:val="none"/>
              </w:rPr>
            </w:pPr>
          </w:p>
        </w:tc>
      </w:tr>
      <w:tr w14:paraId="69F7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7" w:type="pct"/>
            <w:gridSpan w:val="4"/>
            <w:vAlign w:val="center"/>
          </w:tcPr>
          <w:p w14:paraId="5B98BCC0">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考核分小计</w:t>
            </w:r>
          </w:p>
        </w:tc>
        <w:tc>
          <w:tcPr>
            <w:tcW w:w="1413" w:type="pct"/>
            <w:gridSpan w:val="2"/>
            <w:tcBorders>
              <w:left w:val="single" w:color="auto" w:sz="4" w:space="0"/>
            </w:tcBorders>
            <w:vAlign w:val="center"/>
          </w:tcPr>
          <w:p w14:paraId="4A2D63FE">
            <w:pPr>
              <w:adjustRightInd w:val="0"/>
              <w:snapToGrid w:val="0"/>
              <w:spacing w:line="360" w:lineRule="auto"/>
              <w:rPr>
                <w:rFonts w:ascii="宋体" w:hAnsi="宋体" w:cs="宋体"/>
                <w:color w:val="auto"/>
                <w:sz w:val="24"/>
                <w:highlight w:val="none"/>
              </w:rPr>
            </w:pPr>
          </w:p>
        </w:tc>
      </w:tr>
      <w:tr w14:paraId="24B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00" w:type="pct"/>
            <w:gridSpan w:val="6"/>
            <w:vAlign w:val="center"/>
          </w:tcPr>
          <w:p w14:paraId="7BE26AD3">
            <w:pPr>
              <w:autoSpaceDE w:val="0"/>
              <w:autoSpaceDN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乙方项目负责人签字（盖章）：               监理单位签字（盖章）：          </w:t>
            </w:r>
          </w:p>
          <w:p w14:paraId="490B2BC8">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甲方经办人、 审核人签字（盖章）： </w:t>
            </w:r>
          </w:p>
        </w:tc>
      </w:tr>
    </w:tbl>
    <w:p w14:paraId="15C7B405">
      <w:pPr>
        <w:rPr>
          <w:rFonts w:ascii="宋体" w:hAnsi="宋体" w:cs="宋体"/>
          <w:color w:val="auto"/>
          <w:highlight w:val="none"/>
        </w:rPr>
      </w:pPr>
    </w:p>
    <w:p w14:paraId="7EB46862">
      <w:pPr>
        <w:adjustRightInd w:val="0"/>
        <w:snapToGrid w:val="0"/>
        <w:spacing w:before="120" w:beforeLines="50" w:line="360" w:lineRule="auto"/>
        <w:outlineLvl w:val="2"/>
        <w:rPr>
          <w:rFonts w:ascii="宋体" w:hAnsi="宋体" w:cs="宋体"/>
          <w:b/>
          <w:color w:val="auto"/>
          <w:sz w:val="24"/>
          <w:highlight w:val="none"/>
        </w:rPr>
      </w:pPr>
      <w:r>
        <w:rPr>
          <w:rFonts w:hint="eastAsia" w:ascii="宋体" w:hAnsi="宋体" w:cs="宋体"/>
          <w:b/>
          <w:color w:val="auto"/>
          <w:sz w:val="24"/>
          <w:highlight w:val="none"/>
        </w:rPr>
        <w:t>附件二项目人员名单：</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64"/>
        <w:gridCol w:w="1338"/>
        <w:gridCol w:w="1459"/>
        <w:gridCol w:w="1072"/>
        <w:gridCol w:w="1844"/>
        <w:gridCol w:w="1459"/>
      </w:tblGrid>
      <w:tr w14:paraId="4B24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036B4055">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683" w:type="pct"/>
            <w:vAlign w:val="center"/>
          </w:tcPr>
          <w:p w14:paraId="0265B0CA">
            <w:pPr>
              <w:jc w:val="center"/>
              <w:rPr>
                <w:rFonts w:ascii="宋体" w:hAnsi="宋体" w:cs="宋体"/>
                <w:bCs/>
                <w:color w:val="auto"/>
                <w:sz w:val="24"/>
                <w:highlight w:val="none"/>
              </w:rPr>
            </w:pPr>
            <w:r>
              <w:rPr>
                <w:rFonts w:hint="eastAsia" w:ascii="宋体" w:hAnsi="宋体" w:cs="宋体"/>
                <w:bCs/>
                <w:color w:val="auto"/>
                <w:sz w:val="24"/>
                <w:highlight w:val="none"/>
              </w:rPr>
              <w:t>姓名</w:t>
            </w:r>
          </w:p>
        </w:tc>
        <w:tc>
          <w:tcPr>
            <w:tcW w:w="723" w:type="pct"/>
            <w:vAlign w:val="center"/>
          </w:tcPr>
          <w:p w14:paraId="0E361740">
            <w:pPr>
              <w:jc w:val="center"/>
              <w:rPr>
                <w:rFonts w:ascii="宋体" w:hAnsi="宋体" w:cs="宋体"/>
                <w:bCs/>
                <w:color w:val="auto"/>
                <w:sz w:val="24"/>
                <w:highlight w:val="none"/>
              </w:rPr>
            </w:pPr>
            <w:r>
              <w:rPr>
                <w:rFonts w:hint="eastAsia" w:ascii="宋体" w:hAnsi="宋体" w:cs="宋体"/>
                <w:bCs/>
                <w:color w:val="auto"/>
                <w:sz w:val="24"/>
                <w:highlight w:val="none"/>
              </w:rPr>
              <w:t>联系方式</w:t>
            </w:r>
          </w:p>
        </w:tc>
        <w:tc>
          <w:tcPr>
            <w:tcW w:w="788" w:type="pct"/>
            <w:vAlign w:val="center"/>
          </w:tcPr>
          <w:p w14:paraId="2E5E898F">
            <w:pPr>
              <w:jc w:val="center"/>
              <w:rPr>
                <w:rFonts w:ascii="宋体" w:hAnsi="宋体" w:cs="宋体"/>
                <w:bCs/>
                <w:color w:val="auto"/>
                <w:sz w:val="24"/>
                <w:highlight w:val="none"/>
              </w:rPr>
            </w:pPr>
            <w:r>
              <w:rPr>
                <w:rFonts w:hint="eastAsia" w:ascii="宋体" w:hAnsi="宋体" w:cs="宋体"/>
                <w:bCs/>
                <w:color w:val="auto"/>
                <w:sz w:val="24"/>
                <w:highlight w:val="none"/>
              </w:rPr>
              <w:t>身份证号码</w:t>
            </w:r>
          </w:p>
        </w:tc>
        <w:tc>
          <w:tcPr>
            <w:tcW w:w="579" w:type="pct"/>
            <w:vAlign w:val="center"/>
          </w:tcPr>
          <w:p w14:paraId="6F29362E">
            <w:pPr>
              <w:jc w:val="center"/>
              <w:rPr>
                <w:rFonts w:ascii="宋体" w:hAnsi="宋体" w:cs="宋体"/>
                <w:bCs/>
                <w:color w:val="auto"/>
                <w:sz w:val="24"/>
                <w:highlight w:val="none"/>
              </w:rPr>
            </w:pPr>
            <w:r>
              <w:rPr>
                <w:rFonts w:hint="eastAsia" w:ascii="宋体" w:hAnsi="宋体" w:cs="宋体"/>
                <w:bCs/>
                <w:color w:val="auto"/>
                <w:sz w:val="24"/>
                <w:highlight w:val="none"/>
              </w:rPr>
              <w:t>学历</w:t>
            </w:r>
          </w:p>
        </w:tc>
        <w:tc>
          <w:tcPr>
            <w:tcW w:w="996" w:type="pct"/>
            <w:vAlign w:val="center"/>
          </w:tcPr>
          <w:p w14:paraId="4AF04D8D">
            <w:pPr>
              <w:jc w:val="center"/>
              <w:rPr>
                <w:rFonts w:ascii="宋体" w:hAnsi="宋体" w:cs="宋体"/>
                <w:bCs/>
                <w:color w:val="auto"/>
                <w:sz w:val="24"/>
                <w:highlight w:val="none"/>
              </w:rPr>
            </w:pPr>
            <w:r>
              <w:rPr>
                <w:rFonts w:hint="eastAsia" w:ascii="宋体" w:hAnsi="宋体" w:cs="宋体"/>
                <w:bCs/>
                <w:color w:val="auto"/>
                <w:sz w:val="24"/>
                <w:highlight w:val="none"/>
              </w:rPr>
              <w:t>本项目承担的岗位</w:t>
            </w:r>
          </w:p>
        </w:tc>
        <w:tc>
          <w:tcPr>
            <w:tcW w:w="788" w:type="pct"/>
            <w:vAlign w:val="center"/>
          </w:tcPr>
          <w:p w14:paraId="5526C610">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6349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182CD246">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683" w:type="pct"/>
            <w:tcBorders>
              <w:left w:val="single" w:color="auto" w:sz="4" w:space="0"/>
            </w:tcBorders>
            <w:vAlign w:val="center"/>
          </w:tcPr>
          <w:p w14:paraId="4BDD5977">
            <w:pPr>
              <w:jc w:val="center"/>
              <w:rPr>
                <w:rFonts w:ascii="宋体" w:hAnsi="宋体" w:cs="宋体"/>
                <w:bCs/>
                <w:color w:val="auto"/>
                <w:sz w:val="24"/>
                <w:highlight w:val="none"/>
              </w:rPr>
            </w:pPr>
          </w:p>
        </w:tc>
        <w:tc>
          <w:tcPr>
            <w:tcW w:w="723" w:type="pct"/>
            <w:tcBorders>
              <w:left w:val="single" w:color="auto" w:sz="4" w:space="0"/>
            </w:tcBorders>
            <w:vAlign w:val="center"/>
          </w:tcPr>
          <w:p w14:paraId="029FB608">
            <w:pPr>
              <w:jc w:val="center"/>
              <w:rPr>
                <w:rFonts w:ascii="宋体" w:hAnsi="宋体" w:cs="宋体"/>
                <w:bCs/>
                <w:color w:val="auto"/>
                <w:sz w:val="24"/>
                <w:highlight w:val="none"/>
              </w:rPr>
            </w:pPr>
          </w:p>
        </w:tc>
        <w:tc>
          <w:tcPr>
            <w:tcW w:w="788" w:type="pct"/>
            <w:tcBorders>
              <w:left w:val="single" w:color="auto" w:sz="4" w:space="0"/>
            </w:tcBorders>
            <w:vAlign w:val="center"/>
          </w:tcPr>
          <w:p w14:paraId="49899871">
            <w:pPr>
              <w:jc w:val="center"/>
              <w:rPr>
                <w:rFonts w:ascii="宋体" w:hAnsi="宋体" w:cs="宋体"/>
                <w:bCs/>
                <w:color w:val="auto"/>
                <w:sz w:val="24"/>
                <w:highlight w:val="none"/>
              </w:rPr>
            </w:pPr>
          </w:p>
        </w:tc>
        <w:tc>
          <w:tcPr>
            <w:tcW w:w="579" w:type="pct"/>
            <w:tcBorders>
              <w:left w:val="single" w:color="auto" w:sz="4" w:space="0"/>
            </w:tcBorders>
            <w:vAlign w:val="center"/>
          </w:tcPr>
          <w:p w14:paraId="4A7EB297">
            <w:pPr>
              <w:jc w:val="center"/>
              <w:rPr>
                <w:rFonts w:ascii="宋体" w:hAnsi="宋体" w:cs="宋体"/>
                <w:bCs/>
                <w:color w:val="auto"/>
                <w:sz w:val="24"/>
                <w:highlight w:val="none"/>
              </w:rPr>
            </w:pPr>
          </w:p>
        </w:tc>
        <w:tc>
          <w:tcPr>
            <w:tcBorders>
              <w:left w:val="single" w:color="auto" w:sz="4" w:space="0"/>
            </w:tcBorders>
            <w:vAlign w:val="center"/>
          </w:tcPr>
          <w:p w14:paraId="3AF7B6C0">
            <w:pPr>
              <w:jc w:val="center"/>
              <w:rPr>
                <w:rFonts w:ascii="宋体" w:hAnsi="宋体" w:cs="宋体"/>
                <w:bCs/>
                <w:color w:val="auto"/>
                <w:sz w:val="24"/>
                <w:highlight w:val="none"/>
              </w:rPr>
            </w:pPr>
            <w:r>
              <w:rPr>
                <w:rFonts w:hint="eastAsia" w:ascii="宋体" w:hAnsi="宋体" w:cs="宋体"/>
                <w:color w:val="auto"/>
                <w:sz w:val="24"/>
                <w:highlight w:val="none"/>
              </w:rPr>
              <w:t>项目负责人</w:t>
            </w:r>
          </w:p>
        </w:tc>
        <w:tc>
          <w:tcPr>
            <w:tcW w:w="788" w:type="pct"/>
            <w:tcBorders>
              <w:left w:val="single" w:color="auto" w:sz="4" w:space="0"/>
            </w:tcBorders>
            <w:vAlign w:val="center"/>
          </w:tcPr>
          <w:p w14:paraId="0B143CE6">
            <w:pPr>
              <w:jc w:val="center"/>
              <w:rPr>
                <w:rFonts w:ascii="宋体" w:hAnsi="宋体" w:cs="宋体"/>
                <w:bCs/>
                <w:color w:val="auto"/>
                <w:sz w:val="24"/>
                <w:highlight w:val="none"/>
              </w:rPr>
            </w:pPr>
          </w:p>
        </w:tc>
      </w:tr>
      <w:tr w14:paraId="314C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5D48847F">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683" w:type="pct"/>
            <w:tcBorders>
              <w:left w:val="single" w:color="auto" w:sz="4" w:space="0"/>
            </w:tcBorders>
            <w:vAlign w:val="center"/>
          </w:tcPr>
          <w:p w14:paraId="5C75FE59">
            <w:pPr>
              <w:jc w:val="center"/>
              <w:rPr>
                <w:rFonts w:ascii="宋体" w:hAnsi="宋体" w:cs="宋体"/>
                <w:bCs/>
                <w:color w:val="auto"/>
                <w:sz w:val="24"/>
                <w:highlight w:val="none"/>
              </w:rPr>
            </w:pPr>
          </w:p>
        </w:tc>
        <w:tc>
          <w:tcPr>
            <w:tcW w:w="723" w:type="pct"/>
            <w:tcBorders>
              <w:left w:val="single" w:color="auto" w:sz="4" w:space="0"/>
            </w:tcBorders>
            <w:vAlign w:val="center"/>
          </w:tcPr>
          <w:p w14:paraId="01BE35B4">
            <w:pPr>
              <w:jc w:val="center"/>
              <w:rPr>
                <w:rFonts w:ascii="宋体" w:hAnsi="宋体" w:cs="宋体"/>
                <w:bCs/>
                <w:color w:val="auto"/>
                <w:sz w:val="24"/>
                <w:highlight w:val="none"/>
              </w:rPr>
            </w:pPr>
          </w:p>
        </w:tc>
        <w:tc>
          <w:tcPr>
            <w:tcW w:w="788" w:type="pct"/>
            <w:tcBorders>
              <w:left w:val="single" w:color="auto" w:sz="4" w:space="0"/>
            </w:tcBorders>
            <w:vAlign w:val="center"/>
          </w:tcPr>
          <w:p w14:paraId="4BA18F7E">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3034CB75">
            <w:pPr>
              <w:jc w:val="center"/>
              <w:rPr>
                <w:rFonts w:ascii="宋体" w:hAnsi="宋体" w:cs="宋体"/>
                <w:bCs/>
                <w:color w:val="auto"/>
                <w:kern w:val="0"/>
                <w:sz w:val="24"/>
                <w:highlight w:val="none"/>
              </w:rPr>
            </w:pPr>
          </w:p>
        </w:tc>
        <w:tc>
          <w:tcPr>
            <w:tcBorders>
              <w:left w:val="single" w:color="auto" w:sz="4" w:space="0"/>
            </w:tcBorders>
            <w:vAlign w:val="center"/>
          </w:tcPr>
          <w:p w14:paraId="60237AB4">
            <w:pPr>
              <w:jc w:val="center"/>
              <w:rPr>
                <w:rFonts w:ascii="宋体" w:hAnsi="宋体" w:cs="宋体"/>
                <w:bCs/>
                <w:color w:val="auto"/>
                <w:kern w:val="0"/>
                <w:sz w:val="24"/>
                <w:highlight w:val="none"/>
              </w:rPr>
            </w:pPr>
            <w:r>
              <w:rPr>
                <w:rFonts w:hint="eastAsia" w:ascii="宋体" w:hAnsi="宋体" w:cs="宋体"/>
                <w:color w:val="auto"/>
                <w:kern w:val="0"/>
                <w:sz w:val="24"/>
                <w:highlight w:val="none"/>
              </w:rPr>
              <w:t>驻点人员</w:t>
            </w:r>
          </w:p>
        </w:tc>
        <w:tc>
          <w:tcPr>
            <w:tcW w:w="788" w:type="pct"/>
            <w:tcBorders>
              <w:left w:val="single" w:color="auto" w:sz="4" w:space="0"/>
            </w:tcBorders>
            <w:vAlign w:val="center"/>
          </w:tcPr>
          <w:p w14:paraId="679D03A8">
            <w:pPr>
              <w:jc w:val="center"/>
              <w:rPr>
                <w:rFonts w:ascii="宋体" w:hAnsi="宋体" w:cs="宋体"/>
                <w:bCs/>
                <w:color w:val="auto"/>
                <w:kern w:val="0"/>
                <w:sz w:val="24"/>
                <w:highlight w:val="none"/>
              </w:rPr>
            </w:pPr>
          </w:p>
        </w:tc>
      </w:tr>
      <w:tr w14:paraId="74B2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08B5D788">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683" w:type="pct"/>
            <w:tcBorders>
              <w:left w:val="single" w:color="auto" w:sz="4" w:space="0"/>
            </w:tcBorders>
            <w:vAlign w:val="center"/>
          </w:tcPr>
          <w:p w14:paraId="387138E1">
            <w:pPr>
              <w:jc w:val="center"/>
              <w:rPr>
                <w:rFonts w:ascii="宋体" w:hAnsi="宋体" w:cs="宋体"/>
                <w:bCs/>
                <w:color w:val="auto"/>
                <w:sz w:val="24"/>
                <w:highlight w:val="none"/>
              </w:rPr>
            </w:pPr>
          </w:p>
        </w:tc>
        <w:tc>
          <w:tcPr>
            <w:tcW w:w="723" w:type="pct"/>
            <w:tcBorders>
              <w:left w:val="single" w:color="auto" w:sz="4" w:space="0"/>
            </w:tcBorders>
            <w:vAlign w:val="center"/>
          </w:tcPr>
          <w:p w14:paraId="18F6BEE6">
            <w:pPr>
              <w:jc w:val="center"/>
              <w:rPr>
                <w:rFonts w:ascii="宋体" w:hAnsi="宋体" w:cs="宋体"/>
                <w:bCs/>
                <w:color w:val="auto"/>
                <w:sz w:val="24"/>
                <w:highlight w:val="none"/>
              </w:rPr>
            </w:pPr>
          </w:p>
        </w:tc>
        <w:tc>
          <w:tcPr>
            <w:tcW w:w="788" w:type="pct"/>
            <w:tcBorders>
              <w:left w:val="single" w:color="auto" w:sz="4" w:space="0"/>
            </w:tcBorders>
            <w:vAlign w:val="center"/>
          </w:tcPr>
          <w:p w14:paraId="1DDC9723">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43678E5D">
            <w:pPr>
              <w:jc w:val="center"/>
              <w:rPr>
                <w:rFonts w:ascii="宋体" w:hAnsi="宋体" w:cs="宋体"/>
                <w:bCs/>
                <w:color w:val="auto"/>
                <w:kern w:val="0"/>
                <w:sz w:val="24"/>
                <w:highlight w:val="none"/>
              </w:rPr>
            </w:pPr>
          </w:p>
        </w:tc>
        <w:tc>
          <w:tcPr>
            <w:tcW w:w="996" w:type="pct"/>
            <w:tcBorders>
              <w:left w:val="single" w:color="auto" w:sz="4" w:space="0"/>
            </w:tcBorders>
            <w:vAlign w:val="center"/>
          </w:tcPr>
          <w:p w14:paraId="51E3BE3E">
            <w:pPr>
              <w:jc w:val="center"/>
              <w:rPr>
                <w:rFonts w:ascii="宋体" w:hAnsi="宋体" w:cs="宋体"/>
                <w:bCs/>
                <w:color w:val="auto"/>
                <w:kern w:val="0"/>
                <w:sz w:val="24"/>
                <w:highlight w:val="none"/>
              </w:rPr>
            </w:pPr>
          </w:p>
        </w:tc>
        <w:tc>
          <w:tcPr>
            <w:tcW w:w="788" w:type="pct"/>
            <w:tcBorders>
              <w:left w:val="single" w:color="auto" w:sz="4" w:space="0"/>
            </w:tcBorders>
            <w:vAlign w:val="center"/>
          </w:tcPr>
          <w:p w14:paraId="4079256C">
            <w:pPr>
              <w:jc w:val="center"/>
              <w:rPr>
                <w:rFonts w:ascii="宋体" w:hAnsi="宋体" w:cs="宋体"/>
                <w:bCs/>
                <w:color w:val="auto"/>
                <w:kern w:val="0"/>
                <w:sz w:val="24"/>
                <w:highlight w:val="none"/>
              </w:rPr>
            </w:pPr>
          </w:p>
        </w:tc>
      </w:tr>
      <w:tr w14:paraId="655C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38BA42AB">
            <w:pPr>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683" w:type="pct"/>
            <w:tcBorders>
              <w:left w:val="single" w:color="auto" w:sz="4" w:space="0"/>
            </w:tcBorders>
            <w:vAlign w:val="center"/>
          </w:tcPr>
          <w:p w14:paraId="55E85C16">
            <w:pPr>
              <w:jc w:val="center"/>
              <w:rPr>
                <w:rFonts w:ascii="宋体" w:hAnsi="宋体" w:cs="宋体"/>
                <w:bCs/>
                <w:color w:val="auto"/>
                <w:sz w:val="24"/>
                <w:highlight w:val="none"/>
              </w:rPr>
            </w:pPr>
          </w:p>
        </w:tc>
        <w:tc>
          <w:tcPr>
            <w:tcW w:w="723" w:type="pct"/>
            <w:tcBorders>
              <w:left w:val="single" w:color="auto" w:sz="4" w:space="0"/>
            </w:tcBorders>
            <w:vAlign w:val="center"/>
          </w:tcPr>
          <w:p w14:paraId="7D1B1F31">
            <w:pPr>
              <w:jc w:val="center"/>
              <w:rPr>
                <w:rFonts w:ascii="宋体" w:hAnsi="宋体" w:cs="宋体"/>
                <w:bCs/>
                <w:color w:val="auto"/>
                <w:sz w:val="24"/>
                <w:highlight w:val="none"/>
              </w:rPr>
            </w:pPr>
          </w:p>
        </w:tc>
        <w:tc>
          <w:tcPr>
            <w:tcW w:w="788" w:type="pct"/>
            <w:tcBorders>
              <w:left w:val="single" w:color="auto" w:sz="4" w:space="0"/>
            </w:tcBorders>
            <w:vAlign w:val="center"/>
          </w:tcPr>
          <w:p w14:paraId="57678BCC">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65089E6A">
            <w:pPr>
              <w:jc w:val="center"/>
              <w:rPr>
                <w:rFonts w:ascii="宋体" w:hAnsi="宋体" w:cs="宋体"/>
                <w:bCs/>
                <w:color w:val="auto"/>
                <w:kern w:val="0"/>
                <w:sz w:val="24"/>
                <w:highlight w:val="none"/>
              </w:rPr>
            </w:pPr>
          </w:p>
        </w:tc>
        <w:tc>
          <w:tcPr>
            <w:tcW w:w="996" w:type="pct"/>
            <w:tcBorders>
              <w:left w:val="single" w:color="auto" w:sz="4" w:space="0"/>
            </w:tcBorders>
            <w:vAlign w:val="center"/>
          </w:tcPr>
          <w:p w14:paraId="0158AA84">
            <w:pPr>
              <w:jc w:val="center"/>
              <w:rPr>
                <w:rFonts w:ascii="宋体" w:hAnsi="宋体" w:cs="宋体"/>
                <w:bCs/>
                <w:color w:val="auto"/>
                <w:kern w:val="0"/>
                <w:sz w:val="24"/>
                <w:highlight w:val="none"/>
              </w:rPr>
            </w:pPr>
          </w:p>
        </w:tc>
        <w:tc>
          <w:tcPr>
            <w:tcW w:w="788" w:type="pct"/>
            <w:tcBorders>
              <w:left w:val="single" w:color="auto" w:sz="4" w:space="0"/>
            </w:tcBorders>
            <w:vAlign w:val="center"/>
          </w:tcPr>
          <w:p w14:paraId="728A353B">
            <w:pPr>
              <w:jc w:val="center"/>
              <w:rPr>
                <w:rFonts w:ascii="宋体" w:hAnsi="宋体" w:cs="宋体"/>
                <w:bCs/>
                <w:color w:val="auto"/>
                <w:kern w:val="0"/>
                <w:sz w:val="24"/>
                <w:highlight w:val="none"/>
              </w:rPr>
            </w:pPr>
          </w:p>
        </w:tc>
      </w:tr>
      <w:tr w14:paraId="71C8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1A5966CF">
            <w:pPr>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683" w:type="pct"/>
            <w:tcBorders>
              <w:left w:val="single" w:color="auto" w:sz="4" w:space="0"/>
            </w:tcBorders>
            <w:vAlign w:val="center"/>
          </w:tcPr>
          <w:p w14:paraId="7D750D4C">
            <w:pPr>
              <w:jc w:val="center"/>
              <w:rPr>
                <w:rFonts w:ascii="宋体" w:hAnsi="宋体" w:cs="宋体"/>
                <w:bCs/>
                <w:color w:val="auto"/>
                <w:sz w:val="24"/>
                <w:highlight w:val="none"/>
              </w:rPr>
            </w:pPr>
          </w:p>
        </w:tc>
        <w:tc>
          <w:tcPr>
            <w:tcW w:w="723" w:type="pct"/>
            <w:tcBorders>
              <w:left w:val="single" w:color="auto" w:sz="4" w:space="0"/>
            </w:tcBorders>
            <w:vAlign w:val="center"/>
          </w:tcPr>
          <w:p w14:paraId="3750AF73">
            <w:pPr>
              <w:jc w:val="center"/>
              <w:rPr>
                <w:rFonts w:ascii="宋体" w:hAnsi="宋体" w:cs="宋体"/>
                <w:bCs/>
                <w:color w:val="auto"/>
                <w:sz w:val="24"/>
                <w:highlight w:val="none"/>
              </w:rPr>
            </w:pPr>
          </w:p>
        </w:tc>
        <w:tc>
          <w:tcPr>
            <w:tcW w:w="788" w:type="pct"/>
            <w:tcBorders>
              <w:left w:val="single" w:color="auto" w:sz="4" w:space="0"/>
            </w:tcBorders>
            <w:vAlign w:val="center"/>
          </w:tcPr>
          <w:p w14:paraId="297084D8">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747EF6A6">
            <w:pPr>
              <w:jc w:val="center"/>
              <w:rPr>
                <w:rFonts w:ascii="宋体" w:hAnsi="宋体" w:cs="宋体"/>
                <w:bCs/>
                <w:color w:val="auto"/>
                <w:kern w:val="0"/>
                <w:sz w:val="24"/>
                <w:highlight w:val="none"/>
              </w:rPr>
            </w:pPr>
          </w:p>
        </w:tc>
        <w:tc>
          <w:tcPr>
            <w:tcW w:w="996" w:type="pct"/>
            <w:tcBorders>
              <w:left w:val="single" w:color="auto" w:sz="4" w:space="0"/>
            </w:tcBorders>
            <w:vAlign w:val="center"/>
          </w:tcPr>
          <w:p w14:paraId="7D9749E3">
            <w:pPr>
              <w:jc w:val="center"/>
              <w:rPr>
                <w:rFonts w:ascii="宋体" w:hAnsi="宋体" w:cs="宋体"/>
                <w:bCs/>
                <w:color w:val="auto"/>
                <w:kern w:val="0"/>
                <w:sz w:val="24"/>
                <w:highlight w:val="none"/>
              </w:rPr>
            </w:pPr>
          </w:p>
        </w:tc>
        <w:tc>
          <w:tcPr>
            <w:tcW w:w="788" w:type="pct"/>
            <w:tcBorders>
              <w:left w:val="single" w:color="auto" w:sz="4" w:space="0"/>
            </w:tcBorders>
            <w:vAlign w:val="center"/>
          </w:tcPr>
          <w:p w14:paraId="7C140347">
            <w:pPr>
              <w:jc w:val="center"/>
              <w:rPr>
                <w:rFonts w:ascii="宋体" w:hAnsi="宋体" w:cs="宋体"/>
                <w:bCs/>
                <w:color w:val="auto"/>
                <w:kern w:val="0"/>
                <w:sz w:val="24"/>
                <w:highlight w:val="none"/>
              </w:rPr>
            </w:pPr>
          </w:p>
        </w:tc>
      </w:tr>
      <w:tr w14:paraId="5E45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6892522A">
            <w:pPr>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683" w:type="pct"/>
            <w:tcBorders>
              <w:left w:val="single" w:color="auto" w:sz="4" w:space="0"/>
            </w:tcBorders>
            <w:vAlign w:val="center"/>
          </w:tcPr>
          <w:p w14:paraId="5D4B1388">
            <w:pPr>
              <w:jc w:val="center"/>
              <w:rPr>
                <w:rFonts w:ascii="宋体" w:hAnsi="宋体" w:cs="宋体"/>
                <w:bCs/>
                <w:color w:val="auto"/>
                <w:sz w:val="24"/>
                <w:highlight w:val="none"/>
              </w:rPr>
            </w:pPr>
          </w:p>
        </w:tc>
        <w:tc>
          <w:tcPr>
            <w:tcW w:w="723" w:type="pct"/>
            <w:tcBorders>
              <w:left w:val="single" w:color="auto" w:sz="4" w:space="0"/>
            </w:tcBorders>
            <w:vAlign w:val="center"/>
          </w:tcPr>
          <w:p w14:paraId="72FBF1F7">
            <w:pPr>
              <w:jc w:val="center"/>
              <w:rPr>
                <w:rFonts w:ascii="宋体" w:hAnsi="宋体" w:cs="宋体"/>
                <w:bCs/>
                <w:color w:val="auto"/>
                <w:sz w:val="24"/>
                <w:highlight w:val="none"/>
              </w:rPr>
            </w:pPr>
          </w:p>
        </w:tc>
        <w:tc>
          <w:tcPr>
            <w:tcW w:w="788" w:type="pct"/>
            <w:tcBorders>
              <w:left w:val="single" w:color="auto" w:sz="4" w:space="0"/>
            </w:tcBorders>
            <w:vAlign w:val="center"/>
          </w:tcPr>
          <w:p w14:paraId="71672DAD">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3EE3A07E">
            <w:pPr>
              <w:jc w:val="center"/>
              <w:rPr>
                <w:rFonts w:ascii="宋体" w:hAnsi="宋体" w:cs="宋体"/>
                <w:bCs/>
                <w:color w:val="auto"/>
                <w:kern w:val="0"/>
                <w:sz w:val="24"/>
                <w:highlight w:val="none"/>
              </w:rPr>
            </w:pPr>
          </w:p>
        </w:tc>
        <w:tc>
          <w:tcPr>
            <w:tcW w:w="996" w:type="pct"/>
            <w:tcBorders>
              <w:left w:val="single" w:color="auto" w:sz="4" w:space="0"/>
            </w:tcBorders>
            <w:vAlign w:val="center"/>
          </w:tcPr>
          <w:p w14:paraId="5A5661CB">
            <w:pPr>
              <w:jc w:val="center"/>
              <w:rPr>
                <w:rFonts w:ascii="宋体" w:hAnsi="宋体" w:cs="宋体"/>
                <w:bCs/>
                <w:color w:val="auto"/>
                <w:kern w:val="0"/>
                <w:sz w:val="24"/>
                <w:highlight w:val="none"/>
              </w:rPr>
            </w:pPr>
          </w:p>
        </w:tc>
        <w:tc>
          <w:tcPr>
            <w:tcW w:w="788" w:type="pct"/>
            <w:tcBorders>
              <w:left w:val="single" w:color="auto" w:sz="4" w:space="0"/>
            </w:tcBorders>
            <w:vAlign w:val="center"/>
          </w:tcPr>
          <w:p w14:paraId="54809926">
            <w:pPr>
              <w:jc w:val="center"/>
              <w:rPr>
                <w:rFonts w:ascii="宋体" w:hAnsi="宋体" w:cs="宋体"/>
                <w:bCs/>
                <w:color w:val="auto"/>
                <w:kern w:val="0"/>
                <w:sz w:val="24"/>
                <w:highlight w:val="none"/>
              </w:rPr>
            </w:pPr>
          </w:p>
        </w:tc>
      </w:tr>
      <w:tr w14:paraId="0B25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39" w:type="pct"/>
            <w:vAlign w:val="center"/>
          </w:tcPr>
          <w:p w14:paraId="11C8924E">
            <w:pPr>
              <w:jc w:val="center"/>
              <w:rPr>
                <w:rFonts w:ascii="宋体" w:hAnsi="宋体" w:cs="宋体"/>
                <w:bCs/>
                <w:color w:val="auto"/>
                <w:sz w:val="24"/>
                <w:highlight w:val="none"/>
              </w:rPr>
            </w:pPr>
            <w:r>
              <w:rPr>
                <w:rFonts w:hint="eastAsia" w:ascii="宋体" w:hAnsi="宋体" w:cs="宋体"/>
                <w:bCs/>
                <w:color w:val="auto"/>
                <w:sz w:val="24"/>
                <w:highlight w:val="none"/>
              </w:rPr>
              <w:t>7</w:t>
            </w:r>
          </w:p>
        </w:tc>
        <w:tc>
          <w:tcPr>
            <w:tcW w:w="683" w:type="pct"/>
            <w:tcBorders>
              <w:left w:val="single" w:color="auto" w:sz="4" w:space="0"/>
            </w:tcBorders>
            <w:vAlign w:val="center"/>
          </w:tcPr>
          <w:p w14:paraId="3AD53DDB">
            <w:pPr>
              <w:jc w:val="center"/>
              <w:rPr>
                <w:rFonts w:ascii="宋体" w:hAnsi="宋体" w:cs="宋体"/>
                <w:bCs/>
                <w:color w:val="auto"/>
                <w:sz w:val="24"/>
                <w:highlight w:val="none"/>
              </w:rPr>
            </w:pPr>
          </w:p>
        </w:tc>
        <w:tc>
          <w:tcPr>
            <w:tcW w:w="723" w:type="pct"/>
            <w:tcBorders>
              <w:left w:val="single" w:color="auto" w:sz="4" w:space="0"/>
            </w:tcBorders>
            <w:vAlign w:val="center"/>
          </w:tcPr>
          <w:p w14:paraId="1482BA29">
            <w:pPr>
              <w:jc w:val="center"/>
              <w:rPr>
                <w:rFonts w:ascii="宋体" w:hAnsi="宋体" w:cs="宋体"/>
                <w:bCs/>
                <w:color w:val="auto"/>
                <w:sz w:val="24"/>
                <w:highlight w:val="none"/>
              </w:rPr>
            </w:pPr>
          </w:p>
        </w:tc>
        <w:tc>
          <w:tcPr>
            <w:tcW w:w="788" w:type="pct"/>
            <w:tcBorders>
              <w:left w:val="single" w:color="auto" w:sz="4" w:space="0"/>
            </w:tcBorders>
            <w:vAlign w:val="center"/>
          </w:tcPr>
          <w:p w14:paraId="5D4779D0">
            <w:pPr>
              <w:jc w:val="center"/>
              <w:rPr>
                <w:rFonts w:ascii="宋体" w:hAnsi="宋体" w:cs="宋体"/>
                <w:bCs/>
                <w:color w:val="auto"/>
                <w:kern w:val="0"/>
                <w:sz w:val="24"/>
                <w:highlight w:val="none"/>
              </w:rPr>
            </w:pPr>
          </w:p>
        </w:tc>
        <w:tc>
          <w:tcPr>
            <w:tcW w:w="579" w:type="pct"/>
            <w:tcBorders>
              <w:left w:val="single" w:color="auto" w:sz="4" w:space="0"/>
            </w:tcBorders>
            <w:vAlign w:val="center"/>
          </w:tcPr>
          <w:p w14:paraId="18BB24D0">
            <w:pPr>
              <w:jc w:val="center"/>
              <w:rPr>
                <w:rFonts w:ascii="宋体" w:hAnsi="宋体" w:cs="宋体"/>
                <w:bCs/>
                <w:color w:val="auto"/>
                <w:kern w:val="0"/>
                <w:sz w:val="24"/>
                <w:highlight w:val="none"/>
              </w:rPr>
            </w:pPr>
          </w:p>
        </w:tc>
        <w:tc>
          <w:tcPr>
            <w:tcW w:w="996" w:type="pct"/>
            <w:tcBorders>
              <w:left w:val="single" w:color="auto" w:sz="4" w:space="0"/>
            </w:tcBorders>
            <w:vAlign w:val="center"/>
          </w:tcPr>
          <w:p w14:paraId="5A13B4E2">
            <w:pPr>
              <w:jc w:val="center"/>
              <w:rPr>
                <w:rFonts w:ascii="宋体" w:hAnsi="宋体" w:cs="宋体"/>
                <w:bCs/>
                <w:color w:val="auto"/>
                <w:kern w:val="0"/>
                <w:sz w:val="24"/>
                <w:highlight w:val="none"/>
              </w:rPr>
            </w:pPr>
          </w:p>
        </w:tc>
        <w:tc>
          <w:tcPr>
            <w:tcW w:w="788" w:type="pct"/>
            <w:tcBorders>
              <w:left w:val="single" w:color="auto" w:sz="4" w:space="0"/>
            </w:tcBorders>
            <w:vAlign w:val="center"/>
          </w:tcPr>
          <w:p w14:paraId="7368ABF4">
            <w:pPr>
              <w:jc w:val="center"/>
              <w:rPr>
                <w:rFonts w:ascii="宋体" w:hAnsi="宋体" w:cs="宋体"/>
                <w:bCs/>
                <w:color w:val="auto"/>
                <w:kern w:val="0"/>
                <w:sz w:val="24"/>
                <w:highlight w:val="none"/>
              </w:rPr>
            </w:pPr>
          </w:p>
        </w:tc>
      </w:tr>
    </w:tbl>
    <w:p w14:paraId="064C206D">
      <w:pPr>
        <w:adjustRightInd w:val="0"/>
        <w:snapToGrid w:val="0"/>
        <w:spacing w:before="120" w:beforeLines="50" w:line="360" w:lineRule="auto"/>
        <w:outlineLvl w:val="2"/>
        <w:rPr>
          <w:rFonts w:ascii="宋体" w:hAnsi="宋体" w:cs="宋体"/>
          <w:b/>
          <w:color w:val="auto"/>
          <w:sz w:val="24"/>
          <w:highlight w:val="none"/>
        </w:rPr>
      </w:pPr>
      <w:r>
        <w:rPr>
          <w:rFonts w:hint="eastAsia" w:ascii="宋体" w:hAnsi="宋体" w:cs="宋体"/>
          <w:b/>
          <w:color w:val="auto"/>
          <w:sz w:val="24"/>
          <w:highlight w:val="none"/>
        </w:rPr>
        <w:t>附件三合同总价清单：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014"/>
        <w:gridCol w:w="517"/>
        <w:gridCol w:w="696"/>
        <w:gridCol w:w="517"/>
        <w:gridCol w:w="1197"/>
        <w:gridCol w:w="810"/>
        <w:gridCol w:w="1084"/>
        <w:gridCol w:w="1059"/>
        <w:gridCol w:w="1846"/>
      </w:tblGrid>
      <w:tr w14:paraId="18CE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516" w:type="dxa"/>
            <w:tcBorders>
              <w:top w:val="single" w:color="auto" w:sz="4" w:space="0"/>
              <w:left w:val="single" w:color="auto" w:sz="4" w:space="0"/>
              <w:bottom w:val="single" w:color="auto" w:sz="4" w:space="0"/>
              <w:right w:val="single" w:color="auto" w:sz="4" w:space="0"/>
            </w:tcBorders>
            <w:vAlign w:val="center"/>
          </w:tcPr>
          <w:p w14:paraId="7D0E68C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014" w:type="dxa"/>
            <w:tcBorders>
              <w:top w:val="single" w:color="auto" w:sz="4" w:space="0"/>
              <w:left w:val="single" w:color="auto" w:sz="4" w:space="0"/>
              <w:bottom w:val="single" w:color="auto" w:sz="4" w:space="0"/>
              <w:right w:val="single" w:color="auto" w:sz="4" w:space="0"/>
            </w:tcBorders>
            <w:vAlign w:val="center"/>
          </w:tcPr>
          <w:p w14:paraId="42EEF0E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517" w:type="dxa"/>
            <w:tcBorders>
              <w:top w:val="single" w:color="auto" w:sz="4" w:space="0"/>
              <w:left w:val="single" w:color="auto" w:sz="4" w:space="0"/>
              <w:bottom w:val="single" w:color="auto" w:sz="4" w:space="0"/>
              <w:right w:val="single" w:color="auto" w:sz="4" w:space="0"/>
            </w:tcBorders>
            <w:vAlign w:val="center"/>
          </w:tcPr>
          <w:p w14:paraId="63C47067">
            <w:pPr>
              <w:widowControl/>
              <w:jc w:val="center"/>
              <w:rPr>
                <w:rFonts w:ascii="宋体" w:hAnsi="宋体" w:cs="宋体"/>
                <w:b/>
                <w:bCs/>
                <w:color w:val="auto"/>
                <w:kern w:val="0"/>
                <w:sz w:val="24"/>
                <w:highlight w:val="none"/>
              </w:rPr>
            </w:pPr>
            <w:r>
              <w:rPr>
                <w:rFonts w:hint="eastAsia" w:ascii="宋体" w:hAnsi="宋体" w:cs="宋体"/>
                <w:b/>
                <w:bCs/>
                <w:snapToGrid w:val="0"/>
                <w:color w:val="auto"/>
                <w:sz w:val="24"/>
                <w:highlight w:val="none"/>
              </w:rPr>
              <w:t>单位</w:t>
            </w:r>
          </w:p>
        </w:tc>
        <w:tc>
          <w:tcPr>
            <w:tcW w:w="696" w:type="dxa"/>
            <w:tcBorders>
              <w:top w:val="single" w:color="auto" w:sz="4" w:space="0"/>
              <w:left w:val="single" w:color="auto" w:sz="4" w:space="0"/>
              <w:bottom w:val="single" w:color="auto" w:sz="4" w:space="0"/>
              <w:right w:val="single" w:color="auto" w:sz="4" w:space="0"/>
            </w:tcBorders>
            <w:vAlign w:val="center"/>
          </w:tcPr>
          <w:p w14:paraId="293F754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517" w:type="dxa"/>
            <w:tcBorders>
              <w:top w:val="single" w:color="auto" w:sz="4" w:space="0"/>
              <w:left w:val="single" w:color="auto" w:sz="4" w:space="0"/>
              <w:bottom w:val="single" w:color="auto" w:sz="4" w:space="0"/>
              <w:right w:val="single" w:color="auto" w:sz="4" w:space="0"/>
            </w:tcBorders>
            <w:vAlign w:val="center"/>
          </w:tcPr>
          <w:p w14:paraId="79584964">
            <w:pPr>
              <w:widowControl/>
              <w:jc w:val="center"/>
              <w:rPr>
                <w:rFonts w:ascii="宋体" w:hAnsi="宋体" w:cs="宋体"/>
                <w:b/>
                <w:bCs/>
                <w:color w:val="auto"/>
                <w:kern w:val="0"/>
                <w:sz w:val="24"/>
                <w:highlight w:val="none"/>
              </w:rPr>
            </w:pPr>
            <w:r>
              <w:rPr>
                <w:rFonts w:hint="eastAsia" w:ascii="宋体" w:hAnsi="宋体" w:cs="宋体"/>
                <w:b/>
                <w:bCs/>
                <w:snapToGrid w:val="0"/>
                <w:color w:val="auto"/>
                <w:sz w:val="24"/>
                <w:highlight w:val="none"/>
              </w:rPr>
              <w:t>月数</w:t>
            </w:r>
          </w:p>
        </w:tc>
        <w:tc>
          <w:tcPr>
            <w:tcW w:w="1197" w:type="dxa"/>
            <w:tcBorders>
              <w:top w:val="single" w:color="auto" w:sz="4" w:space="0"/>
              <w:left w:val="single" w:color="auto" w:sz="4" w:space="0"/>
              <w:bottom w:val="single" w:color="auto" w:sz="4" w:space="0"/>
              <w:right w:val="single" w:color="auto" w:sz="4" w:space="0"/>
            </w:tcBorders>
            <w:vAlign w:val="center"/>
          </w:tcPr>
          <w:p w14:paraId="1907281B">
            <w:pPr>
              <w:jc w:val="center"/>
              <w:rPr>
                <w:rFonts w:ascii="宋体" w:hAnsi="宋体" w:cs="宋体"/>
                <w:b/>
                <w:bCs/>
                <w:snapToGrid w:val="0"/>
                <w:color w:val="auto"/>
                <w:sz w:val="24"/>
                <w:highlight w:val="none"/>
              </w:rPr>
            </w:pPr>
            <w:r>
              <w:rPr>
                <w:rFonts w:hint="eastAsia" w:ascii="宋体" w:hAnsi="宋体" w:cs="宋体"/>
                <w:b/>
                <w:bCs/>
                <w:color w:val="auto"/>
                <w:kern w:val="0"/>
                <w:sz w:val="24"/>
                <w:highlight w:val="none"/>
              </w:rPr>
              <w:t>品</w:t>
            </w:r>
            <w:r>
              <w:rPr>
                <w:rFonts w:hint="eastAsia" w:ascii="宋体" w:hAnsi="宋体" w:cs="宋体"/>
                <w:b/>
                <w:bCs/>
                <w:snapToGrid w:val="0"/>
                <w:color w:val="auto"/>
                <w:sz w:val="24"/>
                <w:highlight w:val="none"/>
              </w:rPr>
              <w:t>牌、型号</w:t>
            </w:r>
          </w:p>
        </w:tc>
        <w:tc>
          <w:tcPr>
            <w:tcW w:w="810" w:type="dxa"/>
            <w:tcBorders>
              <w:top w:val="single" w:color="auto" w:sz="4" w:space="0"/>
              <w:left w:val="single" w:color="auto" w:sz="4" w:space="0"/>
              <w:bottom w:val="single" w:color="auto" w:sz="4" w:space="0"/>
              <w:right w:val="single" w:color="auto" w:sz="4" w:space="0"/>
            </w:tcBorders>
            <w:vAlign w:val="center"/>
          </w:tcPr>
          <w:p w14:paraId="4FE27FB4">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规格配置</w:t>
            </w:r>
          </w:p>
          <w:p w14:paraId="6689B9DF">
            <w:pPr>
              <w:jc w:val="center"/>
              <w:rPr>
                <w:rFonts w:ascii="宋体" w:hAnsi="宋体" w:cs="宋体"/>
                <w:b/>
                <w:bCs/>
                <w:snapToGrid w:val="0"/>
                <w:color w:val="auto"/>
                <w:sz w:val="24"/>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161DF5E2">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单价</w:t>
            </w:r>
          </w:p>
          <w:p w14:paraId="5803AB9D">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（元/月/台）</w:t>
            </w:r>
          </w:p>
        </w:tc>
        <w:tc>
          <w:tcPr>
            <w:tcW w:w="1059" w:type="dxa"/>
            <w:tcBorders>
              <w:top w:val="single" w:color="auto" w:sz="4" w:space="0"/>
              <w:left w:val="single" w:color="auto" w:sz="4" w:space="0"/>
              <w:bottom w:val="single" w:color="auto" w:sz="4" w:space="0"/>
              <w:right w:val="single" w:color="auto" w:sz="4" w:space="0"/>
            </w:tcBorders>
            <w:vAlign w:val="center"/>
          </w:tcPr>
          <w:p w14:paraId="336452FB">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合价（元）</w:t>
            </w:r>
          </w:p>
        </w:tc>
        <w:tc>
          <w:tcPr>
            <w:tcW w:w="1846" w:type="dxa"/>
            <w:tcBorders>
              <w:top w:val="single" w:color="auto" w:sz="4" w:space="0"/>
              <w:left w:val="single" w:color="auto" w:sz="4" w:space="0"/>
              <w:bottom w:val="single" w:color="auto" w:sz="4" w:space="0"/>
              <w:right w:val="single" w:color="auto" w:sz="4" w:space="0"/>
            </w:tcBorders>
            <w:vAlign w:val="center"/>
          </w:tcPr>
          <w:p w14:paraId="171B0379">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服务期</w:t>
            </w:r>
          </w:p>
        </w:tc>
      </w:tr>
      <w:tr w14:paraId="4EBB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516" w:type="dxa"/>
            <w:tcBorders>
              <w:top w:val="single" w:color="auto" w:sz="4" w:space="0"/>
              <w:left w:val="single" w:color="auto" w:sz="4" w:space="0"/>
              <w:bottom w:val="single" w:color="auto" w:sz="4" w:space="0"/>
              <w:right w:val="single" w:color="auto" w:sz="4" w:space="0"/>
            </w:tcBorders>
            <w:vAlign w:val="center"/>
          </w:tcPr>
          <w:p w14:paraId="4F4B8B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14" w:type="dxa"/>
            <w:tcBorders>
              <w:top w:val="single" w:color="auto" w:sz="4" w:space="0"/>
              <w:left w:val="single" w:color="auto" w:sz="4" w:space="0"/>
              <w:bottom w:val="single" w:color="auto" w:sz="4" w:space="0"/>
              <w:right w:val="single" w:color="auto" w:sz="4" w:space="0"/>
            </w:tcBorders>
            <w:vAlign w:val="center"/>
          </w:tcPr>
          <w:p w14:paraId="0ABFE41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PDT数字集群对讲机</w:t>
            </w:r>
          </w:p>
        </w:tc>
        <w:tc>
          <w:tcPr>
            <w:tcW w:w="517" w:type="dxa"/>
            <w:tcBorders>
              <w:top w:val="single" w:color="auto" w:sz="4" w:space="0"/>
              <w:left w:val="single" w:color="auto" w:sz="4" w:space="0"/>
              <w:bottom w:val="single" w:color="auto" w:sz="4" w:space="0"/>
              <w:right w:val="single" w:color="auto" w:sz="4" w:space="0"/>
            </w:tcBorders>
            <w:vAlign w:val="center"/>
          </w:tcPr>
          <w:p w14:paraId="23DA1218">
            <w:pPr>
              <w:jc w:val="center"/>
              <w:rPr>
                <w:rFonts w:ascii="宋体" w:hAnsi="宋体" w:cs="宋体"/>
                <w:color w:val="auto"/>
                <w:sz w:val="24"/>
                <w:highlight w:val="none"/>
              </w:rPr>
            </w:pPr>
            <w:r>
              <w:rPr>
                <w:rFonts w:hint="eastAsia" w:ascii="宋体" w:hAnsi="宋体" w:cs="宋体"/>
                <w:color w:val="auto"/>
                <w:kern w:val="0"/>
                <w:sz w:val="24"/>
                <w:highlight w:val="none"/>
              </w:rPr>
              <w:t>台</w:t>
            </w:r>
          </w:p>
        </w:tc>
        <w:tc>
          <w:tcPr>
            <w:tcW w:w="696" w:type="dxa"/>
            <w:tcBorders>
              <w:top w:val="single" w:color="auto" w:sz="4" w:space="0"/>
              <w:left w:val="single" w:color="auto" w:sz="4" w:space="0"/>
              <w:bottom w:val="single" w:color="auto" w:sz="4" w:space="0"/>
              <w:right w:val="single" w:color="auto" w:sz="4" w:space="0"/>
            </w:tcBorders>
            <w:vAlign w:val="center"/>
          </w:tcPr>
          <w:p w14:paraId="542BB32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2000 </w:t>
            </w:r>
          </w:p>
        </w:tc>
        <w:tc>
          <w:tcPr>
            <w:tcW w:w="517" w:type="dxa"/>
            <w:tcBorders>
              <w:top w:val="single" w:color="auto" w:sz="4" w:space="0"/>
              <w:left w:val="single" w:color="auto" w:sz="4" w:space="0"/>
              <w:bottom w:val="single" w:color="auto" w:sz="4" w:space="0"/>
              <w:right w:val="single" w:color="auto" w:sz="4" w:space="0"/>
            </w:tcBorders>
            <w:vAlign w:val="center"/>
          </w:tcPr>
          <w:p w14:paraId="6A13A4A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197" w:type="dxa"/>
            <w:tcBorders>
              <w:top w:val="single" w:color="auto" w:sz="4" w:space="0"/>
              <w:left w:val="single" w:color="auto" w:sz="4" w:space="0"/>
              <w:bottom w:val="single" w:color="auto" w:sz="4" w:space="0"/>
              <w:right w:val="single" w:color="auto" w:sz="4" w:space="0"/>
            </w:tcBorders>
          </w:tcPr>
          <w:p w14:paraId="772354B3">
            <w:pPr>
              <w:widowControl/>
              <w:jc w:val="center"/>
              <w:rPr>
                <w:rFonts w:ascii="宋体" w:hAnsi="宋体" w:cs="宋体"/>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5F6CD409">
            <w:pPr>
              <w:widowControl/>
              <w:jc w:val="center"/>
              <w:rPr>
                <w:rFonts w:ascii="宋体" w:hAnsi="宋体" w:cs="宋体"/>
                <w:color w:val="auto"/>
                <w:kern w:val="0"/>
                <w:sz w:val="24"/>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D7FCB0B">
            <w:pPr>
              <w:widowControl/>
              <w:jc w:val="center"/>
              <w:rPr>
                <w:rFonts w:ascii="宋体" w:hAnsi="宋体" w:cs="宋体"/>
                <w:color w:val="auto"/>
                <w:kern w:val="0"/>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65E9CBD5">
            <w:pPr>
              <w:widowControl/>
              <w:jc w:val="center"/>
              <w:rPr>
                <w:rFonts w:ascii="宋体" w:hAnsi="宋体" w:cs="宋体"/>
                <w:color w:val="auto"/>
                <w:kern w:val="0"/>
                <w:sz w:val="24"/>
                <w:highlight w:val="none"/>
              </w:rPr>
            </w:pPr>
          </w:p>
        </w:tc>
        <w:tc>
          <w:tcPr>
            <w:tcW w:w="1846" w:type="dxa"/>
            <w:tcBorders>
              <w:top w:val="single" w:color="auto" w:sz="4" w:space="0"/>
              <w:left w:val="single" w:color="auto" w:sz="4" w:space="0"/>
              <w:bottom w:val="single" w:color="auto" w:sz="4" w:space="0"/>
              <w:right w:val="single" w:color="auto" w:sz="4" w:space="0"/>
            </w:tcBorders>
            <w:vAlign w:val="center"/>
          </w:tcPr>
          <w:p w14:paraId="72BFA0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12个月，2025年8月1日-2026年7月31日</w:t>
            </w:r>
          </w:p>
        </w:tc>
      </w:tr>
      <w:tr w14:paraId="1F0B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516" w:type="dxa"/>
            <w:tcBorders>
              <w:top w:val="single" w:color="auto" w:sz="4" w:space="0"/>
              <w:left w:val="single" w:color="auto" w:sz="4" w:space="0"/>
              <w:bottom w:val="single" w:color="auto" w:sz="4" w:space="0"/>
              <w:right w:val="single" w:color="auto" w:sz="4" w:space="0"/>
            </w:tcBorders>
            <w:vAlign w:val="center"/>
          </w:tcPr>
          <w:p w14:paraId="6383159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14" w:type="dxa"/>
            <w:tcBorders>
              <w:top w:val="single" w:color="auto" w:sz="4" w:space="0"/>
              <w:left w:val="single" w:color="auto" w:sz="4" w:space="0"/>
              <w:bottom w:val="single" w:color="auto" w:sz="4" w:space="0"/>
              <w:right w:val="single" w:color="auto" w:sz="4" w:space="0"/>
            </w:tcBorders>
            <w:vAlign w:val="center"/>
          </w:tcPr>
          <w:p w14:paraId="28BC918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PDT加密卡</w:t>
            </w:r>
          </w:p>
        </w:tc>
        <w:tc>
          <w:tcPr>
            <w:tcW w:w="517" w:type="dxa"/>
            <w:tcBorders>
              <w:top w:val="single" w:color="auto" w:sz="4" w:space="0"/>
              <w:left w:val="single" w:color="auto" w:sz="4" w:space="0"/>
              <w:bottom w:val="single" w:color="auto" w:sz="4" w:space="0"/>
              <w:right w:val="single" w:color="auto" w:sz="4" w:space="0"/>
            </w:tcBorders>
            <w:vAlign w:val="center"/>
          </w:tcPr>
          <w:p w14:paraId="010668AF">
            <w:pPr>
              <w:jc w:val="center"/>
              <w:rPr>
                <w:rFonts w:ascii="宋体" w:hAnsi="宋体" w:cs="宋体"/>
                <w:color w:val="auto"/>
                <w:kern w:val="0"/>
                <w:sz w:val="24"/>
                <w:highlight w:val="none"/>
              </w:rPr>
            </w:pPr>
            <w:r>
              <w:rPr>
                <w:rFonts w:hint="eastAsia" w:ascii="宋体" w:hAnsi="宋体" w:cs="宋体"/>
                <w:color w:val="auto"/>
                <w:kern w:val="0"/>
                <w:sz w:val="24"/>
                <w:highlight w:val="none"/>
              </w:rPr>
              <w:t>张</w:t>
            </w:r>
          </w:p>
        </w:tc>
        <w:tc>
          <w:tcPr>
            <w:tcW w:w="696" w:type="dxa"/>
            <w:tcBorders>
              <w:top w:val="single" w:color="auto" w:sz="4" w:space="0"/>
              <w:left w:val="single" w:color="auto" w:sz="4" w:space="0"/>
              <w:bottom w:val="single" w:color="auto" w:sz="4" w:space="0"/>
              <w:right w:val="single" w:color="auto" w:sz="4" w:space="0"/>
            </w:tcBorders>
            <w:vAlign w:val="center"/>
          </w:tcPr>
          <w:p w14:paraId="077F52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517" w:type="dxa"/>
            <w:tcBorders>
              <w:top w:val="single" w:color="auto" w:sz="4" w:space="0"/>
              <w:left w:val="single" w:color="auto" w:sz="4" w:space="0"/>
              <w:bottom w:val="single" w:color="auto" w:sz="4" w:space="0"/>
              <w:right w:val="single" w:color="auto" w:sz="4" w:space="0"/>
            </w:tcBorders>
            <w:vAlign w:val="center"/>
          </w:tcPr>
          <w:p w14:paraId="1B6A20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197" w:type="dxa"/>
            <w:tcBorders>
              <w:top w:val="single" w:color="auto" w:sz="4" w:space="0"/>
              <w:left w:val="single" w:color="auto" w:sz="4" w:space="0"/>
              <w:bottom w:val="single" w:color="auto" w:sz="4" w:space="0"/>
              <w:right w:val="single" w:color="auto" w:sz="4" w:space="0"/>
            </w:tcBorders>
          </w:tcPr>
          <w:p w14:paraId="7B8ADD0B">
            <w:pPr>
              <w:widowControl/>
              <w:jc w:val="center"/>
              <w:rPr>
                <w:rFonts w:ascii="宋体" w:hAnsi="宋体" w:cs="宋体"/>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tcPr>
          <w:p w14:paraId="45D86121">
            <w:pPr>
              <w:widowControl/>
              <w:jc w:val="center"/>
              <w:rPr>
                <w:rFonts w:ascii="宋体" w:hAnsi="宋体" w:cs="宋体"/>
                <w:color w:val="auto"/>
                <w:kern w:val="0"/>
                <w:sz w:val="24"/>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6CB90E70">
            <w:pPr>
              <w:widowControl/>
              <w:jc w:val="center"/>
              <w:rPr>
                <w:rFonts w:ascii="宋体" w:hAnsi="宋体" w:cs="宋体"/>
                <w:color w:val="auto"/>
                <w:kern w:val="0"/>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0EADA329">
            <w:pPr>
              <w:widowControl/>
              <w:jc w:val="center"/>
              <w:rPr>
                <w:rFonts w:ascii="宋体" w:hAnsi="宋体" w:cs="宋体"/>
                <w:color w:val="auto"/>
                <w:kern w:val="0"/>
                <w:sz w:val="24"/>
                <w:highlight w:val="none"/>
              </w:rPr>
            </w:pPr>
          </w:p>
        </w:tc>
        <w:tc>
          <w:tcPr>
            <w:tcW w:w="1846" w:type="dxa"/>
            <w:tcBorders>
              <w:top w:val="single" w:color="auto" w:sz="4" w:space="0"/>
              <w:left w:val="single" w:color="auto" w:sz="4" w:space="0"/>
              <w:bottom w:val="single" w:color="auto" w:sz="4" w:space="0"/>
              <w:right w:val="single" w:color="auto" w:sz="4" w:space="0"/>
            </w:tcBorders>
            <w:vAlign w:val="center"/>
          </w:tcPr>
          <w:p w14:paraId="1F9AC74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12个月，2025年8月1日-2026年7月31日</w:t>
            </w:r>
          </w:p>
        </w:tc>
      </w:tr>
      <w:tr w14:paraId="50BB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457" w:type="dxa"/>
            <w:gridSpan w:val="6"/>
            <w:tcBorders>
              <w:top w:val="single" w:color="auto" w:sz="4" w:space="0"/>
              <w:left w:val="single" w:color="auto" w:sz="4" w:space="0"/>
              <w:bottom w:val="single" w:color="auto" w:sz="4" w:space="0"/>
              <w:right w:val="single" w:color="auto" w:sz="4" w:space="0"/>
            </w:tcBorders>
            <w:vAlign w:val="center"/>
          </w:tcPr>
          <w:p w14:paraId="1AE43887">
            <w:pPr>
              <w:widowControl/>
              <w:jc w:val="center"/>
              <w:rPr>
                <w:rFonts w:ascii="宋体" w:hAnsi="宋体" w:cs="宋体"/>
                <w:color w:val="auto"/>
                <w:kern w:val="0"/>
                <w:sz w:val="24"/>
                <w:highlight w:val="none"/>
              </w:rPr>
            </w:pPr>
            <w:r>
              <w:rPr>
                <w:rFonts w:hint="eastAsia" w:ascii="宋体" w:hAnsi="宋体" w:cs="宋体"/>
                <w:b/>
                <w:bCs/>
                <w:snapToGrid w:val="0"/>
                <w:color w:val="auto"/>
                <w:sz w:val="24"/>
                <w:highlight w:val="none"/>
              </w:rPr>
              <w:t>合同总价人民币（小写）</w:t>
            </w:r>
          </w:p>
        </w:tc>
        <w:tc>
          <w:tcPr>
            <w:tcW w:w="4799" w:type="dxa"/>
            <w:gridSpan w:val="4"/>
            <w:tcBorders>
              <w:top w:val="single" w:color="auto" w:sz="4" w:space="0"/>
              <w:left w:val="single" w:color="auto" w:sz="4" w:space="0"/>
              <w:bottom w:val="single" w:color="auto" w:sz="4" w:space="0"/>
              <w:right w:val="single" w:color="auto" w:sz="4" w:space="0"/>
            </w:tcBorders>
          </w:tcPr>
          <w:p w14:paraId="7B2F40DB">
            <w:pPr>
              <w:widowControl/>
              <w:jc w:val="center"/>
              <w:rPr>
                <w:rFonts w:ascii="宋体" w:hAnsi="宋体" w:cs="宋体"/>
                <w:color w:val="auto"/>
                <w:kern w:val="0"/>
                <w:sz w:val="24"/>
                <w:highlight w:val="none"/>
              </w:rPr>
            </w:pPr>
          </w:p>
        </w:tc>
      </w:tr>
      <w:tr w14:paraId="6506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457" w:type="dxa"/>
            <w:gridSpan w:val="6"/>
            <w:tcBorders>
              <w:top w:val="single" w:color="auto" w:sz="4" w:space="0"/>
              <w:left w:val="single" w:color="auto" w:sz="4" w:space="0"/>
              <w:bottom w:val="single" w:color="auto" w:sz="4" w:space="0"/>
              <w:right w:val="single" w:color="auto" w:sz="4" w:space="0"/>
            </w:tcBorders>
            <w:vAlign w:val="center"/>
          </w:tcPr>
          <w:p w14:paraId="67646A50">
            <w:pPr>
              <w:widowControl/>
              <w:jc w:val="center"/>
              <w:rPr>
                <w:rFonts w:ascii="宋体" w:hAnsi="宋体" w:cs="宋体"/>
                <w:color w:val="auto"/>
                <w:kern w:val="0"/>
                <w:sz w:val="24"/>
                <w:highlight w:val="none"/>
              </w:rPr>
            </w:pPr>
            <w:r>
              <w:rPr>
                <w:rFonts w:hint="eastAsia" w:ascii="宋体" w:hAnsi="宋体" w:cs="宋体"/>
                <w:b/>
                <w:bCs/>
                <w:snapToGrid w:val="0"/>
                <w:color w:val="auto"/>
                <w:sz w:val="24"/>
                <w:highlight w:val="none"/>
              </w:rPr>
              <w:t>合同总价人民币（大写）</w:t>
            </w:r>
          </w:p>
        </w:tc>
        <w:tc>
          <w:tcPr>
            <w:tcW w:w="4799" w:type="dxa"/>
            <w:gridSpan w:val="4"/>
            <w:tcBorders>
              <w:top w:val="single" w:color="auto" w:sz="4" w:space="0"/>
              <w:left w:val="single" w:color="auto" w:sz="4" w:space="0"/>
              <w:bottom w:val="single" w:color="auto" w:sz="4" w:space="0"/>
              <w:right w:val="single" w:color="auto" w:sz="4" w:space="0"/>
            </w:tcBorders>
          </w:tcPr>
          <w:p w14:paraId="4C36D9BC">
            <w:pPr>
              <w:widowControl/>
              <w:jc w:val="center"/>
              <w:rPr>
                <w:rFonts w:ascii="宋体" w:hAnsi="宋体" w:cs="宋体"/>
                <w:color w:val="auto"/>
                <w:kern w:val="0"/>
                <w:sz w:val="24"/>
                <w:highlight w:val="none"/>
              </w:rPr>
            </w:pPr>
          </w:p>
        </w:tc>
      </w:tr>
    </w:tbl>
    <w:p w14:paraId="2452C9C3">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4FCA93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685F9985">
      <w:pPr>
        <w:spacing w:line="360" w:lineRule="auto"/>
        <w:jc w:val="center"/>
        <w:outlineLvl w:val="0"/>
        <w:rPr>
          <w:rFonts w:ascii="宋体" w:hAnsi="宋体" w:cs="宋体"/>
          <w:b/>
          <w:color w:val="auto"/>
          <w:kern w:val="0"/>
          <w:sz w:val="36"/>
          <w:szCs w:val="36"/>
          <w:highlight w:val="none"/>
        </w:rPr>
      </w:pPr>
    </w:p>
    <w:p w14:paraId="13130F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8B438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E41A2D">
      <w:pPr>
        <w:spacing w:line="360" w:lineRule="auto"/>
        <w:jc w:val="center"/>
        <w:outlineLvl w:val="0"/>
        <w:rPr>
          <w:rFonts w:ascii="宋体" w:hAnsi="宋体" w:cs="宋体"/>
          <w:b/>
          <w:color w:val="auto"/>
          <w:kern w:val="0"/>
          <w:sz w:val="36"/>
          <w:szCs w:val="36"/>
          <w:highlight w:val="none"/>
        </w:rPr>
      </w:pPr>
    </w:p>
    <w:p w14:paraId="0507B8B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60CD214">
      <w:pPr>
        <w:adjustRightInd w:val="0"/>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1D3814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EB7E4D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0BD2B5CD">
      <w:pPr>
        <w:adjustRightInd w:val="0"/>
        <w:snapToGrid w:val="0"/>
        <w:spacing w:line="360" w:lineRule="auto"/>
        <w:ind w:firstLine="480" w:firstLineChars="200"/>
        <w:rPr>
          <w:rFonts w:ascii="宋体" w:hAnsi="宋体" w:cs="宋体"/>
          <w:color w:val="auto"/>
          <w:sz w:val="24"/>
          <w:highlight w:val="none"/>
        </w:rPr>
      </w:pPr>
    </w:p>
    <w:p w14:paraId="1B0A8D06">
      <w:pPr>
        <w:spacing w:line="360" w:lineRule="auto"/>
        <w:ind w:firstLine="480" w:firstLineChars="200"/>
        <w:rPr>
          <w:rFonts w:ascii="宋体" w:hAnsi="宋体" w:cs="宋体"/>
          <w:color w:val="auto"/>
          <w:sz w:val="24"/>
          <w:highlight w:val="none"/>
        </w:rPr>
      </w:pPr>
    </w:p>
    <w:p w14:paraId="240BFBF6">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5BD1BC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杭州市公安局交通警察支队、浙江五石中正工程咨询有限公司：</w:t>
      </w:r>
    </w:p>
    <w:p w14:paraId="084B15C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我方参与2025年杭州交警业务系统租赁使用服务-2025年PDT数字集群终端设备使用服务项目【招标编号：ZJWS2025-JJZD07】政府采购活动，郑重承诺：</w:t>
      </w:r>
    </w:p>
    <w:p w14:paraId="385C5905">
      <w:pPr>
        <w:adjustRightInd w:val="0"/>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C13A40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8BFE10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C5348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A4D65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4F0546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206F71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067EE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D6A42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EEB9A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D39586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EB760E4">
      <w:pPr>
        <w:adjustRightInd w:val="0"/>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629E24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7E7EF3">
      <w:pPr>
        <w:adjustRightInd w:val="0"/>
        <w:snapToGrid w:val="0"/>
        <w:spacing w:line="360" w:lineRule="auto"/>
        <w:ind w:right="480"/>
        <w:jc w:val="center"/>
        <w:rPr>
          <w:rFonts w:ascii="宋体" w:hAnsi="宋体" w:cs="宋体"/>
          <w:b/>
          <w:color w:val="auto"/>
          <w:kern w:val="0"/>
          <w:sz w:val="32"/>
          <w:szCs w:val="32"/>
          <w:highlight w:val="none"/>
        </w:rPr>
      </w:pPr>
    </w:p>
    <w:p w14:paraId="47F5AD43">
      <w:pPr>
        <w:adjustRightInd w:val="0"/>
        <w:snapToGrid w:val="0"/>
        <w:spacing w:line="360" w:lineRule="auto"/>
        <w:ind w:right="480"/>
        <w:jc w:val="center"/>
        <w:rPr>
          <w:rFonts w:ascii="宋体" w:hAnsi="宋体" w:cs="宋体"/>
          <w:b/>
          <w:color w:val="auto"/>
          <w:kern w:val="0"/>
          <w:sz w:val="32"/>
          <w:szCs w:val="32"/>
          <w:highlight w:val="none"/>
        </w:rPr>
      </w:pPr>
    </w:p>
    <w:p w14:paraId="37DE6CA2">
      <w:pPr>
        <w:adjustRightInd w:val="0"/>
        <w:snapToGrid w:val="0"/>
        <w:spacing w:line="360" w:lineRule="auto"/>
        <w:ind w:right="480"/>
        <w:jc w:val="center"/>
        <w:rPr>
          <w:rFonts w:ascii="宋体" w:hAnsi="宋体" w:cs="宋体"/>
          <w:b/>
          <w:color w:val="auto"/>
          <w:kern w:val="0"/>
          <w:sz w:val="32"/>
          <w:szCs w:val="32"/>
          <w:highlight w:val="none"/>
        </w:rPr>
      </w:pPr>
    </w:p>
    <w:p w14:paraId="520A8107">
      <w:pPr>
        <w:rPr>
          <w:rFonts w:ascii="宋体" w:hAnsi="宋体" w:cs="宋体"/>
          <w:color w:val="auto"/>
          <w:highlight w:val="none"/>
        </w:rPr>
      </w:pPr>
    </w:p>
    <w:p w14:paraId="1F39D2C7">
      <w:pPr>
        <w:adjustRightInd w:val="0"/>
        <w:snapToGrid w:val="0"/>
        <w:spacing w:line="360" w:lineRule="auto"/>
        <w:ind w:right="480"/>
        <w:jc w:val="center"/>
        <w:rPr>
          <w:rFonts w:ascii="宋体" w:hAnsi="宋体" w:cs="宋体"/>
          <w:b/>
          <w:color w:val="auto"/>
          <w:kern w:val="0"/>
          <w:sz w:val="32"/>
          <w:szCs w:val="32"/>
          <w:highlight w:val="none"/>
        </w:rPr>
      </w:pPr>
    </w:p>
    <w:p w14:paraId="758782AC">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05C6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AD9BC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DCEE988">
      <w:pPr>
        <w:adjustRightInd w:val="0"/>
        <w:snapToGrid w:val="0"/>
        <w:spacing w:line="360" w:lineRule="auto"/>
        <w:ind w:right="480"/>
        <w:jc w:val="center"/>
        <w:rPr>
          <w:rFonts w:ascii="宋体" w:hAnsi="宋体" w:cs="宋体"/>
          <w:b/>
          <w:color w:val="auto"/>
          <w:kern w:val="0"/>
          <w:sz w:val="32"/>
          <w:szCs w:val="32"/>
          <w:highlight w:val="none"/>
        </w:rPr>
      </w:pPr>
    </w:p>
    <w:p w14:paraId="0E36BEB3">
      <w:pPr>
        <w:adjustRightInd w:val="0"/>
        <w:snapToGrid w:val="0"/>
        <w:spacing w:line="360" w:lineRule="auto"/>
        <w:ind w:right="480"/>
        <w:jc w:val="center"/>
        <w:rPr>
          <w:rFonts w:ascii="宋体" w:hAnsi="宋体" w:cs="宋体"/>
          <w:b/>
          <w:color w:val="auto"/>
          <w:kern w:val="0"/>
          <w:sz w:val="32"/>
          <w:szCs w:val="32"/>
          <w:highlight w:val="none"/>
        </w:rPr>
      </w:pPr>
    </w:p>
    <w:p w14:paraId="4F28135A">
      <w:pPr>
        <w:adjustRightInd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9FC0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79B38CD">
      <w:pPr>
        <w:adjustRightInd w:val="0"/>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20F8695C">
      <w:pPr>
        <w:widowControl/>
        <w:spacing w:line="360" w:lineRule="auto"/>
        <w:ind w:firstLine="480"/>
        <w:jc w:val="left"/>
        <w:rPr>
          <w:rFonts w:ascii="宋体" w:hAnsi="宋体" w:cs="宋体"/>
          <w:color w:val="auto"/>
          <w:sz w:val="24"/>
          <w:highlight w:val="none"/>
        </w:rPr>
      </w:pPr>
    </w:p>
    <w:p w14:paraId="4FE211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D355299">
      <w:pPr>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80E7E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D29BB7E">
      <w:pPr>
        <w:widowControl/>
        <w:spacing w:line="360" w:lineRule="auto"/>
        <w:ind w:left="150"/>
        <w:jc w:val="center"/>
        <w:rPr>
          <w:rFonts w:ascii="宋体" w:hAnsi="宋体" w:cs="宋体"/>
          <w:b/>
          <w:color w:val="auto"/>
          <w:kern w:val="0"/>
          <w:sz w:val="32"/>
          <w:szCs w:val="32"/>
          <w:highlight w:val="none"/>
        </w:rPr>
      </w:pPr>
    </w:p>
    <w:p w14:paraId="68D59BE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1A922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D8E0D8C">
      <w:pPr>
        <w:rPr>
          <w:rFonts w:ascii="宋体" w:hAnsi="宋体" w:cs="宋体"/>
          <w:color w:val="auto"/>
          <w:highlight w:val="none"/>
        </w:rPr>
      </w:pPr>
    </w:p>
    <w:p w14:paraId="0F9657E9">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20DA1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E1D05F">
      <w:pPr>
        <w:spacing w:line="360" w:lineRule="auto"/>
        <w:jc w:val="center"/>
        <w:outlineLvl w:val="0"/>
        <w:rPr>
          <w:rFonts w:ascii="宋体" w:hAnsi="宋体" w:cs="宋体"/>
          <w:b/>
          <w:color w:val="auto"/>
          <w:kern w:val="0"/>
          <w:sz w:val="24"/>
          <w:highlight w:val="none"/>
        </w:rPr>
      </w:pPr>
    </w:p>
    <w:p w14:paraId="310524F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F5DAF23">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E0DE54">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23E34A7B">
      <w:pPr>
        <w:adjustRightInd w:val="0"/>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D575D3E">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……………………………………………………（页码）</w:t>
      </w:r>
    </w:p>
    <w:p w14:paraId="439FAC4D">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（6）投标标的清单</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5F53109">
      <w:pPr>
        <w:adjustRightInd w:val="0"/>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638B5D8">
      <w:pPr>
        <w:adjustRightInd w:val="0"/>
        <w:snapToGrid w:val="0"/>
        <w:spacing w:line="360" w:lineRule="auto"/>
        <w:jc w:val="center"/>
        <w:rPr>
          <w:rFonts w:ascii="宋体" w:hAnsi="宋体" w:cs="宋体"/>
          <w:b/>
          <w:color w:val="auto"/>
          <w:kern w:val="0"/>
          <w:sz w:val="32"/>
          <w:szCs w:val="32"/>
          <w:highlight w:val="none"/>
          <w:lang w:val="zh-CN"/>
        </w:rPr>
      </w:pPr>
    </w:p>
    <w:p w14:paraId="076CB44A">
      <w:pPr>
        <w:adjustRightInd w:val="0"/>
        <w:snapToGrid w:val="0"/>
        <w:spacing w:line="360" w:lineRule="auto"/>
        <w:jc w:val="center"/>
        <w:rPr>
          <w:rFonts w:ascii="宋体" w:hAnsi="宋体" w:cs="宋体"/>
          <w:b/>
          <w:color w:val="auto"/>
          <w:kern w:val="0"/>
          <w:sz w:val="32"/>
          <w:szCs w:val="32"/>
          <w:highlight w:val="none"/>
          <w:lang w:val="zh-CN"/>
        </w:rPr>
      </w:pPr>
    </w:p>
    <w:p w14:paraId="2B793CE2">
      <w:pPr>
        <w:adjustRightInd w:val="0"/>
        <w:snapToGrid w:val="0"/>
        <w:spacing w:line="360" w:lineRule="auto"/>
        <w:jc w:val="center"/>
        <w:rPr>
          <w:rFonts w:ascii="宋体" w:hAnsi="宋体" w:cs="宋体"/>
          <w:b/>
          <w:color w:val="auto"/>
          <w:kern w:val="0"/>
          <w:sz w:val="32"/>
          <w:szCs w:val="32"/>
          <w:highlight w:val="none"/>
          <w:lang w:val="zh-CN"/>
        </w:rPr>
      </w:pPr>
    </w:p>
    <w:p w14:paraId="32F3E618">
      <w:pPr>
        <w:adjustRightInd w:val="0"/>
        <w:snapToGrid w:val="0"/>
        <w:spacing w:line="360" w:lineRule="auto"/>
        <w:jc w:val="center"/>
        <w:rPr>
          <w:rFonts w:ascii="宋体" w:hAnsi="宋体" w:cs="宋体"/>
          <w:b/>
          <w:color w:val="auto"/>
          <w:kern w:val="0"/>
          <w:sz w:val="32"/>
          <w:szCs w:val="32"/>
          <w:highlight w:val="none"/>
          <w:lang w:val="zh-CN"/>
        </w:rPr>
      </w:pPr>
    </w:p>
    <w:p w14:paraId="3F61131E">
      <w:pPr>
        <w:adjustRightInd w:val="0"/>
        <w:snapToGrid w:val="0"/>
        <w:spacing w:line="360" w:lineRule="auto"/>
        <w:jc w:val="center"/>
        <w:rPr>
          <w:rFonts w:ascii="宋体" w:hAnsi="宋体" w:cs="宋体"/>
          <w:b/>
          <w:color w:val="auto"/>
          <w:kern w:val="0"/>
          <w:sz w:val="32"/>
          <w:szCs w:val="32"/>
          <w:highlight w:val="none"/>
          <w:lang w:val="zh-CN"/>
        </w:rPr>
      </w:pPr>
    </w:p>
    <w:p w14:paraId="580776E4">
      <w:pPr>
        <w:adjustRightInd w:val="0"/>
        <w:snapToGrid w:val="0"/>
        <w:spacing w:line="360" w:lineRule="auto"/>
        <w:jc w:val="center"/>
        <w:rPr>
          <w:rFonts w:ascii="宋体" w:hAnsi="宋体" w:cs="宋体"/>
          <w:b/>
          <w:color w:val="auto"/>
          <w:kern w:val="0"/>
          <w:sz w:val="32"/>
          <w:szCs w:val="32"/>
          <w:highlight w:val="none"/>
          <w:lang w:val="zh-CN"/>
        </w:rPr>
      </w:pPr>
    </w:p>
    <w:p w14:paraId="139771B4">
      <w:pPr>
        <w:adjustRightInd w:val="0"/>
        <w:snapToGrid w:val="0"/>
        <w:spacing w:line="360" w:lineRule="auto"/>
        <w:jc w:val="center"/>
        <w:rPr>
          <w:rFonts w:ascii="宋体" w:hAnsi="宋体" w:cs="宋体"/>
          <w:b/>
          <w:color w:val="auto"/>
          <w:kern w:val="0"/>
          <w:sz w:val="32"/>
          <w:szCs w:val="32"/>
          <w:highlight w:val="none"/>
          <w:lang w:val="zh-CN"/>
        </w:rPr>
      </w:pPr>
    </w:p>
    <w:p w14:paraId="263BDCC1">
      <w:pPr>
        <w:adjustRightInd w:val="0"/>
        <w:snapToGrid w:val="0"/>
        <w:spacing w:line="360" w:lineRule="auto"/>
        <w:jc w:val="center"/>
        <w:rPr>
          <w:rFonts w:ascii="宋体" w:hAnsi="宋体" w:cs="宋体"/>
          <w:b/>
          <w:color w:val="auto"/>
          <w:kern w:val="0"/>
          <w:sz w:val="32"/>
          <w:szCs w:val="32"/>
          <w:highlight w:val="none"/>
          <w:lang w:val="zh-CN"/>
        </w:rPr>
      </w:pPr>
    </w:p>
    <w:p w14:paraId="71C76903">
      <w:pPr>
        <w:adjustRightInd w:val="0"/>
        <w:snapToGrid w:val="0"/>
        <w:spacing w:line="360" w:lineRule="auto"/>
        <w:jc w:val="center"/>
        <w:rPr>
          <w:rFonts w:ascii="宋体" w:hAnsi="宋体" w:cs="宋体"/>
          <w:b/>
          <w:color w:val="auto"/>
          <w:kern w:val="0"/>
          <w:sz w:val="32"/>
          <w:szCs w:val="32"/>
          <w:highlight w:val="none"/>
          <w:lang w:val="zh-CN"/>
        </w:rPr>
      </w:pPr>
    </w:p>
    <w:p w14:paraId="173A130B">
      <w:pPr>
        <w:adjustRightInd w:val="0"/>
        <w:snapToGrid w:val="0"/>
        <w:spacing w:line="360" w:lineRule="auto"/>
        <w:jc w:val="center"/>
        <w:rPr>
          <w:rFonts w:ascii="宋体" w:hAnsi="宋体" w:cs="宋体"/>
          <w:b/>
          <w:color w:val="auto"/>
          <w:kern w:val="0"/>
          <w:sz w:val="32"/>
          <w:szCs w:val="32"/>
          <w:highlight w:val="none"/>
          <w:lang w:val="zh-CN"/>
        </w:rPr>
      </w:pPr>
    </w:p>
    <w:p w14:paraId="08711EBB">
      <w:pPr>
        <w:adjustRightInd w:val="0"/>
        <w:snapToGrid w:val="0"/>
        <w:spacing w:line="360" w:lineRule="auto"/>
        <w:jc w:val="center"/>
        <w:rPr>
          <w:rFonts w:ascii="宋体" w:hAnsi="宋体" w:cs="宋体"/>
          <w:b/>
          <w:color w:val="auto"/>
          <w:kern w:val="0"/>
          <w:sz w:val="32"/>
          <w:szCs w:val="32"/>
          <w:highlight w:val="none"/>
          <w:lang w:val="zh-CN"/>
        </w:rPr>
      </w:pPr>
    </w:p>
    <w:p w14:paraId="7C5C141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896B2A0">
      <w:pPr>
        <w:adjustRightInd w:val="0"/>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40A46A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杭州市公安局交通警察支队、浙江五石中正工程咨询有限公司：</w:t>
      </w:r>
    </w:p>
    <w:p w14:paraId="3D1B00D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我方参加你方组织的2025年杭州交警业务系统租赁使用服务-2025年PDT数字集群终端设备使用服务项目【招标编号：ZJWS2025-JJZD07】招标的有关活动，并对此项目进行投标。为此：</w:t>
      </w:r>
    </w:p>
    <w:p w14:paraId="0033652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5DB164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7A8F81D">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FC0FD2C">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505D16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8" w:name="_Hlk101257010"/>
      <w:r>
        <w:rPr>
          <w:rFonts w:hint="eastAsia" w:ascii="宋体" w:hAnsi="宋体" w:cs="宋体"/>
          <w:color w:val="auto"/>
          <w:sz w:val="24"/>
          <w:highlight w:val="none"/>
        </w:rPr>
        <w:t>（如果有)</w:t>
      </w:r>
      <w:bookmarkEnd w:id="518"/>
      <w:r>
        <w:rPr>
          <w:rFonts w:hint="eastAsia" w:ascii="宋体" w:hAnsi="宋体" w:cs="宋体"/>
          <w:snapToGrid w:val="0"/>
          <w:color w:val="auto"/>
          <w:kern w:val="28"/>
          <w:sz w:val="24"/>
          <w:szCs w:val="20"/>
          <w:highlight w:val="none"/>
        </w:rPr>
        <w:t>；</w:t>
      </w:r>
    </w:p>
    <w:p w14:paraId="315FF593">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color w:val="auto"/>
          <w:sz w:val="24"/>
          <w:highlight w:val="none"/>
        </w:rPr>
        <w:t>（</w:t>
      </w:r>
      <w:r>
        <w:rPr>
          <w:rFonts w:hint="eastAsia" w:ascii="宋体" w:hAnsi="宋体" w:cs="宋体"/>
          <w:snapToGrid w:val="0"/>
          <w:color w:val="auto"/>
          <w:kern w:val="28"/>
          <w:sz w:val="24"/>
          <w:szCs w:val="20"/>
          <w:highlight w:val="none"/>
        </w:rPr>
        <w:t>提供中小企业声明函</w:t>
      </w:r>
      <w:r>
        <w:rPr>
          <w:rFonts w:hint="eastAsia" w:ascii="宋体" w:hAnsi="宋体" w:cs="宋体"/>
          <w:color w:val="auto"/>
          <w:sz w:val="24"/>
          <w:highlight w:val="none"/>
        </w:rPr>
        <w:t>）</w:t>
      </w:r>
      <w:r>
        <w:rPr>
          <w:rFonts w:hint="eastAsia" w:ascii="宋体" w:hAnsi="宋体" w:cs="宋体"/>
          <w:color w:val="auto"/>
          <w:sz w:val="24"/>
          <w:highlight w:val="none"/>
        </w:rPr>
        <w:t>；</w:t>
      </w:r>
    </w:p>
    <w:p w14:paraId="18B35E4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0A823F52">
      <w:pPr>
        <w:adjustRightInd w:val="0"/>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7B1680">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3B3A34D">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2E0DDEA">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0DC1B302">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5B92D5CD">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88DFEC8">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9C872D7">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40E6F59C">
      <w:pPr>
        <w:adjustRightInd w:val="0"/>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95FE9F">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01A6009">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3476026">
      <w:pPr>
        <w:adjustRightInd w:val="0"/>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p>
    <w:p w14:paraId="50A306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3DF6EA2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8F94388">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A21C6EC">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27242F">
      <w:pPr>
        <w:adjustRightInd w:val="0"/>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4.3在合同约定的期限内完成合同规定的全部义务。 </w:t>
      </w:r>
    </w:p>
    <w:p w14:paraId="45740C30">
      <w:pPr>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C20E02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EF57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2B18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883C45">
      <w:pPr>
        <w:adjustRightInd w:val="0"/>
        <w:snapToGrid w:val="0"/>
        <w:spacing w:line="360" w:lineRule="auto"/>
        <w:ind w:left="420" w:leftChars="200" w:firstLine="4200" w:firstLineChars="1750"/>
        <w:rPr>
          <w:rFonts w:ascii="宋体" w:hAnsi="宋体" w:cs="宋体"/>
          <w:color w:val="auto"/>
          <w:kern w:val="0"/>
          <w:sz w:val="24"/>
          <w:highlight w:val="none"/>
          <w:u w:val="single"/>
        </w:rPr>
      </w:pPr>
    </w:p>
    <w:p w14:paraId="3659A3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6974B0">
      <w:pPr>
        <w:adjustRightInd w:val="0"/>
        <w:snapToGrid w:val="0"/>
        <w:spacing w:line="360" w:lineRule="auto"/>
        <w:jc w:val="center"/>
        <w:rPr>
          <w:rFonts w:ascii="宋体" w:hAnsi="宋体" w:cs="宋体"/>
          <w:b/>
          <w:color w:val="auto"/>
          <w:kern w:val="0"/>
          <w:sz w:val="32"/>
          <w:szCs w:val="32"/>
          <w:highlight w:val="none"/>
        </w:rPr>
      </w:pPr>
    </w:p>
    <w:p w14:paraId="4F0EA0EC">
      <w:pPr>
        <w:adjustRightInd w:val="0"/>
        <w:snapToGrid w:val="0"/>
        <w:spacing w:line="360" w:lineRule="auto"/>
        <w:rPr>
          <w:rFonts w:ascii="宋体" w:hAnsi="宋体" w:cs="宋体"/>
          <w:color w:val="auto"/>
          <w:sz w:val="24"/>
          <w:highlight w:val="none"/>
        </w:rPr>
      </w:pPr>
    </w:p>
    <w:p w14:paraId="3DFC13CD">
      <w:pPr>
        <w:rPr>
          <w:rFonts w:ascii="宋体" w:hAnsi="宋体" w:cs="宋体"/>
          <w:b/>
          <w:color w:val="auto"/>
          <w:kern w:val="0"/>
          <w:sz w:val="32"/>
          <w:szCs w:val="32"/>
          <w:highlight w:val="none"/>
        </w:rPr>
      </w:pPr>
    </w:p>
    <w:p w14:paraId="2DB983F5">
      <w:pPr>
        <w:jc w:val="center"/>
        <w:rPr>
          <w:rFonts w:ascii="宋体" w:hAnsi="宋体" w:cs="宋体"/>
          <w:b/>
          <w:color w:val="auto"/>
          <w:kern w:val="0"/>
          <w:sz w:val="32"/>
          <w:szCs w:val="32"/>
          <w:highlight w:val="none"/>
        </w:rPr>
      </w:pPr>
    </w:p>
    <w:p w14:paraId="6C3999F4">
      <w:pPr>
        <w:jc w:val="center"/>
        <w:rPr>
          <w:rFonts w:ascii="宋体" w:hAnsi="宋体" w:cs="宋体"/>
          <w:b/>
          <w:color w:val="auto"/>
          <w:kern w:val="0"/>
          <w:sz w:val="32"/>
          <w:szCs w:val="32"/>
          <w:highlight w:val="none"/>
        </w:rPr>
      </w:pPr>
    </w:p>
    <w:p w14:paraId="140097E8">
      <w:pPr>
        <w:jc w:val="center"/>
        <w:rPr>
          <w:rFonts w:ascii="宋体" w:hAnsi="宋体" w:cs="宋体"/>
          <w:b/>
          <w:color w:val="auto"/>
          <w:kern w:val="0"/>
          <w:sz w:val="32"/>
          <w:szCs w:val="32"/>
          <w:highlight w:val="none"/>
        </w:rPr>
      </w:pPr>
    </w:p>
    <w:p w14:paraId="53BDFFB7">
      <w:pPr>
        <w:jc w:val="center"/>
        <w:rPr>
          <w:rFonts w:ascii="宋体" w:hAnsi="宋体" w:cs="宋体"/>
          <w:b/>
          <w:color w:val="auto"/>
          <w:kern w:val="0"/>
          <w:sz w:val="32"/>
          <w:szCs w:val="32"/>
          <w:highlight w:val="none"/>
        </w:rPr>
      </w:pPr>
    </w:p>
    <w:p w14:paraId="0362ED54">
      <w:pPr>
        <w:jc w:val="center"/>
        <w:rPr>
          <w:rFonts w:ascii="宋体" w:hAnsi="宋体" w:cs="宋体"/>
          <w:b/>
          <w:color w:val="auto"/>
          <w:kern w:val="0"/>
          <w:sz w:val="32"/>
          <w:szCs w:val="32"/>
          <w:highlight w:val="none"/>
        </w:rPr>
      </w:pPr>
    </w:p>
    <w:p w14:paraId="7175F1B5">
      <w:pPr>
        <w:jc w:val="center"/>
        <w:rPr>
          <w:rFonts w:ascii="宋体" w:hAnsi="宋体" w:cs="宋体"/>
          <w:b/>
          <w:color w:val="auto"/>
          <w:kern w:val="0"/>
          <w:sz w:val="32"/>
          <w:szCs w:val="32"/>
          <w:highlight w:val="none"/>
        </w:rPr>
      </w:pPr>
    </w:p>
    <w:p w14:paraId="38EE581E">
      <w:pPr>
        <w:jc w:val="center"/>
        <w:rPr>
          <w:rFonts w:ascii="宋体" w:hAnsi="宋体" w:cs="宋体"/>
          <w:b/>
          <w:color w:val="auto"/>
          <w:kern w:val="0"/>
          <w:sz w:val="32"/>
          <w:szCs w:val="32"/>
          <w:highlight w:val="none"/>
        </w:rPr>
      </w:pPr>
    </w:p>
    <w:p w14:paraId="481857B8">
      <w:pPr>
        <w:jc w:val="center"/>
        <w:rPr>
          <w:rFonts w:ascii="宋体" w:hAnsi="宋体" w:cs="宋体"/>
          <w:b/>
          <w:color w:val="auto"/>
          <w:kern w:val="0"/>
          <w:sz w:val="32"/>
          <w:szCs w:val="32"/>
          <w:highlight w:val="none"/>
        </w:rPr>
      </w:pPr>
    </w:p>
    <w:p w14:paraId="1B52C3CE">
      <w:pPr>
        <w:jc w:val="center"/>
        <w:rPr>
          <w:rFonts w:ascii="宋体" w:hAnsi="宋体" w:cs="宋体"/>
          <w:b/>
          <w:color w:val="auto"/>
          <w:kern w:val="0"/>
          <w:sz w:val="32"/>
          <w:szCs w:val="32"/>
          <w:highlight w:val="none"/>
        </w:rPr>
      </w:pPr>
    </w:p>
    <w:p w14:paraId="6252844D">
      <w:pPr>
        <w:jc w:val="center"/>
        <w:rPr>
          <w:rFonts w:ascii="宋体" w:hAnsi="宋体" w:cs="宋体"/>
          <w:b/>
          <w:color w:val="auto"/>
          <w:kern w:val="0"/>
          <w:sz w:val="32"/>
          <w:szCs w:val="32"/>
          <w:highlight w:val="none"/>
        </w:rPr>
      </w:pPr>
    </w:p>
    <w:p w14:paraId="7E9C18C1">
      <w:pPr>
        <w:jc w:val="center"/>
        <w:rPr>
          <w:rFonts w:ascii="宋体" w:hAnsi="宋体" w:cs="宋体"/>
          <w:b/>
          <w:color w:val="auto"/>
          <w:kern w:val="0"/>
          <w:sz w:val="32"/>
          <w:szCs w:val="32"/>
          <w:highlight w:val="none"/>
        </w:rPr>
      </w:pPr>
    </w:p>
    <w:p w14:paraId="37FFFC2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7A848A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0F2BECC">
      <w:pPr>
        <w:adjustRightInd w:val="0"/>
        <w:snapToGrid w:val="0"/>
        <w:spacing w:line="360" w:lineRule="auto"/>
        <w:ind w:firstLine="2869" w:firstLineChars="893"/>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C1FF848">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杭州市公安局交通警察支队、浙江五石中正工程咨询有限公司</w:t>
      </w:r>
      <w:r>
        <w:rPr>
          <w:rFonts w:hint="eastAsia" w:ascii="宋体" w:hAnsi="宋体" w:cs="宋体"/>
          <w:color w:val="auto"/>
          <w:kern w:val="0"/>
          <w:sz w:val="24"/>
          <w:highlight w:val="none"/>
          <w:lang w:val="zh-CN"/>
        </w:rPr>
        <w:t>：</w:t>
      </w:r>
    </w:p>
    <w:p w14:paraId="5EC2FD24">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2025年杭州交警业务系统租赁使用服务-2025年PDT数字集群终端设备使用服务项目【招标编号：ZJWS2025-JJZD07】</w:t>
      </w:r>
      <w:r>
        <w:rPr>
          <w:rFonts w:hint="eastAsia" w:ascii="宋体" w:hAnsi="宋体" w:cs="宋体"/>
          <w:color w:val="auto"/>
          <w:kern w:val="0"/>
          <w:sz w:val="24"/>
          <w:highlight w:val="none"/>
          <w:lang w:val="zh-CN"/>
        </w:rPr>
        <w:t>政府采购投标的一切事项，其法律后果由我方承担。</w:t>
      </w:r>
    </w:p>
    <w:p w14:paraId="5E7E9F1B">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4130A3">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BC03E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F290BB9">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E9005E1">
      <w:pPr>
        <w:adjustRightInd w:val="0"/>
        <w:snapToGrid w:val="0"/>
        <w:spacing w:line="360" w:lineRule="auto"/>
        <w:rPr>
          <w:rFonts w:ascii="宋体" w:hAnsi="宋体" w:cs="宋体"/>
          <w:color w:val="auto"/>
          <w:sz w:val="24"/>
          <w:highlight w:val="none"/>
        </w:rPr>
      </w:pPr>
    </w:p>
    <w:p w14:paraId="2C0BE3E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D4F861">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杭州市公安局交通警察支队、浙江五石中正工程咨询有限公司</w:t>
      </w:r>
      <w:r>
        <w:rPr>
          <w:rFonts w:hint="eastAsia" w:ascii="宋体" w:hAnsi="宋体" w:cs="宋体"/>
          <w:color w:val="auto"/>
          <w:kern w:val="0"/>
          <w:sz w:val="24"/>
          <w:highlight w:val="none"/>
          <w:lang w:val="zh-CN"/>
        </w:rPr>
        <w:t>：</w:t>
      </w:r>
    </w:p>
    <w:p w14:paraId="625F6D75">
      <w:pPr>
        <w:adjustRightInd w:val="0"/>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2025年杭州交警业务系统租赁使用服务-2025年PDT数字集群终端设备使用服务项目【招标编号：ZJWS2025-JJZD07】</w:t>
      </w:r>
      <w:r>
        <w:rPr>
          <w:rFonts w:hint="eastAsia" w:ascii="宋体" w:hAnsi="宋体" w:cs="宋体"/>
          <w:color w:val="auto"/>
          <w:kern w:val="0"/>
          <w:sz w:val="24"/>
          <w:highlight w:val="none"/>
          <w:lang w:val="zh-CN"/>
        </w:rPr>
        <w:t>政府采购投标的一切事项，其法律后果由我方承担。</w:t>
      </w:r>
    </w:p>
    <w:p w14:paraId="1748A90B">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15BDAA">
      <w:pPr>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2DEDF7">
      <w:pPr>
        <w:jc w:val="center"/>
        <w:rPr>
          <w:rFonts w:ascii="宋体" w:hAnsi="宋体" w:cs="宋体"/>
          <w:b/>
          <w:color w:val="auto"/>
          <w:kern w:val="0"/>
          <w:sz w:val="32"/>
          <w:szCs w:val="32"/>
          <w:highlight w:val="none"/>
        </w:rPr>
      </w:pPr>
    </w:p>
    <w:p w14:paraId="4B21FE93">
      <w:pPr>
        <w:rPr>
          <w:rFonts w:ascii="宋体" w:hAnsi="宋体" w:cs="宋体"/>
          <w:color w:val="auto"/>
          <w:highlight w:val="none"/>
        </w:rPr>
      </w:pPr>
    </w:p>
    <w:p w14:paraId="604CA376">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96E026">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ECD15D">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DC9485E">
      <w:pPr>
        <w:adjustRightInd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8471E1">
      <w:pPr>
        <w:autoSpaceDE w:val="0"/>
        <w:autoSpaceDN w:val="0"/>
        <w:spacing w:line="360" w:lineRule="auto"/>
        <w:jc w:val="center"/>
        <w:rPr>
          <w:rFonts w:ascii="宋体" w:hAnsi="宋体" w:cs="宋体"/>
          <w:b/>
          <w:color w:val="auto"/>
          <w:kern w:val="0"/>
          <w:sz w:val="32"/>
          <w:szCs w:val="32"/>
          <w:highlight w:val="none"/>
          <w:lang w:val="zh-CN"/>
        </w:rPr>
      </w:pPr>
    </w:p>
    <w:p w14:paraId="0B2BDAC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C070A2">
      <w:pPr>
        <w:pStyle w:val="14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ED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7246DB">
            <w:pPr>
              <w:pStyle w:val="14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70D00C4">
            <w:pPr>
              <w:pStyle w:val="142"/>
              <w:adjustRightInd w:val="0"/>
              <w:spacing w:line="360" w:lineRule="auto"/>
              <w:rPr>
                <w:rFonts w:hAnsi="宋体" w:cs="宋体"/>
                <w:bCs/>
                <w:color w:val="auto"/>
                <w:sz w:val="24"/>
                <w:highlight w:val="none"/>
              </w:rPr>
            </w:pPr>
          </w:p>
        </w:tc>
      </w:tr>
    </w:tbl>
    <w:p w14:paraId="42154026">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339228">
      <w:pPr>
        <w:adjustRightInd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3AD394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801D84">
      <w:pPr>
        <w:jc w:val="center"/>
        <w:rPr>
          <w:rFonts w:ascii="宋体" w:hAnsi="宋体" w:cs="宋体"/>
          <w:b/>
          <w:color w:val="auto"/>
          <w:kern w:val="0"/>
          <w:sz w:val="32"/>
          <w:szCs w:val="32"/>
          <w:highlight w:val="none"/>
        </w:rPr>
      </w:pPr>
    </w:p>
    <w:p w14:paraId="6A579F19">
      <w:pPr>
        <w:jc w:val="center"/>
        <w:rPr>
          <w:rFonts w:ascii="宋体" w:hAnsi="宋体" w:cs="宋体"/>
          <w:b/>
          <w:color w:val="auto"/>
          <w:kern w:val="0"/>
          <w:sz w:val="32"/>
          <w:szCs w:val="32"/>
          <w:highlight w:val="none"/>
        </w:rPr>
      </w:pPr>
    </w:p>
    <w:p w14:paraId="17010253">
      <w:pPr>
        <w:jc w:val="center"/>
        <w:rPr>
          <w:rFonts w:ascii="宋体" w:hAnsi="宋体" w:cs="宋体"/>
          <w:b/>
          <w:color w:val="auto"/>
          <w:kern w:val="0"/>
          <w:sz w:val="32"/>
          <w:szCs w:val="32"/>
          <w:highlight w:val="none"/>
        </w:rPr>
      </w:pPr>
    </w:p>
    <w:p w14:paraId="6DE08E83">
      <w:pPr>
        <w:jc w:val="center"/>
        <w:rPr>
          <w:rFonts w:ascii="宋体" w:hAnsi="宋体" w:cs="宋体"/>
          <w:b/>
          <w:color w:val="auto"/>
          <w:kern w:val="0"/>
          <w:sz w:val="32"/>
          <w:szCs w:val="32"/>
          <w:highlight w:val="none"/>
        </w:rPr>
      </w:pPr>
    </w:p>
    <w:p w14:paraId="480BB4CD">
      <w:pPr>
        <w:jc w:val="center"/>
        <w:rPr>
          <w:rFonts w:ascii="宋体" w:hAnsi="宋体" w:cs="宋体"/>
          <w:b/>
          <w:color w:val="auto"/>
          <w:kern w:val="0"/>
          <w:sz w:val="32"/>
          <w:szCs w:val="32"/>
          <w:highlight w:val="none"/>
        </w:rPr>
      </w:pPr>
    </w:p>
    <w:p w14:paraId="5A9848AE">
      <w:pPr>
        <w:jc w:val="center"/>
        <w:rPr>
          <w:rFonts w:ascii="宋体" w:hAnsi="宋体" w:cs="宋体"/>
          <w:b/>
          <w:color w:val="auto"/>
          <w:kern w:val="0"/>
          <w:sz w:val="32"/>
          <w:szCs w:val="32"/>
          <w:highlight w:val="none"/>
        </w:rPr>
      </w:pPr>
    </w:p>
    <w:p w14:paraId="79BB8512">
      <w:pPr>
        <w:jc w:val="center"/>
        <w:rPr>
          <w:rFonts w:ascii="宋体" w:hAnsi="宋体" w:cs="宋体"/>
          <w:b/>
          <w:color w:val="auto"/>
          <w:kern w:val="0"/>
          <w:sz w:val="32"/>
          <w:szCs w:val="32"/>
          <w:highlight w:val="none"/>
        </w:rPr>
      </w:pPr>
    </w:p>
    <w:p w14:paraId="5CE7CF3A">
      <w:pPr>
        <w:jc w:val="center"/>
        <w:rPr>
          <w:rFonts w:ascii="宋体" w:hAnsi="宋体" w:cs="宋体"/>
          <w:b/>
          <w:color w:val="auto"/>
          <w:kern w:val="0"/>
          <w:sz w:val="32"/>
          <w:szCs w:val="32"/>
          <w:highlight w:val="none"/>
        </w:rPr>
      </w:pPr>
    </w:p>
    <w:p w14:paraId="43E4B41F">
      <w:pPr>
        <w:jc w:val="center"/>
        <w:rPr>
          <w:rFonts w:ascii="宋体" w:hAnsi="宋体" w:cs="宋体"/>
          <w:b/>
          <w:color w:val="auto"/>
          <w:kern w:val="0"/>
          <w:sz w:val="32"/>
          <w:szCs w:val="32"/>
          <w:highlight w:val="none"/>
        </w:rPr>
      </w:pPr>
    </w:p>
    <w:p w14:paraId="29A810BA">
      <w:pPr>
        <w:jc w:val="center"/>
        <w:rPr>
          <w:rFonts w:ascii="宋体" w:hAnsi="宋体" w:cs="宋体"/>
          <w:b/>
          <w:color w:val="auto"/>
          <w:kern w:val="0"/>
          <w:sz w:val="32"/>
          <w:szCs w:val="32"/>
          <w:highlight w:val="none"/>
        </w:rPr>
      </w:pPr>
    </w:p>
    <w:p w14:paraId="41169547">
      <w:pPr>
        <w:adjustRightInd w:val="0"/>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48" w:bottom="1247" w:left="1418" w:header="851" w:footer="992" w:gutter="0"/>
          <w:cols w:space="720" w:num="1"/>
          <w:titlePg/>
          <w:docGrid w:linePitch="312" w:charSpace="0"/>
        </w:sectPr>
      </w:pPr>
    </w:p>
    <w:p w14:paraId="7B86C7DD">
      <w:pPr>
        <w:adjustRightInd w:val="0"/>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2BEE3E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65DA55C4">
      <w:pPr>
        <w:adjustRightInd w:val="0"/>
        <w:snapToGrid w:val="0"/>
        <w:spacing w:line="360" w:lineRule="auto"/>
        <w:rPr>
          <w:rFonts w:ascii="宋体" w:hAnsi="宋体" w:cs="宋体"/>
          <w:color w:val="auto"/>
          <w:kern w:val="0"/>
          <w:sz w:val="24"/>
          <w:highlight w:val="none"/>
        </w:rPr>
      </w:pPr>
    </w:p>
    <w:p w14:paraId="7AF2767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92AFBE9">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B7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605040">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B1EB3D6">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642E277">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49862CC">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E87DEB6">
            <w:pPr>
              <w:adjustRightInd w:val="0"/>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60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7A52A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Borders>
              <w:left w:val="single" w:color="auto" w:sz="4" w:space="0"/>
            </w:tcBorders>
          </w:tcPr>
          <w:p w14:paraId="0BFAD1B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tcBorders>
              <w:left w:val="single" w:color="auto" w:sz="4" w:space="0"/>
            </w:tcBorders>
            <w:vAlign w:val="center"/>
          </w:tcPr>
          <w:p w14:paraId="18BD9D2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Borders>
              <w:left w:val="single" w:color="auto" w:sz="4" w:space="0"/>
            </w:tcBorders>
          </w:tcPr>
          <w:p w14:paraId="35662C6E">
            <w:pPr>
              <w:rPr>
                <w:rFonts w:ascii="宋体" w:hAnsi="宋体" w:cs="宋体"/>
                <w:color w:val="auto"/>
                <w:sz w:val="24"/>
                <w:highlight w:val="none"/>
              </w:rPr>
            </w:pPr>
          </w:p>
          <w:p w14:paraId="7EFB6A3D">
            <w:pPr>
              <w:rPr>
                <w:rFonts w:ascii="宋体" w:hAnsi="宋体" w:cs="宋体"/>
                <w:color w:val="auto"/>
                <w:sz w:val="24"/>
                <w:highlight w:val="none"/>
              </w:rPr>
            </w:pPr>
            <w:r>
              <w:rPr>
                <w:rFonts w:hint="eastAsia" w:ascii="宋体" w:hAnsi="宋体" w:cs="宋体"/>
                <w:color w:val="auto"/>
                <w:sz w:val="24"/>
                <w:highlight w:val="none"/>
              </w:rPr>
              <w:t>见投标文件</w:t>
            </w:r>
          </w:p>
          <w:p w14:paraId="42C9EBF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2D6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9B162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Borders>
              <w:left w:val="single" w:color="auto" w:sz="4" w:space="0"/>
            </w:tcBorders>
          </w:tcPr>
          <w:p w14:paraId="360DBE6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tcBorders>
              <w:left w:val="single" w:color="auto" w:sz="4" w:space="0"/>
            </w:tcBorders>
            <w:vAlign w:val="center"/>
          </w:tcPr>
          <w:p w14:paraId="445FDE0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Borders>
              <w:left w:val="single" w:color="auto" w:sz="4" w:space="0"/>
            </w:tcBorders>
          </w:tcPr>
          <w:p w14:paraId="0A9588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99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8C80FD">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Borders>
              <w:left w:val="single" w:color="auto" w:sz="4" w:space="0"/>
            </w:tcBorders>
          </w:tcPr>
          <w:p w14:paraId="7995A275">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tcBorders>
              <w:left w:val="single" w:color="auto" w:sz="4" w:space="0"/>
            </w:tcBorders>
            <w:vAlign w:val="center"/>
          </w:tcPr>
          <w:p w14:paraId="2807003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Borders>
              <w:left w:val="single" w:color="auto" w:sz="4" w:space="0"/>
            </w:tcBorders>
          </w:tcPr>
          <w:p w14:paraId="1338D21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E5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76C47">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Borders>
              <w:left w:val="single" w:color="auto" w:sz="4" w:space="0"/>
            </w:tcBorders>
          </w:tcPr>
          <w:p w14:paraId="4C96AFE5">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tcBorders>
              <w:left w:val="single" w:color="auto" w:sz="4" w:space="0"/>
            </w:tcBorders>
            <w:vAlign w:val="center"/>
          </w:tcPr>
          <w:p w14:paraId="5B55DE55">
            <w:pPr>
              <w:rPr>
                <w:color w:val="auto"/>
                <w:highlight w:val="none"/>
              </w:rPr>
            </w:pPr>
          </w:p>
        </w:tc>
        <w:tc>
          <w:tcPr>
            <w:tcW w:w="1418" w:type="dxa"/>
            <w:tcBorders>
              <w:left w:val="single" w:color="auto" w:sz="4" w:space="0"/>
            </w:tcBorders>
          </w:tcPr>
          <w:p w14:paraId="353D9B5C">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67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68768C">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Borders>
              <w:left w:val="single" w:color="auto" w:sz="4" w:space="0"/>
            </w:tcBorders>
          </w:tcPr>
          <w:p w14:paraId="6B57BBAA">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tcBorders>
              <w:left w:val="single" w:color="auto" w:sz="4" w:space="0"/>
            </w:tcBorders>
            <w:vAlign w:val="center"/>
          </w:tcPr>
          <w:p w14:paraId="426A88A2">
            <w:pPr>
              <w:rPr>
                <w:color w:val="auto"/>
                <w:highlight w:val="none"/>
              </w:rPr>
            </w:pPr>
          </w:p>
        </w:tc>
        <w:tc>
          <w:tcPr>
            <w:tcW w:w="1418" w:type="dxa"/>
            <w:tcBorders>
              <w:left w:val="single" w:color="auto" w:sz="4" w:space="0"/>
            </w:tcBorders>
          </w:tcPr>
          <w:p w14:paraId="50024E28">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C29E6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5A9B4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516CAC71">
      <w:pPr>
        <w:jc w:val="center"/>
        <w:rPr>
          <w:rFonts w:ascii="宋体" w:hAnsi="宋体" w:cs="宋体"/>
          <w:b/>
          <w:color w:val="auto"/>
          <w:kern w:val="0"/>
          <w:sz w:val="32"/>
          <w:szCs w:val="32"/>
          <w:highlight w:val="none"/>
        </w:rPr>
      </w:pPr>
    </w:p>
    <w:p w14:paraId="68E87F2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207E8CA">
      <w:pPr>
        <w:jc w:val="center"/>
        <w:rPr>
          <w:rFonts w:ascii="宋体" w:hAnsi="宋体" w:cs="宋体"/>
          <w:b/>
          <w:color w:val="auto"/>
          <w:kern w:val="0"/>
          <w:sz w:val="32"/>
          <w:szCs w:val="32"/>
          <w:highlight w:val="none"/>
        </w:rPr>
      </w:pPr>
    </w:p>
    <w:p w14:paraId="1458F37B">
      <w:pPr>
        <w:jc w:val="center"/>
        <w:rPr>
          <w:rFonts w:ascii="宋体" w:hAnsi="宋体" w:cs="宋体"/>
          <w:b/>
          <w:color w:val="auto"/>
          <w:kern w:val="0"/>
          <w:sz w:val="32"/>
          <w:szCs w:val="32"/>
          <w:highlight w:val="none"/>
        </w:rPr>
      </w:pPr>
    </w:p>
    <w:p w14:paraId="46BBA38A">
      <w:pPr>
        <w:jc w:val="center"/>
        <w:rPr>
          <w:rFonts w:ascii="宋体" w:hAnsi="宋体" w:cs="宋体"/>
          <w:b/>
          <w:color w:val="auto"/>
          <w:kern w:val="0"/>
          <w:sz w:val="32"/>
          <w:szCs w:val="32"/>
          <w:highlight w:val="none"/>
        </w:rPr>
      </w:pPr>
    </w:p>
    <w:p w14:paraId="3C090CDC">
      <w:pPr>
        <w:jc w:val="center"/>
        <w:rPr>
          <w:rFonts w:ascii="宋体" w:hAnsi="宋体" w:cs="宋体"/>
          <w:b/>
          <w:color w:val="auto"/>
          <w:kern w:val="0"/>
          <w:sz w:val="32"/>
          <w:szCs w:val="32"/>
          <w:highlight w:val="none"/>
        </w:rPr>
      </w:pPr>
    </w:p>
    <w:p w14:paraId="7BFCD179">
      <w:pPr>
        <w:jc w:val="center"/>
        <w:rPr>
          <w:rFonts w:ascii="宋体" w:hAnsi="宋体" w:cs="宋体"/>
          <w:b/>
          <w:color w:val="auto"/>
          <w:kern w:val="0"/>
          <w:sz w:val="32"/>
          <w:szCs w:val="32"/>
          <w:highlight w:val="none"/>
        </w:rPr>
      </w:pPr>
    </w:p>
    <w:p w14:paraId="623C232D">
      <w:pPr>
        <w:jc w:val="center"/>
        <w:rPr>
          <w:rFonts w:ascii="宋体" w:hAnsi="宋体" w:cs="宋体"/>
          <w:b/>
          <w:color w:val="auto"/>
          <w:kern w:val="0"/>
          <w:sz w:val="32"/>
          <w:szCs w:val="32"/>
          <w:highlight w:val="none"/>
        </w:rPr>
      </w:pPr>
    </w:p>
    <w:p w14:paraId="3CDF9DE6">
      <w:pPr>
        <w:jc w:val="center"/>
        <w:rPr>
          <w:rFonts w:ascii="宋体" w:hAnsi="宋体" w:cs="宋体"/>
          <w:b/>
          <w:color w:val="auto"/>
          <w:kern w:val="0"/>
          <w:sz w:val="32"/>
          <w:szCs w:val="32"/>
          <w:highlight w:val="none"/>
        </w:rPr>
      </w:pPr>
    </w:p>
    <w:p w14:paraId="3911F1B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132AAC3">
      <w:pPr>
        <w:adjustRightInd w:val="0"/>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6F3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0AE877">
            <w:pPr>
              <w:adjustRightInd w:val="0"/>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18779C8E">
            <w:pPr>
              <w:adjustRightInd w:val="0"/>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18129664">
            <w:pPr>
              <w:adjustRightInd w:val="0"/>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918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F87F66">
            <w:pPr>
              <w:adjustRightInd w:val="0"/>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Borders>
              <w:left w:val="single" w:color="auto" w:sz="4" w:space="0"/>
            </w:tcBorders>
          </w:tcPr>
          <w:p w14:paraId="73696456">
            <w:pPr>
              <w:adjustRightInd w:val="0"/>
              <w:snapToGrid w:val="0"/>
              <w:spacing w:line="360" w:lineRule="auto"/>
              <w:jc w:val="center"/>
              <w:rPr>
                <w:rFonts w:ascii="宋体" w:hAnsi="宋体" w:cs="宋体"/>
                <w:bCs/>
                <w:color w:val="auto"/>
                <w:sz w:val="24"/>
                <w:highlight w:val="none"/>
              </w:rPr>
            </w:pPr>
          </w:p>
        </w:tc>
        <w:tc>
          <w:tcPr>
            <w:tcW w:w="3046" w:type="dxa"/>
            <w:tcBorders>
              <w:left w:val="single" w:color="auto" w:sz="4" w:space="0"/>
            </w:tcBorders>
          </w:tcPr>
          <w:p w14:paraId="3C6A4D59">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E735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3B5138">
            <w:pPr>
              <w:adjustRightInd w:val="0"/>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Borders>
              <w:left w:val="single" w:color="auto" w:sz="4" w:space="0"/>
            </w:tcBorders>
          </w:tcPr>
          <w:p w14:paraId="631BA629">
            <w:pPr>
              <w:adjustRightInd w:val="0"/>
              <w:snapToGrid w:val="0"/>
              <w:spacing w:line="360" w:lineRule="auto"/>
              <w:jc w:val="center"/>
              <w:rPr>
                <w:rFonts w:ascii="宋体" w:hAnsi="宋体" w:cs="宋体"/>
                <w:bCs/>
                <w:color w:val="auto"/>
                <w:sz w:val="24"/>
                <w:highlight w:val="none"/>
              </w:rPr>
            </w:pPr>
          </w:p>
        </w:tc>
        <w:tc>
          <w:tcPr>
            <w:tcW w:w="3046" w:type="dxa"/>
            <w:tcBorders>
              <w:left w:val="single" w:color="auto" w:sz="4" w:space="0"/>
            </w:tcBorders>
          </w:tcPr>
          <w:p w14:paraId="4F07C900">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0FD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738E76">
            <w:pPr>
              <w:adjustRightInd w:val="0"/>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Borders>
              <w:left w:val="single" w:color="auto" w:sz="4" w:space="0"/>
            </w:tcBorders>
          </w:tcPr>
          <w:p w14:paraId="3EEDB6E9">
            <w:pPr>
              <w:adjustRightInd w:val="0"/>
              <w:snapToGrid w:val="0"/>
              <w:spacing w:line="360" w:lineRule="auto"/>
              <w:jc w:val="center"/>
              <w:rPr>
                <w:rFonts w:ascii="宋体" w:hAnsi="宋体" w:cs="宋体"/>
                <w:bCs/>
                <w:color w:val="auto"/>
                <w:sz w:val="24"/>
                <w:highlight w:val="none"/>
              </w:rPr>
            </w:pPr>
          </w:p>
        </w:tc>
        <w:tc>
          <w:tcPr>
            <w:tcW w:w="3046" w:type="dxa"/>
            <w:tcBorders>
              <w:left w:val="single" w:color="auto" w:sz="4" w:space="0"/>
            </w:tcBorders>
          </w:tcPr>
          <w:p w14:paraId="404BCF05">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423810E4">
      <w:pPr>
        <w:pStyle w:val="2"/>
        <w:rPr>
          <w:rFonts w:ascii="宋体" w:hAnsi="宋体" w:eastAsia="宋体" w:cs="宋体"/>
          <w:color w:val="auto"/>
          <w:highlight w:val="none"/>
        </w:rPr>
      </w:pPr>
    </w:p>
    <w:p w14:paraId="2D1D5BB8">
      <w:pPr>
        <w:jc w:val="center"/>
        <w:rPr>
          <w:rFonts w:ascii="宋体" w:hAnsi="宋体" w:cs="宋体"/>
          <w:b/>
          <w:color w:val="auto"/>
          <w:kern w:val="0"/>
          <w:sz w:val="32"/>
          <w:szCs w:val="32"/>
          <w:highlight w:val="none"/>
        </w:rPr>
      </w:pPr>
    </w:p>
    <w:p w14:paraId="35A802EA">
      <w:pPr>
        <w:jc w:val="center"/>
        <w:rPr>
          <w:rFonts w:ascii="宋体" w:hAnsi="宋体" w:cs="宋体"/>
          <w:b/>
          <w:color w:val="auto"/>
          <w:kern w:val="0"/>
          <w:sz w:val="32"/>
          <w:szCs w:val="32"/>
          <w:highlight w:val="none"/>
        </w:rPr>
      </w:pPr>
    </w:p>
    <w:p w14:paraId="3BCCA6C5">
      <w:pPr>
        <w:jc w:val="center"/>
        <w:rPr>
          <w:rFonts w:ascii="宋体" w:hAnsi="宋体" w:cs="宋体"/>
          <w:b/>
          <w:color w:val="auto"/>
          <w:kern w:val="0"/>
          <w:sz w:val="32"/>
          <w:szCs w:val="32"/>
          <w:highlight w:val="none"/>
        </w:rPr>
      </w:pPr>
    </w:p>
    <w:p w14:paraId="206CF73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2AF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50CB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0248B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03A7DEF">
            <w:pPr>
              <w:spacing w:line="360" w:lineRule="auto"/>
              <w:jc w:val="center"/>
              <w:rPr>
                <w:rFonts w:ascii="宋体" w:hAnsi="宋体" w:cs="宋体"/>
                <w:b/>
                <w:color w:val="auto"/>
                <w:sz w:val="24"/>
                <w:highlight w:val="none"/>
              </w:rPr>
            </w:pPr>
          </w:p>
          <w:p w14:paraId="369FFC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E86D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C6909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51E9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4AD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750E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3CD650">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23C3E0">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1B25D1">
            <w:pPr>
              <w:adjustRightInd w:val="0"/>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E33DBD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F6AC63">
            <w:pPr>
              <w:spacing w:line="360" w:lineRule="auto"/>
              <w:jc w:val="center"/>
              <w:rPr>
                <w:rFonts w:ascii="宋体" w:hAnsi="宋体" w:cs="宋体"/>
                <w:color w:val="auto"/>
                <w:sz w:val="24"/>
                <w:highlight w:val="none"/>
              </w:rPr>
            </w:pPr>
          </w:p>
        </w:tc>
      </w:tr>
      <w:tr w14:paraId="35E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A073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1EA20E0">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B38E60">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7263DF">
            <w:pPr>
              <w:adjustRightInd w:val="0"/>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022D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DBE0B5">
            <w:pPr>
              <w:spacing w:line="360" w:lineRule="auto"/>
              <w:jc w:val="center"/>
              <w:rPr>
                <w:rFonts w:ascii="宋体" w:hAnsi="宋体" w:cs="宋体"/>
                <w:color w:val="auto"/>
                <w:sz w:val="24"/>
                <w:highlight w:val="none"/>
              </w:rPr>
            </w:pPr>
          </w:p>
        </w:tc>
      </w:tr>
      <w:tr w14:paraId="5942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2CE2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0DBD6CB">
            <w:pPr>
              <w:adjustRightInd w:val="0"/>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593623">
            <w:pPr>
              <w:adjustRightInd w:val="0"/>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2CAD5FD">
            <w:pPr>
              <w:adjustRightInd w:val="0"/>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64AEB2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258E3">
            <w:pPr>
              <w:spacing w:line="360" w:lineRule="auto"/>
              <w:jc w:val="center"/>
              <w:rPr>
                <w:rFonts w:ascii="宋体" w:hAnsi="宋体" w:cs="宋体"/>
                <w:color w:val="auto"/>
                <w:sz w:val="24"/>
                <w:highlight w:val="none"/>
              </w:rPr>
            </w:pPr>
          </w:p>
        </w:tc>
      </w:tr>
    </w:tbl>
    <w:p w14:paraId="6B0E26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860A4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5FD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658184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F30178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35D4254">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8110DD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1F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7236D4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Borders>
              <w:left w:val="single" w:color="auto" w:sz="4" w:space="0"/>
            </w:tcBorders>
          </w:tcPr>
          <w:p w14:paraId="7A995657">
            <w:pPr>
              <w:jc w:val="center"/>
              <w:rPr>
                <w:rFonts w:ascii="宋体" w:hAnsi="宋体" w:cs="宋体"/>
                <w:b/>
                <w:color w:val="auto"/>
                <w:kern w:val="0"/>
                <w:sz w:val="32"/>
                <w:szCs w:val="32"/>
                <w:highlight w:val="none"/>
              </w:rPr>
            </w:pPr>
          </w:p>
        </w:tc>
        <w:tc>
          <w:tcPr>
            <w:tcW w:w="3062" w:type="dxa"/>
            <w:tcBorders>
              <w:left w:val="single" w:color="auto" w:sz="4" w:space="0"/>
            </w:tcBorders>
          </w:tcPr>
          <w:p w14:paraId="70484EFC">
            <w:pPr>
              <w:jc w:val="center"/>
              <w:rPr>
                <w:rFonts w:ascii="宋体" w:hAnsi="宋体" w:cs="宋体"/>
                <w:b/>
                <w:color w:val="auto"/>
                <w:kern w:val="0"/>
                <w:sz w:val="32"/>
                <w:szCs w:val="32"/>
                <w:highlight w:val="none"/>
              </w:rPr>
            </w:pPr>
          </w:p>
        </w:tc>
        <w:tc>
          <w:tcPr>
            <w:tcW w:w="1102" w:type="dxa"/>
            <w:tcBorders>
              <w:left w:val="single" w:color="auto" w:sz="4" w:space="0"/>
            </w:tcBorders>
          </w:tcPr>
          <w:p w14:paraId="2E7B6839">
            <w:pPr>
              <w:jc w:val="center"/>
              <w:rPr>
                <w:rFonts w:ascii="宋体" w:hAnsi="宋体" w:cs="宋体"/>
                <w:b/>
                <w:color w:val="auto"/>
                <w:kern w:val="0"/>
                <w:sz w:val="32"/>
                <w:szCs w:val="32"/>
                <w:highlight w:val="none"/>
              </w:rPr>
            </w:pPr>
          </w:p>
        </w:tc>
      </w:tr>
      <w:tr w14:paraId="4196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8A278D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Borders>
              <w:left w:val="single" w:color="auto" w:sz="4" w:space="0"/>
            </w:tcBorders>
          </w:tcPr>
          <w:p w14:paraId="1A896E0C">
            <w:pPr>
              <w:jc w:val="center"/>
              <w:rPr>
                <w:rFonts w:ascii="宋体" w:hAnsi="宋体" w:cs="宋体"/>
                <w:b/>
                <w:color w:val="auto"/>
                <w:kern w:val="0"/>
                <w:sz w:val="32"/>
                <w:szCs w:val="32"/>
                <w:highlight w:val="none"/>
              </w:rPr>
            </w:pPr>
          </w:p>
        </w:tc>
        <w:tc>
          <w:tcPr>
            <w:tcW w:w="3062" w:type="dxa"/>
            <w:tcBorders>
              <w:left w:val="single" w:color="auto" w:sz="4" w:space="0"/>
            </w:tcBorders>
          </w:tcPr>
          <w:p w14:paraId="2E28433A">
            <w:pPr>
              <w:jc w:val="center"/>
              <w:rPr>
                <w:rFonts w:ascii="宋体" w:hAnsi="宋体" w:cs="宋体"/>
                <w:b/>
                <w:color w:val="auto"/>
                <w:kern w:val="0"/>
                <w:sz w:val="32"/>
                <w:szCs w:val="32"/>
                <w:highlight w:val="none"/>
              </w:rPr>
            </w:pPr>
          </w:p>
        </w:tc>
        <w:tc>
          <w:tcPr>
            <w:tcW w:w="1102" w:type="dxa"/>
            <w:tcBorders>
              <w:left w:val="single" w:color="auto" w:sz="4" w:space="0"/>
            </w:tcBorders>
          </w:tcPr>
          <w:p w14:paraId="22971801">
            <w:pPr>
              <w:jc w:val="center"/>
              <w:rPr>
                <w:rFonts w:ascii="宋体" w:hAnsi="宋体" w:cs="宋体"/>
                <w:b/>
                <w:color w:val="auto"/>
                <w:kern w:val="0"/>
                <w:sz w:val="32"/>
                <w:szCs w:val="32"/>
                <w:highlight w:val="none"/>
              </w:rPr>
            </w:pPr>
          </w:p>
        </w:tc>
      </w:tr>
      <w:tr w14:paraId="4CB9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F2AE33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Borders>
              <w:left w:val="single" w:color="auto" w:sz="4" w:space="0"/>
            </w:tcBorders>
          </w:tcPr>
          <w:p w14:paraId="205DC2FB">
            <w:pPr>
              <w:jc w:val="center"/>
              <w:rPr>
                <w:rFonts w:ascii="宋体" w:hAnsi="宋体" w:cs="宋体"/>
                <w:b/>
                <w:color w:val="auto"/>
                <w:kern w:val="0"/>
                <w:sz w:val="32"/>
                <w:szCs w:val="32"/>
                <w:highlight w:val="none"/>
              </w:rPr>
            </w:pPr>
          </w:p>
        </w:tc>
        <w:tc>
          <w:tcPr>
            <w:tcW w:w="3062" w:type="dxa"/>
            <w:tcBorders>
              <w:left w:val="single" w:color="auto" w:sz="4" w:space="0"/>
            </w:tcBorders>
          </w:tcPr>
          <w:p w14:paraId="559EF663">
            <w:pPr>
              <w:jc w:val="center"/>
              <w:rPr>
                <w:rFonts w:ascii="宋体" w:hAnsi="宋体" w:cs="宋体"/>
                <w:b/>
                <w:color w:val="auto"/>
                <w:kern w:val="0"/>
                <w:sz w:val="32"/>
                <w:szCs w:val="32"/>
                <w:highlight w:val="none"/>
              </w:rPr>
            </w:pPr>
          </w:p>
        </w:tc>
        <w:tc>
          <w:tcPr>
            <w:tcW w:w="1102" w:type="dxa"/>
            <w:tcBorders>
              <w:left w:val="single" w:color="auto" w:sz="4" w:space="0"/>
            </w:tcBorders>
          </w:tcPr>
          <w:p w14:paraId="59691B48">
            <w:pPr>
              <w:jc w:val="center"/>
              <w:rPr>
                <w:rFonts w:ascii="宋体" w:hAnsi="宋体" w:cs="宋体"/>
                <w:b/>
                <w:color w:val="auto"/>
                <w:kern w:val="0"/>
                <w:sz w:val="32"/>
                <w:szCs w:val="32"/>
                <w:highlight w:val="none"/>
              </w:rPr>
            </w:pPr>
          </w:p>
        </w:tc>
      </w:tr>
    </w:tbl>
    <w:p w14:paraId="006CF96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899AE9">
      <w:pPr>
        <w:jc w:val="center"/>
        <w:rPr>
          <w:rFonts w:ascii="宋体" w:hAnsi="宋体" w:cs="宋体"/>
          <w:b/>
          <w:color w:val="auto"/>
          <w:kern w:val="0"/>
          <w:sz w:val="32"/>
          <w:szCs w:val="32"/>
          <w:highlight w:val="none"/>
        </w:rPr>
      </w:pPr>
    </w:p>
    <w:p w14:paraId="48CF3C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420FBA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EB8E1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D7BACBF">
      <w:pPr>
        <w:ind w:firstLine="1911" w:firstLineChars="595"/>
        <w:rPr>
          <w:rFonts w:ascii="宋体" w:hAnsi="宋体" w:cs="宋体"/>
          <w:b/>
          <w:bCs/>
          <w:color w:val="auto"/>
          <w:sz w:val="32"/>
          <w:szCs w:val="32"/>
          <w:highlight w:val="none"/>
        </w:rPr>
      </w:pPr>
    </w:p>
    <w:p w14:paraId="2D42B226">
      <w:pPr>
        <w:ind w:firstLine="1911" w:firstLineChars="595"/>
        <w:rPr>
          <w:rFonts w:ascii="宋体" w:hAnsi="宋体" w:cs="宋体"/>
          <w:b/>
          <w:bCs/>
          <w:color w:val="auto"/>
          <w:sz w:val="32"/>
          <w:szCs w:val="32"/>
          <w:highlight w:val="none"/>
        </w:rPr>
      </w:pPr>
    </w:p>
    <w:p w14:paraId="20579D07">
      <w:pPr>
        <w:ind w:firstLine="1911" w:firstLineChars="595"/>
        <w:rPr>
          <w:rFonts w:ascii="宋体" w:hAnsi="宋体" w:cs="宋体"/>
          <w:b/>
          <w:bCs/>
          <w:color w:val="auto"/>
          <w:sz w:val="32"/>
          <w:szCs w:val="32"/>
          <w:highlight w:val="none"/>
        </w:rPr>
      </w:pPr>
    </w:p>
    <w:p w14:paraId="01F2D7E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EAE674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95A4F4">
      <w:pPr>
        <w:adjustRightInd w:val="0"/>
        <w:snapToGrid w:val="0"/>
        <w:spacing w:line="360" w:lineRule="auto"/>
        <w:rPr>
          <w:rFonts w:ascii="宋体" w:hAnsi="宋体" w:cs="宋体"/>
          <w:color w:val="auto"/>
          <w:sz w:val="24"/>
          <w:highlight w:val="none"/>
        </w:rPr>
      </w:pPr>
    </w:p>
    <w:p w14:paraId="19BD35C4">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杭州市公安局交通警察支队、浙江五石中正工程咨询有限公司</w:t>
      </w:r>
      <w:r>
        <w:rPr>
          <w:rFonts w:hint="eastAsia" w:ascii="宋体" w:hAnsi="宋体" w:cs="宋体"/>
          <w:color w:val="auto"/>
          <w:kern w:val="0"/>
          <w:sz w:val="24"/>
          <w:highlight w:val="none"/>
          <w:lang w:val="zh-CN"/>
        </w:rPr>
        <w:t>：</w:t>
      </w:r>
    </w:p>
    <w:p w14:paraId="3BB5EC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C93D5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FDE9A0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5E6F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620D5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1DDD50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8E89C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E48BF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C2913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502D833">
      <w:pPr>
        <w:autoSpaceDE w:val="0"/>
        <w:autoSpaceDN w:val="0"/>
        <w:spacing w:line="360" w:lineRule="auto"/>
        <w:ind w:left="2"/>
        <w:jc w:val="left"/>
        <w:rPr>
          <w:rFonts w:ascii="宋体" w:hAnsi="宋体" w:cs="宋体"/>
          <w:color w:val="auto"/>
          <w:kern w:val="0"/>
          <w:sz w:val="24"/>
          <w:highlight w:val="none"/>
          <w:lang w:val="zh-CN"/>
        </w:rPr>
      </w:pPr>
    </w:p>
    <w:p w14:paraId="544D80F0">
      <w:pPr>
        <w:autoSpaceDE w:val="0"/>
        <w:autoSpaceDN w:val="0"/>
        <w:spacing w:line="360" w:lineRule="auto"/>
        <w:ind w:left="2"/>
        <w:jc w:val="left"/>
        <w:rPr>
          <w:rFonts w:ascii="宋体" w:hAnsi="宋体" w:cs="宋体"/>
          <w:color w:val="auto"/>
          <w:kern w:val="0"/>
          <w:sz w:val="24"/>
          <w:highlight w:val="none"/>
          <w:lang w:val="zh-CN"/>
        </w:rPr>
      </w:pPr>
    </w:p>
    <w:p w14:paraId="79AF4466">
      <w:pPr>
        <w:autoSpaceDE w:val="0"/>
        <w:autoSpaceDN w:val="0"/>
        <w:spacing w:line="360" w:lineRule="auto"/>
        <w:ind w:left="2"/>
        <w:jc w:val="left"/>
        <w:rPr>
          <w:rFonts w:ascii="宋体" w:hAnsi="宋体" w:cs="宋体"/>
          <w:color w:val="auto"/>
          <w:kern w:val="0"/>
          <w:sz w:val="24"/>
          <w:highlight w:val="none"/>
          <w:lang w:val="zh-CN"/>
        </w:rPr>
      </w:pPr>
    </w:p>
    <w:p w14:paraId="724AD03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E24EF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7AC4A2">
      <w:pPr>
        <w:spacing w:line="360" w:lineRule="auto"/>
        <w:jc w:val="center"/>
        <w:rPr>
          <w:rFonts w:ascii="宋体" w:hAnsi="宋体" w:cs="宋体"/>
          <w:b/>
          <w:bCs/>
          <w:color w:val="auto"/>
          <w:sz w:val="24"/>
          <w:highlight w:val="none"/>
        </w:rPr>
      </w:pPr>
    </w:p>
    <w:p w14:paraId="3F4DB2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320DC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12A01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2CD06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995FA0">
      <w:pPr>
        <w:spacing w:line="360" w:lineRule="auto"/>
        <w:jc w:val="center"/>
        <w:outlineLvl w:val="0"/>
        <w:rPr>
          <w:rFonts w:ascii="宋体" w:hAnsi="宋体" w:cs="宋体"/>
          <w:b/>
          <w:color w:val="auto"/>
          <w:kern w:val="0"/>
          <w:sz w:val="36"/>
          <w:szCs w:val="36"/>
          <w:highlight w:val="none"/>
        </w:rPr>
      </w:pPr>
    </w:p>
    <w:p w14:paraId="0656B8CE">
      <w:pPr>
        <w:numPr>
          <w:ilvl w:val="0"/>
          <w:numId w:val="6"/>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46E94AA5">
      <w:pPr>
        <w:numPr>
          <w:ilvl w:val="0"/>
          <w:numId w:val="6"/>
        </w:num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报价情况说明（如果有）………………………………………………………（页码）</w:t>
      </w:r>
    </w:p>
    <w:p w14:paraId="2B1BEE4F">
      <w:pPr>
        <w:pStyle w:val="87"/>
        <w:rPr>
          <w:rFonts w:ascii="宋体" w:hAnsi="宋体" w:eastAsia="宋体" w:cs="宋体"/>
          <w:color w:val="auto"/>
          <w:highlight w:val="none"/>
        </w:rPr>
      </w:pPr>
    </w:p>
    <w:p w14:paraId="015A1E40">
      <w:pPr>
        <w:adjustRightInd w:val="0"/>
        <w:snapToGrid w:val="0"/>
        <w:spacing w:line="360" w:lineRule="auto"/>
        <w:ind w:right="480"/>
        <w:jc w:val="center"/>
        <w:rPr>
          <w:rFonts w:ascii="宋体" w:hAnsi="宋体" w:cs="宋体"/>
          <w:b/>
          <w:color w:val="auto"/>
          <w:kern w:val="0"/>
          <w:sz w:val="32"/>
          <w:szCs w:val="32"/>
          <w:highlight w:val="none"/>
        </w:rPr>
      </w:pPr>
    </w:p>
    <w:p w14:paraId="617AF85D">
      <w:pPr>
        <w:adjustRightInd w:val="0"/>
        <w:snapToGrid w:val="0"/>
        <w:spacing w:line="360" w:lineRule="auto"/>
        <w:ind w:right="480"/>
        <w:jc w:val="center"/>
        <w:rPr>
          <w:rFonts w:ascii="宋体" w:hAnsi="宋体" w:cs="宋体"/>
          <w:b/>
          <w:color w:val="auto"/>
          <w:kern w:val="0"/>
          <w:sz w:val="32"/>
          <w:szCs w:val="32"/>
          <w:highlight w:val="none"/>
        </w:rPr>
      </w:pPr>
    </w:p>
    <w:p w14:paraId="639BFF17">
      <w:pPr>
        <w:adjustRightInd w:val="0"/>
        <w:snapToGrid w:val="0"/>
        <w:spacing w:line="360" w:lineRule="auto"/>
        <w:ind w:right="480"/>
        <w:jc w:val="center"/>
        <w:rPr>
          <w:rFonts w:ascii="宋体" w:hAnsi="宋体" w:cs="宋体"/>
          <w:b/>
          <w:color w:val="auto"/>
          <w:kern w:val="0"/>
          <w:sz w:val="32"/>
          <w:szCs w:val="32"/>
          <w:highlight w:val="none"/>
        </w:rPr>
      </w:pPr>
    </w:p>
    <w:p w14:paraId="1E428CDE">
      <w:pPr>
        <w:adjustRightInd w:val="0"/>
        <w:snapToGrid w:val="0"/>
        <w:spacing w:line="360" w:lineRule="auto"/>
        <w:ind w:right="480"/>
        <w:jc w:val="center"/>
        <w:rPr>
          <w:rFonts w:ascii="宋体" w:hAnsi="宋体" w:cs="宋体"/>
          <w:b/>
          <w:color w:val="auto"/>
          <w:kern w:val="0"/>
          <w:sz w:val="32"/>
          <w:szCs w:val="32"/>
          <w:highlight w:val="none"/>
        </w:rPr>
      </w:pPr>
    </w:p>
    <w:p w14:paraId="73217638">
      <w:pPr>
        <w:adjustRightInd w:val="0"/>
        <w:snapToGrid w:val="0"/>
        <w:spacing w:line="360" w:lineRule="auto"/>
        <w:ind w:right="480"/>
        <w:jc w:val="center"/>
        <w:rPr>
          <w:rFonts w:ascii="宋体" w:hAnsi="宋体" w:cs="宋体"/>
          <w:b/>
          <w:color w:val="auto"/>
          <w:kern w:val="0"/>
          <w:sz w:val="32"/>
          <w:szCs w:val="32"/>
          <w:highlight w:val="none"/>
        </w:rPr>
      </w:pPr>
    </w:p>
    <w:p w14:paraId="32A69066">
      <w:pPr>
        <w:adjustRightInd w:val="0"/>
        <w:snapToGrid w:val="0"/>
        <w:spacing w:line="360" w:lineRule="auto"/>
        <w:ind w:right="480"/>
        <w:jc w:val="center"/>
        <w:rPr>
          <w:rFonts w:ascii="宋体" w:hAnsi="宋体" w:cs="宋体"/>
          <w:b/>
          <w:color w:val="auto"/>
          <w:kern w:val="0"/>
          <w:sz w:val="32"/>
          <w:szCs w:val="32"/>
          <w:highlight w:val="none"/>
        </w:rPr>
      </w:pPr>
    </w:p>
    <w:p w14:paraId="4D4082B3">
      <w:pPr>
        <w:adjustRightInd w:val="0"/>
        <w:snapToGrid w:val="0"/>
        <w:spacing w:line="360" w:lineRule="auto"/>
        <w:ind w:right="480"/>
        <w:jc w:val="center"/>
        <w:rPr>
          <w:rFonts w:ascii="宋体" w:hAnsi="宋体" w:cs="宋体"/>
          <w:b/>
          <w:color w:val="auto"/>
          <w:kern w:val="0"/>
          <w:sz w:val="32"/>
          <w:szCs w:val="32"/>
          <w:highlight w:val="none"/>
        </w:rPr>
      </w:pPr>
    </w:p>
    <w:p w14:paraId="1BBE7FA2">
      <w:pPr>
        <w:adjustRightInd w:val="0"/>
        <w:snapToGrid w:val="0"/>
        <w:spacing w:line="360" w:lineRule="auto"/>
        <w:ind w:right="480"/>
        <w:jc w:val="center"/>
        <w:rPr>
          <w:rFonts w:ascii="宋体" w:hAnsi="宋体" w:cs="宋体"/>
          <w:b/>
          <w:color w:val="auto"/>
          <w:kern w:val="0"/>
          <w:sz w:val="32"/>
          <w:szCs w:val="32"/>
          <w:highlight w:val="none"/>
        </w:rPr>
      </w:pPr>
    </w:p>
    <w:p w14:paraId="707D09A5">
      <w:pPr>
        <w:adjustRightInd w:val="0"/>
        <w:snapToGrid w:val="0"/>
        <w:spacing w:line="360" w:lineRule="auto"/>
        <w:ind w:right="480"/>
        <w:jc w:val="center"/>
        <w:rPr>
          <w:rFonts w:ascii="宋体" w:hAnsi="宋体" w:cs="宋体"/>
          <w:b/>
          <w:color w:val="auto"/>
          <w:kern w:val="0"/>
          <w:sz w:val="32"/>
          <w:szCs w:val="32"/>
          <w:highlight w:val="none"/>
        </w:rPr>
      </w:pPr>
    </w:p>
    <w:p w14:paraId="04E42DFB">
      <w:pPr>
        <w:adjustRightInd w:val="0"/>
        <w:snapToGrid w:val="0"/>
        <w:spacing w:line="360" w:lineRule="auto"/>
        <w:ind w:right="480"/>
        <w:jc w:val="center"/>
        <w:rPr>
          <w:rFonts w:ascii="宋体" w:hAnsi="宋体" w:cs="宋体"/>
          <w:b/>
          <w:color w:val="auto"/>
          <w:kern w:val="0"/>
          <w:sz w:val="32"/>
          <w:szCs w:val="32"/>
          <w:highlight w:val="none"/>
        </w:rPr>
      </w:pPr>
    </w:p>
    <w:p w14:paraId="0EDECA19">
      <w:pPr>
        <w:adjustRightInd w:val="0"/>
        <w:snapToGrid w:val="0"/>
        <w:spacing w:line="360" w:lineRule="auto"/>
        <w:ind w:right="480"/>
        <w:jc w:val="center"/>
        <w:rPr>
          <w:rFonts w:ascii="宋体" w:hAnsi="宋体" w:cs="宋体"/>
          <w:b/>
          <w:color w:val="auto"/>
          <w:kern w:val="0"/>
          <w:sz w:val="32"/>
          <w:szCs w:val="32"/>
          <w:highlight w:val="none"/>
        </w:rPr>
      </w:pPr>
    </w:p>
    <w:p w14:paraId="2D46473E">
      <w:pPr>
        <w:adjustRightInd w:val="0"/>
        <w:snapToGrid w:val="0"/>
        <w:spacing w:line="360" w:lineRule="auto"/>
        <w:ind w:right="480"/>
        <w:jc w:val="center"/>
        <w:rPr>
          <w:rFonts w:ascii="宋体" w:hAnsi="宋体" w:cs="宋体"/>
          <w:b/>
          <w:color w:val="auto"/>
          <w:kern w:val="0"/>
          <w:sz w:val="32"/>
          <w:szCs w:val="32"/>
          <w:highlight w:val="none"/>
        </w:rPr>
      </w:pPr>
    </w:p>
    <w:p w14:paraId="6A7087E9">
      <w:pPr>
        <w:adjustRightInd w:val="0"/>
        <w:snapToGrid w:val="0"/>
        <w:spacing w:line="360" w:lineRule="auto"/>
        <w:ind w:right="480"/>
        <w:jc w:val="center"/>
        <w:rPr>
          <w:rFonts w:ascii="宋体" w:hAnsi="宋体" w:cs="宋体"/>
          <w:b/>
          <w:color w:val="auto"/>
          <w:kern w:val="0"/>
          <w:sz w:val="32"/>
          <w:szCs w:val="32"/>
          <w:highlight w:val="none"/>
        </w:rPr>
      </w:pPr>
    </w:p>
    <w:p w14:paraId="758521CC">
      <w:pPr>
        <w:adjustRightInd w:val="0"/>
        <w:snapToGrid w:val="0"/>
        <w:spacing w:line="360" w:lineRule="auto"/>
        <w:ind w:right="480"/>
        <w:jc w:val="center"/>
        <w:rPr>
          <w:rFonts w:ascii="宋体" w:hAnsi="宋体" w:cs="宋体"/>
          <w:b/>
          <w:color w:val="auto"/>
          <w:kern w:val="0"/>
          <w:sz w:val="32"/>
          <w:szCs w:val="32"/>
          <w:highlight w:val="none"/>
        </w:rPr>
      </w:pPr>
    </w:p>
    <w:p w14:paraId="2121A0B2">
      <w:pPr>
        <w:adjustRightInd w:val="0"/>
        <w:snapToGrid w:val="0"/>
        <w:spacing w:line="360" w:lineRule="auto"/>
        <w:ind w:right="480"/>
        <w:jc w:val="center"/>
        <w:rPr>
          <w:rFonts w:ascii="宋体" w:hAnsi="宋体" w:cs="宋体"/>
          <w:b/>
          <w:color w:val="auto"/>
          <w:kern w:val="0"/>
          <w:sz w:val="32"/>
          <w:szCs w:val="32"/>
          <w:highlight w:val="none"/>
        </w:rPr>
      </w:pPr>
    </w:p>
    <w:p w14:paraId="3C1D5004">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6E06003">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4D38AD">
      <w:pPr>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杭州市公安局交通警察支队、浙江五石中正工程咨询有限公司</w:t>
      </w:r>
      <w:r>
        <w:rPr>
          <w:rFonts w:hint="eastAsia" w:ascii="宋体" w:hAnsi="宋体" w:cs="宋体"/>
          <w:color w:val="auto"/>
          <w:kern w:val="0"/>
          <w:sz w:val="24"/>
          <w:highlight w:val="none"/>
          <w:lang w:val="zh-CN"/>
        </w:rPr>
        <w:t>：</w:t>
      </w:r>
    </w:p>
    <w:p w14:paraId="39299C78">
      <w:pPr>
        <w:adjustRightInd w:val="0"/>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2025年杭州交警业务系统租赁使用服务-2025年PDT数字集群终端设备使用服务项目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ZJWS2025-JJZD07】的实施</w:t>
      </w:r>
      <w:r>
        <w:rPr>
          <w:rFonts w:hint="eastAsia" w:ascii="宋体" w:hAnsi="宋体" w:cs="宋体"/>
          <w:color w:val="auto"/>
          <w:kern w:val="0"/>
          <w:sz w:val="24"/>
          <w:highlight w:val="none"/>
          <w:lang w:val="zh-CN"/>
        </w:rPr>
        <w:t>。</w:t>
      </w:r>
    </w:p>
    <w:p w14:paraId="5116953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857"/>
        <w:gridCol w:w="622"/>
        <w:gridCol w:w="696"/>
        <w:gridCol w:w="622"/>
        <w:gridCol w:w="1213"/>
        <w:gridCol w:w="1284"/>
        <w:gridCol w:w="1907"/>
        <w:gridCol w:w="1430"/>
        <w:gridCol w:w="3861"/>
      </w:tblGrid>
      <w:tr w14:paraId="6483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22" w:type="dxa"/>
            <w:tcBorders>
              <w:top w:val="single" w:color="auto" w:sz="4" w:space="0"/>
              <w:left w:val="single" w:color="auto" w:sz="4" w:space="0"/>
              <w:bottom w:val="single" w:color="auto" w:sz="4" w:space="0"/>
              <w:right w:val="single" w:color="auto" w:sz="4" w:space="0"/>
            </w:tcBorders>
            <w:vAlign w:val="center"/>
          </w:tcPr>
          <w:p w14:paraId="6CF7110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57" w:type="dxa"/>
            <w:tcBorders>
              <w:top w:val="single" w:color="auto" w:sz="4" w:space="0"/>
              <w:left w:val="single" w:color="auto" w:sz="4" w:space="0"/>
              <w:bottom w:val="single" w:color="auto" w:sz="4" w:space="0"/>
              <w:right w:val="single" w:color="auto" w:sz="4" w:space="0"/>
            </w:tcBorders>
            <w:vAlign w:val="center"/>
          </w:tcPr>
          <w:p w14:paraId="7A6F378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名称</w:t>
            </w:r>
          </w:p>
        </w:tc>
        <w:tc>
          <w:tcPr>
            <w:tcW w:w="622" w:type="dxa"/>
            <w:tcBorders>
              <w:top w:val="single" w:color="auto" w:sz="4" w:space="0"/>
              <w:left w:val="single" w:color="auto" w:sz="4" w:space="0"/>
              <w:bottom w:val="single" w:color="auto" w:sz="4" w:space="0"/>
              <w:right w:val="single" w:color="auto" w:sz="4" w:space="0"/>
            </w:tcBorders>
            <w:vAlign w:val="center"/>
          </w:tcPr>
          <w:p w14:paraId="6249CF2A">
            <w:pPr>
              <w:widowControl/>
              <w:jc w:val="center"/>
              <w:rPr>
                <w:rFonts w:ascii="宋体" w:hAnsi="宋体" w:cs="宋体"/>
                <w:b/>
                <w:bCs/>
                <w:color w:val="auto"/>
                <w:kern w:val="0"/>
                <w:sz w:val="24"/>
                <w:highlight w:val="none"/>
              </w:rPr>
            </w:pPr>
            <w:r>
              <w:rPr>
                <w:rFonts w:hint="eastAsia" w:ascii="宋体" w:hAnsi="宋体" w:cs="宋体"/>
                <w:b/>
                <w:bCs/>
                <w:snapToGrid w:val="0"/>
                <w:color w:val="auto"/>
                <w:sz w:val="24"/>
                <w:highlight w:val="none"/>
              </w:rPr>
              <w:t>单位</w:t>
            </w:r>
          </w:p>
        </w:tc>
        <w:tc>
          <w:tcPr>
            <w:tcW w:w="677" w:type="dxa"/>
            <w:tcBorders>
              <w:top w:val="single" w:color="auto" w:sz="4" w:space="0"/>
              <w:left w:val="single" w:color="auto" w:sz="4" w:space="0"/>
              <w:bottom w:val="single" w:color="auto" w:sz="4" w:space="0"/>
              <w:right w:val="single" w:color="auto" w:sz="4" w:space="0"/>
            </w:tcBorders>
            <w:vAlign w:val="center"/>
          </w:tcPr>
          <w:p w14:paraId="7FF4C029">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622" w:type="dxa"/>
            <w:tcBorders>
              <w:top w:val="single" w:color="auto" w:sz="4" w:space="0"/>
              <w:left w:val="single" w:color="auto" w:sz="4" w:space="0"/>
              <w:bottom w:val="single" w:color="auto" w:sz="4" w:space="0"/>
              <w:right w:val="single" w:color="auto" w:sz="4" w:space="0"/>
            </w:tcBorders>
            <w:vAlign w:val="center"/>
          </w:tcPr>
          <w:p w14:paraId="2C6C7227">
            <w:pPr>
              <w:widowControl/>
              <w:jc w:val="center"/>
              <w:rPr>
                <w:rFonts w:ascii="宋体" w:hAnsi="宋体" w:cs="宋体"/>
                <w:b/>
                <w:bCs/>
                <w:color w:val="auto"/>
                <w:kern w:val="0"/>
                <w:sz w:val="24"/>
                <w:highlight w:val="none"/>
              </w:rPr>
            </w:pPr>
            <w:r>
              <w:rPr>
                <w:rFonts w:hint="eastAsia" w:ascii="宋体" w:hAnsi="宋体" w:cs="宋体"/>
                <w:b/>
                <w:bCs/>
                <w:snapToGrid w:val="0"/>
                <w:color w:val="auto"/>
                <w:sz w:val="24"/>
                <w:highlight w:val="none"/>
              </w:rPr>
              <w:t>月数</w:t>
            </w:r>
          </w:p>
        </w:tc>
        <w:tc>
          <w:tcPr>
            <w:tcW w:w="1213" w:type="dxa"/>
            <w:tcBorders>
              <w:top w:val="single" w:color="auto" w:sz="4" w:space="0"/>
              <w:left w:val="single" w:color="auto" w:sz="4" w:space="0"/>
              <w:bottom w:val="single" w:color="auto" w:sz="4" w:space="0"/>
              <w:right w:val="single" w:color="auto" w:sz="4" w:space="0"/>
            </w:tcBorders>
            <w:vAlign w:val="center"/>
          </w:tcPr>
          <w:p w14:paraId="37A55577">
            <w:pPr>
              <w:jc w:val="center"/>
              <w:rPr>
                <w:rFonts w:ascii="宋体" w:hAnsi="宋体" w:cs="宋体"/>
                <w:b/>
                <w:bCs/>
                <w:snapToGrid w:val="0"/>
                <w:color w:val="auto"/>
                <w:sz w:val="24"/>
                <w:highlight w:val="none"/>
              </w:rPr>
            </w:pPr>
            <w:r>
              <w:rPr>
                <w:rFonts w:hint="eastAsia" w:ascii="宋体" w:hAnsi="宋体" w:cs="宋体"/>
                <w:b/>
                <w:bCs/>
                <w:color w:val="auto"/>
                <w:kern w:val="0"/>
                <w:sz w:val="24"/>
                <w:highlight w:val="none"/>
              </w:rPr>
              <w:t>品</w:t>
            </w:r>
            <w:r>
              <w:rPr>
                <w:rFonts w:hint="eastAsia" w:ascii="宋体" w:hAnsi="宋体" w:cs="宋体"/>
                <w:b/>
                <w:bCs/>
                <w:snapToGrid w:val="0"/>
                <w:color w:val="auto"/>
                <w:sz w:val="24"/>
                <w:highlight w:val="none"/>
              </w:rPr>
              <w:t>牌、型号</w:t>
            </w:r>
          </w:p>
        </w:tc>
        <w:tc>
          <w:tcPr>
            <w:tcW w:w="1284" w:type="dxa"/>
            <w:tcBorders>
              <w:top w:val="single" w:color="auto" w:sz="4" w:space="0"/>
              <w:left w:val="single" w:color="auto" w:sz="4" w:space="0"/>
              <w:bottom w:val="single" w:color="auto" w:sz="4" w:space="0"/>
              <w:right w:val="single" w:color="auto" w:sz="4" w:space="0"/>
            </w:tcBorders>
            <w:vAlign w:val="center"/>
          </w:tcPr>
          <w:p w14:paraId="0C9BBD08">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规格配置</w:t>
            </w:r>
          </w:p>
        </w:tc>
        <w:tc>
          <w:tcPr>
            <w:tcW w:w="1907" w:type="dxa"/>
            <w:tcBorders>
              <w:top w:val="single" w:color="auto" w:sz="4" w:space="0"/>
              <w:left w:val="single" w:color="auto" w:sz="4" w:space="0"/>
              <w:bottom w:val="single" w:color="auto" w:sz="4" w:space="0"/>
              <w:right w:val="single" w:color="auto" w:sz="4" w:space="0"/>
            </w:tcBorders>
            <w:vAlign w:val="center"/>
          </w:tcPr>
          <w:p w14:paraId="1CF72BD6">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单价</w:t>
            </w:r>
          </w:p>
          <w:p w14:paraId="7A2290C4">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（元/月/台）</w:t>
            </w:r>
          </w:p>
        </w:tc>
        <w:tc>
          <w:tcPr>
            <w:tcW w:w="1430" w:type="dxa"/>
            <w:tcBorders>
              <w:top w:val="single" w:color="auto" w:sz="4" w:space="0"/>
              <w:left w:val="single" w:color="auto" w:sz="4" w:space="0"/>
              <w:bottom w:val="single" w:color="auto" w:sz="4" w:space="0"/>
              <w:right w:val="single" w:color="auto" w:sz="4" w:space="0"/>
            </w:tcBorders>
            <w:vAlign w:val="center"/>
          </w:tcPr>
          <w:p w14:paraId="5340A0D6">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合价（元）</w:t>
            </w:r>
          </w:p>
        </w:tc>
        <w:tc>
          <w:tcPr>
            <w:tcW w:w="3861" w:type="dxa"/>
            <w:tcBorders>
              <w:top w:val="single" w:color="auto" w:sz="4" w:space="0"/>
              <w:left w:val="single" w:color="auto" w:sz="4" w:space="0"/>
              <w:bottom w:val="single" w:color="auto" w:sz="4" w:space="0"/>
              <w:right w:val="single" w:color="auto" w:sz="4" w:space="0"/>
            </w:tcBorders>
            <w:vAlign w:val="center"/>
          </w:tcPr>
          <w:p w14:paraId="00294E89">
            <w:pPr>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服务期</w:t>
            </w:r>
          </w:p>
        </w:tc>
      </w:tr>
      <w:tr w14:paraId="560B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622" w:type="dxa"/>
            <w:tcBorders>
              <w:top w:val="single" w:color="auto" w:sz="4" w:space="0"/>
              <w:left w:val="single" w:color="auto" w:sz="4" w:space="0"/>
              <w:bottom w:val="single" w:color="auto" w:sz="4" w:space="0"/>
              <w:right w:val="single" w:color="auto" w:sz="4" w:space="0"/>
            </w:tcBorders>
            <w:vAlign w:val="center"/>
          </w:tcPr>
          <w:p w14:paraId="2A1D3AB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57" w:type="dxa"/>
            <w:tcBorders>
              <w:top w:val="single" w:color="auto" w:sz="4" w:space="0"/>
              <w:left w:val="single" w:color="auto" w:sz="4" w:space="0"/>
              <w:bottom w:val="single" w:color="auto" w:sz="4" w:space="0"/>
              <w:right w:val="single" w:color="auto" w:sz="4" w:space="0"/>
            </w:tcBorders>
            <w:vAlign w:val="center"/>
          </w:tcPr>
          <w:p w14:paraId="4CD85834">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PDT数字集群对讲机</w:t>
            </w:r>
          </w:p>
        </w:tc>
        <w:tc>
          <w:tcPr>
            <w:tcW w:w="622" w:type="dxa"/>
            <w:tcBorders>
              <w:top w:val="single" w:color="auto" w:sz="4" w:space="0"/>
              <w:left w:val="single" w:color="auto" w:sz="4" w:space="0"/>
              <w:bottom w:val="single" w:color="auto" w:sz="4" w:space="0"/>
              <w:right w:val="single" w:color="auto" w:sz="4" w:space="0"/>
            </w:tcBorders>
            <w:vAlign w:val="center"/>
          </w:tcPr>
          <w:p w14:paraId="015F20B9">
            <w:pPr>
              <w:jc w:val="center"/>
              <w:rPr>
                <w:rFonts w:ascii="宋体" w:hAnsi="宋体" w:cs="宋体"/>
                <w:color w:val="auto"/>
                <w:sz w:val="24"/>
                <w:highlight w:val="none"/>
              </w:rPr>
            </w:pPr>
            <w:r>
              <w:rPr>
                <w:rFonts w:hint="eastAsia" w:ascii="宋体" w:hAnsi="宋体" w:cs="宋体"/>
                <w:color w:val="auto"/>
                <w:kern w:val="0"/>
                <w:sz w:val="24"/>
                <w:highlight w:val="none"/>
              </w:rPr>
              <w:t>台</w:t>
            </w:r>
          </w:p>
        </w:tc>
        <w:tc>
          <w:tcPr>
            <w:tcW w:w="677" w:type="dxa"/>
            <w:tcBorders>
              <w:top w:val="single" w:color="auto" w:sz="4" w:space="0"/>
              <w:left w:val="single" w:color="auto" w:sz="4" w:space="0"/>
              <w:bottom w:val="single" w:color="auto" w:sz="4" w:space="0"/>
              <w:right w:val="single" w:color="auto" w:sz="4" w:space="0"/>
            </w:tcBorders>
            <w:vAlign w:val="center"/>
          </w:tcPr>
          <w:p w14:paraId="7AF6CC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2000 </w:t>
            </w:r>
          </w:p>
        </w:tc>
        <w:tc>
          <w:tcPr>
            <w:tcW w:w="622" w:type="dxa"/>
            <w:tcBorders>
              <w:top w:val="single" w:color="auto" w:sz="4" w:space="0"/>
              <w:left w:val="single" w:color="auto" w:sz="4" w:space="0"/>
              <w:bottom w:val="single" w:color="auto" w:sz="4" w:space="0"/>
              <w:right w:val="single" w:color="auto" w:sz="4" w:space="0"/>
            </w:tcBorders>
            <w:vAlign w:val="center"/>
          </w:tcPr>
          <w:p w14:paraId="41ECDA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213" w:type="dxa"/>
            <w:tcBorders>
              <w:top w:val="single" w:color="auto" w:sz="4" w:space="0"/>
              <w:left w:val="single" w:color="auto" w:sz="4" w:space="0"/>
              <w:bottom w:val="single" w:color="auto" w:sz="4" w:space="0"/>
              <w:right w:val="single" w:color="auto" w:sz="4" w:space="0"/>
            </w:tcBorders>
          </w:tcPr>
          <w:p w14:paraId="2117010B">
            <w:pPr>
              <w:widowControl/>
              <w:jc w:val="center"/>
              <w:rPr>
                <w:rFonts w:ascii="宋体" w:hAnsi="宋体" w:cs="宋体"/>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4DC4304C">
            <w:pPr>
              <w:widowControl/>
              <w:jc w:val="center"/>
              <w:rPr>
                <w:rFonts w:ascii="宋体" w:hAnsi="宋体" w:cs="宋体"/>
                <w:color w:val="auto"/>
                <w:kern w:val="0"/>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389604FE">
            <w:pPr>
              <w:widowControl/>
              <w:jc w:val="center"/>
              <w:rPr>
                <w:rFonts w:ascii="宋体" w:hAnsi="宋体" w:cs="宋体"/>
                <w:color w:val="auto"/>
                <w:kern w:val="0"/>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52681386">
            <w:pPr>
              <w:widowControl/>
              <w:jc w:val="center"/>
              <w:rPr>
                <w:rFonts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vAlign w:val="center"/>
          </w:tcPr>
          <w:p w14:paraId="519345E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12个月，2025年8月1日-2026年7月31日</w:t>
            </w:r>
          </w:p>
        </w:tc>
      </w:tr>
      <w:tr w14:paraId="07F7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622" w:type="dxa"/>
            <w:tcBorders>
              <w:top w:val="single" w:color="auto" w:sz="4" w:space="0"/>
              <w:left w:val="single" w:color="auto" w:sz="4" w:space="0"/>
              <w:bottom w:val="single" w:color="auto" w:sz="4" w:space="0"/>
              <w:right w:val="single" w:color="auto" w:sz="4" w:space="0"/>
            </w:tcBorders>
            <w:vAlign w:val="center"/>
          </w:tcPr>
          <w:p w14:paraId="7CB5794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57" w:type="dxa"/>
            <w:tcBorders>
              <w:top w:val="single" w:color="auto" w:sz="4" w:space="0"/>
              <w:left w:val="single" w:color="auto" w:sz="4" w:space="0"/>
              <w:bottom w:val="single" w:color="auto" w:sz="4" w:space="0"/>
              <w:right w:val="single" w:color="auto" w:sz="4" w:space="0"/>
            </w:tcBorders>
            <w:vAlign w:val="center"/>
          </w:tcPr>
          <w:p w14:paraId="2BD86C62">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PDT加密卡</w:t>
            </w:r>
          </w:p>
        </w:tc>
        <w:tc>
          <w:tcPr>
            <w:tcW w:w="622" w:type="dxa"/>
            <w:tcBorders>
              <w:top w:val="single" w:color="auto" w:sz="4" w:space="0"/>
              <w:left w:val="single" w:color="auto" w:sz="4" w:space="0"/>
              <w:bottom w:val="single" w:color="auto" w:sz="4" w:space="0"/>
              <w:right w:val="single" w:color="auto" w:sz="4" w:space="0"/>
            </w:tcBorders>
            <w:vAlign w:val="center"/>
          </w:tcPr>
          <w:p w14:paraId="504DD83F">
            <w:pPr>
              <w:jc w:val="center"/>
              <w:rPr>
                <w:rFonts w:ascii="宋体" w:hAnsi="宋体" w:cs="宋体"/>
                <w:color w:val="auto"/>
                <w:kern w:val="0"/>
                <w:sz w:val="24"/>
                <w:highlight w:val="none"/>
              </w:rPr>
            </w:pPr>
            <w:r>
              <w:rPr>
                <w:rFonts w:hint="eastAsia" w:ascii="宋体" w:hAnsi="宋体" w:cs="宋体"/>
                <w:color w:val="auto"/>
                <w:kern w:val="0"/>
                <w:sz w:val="24"/>
                <w:highlight w:val="none"/>
              </w:rPr>
              <w:t>张</w:t>
            </w:r>
          </w:p>
        </w:tc>
        <w:tc>
          <w:tcPr>
            <w:tcW w:w="677" w:type="dxa"/>
            <w:tcBorders>
              <w:top w:val="single" w:color="auto" w:sz="4" w:space="0"/>
              <w:left w:val="single" w:color="auto" w:sz="4" w:space="0"/>
              <w:bottom w:val="single" w:color="auto" w:sz="4" w:space="0"/>
              <w:right w:val="single" w:color="auto" w:sz="4" w:space="0"/>
            </w:tcBorders>
            <w:vAlign w:val="center"/>
          </w:tcPr>
          <w:p w14:paraId="76F50AC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500</w:t>
            </w:r>
          </w:p>
        </w:tc>
        <w:tc>
          <w:tcPr>
            <w:tcW w:w="622" w:type="dxa"/>
            <w:tcBorders>
              <w:top w:val="single" w:color="auto" w:sz="4" w:space="0"/>
              <w:left w:val="single" w:color="auto" w:sz="4" w:space="0"/>
              <w:bottom w:val="single" w:color="auto" w:sz="4" w:space="0"/>
              <w:right w:val="single" w:color="auto" w:sz="4" w:space="0"/>
            </w:tcBorders>
            <w:vAlign w:val="center"/>
          </w:tcPr>
          <w:p w14:paraId="01ECC7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213" w:type="dxa"/>
            <w:tcBorders>
              <w:top w:val="single" w:color="auto" w:sz="4" w:space="0"/>
              <w:left w:val="single" w:color="auto" w:sz="4" w:space="0"/>
              <w:bottom w:val="single" w:color="auto" w:sz="4" w:space="0"/>
              <w:right w:val="single" w:color="auto" w:sz="4" w:space="0"/>
            </w:tcBorders>
          </w:tcPr>
          <w:p w14:paraId="04753ABA">
            <w:pPr>
              <w:widowControl/>
              <w:jc w:val="center"/>
              <w:rPr>
                <w:rFonts w:ascii="宋体" w:hAnsi="宋体" w:cs="宋体"/>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1B9FAF67">
            <w:pPr>
              <w:widowControl/>
              <w:jc w:val="center"/>
              <w:rPr>
                <w:rFonts w:ascii="宋体" w:hAnsi="宋体" w:cs="宋体"/>
                <w:color w:val="auto"/>
                <w:kern w:val="0"/>
                <w:sz w:val="24"/>
                <w:highlight w:val="none"/>
              </w:rPr>
            </w:pPr>
          </w:p>
        </w:tc>
        <w:tc>
          <w:tcPr>
            <w:tcW w:w="1907" w:type="dxa"/>
            <w:tcBorders>
              <w:top w:val="single" w:color="auto" w:sz="4" w:space="0"/>
              <w:left w:val="single" w:color="auto" w:sz="4" w:space="0"/>
              <w:bottom w:val="single" w:color="auto" w:sz="4" w:space="0"/>
              <w:right w:val="single" w:color="auto" w:sz="4" w:space="0"/>
            </w:tcBorders>
            <w:vAlign w:val="center"/>
          </w:tcPr>
          <w:p w14:paraId="6AFE3B3D">
            <w:pPr>
              <w:widowControl/>
              <w:jc w:val="center"/>
              <w:rPr>
                <w:rFonts w:ascii="宋体" w:hAnsi="宋体" w:cs="宋体"/>
                <w:color w:val="auto"/>
                <w:kern w:val="0"/>
                <w:sz w:val="24"/>
                <w:highlight w:val="none"/>
              </w:rPr>
            </w:pPr>
          </w:p>
        </w:tc>
        <w:tc>
          <w:tcPr>
            <w:tcW w:w="1430" w:type="dxa"/>
            <w:tcBorders>
              <w:top w:val="single" w:color="auto" w:sz="4" w:space="0"/>
              <w:left w:val="single" w:color="auto" w:sz="4" w:space="0"/>
              <w:bottom w:val="single" w:color="auto" w:sz="4" w:space="0"/>
              <w:right w:val="single" w:color="auto" w:sz="4" w:space="0"/>
            </w:tcBorders>
            <w:vAlign w:val="center"/>
          </w:tcPr>
          <w:p w14:paraId="38E767CD">
            <w:pPr>
              <w:widowControl/>
              <w:jc w:val="center"/>
              <w:rPr>
                <w:rFonts w:ascii="宋体" w:hAnsi="宋体" w:cs="宋体"/>
                <w:color w:val="auto"/>
                <w:kern w:val="0"/>
                <w:sz w:val="24"/>
                <w:highlight w:val="none"/>
              </w:rPr>
            </w:pPr>
          </w:p>
        </w:tc>
        <w:tc>
          <w:tcPr>
            <w:tcW w:w="3861" w:type="dxa"/>
            <w:tcBorders>
              <w:top w:val="single" w:color="auto" w:sz="4" w:space="0"/>
              <w:left w:val="single" w:color="auto" w:sz="4" w:space="0"/>
              <w:bottom w:val="single" w:color="auto" w:sz="4" w:space="0"/>
              <w:right w:val="single" w:color="auto" w:sz="4" w:space="0"/>
            </w:tcBorders>
            <w:vAlign w:val="center"/>
          </w:tcPr>
          <w:p w14:paraId="2E52A6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12个月，2025年8月1日-2026年7月31日</w:t>
            </w:r>
          </w:p>
        </w:tc>
      </w:tr>
      <w:tr w14:paraId="61BD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13" w:type="dxa"/>
            <w:gridSpan w:val="6"/>
            <w:tcBorders>
              <w:top w:val="single" w:color="auto" w:sz="4" w:space="0"/>
              <w:left w:val="single" w:color="auto" w:sz="4" w:space="0"/>
              <w:bottom w:val="single" w:color="auto" w:sz="4" w:space="0"/>
              <w:right w:val="single" w:color="auto" w:sz="4" w:space="0"/>
            </w:tcBorders>
            <w:vAlign w:val="center"/>
          </w:tcPr>
          <w:p w14:paraId="29484DD5">
            <w:pPr>
              <w:adjustRightInd w:val="0"/>
              <w:snapToGrid w:val="0"/>
              <w:jc w:val="center"/>
              <w:rPr>
                <w:rFonts w:ascii="宋体" w:hAnsi="宋体" w:cs="宋体"/>
                <w:b/>
                <w:color w:val="auto"/>
                <w:kern w:val="0"/>
                <w:sz w:val="24"/>
                <w:highlight w:val="none"/>
              </w:rPr>
            </w:pPr>
            <w:r>
              <w:rPr>
                <w:rFonts w:hint="eastAsia" w:ascii="宋体" w:hAnsi="宋体" w:cs="宋体"/>
                <w:b/>
                <w:color w:val="auto"/>
                <w:sz w:val="24"/>
                <w:highlight w:val="none"/>
              </w:rPr>
              <w:t>投标总价人民币（小写）</w:t>
            </w:r>
          </w:p>
        </w:tc>
        <w:tc>
          <w:tcPr>
            <w:gridSpan w:val="4"/>
            <w:tcBorders>
              <w:top w:val="single" w:color="auto" w:sz="4" w:space="0"/>
              <w:left w:val="single" w:color="auto" w:sz="4" w:space="0"/>
              <w:bottom w:val="single" w:color="auto" w:sz="4" w:space="0"/>
              <w:right w:val="single" w:color="auto" w:sz="4" w:space="0"/>
            </w:tcBorders>
          </w:tcPr>
          <w:p w14:paraId="46F643F5">
            <w:pPr>
              <w:widowControl/>
              <w:jc w:val="center"/>
              <w:rPr>
                <w:rFonts w:ascii="宋体" w:hAnsi="宋体" w:cs="宋体"/>
                <w:color w:val="auto"/>
                <w:kern w:val="0"/>
                <w:sz w:val="24"/>
                <w:highlight w:val="none"/>
              </w:rPr>
            </w:pPr>
          </w:p>
        </w:tc>
      </w:tr>
      <w:tr w14:paraId="31F2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613" w:type="dxa"/>
            <w:gridSpan w:val="6"/>
            <w:tcBorders>
              <w:top w:val="single" w:color="auto" w:sz="4" w:space="0"/>
              <w:left w:val="single" w:color="auto" w:sz="4" w:space="0"/>
              <w:bottom w:val="single" w:color="auto" w:sz="4" w:space="0"/>
              <w:right w:val="single" w:color="auto" w:sz="4" w:space="0"/>
            </w:tcBorders>
            <w:vAlign w:val="center"/>
          </w:tcPr>
          <w:p w14:paraId="25E65930">
            <w:pPr>
              <w:adjustRightInd w:val="0"/>
              <w:snapToGrid w:val="0"/>
              <w:jc w:val="center"/>
              <w:rPr>
                <w:rFonts w:ascii="宋体" w:hAnsi="宋体" w:cs="宋体"/>
                <w:b/>
                <w:color w:val="auto"/>
                <w:kern w:val="0"/>
                <w:sz w:val="24"/>
                <w:highlight w:val="none"/>
              </w:rPr>
            </w:pPr>
            <w:r>
              <w:rPr>
                <w:rFonts w:hint="eastAsia" w:ascii="宋体" w:hAnsi="宋体" w:cs="宋体"/>
                <w:b/>
                <w:color w:val="auto"/>
                <w:sz w:val="24"/>
                <w:highlight w:val="none"/>
              </w:rPr>
              <w:t>投标总价人民币（</w:t>
            </w:r>
            <w:r>
              <w:rPr>
                <w:rFonts w:hint="eastAsia" w:ascii="宋体" w:hAnsi="宋体" w:cs="宋体"/>
                <w:b/>
                <w:bCs/>
                <w:color w:val="auto"/>
                <w:sz w:val="24"/>
                <w:highlight w:val="none"/>
              </w:rPr>
              <w:t>大写</w:t>
            </w:r>
            <w:r>
              <w:rPr>
                <w:rFonts w:hint="eastAsia" w:ascii="宋体" w:hAnsi="宋体" w:cs="宋体"/>
                <w:b/>
                <w:color w:val="auto"/>
                <w:sz w:val="24"/>
                <w:highlight w:val="none"/>
              </w:rPr>
              <w:t>）</w:t>
            </w:r>
          </w:p>
        </w:tc>
        <w:tc>
          <w:tcPr>
            <w:gridSpan w:val="4"/>
            <w:tcBorders>
              <w:top w:val="single" w:color="auto" w:sz="4" w:space="0"/>
              <w:left w:val="single" w:color="auto" w:sz="4" w:space="0"/>
              <w:bottom w:val="single" w:color="auto" w:sz="4" w:space="0"/>
              <w:right w:val="single" w:color="auto" w:sz="4" w:space="0"/>
            </w:tcBorders>
          </w:tcPr>
          <w:p w14:paraId="0CB95573">
            <w:pPr>
              <w:widowControl/>
              <w:jc w:val="center"/>
              <w:rPr>
                <w:rFonts w:ascii="宋体" w:hAnsi="宋体" w:cs="宋体"/>
                <w:color w:val="auto"/>
                <w:kern w:val="0"/>
                <w:sz w:val="24"/>
                <w:highlight w:val="none"/>
              </w:rPr>
            </w:pPr>
          </w:p>
        </w:tc>
      </w:tr>
    </w:tbl>
    <w:p w14:paraId="6B23823B">
      <w:pPr>
        <w:adjustRightInd w:val="0"/>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839692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94ED8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23A94E4">
      <w:pPr>
        <w:adjustRightInd w:val="0"/>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AFC9FF6">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pPr>
    </w:p>
    <w:p w14:paraId="7F906CC0">
      <w:pPr>
        <w:pStyle w:val="631"/>
        <w:keepNext w:val="0"/>
        <w:pageBreakBefore w:val="0"/>
        <w:tabs>
          <w:tab w:val="clear" w:pos="720"/>
        </w:tabs>
        <w:adjustRightInd w:val="0"/>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5975D43">
      <w:pPr>
        <w:adjustRightInd w:val="0"/>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二、报价情况说明（如果有）</w:t>
      </w:r>
    </w:p>
    <w:p w14:paraId="03C64E6A">
      <w:pPr>
        <w:widowControl/>
        <w:spacing w:line="360" w:lineRule="auto"/>
        <w:ind w:firstLine="120" w:firstLineChars="50"/>
        <w:jc w:val="left"/>
        <w:rPr>
          <w:rFonts w:ascii="宋体" w:hAnsi="宋体" w:cs="宋体"/>
          <w:bCs/>
          <w:color w:val="auto"/>
          <w:sz w:val="24"/>
          <w:highlight w:val="none"/>
        </w:rPr>
      </w:pPr>
      <w:r>
        <w:rPr>
          <w:rFonts w:hint="eastAsia" w:ascii="宋体" w:hAnsi="宋体" w:cs="宋体"/>
          <w:bCs/>
          <w:color w:val="auto"/>
          <w:sz w:val="24"/>
          <w:highlight w:val="none"/>
        </w:rPr>
        <w:t>（如供应商报价低于项目预算50%的，应当提交本文档，详细阐述不影响产品质量或者诚信履约的具体原因。）</w:t>
      </w:r>
    </w:p>
    <w:p w14:paraId="1D102DC0">
      <w:pPr>
        <w:adjustRightInd w:val="0"/>
        <w:snapToGrid w:val="0"/>
        <w:spacing w:before="120" w:after="120"/>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4342947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5EEF14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1A08700">
      <w:pPr>
        <w:spacing w:line="360" w:lineRule="auto"/>
        <w:jc w:val="center"/>
        <w:rPr>
          <w:rFonts w:ascii="宋体" w:hAnsi="宋体" w:cs="宋体"/>
          <w:b/>
          <w:color w:val="auto"/>
          <w:spacing w:val="6"/>
          <w:sz w:val="32"/>
          <w:szCs w:val="32"/>
          <w:highlight w:val="none"/>
        </w:rPr>
      </w:pPr>
      <w:bookmarkStart w:id="519" w:name="OLE_LINK14"/>
      <w:bookmarkStart w:id="520" w:name="OLE_LINK13"/>
      <w:r>
        <w:rPr>
          <w:rFonts w:hint="eastAsia" w:ascii="宋体" w:hAnsi="宋体" w:cs="宋体"/>
          <w:b/>
          <w:color w:val="auto"/>
          <w:spacing w:val="6"/>
          <w:sz w:val="32"/>
          <w:szCs w:val="32"/>
          <w:highlight w:val="none"/>
        </w:rPr>
        <w:t>残疾人福利性单位声明函</w:t>
      </w:r>
    </w:p>
    <w:bookmarkEnd w:id="519"/>
    <w:bookmarkEnd w:id="520"/>
    <w:p w14:paraId="60CF42C6">
      <w:pPr>
        <w:spacing w:line="360" w:lineRule="auto"/>
        <w:rPr>
          <w:rFonts w:ascii="宋体" w:hAnsi="宋体" w:cs="宋体"/>
          <w:b/>
          <w:color w:val="auto"/>
          <w:spacing w:val="6"/>
          <w:sz w:val="30"/>
          <w:szCs w:val="30"/>
          <w:highlight w:val="none"/>
        </w:rPr>
      </w:pPr>
    </w:p>
    <w:p w14:paraId="2CC7D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2025年杭州交警业务系统租赁使用服务-2025年PDT数字集群终端设备使用服务项目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2F3A6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75A20F">
      <w:pPr>
        <w:spacing w:line="360" w:lineRule="auto"/>
        <w:ind w:firstLine="480" w:firstLineChars="200"/>
        <w:rPr>
          <w:rFonts w:ascii="宋体" w:hAnsi="宋体" w:cs="宋体"/>
          <w:color w:val="auto"/>
          <w:sz w:val="24"/>
          <w:highlight w:val="none"/>
        </w:rPr>
      </w:pPr>
    </w:p>
    <w:p w14:paraId="715E956A">
      <w:pPr>
        <w:spacing w:line="360" w:lineRule="auto"/>
        <w:ind w:firstLine="480" w:firstLineChars="200"/>
        <w:rPr>
          <w:rFonts w:ascii="宋体" w:hAnsi="宋体" w:cs="宋体"/>
          <w:color w:val="auto"/>
          <w:sz w:val="24"/>
          <w:highlight w:val="none"/>
        </w:rPr>
      </w:pPr>
    </w:p>
    <w:p w14:paraId="2399E1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C8247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50DA850">
      <w:pPr>
        <w:spacing w:line="360" w:lineRule="auto"/>
        <w:ind w:firstLine="480" w:firstLineChars="200"/>
        <w:rPr>
          <w:rFonts w:ascii="宋体" w:hAnsi="宋体" w:cs="宋体"/>
          <w:color w:val="auto"/>
          <w:sz w:val="24"/>
          <w:highlight w:val="none"/>
        </w:rPr>
      </w:pPr>
    </w:p>
    <w:p w14:paraId="7156951B">
      <w:pPr>
        <w:spacing w:line="360" w:lineRule="auto"/>
        <w:ind w:firstLine="420" w:firstLineChars="200"/>
        <w:rPr>
          <w:rFonts w:ascii="宋体" w:hAnsi="宋体" w:cs="宋体"/>
          <w:color w:val="auto"/>
          <w:highlight w:val="none"/>
        </w:rPr>
      </w:pPr>
    </w:p>
    <w:p w14:paraId="4AF13A4B">
      <w:pPr>
        <w:spacing w:line="360" w:lineRule="auto"/>
        <w:ind w:firstLine="420" w:firstLineChars="200"/>
        <w:rPr>
          <w:rFonts w:ascii="宋体" w:hAnsi="宋体" w:cs="宋体"/>
          <w:color w:val="auto"/>
          <w:highlight w:val="none"/>
        </w:rPr>
      </w:pPr>
    </w:p>
    <w:p w14:paraId="10CDE080">
      <w:pPr>
        <w:spacing w:line="360" w:lineRule="auto"/>
        <w:ind w:firstLine="420" w:firstLineChars="200"/>
        <w:rPr>
          <w:rFonts w:ascii="宋体" w:hAnsi="宋体" w:cs="宋体"/>
          <w:color w:val="auto"/>
          <w:highlight w:val="none"/>
        </w:rPr>
      </w:pPr>
    </w:p>
    <w:p w14:paraId="393B3B60">
      <w:pPr>
        <w:spacing w:line="360" w:lineRule="auto"/>
        <w:ind w:firstLine="420" w:firstLineChars="200"/>
        <w:rPr>
          <w:rFonts w:ascii="宋体" w:hAnsi="宋体" w:cs="宋体"/>
          <w:color w:val="auto"/>
          <w:highlight w:val="none"/>
        </w:rPr>
      </w:pPr>
    </w:p>
    <w:p w14:paraId="2968F48E">
      <w:pPr>
        <w:spacing w:line="360" w:lineRule="auto"/>
        <w:rPr>
          <w:rFonts w:ascii="宋体" w:hAnsi="宋体" w:cs="宋体"/>
          <w:b/>
          <w:color w:val="auto"/>
          <w:sz w:val="24"/>
          <w:highlight w:val="none"/>
        </w:rPr>
      </w:pPr>
    </w:p>
    <w:p w14:paraId="4903C944">
      <w:pPr>
        <w:spacing w:line="360" w:lineRule="auto"/>
        <w:rPr>
          <w:rFonts w:ascii="宋体" w:hAnsi="宋体" w:cs="宋体"/>
          <w:b/>
          <w:color w:val="auto"/>
          <w:sz w:val="24"/>
          <w:highlight w:val="none"/>
        </w:rPr>
      </w:pPr>
    </w:p>
    <w:p w14:paraId="1B56DEE2">
      <w:pPr>
        <w:spacing w:line="360" w:lineRule="auto"/>
        <w:rPr>
          <w:rFonts w:ascii="宋体" w:hAnsi="宋体" w:cs="宋体"/>
          <w:b/>
          <w:color w:val="auto"/>
          <w:sz w:val="24"/>
          <w:highlight w:val="none"/>
        </w:rPr>
      </w:pPr>
    </w:p>
    <w:p w14:paraId="4DBC1D9A">
      <w:pPr>
        <w:spacing w:line="360" w:lineRule="auto"/>
        <w:rPr>
          <w:rFonts w:ascii="宋体" w:hAnsi="宋体" w:cs="宋体"/>
          <w:b/>
          <w:color w:val="auto"/>
          <w:sz w:val="24"/>
          <w:highlight w:val="none"/>
        </w:rPr>
      </w:pPr>
    </w:p>
    <w:p w14:paraId="2E5FED28">
      <w:pPr>
        <w:spacing w:line="360" w:lineRule="auto"/>
        <w:rPr>
          <w:rFonts w:ascii="宋体" w:hAnsi="宋体" w:cs="宋体"/>
          <w:b/>
          <w:color w:val="auto"/>
          <w:sz w:val="24"/>
          <w:highlight w:val="none"/>
        </w:rPr>
      </w:pPr>
    </w:p>
    <w:p w14:paraId="72CC133C">
      <w:pPr>
        <w:spacing w:line="360" w:lineRule="auto"/>
        <w:rPr>
          <w:rFonts w:ascii="宋体" w:hAnsi="宋体" w:cs="宋体"/>
          <w:b/>
          <w:color w:val="auto"/>
          <w:sz w:val="24"/>
          <w:highlight w:val="none"/>
        </w:rPr>
      </w:pPr>
    </w:p>
    <w:p w14:paraId="6C85F4C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C51B13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B1659A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E67918">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D69F93C">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E0608C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0DBAD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CDECE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9B3DEE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B285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D5F46E">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4B7B68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E399C1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15A2FD1">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0E0867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8A059EA">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FA3B4E">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3385D2E">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D2F011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16B89D2">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DA7AFD">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89870A">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795D55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6F38ED">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DA957D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D89E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0E03E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34CEDD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B7183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FCA04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71C06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B8E4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41B5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7469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520C16">
      <w:pPr>
        <w:widowControl/>
        <w:spacing w:line="360" w:lineRule="auto"/>
        <w:ind w:firstLine="600" w:firstLineChars="200"/>
        <w:jc w:val="left"/>
        <w:rPr>
          <w:rFonts w:ascii="宋体" w:hAnsi="宋体" w:cs="宋体"/>
          <w:color w:val="auto"/>
          <w:sz w:val="30"/>
          <w:szCs w:val="30"/>
          <w:highlight w:val="none"/>
        </w:rPr>
      </w:pPr>
    </w:p>
    <w:p w14:paraId="27383E01">
      <w:pPr>
        <w:spacing w:line="360" w:lineRule="auto"/>
        <w:jc w:val="center"/>
        <w:rPr>
          <w:rFonts w:ascii="宋体" w:hAnsi="宋体" w:cs="宋体"/>
          <w:b/>
          <w:color w:val="auto"/>
          <w:spacing w:val="6"/>
          <w:sz w:val="32"/>
          <w:szCs w:val="32"/>
          <w:highlight w:val="none"/>
        </w:rPr>
      </w:pPr>
    </w:p>
    <w:p w14:paraId="5526C324">
      <w:pPr>
        <w:spacing w:line="360" w:lineRule="auto"/>
        <w:jc w:val="center"/>
        <w:rPr>
          <w:rFonts w:ascii="宋体" w:hAnsi="宋体" w:cs="宋体"/>
          <w:b/>
          <w:color w:val="auto"/>
          <w:spacing w:val="6"/>
          <w:sz w:val="32"/>
          <w:szCs w:val="32"/>
          <w:highlight w:val="none"/>
        </w:rPr>
      </w:pPr>
    </w:p>
    <w:p w14:paraId="66EDA4D1">
      <w:pPr>
        <w:spacing w:line="360" w:lineRule="auto"/>
        <w:jc w:val="center"/>
        <w:rPr>
          <w:rFonts w:ascii="宋体" w:hAnsi="宋体" w:cs="宋体"/>
          <w:b/>
          <w:color w:val="auto"/>
          <w:spacing w:val="6"/>
          <w:sz w:val="32"/>
          <w:szCs w:val="32"/>
          <w:highlight w:val="none"/>
        </w:rPr>
      </w:pPr>
    </w:p>
    <w:p w14:paraId="67A91E35">
      <w:pPr>
        <w:spacing w:line="360" w:lineRule="auto"/>
        <w:jc w:val="center"/>
        <w:rPr>
          <w:rFonts w:ascii="宋体" w:hAnsi="宋体" w:cs="宋体"/>
          <w:b/>
          <w:color w:val="auto"/>
          <w:spacing w:val="6"/>
          <w:sz w:val="32"/>
          <w:szCs w:val="32"/>
          <w:highlight w:val="none"/>
        </w:rPr>
      </w:pPr>
    </w:p>
    <w:p w14:paraId="6FCB371D">
      <w:pPr>
        <w:spacing w:line="360" w:lineRule="auto"/>
        <w:jc w:val="center"/>
        <w:rPr>
          <w:rFonts w:ascii="宋体" w:hAnsi="宋体" w:cs="宋体"/>
          <w:b/>
          <w:color w:val="auto"/>
          <w:spacing w:val="6"/>
          <w:sz w:val="32"/>
          <w:szCs w:val="32"/>
          <w:highlight w:val="none"/>
        </w:rPr>
      </w:pPr>
    </w:p>
    <w:p w14:paraId="5B76593C">
      <w:pPr>
        <w:spacing w:line="360" w:lineRule="auto"/>
        <w:jc w:val="center"/>
        <w:rPr>
          <w:rFonts w:ascii="宋体" w:hAnsi="宋体" w:cs="宋体"/>
          <w:b/>
          <w:color w:val="auto"/>
          <w:spacing w:val="6"/>
          <w:sz w:val="32"/>
          <w:szCs w:val="32"/>
          <w:highlight w:val="none"/>
        </w:rPr>
      </w:pPr>
    </w:p>
    <w:p w14:paraId="1222CC86">
      <w:pPr>
        <w:spacing w:line="360" w:lineRule="auto"/>
        <w:jc w:val="center"/>
        <w:rPr>
          <w:rFonts w:ascii="宋体" w:hAnsi="宋体" w:cs="宋体"/>
          <w:b/>
          <w:color w:val="auto"/>
          <w:spacing w:val="6"/>
          <w:sz w:val="32"/>
          <w:szCs w:val="32"/>
          <w:highlight w:val="none"/>
        </w:rPr>
      </w:pPr>
    </w:p>
    <w:p w14:paraId="70506037">
      <w:pPr>
        <w:spacing w:line="360" w:lineRule="auto"/>
        <w:jc w:val="center"/>
        <w:rPr>
          <w:rFonts w:ascii="宋体" w:hAnsi="宋体" w:cs="宋体"/>
          <w:b/>
          <w:color w:val="auto"/>
          <w:spacing w:val="6"/>
          <w:sz w:val="32"/>
          <w:szCs w:val="32"/>
          <w:highlight w:val="none"/>
        </w:rPr>
      </w:pPr>
    </w:p>
    <w:p w14:paraId="09F0ED0D">
      <w:pPr>
        <w:spacing w:line="360" w:lineRule="auto"/>
        <w:jc w:val="center"/>
        <w:rPr>
          <w:rFonts w:ascii="宋体" w:hAnsi="宋体" w:cs="宋体"/>
          <w:b/>
          <w:color w:val="auto"/>
          <w:spacing w:val="6"/>
          <w:sz w:val="32"/>
          <w:szCs w:val="32"/>
          <w:highlight w:val="none"/>
        </w:rPr>
      </w:pPr>
    </w:p>
    <w:p w14:paraId="0A308068">
      <w:pPr>
        <w:spacing w:line="360" w:lineRule="auto"/>
        <w:jc w:val="left"/>
        <w:rPr>
          <w:rFonts w:ascii="宋体" w:hAnsi="宋体" w:cs="宋体"/>
          <w:b/>
          <w:color w:val="auto"/>
          <w:spacing w:val="6"/>
          <w:sz w:val="32"/>
          <w:szCs w:val="32"/>
          <w:highlight w:val="none"/>
        </w:rPr>
      </w:pPr>
    </w:p>
    <w:p w14:paraId="0642686C">
      <w:pPr>
        <w:spacing w:line="360" w:lineRule="auto"/>
        <w:jc w:val="left"/>
        <w:rPr>
          <w:rFonts w:ascii="宋体" w:hAnsi="宋体" w:cs="宋体"/>
          <w:b/>
          <w:color w:val="auto"/>
          <w:spacing w:val="6"/>
          <w:sz w:val="32"/>
          <w:szCs w:val="32"/>
          <w:highlight w:val="none"/>
        </w:rPr>
      </w:pPr>
    </w:p>
    <w:p w14:paraId="4F5DF398">
      <w:pPr>
        <w:spacing w:line="360" w:lineRule="auto"/>
        <w:jc w:val="left"/>
        <w:rPr>
          <w:rFonts w:ascii="宋体" w:hAnsi="宋体" w:cs="宋体"/>
          <w:b/>
          <w:color w:val="auto"/>
          <w:spacing w:val="6"/>
          <w:sz w:val="32"/>
          <w:szCs w:val="32"/>
          <w:highlight w:val="none"/>
        </w:rPr>
      </w:pPr>
    </w:p>
    <w:p w14:paraId="762C32E4">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4C95F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91F04B">
      <w:pPr>
        <w:spacing w:line="360" w:lineRule="auto"/>
        <w:jc w:val="center"/>
        <w:rPr>
          <w:rFonts w:ascii="宋体" w:hAnsi="宋体" w:cs="宋体"/>
          <w:b/>
          <w:color w:val="auto"/>
          <w:sz w:val="24"/>
          <w:highlight w:val="none"/>
        </w:rPr>
      </w:pPr>
    </w:p>
    <w:p w14:paraId="3AC932E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9908C6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B2EF5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BC413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E5170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92CA4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5B3B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8D27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2EB76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456C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2C2F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D4E62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F0688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B6C0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8DA8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A46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CA945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BB04A7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8FAA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7ACD5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1393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CF75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54E4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65D30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94FE97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5E5CB4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8BF77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DC37F6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E068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DA3E7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E80856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CBBC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3AAE1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9E3AA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5F02D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6582D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623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70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0A9C8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6A861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1D706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5DA98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41C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293D6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51F75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9EBD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E572A6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B3EB2E7">
      <w:pPr>
        <w:autoSpaceDE w:val="0"/>
        <w:autoSpaceDN w:val="0"/>
        <w:jc w:val="center"/>
        <w:rPr>
          <w:rFonts w:ascii="宋体" w:hAnsi="宋体" w:cs="宋体"/>
          <w:b/>
          <w:color w:val="auto"/>
          <w:spacing w:val="6"/>
          <w:sz w:val="32"/>
          <w:szCs w:val="32"/>
          <w:highlight w:val="none"/>
        </w:rPr>
      </w:pPr>
    </w:p>
    <w:p w14:paraId="5778D32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C27C20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F054AC1">
      <w:pPr>
        <w:spacing w:line="360" w:lineRule="auto"/>
        <w:rPr>
          <w:rFonts w:ascii="宋体" w:hAnsi="宋体" w:cs="宋体"/>
          <w:color w:val="auto"/>
          <w:sz w:val="24"/>
          <w:highlight w:val="none"/>
          <w:u w:val="single"/>
        </w:rPr>
      </w:pPr>
    </w:p>
    <w:p w14:paraId="6F90F128">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杭州市公安局交通警察支队、浙江五石中正工程咨询有限公司：</w:t>
      </w:r>
    </w:p>
    <w:p w14:paraId="757C81D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你方组织的2025年杭州交警业务系统租赁使用服务-2025年PDT数字集群终端设备使用服务项目【招标编号：ZJWS2025-JJZD07】</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7DD9E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E87600C">
      <w:pPr>
        <w:spacing w:line="360" w:lineRule="auto"/>
        <w:ind w:firstLine="494"/>
        <w:rPr>
          <w:rFonts w:ascii="宋体" w:hAnsi="宋体" w:cs="宋体"/>
          <w:color w:val="auto"/>
          <w:sz w:val="24"/>
          <w:highlight w:val="none"/>
        </w:rPr>
      </w:pPr>
    </w:p>
    <w:p w14:paraId="639C498E">
      <w:pPr>
        <w:spacing w:line="360" w:lineRule="auto"/>
        <w:ind w:firstLine="494"/>
        <w:rPr>
          <w:rFonts w:ascii="宋体" w:hAnsi="宋体" w:cs="宋体"/>
          <w:color w:val="auto"/>
          <w:sz w:val="24"/>
          <w:highlight w:val="none"/>
        </w:rPr>
      </w:pPr>
    </w:p>
    <w:p w14:paraId="59FAFF49">
      <w:pPr>
        <w:spacing w:line="360" w:lineRule="auto"/>
        <w:ind w:firstLine="494"/>
        <w:rPr>
          <w:rFonts w:ascii="宋体" w:hAnsi="宋体" w:cs="宋体"/>
          <w:color w:val="auto"/>
          <w:sz w:val="24"/>
          <w:highlight w:val="none"/>
        </w:rPr>
      </w:pPr>
    </w:p>
    <w:p w14:paraId="190E4A6B">
      <w:pPr>
        <w:spacing w:line="360" w:lineRule="auto"/>
        <w:ind w:firstLine="494"/>
        <w:rPr>
          <w:rFonts w:ascii="宋体" w:hAnsi="宋体" w:cs="宋体"/>
          <w:color w:val="auto"/>
          <w:sz w:val="24"/>
          <w:highlight w:val="none"/>
        </w:rPr>
      </w:pPr>
    </w:p>
    <w:p w14:paraId="07D34BF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5500B0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04A051">
      <w:pPr>
        <w:rPr>
          <w:rFonts w:ascii="宋体" w:hAnsi="宋体" w:cs="宋体"/>
          <w:color w:val="auto"/>
          <w:sz w:val="24"/>
          <w:highlight w:val="none"/>
        </w:rPr>
      </w:pPr>
      <w:r>
        <w:rPr>
          <w:rFonts w:hint="eastAsia" w:ascii="宋体" w:hAnsi="宋体" w:cs="宋体"/>
          <w:b/>
          <w:bCs/>
          <w:color w:val="auto"/>
          <w:sz w:val="24"/>
          <w:highlight w:val="none"/>
        </w:rPr>
        <w:t>附：</w:t>
      </w:r>
    </w:p>
    <w:p w14:paraId="4125F75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barANgAAAAKAQAADwAAAAAA&#10;AAABACAAAAAiAAAAZHJzL2Rvd25yZXYueG1sUEsBAhQAFAAAAAgAh07iQIN5LhsTAgAAUAQAAA4A&#10;AAAAAAAAAQAgAAAAJwEAAGRycy9lMm9Eb2MueG1sUEsFBgAAAAAGAAYAWQEAAKwFA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89" t="13335" r="10160" b="9525"/>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C19D087">
      <w:pPr>
        <w:autoSpaceDE w:val="0"/>
        <w:autoSpaceDN w:val="0"/>
        <w:jc w:val="center"/>
        <w:rPr>
          <w:rFonts w:ascii="宋体" w:hAnsi="宋体" w:cs="宋体"/>
          <w:b/>
          <w:color w:val="auto"/>
          <w:spacing w:val="6"/>
          <w:sz w:val="32"/>
          <w:szCs w:val="32"/>
          <w:highlight w:val="none"/>
        </w:rPr>
      </w:pPr>
    </w:p>
    <w:p w14:paraId="3E5C9E14">
      <w:pPr>
        <w:autoSpaceDE w:val="0"/>
        <w:autoSpaceDN w:val="0"/>
        <w:jc w:val="center"/>
        <w:rPr>
          <w:rFonts w:ascii="宋体" w:hAnsi="宋体" w:cs="宋体"/>
          <w:b/>
          <w:color w:val="auto"/>
          <w:spacing w:val="6"/>
          <w:sz w:val="32"/>
          <w:szCs w:val="32"/>
          <w:highlight w:val="none"/>
        </w:rPr>
      </w:pPr>
    </w:p>
    <w:p w14:paraId="2119D1D5">
      <w:pPr>
        <w:autoSpaceDE w:val="0"/>
        <w:autoSpaceDN w:val="0"/>
        <w:jc w:val="center"/>
        <w:rPr>
          <w:rFonts w:ascii="宋体" w:hAnsi="宋体" w:cs="宋体"/>
          <w:b/>
          <w:color w:val="auto"/>
          <w:spacing w:val="6"/>
          <w:sz w:val="32"/>
          <w:szCs w:val="32"/>
          <w:highlight w:val="none"/>
        </w:rPr>
      </w:pPr>
    </w:p>
    <w:p w14:paraId="6E13AABB">
      <w:pPr>
        <w:autoSpaceDE w:val="0"/>
        <w:autoSpaceDN w:val="0"/>
        <w:jc w:val="center"/>
        <w:rPr>
          <w:rFonts w:ascii="宋体" w:hAnsi="宋体" w:cs="宋体"/>
          <w:b/>
          <w:color w:val="auto"/>
          <w:spacing w:val="6"/>
          <w:sz w:val="32"/>
          <w:szCs w:val="32"/>
          <w:highlight w:val="none"/>
        </w:rPr>
      </w:pPr>
    </w:p>
    <w:p w14:paraId="0B01D704">
      <w:pPr>
        <w:autoSpaceDE w:val="0"/>
        <w:autoSpaceDN w:val="0"/>
        <w:jc w:val="center"/>
        <w:rPr>
          <w:rFonts w:ascii="宋体" w:hAnsi="宋体" w:cs="宋体"/>
          <w:b/>
          <w:color w:val="auto"/>
          <w:spacing w:val="6"/>
          <w:sz w:val="32"/>
          <w:szCs w:val="32"/>
          <w:highlight w:val="none"/>
        </w:rPr>
      </w:pPr>
    </w:p>
    <w:p w14:paraId="75B6C04C">
      <w:pPr>
        <w:autoSpaceDE w:val="0"/>
        <w:autoSpaceDN w:val="0"/>
        <w:jc w:val="center"/>
        <w:rPr>
          <w:rFonts w:ascii="宋体" w:hAnsi="宋体" w:cs="宋体"/>
          <w:b/>
          <w:color w:val="auto"/>
          <w:spacing w:val="6"/>
          <w:sz w:val="32"/>
          <w:szCs w:val="32"/>
          <w:highlight w:val="none"/>
        </w:rPr>
      </w:pPr>
    </w:p>
    <w:p w14:paraId="5E39F6DD">
      <w:pPr>
        <w:autoSpaceDE w:val="0"/>
        <w:autoSpaceDN w:val="0"/>
        <w:jc w:val="center"/>
        <w:rPr>
          <w:rFonts w:ascii="宋体" w:hAnsi="宋体" w:cs="宋体"/>
          <w:b/>
          <w:color w:val="auto"/>
          <w:spacing w:val="6"/>
          <w:sz w:val="32"/>
          <w:szCs w:val="32"/>
          <w:highlight w:val="none"/>
        </w:rPr>
      </w:pPr>
    </w:p>
    <w:p w14:paraId="00468B41">
      <w:pPr>
        <w:autoSpaceDE w:val="0"/>
        <w:autoSpaceDN w:val="0"/>
        <w:jc w:val="center"/>
        <w:rPr>
          <w:rFonts w:ascii="宋体" w:hAnsi="宋体" w:cs="宋体"/>
          <w:b/>
          <w:color w:val="auto"/>
          <w:spacing w:val="6"/>
          <w:sz w:val="32"/>
          <w:szCs w:val="32"/>
          <w:highlight w:val="none"/>
        </w:rPr>
      </w:pPr>
    </w:p>
    <w:p w14:paraId="310D9AEB">
      <w:pPr>
        <w:autoSpaceDE w:val="0"/>
        <w:autoSpaceDN w:val="0"/>
        <w:jc w:val="center"/>
        <w:rPr>
          <w:rFonts w:ascii="宋体" w:hAnsi="宋体" w:cs="宋体"/>
          <w:b/>
          <w:color w:val="auto"/>
          <w:spacing w:val="6"/>
          <w:sz w:val="32"/>
          <w:szCs w:val="32"/>
          <w:highlight w:val="none"/>
        </w:rPr>
      </w:pPr>
    </w:p>
    <w:p w14:paraId="4CF68592">
      <w:pPr>
        <w:autoSpaceDE w:val="0"/>
        <w:autoSpaceDN w:val="0"/>
        <w:jc w:val="center"/>
        <w:rPr>
          <w:rFonts w:ascii="宋体" w:hAnsi="宋体" w:cs="宋体"/>
          <w:b/>
          <w:color w:val="auto"/>
          <w:spacing w:val="6"/>
          <w:sz w:val="32"/>
          <w:szCs w:val="32"/>
          <w:highlight w:val="none"/>
        </w:rPr>
      </w:pPr>
    </w:p>
    <w:p w14:paraId="33962C15">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9DDAF2A">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17181CD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72DD7B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2025年杭州交警业务系统租赁使用服务-2025年PDT数字集群终端设备使用服务项目【招标编号：ZJWS2025-JJZD07】</w:t>
      </w:r>
      <w:r>
        <w:rPr>
          <w:rFonts w:hint="eastAsia" w:ascii="宋体" w:hAnsi="宋体" w:cs="宋体"/>
          <w:color w:val="auto"/>
          <w:kern w:val="0"/>
          <w:sz w:val="24"/>
          <w:highlight w:val="none"/>
          <w:lang w:val="zh-CN"/>
        </w:rPr>
        <w:t xml:space="preserve">投标。 </w:t>
      </w:r>
    </w:p>
    <w:p w14:paraId="16F8956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BD9609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D12F63">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DB147B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130199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759A57">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C274185">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ADED779">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1" w:name="_Hlk101131882"/>
      <w:r>
        <w:rPr>
          <w:rFonts w:hint="eastAsia" w:ascii="宋体" w:hAnsi="宋体" w:cs="宋体"/>
          <w:color w:val="auto"/>
          <w:kern w:val="0"/>
          <w:sz w:val="24"/>
          <w:highlight w:val="none"/>
          <w:u w:val="single"/>
        </w:rPr>
        <w:t>联合体成员X,……</w:t>
      </w:r>
      <w:bookmarkEnd w:id="52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2"/>
      <w:r>
        <w:rPr>
          <w:rFonts w:hint="eastAsia" w:ascii="宋体" w:hAnsi="宋体" w:cs="宋体"/>
          <w:b/>
          <w:color w:val="auto"/>
          <w:kern w:val="0"/>
          <w:sz w:val="24"/>
          <w:highlight w:val="none"/>
          <w:lang w:val="zh-CN"/>
        </w:rPr>
        <w:t>）</w:t>
      </w:r>
    </w:p>
    <w:p w14:paraId="32A3776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3"/>
    </w:p>
    <w:p w14:paraId="64331EDD">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322F4D8">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3EB3DA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1A687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58010B">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252F823">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96038F">
      <w:pPr>
        <w:adjustRightInd w:val="0"/>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0CE19B">
      <w:pPr>
        <w:adjustRightInd w:val="0"/>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862FD31">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BABC8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35D539">
      <w:pPr>
        <w:autoSpaceDE w:val="0"/>
        <w:autoSpaceDN w:val="0"/>
        <w:jc w:val="center"/>
        <w:rPr>
          <w:rFonts w:ascii="宋体" w:hAnsi="宋体" w:cs="宋体"/>
          <w:b/>
          <w:color w:val="auto"/>
          <w:spacing w:val="6"/>
          <w:sz w:val="32"/>
          <w:szCs w:val="32"/>
          <w:highlight w:val="none"/>
        </w:rPr>
      </w:pPr>
    </w:p>
    <w:p w14:paraId="2E80A9F1">
      <w:pPr>
        <w:autoSpaceDE w:val="0"/>
        <w:autoSpaceDN w:val="0"/>
        <w:jc w:val="center"/>
        <w:rPr>
          <w:rFonts w:ascii="宋体" w:hAnsi="宋体" w:cs="宋体"/>
          <w:b/>
          <w:color w:val="auto"/>
          <w:spacing w:val="6"/>
          <w:sz w:val="32"/>
          <w:szCs w:val="32"/>
          <w:highlight w:val="none"/>
        </w:rPr>
      </w:pPr>
    </w:p>
    <w:p w14:paraId="4F80C223">
      <w:pPr>
        <w:autoSpaceDE w:val="0"/>
        <w:autoSpaceDN w:val="0"/>
        <w:jc w:val="center"/>
        <w:rPr>
          <w:rFonts w:ascii="宋体" w:hAnsi="宋体" w:cs="宋体"/>
          <w:b/>
          <w:color w:val="auto"/>
          <w:spacing w:val="6"/>
          <w:sz w:val="32"/>
          <w:szCs w:val="32"/>
          <w:highlight w:val="none"/>
        </w:rPr>
      </w:pPr>
    </w:p>
    <w:p w14:paraId="777E750D">
      <w:pPr>
        <w:autoSpaceDE w:val="0"/>
        <w:autoSpaceDN w:val="0"/>
        <w:jc w:val="center"/>
        <w:rPr>
          <w:rFonts w:ascii="宋体" w:hAnsi="宋体" w:cs="宋体"/>
          <w:b/>
          <w:color w:val="auto"/>
          <w:spacing w:val="6"/>
          <w:sz w:val="32"/>
          <w:szCs w:val="32"/>
          <w:highlight w:val="none"/>
        </w:rPr>
      </w:pPr>
    </w:p>
    <w:p w14:paraId="416BE7FE">
      <w:pPr>
        <w:autoSpaceDE w:val="0"/>
        <w:autoSpaceDN w:val="0"/>
        <w:jc w:val="center"/>
        <w:rPr>
          <w:rFonts w:ascii="宋体" w:hAnsi="宋体" w:cs="宋体"/>
          <w:b/>
          <w:color w:val="auto"/>
          <w:spacing w:val="6"/>
          <w:sz w:val="32"/>
          <w:szCs w:val="32"/>
          <w:highlight w:val="none"/>
        </w:rPr>
      </w:pPr>
    </w:p>
    <w:p w14:paraId="335E3D39">
      <w:pPr>
        <w:autoSpaceDE w:val="0"/>
        <w:autoSpaceDN w:val="0"/>
        <w:jc w:val="center"/>
        <w:rPr>
          <w:rFonts w:ascii="宋体" w:hAnsi="宋体" w:cs="宋体"/>
          <w:b/>
          <w:color w:val="auto"/>
          <w:spacing w:val="6"/>
          <w:sz w:val="32"/>
          <w:szCs w:val="32"/>
          <w:highlight w:val="none"/>
        </w:rPr>
      </w:pPr>
    </w:p>
    <w:p w14:paraId="0E43A0A0">
      <w:pPr>
        <w:autoSpaceDE w:val="0"/>
        <w:autoSpaceDN w:val="0"/>
        <w:jc w:val="center"/>
        <w:rPr>
          <w:rFonts w:ascii="宋体" w:hAnsi="宋体" w:cs="宋体"/>
          <w:b/>
          <w:color w:val="auto"/>
          <w:spacing w:val="6"/>
          <w:sz w:val="32"/>
          <w:szCs w:val="32"/>
          <w:highlight w:val="none"/>
        </w:rPr>
      </w:pPr>
    </w:p>
    <w:p w14:paraId="124DDAC4">
      <w:pPr>
        <w:autoSpaceDE w:val="0"/>
        <w:autoSpaceDN w:val="0"/>
        <w:jc w:val="center"/>
        <w:rPr>
          <w:rFonts w:ascii="宋体" w:hAnsi="宋体" w:cs="宋体"/>
          <w:b/>
          <w:color w:val="auto"/>
          <w:spacing w:val="6"/>
          <w:sz w:val="32"/>
          <w:szCs w:val="32"/>
          <w:highlight w:val="none"/>
        </w:rPr>
      </w:pPr>
    </w:p>
    <w:p w14:paraId="01D04B31">
      <w:pPr>
        <w:autoSpaceDE w:val="0"/>
        <w:autoSpaceDN w:val="0"/>
        <w:jc w:val="center"/>
        <w:rPr>
          <w:rFonts w:ascii="宋体" w:hAnsi="宋体" w:cs="宋体"/>
          <w:b/>
          <w:color w:val="auto"/>
          <w:spacing w:val="6"/>
          <w:sz w:val="32"/>
          <w:szCs w:val="32"/>
          <w:highlight w:val="none"/>
        </w:rPr>
      </w:pPr>
    </w:p>
    <w:p w14:paraId="22D189EF">
      <w:pPr>
        <w:autoSpaceDE w:val="0"/>
        <w:autoSpaceDN w:val="0"/>
        <w:jc w:val="center"/>
        <w:rPr>
          <w:rFonts w:ascii="宋体" w:hAnsi="宋体" w:cs="宋体"/>
          <w:b/>
          <w:color w:val="auto"/>
          <w:spacing w:val="6"/>
          <w:sz w:val="32"/>
          <w:szCs w:val="32"/>
          <w:highlight w:val="none"/>
        </w:rPr>
      </w:pPr>
    </w:p>
    <w:p w14:paraId="1E614B23">
      <w:pPr>
        <w:autoSpaceDE w:val="0"/>
        <w:autoSpaceDN w:val="0"/>
        <w:jc w:val="center"/>
        <w:rPr>
          <w:rFonts w:ascii="宋体" w:hAnsi="宋体" w:cs="宋体"/>
          <w:b/>
          <w:color w:val="auto"/>
          <w:spacing w:val="6"/>
          <w:sz w:val="32"/>
          <w:szCs w:val="32"/>
          <w:highlight w:val="none"/>
        </w:rPr>
      </w:pPr>
    </w:p>
    <w:p w14:paraId="656AEEAF">
      <w:pPr>
        <w:autoSpaceDE w:val="0"/>
        <w:autoSpaceDN w:val="0"/>
        <w:jc w:val="center"/>
        <w:rPr>
          <w:rFonts w:ascii="宋体" w:hAnsi="宋体" w:cs="宋体"/>
          <w:b/>
          <w:color w:val="auto"/>
          <w:spacing w:val="6"/>
          <w:sz w:val="32"/>
          <w:szCs w:val="32"/>
          <w:highlight w:val="none"/>
        </w:rPr>
      </w:pPr>
    </w:p>
    <w:p w14:paraId="656BDACB">
      <w:pPr>
        <w:autoSpaceDE w:val="0"/>
        <w:autoSpaceDN w:val="0"/>
        <w:jc w:val="center"/>
        <w:rPr>
          <w:rFonts w:ascii="宋体" w:hAnsi="宋体" w:cs="宋体"/>
          <w:b/>
          <w:color w:val="auto"/>
          <w:spacing w:val="6"/>
          <w:sz w:val="32"/>
          <w:szCs w:val="32"/>
          <w:highlight w:val="none"/>
        </w:rPr>
      </w:pPr>
    </w:p>
    <w:p w14:paraId="2479D389">
      <w:pPr>
        <w:autoSpaceDE w:val="0"/>
        <w:autoSpaceDN w:val="0"/>
        <w:jc w:val="center"/>
        <w:rPr>
          <w:rFonts w:ascii="宋体" w:hAnsi="宋体" w:cs="宋体"/>
          <w:b/>
          <w:color w:val="auto"/>
          <w:spacing w:val="6"/>
          <w:sz w:val="32"/>
          <w:szCs w:val="32"/>
          <w:highlight w:val="none"/>
        </w:rPr>
      </w:pPr>
    </w:p>
    <w:p w14:paraId="4DED4238">
      <w:pPr>
        <w:autoSpaceDE w:val="0"/>
        <w:autoSpaceDN w:val="0"/>
        <w:jc w:val="center"/>
        <w:rPr>
          <w:rFonts w:ascii="宋体" w:hAnsi="宋体" w:cs="宋体"/>
          <w:b/>
          <w:color w:val="auto"/>
          <w:spacing w:val="6"/>
          <w:sz w:val="32"/>
          <w:szCs w:val="32"/>
          <w:highlight w:val="none"/>
        </w:rPr>
      </w:pPr>
    </w:p>
    <w:p w14:paraId="6A2EA0F6">
      <w:pPr>
        <w:autoSpaceDE w:val="0"/>
        <w:autoSpaceDN w:val="0"/>
        <w:jc w:val="center"/>
        <w:rPr>
          <w:rFonts w:ascii="宋体" w:hAnsi="宋体" w:cs="宋体"/>
          <w:b/>
          <w:color w:val="auto"/>
          <w:spacing w:val="6"/>
          <w:sz w:val="32"/>
          <w:szCs w:val="32"/>
          <w:highlight w:val="none"/>
        </w:rPr>
      </w:pPr>
    </w:p>
    <w:p w14:paraId="057C8767">
      <w:pPr>
        <w:adjustRightInd w:val="0"/>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0C6FB61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DBED4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2025年杭州交警业务系统租赁使用服务-2025年PDT数字集群终端设备使用服务项目【招标编号：ZJWS2025-JJZD07】</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09F4CC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52D49D6">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39CB2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933051">
      <w:pPr>
        <w:rPr>
          <w:rFonts w:ascii="宋体" w:hAnsi="宋体" w:cs="宋体"/>
          <w:color w:val="auto"/>
          <w:highlight w:val="none"/>
        </w:rPr>
      </w:pPr>
      <w:r>
        <w:rPr>
          <w:rFonts w:hint="eastAsia" w:ascii="宋体" w:hAnsi="宋体" w:cs="宋体"/>
          <w:color w:val="auto"/>
          <w:highlight w:val="none"/>
          <w:lang w:val="zh-CN"/>
        </w:rPr>
        <w:t xml:space="preserve"> </w:t>
      </w:r>
    </w:p>
    <w:p w14:paraId="6E2D51CA">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C1D59EF">
      <w:pPr>
        <w:adjustRightInd w:val="0"/>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8BC67D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5FAD088">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D95BD20">
      <w:pPr>
        <w:adjustRightInd w:val="0"/>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4B645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710729">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F1EF7E">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F744360">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1C0C9D">
      <w:pPr>
        <w:adjustRightInd w:val="0"/>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895C254">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C42BBC">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ED0E990">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370A42">
      <w:pPr>
        <w:adjustRightInd w:val="0"/>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DC87C98">
      <w:pPr>
        <w:adjustRightInd w:val="0"/>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FD9FD5E">
      <w:pPr>
        <w:adjustRightInd w:val="0"/>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125A589">
      <w:pPr>
        <w:adjustRightInd w:val="0"/>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CCF9675">
      <w:pPr>
        <w:adjustRightInd w:val="0"/>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8A85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B67105">
      <w:pPr>
        <w:autoSpaceDE w:val="0"/>
        <w:autoSpaceDN w:val="0"/>
        <w:jc w:val="center"/>
        <w:rPr>
          <w:rFonts w:ascii="宋体" w:hAnsi="宋体" w:cs="宋体"/>
          <w:b/>
          <w:color w:val="auto"/>
          <w:spacing w:val="6"/>
          <w:sz w:val="32"/>
          <w:szCs w:val="32"/>
          <w:highlight w:val="none"/>
        </w:rPr>
      </w:pPr>
    </w:p>
    <w:p w14:paraId="6BB22108">
      <w:pPr>
        <w:autoSpaceDE w:val="0"/>
        <w:autoSpaceDN w:val="0"/>
        <w:jc w:val="center"/>
        <w:rPr>
          <w:rFonts w:ascii="宋体" w:hAnsi="宋体" w:cs="宋体"/>
          <w:b/>
          <w:color w:val="auto"/>
          <w:spacing w:val="6"/>
          <w:sz w:val="32"/>
          <w:szCs w:val="32"/>
          <w:highlight w:val="none"/>
        </w:rPr>
      </w:pPr>
    </w:p>
    <w:p w14:paraId="1D7BAFE4">
      <w:pPr>
        <w:autoSpaceDE w:val="0"/>
        <w:autoSpaceDN w:val="0"/>
        <w:rPr>
          <w:rFonts w:ascii="宋体" w:hAnsi="宋体" w:cs="宋体"/>
          <w:b/>
          <w:color w:val="auto"/>
          <w:spacing w:val="6"/>
          <w:sz w:val="32"/>
          <w:szCs w:val="32"/>
          <w:highlight w:val="none"/>
        </w:rPr>
      </w:pPr>
    </w:p>
    <w:p w14:paraId="576D5057">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521633F2">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0F5DFA8D">
      <w:pPr>
        <w:spacing w:line="360" w:lineRule="auto"/>
        <w:jc w:val="center"/>
        <w:rPr>
          <w:rFonts w:ascii="宋体" w:hAnsi="宋体" w:cs="宋体"/>
          <w:color w:val="auto"/>
          <w:sz w:val="24"/>
          <w:highlight w:val="none"/>
          <w:u w:val="single"/>
        </w:rPr>
      </w:pPr>
    </w:p>
    <w:p w14:paraId="3CA7E5B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95866F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2025年杭州交警业务系统租赁使用服务-2025年PDT数字集群终端设备使用服务项目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D927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A05D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5D50C7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298EA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D7806A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28AAF1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150232">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F64F93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华文宋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383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84B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FE7E">
    <w:pPr>
      <w:pStyle w:val="40"/>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31E1897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040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524" w:name="_Toc164085800"/>
    <w:bookmarkStart w:id="525" w:name="_Toc91899912"/>
    <w:bookmarkStart w:id="526" w:name="_Toc131845147"/>
    <w:bookmarkStart w:id="527" w:name="_Toc36110187"/>
    <w:r>
      <w:rPr>
        <w:rFonts w:hint="eastAsia" w:ascii="仿宋_GB2312" w:eastAsia="仿宋_GB2312"/>
        <w:kern w:val="0"/>
        <w:szCs w:val="21"/>
      </w:rPr>
      <w:t xml:space="preserve"> 页</w:t>
    </w:r>
    <w:bookmarkEnd w:id="524"/>
    <w:bookmarkEnd w:id="525"/>
    <w:bookmarkEnd w:id="526"/>
    <w:bookmarkEnd w:id="5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15B7">
    <w:pPr>
      <w:pStyle w:val="40"/>
      <w:framePr w:wrap="around" w:vAnchor="text" w:hAnchor="margin" w:xAlign="right" w:y="1"/>
      <w:rPr>
        <w:rStyle w:val="67"/>
      </w:rPr>
    </w:pPr>
    <w:r>
      <w:fldChar w:fldCharType="begin"/>
    </w:r>
    <w:r>
      <w:rPr>
        <w:rStyle w:val="67"/>
      </w:rPr>
      <w:instrText xml:space="preserve">PAGE  </w:instrText>
    </w:r>
    <w:r>
      <w:fldChar w:fldCharType="separate"/>
    </w:r>
    <w:r>
      <w:t xml:space="preserve"> </w:t>
    </w:r>
    <w:r>
      <w:fldChar w:fldCharType="end"/>
    </w:r>
  </w:p>
  <w:p w14:paraId="29A3829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9B4E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08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56AC23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C1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120</w:t>
    </w:r>
    <w:r>
      <w:rPr>
        <w:rFonts w:hint="eastAsia" w:ascii="仿宋_GB2312" w:eastAsia="仿宋_GB2312"/>
        <w:kern w:val="0"/>
      </w:rPr>
      <w:fldChar w:fldCharType="end"/>
    </w:r>
    <w:r>
      <w:rPr>
        <w:rFonts w:hint="eastAsia" w:ascii="仿宋_GB2312" w:eastAsia="仿宋_GB2312"/>
        <w:kern w:val="0"/>
      </w:rPr>
      <w:t xml:space="preserve"> 页</w:t>
    </w:r>
  </w:p>
  <w:p w14:paraId="2937E3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79D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213ED1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1A0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121374F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41A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6E6265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6D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5CB56CA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1A1A">
    <w:pPr>
      <w:pStyle w:val="41"/>
      <w:pBdr>
        <w:bottom w:val="single" w:color="auto" w:sz="6" w:space="4"/>
      </w:pBdr>
      <w:jc w:val="right"/>
    </w:pPr>
    <w:r>
      <w:t></w:t>
    </w:r>
    <w:r>
      <w:rPr>
        <w:rFonts w:hint="eastAsia"/>
      </w:rPr>
      <w:t xml:space="preserve">             </w:t>
    </w:r>
    <w:r>
      <w:t>杭州市政府采购公开招标文件</w:t>
    </w:r>
  </w:p>
  <w:p w14:paraId="491ABC1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B3BB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83E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4DEE">
    <w:pPr>
      <w:pStyle w:val="41"/>
      <w:rPr>
        <w:rFonts w:ascii="仿宋_GB2312" w:eastAsia="仿宋_GB2312"/>
        <w:b/>
        <w:i/>
        <w:u w:val="single"/>
      </w:rPr>
    </w:pPr>
    <w:r>
      <w:t></w:t>
    </w:r>
    <w:r>
      <w:rPr>
        <w:rFonts w:hint="eastAsia"/>
      </w:rPr>
      <w:t xml:space="preserve">                                                  </w:t>
    </w:r>
    <w:r>
      <w:t xml:space="preserve">             杭州市政府采购公开招标文件</w:t>
    </w:r>
  </w:p>
  <w:p w14:paraId="17345A4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1C57">
    <w:pPr>
      <w:pStyle w:val="41"/>
    </w:pPr>
    <w:r>
      <w:t></w:t>
    </w:r>
    <w:r>
      <w:rPr>
        <w:rFonts w:hint="eastAsia"/>
      </w:rPr>
      <w:t xml:space="preserve">         </w:t>
    </w:r>
  </w:p>
  <w:p w14:paraId="20C08E1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E5739">
    <w:pPr>
      <w:pStyle w:val="41"/>
      <w:rPr>
        <w:rFonts w:ascii="仿宋_GB2312" w:eastAsia="仿宋_GB2312"/>
        <w:b/>
        <w:i/>
        <w:u w:val="single"/>
      </w:rPr>
    </w:pPr>
    <w:r>
      <w:t></w:t>
    </w:r>
    <w:r>
      <w:rPr>
        <w:rFonts w:hint="eastAsia"/>
      </w:rPr>
      <w:t xml:space="preserve">                                                  </w:t>
    </w:r>
    <w:r>
      <w:t>杭州市政府采购公开招标文件</w:t>
    </w:r>
  </w:p>
  <w:p w14:paraId="52FA35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C0B1">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49FA">
    <w:pPr>
      <w:pStyle w:val="41"/>
      <w:jc w:val="right"/>
      <w:rPr>
        <w:rFonts w:ascii="仿宋_GB2312" w:eastAsia="仿宋_GB2312"/>
        <w:b/>
        <w:i/>
        <w:u w:val="single"/>
      </w:rPr>
    </w:pPr>
    <w:r>
      <w:rPr>
        <w:rFonts w:hint="eastAsia"/>
      </w:rPr>
      <w:t xml:space="preserve">                                  </w:t>
    </w:r>
    <w:r>
      <w:t>杭州市政府采购公开招标文件</w:t>
    </w:r>
  </w:p>
  <w:p w14:paraId="521222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484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FD5D">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90A56"/>
    <w:multiLevelType w:val="singleLevel"/>
    <w:tmpl w:val="AB690A56"/>
    <w:lvl w:ilvl="0" w:tentative="0">
      <w:start w:val="1"/>
      <w:numFmt w:val="decimal"/>
      <w:suff w:val="nothing"/>
      <w:lvlText w:val="%1）"/>
      <w:lvlJc w:val="left"/>
    </w:lvl>
  </w:abstractNum>
  <w:abstractNum w:abstractNumId="1">
    <w:nsid w:val="BA3E3BFF"/>
    <w:multiLevelType w:val="singleLevel"/>
    <w:tmpl w:val="BA3E3BFF"/>
    <w:lvl w:ilvl="0" w:tentative="0">
      <w:start w:val="1"/>
      <w:numFmt w:val="decimal"/>
      <w:suff w:val="nothing"/>
      <w:lvlText w:val="%1）"/>
      <w:lvlJc w:val="left"/>
    </w:lvl>
  </w:abstractNum>
  <w:abstractNum w:abstractNumId="2">
    <w:nsid w:val="11F4C2E7"/>
    <w:multiLevelType w:val="singleLevel"/>
    <w:tmpl w:val="11F4C2E7"/>
    <w:lvl w:ilvl="0" w:tentative="0">
      <w:start w:val="3"/>
      <w:numFmt w:val="chineseCounting"/>
      <w:suff w:val="space"/>
      <w:lvlText w:val="第%1部分"/>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72167B4"/>
    <w:multiLevelType w:val="multilevel"/>
    <w:tmpl w:val="572167B4"/>
    <w:lvl w:ilvl="0" w:tentative="0">
      <w:start w:val="1"/>
      <w:numFmt w:val="decimalEnclosedCircle"/>
      <w:lvlText w:val="%1"/>
      <w:lvlJc w:val="left"/>
      <w:pPr>
        <w:ind w:left="499" w:hanging="360"/>
      </w:pPr>
      <w:rPr>
        <w:rFonts w:hint="default"/>
      </w:rPr>
    </w:lvl>
    <w:lvl w:ilvl="1" w:tentative="0">
      <w:start w:val="1"/>
      <w:numFmt w:val="lowerLetter"/>
      <w:lvlText w:val="%2)"/>
      <w:lvlJc w:val="left"/>
      <w:pPr>
        <w:ind w:left="1019" w:hanging="440"/>
      </w:pPr>
    </w:lvl>
    <w:lvl w:ilvl="2" w:tentative="0">
      <w:start w:val="1"/>
      <w:numFmt w:val="lowerRoman"/>
      <w:lvlText w:val="%3."/>
      <w:lvlJc w:val="right"/>
      <w:pPr>
        <w:ind w:left="1459" w:hanging="440"/>
      </w:pPr>
    </w:lvl>
    <w:lvl w:ilvl="3" w:tentative="0">
      <w:start w:val="1"/>
      <w:numFmt w:val="decimal"/>
      <w:lvlText w:val="%4."/>
      <w:lvlJc w:val="left"/>
      <w:pPr>
        <w:ind w:left="1899" w:hanging="440"/>
      </w:pPr>
    </w:lvl>
    <w:lvl w:ilvl="4" w:tentative="0">
      <w:start w:val="1"/>
      <w:numFmt w:val="lowerLetter"/>
      <w:lvlText w:val="%5)"/>
      <w:lvlJc w:val="left"/>
      <w:pPr>
        <w:ind w:left="2339" w:hanging="440"/>
      </w:pPr>
    </w:lvl>
    <w:lvl w:ilvl="5" w:tentative="0">
      <w:start w:val="1"/>
      <w:numFmt w:val="lowerRoman"/>
      <w:lvlText w:val="%6."/>
      <w:lvlJc w:val="right"/>
      <w:pPr>
        <w:ind w:left="2779" w:hanging="440"/>
      </w:pPr>
    </w:lvl>
    <w:lvl w:ilvl="6" w:tentative="0">
      <w:start w:val="1"/>
      <w:numFmt w:val="decimal"/>
      <w:lvlText w:val="%7."/>
      <w:lvlJc w:val="left"/>
      <w:pPr>
        <w:ind w:left="3219" w:hanging="440"/>
      </w:pPr>
    </w:lvl>
    <w:lvl w:ilvl="7" w:tentative="0">
      <w:start w:val="1"/>
      <w:numFmt w:val="lowerLetter"/>
      <w:lvlText w:val="%8)"/>
      <w:lvlJc w:val="left"/>
      <w:pPr>
        <w:ind w:left="3659" w:hanging="440"/>
      </w:pPr>
    </w:lvl>
    <w:lvl w:ilvl="8" w:tentative="0">
      <w:start w:val="1"/>
      <w:numFmt w:val="lowerRoman"/>
      <w:lvlText w:val="%9."/>
      <w:lvlJc w:val="right"/>
      <w:pPr>
        <w:ind w:left="4099" w:hanging="440"/>
      </w:pPr>
    </w:lvl>
  </w:abstractNum>
  <w:abstractNum w:abstractNumId="5">
    <w:nsid w:val="76C65D5D"/>
    <w:multiLevelType w:val="singleLevel"/>
    <w:tmpl w:val="76C65D5D"/>
    <w:lvl w:ilvl="0" w:tentative="0">
      <w:start w:val="3"/>
      <w:numFmt w:val="chineseCounting"/>
      <w:suff w:val="nothing"/>
      <w:lvlText w:val="%1）"/>
      <w:lvlJc w:val="left"/>
      <w:rPr>
        <w:rFonts w:hint="eastAsia"/>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mI1MzRhMDFkZWU4ZGJiNmQ5YzU0Nzg0NDRkMTNjNGUifQ=="/>
  </w:docVars>
  <w:rsids>
    <w:rsidRoot w:val="00000000"/>
    <w:rsid w:val="02FF4E80"/>
    <w:rsid w:val="06C92FF3"/>
    <w:rsid w:val="1D8556FB"/>
    <w:rsid w:val="1DD4411F"/>
    <w:rsid w:val="1EB0369B"/>
    <w:rsid w:val="211B1C44"/>
    <w:rsid w:val="2C012312"/>
    <w:rsid w:val="3A740CF3"/>
    <w:rsid w:val="3AA44B44"/>
    <w:rsid w:val="42611F37"/>
    <w:rsid w:val="439E35BF"/>
    <w:rsid w:val="452B1BA6"/>
    <w:rsid w:val="49431AAE"/>
    <w:rsid w:val="4B2D26BF"/>
    <w:rsid w:val="555111B5"/>
    <w:rsid w:val="5FE7494A"/>
    <w:rsid w:val="7A245DF0"/>
    <w:rsid w:val="7D847F28"/>
    <w:rsid w:val="7D9615AC"/>
    <w:rsid w:val="7DF5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7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76"/>
    <w:qFormat/>
    <w:uiPriority w:val="0"/>
    <w:pPr>
      <w:keepNext/>
      <w:keepLines/>
      <w:tabs>
        <w:tab w:val="left" w:pos="900"/>
      </w:tabs>
      <w:spacing w:before="260" w:after="260" w:line="415" w:lineRule="auto"/>
      <w:ind w:left="900" w:hanging="720"/>
      <w:outlineLvl w:val="2"/>
    </w:pPr>
    <w:rPr>
      <w:b/>
      <w:bCs/>
      <w:sz w:val="32"/>
      <w:szCs w:val="32"/>
    </w:rPr>
  </w:style>
  <w:style w:type="paragraph" w:styleId="7">
    <w:name w:val="heading 4"/>
    <w:basedOn w:val="1"/>
    <w:next w:val="1"/>
    <w:link w:val="77"/>
    <w:qFormat/>
    <w:uiPriority w:val="0"/>
    <w:pPr>
      <w:keepNext/>
      <w:keepLines/>
      <w:tabs>
        <w:tab w:val="left" w:pos="864"/>
      </w:tabs>
      <w:spacing w:before="280" w:after="290" w:line="377" w:lineRule="auto"/>
      <w:ind w:left="864" w:hanging="864"/>
      <w:outlineLvl w:val="3"/>
    </w:pPr>
    <w:rPr>
      <w:rFonts w:ascii="Arial" w:hAnsi="Arial" w:eastAsia="黑体"/>
      <w:b/>
      <w:bCs/>
      <w:sz w:val="28"/>
      <w:szCs w:val="28"/>
      <w:lang w:val="zh-CN"/>
    </w:rPr>
  </w:style>
  <w:style w:type="paragraph" w:styleId="8">
    <w:name w:val="heading 5"/>
    <w:basedOn w:val="1"/>
    <w:next w:val="1"/>
    <w:link w:val="78"/>
    <w:qFormat/>
    <w:uiPriority w:val="0"/>
    <w:pPr>
      <w:keepNext/>
      <w:keepLines/>
      <w:tabs>
        <w:tab w:val="left" w:pos="1008"/>
      </w:tabs>
      <w:spacing w:before="280" w:after="290" w:line="377" w:lineRule="auto"/>
      <w:ind w:left="1008" w:hanging="1008"/>
      <w:outlineLvl w:val="4"/>
    </w:pPr>
    <w:rPr>
      <w:b/>
      <w:bCs/>
      <w:sz w:val="28"/>
      <w:szCs w:val="28"/>
    </w:rPr>
  </w:style>
  <w:style w:type="paragraph" w:styleId="9">
    <w:name w:val="heading 6"/>
    <w:basedOn w:val="1"/>
    <w:next w:val="1"/>
    <w:link w:val="79"/>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link w:val="80"/>
    <w:qFormat/>
    <w:uiPriority w:val="0"/>
    <w:pPr>
      <w:keepNext/>
      <w:keepLines/>
      <w:tabs>
        <w:tab w:val="left" w:pos="1296"/>
      </w:tabs>
      <w:spacing w:before="240" w:after="64" w:line="319" w:lineRule="auto"/>
      <w:ind w:left="1296" w:hanging="1296"/>
      <w:outlineLvl w:val="6"/>
    </w:pPr>
    <w:rPr>
      <w:b/>
      <w:bCs/>
      <w:sz w:val="24"/>
    </w:rPr>
  </w:style>
  <w:style w:type="paragraph" w:styleId="11">
    <w:name w:val="heading 8"/>
    <w:basedOn w:val="1"/>
    <w:next w:val="1"/>
    <w:link w:val="81"/>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link w:val="82"/>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64">
    <w:name w:val="Default Paragraph Font"/>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6">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1200" w:leftChars="1200"/>
    </w:pPr>
  </w:style>
  <w:style w:type="paragraph" w:styleId="14">
    <w:name w:val="List Number 2"/>
    <w:basedOn w:val="1"/>
    <w:qFormat/>
    <w:uiPriority w:val="0"/>
    <w:pPr>
      <w:widowControl/>
      <w:tabs>
        <w:tab w:val="left" w:pos="1697"/>
      </w:tabs>
      <w:adjustRightInd/>
      <w:spacing w:after="50" w:afterLines="50"/>
      <w:ind w:left="1697" w:hanging="420"/>
      <w:jc w:val="left"/>
    </w:pPr>
    <w:rPr>
      <w:kern w:val="0"/>
      <w:sz w:val="24"/>
      <w:szCs w:val="20"/>
    </w:r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50"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qFormat/>
    <w:uiPriority w:val="0"/>
    <w:pPr>
      <w:shd w:val="clear" w:color="auto" w:fill="000080"/>
    </w:pPr>
  </w:style>
  <w:style w:type="paragraph" w:styleId="20">
    <w:name w:val="annotation text"/>
    <w:basedOn w:val="1"/>
    <w:qFormat/>
    <w:uiPriority w:val="0"/>
    <w:pPr>
      <w:jc w:val="left"/>
    </w:pPr>
  </w:style>
  <w:style w:type="paragraph" w:styleId="21">
    <w:name w:val="Salutation"/>
    <w:basedOn w:val="1"/>
    <w:next w:val="1"/>
    <w:qFormat/>
    <w:uiPriority w:val="0"/>
    <w:rPr>
      <w:rFonts w:ascii="仿宋_GB2312" w:eastAsia="仿宋_GB2312"/>
      <w:sz w:val="28"/>
      <w:szCs w:val="20"/>
    </w:rPr>
  </w:style>
  <w:style w:type="paragraph" w:styleId="22">
    <w:name w:val="Body Text 3"/>
    <w:basedOn w:val="1"/>
    <w:qFormat/>
    <w:uiPriority w:val="0"/>
    <w:pPr>
      <w:jc w:val="center"/>
    </w:pPr>
    <w:rPr>
      <w:szCs w:val="20"/>
    </w:rPr>
  </w:style>
  <w:style w:type="paragraph" w:styleId="23">
    <w:name w:val="List Bullet 3"/>
    <w:basedOn w:val="1"/>
    <w:qFormat/>
    <w:uiPriority w:val="0"/>
    <w:pPr>
      <w:adjustRightInd w:val="0"/>
      <w:snapToGrid w:val="0"/>
      <w:spacing w:line="360" w:lineRule="auto"/>
      <w:ind w:left="360" w:right="238" w:hanging="360"/>
      <w:contextualSpacing/>
    </w:pPr>
    <w:rPr>
      <w:sz w:val="24"/>
    </w:rPr>
  </w:style>
  <w:style w:type="paragraph" w:styleId="24">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qFormat/>
    <w:uiPriority w:val="0"/>
    <w:pPr>
      <w:spacing w:line="480" w:lineRule="exact"/>
      <w:ind w:firstLine="20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50" w:afterLines="50"/>
      <w:ind w:left="482" w:hanging="340"/>
      <w:jc w:val="left"/>
    </w:pPr>
    <w:rPr>
      <w:kern w:val="0"/>
      <w:sz w:val="24"/>
      <w:szCs w:val="20"/>
    </w:rPr>
  </w:style>
  <w:style w:type="paragraph" w:styleId="27">
    <w:name w:val="List 2"/>
    <w:basedOn w:val="1"/>
    <w:qFormat/>
    <w:uiPriority w:val="0"/>
    <w:pPr>
      <w:adjustRightInd/>
      <w:spacing w:line="360" w:lineRule="auto"/>
      <w:ind w:left="400" w:leftChars="200" w:hanging="200" w:hangingChars="200"/>
    </w:pPr>
    <w:rPr>
      <w:rFonts w:eastAsia="微软雅黑"/>
    </w:rPr>
  </w:style>
  <w:style w:type="paragraph" w:styleId="28">
    <w:name w:val="Block Text"/>
    <w:basedOn w:val="1"/>
    <w:qFormat/>
    <w:uiPriority w:val="0"/>
    <w:pPr>
      <w:ind w:left="-171" w:leftChars="-171" w:right="-244" w:rightChars="-244" w:firstLine="239"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800" w:leftChars="800"/>
    </w:pPr>
  </w:style>
  <w:style w:type="paragraph" w:styleId="32">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33">
    <w:name w:val="Plain Text"/>
    <w:basedOn w:val="1"/>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1400" w:leftChars="1400"/>
    </w:pPr>
  </w:style>
  <w:style w:type="paragraph" w:styleId="36">
    <w:name w:val="Date"/>
    <w:basedOn w:val="1"/>
    <w:next w:val="1"/>
    <w:qFormat/>
    <w:uiPriority w:val="0"/>
    <w:pPr>
      <w:ind w:left="2500" w:leftChars="2500"/>
    </w:pPr>
    <w:rPr>
      <w:rFonts w:ascii="宋体"/>
      <w:sz w:val="24"/>
      <w:szCs w:val="21"/>
      <w:lang w:val="zh-CN"/>
    </w:rPr>
  </w:style>
  <w:style w:type="paragraph" w:styleId="37">
    <w:name w:val="Body Text Indent 2"/>
    <w:basedOn w:val="1"/>
    <w:qFormat/>
    <w:uiPriority w:val="0"/>
    <w:pPr>
      <w:spacing w:line="360" w:lineRule="auto"/>
      <w:ind w:firstLine="601"/>
      <w:textAlignment w:val="baseline"/>
    </w:pPr>
    <w:rPr>
      <w:rFonts w:ascii="宋体"/>
      <w:kern w:val="0"/>
      <w:sz w:val="28"/>
      <w:szCs w:val="20"/>
    </w:rPr>
  </w:style>
  <w:style w:type="paragraph" w:styleId="38">
    <w:name w:val="endnote text"/>
    <w:basedOn w:val="1"/>
    <w:qFormat/>
    <w:uiPriority w:val="0"/>
    <w:rPr>
      <w:lang w:val="zh-CN"/>
    </w:rPr>
  </w:style>
  <w:style w:type="paragraph" w:styleId="39">
    <w:name w:val="Balloon Text"/>
    <w:basedOn w:val="1"/>
    <w:qFormat/>
    <w:uiPriority w:val="0"/>
    <w:rPr>
      <w:sz w:val="18"/>
      <w:szCs w:val="18"/>
    </w:rPr>
  </w:style>
  <w:style w:type="paragraph" w:styleId="40">
    <w:name w:val="footer"/>
    <w:basedOn w:val="1"/>
    <w:qFormat/>
    <w:uiPriority w:val="0"/>
    <w:pPr>
      <w:tabs>
        <w:tab w:val="center" w:pos="4153"/>
        <w:tab w:val="right" w:pos="8306"/>
      </w:tabs>
      <w:adjustRightInd w:val="0"/>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42">
    <w:name w:val="Signature"/>
    <w:basedOn w:val="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60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1"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qFormat/>
    <w:uiPriority w:val="0"/>
    <w:pPr>
      <w:adjustRightInd/>
      <w:snapToGrid/>
      <w:spacing w:before="60" w:after="60" w:line="300" w:lineRule="exact"/>
      <w:ind w:firstLine="0"/>
    </w:pPr>
    <w:rPr>
      <w:rFonts w:ascii="Calibri" w:hAnsi="Calibri"/>
      <w:snapToGrid/>
      <w:color w:val="0000FF"/>
      <w:kern w:val="0"/>
      <w:sz w:val="21"/>
    </w:rPr>
  </w:style>
  <w:style w:type="paragraph" w:styleId="51">
    <w:name w:val="toc 6"/>
    <w:basedOn w:val="1"/>
    <w:next w:val="1"/>
    <w:qFormat/>
    <w:uiPriority w:val="0"/>
    <w:pPr>
      <w:ind w:left="1000" w:leftChars="1000"/>
    </w:pPr>
  </w:style>
  <w:style w:type="paragraph" w:styleId="52">
    <w:name w:val="List 5"/>
    <w:basedOn w:val="1"/>
    <w:qFormat/>
    <w:uiPriority w:val="0"/>
    <w:pPr>
      <w:adjustRightInd/>
      <w:ind w:left="1000" w:leftChars="800" w:hanging="200" w:hangingChars="200"/>
    </w:pPr>
  </w:style>
  <w:style w:type="paragraph" w:styleId="53">
    <w:name w:val="Body Text Indent 3"/>
    <w:basedOn w:val="1"/>
    <w:qFormat/>
    <w:uiPriority w:val="0"/>
    <w:pPr>
      <w:spacing w:line="360" w:lineRule="auto"/>
      <w:ind w:firstLine="420"/>
    </w:pPr>
    <w:rPr>
      <w:sz w:val="24"/>
      <w:szCs w:val="20"/>
    </w:rPr>
  </w:style>
  <w:style w:type="paragraph" w:styleId="54">
    <w:name w:val="toc 2"/>
    <w:basedOn w:val="1"/>
    <w:next w:val="1"/>
    <w:qFormat/>
    <w:uiPriority w:val="0"/>
    <w:pPr>
      <w:ind w:left="200" w:leftChars="200"/>
    </w:pPr>
  </w:style>
  <w:style w:type="paragraph" w:styleId="55">
    <w:name w:val="toc 9"/>
    <w:basedOn w:val="1"/>
    <w:next w:val="1"/>
    <w:qFormat/>
    <w:uiPriority w:val="0"/>
    <w:pPr>
      <w:ind w:left="1600" w:leftChars="1600"/>
    </w:pPr>
  </w:style>
  <w:style w:type="paragraph" w:styleId="56">
    <w:name w:val="Body Text 2"/>
    <w:basedOn w:val="1"/>
    <w:qFormat/>
    <w:uiPriority w:val="0"/>
    <w:pPr>
      <w:spacing w:after="120" w:line="480" w:lineRule="auto"/>
    </w:pPr>
  </w:style>
  <w:style w:type="paragraph" w:styleId="5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20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qFormat/>
    <w:uiPriority w:val="0"/>
    <w:rPr>
      <w:b/>
      <w:bCs/>
    </w:rPr>
  </w:style>
  <w:style w:type="paragraph" w:styleId="61">
    <w:name w:val="Body Text First Indent"/>
    <w:basedOn w:val="24"/>
    <w:qFormat/>
    <w:uiPriority w:val="0"/>
    <w:pPr>
      <w:ind w:firstLine="420"/>
    </w:pPr>
    <w:rPr>
      <w:rFonts w:hAnsi="Calibri" w:cs="Times New Roman"/>
      <w:snapToGrid/>
      <w:szCs w:val="20"/>
    </w:rPr>
  </w:style>
  <w:style w:type="paragraph" w:styleId="62">
    <w:name w:val="Body Text First Indent 2"/>
    <w:basedOn w:val="25"/>
    <w:qFormat/>
    <w:uiPriority w:val="0"/>
    <w:pPr>
      <w:adjustRightInd/>
      <w:spacing w:after="120" w:line="240" w:lineRule="auto"/>
      <w:ind w:left="200" w:leftChars="200"/>
    </w:pPr>
    <w:rPr>
      <w:sz w:val="21"/>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4"/>
    <w:qFormat/>
    <w:uiPriority w:val="0"/>
    <w:rPr>
      <w:rFonts w:ascii="Arial" w:hAnsi="Arial" w:eastAsia="黑体" w:cs="Arial"/>
      <w:snapToGrid w:val="0"/>
      <w:kern w:val="0"/>
      <w:szCs w:val="21"/>
    </w:rPr>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0"/>
    <w:rPr>
      <w:sz w:val="21"/>
      <w:szCs w:val="21"/>
    </w:rPr>
  </w:style>
  <w:style w:type="character" w:customStyle="1" w:styleId="74">
    <w:name w:val="heading 1 Char"/>
    <w:basedOn w:val="64"/>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heading 2 Char"/>
    <w:basedOn w:val="64"/>
    <w:link w:val="4"/>
    <w:qFormat/>
    <w:uiPriority w:val="0"/>
    <w:rPr>
      <w:rFonts w:ascii="仿宋_GB2312" w:hAnsi="仿宋" w:eastAsia="仿宋_GB2312" w:cs="Times New Roman"/>
      <w:b/>
      <w:bCs/>
      <w:kern w:val="2"/>
      <w:sz w:val="32"/>
      <w:szCs w:val="32"/>
      <w:lang w:val="zh-CN" w:eastAsia="zh-CN" w:bidi="ar-SA"/>
    </w:rPr>
  </w:style>
  <w:style w:type="character" w:customStyle="1" w:styleId="76">
    <w:name w:val="heading 3 Char"/>
    <w:basedOn w:val="64"/>
    <w:link w:val="5"/>
    <w:qFormat/>
    <w:uiPriority w:val="0"/>
    <w:rPr>
      <w:rFonts w:ascii="Times New Roman" w:hAnsi="Times New Roman" w:eastAsia="宋体" w:cs="Times New Roman"/>
      <w:b/>
      <w:bCs/>
      <w:kern w:val="2"/>
      <w:sz w:val="32"/>
      <w:szCs w:val="32"/>
      <w:lang w:val="en-US" w:eastAsia="zh-CN" w:bidi="ar-SA"/>
    </w:rPr>
  </w:style>
  <w:style w:type="character" w:customStyle="1" w:styleId="77">
    <w:name w:val="heading 4 Char"/>
    <w:basedOn w:val="64"/>
    <w:link w:val="7"/>
    <w:qFormat/>
    <w:uiPriority w:val="0"/>
    <w:rPr>
      <w:rFonts w:ascii="Arial" w:hAnsi="Arial" w:eastAsia="黑体" w:cs="Times New Roman"/>
      <w:b/>
      <w:bCs/>
      <w:kern w:val="2"/>
      <w:sz w:val="28"/>
      <w:szCs w:val="28"/>
      <w:lang w:val="zh-CN" w:eastAsia="zh-CN" w:bidi="ar-SA"/>
    </w:rPr>
  </w:style>
  <w:style w:type="character" w:customStyle="1" w:styleId="78">
    <w:name w:val="heading 5 Char"/>
    <w:basedOn w:val="64"/>
    <w:link w:val="8"/>
    <w:qFormat/>
    <w:uiPriority w:val="0"/>
    <w:rPr>
      <w:rFonts w:ascii="Times New Roman" w:hAnsi="Times New Roman" w:eastAsia="宋体" w:cs="Times New Roman"/>
      <w:b/>
      <w:bCs/>
      <w:kern w:val="2"/>
      <w:sz w:val="28"/>
      <w:szCs w:val="28"/>
      <w:lang w:val="en-US" w:eastAsia="zh-CN" w:bidi="ar-SA"/>
    </w:rPr>
  </w:style>
  <w:style w:type="character" w:customStyle="1" w:styleId="79">
    <w:name w:val="heading 6 Char"/>
    <w:basedOn w:val="64"/>
    <w:link w:val="9"/>
    <w:qFormat/>
    <w:uiPriority w:val="0"/>
    <w:rPr>
      <w:rFonts w:ascii="Arial" w:hAnsi="Arial" w:eastAsia="黑体" w:cs="Times New Roman"/>
      <w:b/>
      <w:bCs/>
      <w:kern w:val="2"/>
      <w:sz w:val="24"/>
      <w:szCs w:val="24"/>
      <w:lang w:val="en-US" w:eastAsia="zh-CN" w:bidi="ar-SA"/>
    </w:rPr>
  </w:style>
  <w:style w:type="character" w:customStyle="1" w:styleId="80">
    <w:name w:val="heading 7 Char"/>
    <w:basedOn w:val="64"/>
    <w:link w:val="10"/>
    <w:qFormat/>
    <w:uiPriority w:val="0"/>
    <w:rPr>
      <w:rFonts w:ascii="Times New Roman" w:hAnsi="Times New Roman" w:eastAsia="宋体" w:cs="Times New Roman"/>
      <w:b/>
      <w:bCs/>
      <w:kern w:val="2"/>
      <w:sz w:val="24"/>
      <w:szCs w:val="24"/>
      <w:lang w:val="en-US" w:eastAsia="zh-CN" w:bidi="ar-SA"/>
    </w:rPr>
  </w:style>
  <w:style w:type="character" w:customStyle="1" w:styleId="81">
    <w:name w:val="heading 8 Char"/>
    <w:basedOn w:val="64"/>
    <w:link w:val="11"/>
    <w:qFormat/>
    <w:uiPriority w:val="0"/>
    <w:rPr>
      <w:rFonts w:ascii="Arial" w:hAnsi="Arial" w:eastAsia="黑体" w:cs="Times New Roman"/>
      <w:kern w:val="2"/>
      <w:sz w:val="24"/>
      <w:szCs w:val="24"/>
      <w:lang w:val="en-US" w:eastAsia="zh-CN" w:bidi="ar-SA"/>
    </w:rPr>
  </w:style>
  <w:style w:type="character" w:customStyle="1" w:styleId="82">
    <w:name w:val="heading 9 Char"/>
    <w:basedOn w:val="64"/>
    <w:link w:val="12"/>
    <w:qFormat/>
    <w:uiPriority w:val="0"/>
    <w:rPr>
      <w:rFonts w:ascii="Arial" w:hAnsi="Arial" w:eastAsia="黑体" w:cs="Times New Roman"/>
      <w:kern w:val="2"/>
      <w:sz w:val="21"/>
      <w:szCs w:val="21"/>
      <w:lang w:val="en-US" w:eastAsia="zh-CN" w:bidi="ar-SA"/>
    </w:rPr>
  </w:style>
  <w:style w:type="character" w:customStyle="1" w:styleId="83">
    <w:name w:val="标题 4 字符"/>
    <w:qFormat/>
    <w:uiPriority w:val="0"/>
    <w:rPr>
      <w:rFonts w:ascii="等线 Light" w:hAnsi="等线 Light" w:eastAsia="等线 Light" w:cs="Times New Roman"/>
      <w:b/>
      <w:bCs/>
      <w:snapToGrid w:val="0"/>
      <w:kern w:val="0"/>
      <w:sz w:val="28"/>
      <w:szCs w:val="28"/>
    </w:rPr>
  </w:style>
  <w:style w:type="character" w:customStyle="1" w:styleId="84">
    <w:name w:val="标题 3 字符"/>
    <w:qFormat/>
    <w:uiPriority w:val="0"/>
    <w:rPr>
      <w:b/>
      <w:bCs/>
      <w:kern w:val="2"/>
      <w:sz w:val="32"/>
      <w:szCs w:val="32"/>
    </w:rPr>
  </w:style>
  <w:style w:type="character" w:customStyle="1" w:styleId="85">
    <w:name w:val="标题 2 Char"/>
    <w:qFormat/>
    <w:uiPriority w:val="0"/>
    <w:rPr>
      <w:rFonts w:ascii="Arial" w:hAnsi="Arial" w:eastAsia="黑体"/>
      <w:b/>
      <w:kern w:val="2"/>
      <w:sz w:val="32"/>
      <w:lang w:val="en-US" w:eastAsia="zh-CN"/>
    </w:rPr>
  </w:style>
  <w:style w:type="paragraph" w:customStyle="1" w:styleId="86">
    <w:name w:val="左对齐正文"/>
    <w:qFormat/>
    <w:uiPriority w:val="0"/>
    <w:rPr>
      <w:rFonts w:ascii="Calibri" w:hAnsi="Calibri" w:eastAsia="仿宋_GB2312" w:cs="Calibri"/>
      <w:kern w:val="2"/>
      <w:sz w:val="32"/>
      <w:szCs w:val="32"/>
      <w:lang w:val="en-US" w:eastAsia="zh-CN" w:bidi="ar-SA"/>
    </w:rPr>
  </w:style>
  <w:style w:type="paragraph" w:customStyle="1" w:styleId="87">
    <w:name w:val="正文空2字"/>
    <w:basedOn w:val="86"/>
    <w:qFormat/>
    <w:uiPriority w:val="0"/>
    <w:pPr>
      <w:widowControl w:val="0"/>
      <w:snapToGrid w:val="0"/>
      <w:spacing w:line="560" w:lineRule="exact"/>
      <w:ind w:firstLine="200" w:firstLineChars="200"/>
    </w:pPr>
    <w:rPr>
      <w:rFonts w:ascii="仿宋_GB2312" w:hAnsi="仿宋_GB2312" w:cs="仿宋_GB2312"/>
      <w:lang w:val="zh-TW"/>
    </w:rPr>
  </w:style>
  <w:style w:type="paragraph" w:customStyle="1" w:styleId="88">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qFormat/>
    <w:uiPriority w:val="0"/>
    <w:pPr>
      <w:adjustRightInd w:val="0"/>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0"/>
    <w:rPr>
      <w:rFonts w:ascii="仿宋_GB2312" w:hAnsi="仿宋_GB2312" w:eastAsia="仿宋_GB2312"/>
      <w:kern w:val="2"/>
      <w:sz w:val="28"/>
    </w:rPr>
  </w:style>
  <w:style w:type="character" w:customStyle="1" w:styleId="95">
    <w:name w:val="标题 3 Char1"/>
    <w:qFormat/>
    <w:uiPriority w:val="0"/>
    <w:rPr>
      <w:rFonts w:ascii="华文中宋" w:hAnsi="华文中宋" w:eastAsia="华文中宋"/>
      <w:b/>
      <w:bCs/>
      <w:kern w:val="2"/>
      <w:sz w:val="32"/>
      <w:szCs w:val="32"/>
      <w:lang w:val="en-US" w:eastAsia="zh-CN" w:bidi="ar-SA"/>
    </w:rPr>
  </w:style>
  <w:style w:type="character" w:customStyle="1" w:styleId="96">
    <w:name w:val="Heading 1 Char"/>
    <w:qFormat/>
    <w:uiPriority w:val="0"/>
    <w:rPr>
      <w:rFonts w:ascii="Times New Roman" w:hAnsi="Times New Roman" w:eastAsia="黑体" w:cs="Times New Roman"/>
      <w:b/>
      <w:kern w:val="0"/>
      <w:sz w:val="24"/>
      <w:szCs w:val="24"/>
    </w:rPr>
  </w:style>
  <w:style w:type="paragraph" w:customStyle="1" w:styleId="97">
    <w:name w:val="U_正文"/>
    <w:basedOn w:val="1"/>
    <w:qFormat/>
    <w:uiPriority w:val="0"/>
    <w:pPr>
      <w:adjustRightInd/>
      <w:spacing w:before="20" w:beforeLines="20" w:after="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0"/>
    <w:rPr>
      <w:b/>
      <w:kern w:val="2"/>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103">
    <w:name w:val="哈哈正文"/>
    <w:basedOn w:val="1"/>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hAns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0"/>
    <w:rPr>
      <w:b/>
      <w:kern w:val="2"/>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0"/>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paragraph" w:customStyle="1" w:styleId="116">
    <w:name w:val="5正文"/>
    <w:basedOn w:val="1"/>
    <w:qFormat/>
    <w:uiPriority w:val="0"/>
    <w:pPr>
      <w:adjustRightInd/>
      <w:spacing w:line="360" w:lineRule="auto"/>
      <w:ind w:firstLine="202" w:firstLineChars="202"/>
      <w:jc w:val="left"/>
    </w:pPr>
    <w:rPr>
      <w:rFonts w:ascii="仿宋_GB2312" w:hAnsi="微软雅黑" w:eastAsia="仿宋_GB2312"/>
      <w:kern w:val="0"/>
      <w:sz w:val="28"/>
      <w:szCs w:val="21"/>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0"/>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font11"/>
    <w:qFormat/>
    <w:uiPriority w:val="0"/>
    <w:rPr>
      <w:rFonts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4"/>
    <w:qFormat/>
    <w:uiPriority w:val="0"/>
    <w:rPr>
      <w:rFonts w:ascii="Arial" w:hAnsi="Arial" w:eastAsia="黑体" w:cs="Arial"/>
      <w:snapToGrid w:val="0"/>
      <w:kern w:val="0"/>
      <w:szCs w:val="21"/>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paragraph" w:customStyle="1" w:styleId="127">
    <w:name w:val="正文2"/>
    <w:basedOn w:val="1"/>
    <w:qFormat/>
    <w:uiPriority w:val="0"/>
    <w:pPr>
      <w:spacing w:before="156" w:line="360" w:lineRule="auto"/>
      <w:ind w:firstLine="200" w:firstLineChars="200"/>
    </w:pPr>
    <w:rPr>
      <w:sz w:val="24"/>
      <w:szCs w:val="20"/>
    </w:rPr>
  </w:style>
  <w:style w:type="character" w:customStyle="1" w:styleId="128">
    <w:name w:val="Char Char24"/>
    <w:qFormat/>
    <w:uiPriority w:val="0"/>
    <w:rPr>
      <w:kern w:val="2"/>
      <w:sz w:val="21"/>
    </w:rPr>
  </w:style>
  <w:style w:type="character" w:customStyle="1" w:styleId="129">
    <w:name w:val="普通文字 Char1 Char"/>
    <w:qFormat/>
    <w:uiPriority w:val="0"/>
    <w:rPr>
      <w:rFonts w:ascii="宋体" w:hAnsi="Courier New" w:eastAsia="宋体"/>
      <w:kern w:val="2"/>
      <w:sz w:val="21"/>
      <w:szCs w:val="24"/>
      <w:lang w:val="en-US"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标题 Char1"/>
    <w:qFormat/>
    <w:uiPriority w:val="0"/>
    <w:rPr>
      <w:rFonts w:ascii="Cambria" w:hAnsi="Cambria" w:eastAsia="宋体" w:cs="Times New Roman"/>
      <w:b/>
      <w:bCs/>
      <w:sz w:val="32"/>
      <w:szCs w:val="32"/>
      <w:lang w:bidi="ar-SA"/>
    </w:rPr>
  </w:style>
  <w:style w:type="character" w:customStyle="1" w:styleId="132">
    <w:name w:val="gf正文1 Char"/>
    <w:qFormat/>
    <w:uiPriority w:val="0"/>
    <w:rPr>
      <w:rFonts w:ascii="宋体" w:hAnsi="宋体" w:eastAsia="宋体" w:cs="宋体"/>
      <w:kern w:val="2"/>
      <w:sz w:val="24"/>
      <w:szCs w:val="24"/>
      <w:lang w:val="en-US" w:eastAsia="zh-CN" w:bidi="ar-SA"/>
    </w:rPr>
  </w:style>
  <w:style w:type="character" w:customStyle="1" w:styleId="133">
    <w:name w:val="正文文本缩进 Char1"/>
    <w:qFormat/>
    <w:uiPriority w:val="0"/>
    <w:rPr>
      <w:rFonts w:ascii="Calibri" w:hAnsi="Calibri"/>
      <w:sz w:val="28"/>
    </w:rPr>
  </w:style>
  <w:style w:type="paragraph" w:customStyle="1" w:styleId="134">
    <w:name w:val="无间隔1"/>
    <w:qFormat/>
    <w:uiPriority w:val="0"/>
    <w:rPr>
      <w:rFonts w:ascii="Times New Roman" w:hAnsi="Times New Roman" w:eastAsia="宋体" w:cs="Times New Roman"/>
      <w:sz w:val="22"/>
      <w:szCs w:val="22"/>
      <w:lang w:val="en-US" w:eastAsia="zh-CN" w:bidi="ar-SA"/>
    </w:rPr>
  </w:style>
  <w:style w:type="character" w:customStyle="1" w:styleId="135">
    <w:name w:val="样式7 Char"/>
    <w:qFormat/>
    <w:uiPriority w:val="0"/>
    <w:rPr>
      <w:rFonts w:ascii="仿宋_GB2312" w:hAnsi="仿宋" w:eastAsia="仿宋_GB2312"/>
      <w:b/>
      <w:kern w:val="2"/>
      <w:sz w:val="24"/>
      <w:szCs w:val="24"/>
    </w:rPr>
  </w:style>
  <w:style w:type="character" w:customStyle="1" w:styleId="136">
    <w:name w:val="font12gray1"/>
    <w:qFormat/>
    <w:uiPriority w:val="0"/>
    <w:rPr>
      <w:rFonts w:ascii="仿宋_GB2312" w:hAnsi="仿宋_GB2312" w:eastAsia="微软雅黑"/>
      <w:b/>
      <w:spacing w:val="300"/>
      <w:kern w:val="2"/>
      <w:sz w:val="18"/>
      <w:szCs w:val="18"/>
      <w:lang w:val="en-US" w:eastAsia="zh-CN" w:bidi="ar-SA"/>
    </w:rPr>
  </w:style>
  <w:style w:type="character" w:customStyle="1" w:styleId="137">
    <w:name w:val="Char Char7"/>
    <w:qFormat/>
    <w:uiPriority w:val="0"/>
    <w:rPr>
      <w:rFonts w:eastAsia="宋体"/>
      <w:kern w:val="2"/>
      <w:sz w:val="21"/>
      <w:szCs w:val="24"/>
      <w:lang w:val="en-US" w:eastAsia="zh-CN" w:bidi="ar-SA"/>
    </w:rPr>
  </w:style>
  <w:style w:type="character" w:customStyle="1" w:styleId="138">
    <w:name w:val="表名 Char"/>
    <w:qFormat/>
    <w:uiPriority w:val="0"/>
    <w:rPr>
      <w:rFonts w:eastAsia="宋体"/>
      <w:b/>
      <w:bCs/>
      <w:kern w:val="2"/>
      <w:sz w:val="24"/>
      <w:szCs w:val="24"/>
      <w:lang w:val="en-US" w:eastAsia="zh-CN" w:bidi="ar-SA"/>
    </w:rPr>
  </w:style>
  <w:style w:type="character" w:customStyle="1" w:styleId="139">
    <w:name w:val="Document Map Char"/>
    <w:qFormat/>
    <w:locked/>
    <w:uiPriority w:val="0"/>
    <w:rPr>
      <w:rFonts w:eastAsia="宋体"/>
      <w:kern w:val="2"/>
      <w:sz w:val="21"/>
      <w:szCs w:val="24"/>
      <w:lang w:val="en-US" w:eastAsia="zh-CN" w:bidi="ar-SA"/>
    </w:rPr>
  </w:style>
  <w:style w:type="character" w:customStyle="1" w:styleId="140">
    <w:name w:val="font41"/>
    <w:qFormat/>
    <w:uiPriority w:val="0"/>
    <w:rPr>
      <w:rFonts w:ascii="仿宋_GB2312" w:eastAsia="仿宋_GB2312" w:cs="仿宋_GB2312"/>
      <w:color w:val="000000"/>
      <w:sz w:val="22"/>
      <w:szCs w:val="22"/>
      <w:u w:val="none"/>
    </w:rPr>
  </w:style>
  <w:style w:type="paragraph" w:customStyle="1" w:styleId="1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纯文本_0_0"/>
    <w:basedOn w:val="141"/>
    <w:qFormat/>
    <w:uiPriority w:val="0"/>
    <w:rPr>
      <w:rFonts w:ascii="宋体" w:hAnsi="Courier New"/>
      <w:szCs w:val="21"/>
    </w:rPr>
  </w:style>
  <w:style w:type="character" w:customStyle="1" w:styleId="143">
    <w:name w:val="Balloon Text Char"/>
    <w:qFormat/>
    <w:locked/>
    <w:uiPriority w:val="0"/>
    <w:rPr>
      <w:rFonts w:eastAsia="宋体"/>
      <w:kern w:val="2"/>
      <w:sz w:val="18"/>
      <w:szCs w:val="18"/>
      <w:lang w:val="en-US" w:eastAsia="zh-CN" w:bidi="ar-SA"/>
    </w:rPr>
  </w:style>
  <w:style w:type="character" w:customStyle="1" w:styleId="144">
    <w:name w:val="正文 项目 Char"/>
    <w:qFormat/>
    <w:uiPriority w:val="0"/>
    <w:rPr>
      <w:rFonts w:ascii="仿宋_GB2312" w:hAnsi="仿宋_GB2312" w:eastAsia="仿宋_GB2312"/>
      <w:kern w:val="2"/>
      <w:sz w:val="24"/>
      <w:lang w:bidi="ar-SA"/>
    </w:rPr>
  </w:style>
  <w:style w:type="character" w:customStyle="1" w:styleId="145">
    <w:name w:val="正文 项目2 Char"/>
    <w:basedOn w:val="144"/>
    <w:qFormat/>
    <w:uiPriority w:val="0"/>
    <w:rPr>
      <w:rFonts w:ascii="仿宋_GB2312" w:hAnsi="仿宋_GB2312" w:eastAsia="仿宋_GB2312"/>
      <w:kern w:val="2"/>
      <w:sz w:val="24"/>
      <w:lang w:bidi="ar-SA"/>
    </w:rPr>
  </w:style>
  <w:style w:type="character" w:customStyle="1" w:styleId="146">
    <w:name w:val="h Char Char1"/>
    <w:qFormat/>
    <w:uiPriority w:val="0"/>
    <w:rPr>
      <w:rFonts w:eastAsia="宋体"/>
      <w:kern w:val="2"/>
      <w:sz w:val="18"/>
      <w:szCs w:val="18"/>
      <w:lang w:val="en-US" w:eastAsia="zh-CN" w:bidi="ar-SA"/>
    </w:rPr>
  </w:style>
  <w:style w:type="character" w:customStyle="1" w:styleId="147">
    <w:name w:val="Char Char27"/>
    <w:qFormat/>
    <w:uiPriority w:val="0"/>
    <w:rPr>
      <w:rFonts w:ascii="宋体" w:hAnsi="宋体" w:eastAsia="宋体"/>
      <w:color w:val="000000"/>
      <w:kern w:val="2"/>
      <w:sz w:val="28"/>
      <w:lang w:val="en-US" w:eastAsia="zh-CN" w:bidi="ar-SA"/>
    </w:rPr>
  </w:style>
  <w:style w:type="character" w:customStyle="1" w:styleId="148">
    <w:name w:val="px14"/>
    <w:qFormat/>
    <w:uiPriority w:val="0"/>
    <w:rPr>
      <w:rFonts w:ascii="仿宋_GB2312" w:hAnsi="仿宋_GB2312" w:eastAsia="微软雅黑" w:cs="Times New Roman"/>
      <w:b/>
      <w:kern w:val="2"/>
      <w:sz w:val="32"/>
      <w:szCs w:val="32"/>
      <w:lang w:val="en-US" w:eastAsia="zh-CN" w:bidi="ar-SA"/>
    </w:rPr>
  </w:style>
  <w:style w:type="character" w:customStyle="1" w:styleId="149">
    <w:name w:val="HTML 预设格式 Char1"/>
    <w:qFormat/>
    <w:uiPriority w:val="0"/>
    <w:rPr>
      <w:rFonts w:ascii="Courier New" w:hAnsi="Courier New" w:eastAsia="宋体" w:cs="Courier New"/>
      <w:sz w:val="20"/>
      <w:szCs w:val="20"/>
    </w:rPr>
  </w:style>
  <w:style w:type="character" w:customStyle="1" w:styleId="150">
    <w:name w:val="普通文字 Char1"/>
    <w:qFormat/>
    <w:uiPriority w:val="0"/>
    <w:rPr>
      <w:rFonts w:ascii="宋体" w:hAnsi="Courier New" w:eastAsia="宋体"/>
      <w:kern w:val="2"/>
      <w:sz w:val="21"/>
      <w:lang w:val="en-US" w:eastAsia="zh-CN"/>
    </w:rPr>
  </w:style>
  <w:style w:type="character" w:customStyle="1" w:styleId="151">
    <w:name w:val="hei16b1"/>
    <w:qFormat/>
    <w:uiPriority w:val="0"/>
    <w:rPr>
      <w:rFonts w:ascii="Arial" w:hAnsi="Arial" w:cs="Arial"/>
      <w:b/>
      <w:bCs/>
      <w:color w:val="000000"/>
      <w:sz w:val="24"/>
      <w:szCs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53">
    <w:name w:val="Char Char19"/>
    <w:qFormat/>
    <w:uiPriority w:val="0"/>
    <w:rPr>
      <w:rFonts w:ascii="宋体" w:hAnsi="宋体"/>
      <w:i/>
      <w:sz w:val="24"/>
      <w:szCs w:val="24"/>
    </w:rPr>
  </w:style>
  <w:style w:type="character" w:customStyle="1" w:styleId="154">
    <w:name w:val="页脚 Char"/>
    <w:qFormat/>
    <w:uiPriority w:val="0"/>
    <w:rPr>
      <w:rFonts w:eastAsia="仿宋_GB2312"/>
      <w:kern w:val="2"/>
      <w:sz w:val="18"/>
      <w:lang w:val="en-US" w:eastAsia="zh-CN"/>
    </w:rPr>
  </w:style>
  <w:style w:type="character" w:customStyle="1" w:styleId="155">
    <w:name w:val="批注主题 Char"/>
    <w:qFormat/>
    <w:uiPriority w:val="0"/>
    <w:rPr>
      <w:rFonts w:eastAsia="宋体"/>
      <w:b/>
      <w:bCs/>
      <w:kern w:val="2"/>
      <w:sz w:val="21"/>
      <w:szCs w:val="24"/>
      <w:lang w:val="en-US" w:eastAsia="zh-CN" w:bidi="ar-SA"/>
    </w:rPr>
  </w:style>
  <w:style w:type="character" w:customStyle="1" w:styleId="156">
    <w:name w:val="Comment Text Char"/>
    <w:qFormat/>
    <w:locked/>
    <w:uiPriority w:val="0"/>
    <w:rPr>
      <w:rFonts w:ascii="宋体" w:hAnsi="宋体" w:eastAsia="宋体"/>
      <w:kern w:val="2"/>
      <w:sz w:val="24"/>
      <w:lang w:val="en-US" w:eastAsia="zh-CN" w:bidi="ar-SA"/>
    </w:rPr>
  </w:style>
  <w:style w:type="character" w:customStyle="1" w:styleId="157">
    <w:name w:val="标题 2 字符"/>
    <w:qFormat/>
    <w:uiPriority w:val="0"/>
    <w:rPr>
      <w:rFonts w:ascii="仿宋_GB2312" w:hAnsi="Times New Roman" w:eastAsia="仿宋_GB2312" w:cs="Times New Roman"/>
      <w:b/>
      <w:kern w:val="2"/>
      <w:sz w:val="24"/>
      <w:lang w:val="zh-CN"/>
    </w:rPr>
  </w:style>
  <w:style w:type="character" w:customStyle="1" w:styleId="158">
    <w:name w:val="Char Char72"/>
    <w:qFormat/>
    <w:uiPriority w:val="0"/>
    <w:rPr>
      <w:rFonts w:eastAsia="宋体"/>
      <w:kern w:val="2"/>
      <w:sz w:val="21"/>
      <w:szCs w:val="24"/>
      <w:lang w:val="en-US" w:eastAsia="zh-CN" w:bidi="ar-SA"/>
    </w:rPr>
  </w:style>
  <w:style w:type="character" w:customStyle="1" w:styleId="159">
    <w:name w:val="正文文本缩进 Char2"/>
    <w:qFormat/>
    <w:uiPriority w:val="0"/>
    <w:rPr>
      <w:rFonts w:ascii="Times New Roman" w:hAnsi="Times New Roman" w:eastAsia="宋体" w:cs="Times New Roman"/>
      <w:snapToGrid w:val="0"/>
      <w:kern w:val="0"/>
      <w:szCs w:val="24"/>
    </w:rPr>
  </w:style>
  <w:style w:type="character" w:customStyle="1" w:styleId="160">
    <w:name w:val="样式2 Char"/>
    <w:qFormat/>
    <w:uiPriority w:val="0"/>
    <w:rPr>
      <w:rFonts w:ascii="仿宋_GB2312" w:hAnsi="仿宋" w:eastAsia="仿宋_GB2312" w:cs="仿宋_GB2312"/>
      <w:b/>
      <w:bCs/>
      <w:sz w:val="32"/>
      <w:szCs w:val="30"/>
      <w:lang w:val="zh-CN"/>
    </w:rPr>
  </w:style>
  <w:style w:type="paragraph" w:customStyle="1" w:styleId="161">
    <w:name w:val="表格名称"/>
    <w:basedOn w:val="4"/>
    <w:qFormat/>
    <w:uiPriority w:val="0"/>
    <w:pPr>
      <w:adjustRightInd/>
      <w:snapToGrid w:val="0"/>
      <w:spacing w:before="240" w:after="240" w:line="240" w:lineRule="auto"/>
      <w:ind w:left="0" w:firstLine="0"/>
      <w:jc w:val="center"/>
    </w:pPr>
    <w:rPr>
      <w:rFonts w:ascii="Calibri" w:hAnsi="Calibri" w:eastAsia="宋体"/>
      <w:b w:val="0"/>
      <w:bCs w:val="0"/>
      <w:kern w:val="0"/>
      <w:szCs w:val="20"/>
    </w:rPr>
  </w:style>
  <w:style w:type="character" w:customStyle="1" w:styleId="162">
    <w:name w:val="Char Char4"/>
    <w:qFormat/>
    <w:uiPriority w:val="0"/>
    <w:rPr>
      <w:rFonts w:eastAsia="宋体"/>
      <w:b/>
      <w:sz w:val="24"/>
      <w:lang w:val="en-GB" w:eastAsia="zh-CN" w:bidi="ar-SA"/>
    </w:rPr>
  </w:style>
  <w:style w:type="character" w:customStyle="1" w:styleId="163">
    <w:name w:val="c7 style3"/>
    <w:qFormat/>
    <w:uiPriority w:val="0"/>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tw4winInternal"/>
    <w:qFormat/>
    <w:uiPriority w:val="0"/>
    <w:rPr>
      <w:rFonts w:ascii="Courier New" w:hAnsi="Courier New" w:cs="Courier New"/>
      <w:color w:val="FF0000"/>
      <w:lang w:val="en-US" w:eastAsia="zh-CN"/>
    </w:rPr>
  </w:style>
  <w:style w:type="character" w:customStyle="1" w:styleId="166">
    <w:name w:val="Char Char10"/>
    <w:qFormat/>
    <w:uiPriority w:val="0"/>
    <w:rPr>
      <w:rFonts w:ascii="宋体" w:hAnsi="宋体"/>
      <w:kern w:val="2"/>
      <w:sz w:val="21"/>
      <w:szCs w:val="24"/>
      <w:lang w:val="en-US" w:eastAsia="zh-CN"/>
    </w:rPr>
  </w:style>
  <w:style w:type="character" w:customStyle="1" w:styleId="167">
    <w:name w:val="shadow11"/>
    <w:qFormat/>
    <w:uiPriority w:val="0"/>
    <w:rPr>
      <w:color w:val="000000"/>
      <w:sz w:val="21"/>
    </w:rPr>
  </w:style>
  <w:style w:type="character" w:customStyle="1" w:styleId="168">
    <w:name w:val="正文非缩进 Char3"/>
    <w:qFormat/>
    <w:uiPriority w:val="0"/>
    <w:rPr>
      <w:rFonts w:ascii="宋体" w:eastAsia="宋体"/>
      <w:snapToGrid w:val="0"/>
      <w:color w:val="000000"/>
      <w:kern w:val="28"/>
      <w:sz w:val="28"/>
      <w:lang w:val="en-US" w:eastAsia="zh-CN" w:bidi="ar-SA"/>
    </w:rPr>
  </w:style>
  <w:style w:type="character" w:customStyle="1" w:styleId="169">
    <w:name w:val="Char Char"/>
    <w:qFormat/>
    <w:uiPriority w:val="0"/>
    <w:rPr>
      <w:rFonts w:ascii="宋体" w:hAnsi="Courier New" w:eastAsia="宋体"/>
      <w:kern w:val="2"/>
      <w:sz w:val="21"/>
      <w:lang w:val="en-US" w:eastAsia="zh-CN" w:bidi="ar-SA"/>
    </w:rPr>
  </w:style>
  <w:style w:type="character" w:customStyle="1" w:styleId="170">
    <w:name w:val="签名 Char1"/>
    <w:qFormat/>
    <w:uiPriority w:val="0"/>
    <w:rPr>
      <w:rFonts w:ascii="Times New Roman" w:hAnsi="Times New Roman" w:eastAsia="宋体" w:cs="Times New Roman"/>
      <w:szCs w:val="24"/>
    </w:rPr>
  </w:style>
  <w:style w:type="character" w:customStyle="1" w:styleId="171">
    <w:name w:val="Char Char18"/>
    <w:qFormat/>
    <w:uiPriority w:val="0"/>
    <w:rPr>
      <w:rFonts w:ascii="宋体" w:hAnsi="宋体"/>
      <w:sz w:val="28"/>
    </w:rPr>
  </w:style>
  <w:style w:type="character" w:customStyle="1" w:styleId="172">
    <w:name w:val="批注文字 Char"/>
    <w:qFormat/>
    <w:uiPriority w:val="0"/>
    <w:rPr>
      <w:kern w:val="2"/>
      <w:sz w:val="21"/>
      <w:szCs w:val="24"/>
    </w:rPr>
  </w:style>
  <w:style w:type="character" w:customStyle="1" w:styleId="173">
    <w:name w:val="Char Char22"/>
    <w:qFormat/>
    <w:uiPriority w:val="0"/>
    <w:rPr>
      <w:rFonts w:ascii="宋体" w:hAnsi="宋体"/>
      <w:kern w:val="2"/>
      <w:sz w:val="24"/>
      <w:szCs w:val="24"/>
    </w:rPr>
  </w:style>
  <w:style w:type="character" w:customStyle="1" w:styleId="174">
    <w:name w:val="pt141"/>
    <w:qFormat/>
    <w:uiPriority w:val="0"/>
    <w:rPr>
      <w:color w:val="330066"/>
      <w:sz w:val="22"/>
      <w:szCs w:val="22"/>
    </w:rPr>
  </w:style>
  <w:style w:type="character" w:customStyle="1" w:styleId="175">
    <w:name w:val="正文文本缩进 2 Char1"/>
    <w:qFormat/>
    <w:uiPriority w:val="0"/>
    <w:rPr>
      <w:rFonts w:ascii="Times New Roman" w:hAnsi="Times New Roman" w:eastAsia="宋体" w:cs="Times New Roman"/>
      <w:szCs w:val="24"/>
    </w:rPr>
  </w:style>
  <w:style w:type="character" w:customStyle="1" w:styleId="176">
    <w:name w:val="Char Char611"/>
    <w:qFormat/>
    <w:uiPriority w:val="0"/>
    <w:rPr>
      <w:rFonts w:eastAsia="宋体"/>
      <w:kern w:val="2"/>
      <w:sz w:val="21"/>
      <w:szCs w:val="24"/>
      <w:lang w:val="en-US" w:eastAsia="zh-CN" w:bidi="ar-SA"/>
    </w:rPr>
  </w:style>
  <w:style w:type="character" w:customStyle="1" w:styleId="177">
    <w:name w:val="highlight1"/>
    <w:qFormat/>
    <w:uiPriority w:val="0"/>
    <w:rPr>
      <w:rFonts w:ascii="仿宋_GB2312" w:hAnsi="仿宋_GB2312" w:eastAsia="微软雅黑"/>
      <w:b/>
      <w:kern w:val="2"/>
      <w:sz w:val="23"/>
      <w:szCs w:val="23"/>
      <w:lang w:val="en-US" w:eastAsia="zh-CN" w:bidi="ar-SA"/>
    </w:rPr>
  </w:style>
  <w:style w:type="paragraph" w:customStyle="1" w:styleId="178">
    <w:name w:val="my正文"/>
    <w:basedOn w:val="1"/>
    <w:qFormat/>
    <w:uiPriority w:val="0"/>
    <w:pPr>
      <w:adjustRightInd/>
      <w:spacing w:line="360" w:lineRule="auto"/>
      <w:ind w:firstLine="200" w:firstLineChars="200"/>
    </w:pPr>
    <w:rPr>
      <w:rFonts w:ascii="Tahoma" w:hAnsi="Tahoma"/>
      <w:kern w:val="0"/>
      <w:sz w:val="24"/>
    </w:rPr>
  </w:style>
  <w:style w:type="character" w:customStyle="1" w:styleId="179">
    <w:name w:val="Used by Word for text of Help footnotes Char Char1"/>
    <w:qFormat/>
    <w:uiPriority w:val="0"/>
    <w:rPr>
      <w:color w:val="0000FF"/>
      <w:sz w:val="21"/>
    </w:rPr>
  </w:style>
  <w:style w:type="character" w:customStyle="1" w:styleId="180">
    <w:name w:val="页眉 Char"/>
    <w:qFormat/>
    <w:uiPriority w:val="0"/>
    <w:rPr>
      <w:rFonts w:eastAsia="仿宋_GB2312"/>
      <w:kern w:val="2"/>
      <w:sz w:val="18"/>
      <w:lang w:val="en-US" w:eastAsia="zh-CN"/>
    </w:rPr>
  </w:style>
  <w:style w:type="character" w:customStyle="1" w:styleId="181">
    <w:name w:val="FA正文 Char Char"/>
    <w:qFormat/>
    <w:uiPriority w:val="0"/>
    <w:rPr>
      <w:rFonts w:hAnsi="宋体"/>
      <w:kern w:val="2"/>
      <w:sz w:val="24"/>
      <w:lang w:bidi="ar-SA"/>
    </w:rPr>
  </w:style>
  <w:style w:type="character" w:customStyle="1" w:styleId="182">
    <w:name w:val="纯文本 字符"/>
    <w:qFormat/>
    <w:uiPriority w:val="0"/>
    <w:rPr>
      <w:rFonts w:ascii="宋体" w:hAnsi="Courier New" w:eastAsia="宋体" w:cs="Arial"/>
      <w:snapToGrid w:val="0"/>
      <w:kern w:val="2"/>
      <w:sz w:val="21"/>
      <w:szCs w:val="21"/>
      <w:lang w:val="en-US" w:eastAsia="zh-CN" w:bidi="ar-SA"/>
    </w:rPr>
  </w:style>
  <w:style w:type="paragraph" w:customStyle="1" w:styleId="183">
    <w:name w:val="样式 标题 3h33rd level3BOD 0H3l3CTHeading 3 - oldLevel 3 He..."/>
    <w:basedOn w:val="5"/>
    <w:qFormat/>
    <w:uiPriority w:val="0"/>
    <w:pPr>
      <w:keepNext/>
      <w:keepLines w:val="0"/>
      <w:widowControl/>
      <w:tabs>
        <w:tab w:val="clear" w:pos="900"/>
      </w:tabs>
      <w:adjustRightInd/>
      <w:spacing w:before="240" w:after="240" w:line="360" w:lineRule="auto"/>
      <w:ind w:left="851" w:right="194" w:rightChars="194" w:hanging="851"/>
      <w:jc w:val="left"/>
    </w:pPr>
    <w:rPr>
      <w:rFonts w:ascii="宋体" w:hAnsi="Arial"/>
      <w:snapToGrid w:val="0"/>
      <w:kern w:val="0"/>
      <w:sz w:val="28"/>
      <w:szCs w:val="20"/>
    </w:rPr>
  </w:style>
  <w:style w:type="paragraph" w:customStyle="1" w:styleId="184">
    <w:name w:val="3级"/>
    <w:basedOn w:val="183"/>
    <w:qFormat/>
    <w:uiPriority w:val="0"/>
    <w:pPr>
      <w:ind w:left="0" w:firstLine="288"/>
    </w:pPr>
    <w:rPr>
      <w:rFonts w:hAnsi="宋体"/>
      <w:snapToGrid/>
    </w:rPr>
  </w:style>
  <w:style w:type="character" w:customStyle="1" w:styleId="185">
    <w:name w:val="myp11"/>
    <w:qFormat/>
    <w:uiPriority w:val="0"/>
    <w:rPr>
      <w:rFonts w:ascii="仿宋_GB2312" w:hAnsi="仿宋_GB2312" w:eastAsia="微软雅黑"/>
      <w:b/>
      <w:kern w:val="2"/>
      <w:sz w:val="32"/>
      <w:szCs w:val="32"/>
      <w:lang w:val="en-US" w:eastAsia="zh-CN" w:bidi="ar-SA"/>
    </w:rPr>
  </w:style>
  <w:style w:type="character" w:customStyle="1" w:styleId="186">
    <w:name w:val="H6 Char"/>
    <w:qFormat/>
    <w:uiPriority w:val="0"/>
    <w:rPr>
      <w:rFonts w:ascii="Arial" w:hAnsi="Arial" w:eastAsia="黑体"/>
      <w:b/>
      <w:bCs/>
      <w:kern w:val="2"/>
      <w:sz w:val="24"/>
      <w:szCs w:val="24"/>
    </w:rPr>
  </w:style>
  <w:style w:type="character" w:customStyle="1" w:styleId="187">
    <w:name w:val="Char Char91"/>
    <w:qFormat/>
    <w:uiPriority w:val="0"/>
    <w:rPr>
      <w:rFonts w:eastAsia="宋体"/>
      <w:kern w:val="2"/>
      <w:sz w:val="18"/>
      <w:szCs w:val="18"/>
      <w:lang w:val="en-US" w:eastAsia="zh-CN" w:bidi="ar-SA"/>
    </w:rPr>
  </w:style>
  <w:style w:type="character" w:customStyle="1" w:styleId="188">
    <w:name w:val="副标题 Char1"/>
    <w:qFormat/>
    <w:uiPriority w:val="0"/>
    <w:rPr>
      <w:rFonts w:ascii="Cambria" w:hAnsi="Cambria" w:eastAsia="宋体" w:cs="Times New Roman"/>
      <w:b/>
      <w:bCs/>
      <w:snapToGrid w:val="0"/>
      <w:kern w:val="28"/>
      <w:sz w:val="32"/>
      <w:szCs w:val="32"/>
    </w:rPr>
  </w:style>
  <w:style w:type="character" w:customStyle="1" w:styleId="189">
    <w:name w:val="font61"/>
    <w:qFormat/>
    <w:uiPriority w:val="0"/>
    <w:rPr>
      <w:rFonts w:ascii="仿宋" w:hAnsi="仿宋" w:eastAsia="仿宋" w:cs="仿宋"/>
      <w:color w:val="000000"/>
      <w:sz w:val="20"/>
      <w:szCs w:val="20"/>
      <w:u w:val="none"/>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Char Char211"/>
    <w:qFormat/>
    <w:uiPriority w:val="0"/>
    <w:rPr>
      <w:rFonts w:eastAsia="宋体"/>
      <w:b/>
      <w:bCs/>
      <w:kern w:val="2"/>
      <w:sz w:val="21"/>
      <w:szCs w:val="24"/>
      <w:lang w:val="en-US" w:eastAsia="zh-CN" w:bidi="ar-SA"/>
    </w:rPr>
  </w:style>
  <w:style w:type="character" w:customStyle="1" w:styleId="192">
    <w:name w:val="maywed421"/>
    <w:qFormat/>
    <w:uiPriority w:val="0"/>
    <w:rPr>
      <w:color w:val="366FB6"/>
      <w:u w:val="none"/>
    </w:rPr>
  </w:style>
  <w:style w:type="character" w:customStyle="1" w:styleId="193">
    <w:name w:val="正文文本缩进 Char"/>
    <w:qFormat/>
    <w:uiPriority w:val="0"/>
    <w:rPr>
      <w:rFonts w:ascii="宋体" w:hAnsi="宋体"/>
      <w:kern w:val="2"/>
      <w:sz w:val="24"/>
      <w:szCs w:val="24"/>
    </w:rPr>
  </w:style>
  <w:style w:type="character" w:customStyle="1" w:styleId="194">
    <w:name w:val="Char Char102"/>
    <w:qFormat/>
    <w:uiPriority w:val="0"/>
    <w:rPr>
      <w:rFonts w:ascii="宋体" w:hAnsi="宋体"/>
      <w:kern w:val="2"/>
      <w:sz w:val="21"/>
      <w:szCs w:val="24"/>
      <w:lang w:val="en-US" w:eastAsia="zh-CN"/>
    </w:rPr>
  </w:style>
  <w:style w:type="character" w:customStyle="1" w:styleId="195">
    <w:name w:val="页眉 Char1"/>
    <w:qFormat/>
    <w:uiPriority w:val="0"/>
    <w:rPr>
      <w:rFonts w:eastAsia="宋体"/>
      <w:kern w:val="2"/>
      <w:sz w:val="18"/>
      <w:szCs w:val="18"/>
      <w:lang w:val="en-US" w:eastAsia="zh-CN" w:bidi="ar-SA"/>
    </w:rPr>
  </w:style>
  <w:style w:type="character" w:customStyle="1" w:styleId="196">
    <w:name w:val="md"/>
    <w:basedOn w:val="64"/>
    <w:qFormat/>
    <w:uiPriority w:val="0"/>
    <w:rPr>
      <w:rFonts w:ascii="Arial" w:hAnsi="Arial" w:eastAsia="黑体" w:cs="Arial"/>
      <w:snapToGrid w:val="0"/>
      <w:kern w:val="0"/>
      <w:szCs w:val="21"/>
    </w:rPr>
  </w:style>
  <w:style w:type="character" w:customStyle="1" w:styleId="197">
    <w:name w:val="big1"/>
    <w:qFormat/>
    <w:uiPriority w:val="0"/>
    <w:rPr>
      <w:rFonts w:ascii="宋体" w:hAnsi="宋体" w:eastAsia="宋体"/>
      <w:color w:val="333333"/>
      <w:sz w:val="22"/>
      <w:szCs w:val="22"/>
    </w:rPr>
  </w:style>
  <w:style w:type="character" w:customStyle="1" w:styleId="198">
    <w:name w:val="Char Char311"/>
    <w:qFormat/>
    <w:uiPriority w:val="0"/>
    <w:rPr>
      <w:rFonts w:eastAsia="宋体"/>
      <w:kern w:val="2"/>
      <w:sz w:val="21"/>
      <w:szCs w:val="24"/>
      <w:lang w:val="en-US" w:eastAsia="zh-CN" w:bidi="ar-SA"/>
    </w:rPr>
  </w:style>
  <w:style w:type="character" w:customStyle="1" w:styleId="199">
    <w:name w:val="Char Char81"/>
    <w:qFormat/>
    <w:uiPriority w:val="0"/>
    <w:rPr>
      <w:rFonts w:eastAsia="宋体"/>
      <w:b/>
      <w:sz w:val="24"/>
      <w:lang w:val="en-GB" w:eastAsia="zh-CN"/>
    </w:rPr>
  </w:style>
  <w:style w:type="character" w:customStyle="1" w:styleId="200">
    <w:name w:val="样式3 Char"/>
    <w:basedOn w:val="160"/>
    <w:qFormat/>
    <w:uiPriority w:val="0"/>
    <w:rPr>
      <w:rFonts w:ascii="仿宋_GB2312" w:hAnsi="仿宋" w:eastAsia="仿宋_GB2312" w:cs="仿宋_GB2312"/>
      <w:sz w:val="32"/>
      <w:szCs w:val="30"/>
      <w:lang w:val="zh-CN"/>
    </w:rPr>
  </w:style>
  <w:style w:type="character" w:customStyle="1" w:styleId="201">
    <w:name w:val="正文首行缩进 2 Char1"/>
    <w:qFormat/>
    <w:uiPriority w:val="0"/>
    <w:rPr>
      <w:rFonts w:ascii="Times New Roman" w:hAnsi="Times New Roman" w:eastAsia="宋体" w:cs="Times New Roman"/>
      <w:kern w:val="2"/>
      <w:sz w:val="24"/>
      <w:szCs w:val="24"/>
    </w:rPr>
  </w:style>
  <w:style w:type="character" w:customStyle="1" w:styleId="202">
    <w:name w:val="副标题 Char2"/>
    <w:qFormat/>
    <w:uiPriority w:val="0"/>
    <w:rPr>
      <w:rFonts w:ascii="Cambria" w:hAnsi="Cambria" w:eastAsia="宋体" w:cs="Times New Roman"/>
      <w:b/>
      <w:bCs/>
      <w:snapToGrid w:val="0"/>
      <w:kern w:val="28"/>
      <w:sz w:val="32"/>
      <w:szCs w:val="32"/>
    </w:rPr>
  </w:style>
  <w:style w:type="paragraph" w:customStyle="1" w:styleId="203">
    <w:name w:val="标题4-dyf"/>
    <w:basedOn w:val="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4">
    <w:name w:val="dectext1"/>
    <w:qFormat/>
    <w:uiPriority w:val="0"/>
    <w:rPr>
      <w:rFonts w:ascii="宋体" w:hAnsi="宋体" w:eastAsia="宋体"/>
      <w:color w:val="333333"/>
      <w:sz w:val="21"/>
      <w:szCs w:val="21"/>
      <w:u w:val="none"/>
    </w:rPr>
  </w:style>
  <w:style w:type="paragraph" w:customStyle="1" w:styleId="205">
    <w:name w:val="冯"/>
    <w:basedOn w:val="1"/>
    <w:qFormat/>
    <w:uiPriority w:val="0"/>
    <w:pPr>
      <w:widowControl/>
      <w:adjustRightInd/>
      <w:spacing w:line="360" w:lineRule="auto"/>
      <w:ind w:firstLine="200" w:firstLineChars="200"/>
    </w:pPr>
    <w:rPr>
      <w:rFonts w:ascii="宋体" w:hAnsi="宋体"/>
      <w:color w:val="000000"/>
      <w:kern w:val="0"/>
      <w:sz w:val="24"/>
    </w:rPr>
  </w:style>
  <w:style w:type="character" w:customStyle="1" w:styleId="206">
    <w:name w:val="Header Char"/>
    <w:qFormat/>
    <w:locked/>
    <w:uiPriority w:val="0"/>
    <w:rPr>
      <w:rFonts w:eastAsia="宋体"/>
      <w:kern w:val="2"/>
      <w:sz w:val="18"/>
      <w:szCs w:val="18"/>
      <w:lang w:val="en-US" w:eastAsia="zh-CN" w:bidi="ar-SA"/>
    </w:rPr>
  </w:style>
  <w:style w:type="character" w:customStyle="1" w:styleId="207">
    <w:name w:val="Char Char12"/>
    <w:qFormat/>
    <w:uiPriority w:val="0"/>
    <w:rPr>
      <w:rFonts w:ascii="仿宋_GB2312" w:eastAsia="仿宋_GB2312"/>
      <w:b/>
      <w:bCs/>
      <w:kern w:val="2"/>
      <w:sz w:val="24"/>
      <w:szCs w:val="24"/>
      <w:lang w:val="zh-CN" w:eastAsia="zh-CN" w:bidi="ar-SA"/>
    </w:rPr>
  </w:style>
  <w:style w:type="character" w:customStyle="1" w:styleId="208">
    <w:name w:val="普通文字 Char3"/>
    <w:qFormat/>
    <w:uiPriority w:val="0"/>
    <w:rPr>
      <w:rFonts w:ascii="宋体" w:hAnsi="Courier New" w:eastAsia="宋体"/>
      <w:kern w:val="2"/>
      <w:sz w:val="21"/>
      <w:lang w:val="en-US" w:eastAsia="zh-CN" w:bidi="ar-SA"/>
    </w:rPr>
  </w:style>
  <w:style w:type="character" w:customStyle="1" w:styleId="209">
    <w:name w:val="公文正文 Char"/>
    <w:qFormat/>
    <w:uiPriority w:val="0"/>
    <w:rPr>
      <w:rFonts w:ascii="仿宋_GB2312" w:eastAsia="仿宋_GB2312"/>
      <w:kern w:val="2"/>
      <w:sz w:val="24"/>
      <w:szCs w:val="24"/>
      <w:lang w:val="en-US" w:eastAsia="zh-CN" w:bidi="ar-SA"/>
    </w:rPr>
  </w:style>
  <w:style w:type="character" w:customStyle="1" w:styleId="210">
    <w:name w:val="正文首行缩进 Char Char Char Char Char"/>
    <w:qFormat/>
    <w:uiPriority w:val="0"/>
    <w:rPr>
      <w:rFonts w:ascii="宋体" w:hAnsi="宋体"/>
      <w:kern w:val="2"/>
      <w:sz w:val="24"/>
      <w:lang w:val="zh-CN"/>
    </w:rPr>
  </w:style>
  <w:style w:type="character" w:customStyle="1" w:styleId="211">
    <w:name w:val="PI Char"/>
    <w:qFormat/>
    <w:uiPriority w:val="0"/>
    <w:rPr>
      <w:rFonts w:ascii="宋体" w:hAnsi="宋体" w:eastAsia="宋体"/>
      <w:kern w:val="2"/>
      <w:sz w:val="24"/>
      <w:szCs w:val="24"/>
      <w:lang w:val="en-US" w:eastAsia="zh-CN" w:bidi="ar-SA"/>
    </w:rPr>
  </w:style>
  <w:style w:type="paragraph" w:customStyle="1" w:styleId="212">
    <w:name w:val="Default"/>
    <w:next w:val="2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14">
    <w:name w:val="style91"/>
    <w:qFormat/>
    <w:uiPriority w:val="0"/>
    <w:rPr>
      <w:color w:val="333333"/>
    </w:rPr>
  </w:style>
  <w:style w:type="character" w:customStyle="1" w:styleId="215">
    <w:name w:val="列出段落 Char2"/>
    <w:qFormat/>
    <w:uiPriority w:val="0"/>
    <w:rPr>
      <w:rFonts w:ascii="Calibri" w:hAnsi="Calibri"/>
      <w:kern w:val="2"/>
      <w:sz w:val="28"/>
    </w:rPr>
  </w:style>
  <w:style w:type="character" w:customStyle="1" w:styleId="216">
    <w:name w:val="mdeck"/>
    <w:qFormat/>
    <w:uiPriority w:val="0"/>
    <w:rPr>
      <w:rFonts w:ascii="仿宋_GB2312" w:hAnsi="仿宋_GB2312" w:eastAsia="微软雅黑"/>
      <w:b/>
      <w:kern w:val="2"/>
      <w:sz w:val="32"/>
      <w:szCs w:val="32"/>
      <w:lang w:val="en-US" w:eastAsia="zh-CN" w:bidi="ar-SA"/>
    </w:rPr>
  </w:style>
  <w:style w:type="character" w:customStyle="1" w:styleId="217">
    <w:name w:val="unnamed11"/>
    <w:qFormat/>
    <w:uiPriority w:val="0"/>
    <w:rPr>
      <w:sz w:val="20"/>
      <w:szCs w:val="20"/>
    </w:rPr>
  </w:style>
  <w:style w:type="character" w:customStyle="1" w:styleId="218">
    <w:name w:val="正文文本 Char2"/>
    <w:qFormat/>
    <w:uiPriority w:val="0"/>
    <w:rPr>
      <w:rFonts w:ascii="Times New Roman" w:hAnsi="Times New Roman" w:eastAsia="宋体" w:cs="Times New Roman"/>
      <w:snapToGrid w:val="0"/>
      <w:kern w:val="0"/>
      <w:szCs w:val="24"/>
    </w:rPr>
  </w:style>
  <w:style w:type="character" w:customStyle="1" w:styleId="219">
    <w:name w:val="标书正文格式 Char"/>
    <w:qFormat/>
    <w:uiPriority w:val="0"/>
    <w:rPr>
      <w:rFonts w:eastAsia="楷体_GB2312"/>
      <w:kern w:val="2"/>
      <w:sz w:val="24"/>
      <w:szCs w:val="24"/>
      <w:lang w:bidi="ar-SA"/>
    </w:rPr>
  </w:style>
  <w:style w:type="character" w:customStyle="1" w:styleId="220">
    <w:name w:val="Char Char11"/>
    <w:qFormat/>
    <w:locked/>
    <w:uiPriority w:val="0"/>
    <w:rPr>
      <w:rFonts w:ascii="宋体" w:hAnsi="宋体" w:eastAsia="宋体"/>
      <w:b/>
      <w:kern w:val="2"/>
      <w:sz w:val="24"/>
      <w:szCs w:val="24"/>
      <w:lang w:val="en-US" w:eastAsia="zh-CN" w:bidi="ar-SA"/>
    </w:rPr>
  </w:style>
  <w:style w:type="character" w:customStyle="1" w:styleId="221">
    <w:name w:val="ca-131"/>
    <w:qFormat/>
    <w:uiPriority w:val="0"/>
    <w:rPr>
      <w:rFonts w:ascii="仿宋_GB2312" w:eastAsia="仿宋_GB2312"/>
      <w:b/>
      <w:bCs/>
      <w:color w:val="000000"/>
      <w:spacing w:val="-20"/>
      <w:sz w:val="24"/>
      <w:szCs w:val="24"/>
    </w:rPr>
  </w:style>
  <w:style w:type="character" w:customStyle="1" w:styleId="222">
    <w:name w:val="tw4winMark"/>
    <w:qFormat/>
    <w:uiPriority w:val="0"/>
    <w:rPr>
      <w:rFonts w:ascii="Courier New" w:hAnsi="Courier New" w:cs="Courier New"/>
      <w:vanish/>
      <w:color w:val="800080"/>
      <w:sz w:val="24"/>
      <w:szCs w:val="24"/>
      <w:vertAlign w:val="subscript"/>
    </w:rPr>
  </w:style>
  <w:style w:type="paragraph" w:customStyle="1" w:styleId="223">
    <w:name w:val="正文样式"/>
    <w:basedOn w:val="1"/>
    <w:qFormat/>
    <w:uiPriority w:val="0"/>
    <w:pPr>
      <w:adjustRightInd/>
      <w:spacing w:line="360" w:lineRule="auto"/>
      <w:ind w:firstLine="200" w:firstLineChars="200"/>
    </w:pPr>
    <w:rPr>
      <w:kern w:val="0"/>
      <w:sz w:val="24"/>
    </w:rPr>
  </w:style>
  <w:style w:type="character" w:customStyle="1" w:styleId="224">
    <w:name w:val="表正文 Char3"/>
    <w:qFormat/>
    <w:uiPriority w:val="0"/>
    <w:rPr>
      <w:rFonts w:eastAsia="宋体"/>
    </w:rPr>
  </w:style>
  <w:style w:type="character" w:customStyle="1" w:styleId="225">
    <w:name w:val="H5 Char"/>
    <w:qFormat/>
    <w:uiPriority w:val="0"/>
    <w:rPr>
      <w:b/>
      <w:bCs/>
      <w:kern w:val="2"/>
      <w:sz w:val="28"/>
      <w:szCs w:val="28"/>
    </w:rPr>
  </w:style>
  <w:style w:type="character" w:customStyle="1" w:styleId="226">
    <w:name w:val="Char Char3"/>
    <w:qFormat/>
    <w:uiPriority w:val="0"/>
    <w:rPr>
      <w:rFonts w:eastAsia="宋体"/>
      <w:kern w:val="2"/>
      <w:sz w:val="21"/>
      <w:szCs w:val="24"/>
      <w:lang w:val="en-US" w:eastAsia="zh-CN" w:bidi="ar-SA"/>
    </w:rPr>
  </w:style>
  <w:style w:type="character" w:customStyle="1" w:styleId="227">
    <w:name w:val="正文 编号 Char"/>
    <w:qFormat/>
    <w:uiPriority w:val="0"/>
    <w:rPr>
      <w:rFonts w:ascii="仿宋_GB2312" w:hAnsi="仿宋_GB2312" w:eastAsia="仿宋_GB2312"/>
      <w:kern w:val="2"/>
      <w:sz w:val="24"/>
      <w:lang w:bidi="ar-SA"/>
    </w:rPr>
  </w:style>
  <w:style w:type="character" w:customStyle="1" w:styleId="228">
    <w:name w:val="question-title2"/>
    <w:qFormat/>
    <w:uiPriority w:val="0"/>
    <w:rPr>
      <w:rFonts w:ascii="Arial" w:hAnsi="Arial" w:eastAsia="黑体" w:cs="Arial"/>
      <w:snapToGrid w:val="0"/>
      <w:kern w:val="0"/>
      <w:szCs w:val="21"/>
    </w:rPr>
  </w:style>
  <w:style w:type="paragraph" w:customStyle="1" w:styleId="229">
    <w:name w:val="gf正文1"/>
    <w:basedOn w:val="1"/>
    <w:qFormat/>
    <w:uiPriority w:val="0"/>
    <w:pPr>
      <w:tabs>
        <w:tab w:val="left" w:pos="3240"/>
        <w:tab w:val="left" w:pos="3960"/>
      </w:tabs>
      <w:adjustRightInd w:val="0"/>
      <w:snapToGrid w:val="0"/>
      <w:spacing w:line="360" w:lineRule="auto"/>
      <w:ind w:firstLine="200" w:firstLineChars="200"/>
    </w:pPr>
    <w:rPr>
      <w:rFonts w:ascii="宋体" w:hAnsi="宋体"/>
      <w:sz w:val="24"/>
    </w:rPr>
  </w:style>
  <w:style w:type="character" w:customStyle="1" w:styleId="230">
    <w:name w:val="Char Char15"/>
    <w:qFormat/>
    <w:uiPriority w:val="0"/>
    <w:rPr>
      <w:rFonts w:ascii="宋体" w:hAnsi="宋体"/>
      <w:kern w:val="2"/>
      <w:sz w:val="21"/>
    </w:rPr>
  </w:style>
  <w:style w:type="character" w:customStyle="1" w:styleId="231">
    <w:name w:val="正文缩进 Char3"/>
    <w:qFormat/>
    <w:uiPriority w:val="0"/>
    <w:rPr>
      <w:rFonts w:ascii="宋体" w:eastAsia="宋体"/>
      <w:snapToGrid w:val="0"/>
      <w:color w:val="000000"/>
      <w:kern w:val="28"/>
      <w:sz w:val="28"/>
      <w:lang w:val="en-US" w:eastAsia="zh-CN" w:bidi="ar-SA"/>
    </w:rPr>
  </w:style>
  <w:style w:type="paragraph" w:customStyle="1" w:styleId="232">
    <w:name w:val="列表1"/>
    <w:basedOn w:val="1"/>
    <w:next w:val="233"/>
    <w:qFormat/>
    <w:uiPriority w:val="0"/>
    <w:pPr>
      <w:widowControl/>
      <w:adjustRightInd/>
      <w:spacing w:after="200" w:line="360" w:lineRule="auto"/>
      <w:ind w:left="720" w:firstLine="200" w:firstLineChars="200"/>
      <w:jc w:val="left"/>
    </w:pPr>
    <w:rPr>
      <w:kern w:val="0"/>
      <w:sz w:val="24"/>
      <w:szCs w:val="20"/>
    </w:rPr>
  </w:style>
  <w:style w:type="paragraph" w:styleId="233">
    <w:name w:val="List Paragraph"/>
    <w:basedOn w:val="1"/>
    <w:qFormat/>
    <w:uiPriority w:val="0"/>
    <w:pPr>
      <w:spacing w:line="360" w:lineRule="auto"/>
      <w:ind w:firstLine="200" w:firstLineChars="200"/>
    </w:pPr>
    <w:rPr>
      <w:rFonts w:eastAsia="楷体_GB2312" w:cs="Lucida Sans"/>
      <w:sz w:val="24"/>
    </w:rPr>
  </w:style>
  <w:style w:type="character" w:customStyle="1" w:styleId="234">
    <w:name w:val="Char Char8"/>
    <w:qFormat/>
    <w:uiPriority w:val="0"/>
    <w:rPr>
      <w:rFonts w:eastAsia="宋体"/>
      <w:b/>
      <w:sz w:val="24"/>
      <w:lang w:val="en-GB" w:eastAsia="zh-CN"/>
    </w:rPr>
  </w:style>
  <w:style w:type="character" w:customStyle="1" w:styleId="235">
    <w:name w:val="Normal Indent Char Char"/>
    <w:qFormat/>
    <w:uiPriority w:val="0"/>
    <w:rPr>
      <w:rFonts w:eastAsia="宋体"/>
      <w:kern w:val="2"/>
      <w:sz w:val="21"/>
      <w:lang w:val="en-US" w:eastAsia="zh-CN" w:bidi="ar-SA"/>
    </w:rPr>
  </w:style>
  <w:style w:type="character" w:customStyle="1" w:styleId="236">
    <w:name w:val="列表段落 字符"/>
    <w:qFormat/>
    <w:uiPriority w:val="0"/>
  </w:style>
  <w:style w:type="character" w:customStyle="1" w:styleId="237">
    <w:name w:val="Ò³Ã¼ Char Char1"/>
    <w:qFormat/>
    <w:uiPriority w:val="0"/>
    <w:rPr>
      <w:rFonts w:eastAsia="宋体"/>
      <w:kern w:val="2"/>
      <w:sz w:val="18"/>
      <w:szCs w:val="18"/>
      <w:lang w:val="en-US" w:eastAsia="zh-CN" w:bidi="ar-SA"/>
    </w:rPr>
  </w:style>
  <w:style w:type="character" w:customStyle="1" w:styleId="238">
    <w:name w:val="方案正文 Char"/>
    <w:qFormat/>
    <w:uiPriority w:val="0"/>
    <w:rPr>
      <w:rFonts w:ascii="仿宋_GB2312" w:eastAsia="仿宋_GB2312"/>
      <w:b/>
      <w:color w:val="000000"/>
      <w:kern w:val="2"/>
      <w:sz w:val="24"/>
      <w:lang w:val="en-US" w:eastAsia="zh-CN" w:bidi="ar-SA"/>
    </w:rPr>
  </w:style>
  <w:style w:type="character" w:customStyle="1" w:styleId="239">
    <w:name w:val="Char Char30"/>
    <w:qFormat/>
    <w:uiPriority w:val="0"/>
    <w:rPr>
      <w:rFonts w:ascii="Arial" w:hAnsi="Arial" w:eastAsia="黑体"/>
      <w:kern w:val="2"/>
      <w:sz w:val="21"/>
      <w:szCs w:val="21"/>
    </w:rPr>
  </w:style>
  <w:style w:type="character" w:customStyle="1" w:styleId="240">
    <w:name w:val="font01"/>
    <w:qFormat/>
    <w:uiPriority w:val="0"/>
    <w:rPr>
      <w:rFonts w:ascii="微软雅黑" w:hAnsi="微软雅黑" w:eastAsia="微软雅黑" w:cs="微软雅黑"/>
      <w:color w:val="000000"/>
      <w:sz w:val="20"/>
      <w:szCs w:val="20"/>
      <w:u w:val="none"/>
    </w:rPr>
  </w:style>
  <w:style w:type="character" w:customStyle="1" w:styleId="241">
    <w:name w:val="Char Char20"/>
    <w:qFormat/>
    <w:uiPriority w:val="0"/>
    <w:rPr>
      <w:kern w:val="2"/>
      <w:sz w:val="24"/>
    </w:rPr>
  </w:style>
  <w:style w:type="character" w:customStyle="1" w:styleId="242">
    <w:name w:val="tw4winExternal"/>
    <w:qFormat/>
    <w:uiPriority w:val="0"/>
    <w:rPr>
      <w:rFonts w:ascii="Courier New" w:hAnsi="Courier New" w:cs="Courier New"/>
      <w:color w:val="808080"/>
      <w:lang w:val="en-US" w:eastAsia="zh-CN"/>
    </w:rPr>
  </w:style>
  <w:style w:type="character" w:customStyle="1" w:styleId="243">
    <w:name w:val="标题 4 Char1"/>
    <w:qFormat/>
    <w:uiPriority w:val="0"/>
    <w:rPr>
      <w:rFonts w:ascii="Cambria" w:hAnsi="Cambria" w:eastAsia="宋体" w:cs="Times New Roman"/>
      <w:b/>
      <w:bCs/>
      <w:kern w:val="2"/>
      <w:sz w:val="28"/>
      <w:szCs w:val="28"/>
    </w:rPr>
  </w:style>
  <w:style w:type="character" w:customStyle="1" w:styleId="244">
    <w:name w:val="批注文字 Char2"/>
    <w:qFormat/>
    <w:uiPriority w:val="0"/>
    <w:rPr>
      <w:rFonts w:ascii="Times New Roman" w:hAnsi="Times New Roman" w:eastAsia="宋体" w:cs="Times New Roman"/>
      <w:snapToGrid w:val="0"/>
      <w:kern w:val="0"/>
      <w:szCs w:val="24"/>
    </w:rPr>
  </w:style>
  <w:style w:type="character" w:customStyle="1" w:styleId="245">
    <w:name w:val="正文文本 2 Char"/>
    <w:qFormat/>
    <w:uiPriority w:val="0"/>
    <w:rPr>
      <w:rFonts w:eastAsia="宋体"/>
      <w:kern w:val="2"/>
      <w:sz w:val="21"/>
      <w:szCs w:val="24"/>
      <w:lang w:val="en-US" w:eastAsia="zh-CN" w:bidi="ar-SA"/>
    </w:rPr>
  </w:style>
  <w:style w:type="character" w:customStyle="1" w:styleId="246">
    <w:name w:val="Ò³Ã¼ Char Char"/>
    <w:qFormat/>
    <w:uiPriority w:val="0"/>
    <w:rPr>
      <w:rFonts w:eastAsia="宋体"/>
      <w:kern w:val="2"/>
      <w:sz w:val="18"/>
      <w:lang w:val="en-US" w:eastAsia="zh-CN" w:bidi="ar-SA"/>
    </w:rPr>
  </w:style>
  <w:style w:type="character" w:customStyle="1" w:styleId="247">
    <w:name w:val="message1"/>
    <w:qFormat/>
    <w:uiPriority w:val="0"/>
    <w:rPr>
      <w:rFonts w:ascii="Tahoma" w:hAnsi="Tahoma" w:cs="Tahoma"/>
      <w:sz w:val="18"/>
      <w:szCs w:val="18"/>
    </w:rPr>
  </w:style>
  <w:style w:type="character" w:customStyle="1" w:styleId="248">
    <w:name w:val="Char Char23"/>
    <w:qFormat/>
    <w:uiPriority w:val="0"/>
    <w:rPr>
      <w:color w:val="0000FF"/>
      <w:sz w:val="21"/>
    </w:rPr>
  </w:style>
  <w:style w:type="character" w:customStyle="1" w:styleId="249">
    <w:name w:val="批注框文本 字符"/>
    <w:qFormat/>
    <w:uiPriority w:val="0"/>
    <w:rPr>
      <w:rFonts w:ascii="Arial" w:hAnsi="Arial" w:eastAsia="黑体" w:cs="Arial"/>
      <w:snapToGrid w:val="0"/>
      <w:kern w:val="0"/>
      <w:sz w:val="18"/>
      <w:szCs w:val="18"/>
    </w:rPr>
  </w:style>
  <w:style w:type="character" w:customStyle="1" w:styleId="250">
    <w:name w:val="纯文本 Char2"/>
    <w:qFormat/>
    <w:uiPriority w:val="0"/>
    <w:rPr>
      <w:rFonts w:ascii="宋体" w:hAnsi="Courier New" w:eastAsia="宋体" w:cs="Courier New"/>
    </w:rPr>
  </w:style>
  <w:style w:type="character" w:customStyle="1" w:styleId="251">
    <w:name w:val="Char Char25"/>
    <w:qFormat/>
    <w:uiPriority w:val="0"/>
    <w:rPr>
      <w:rFonts w:ascii="宋体" w:hAnsi="宋体"/>
      <w:kern w:val="2"/>
      <w:sz w:val="24"/>
      <w:lang w:val="zh-CN"/>
    </w:rPr>
  </w:style>
  <w:style w:type="character" w:customStyle="1" w:styleId="252">
    <w:name w:val="Char Char411"/>
    <w:qFormat/>
    <w:uiPriority w:val="0"/>
    <w:rPr>
      <w:rFonts w:eastAsia="宋体"/>
      <w:b/>
      <w:sz w:val="24"/>
      <w:lang w:val="en-GB" w:eastAsia="zh-CN" w:bidi="ar-SA"/>
    </w:rPr>
  </w:style>
  <w:style w:type="character" w:customStyle="1" w:styleId="253">
    <w:name w:val="Heading 7 Char"/>
    <w:qFormat/>
    <w:locked/>
    <w:uiPriority w:val="0"/>
    <w:rPr>
      <w:rFonts w:ascii="宋体" w:hAnsi="宋体" w:eastAsia="宋体"/>
      <w:b/>
      <w:bCs/>
      <w:kern w:val="2"/>
      <w:sz w:val="24"/>
      <w:szCs w:val="24"/>
      <w:lang w:val="en-US" w:eastAsia="zh-CN" w:bidi="ar-SA"/>
    </w:rPr>
  </w:style>
  <w:style w:type="paragraph" w:customStyle="1" w:styleId="254">
    <w:name w:val="此正文"/>
    <w:basedOn w:val="1"/>
    <w:qFormat/>
    <w:uiPriority w:val="0"/>
    <w:pPr>
      <w:adjustRightInd/>
      <w:spacing w:line="360" w:lineRule="auto"/>
      <w:ind w:firstLine="200" w:firstLineChars="200"/>
    </w:pPr>
    <w:rPr>
      <w:sz w:val="24"/>
    </w:rPr>
  </w:style>
  <w:style w:type="character" w:customStyle="1" w:styleId="255">
    <w:name w:val="Char Char2"/>
    <w:qFormat/>
    <w:uiPriority w:val="0"/>
    <w:rPr>
      <w:rFonts w:eastAsia="宋体"/>
      <w:b/>
      <w:bCs/>
      <w:kern w:val="2"/>
      <w:sz w:val="21"/>
      <w:szCs w:val="24"/>
      <w:lang w:val="en-US" w:eastAsia="zh-CN" w:bidi="ar-SA"/>
    </w:rPr>
  </w:style>
  <w:style w:type="character" w:customStyle="1" w:styleId="256">
    <w:name w:val="Footer-Even Char1"/>
    <w:qFormat/>
    <w:uiPriority w:val="0"/>
    <w:rPr>
      <w:rFonts w:eastAsia="宋体"/>
      <w:kern w:val="2"/>
      <w:sz w:val="18"/>
      <w:szCs w:val="18"/>
      <w:lang w:val="en-US" w:eastAsia="zh-CN" w:bidi="ar-SA"/>
    </w:rPr>
  </w:style>
  <w:style w:type="character" w:customStyle="1" w:styleId="257">
    <w:name w:val="Char Char29"/>
    <w:qFormat/>
    <w:uiPriority w:val="0"/>
    <w:rPr>
      <w:rFonts w:ascii="Arial" w:hAnsi="Arial" w:eastAsia="微软雅黑"/>
      <w:b/>
      <w:kern w:val="2"/>
      <w:sz w:val="44"/>
      <w:szCs w:val="32"/>
      <w:lang w:val="en-US" w:eastAsia="zh-CN" w:bidi="ar-SA"/>
    </w:rPr>
  </w:style>
  <w:style w:type="character" w:customStyle="1" w:styleId="258">
    <w:name w:val="font81"/>
    <w:qFormat/>
    <w:uiPriority w:val="0"/>
    <w:rPr>
      <w:rFonts w:ascii="微软雅黑" w:hAnsi="微软雅黑" w:eastAsia="微软雅黑" w:cs="微软雅黑"/>
      <w:color w:val="000000"/>
      <w:sz w:val="20"/>
      <w:szCs w:val="20"/>
      <w:u w:val="none"/>
    </w:rPr>
  </w:style>
  <w:style w:type="character" w:customStyle="1" w:styleId="259">
    <w:name w:val="Char Char312"/>
    <w:qFormat/>
    <w:uiPriority w:val="0"/>
    <w:rPr>
      <w:rFonts w:ascii="Times New Roman" w:hAnsi="Times New Roman" w:eastAsia="宋体" w:cs="Times New Roman"/>
      <w:b/>
      <w:kern w:val="2"/>
      <w:sz w:val="32"/>
      <w:szCs w:val="24"/>
      <w:lang w:val="en-US" w:eastAsia="zh-CN" w:bidi="ar-SA"/>
    </w:rPr>
  </w:style>
  <w:style w:type="character" w:customStyle="1" w:styleId="260">
    <w:name w:val="t21"/>
    <w:qFormat/>
    <w:uiPriority w:val="0"/>
    <w:rPr>
      <w:rFonts w:ascii="仿宋_GB2312" w:hAnsi="仿宋_GB2312" w:eastAsia="微软雅黑"/>
      <w:b/>
      <w:kern w:val="2"/>
      <w:sz w:val="23"/>
      <w:szCs w:val="23"/>
      <w:lang w:val="en-US" w:eastAsia="zh-CN" w:bidi="ar-SA"/>
    </w:rPr>
  </w:style>
  <w:style w:type="character" w:customStyle="1" w:styleId="261">
    <w:name w:val="样式8 Char"/>
    <w:qFormat/>
    <w:uiPriority w:val="0"/>
    <w:rPr>
      <w:rFonts w:ascii="仿宋_GB2312" w:hAnsi="宋体" w:eastAsia="仿宋_GB2312"/>
      <w:b/>
      <w:bCs/>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正文文本 字符1"/>
    <w:qFormat/>
    <w:uiPriority w:val="0"/>
    <w:rPr>
      <w:rFonts w:ascii="Calibri" w:hAnsi="Calibri" w:eastAsia="黑体" w:cs="Arial"/>
      <w:snapToGrid w:val="0"/>
      <w:kern w:val="2"/>
      <w:sz w:val="28"/>
      <w:szCs w:val="21"/>
    </w:rPr>
  </w:style>
  <w:style w:type="character" w:customStyle="1" w:styleId="264">
    <w:name w:val="标题 6 Char1"/>
    <w:qFormat/>
    <w:uiPriority w:val="0"/>
    <w:rPr>
      <w:rFonts w:ascii="Arial" w:hAnsi="Arial" w:eastAsia="黑体" w:cs="Times New Roman"/>
      <w:b/>
      <w:sz w:val="24"/>
      <w:szCs w:val="20"/>
      <w:lang w:bidi="ar-SA"/>
    </w:rPr>
  </w:style>
  <w:style w:type="character" w:customStyle="1" w:styleId="265">
    <w:name w:val="带编号样式 Char"/>
    <w:qFormat/>
    <w:uiPriority w:val="0"/>
    <w:rPr>
      <w:rFonts w:ascii="仿宋_GB2312" w:eastAsia="仿宋_GB2312"/>
      <w:color w:val="000000"/>
      <w:sz w:val="24"/>
      <w:lang w:bidi="ar-SA"/>
    </w:rPr>
  </w:style>
  <w:style w:type="character" w:customStyle="1" w:styleId="266">
    <w:name w:val="unnamed31"/>
    <w:qFormat/>
    <w:uiPriority w:val="0"/>
    <w:rPr>
      <w:rFonts w:ascii="Tahoma" w:hAnsi="Tahoma" w:eastAsia="宋体"/>
      <w:b/>
      <w:kern w:val="2"/>
      <w:sz w:val="24"/>
      <w:szCs w:val="32"/>
      <w:u w:val="none"/>
      <w:lang w:val="en-US" w:eastAsia="zh-CN" w:bidi="ar-SA"/>
    </w:rPr>
  </w:style>
  <w:style w:type="character" w:customStyle="1" w:styleId="267">
    <w:name w:val="正文首行缩进 Char Char Char Char Char Char1"/>
    <w:qFormat/>
    <w:uiPriority w:val="0"/>
    <w:rPr>
      <w:rFonts w:ascii="宋体" w:eastAsia="宋体"/>
      <w:kern w:val="2"/>
      <w:sz w:val="24"/>
      <w:szCs w:val="24"/>
      <w:lang w:val="zh-CN" w:bidi="ar-SA"/>
    </w:rPr>
  </w:style>
  <w:style w:type="character" w:customStyle="1" w:styleId="268">
    <w:name w:val="文本正文 Char Char"/>
    <w:qFormat/>
    <w:locked/>
    <w:uiPriority w:val="0"/>
    <w:rPr>
      <w:sz w:val="24"/>
      <w:lang w:bidi="ar-SA"/>
    </w:rPr>
  </w:style>
  <w:style w:type="character" w:customStyle="1" w:styleId="269">
    <w:name w:val="正文缩进 字符"/>
    <w:qFormat/>
    <w:uiPriority w:val="0"/>
    <w:rPr>
      <w:rFonts w:ascii="宋体" w:eastAsia="宋体"/>
      <w:snapToGrid w:val="0"/>
      <w:color w:val="000000"/>
      <w:kern w:val="28"/>
      <w:sz w:val="28"/>
      <w:lang w:val="en-US" w:eastAsia="zh-CN" w:bidi="ar-SA"/>
    </w:rPr>
  </w:style>
  <w:style w:type="paragraph" w:customStyle="1" w:styleId="270">
    <w:name w:val="样式 标题 4h4H4Fab-4T5Ref Heading 1rh1Heading sqlsect 1.2.3...."/>
    <w:basedOn w:val="7"/>
    <w:qFormat/>
    <w:uiPriority w:val="0"/>
    <w:pPr>
      <w:tabs>
        <w:tab w:val="left" w:pos="2356"/>
        <w:tab w:val="clear" w:pos="864"/>
      </w:tabs>
      <w:adjustRightInd/>
      <w:spacing w:line="360" w:lineRule="auto"/>
      <w:ind w:left="75" w:leftChars="75" w:firstLine="200" w:firstLineChars="200"/>
    </w:pPr>
    <w:rPr>
      <w:rFonts w:ascii="微软雅黑" w:hAnsi="微软雅黑" w:eastAsia="微软雅黑"/>
      <w:sz w:val="24"/>
    </w:rPr>
  </w:style>
  <w:style w:type="paragraph" w:customStyle="1" w:styleId="271">
    <w:name w:val="样式 样式 标题 4h4H4Fab-4T5Ref Heading 1rh1Heading sqlsect 1.2.3.... +..."/>
    <w:basedOn w:val="270"/>
    <w:qFormat/>
    <w:uiPriority w:val="0"/>
  </w:style>
  <w:style w:type="character" w:customStyle="1" w:styleId="272">
    <w:name w:val="正文非缩进 Char"/>
    <w:qFormat/>
    <w:uiPriority w:val="0"/>
    <w:rPr>
      <w:rFonts w:ascii="宋体" w:eastAsia="宋体"/>
      <w:snapToGrid w:val="0"/>
      <w:color w:val="000000"/>
      <w:kern w:val="28"/>
      <w:sz w:val="28"/>
      <w:lang w:val="en-US" w:eastAsia="zh-CN" w:bidi="ar-SA"/>
    </w:rPr>
  </w:style>
  <w:style w:type="character" w:customStyle="1" w:styleId="273">
    <w:name w:val="Char Char5"/>
    <w:qFormat/>
    <w:uiPriority w:val="0"/>
    <w:rPr>
      <w:rFonts w:ascii="宋体" w:hAnsi="Courier New" w:eastAsia="宋体"/>
      <w:kern w:val="2"/>
      <w:sz w:val="21"/>
      <w:lang w:val="en-US" w:eastAsia="zh-CN"/>
    </w:rPr>
  </w:style>
  <w:style w:type="character" w:customStyle="1" w:styleId="274">
    <w:name w:val="称呼 Char1"/>
    <w:qFormat/>
    <w:uiPriority w:val="0"/>
    <w:rPr>
      <w:rFonts w:ascii="Times New Roman" w:hAnsi="Times New Roman" w:eastAsia="宋体" w:cs="Times New Roman"/>
      <w:szCs w:val="24"/>
    </w:rPr>
  </w:style>
  <w:style w:type="character" w:customStyle="1" w:styleId="275">
    <w:name w:val="正文1 Char"/>
    <w:qFormat/>
    <w:uiPriority w:val="0"/>
    <w:rPr>
      <w:rFonts w:ascii="宋体" w:eastAsia="宋体"/>
      <w:snapToGrid w:val="0"/>
      <w:color w:val="000000"/>
      <w:kern w:val="28"/>
      <w:sz w:val="28"/>
      <w:lang w:val="en-US" w:eastAsia="zh-CN" w:bidi="ar-SA"/>
    </w:rPr>
  </w:style>
  <w:style w:type="character" w:customStyle="1" w:styleId="276">
    <w:name w:val="正文缩进 Char1"/>
    <w:qFormat/>
    <w:uiPriority w:val="0"/>
    <w:rPr>
      <w:rFonts w:ascii="宋体" w:eastAsia="宋体"/>
      <w:snapToGrid w:val="0"/>
      <w:color w:val="000000"/>
      <w:kern w:val="28"/>
      <w:sz w:val="28"/>
      <w:lang w:val="en-US" w:eastAsia="zh-CN" w:bidi="ar-SA"/>
    </w:rPr>
  </w:style>
  <w:style w:type="character" w:customStyle="1" w:styleId="277">
    <w:name w:val="font21"/>
    <w:qFormat/>
    <w:uiPriority w:val="0"/>
    <w:rPr>
      <w:rFonts w:ascii="宋体" w:hAnsi="宋体" w:eastAsia="宋体"/>
      <w:kern w:val="2"/>
      <w:sz w:val="28"/>
      <w:szCs w:val="28"/>
      <w:lang w:val="en-US" w:eastAsia="zh-CN" w:bidi="ar-SA"/>
    </w:rPr>
  </w:style>
  <w:style w:type="character" w:customStyle="1" w:styleId="278">
    <w:name w:val="Char Char26"/>
    <w:qFormat/>
    <w:uiPriority w:val="0"/>
    <w:rPr>
      <w:kern w:val="2"/>
      <w:sz w:val="21"/>
      <w:szCs w:val="24"/>
    </w:rPr>
  </w:style>
  <w:style w:type="paragraph" w:customStyle="1" w:styleId="279">
    <w:name w:val="Item List"/>
    <w:qFormat/>
    <w:uiPriority w:val="0"/>
    <w:pPr>
      <w:spacing w:after="156" w:line="360" w:lineRule="auto"/>
      <w:ind w:firstLine="202" w:firstLineChars="202"/>
      <w:jc w:val="both"/>
    </w:pPr>
    <w:rPr>
      <w:rFonts w:ascii="Arial" w:hAnsi="Times New Roman" w:eastAsia="宋体" w:cs="Times New Roman"/>
      <w:bCs/>
      <w:sz w:val="21"/>
      <w:szCs w:val="21"/>
      <w:lang w:val="en-US" w:eastAsia="zh-CN" w:bidi="ar-SA"/>
    </w:rPr>
  </w:style>
  <w:style w:type="character" w:customStyle="1" w:styleId="280">
    <w:name w:val="批注框文本 Char1"/>
    <w:qFormat/>
    <w:uiPriority w:val="0"/>
    <w:rPr>
      <w:rFonts w:ascii="Times New Roman" w:hAnsi="Times New Roman" w:eastAsia="宋体" w:cs="Times New Roman"/>
      <w:sz w:val="18"/>
      <w:szCs w:val="18"/>
    </w:rPr>
  </w:style>
  <w:style w:type="paragraph" w:customStyle="1" w:styleId="281">
    <w:name w:val="纯文本1"/>
    <w:basedOn w:val="1"/>
    <w:qFormat/>
    <w:uiPriority w:val="0"/>
    <w:pPr>
      <w:adjustRightInd/>
    </w:pPr>
    <w:rPr>
      <w:rFonts w:ascii="宋体" w:hAnsi="Courier New"/>
      <w:kern w:val="0"/>
      <w:sz w:val="20"/>
      <w:szCs w:val="20"/>
    </w:rPr>
  </w:style>
  <w:style w:type="character" w:customStyle="1" w:styleId="282">
    <w:name w:val="h3 Char"/>
    <w:qFormat/>
    <w:uiPriority w:val="0"/>
    <w:rPr>
      <w:rFonts w:eastAsia="宋体"/>
      <w:b/>
      <w:kern w:val="2"/>
      <w:sz w:val="32"/>
      <w:lang w:val="en-US" w:eastAsia="zh-CN" w:bidi="ar-SA"/>
    </w:rPr>
  </w:style>
  <w:style w:type="character" w:customStyle="1" w:styleId="283">
    <w:name w:val="dandyren_title1"/>
    <w:qFormat/>
    <w:uiPriority w:val="0"/>
    <w:rPr>
      <w:b/>
      <w:bCs/>
      <w:color w:val="FF6633"/>
      <w:sz w:val="18"/>
      <w:szCs w:val="18"/>
    </w:rPr>
  </w:style>
  <w:style w:type="character" w:customStyle="1" w:styleId="284">
    <w:name w:val="Char Char31"/>
    <w:qFormat/>
    <w:uiPriority w:val="0"/>
    <w:rPr>
      <w:rFonts w:ascii="Arial" w:hAnsi="Arial" w:eastAsia="黑体"/>
      <w:kern w:val="2"/>
      <w:sz w:val="24"/>
      <w:szCs w:val="24"/>
    </w:rPr>
  </w:style>
  <w:style w:type="character" w:customStyle="1" w:styleId="285">
    <w:name w:val="h Char1"/>
    <w:qFormat/>
    <w:uiPriority w:val="0"/>
    <w:rPr>
      <w:sz w:val="18"/>
      <w:szCs w:val="18"/>
    </w:rPr>
  </w:style>
  <w:style w:type="character" w:customStyle="1" w:styleId="286">
    <w:name w:val="solutionfonts"/>
    <w:qFormat/>
    <w:uiPriority w:val="0"/>
  </w:style>
  <w:style w:type="character" w:customStyle="1" w:styleId="287">
    <w:name w:val="首行缩进 Char"/>
    <w:qFormat/>
    <w:uiPriority w:val="0"/>
    <w:rPr>
      <w:rFonts w:ascii="宋体" w:eastAsia="宋体"/>
      <w:kern w:val="2"/>
      <w:sz w:val="24"/>
      <w:lang w:val="en-US" w:eastAsia="zh-CN" w:bidi="ar-SA"/>
    </w:rPr>
  </w:style>
  <w:style w:type="character" w:customStyle="1" w:styleId="288">
    <w:name w:val="Char Char52"/>
    <w:qFormat/>
    <w:uiPriority w:val="0"/>
    <w:rPr>
      <w:rFonts w:ascii="宋体" w:hAnsi="Courier New" w:eastAsia="宋体"/>
      <w:kern w:val="2"/>
      <w:sz w:val="21"/>
      <w:lang w:val="en-US" w:eastAsia="zh-CN"/>
    </w:rPr>
  </w:style>
  <w:style w:type="character" w:customStyle="1" w:styleId="289">
    <w:name w:val="font31"/>
    <w:qFormat/>
    <w:uiPriority w:val="0"/>
    <w:rPr>
      <w:rFonts w:ascii="仿宋" w:hAnsi="仿宋" w:eastAsia="仿宋" w:cs="仿宋"/>
      <w:color w:val="000000"/>
      <w:sz w:val="20"/>
      <w:szCs w:val="20"/>
      <w:u w:val="none"/>
    </w:rPr>
  </w:style>
  <w:style w:type="paragraph" w:customStyle="1" w:styleId="290">
    <w:name w:val="正文说明"/>
    <w:basedOn w:val="1"/>
    <w:qFormat/>
    <w:uiPriority w:val="0"/>
    <w:pPr>
      <w:adjustRightInd/>
      <w:spacing w:line="360" w:lineRule="auto"/>
    </w:pPr>
    <w:rPr>
      <w:kern w:val="0"/>
      <w:sz w:val="24"/>
    </w:rPr>
  </w:style>
  <w:style w:type="character" w:customStyle="1" w:styleId="291">
    <w:name w:val="脚注文本 Char1"/>
    <w:qFormat/>
    <w:uiPriority w:val="0"/>
    <w:rPr>
      <w:rFonts w:ascii="Times New Roman" w:hAnsi="Times New Roman" w:eastAsia="宋体" w:cs="Times New Roman"/>
      <w:sz w:val="18"/>
      <w:szCs w:val="18"/>
    </w:rPr>
  </w:style>
  <w:style w:type="character" w:customStyle="1" w:styleId="292">
    <w:name w:val="Char Char1211"/>
    <w:qFormat/>
    <w:uiPriority w:val="0"/>
    <w:rPr>
      <w:rFonts w:ascii="仿宋_GB2312" w:eastAsia="仿宋_GB2312"/>
      <w:b/>
      <w:bCs/>
      <w:kern w:val="2"/>
      <w:sz w:val="24"/>
      <w:szCs w:val="24"/>
      <w:lang w:val="zh-CN" w:eastAsia="zh-CN" w:bidi="ar-SA"/>
    </w:rPr>
  </w:style>
  <w:style w:type="character" w:customStyle="1" w:styleId="293">
    <w:name w:val="标题 Char"/>
    <w:qFormat/>
    <w:uiPriority w:val="0"/>
    <w:rPr>
      <w:rFonts w:eastAsia="宋体"/>
      <w:b/>
      <w:sz w:val="24"/>
      <w:lang w:val="en-GB" w:eastAsia="zh-CN" w:bidi="ar-SA"/>
    </w:rPr>
  </w:style>
  <w:style w:type="character" w:customStyle="1" w:styleId="294">
    <w:name w:val="Char Char35"/>
    <w:qFormat/>
    <w:uiPriority w:val="0"/>
    <w:rPr>
      <w:rFonts w:ascii="Arial" w:hAnsi="Arial" w:eastAsia="黑体"/>
      <w:b/>
      <w:kern w:val="2"/>
      <w:sz w:val="28"/>
      <w:szCs w:val="28"/>
      <w:lang w:val="zh-CN"/>
    </w:rPr>
  </w:style>
  <w:style w:type="character" w:customStyle="1" w:styleId="295">
    <w:name w:val="纯文本 Char Char Char"/>
    <w:qFormat/>
    <w:uiPriority w:val="0"/>
    <w:rPr>
      <w:rFonts w:ascii="宋体" w:hAnsi="Courier New" w:eastAsia="宋体"/>
      <w:kern w:val="2"/>
      <w:sz w:val="21"/>
      <w:lang w:val="en-US" w:eastAsia="zh-CN" w:bidi="ar-SA"/>
    </w:rPr>
  </w:style>
  <w:style w:type="paragraph" w:customStyle="1" w:styleId="296">
    <w:name w:val="Table Text"/>
    <w:basedOn w:val="1"/>
    <w:qFormat/>
    <w:uiPriority w:val="0"/>
    <w:pPr>
      <w:widowControl/>
      <w:spacing w:before="60" w:after="60"/>
      <w:jc w:val="left"/>
    </w:pPr>
    <w:rPr>
      <w:kern w:val="0"/>
      <w:sz w:val="24"/>
    </w:rPr>
  </w:style>
  <w:style w:type="character" w:customStyle="1" w:styleId="297">
    <w:name w:val="正文1 Char1"/>
    <w:qFormat/>
    <w:uiPriority w:val="0"/>
    <w:rPr>
      <w:rFonts w:ascii="仿宋_GB2312" w:hAnsi="Courier New" w:eastAsia="仿宋_GB2312"/>
      <w:kern w:val="28"/>
      <w:sz w:val="24"/>
      <w:szCs w:val="24"/>
      <w:lang w:val="en-US" w:eastAsia="zh-CN"/>
    </w:rPr>
  </w:style>
  <w:style w:type="character" w:customStyle="1" w:styleId="298">
    <w:name w:val="页脚 Char1"/>
    <w:qFormat/>
    <w:uiPriority w:val="0"/>
    <w:rPr>
      <w:rFonts w:eastAsia="宋体"/>
      <w:kern w:val="2"/>
      <w:sz w:val="18"/>
      <w:szCs w:val="18"/>
      <w:lang w:val="en-US" w:eastAsia="zh-CN" w:bidi="ar-SA"/>
    </w:rPr>
  </w:style>
  <w:style w:type="character" w:customStyle="1" w:styleId="299">
    <w:name w:val="Bold"/>
    <w:qFormat/>
    <w:uiPriority w:val="0"/>
    <w:rPr>
      <w:rFonts w:ascii="Arial" w:hAnsi="Arial" w:eastAsia="黑体" w:cs="Times New Roman"/>
      <w:b/>
      <w:kern w:val="2"/>
      <w:sz w:val="32"/>
      <w:szCs w:val="32"/>
      <w:lang w:val="en-US" w:eastAsia="zh-CN" w:bidi="ar-SA"/>
    </w:rPr>
  </w:style>
  <w:style w:type="character" w:customStyle="1" w:styleId="300">
    <w:name w:val="hui3"/>
    <w:qFormat/>
    <w:uiPriority w:val="0"/>
    <w:rPr>
      <w:color w:val="333333"/>
    </w:rPr>
  </w:style>
  <w:style w:type="character" w:customStyle="1" w:styleId="301">
    <w:name w:val="Char Char17"/>
    <w:qFormat/>
    <w:uiPriority w:val="0"/>
    <w:rPr>
      <w:rFonts w:eastAsia="仿宋_GB2312"/>
      <w:sz w:val="24"/>
    </w:rPr>
  </w:style>
  <w:style w:type="character" w:customStyle="1" w:styleId="302">
    <w:name w:val="Char Char37"/>
    <w:qFormat/>
    <w:uiPriority w:val="0"/>
    <w:rPr>
      <w:b/>
      <w:kern w:val="2"/>
      <w:sz w:val="44"/>
      <w:szCs w:val="44"/>
    </w:rPr>
  </w:style>
  <w:style w:type="character" w:customStyle="1" w:styleId="303">
    <w:name w:val="列出段落 Char"/>
    <w:qFormat/>
    <w:uiPriority w:val="0"/>
    <w:rPr>
      <w:rFonts w:eastAsia="楷体_GB2312" w:cs="Lucida Sans"/>
      <w:kern w:val="2"/>
      <w:sz w:val="24"/>
      <w:szCs w:val="24"/>
      <w:lang w:val="en-US" w:eastAsia="zh-CN" w:bidi="ar-SA"/>
    </w:rPr>
  </w:style>
  <w:style w:type="character" w:customStyle="1" w:styleId="304">
    <w:name w:val="正文文本缩进 3 Char1"/>
    <w:qFormat/>
    <w:uiPriority w:val="0"/>
    <w:rPr>
      <w:rFonts w:ascii="Times New Roman" w:hAnsi="Times New Roman" w:eastAsia="宋体" w:cs="Times New Roman"/>
      <w:sz w:val="16"/>
      <w:szCs w:val="16"/>
    </w:rPr>
  </w:style>
  <w:style w:type="paragraph" w:customStyle="1" w:styleId="305">
    <w:name w:val="公文正文"/>
    <w:basedOn w:val="1"/>
    <w:qFormat/>
    <w:uiPriority w:val="0"/>
    <w:pPr>
      <w:adjustRightInd/>
      <w:spacing w:before="156" w:line="360" w:lineRule="auto"/>
      <w:ind w:firstLine="200" w:firstLineChars="200"/>
    </w:pPr>
    <w:rPr>
      <w:rFonts w:ascii="仿宋_GB2312" w:eastAsia="仿宋_GB2312"/>
      <w:sz w:val="24"/>
    </w:rPr>
  </w:style>
  <w:style w:type="character" w:customStyle="1" w:styleId="306">
    <w:name w:val="Table Text Char1"/>
    <w:qFormat/>
    <w:uiPriority w:val="0"/>
    <w:rPr>
      <w:rFonts w:eastAsia="宋体"/>
      <w:sz w:val="24"/>
      <w:szCs w:val="24"/>
      <w:lang w:val="en-US" w:eastAsia="zh-CN" w:bidi="ar-SA"/>
    </w:rPr>
  </w:style>
  <w:style w:type="character" w:customStyle="1" w:styleId="307">
    <w:name w:val="标题 1 Char Char"/>
    <w:qFormat/>
    <w:uiPriority w:val="0"/>
    <w:rPr>
      <w:rFonts w:ascii="宋体" w:hAnsi="宋体" w:eastAsia="宋体"/>
      <w:b/>
      <w:spacing w:val="-2"/>
      <w:sz w:val="24"/>
      <w:lang w:val="en-US" w:eastAsia="zh-CN" w:bidi="ar-SA"/>
    </w:rPr>
  </w:style>
  <w:style w:type="paragraph" w:customStyle="1" w:styleId="308">
    <w:name w:val="正文（缩进2汉字）"/>
    <w:basedOn w:val="1"/>
    <w:qFormat/>
    <w:uiPriority w:val="0"/>
    <w:pPr>
      <w:tabs>
        <w:tab w:val="left" w:pos="525"/>
      </w:tabs>
      <w:adjustRightInd/>
      <w:spacing w:before="100" w:beforeAutospacing="1" w:after="100" w:afterAutospacing="1"/>
      <w:ind w:left="50" w:leftChars="50" w:firstLine="206" w:firstLineChars="206"/>
    </w:pPr>
    <w:rPr>
      <w:rFonts w:ascii="宋体"/>
      <w:kern w:val="0"/>
      <w:sz w:val="20"/>
      <w:szCs w:val="20"/>
    </w:rPr>
  </w:style>
  <w:style w:type="character" w:customStyle="1" w:styleId="309">
    <w:name w:val="标书表格字体格式 Char"/>
    <w:qFormat/>
    <w:uiPriority w:val="0"/>
    <w:rPr>
      <w:kern w:val="2"/>
      <w:sz w:val="21"/>
      <w:szCs w:val="24"/>
      <w:lang w:bidi="ar-SA"/>
    </w:rPr>
  </w:style>
  <w:style w:type="character" w:customStyle="1" w:styleId="310">
    <w:name w:val="tw4winError"/>
    <w:qFormat/>
    <w:uiPriority w:val="0"/>
    <w:rPr>
      <w:rFonts w:ascii="Courier New" w:hAnsi="Courier New" w:cs="Courier New"/>
      <w:color w:val="00FF00"/>
      <w:sz w:val="40"/>
      <w:szCs w:val="40"/>
    </w:rPr>
  </w:style>
  <w:style w:type="character" w:customStyle="1" w:styleId="311">
    <w:name w:val="Body Text(ch) Char Char"/>
    <w:qFormat/>
    <w:uiPriority w:val="0"/>
    <w:rPr>
      <w:rFonts w:ascii="宋体" w:hAnsi="宋体"/>
      <w:kern w:val="2"/>
      <w:sz w:val="24"/>
      <w:szCs w:val="21"/>
      <w:lang w:val="zh-CN"/>
    </w:rPr>
  </w:style>
  <w:style w:type="character" w:customStyle="1" w:styleId="312">
    <w:name w:val="正文首行缩进两字 Char"/>
    <w:qFormat/>
    <w:uiPriority w:val="0"/>
    <w:rPr>
      <w:sz w:val="24"/>
      <w:szCs w:val="24"/>
      <w:lang w:val="en-US" w:eastAsia="zh-CN" w:bidi="ar-SA"/>
    </w:rPr>
  </w:style>
  <w:style w:type="character" w:customStyle="1" w:styleId="313">
    <w:name w:val="正文文本 Char"/>
    <w:qFormat/>
    <w:uiPriority w:val="0"/>
    <w:rPr>
      <w:rFonts w:eastAsia="宋体"/>
      <w:kern w:val="2"/>
      <w:sz w:val="24"/>
      <w:szCs w:val="24"/>
      <w:lang w:val="en-US" w:eastAsia="zh-CN" w:bidi="ar-SA"/>
    </w:rPr>
  </w:style>
  <w:style w:type="character" w:customStyle="1" w:styleId="314">
    <w:name w:val="文档结构图 字符1"/>
    <w:qFormat/>
    <w:uiPriority w:val="0"/>
    <w:rPr>
      <w:rFonts w:ascii="宋体" w:hAnsi="Calibri" w:eastAsia="黑体" w:cs="Arial"/>
      <w:snapToGrid w:val="0"/>
      <w:kern w:val="2"/>
      <w:sz w:val="18"/>
      <w:szCs w:val="18"/>
    </w:rPr>
  </w:style>
  <w:style w:type="character" w:customStyle="1" w:styleId="315">
    <w:name w:val="content"/>
    <w:qFormat/>
    <w:uiPriority w:val="0"/>
  </w:style>
  <w:style w:type="character" w:customStyle="1" w:styleId="316">
    <w:name w:val="tw4winPopup"/>
    <w:qFormat/>
    <w:uiPriority w:val="0"/>
    <w:rPr>
      <w:rFonts w:ascii="Courier New" w:hAnsi="Courier New" w:cs="Courier New"/>
      <w:color w:val="008000"/>
      <w:lang w:val="en-US" w:eastAsia="zh-CN"/>
    </w:rPr>
  </w:style>
  <w:style w:type="character" w:customStyle="1" w:styleId="317">
    <w:name w:val="param-name"/>
    <w:qFormat/>
    <w:uiPriority w:val="0"/>
    <w:rPr>
      <w:rFonts w:ascii="Arial" w:hAnsi="Arial" w:eastAsia="黑体" w:cs="Arial"/>
      <w:snapToGrid w:val="0"/>
      <w:kern w:val="0"/>
      <w:szCs w:val="21"/>
    </w:rPr>
  </w:style>
  <w:style w:type="character" w:customStyle="1" w:styleId="318">
    <w:name w:val="标准正文格式 Char"/>
    <w:qFormat/>
    <w:uiPriority w:val="0"/>
    <w:rPr>
      <w:rFonts w:ascii="宋体" w:hAnsi="宋体" w:eastAsia="仿宋_GB2312" w:cs="宋体"/>
      <w:color w:val="000000"/>
      <w:sz w:val="24"/>
      <w:lang w:val="en-US" w:eastAsia="zh-CN" w:bidi="ar-SA"/>
    </w:rPr>
  </w:style>
  <w:style w:type="character" w:customStyle="1" w:styleId="319">
    <w:name w:val="Char Char212"/>
    <w:qFormat/>
    <w:uiPriority w:val="0"/>
    <w:rPr>
      <w:rFonts w:eastAsia="宋体"/>
      <w:b/>
      <w:bCs/>
      <w:kern w:val="2"/>
      <w:sz w:val="21"/>
      <w:szCs w:val="24"/>
      <w:lang w:val="en-US" w:eastAsia="zh-CN" w:bidi="ar-SA"/>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zbggmain style9"/>
    <w:qFormat/>
    <w:uiPriority w:val="0"/>
  </w:style>
  <w:style w:type="character" w:customStyle="1" w:styleId="322">
    <w:name w:val="Char Char16"/>
    <w:qFormat/>
    <w:uiPriority w:val="0"/>
    <w:rPr>
      <w:kern w:val="2"/>
      <w:sz w:val="18"/>
      <w:szCs w:val="18"/>
    </w:rPr>
  </w:style>
  <w:style w:type="character" w:customStyle="1" w:styleId="323">
    <w:name w:val="font51"/>
    <w:qFormat/>
    <w:uiPriority w:val="0"/>
    <w:rPr>
      <w:rFonts w:ascii="仿宋" w:hAnsi="仿宋" w:eastAsia="仿宋" w:cs="仿宋"/>
      <w:color w:val="000000"/>
      <w:sz w:val="20"/>
      <w:szCs w:val="20"/>
      <w:u w:val="none"/>
    </w:rPr>
  </w:style>
  <w:style w:type="character" w:customStyle="1" w:styleId="324">
    <w:name w:val="Char Char82"/>
    <w:qFormat/>
    <w:uiPriority w:val="0"/>
    <w:rPr>
      <w:rFonts w:eastAsia="宋体"/>
      <w:b/>
      <w:sz w:val="24"/>
      <w:lang w:val="en-GB" w:eastAsia="zh-CN"/>
    </w:rPr>
  </w:style>
  <w:style w:type="character" w:customStyle="1" w:styleId="325">
    <w:name w:val="日期 Char1"/>
    <w:qFormat/>
    <w:uiPriority w:val="0"/>
    <w:rPr>
      <w:rFonts w:ascii="Times New Roman" w:hAnsi="Times New Roman" w:eastAsia="宋体" w:cs="Times New Roman"/>
      <w:szCs w:val="24"/>
    </w:rPr>
  </w:style>
  <w:style w:type="character" w:customStyle="1" w:styleId="326">
    <w:name w:val="页眉 字符"/>
    <w:qFormat/>
    <w:uiPriority w:val="0"/>
    <w:rPr>
      <w:kern w:val="2"/>
      <w:sz w:val="18"/>
      <w:szCs w:val="18"/>
    </w:rPr>
  </w:style>
  <w:style w:type="character" w:customStyle="1" w:styleId="327">
    <w:name w:val="Char Char33"/>
    <w:qFormat/>
    <w:uiPriority w:val="0"/>
    <w:rPr>
      <w:rFonts w:ascii="Arial" w:hAnsi="Arial" w:eastAsia="黑体"/>
      <w:b/>
      <w:kern w:val="2"/>
      <w:sz w:val="24"/>
      <w:szCs w:val="24"/>
    </w:rPr>
  </w:style>
  <w:style w:type="paragraph" w:customStyle="1" w:styleId="328">
    <w:name w:val="b11_01b"/>
    <w:basedOn w:val="1"/>
    <w:next w:val="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9">
    <w:name w:val="Char Char121"/>
    <w:qFormat/>
    <w:uiPriority w:val="0"/>
    <w:rPr>
      <w:rFonts w:ascii="仿宋_GB2312" w:eastAsia="仿宋_GB2312"/>
      <w:b/>
      <w:bCs/>
      <w:kern w:val="2"/>
      <w:sz w:val="24"/>
      <w:szCs w:val="24"/>
      <w:lang w:val="zh-CN" w:eastAsia="zh-CN" w:bidi="ar-SA"/>
    </w:rPr>
  </w:style>
  <w:style w:type="character" w:customStyle="1" w:styleId="330">
    <w:name w:val="Footer-Even Char"/>
    <w:qFormat/>
    <w:uiPriority w:val="0"/>
    <w:rPr>
      <w:rFonts w:eastAsia="宋体"/>
      <w:kern w:val="2"/>
      <w:sz w:val="18"/>
      <w:lang w:val="en-US" w:eastAsia="zh-CN" w:bidi="ar-SA"/>
    </w:rPr>
  </w:style>
  <w:style w:type="character" w:customStyle="1" w:styleId="331">
    <w:name w:val="Char Char36"/>
    <w:qFormat/>
    <w:uiPriority w:val="0"/>
    <w:rPr>
      <w:rFonts w:ascii="仿宋_GB2312" w:hAnsi="仿宋_GB2312" w:eastAsia="仿宋_GB2312" w:cs="Arial"/>
      <w:b/>
      <w:kern w:val="2"/>
      <w:sz w:val="32"/>
      <w:szCs w:val="32"/>
      <w:lang w:val="zh-CN" w:eastAsia="zh-CN" w:bidi="ar-SA"/>
    </w:rPr>
  </w:style>
  <w:style w:type="character" w:customStyle="1" w:styleId="332">
    <w:name w:val="Char Char61"/>
    <w:qFormat/>
    <w:uiPriority w:val="0"/>
    <w:rPr>
      <w:rFonts w:eastAsia="宋体"/>
      <w:kern w:val="2"/>
      <w:sz w:val="21"/>
      <w:szCs w:val="24"/>
      <w:lang w:val="en-US" w:eastAsia="zh-CN" w:bidi="ar-SA"/>
    </w:rPr>
  </w:style>
  <w:style w:type="character" w:customStyle="1" w:styleId="333">
    <w:name w:val="正文文字缩进 2 Char Char"/>
    <w:qFormat/>
    <w:uiPriority w:val="0"/>
    <w:rPr>
      <w:rFonts w:ascii="宋体" w:hAnsi="宋体"/>
      <w:sz w:val="28"/>
    </w:rPr>
  </w:style>
  <w:style w:type="character" w:customStyle="1" w:styleId="334">
    <w:name w:val="f141"/>
    <w:qFormat/>
    <w:uiPriority w:val="0"/>
    <w:rPr>
      <w:rFonts w:ascii="Tahoma" w:hAnsi="Tahoma" w:eastAsia="宋体"/>
      <w:b/>
      <w:kern w:val="2"/>
      <w:sz w:val="21"/>
      <w:szCs w:val="21"/>
      <w:lang w:val="en-US" w:eastAsia="zh-CN" w:bidi="ar-SA"/>
    </w:rPr>
  </w:style>
  <w:style w:type="paragraph" w:customStyle="1" w:styleId="335">
    <w:name w:val="段落"/>
    <w:basedOn w:val="1"/>
    <w:qFormat/>
    <w:uiPriority w:val="0"/>
    <w:pPr>
      <w:adjustRightInd/>
      <w:spacing w:line="360" w:lineRule="auto"/>
      <w:ind w:firstLine="200" w:firstLineChars="200"/>
    </w:pPr>
    <w:rPr>
      <w:rFonts w:ascii="宋体" w:hAnsi="宋体"/>
      <w:kern w:val="0"/>
      <w:sz w:val="24"/>
      <w:szCs w:val="20"/>
    </w:rPr>
  </w:style>
  <w:style w:type="character" w:customStyle="1" w:styleId="336">
    <w:name w:val="标题 3 Char2"/>
    <w:qFormat/>
    <w:uiPriority w:val="0"/>
    <w:rPr>
      <w:rFonts w:eastAsia="宋体"/>
      <w:b/>
      <w:bCs/>
      <w:kern w:val="2"/>
      <w:sz w:val="32"/>
      <w:szCs w:val="32"/>
      <w:lang w:val="en-US" w:eastAsia="zh-CN" w:bidi="ar-SA"/>
    </w:rPr>
  </w:style>
  <w:style w:type="character" w:customStyle="1" w:styleId="337">
    <w:name w:val="apple-converted-space"/>
    <w:qFormat/>
    <w:uiPriority w:val="0"/>
  </w:style>
  <w:style w:type="character" w:customStyle="1" w:styleId="338">
    <w:name w:val="Char Char9"/>
    <w:qFormat/>
    <w:uiPriority w:val="0"/>
    <w:rPr>
      <w:rFonts w:eastAsia="宋体"/>
      <w:kern w:val="2"/>
      <w:sz w:val="18"/>
      <w:szCs w:val="18"/>
      <w:lang w:val="en-US" w:eastAsia="zh-CN" w:bidi="ar-SA"/>
    </w:rPr>
  </w:style>
  <w:style w:type="character" w:customStyle="1" w:styleId="339">
    <w:name w:val="Char Char41"/>
    <w:qFormat/>
    <w:uiPriority w:val="0"/>
    <w:rPr>
      <w:rFonts w:eastAsia="宋体"/>
      <w:b/>
      <w:sz w:val="24"/>
      <w:lang w:val="en-GB" w:eastAsia="zh-CN" w:bidi="ar-SA"/>
    </w:rPr>
  </w:style>
  <w:style w:type="character" w:customStyle="1" w:styleId="340">
    <w:name w:val="large1"/>
    <w:qFormat/>
    <w:uiPriority w:val="0"/>
    <w:rPr>
      <w:rFonts w:ascii="宋体" w:hAnsi="宋体" w:eastAsia="宋体"/>
      <w:sz w:val="21"/>
      <w:szCs w:val="21"/>
    </w:rPr>
  </w:style>
  <w:style w:type="paragraph" w:customStyle="1" w:styleId="341">
    <w:name w:val="正文段"/>
    <w:basedOn w:val="1"/>
    <w:qFormat/>
    <w:uiPriority w:val="0"/>
    <w:pPr>
      <w:widowControl/>
      <w:adjustRightInd w:val="0"/>
      <w:snapToGrid w:val="0"/>
      <w:spacing w:after="50" w:afterLines="50"/>
      <w:ind w:firstLine="200" w:firstLineChars="200"/>
    </w:pPr>
    <w:rPr>
      <w:kern w:val="0"/>
      <w:sz w:val="24"/>
      <w:szCs w:val="20"/>
    </w:rPr>
  </w:style>
  <w:style w:type="character" w:customStyle="1" w:styleId="342">
    <w:name w:val="Char Char13"/>
    <w:qFormat/>
    <w:uiPriority w:val="0"/>
    <w:rPr>
      <w:rFonts w:ascii="宋体" w:hAnsi="宋体"/>
      <w:kern w:val="2"/>
      <w:sz w:val="21"/>
      <w:szCs w:val="24"/>
    </w:rPr>
  </w:style>
  <w:style w:type="character" w:customStyle="1" w:styleId="343">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344">
    <w:name w:val="冯广丽"/>
    <w:basedOn w:val="1"/>
    <w:qFormat/>
    <w:uiPriority w:val="0"/>
    <w:pPr>
      <w:adjustRightInd/>
      <w:spacing w:line="360" w:lineRule="auto"/>
      <w:ind w:firstLine="200" w:firstLineChars="200"/>
    </w:pPr>
    <w:rPr>
      <w:rFonts w:ascii="宋体" w:hAnsi="宋体"/>
      <w:sz w:val="24"/>
      <w:szCs w:val="22"/>
    </w:rPr>
  </w:style>
  <w:style w:type="character" w:customStyle="1" w:styleId="345">
    <w:name w:val="批注文字 字符"/>
    <w:qFormat/>
    <w:uiPriority w:val="0"/>
    <w:rPr>
      <w:rFonts w:ascii="Arial" w:hAnsi="Arial" w:eastAsia="黑体" w:cs="Arial"/>
      <w:snapToGrid w:val="0"/>
      <w:kern w:val="0"/>
      <w:szCs w:val="21"/>
    </w:rPr>
  </w:style>
  <w:style w:type="character" w:customStyle="1" w:styleId="346">
    <w:name w:val="Char Char161"/>
    <w:qFormat/>
    <w:uiPriority w:val="0"/>
    <w:rPr>
      <w:rFonts w:eastAsia="宋体"/>
      <w:b/>
      <w:kern w:val="2"/>
      <w:sz w:val="32"/>
      <w:lang w:val="en-US" w:eastAsia="zh-CN"/>
    </w:rPr>
  </w:style>
  <w:style w:type="character" w:customStyle="1" w:styleId="347">
    <w:name w:val="javascript"/>
    <w:qFormat/>
    <w:uiPriority w:val="0"/>
  </w:style>
  <w:style w:type="character" w:customStyle="1" w:styleId="348">
    <w:name w:val="图名 Char"/>
    <w:qFormat/>
    <w:uiPriority w:val="0"/>
    <w:rPr>
      <w:rFonts w:ascii="Arial" w:hAnsi="Arial" w:eastAsia="黑体"/>
      <w:kern w:val="2"/>
      <w:sz w:val="24"/>
      <w:szCs w:val="24"/>
      <w:lang w:val="en-US" w:eastAsia="zh-CN" w:bidi="ar-SA"/>
    </w:rPr>
  </w:style>
  <w:style w:type="character" w:customStyle="1" w:styleId="349">
    <w:name w:val="Used by Word for text of Help footnotes Char Char"/>
    <w:qFormat/>
    <w:uiPriority w:val="0"/>
    <w:rPr>
      <w:rFonts w:ascii="Times New Roman" w:hAnsi="Times New Roman" w:eastAsia="宋体" w:cs="Times New Roman"/>
      <w:sz w:val="20"/>
      <w:szCs w:val="20"/>
    </w:rPr>
  </w:style>
  <w:style w:type="paragraph" w:customStyle="1" w:styleId="350">
    <w:name w:val="编号，小四"/>
    <w:basedOn w:val="1"/>
    <w:qFormat/>
    <w:uiPriority w:val="0"/>
    <w:pPr>
      <w:tabs>
        <w:tab w:val="left" w:pos="432"/>
      </w:tabs>
      <w:adjustRightInd/>
      <w:spacing w:line="360" w:lineRule="auto"/>
      <w:ind w:left="432" w:hanging="432"/>
    </w:pPr>
    <w:rPr>
      <w:rFonts w:ascii="Arial" w:hAnsi="Arial"/>
      <w:kern w:val="0"/>
      <w:sz w:val="24"/>
      <w:szCs w:val="20"/>
    </w:rPr>
  </w:style>
  <w:style w:type="character" w:customStyle="1" w:styleId="351">
    <w:name w:val="Font Style82"/>
    <w:qFormat/>
    <w:uiPriority w:val="0"/>
    <w:rPr>
      <w:rFonts w:ascii="宋体" w:eastAsia="宋体" w:cs="宋体"/>
      <w:color w:val="000000"/>
      <w:sz w:val="14"/>
      <w:szCs w:val="14"/>
    </w:rPr>
  </w:style>
  <w:style w:type="character" w:customStyle="1" w:styleId="352">
    <w:name w:val="标题 2 Char Char"/>
    <w:qFormat/>
    <w:uiPriority w:val="0"/>
    <w:rPr>
      <w:rFonts w:ascii="楷体_GB2312" w:hAnsi="Arial" w:eastAsia="楷体_GB2312"/>
      <w:b/>
      <w:bCs/>
      <w:kern w:val="2"/>
      <w:sz w:val="24"/>
      <w:szCs w:val="32"/>
      <w:lang w:val="en-US" w:eastAsia="zh-CN" w:bidi="ar-SA"/>
    </w:rPr>
  </w:style>
  <w:style w:type="character" w:customStyle="1" w:styleId="353">
    <w:name w:val="未用 Char"/>
    <w:qFormat/>
    <w:uiPriority w:val="0"/>
    <w:rPr>
      <w:rFonts w:ascii="Arial" w:hAnsi="Arial" w:eastAsia="黑体"/>
      <w:kern w:val="2"/>
      <w:sz w:val="21"/>
      <w:szCs w:val="21"/>
      <w:lang w:val="en-US" w:eastAsia="zh-CN" w:bidi="ar-SA"/>
    </w:rPr>
  </w:style>
  <w:style w:type="character" w:customStyle="1" w:styleId="354">
    <w:name w:val="myp1111"/>
    <w:qFormat/>
    <w:uiPriority w:val="0"/>
    <w:rPr>
      <w:rFonts w:ascii="ˎ̥" w:hAnsi="ˎ̥"/>
      <w:color w:val="000000"/>
      <w:sz w:val="20"/>
      <w:szCs w:val="20"/>
      <w:u w:val="none"/>
    </w:rPr>
  </w:style>
  <w:style w:type="character" w:customStyle="1" w:styleId="355">
    <w:name w:val="h Char Char"/>
    <w:qFormat/>
    <w:uiPriority w:val="0"/>
    <w:rPr>
      <w:rFonts w:eastAsia="宋体"/>
      <w:kern w:val="2"/>
      <w:sz w:val="18"/>
      <w:lang w:val="en-US" w:eastAsia="zh-CN" w:bidi="ar-SA"/>
    </w:rPr>
  </w:style>
  <w:style w:type="paragraph" w:customStyle="1" w:styleId="356">
    <w:name w:val="仿宋正文"/>
    <w:basedOn w:val="1"/>
    <w:qFormat/>
    <w:uiPriority w:val="0"/>
    <w:pPr>
      <w:adjustRightInd/>
      <w:spacing w:line="360" w:lineRule="auto"/>
      <w:ind w:firstLine="200" w:firstLineChars="200"/>
    </w:pPr>
    <w:rPr>
      <w:rFonts w:ascii="仿宋_GB2312" w:eastAsia="仿宋_GB2312"/>
      <w:sz w:val="24"/>
      <w:szCs w:val="20"/>
    </w:rPr>
  </w:style>
  <w:style w:type="character" w:customStyle="1" w:styleId="357">
    <w:name w:val="正文首行缩进 Char Char Char Char Char Char"/>
    <w:qFormat/>
    <w:uiPriority w:val="0"/>
    <w:rPr>
      <w:rFonts w:ascii="宋体" w:eastAsia="宋体"/>
      <w:kern w:val="2"/>
      <w:sz w:val="24"/>
      <w:lang w:val="zh-CN" w:bidi="ar-SA"/>
    </w:rPr>
  </w:style>
  <w:style w:type="character" w:customStyle="1" w:styleId="358">
    <w:name w:val="样式 宋体"/>
    <w:qFormat/>
    <w:uiPriority w:val="0"/>
    <w:rPr>
      <w:rFonts w:ascii="宋体" w:hAnsi="宋体"/>
      <w:sz w:val="24"/>
    </w:rPr>
  </w:style>
  <w:style w:type="character" w:customStyle="1" w:styleId="359">
    <w:name w:val="tw4winJump"/>
    <w:qFormat/>
    <w:uiPriority w:val="0"/>
    <w:rPr>
      <w:rFonts w:ascii="Courier New" w:hAnsi="Courier New" w:cs="Courier New"/>
      <w:color w:val="008080"/>
      <w:lang w:val="en-US" w:eastAsia="zh-CN"/>
    </w:rPr>
  </w:style>
  <w:style w:type="character" w:customStyle="1" w:styleId="360">
    <w:name w:val="标题 1 字符"/>
    <w:qFormat/>
    <w:uiPriority w:val="0"/>
    <w:rPr>
      <w:rFonts w:ascii="Arial" w:hAnsi="Arial" w:eastAsia="黑体" w:cs="Arial"/>
      <w:b/>
      <w:bCs/>
      <w:snapToGrid w:val="0"/>
      <w:kern w:val="44"/>
      <w:sz w:val="44"/>
      <w:szCs w:val="44"/>
    </w:rPr>
  </w:style>
  <w:style w:type="character" w:customStyle="1" w:styleId="361">
    <w:name w:val="style36"/>
    <w:basedOn w:val="64"/>
    <w:qFormat/>
    <w:uiPriority w:val="0"/>
    <w:rPr>
      <w:rFonts w:ascii="Arial" w:hAnsi="Arial" w:eastAsia="黑体" w:cs="Arial"/>
      <w:snapToGrid w:val="0"/>
      <w:kern w:val="0"/>
      <w:szCs w:val="21"/>
    </w:rPr>
  </w:style>
  <w:style w:type="character" w:customStyle="1" w:styleId="362">
    <w:name w:val="pt9"/>
    <w:qFormat/>
    <w:uiPriority w:val="0"/>
    <w:rPr>
      <w:rFonts w:ascii="仿宋_GB2312" w:hAnsi="仿宋_GB2312" w:eastAsia="微软雅黑"/>
      <w:b/>
      <w:kern w:val="2"/>
      <w:sz w:val="32"/>
      <w:szCs w:val="32"/>
      <w:lang w:val="en-US" w:eastAsia="zh-CN" w:bidi="ar-SA"/>
    </w:rPr>
  </w:style>
  <w:style w:type="character" w:customStyle="1" w:styleId="363">
    <w:name w:val="DO_NOT_TRANSLATE"/>
    <w:qFormat/>
    <w:uiPriority w:val="0"/>
    <w:rPr>
      <w:rFonts w:ascii="Courier New" w:hAnsi="Courier New" w:cs="Courier New"/>
      <w:color w:val="800000"/>
      <w:lang w:val="en-US" w:eastAsia="zh-CN"/>
    </w:rPr>
  </w:style>
  <w:style w:type="character" w:customStyle="1" w:styleId="364">
    <w:name w:val="标书1 Char1"/>
    <w:qFormat/>
    <w:uiPriority w:val="0"/>
    <w:rPr>
      <w:rFonts w:eastAsia="宋体"/>
      <w:b/>
      <w:bCs/>
      <w:kern w:val="44"/>
      <w:sz w:val="44"/>
      <w:szCs w:val="44"/>
      <w:lang w:val="en-US" w:eastAsia="zh-CN" w:bidi="ar-SA"/>
    </w:rPr>
  </w:style>
  <w:style w:type="character" w:customStyle="1" w:styleId="365">
    <w:name w:val="页脚 字符"/>
    <w:qFormat/>
    <w:uiPriority w:val="0"/>
    <w:rPr>
      <w:kern w:val="2"/>
      <w:sz w:val="18"/>
      <w:szCs w:val="18"/>
    </w:rPr>
  </w:style>
  <w:style w:type="character" w:customStyle="1" w:styleId="366">
    <w:name w:val="正文2 Char"/>
    <w:qFormat/>
    <w:uiPriority w:val="0"/>
    <w:rPr>
      <w:rFonts w:eastAsia="宋体"/>
      <w:kern w:val="2"/>
      <w:sz w:val="24"/>
      <w:lang w:val="en-US" w:eastAsia="zh-CN" w:bidi="ar-SA"/>
    </w:rPr>
  </w:style>
  <w:style w:type="character" w:customStyle="1" w:styleId="367">
    <w:name w:val="Char Char21"/>
    <w:qFormat/>
    <w:uiPriority w:val="0"/>
    <w:rPr>
      <w:rFonts w:ascii="宋体" w:hAnsi="宋体"/>
      <w:kern w:val="2"/>
      <w:sz w:val="24"/>
      <w:szCs w:val="21"/>
      <w:lang w:val="zh-CN"/>
    </w:rPr>
  </w:style>
  <w:style w:type="paragraph" w:customStyle="1" w:styleId="368">
    <w:name w:val="样式 正文缩进 + 首行缩进:  2 字符"/>
    <w:basedOn w:val="6"/>
    <w:qFormat/>
    <w:uiPriority w:val="0"/>
    <w:pPr>
      <w:widowControl w:val="0"/>
      <w:adjustRightInd/>
      <w:snapToGrid/>
      <w:spacing w:line="360" w:lineRule="auto"/>
      <w:ind w:firstLine="200" w:firstLineChars="200"/>
    </w:pPr>
    <w:rPr>
      <w:rFonts w:ascii="Calibri" w:hAnsi="Calibri"/>
      <w:snapToGrid/>
      <w:color w:val="auto"/>
      <w:kern w:val="2"/>
      <w:sz w:val="24"/>
    </w:rPr>
  </w:style>
  <w:style w:type="character" w:customStyle="1" w:styleId="369">
    <w:name w:val="gray6"/>
    <w:basedOn w:val="64"/>
    <w:qFormat/>
    <w:uiPriority w:val="0"/>
    <w:rPr>
      <w:rFonts w:ascii="Arial" w:hAnsi="Arial" w:eastAsia="黑体" w:cs="Arial"/>
      <w:snapToGrid w:val="0"/>
      <w:kern w:val="0"/>
      <w:szCs w:val="21"/>
    </w:rPr>
  </w:style>
  <w:style w:type="character" w:customStyle="1" w:styleId="370">
    <w:name w:val="hui"/>
    <w:basedOn w:val="64"/>
    <w:qFormat/>
    <w:uiPriority w:val="0"/>
    <w:rPr>
      <w:rFonts w:ascii="Arial" w:hAnsi="Arial" w:eastAsia="黑体" w:cs="Arial"/>
      <w:snapToGrid w:val="0"/>
      <w:kern w:val="0"/>
      <w:szCs w:val="21"/>
    </w:rPr>
  </w:style>
  <w:style w:type="character" w:customStyle="1" w:styleId="371">
    <w:name w:val="哈哈正文 Char Char"/>
    <w:qFormat/>
    <w:uiPriority w:val="0"/>
    <w:rPr>
      <w:rFonts w:ascii="宋体" w:hAnsi="宋体" w:eastAsia="宋体" w:cs="宋体"/>
      <w:kern w:val="2"/>
      <w:sz w:val="24"/>
      <w:lang w:val="en-US" w:eastAsia="zh-CN" w:bidi="ar-SA"/>
    </w:rPr>
  </w:style>
  <w:style w:type="paragraph" w:customStyle="1" w:styleId="372">
    <w:name w:val="样式 正文文本缩进 + 左侧:  2 字符 首行缩进:  2 字符"/>
    <w:basedOn w:val="25"/>
    <w:qFormat/>
    <w:uiPriority w:val="0"/>
    <w:pPr>
      <w:tabs>
        <w:tab w:val="left" w:pos="360"/>
        <w:tab w:val="left" w:pos="540"/>
      </w:tabs>
      <w:adjustRightInd/>
      <w:spacing w:line="520" w:lineRule="exact"/>
      <w:ind w:left="200"/>
    </w:pPr>
    <w:rPr>
      <w:rFonts w:ascii="仿宋_GB2312" w:hAnsi="Times New Roman" w:eastAsia="仿宋_GB2312"/>
      <w:sz w:val="28"/>
      <w:szCs w:val="20"/>
    </w:rPr>
  </w:style>
  <w:style w:type="paragraph" w:customStyle="1" w:styleId="3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7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76">
    <w:name w:val="目录标题"/>
    <w:basedOn w:val="1"/>
    <w:qFormat/>
    <w:uiPriority w:val="0"/>
    <w:pPr>
      <w:autoSpaceDE w:val="0"/>
      <w:autoSpaceDN w:val="0"/>
      <w:spacing w:before="566" w:after="544" w:line="566" w:lineRule="atLeast"/>
      <w:ind w:firstLine="200" w:firstLineChars="200"/>
      <w:jc w:val="center"/>
    </w:pPr>
    <w:rPr>
      <w:rFonts w:ascii="Arial" w:hAnsi="Arial"/>
      <w:color w:val="000000"/>
      <w:spacing w:val="565"/>
      <w:kern w:val="0"/>
      <w:sz w:val="54"/>
      <w:szCs w:val="54"/>
    </w:rPr>
  </w:style>
  <w:style w:type="paragraph" w:customStyle="1" w:styleId="377">
    <w:name w:val="subhead"/>
    <w:qFormat/>
    <w:uiPriority w:val="0"/>
    <w:pPr>
      <w:spacing w:after="120" w:line="300" w:lineRule="exact"/>
    </w:pPr>
    <w:rPr>
      <w:rFonts w:ascii="Arial" w:hAnsi="Arial" w:eastAsia="宋体" w:cs="Times New Roman"/>
      <w:b/>
      <w:sz w:val="26"/>
      <w:szCs w:val="20"/>
      <w:lang w:val="en-US" w:eastAsia="zh-CN" w:bidi="ar-SA"/>
    </w:rPr>
  </w:style>
  <w:style w:type="paragraph" w:customStyle="1" w:styleId="37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379">
    <w:name w:val="标题4_自定义"/>
    <w:basedOn w:val="7"/>
    <w:qFormat/>
    <w:uiPriority w:val="0"/>
    <w:pPr>
      <w:adjustRightInd/>
      <w:spacing w:before="0" w:after="0" w:line="360" w:lineRule="auto"/>
    </w:pPr>
    <w:rPr>
      <w:rFonts w:ascii="Verdana" w:hAnsi="Verdana" w:eastAsia="Verdana"/>
      <w:sz w:val="21"/>
      <w:lang w:val="en-US"/>
    </w:rPr>
  </w:style>
  <w:style w:type="paragraph" w:customStyle="1" w:styleId="380">
    <w:name w:val="My正文"/>
    <w:basedOn w:val="1"/>
    <w:qFormat/>
    <w:uiPriority w:val="0"/>
    <w:pPr>
      <w:spacing w:before="120" w:line="360" w:lineRule="auto"/>
      <w:ind w:firstLine="567"/>
    </w:pPr>
    <w:rPr>
      <w:rFonts w:ascii="Arial" w:hAnsi="Arial"/>
      <w:sz w:val="20"/>
      <w:szCs w:val="20"/>
    </w:rPr>
  </w:style>
  <w:style w:type="paragraph" w:customStyle="1" w:styleId="381">
    <w:name w:val="正文 内标 序号标"/>
    <w:basedOn w:val="380"/>
    <w:qFormat/>
    <w:uiPriority w:val="0"/>
    <w:pPr>
      <w:tabs>
        <w:tab w:val="left" w:pos="0"/>
      </w:tabs>
      <w:adjustRightInd/>
      <w:spacing w:before="0"/>
      <w:ind w:firstLine="482"/>
    </w:pPr>
    <w:rPr>
      <w:rFonts w:ascii="微软雅黑" w:hAnsi="微软雅黑"/>
      <w:sz w:val="24"/>
      <w:szCs w:val="24"/>
    </w:rPr>
  </w:style>
  <w:style w:type="paragraph" w:customStyle="1" w:styleId="3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38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85">
    <w:name w:val="修订2"/>
    <w:qFormat/>
    <w:uiPriority w:val="0"/>
    <w:rPr>
      <w:rFonts w:ascii="Times New Roman" w:hAnsi="Times New Roman" w:eastAsia="宋体" w:cs="Times New Roman"/>
      <w:kern w:val="2"/>
      <w:sz w:val="21"/>
      <w:szCs w:val="20"/>
      <w:lang w:val="en-US" w:eastAsia="zh-CN" w:bidi="ar-SA"/>
    </w:rPr>
  </w:style>
  <w:style w:type="paragraph" w:customStyle="1" w:styleId="38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88">
    <w:name w:val="文章标题"/>
    <w:next w:val="389"/>
    <w:qFormat/>
    <w:uiPriority w:val="0"/>
    <w:pPr>
      <w:spacing w:before="800" w:beforeLines="800" w:after="100" w:afterLines="100"/>
      <w:jc w:val="center"/>
    </w:pPr>
    <w:rPr>
      <w:rFonts w:ascii="Arial" w:hAnsi="Arial" w:eastAsia="黑体" w:cs="宋体"/>
      <w:bCs/>
      <w:kern w:val="2"/>
      <w:sz w:val="52"/>
      <w:szCs w:val="20"/>
      <w:lang w:val="en-US" w:eastAsia="zh-CN" w:bidi="ar-SA"/>
    </w:rPr>
  </w:style>
  <w:style w:type="paragraph" w:customStyle="1" w:styleId="389">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390">
    <w:name w:val="Char1 Char Char Char5"/>
    <w:basedOn w:val="1"/>
    <w:qFormat/>
    <w:uiPriority w:val="0"/>
    <w:pPr>
      <w:adjustRightInd/>
      <w:ind w:firstLine="200" w:firstLineChars="200"/>
    </w:pPr>
    <w:rPr>
      <w:rFonts w:ascii="Tahoma" w:hAnsi="Tahoma"/>
      <w:sz w:val="24"/>
      <w:szCs w:val="20"/>
    </w:rPr>
  </w:style>
  <w:style w:type="paragraph" w:customStyle="1" w:styleId="39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9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3">
    <w:name w:val="Char Char Char Char Char Char Char Char"/>
    <w:basedOn w:val="1"/>
    <w:qFormat/>
    <w:uiPriority w:val="0"/>
    <w:pPr>
      <w:tabs>
        <w:tab w:val="left" w:pos="360"/>
      </w:tabs>
    </w:pPr>
    <w:rPr>
      <w:sz w:val="24"/>
      <w:szCs w:val="20"/>
    </w:rPr>
  </w:style>
  <w:style w:type="paragraph" w:customStyle="1" w:styleId="394">
    <w:name w:val="Char Char11 Char Char Char"/>
    <w:basedOn w:val="1"/>
    <w:qFormat/>
    <w:uiPriority w:val="0"/>
    <w:pPr>
      <w:spacing w:line="360" w:lineRule="auto"/>
    </w:pPr>
    <w:rPr>
      <w:szCs w:val="20"/>
    </w:rPr>
  </w:style>
  <w:style w:type="paragraph" w:customStyle="1" w:styleId="395">
    <w:name w:val="gjt_3"/>
    <w:next w:val="1"/>
    <w:qFormat/>
    <w:uiPriority w:val="0"/>
    <w:pPr>
      <w:keepNext/>
      <w:keepLines/>
      <w:widowControl w:val="0"/>
      <w:spacing w:before="260" w:after="260" w:line="413"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396">
    <w:name w:val="金宏发行正文"/>
    <w:basedOn w:val="1"/>
    <w:qFormat/>
    <w:uiPriority w:val="0"/>
    <w:pPr>
      <w:adjustRightInd/>
      <w:spacing w:line="500" w:lineRule="exact"/>
      <w:ind w:firstLine="200" w:firstLineChars="200"/>
    </w:pPr>
    <w:rPr>
      <w:rFonts w:eastAsia="仿宋_GB2312"/>
      <w:sz w:val="28"/>
      <w:szCs w:val="20"/>
    </w:rPr>
  </w:style>
  <w:style w:type="paragraph" w:customStyle="1" w:styleId="397">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98">
    <w:name w:val="样式3"/>
    <w:basedOn w:val="397"/>
    <w:qFormat/>
    <w:uiPriority w:val="0"/>
    <w:pPr>
      <w:spacing w:before="100" w:beforeLines="100"/>
      <w:jc w:val="left"/>
    </w:pPr>
  </w:style>
  <w:style w:type="paragraph" w:customStyle="1" w:styleId="399">
    <w:name w:val="Char Char1 Char Char1 Char Char1"/>
    <w:basedOn w:val="1"/>
    <w:qFormat/>
    <w:uiPriority w:val="0"/>
    <w:pPr>
      <w:tabs>
        <w:tab w:val="left" w:pos="840"/>
      </w:tabs>
      <w:ind w:left="840" w:hanging="420"/>
    </w:pPr>
    <w:rPr>
      <w:rFonts w:ascii="Tahoma" w:hAnsi="Tahoma"/>
      <w:sz w:val="24"/>
    </w:rPr>
  </w:style>
  <w:style w:type="paragraph" w:customStyle="1" w:styleId="4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01">
    <w:name w:val="标书标题2"/>
    <w:basedOn w:val="4"/>
    <w:qFormat/>
    <w:uiPriority w:val="0"/>
    <w:pPr>
      <w:keepNext/>
      <w:keepLines w:val="0"/>
      <w:widowControl/>
      <w:tabs>
        <w:tab w:val="left" w:pos="840"/>
        <w:tab w:val="clear" w:pos="432"/>
      </w:tabs>
      <w:adjustRightInd w:val="0"/>
      <w:snapToGrid w:val="0"/>
      <w:spacing w:before="50" w:beforeLines="50" w:after="60" w:line="300" w:lineRule="auto"/>
      <w:ind w:left="840" w:hanging="420"/>
    </w:pPr>
    <w:rPr>
      <w:rFonts w:ascii="Arial Narrow" w:hAnsi="Arial Narrow"/>
      <w:snapToGrid w:val="0"/>
      <w:kern w:val="0"/>
      <w:szCs w:val="20"/>
      <w:lang w:val="en-US"/>
    </w:rPr>
  </w:style>
  <w:style w:type="paragraph" w:customStyle="1" w:styleId="4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03">
    <w:name w:val="正文21"/>
    <w:basedOn w:val="1"/>
    <w:qFormat/>
    <w:uiPriority w:val="0"/>
    <w:pPr>
      <w:adjustRightInd/>
      <w:spacing w:before="156" w:line="360" w:lineRule="auto"/>
      <w:ind w:firstLine="200" w:firstLineChars="200"/>
    </w:pPr>
    <w:rPr>
      <w:sz w:val="24"/>
      <w:szCs w:val="20"/>
    </w:rPr>
  </w:style>
  <w:style w:type="paragraph" w:customStyle="1" w:styleId="404">
    <w:name w:val="Test2"/>
    <w:basedOn w:val="4"/>
    <w:qFormat/>
    <w:uiPriority w:val="0"/>
    <w:pPr>
      <w:keepNext/>
      <w:keepLines/>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6">
    <w:name w:val="Char1"/>
    <w:basedOn w:val="1"/>
    <w:qFormat/>
    <w:uiPriority w:val="0"/>
    <w:rPr>
      <w:rFonts w:ascii="仿宋_GB2312" w:eastAsia="仿宋_GB2312"/>
      <w:b/>
      <w:sz w:val="32"/>
      <w:szCs w:val="32"/>
    </w:rPr>
  </w:style>
  <w:style w:type="paragraph" w:customStyle="1" w:styleId="40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0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09">
    <w:name w:val="样式 宋体 行距: 1.5 倍行距 首行缩进:  2 字符"/>
    <w:basedOn w:val="1"/>
    <w:qFormat/>
    <w:uiPriority w:val="0"/>
    <w:pPr>
      <w:adjustRightInd/>
      <w:spacing w:line="360" w:lineRule="auto"/>
      <w:ind w:firstLine="200" w:firstLineChars="200"/>
    </w:pPr>
    <w:rPr>
      <w:rFonts w:ascii="宋体" w:hAnsi="宋体"/>
      <w:sz w:val="24"/>
      <w:szCs w:val="20"/>
    </w:rPr>
  </w:style>
  <w:style w:type="paragraph" w:customStyle="1" w:styleId="41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11">
    <w:name w:val="4级标题"/>
    <w:basedOn w:val="233"/>
    <w:qFormat/>
    <w:uiPriority w:val="0"/>
    <w:pPr>
      <w:keepLines/>
      <w:widowControl w:val="0"/>
      <w:adjustRightInd/>
      <w:ind w:firstLine="0" w:firstLineChars="0"/>
      <w:jc w:val="left"/>
      <w:outlineLvl w:val="3"/>
    </w:pPr>
    <w:rPr>
      <w:rFonts w:ascii="黑体" w:hAnsi="黑体" w:eastAsia="黑体" w:cs="Times New Roman"/>
      <w:kern w:val="0"/>
      <w:sz w:val="28"/>
      <w:lang w:bidi="en-US"/>
    </w:rPr>
  </w:style>
  <w:style w:type="paragraph" w:customStyle="1" w:styleId="412">
    <w:name w:val="5级标题"/>
    <w:basedOn w:val="411"/>
    <w:qFormat/>
    <w:uiPriority w:val="0"/>
    <w:pPr>
      <w:keepLines w:val="0"/>
      <w:widowControl w:val="0"/>
      <w:tabs>
        <w:tab w:val="left" w:pos="360"/>
      </w:tabs>
      <w:spacing w:before="10" w:beforeLines="10" w:after="10" w:afterLines="10"/>
      <w:outlineLvl w:val="4"/>
    </w:pPr>
    <w:rPr>
      <w:rFonts w:ascii="Times New Roman" w:hAnsi="Times New Roman" w:eastAsia="仿宋"/>
      <w:b/>
      <w:kern w:val="2"/>
      <w:szCs w:val="20"/>
      <w:lang w:bidi="ar-SA"/>
    </w:rPr>
  </w:style>
  <w:style w:type="paragraph" w:customStyle="1" w:styleId="413">
    <w:name w:val="6级标题"/>
    <w:basedOn w:val="412"/>
    <w:qFormat/>
    <w:uiPriority w:val="0"/>
    <w:pPr>
      <w:keepNext/>
      <w:spacing w:before="0" w:beforeLines="0" w:after="0" w:afterLines="0"/>
      <w:outlineLvl w:val="5"/>
    </w:pPr>
  </w:style>
  <w:style w:type="paragraph" w:customStyle="1" w:styleId="414">
    <w:name w:val="样式 正文文本缩进 + 段前: 2 字符"/>
    <w:basedOn w:val="1"/>
    <w:qFormat/>
    <w:uiPriority w:val="0"/>
    <w:pPr>
      <w:adjustRightInd/>
      <w:ind w:left="200" w:leftChars="200"/>
      <w:jc w:val="left"/>
    </w:pPr>
    <w:rPr>
      <w:sz w:val="28"/>
      <w:szCs w:val="20"/>
      <w:lang w:eastAsia="zh-TW"/>
    </w:rPr>
  </w:style>
  <w:style w:type="paragraph" w:customStyle="1" w:styleId="415">
    <w:name w:val="Char2 Char Char"/>
    <w:basedOn w:val="1"/>
    <w:qFormat/>
    <w:uiPriority w:val="0"/>
    <w:pPr>
      <w:adjustRightInd/>
    </w:pPr>
    <w:rPr>
      <w:rFonts w:ascii="Tahoma" w:hAnsi="Tahoma"/>
      <w:sz w:val="24"/>
      <w:szCs w:val="20"/>
    </w:rPr>
  </w:style>
  <w:style w:type="paragraph" w:customStyle="1" w:styleId="416">
    <w:name w:val="_Style 11"/>
    <w:basedOn w:val="1"/>
    <w:qFormat/>
    <w:uiPriority w:val="0"/>
    <w:pPr>
      <w:adjustRightInd/>
      <w:ind w:firstLine="200" w:firstLineChars="200"/>
    </w:pPr>
    <w:rPr>
      <w:rFonts w:eastAsia="仿宋_GB2312"/>
      <w:sz w:val="28"/>
    </w:rPr>
  </w:style>
  <w:style w:type="paragraph" w:customStyle="1" w:styleId="41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18">
    <w:name w:val="Char Char Char"/>
    <w:basedOn w:val="1"/>
    <w:qFormat/>
    <w:uiPriority w:val="0"/>
    <w:rPr>
      <w:rFonts w:ascii="Tahoma" w:hAnsi="Tahoma"/>
      <w:sz w:val="24"/>
      <w:szCs w:val="20"/>
    </w:rPr>
  </w:style>
  <w:style w:type="paragraph" w:customStyle="1" w:styleId="41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20">
    <w:name w:val="Table Cell"/>
    <w:qFormat/>
    <w:uiPriority w:val="0"/>
    <w:pPr>
      <w:adjustRightInd w:val="0"/>
      <w:snapToGrid w:val="0"/>
      <w:spacing w:before="20" w:after="20"/>
    </w:pPr>
    <w:rPr>
      <w:rFonts w:ascii="Courier New" w:hAnsi="Courier New" w:eastAsia="宋体" w:cs="Times New Roman"/>
      <w:sz w:val="24"/>
      <w:szCs w:val="20"/>
      <w:lang w:val="en-US" w:eastAsia="zh-CN" w:bidi="ar-SA"/>
    </w:rPr>
  </w:style>
  <w:style w:type="paragraph" w:styleId="421">
    <w:name w:val="No Spacing"/>
    <w:basedOn w:val="1"/>
    <w:qFormat/>
    <w:uiPriority w:val="0"/>
    <w:rPr>
      <w:szCs w:val="22"/>
    </w:rPr>
  </w:style>
  <w:style w:type="paragraph" w:customStyle="1" w:styleId="42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423">
    <w:name w:val="Char Char Char Char Char Char Char Char Char Char Char Char1 Char1"/>
    <w:basedOn w:val="1"/>
    <w:qFormat/>
    <w:uiPriority w:val="0"/>
    <w:rPr>
      <w:rFonts w:ascii="Tahoma" w:hAnsi="Tahoma" w:cs="仿宋_GB2312"/>
      <w:sz w:val="24"/>
      <w:szCs w:val="20"/>
    </w:rPr>
  </w:style>
  <w:style w:type="paragraph" w:customStyle="1" w:styleId="42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25">
    <w:name w:val="Char Char1 Char1"/>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42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7">
    <w:name w:val="MM Topic 2"/>
    <w:basedOn w:val="4"/>
    <w:qFormat/>
    <w:uiPriority w:val="0"/>
    <w:pPr>
      <w:tabs>
        <w:tab w:val="left" w:pos="1260"/>
      </w:tabs>
      <w:ind w:left="1260" w:hanging="420"/>
    </w:pPr>
    <w:rPr>
      <w:rFonts w:ascii="Arial" w:hAnsi="Arial" w:eastAsia="黑体"/>
      <w:lang w:val="en-US"/>
    </w:rPr>
  </w:style>
  <w:style w:type="paragraph" w:customStyle="1" w:styleId="428">
    <w:name w:val="五级无标题条"/>
    <w:basedOn w:val="1"/>
    <w:qFormat/>
    <w:uiPriority w:val="0"/>
    <w:pPr>
      <w:adjustRightInd/>
    </w:pPr>
  </w:style>
  <w:style w:type="paragraph" w:customStyle="1" w:styleId="429">
    <w:name w:val="Char5"/>
    <w:basedOn w:val="1"/>
    <w:qFormat/>
    <w:uiPriority w:val="0"/>
    <w:rPr>
      <w:rFonts w:ascii="仿宋_GB2312" w:eastAsia="仿宋_GB2312"/>
      <w:b/>
      <w:sz w:val="32"/>
      <w:szCs w:val="32"/>
    </w:rPr>
  </w:style>
  <w:style w:type="paragraph" w:customStyle="1" w:styleId="430">
    <w:name w:val="TOC 标题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1">
    <w:name w:val="彩色列表 - 强调文字颜色 12"/>
    <w:basedOn w:val="1"/>
    <w:qFormat/>
    <w:uiPriority w:val="0"/>
    <w:pPr>
      <w:adjustRightInd/>
      <w:ind w:firstLine="200" w:firstLineChars="200"/>
    </w:pPr>
    <w:rPr>
      <w:rFonts w:ascii="Calibri" w:hAnsi="Calibri"/>
      <w:szCs w:val="22"/>
    </w:rPr>
  </w:style>
  <w:style w:type="paragraph" w:customStyle="1" w:styleId="43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Char2"/>
    <w:basedOn w:val="1"/>
    <w:qFormat/>
    <w:uiPriority w:val="0"/>
    <w:rPr>
      <w:rFonts w:ascii="仿宋_GB2312" w:eastAsia="仿宋_GB2312"/>
      <w:b/>
      <w:sz w:val="32"/>
      <w:szCs w:val="32"/>
    </w:rPr>
  </w:style>
  <w:style w:type="paragraph" w:customStyle="1" w:styleId="434">
    <w:name w:val="数字标题3"/>
    <w:basedOn w:val="5"/>
    <w:next w:val="1"/>
    <w:qFormat/>
    <w:uiPriority w:val="0"/>
    <w:pPr>
      <w:spacing w:line="240" w:lineRule="auto"/>
    </w:pPr>
    <w:rPr>
      <w:sz w:val="28"/>
      <w:szCs w:val="28"/>
    </w:rPr>
  </w:style>
  <w:style w:type="paragraph" w:customStyle="1" w:styleId="435">
    <w:name w:val="FA正文"/>
    <w:basedOn w:val="1"/>
    <w:qFormat/>
    <w:uiPriority w:val="0"/>
    <w:pPr>
      <w:spacing w:line="360" w:lineRule="auto"/>
      <w:ind w:firstLine="200" w:firstLineChars="200"/>
    </w:pPr>
    <w:rPr>
      <w:rFonts w:hAnsi="宋体"/>
      <w:sz w:val="24"/>
      <w:szCs w:val="20"/>
    </w:rPr>
  </w:style>
  <w:style w:type="paragraph" w:customStyle="1" w:styleId="436">
    <w:name w:val="MM Topic 5"/>
    <w:basedOn w:val="8"/>
    <w:qFormat/>
    <w:uiPriority w:val="0"/>
    <w:pPr>
      <w:tabs>
        <w:tab w:val="left" w:pos="2520"/>
      </w:tabs>
      <w:adjustRightInd/>
      <w:ind w:left="2520" w:hanging="420"/>
    </w:pPr>
  </w:style>
  <w:style w:type="paragraph" w:customStyle="1" w:styleId="437">
    <w:name w:val="Char Char Char Char Char Char Char Char Char Char1"/>
    <w:basedOn w:val="1"/>
    <w:qFormat/>
    <w:uiPriority w:val="0"/>
    <w:rPr>
      <w:rFonts w:ascii="仿宋_GB2312" w:eastAsia="仿宋_GB2312"/>
      <w:b/>
      <w:sz w:val="32"/>
      <w:szCs w:val="32"/>
    </w:rPr>
  </w:style>
  <w:style w:type="paragraph" w:customStyle="1" w:styleId="4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微软雅黑"/>
      <w:kern w:val="0"/>
      <w:sz w:val="20"/>
      <w:szCs w:val="20"/>
    </w:rPr>
  </w:style>
  <w:style w:type="paragraph" w:customStyle="1" w:styleId="439">
    <w:name w:val="修订1"/>
    <w:qFormat/>
    <w:uiPriority w:val="0"/>
    <w:rPr>
      <w:rFonts w:ascii="Times New Roman" w:hAnsi="Times New Roman" w:eastAsia="宋体" w:cs="Times New Roman"/>
      <w:color w:val="000000"/>
      <w:kern w:val="2"/>
      <w:sz w:val="21"/>
      <w:szCs w:val="20"/>
      <w:lang w:val="en-US" w:eastAsia="zh-CN" w:bidi="ar-SA"/>
    </w:rPr>
  </w:style>
  <w:style w:type="paragraph" w:customStyle="1" w:styleId="440">
    <w:name w:val="Char2 Char Char Char"/>
    <w:basedOn w:val="1"/>
    <w:qFormat/>
    <w:uiPriority w:val="0"/>
    <w:rPr>
      <w:rFonts w:ascii="仿宋_GB2312" w:eastAsia="仿宋_GB2312"/>
      <w:b/>
      <w:sz w:val="32"/>
      <w:szCs w:val="32"/>
    </w:rPr>
  </w:style>
  <w:style w:type="paragraph" w:customStyle="1" w:styleId="441">
    <w:name w:val="Char2 Char Char Char1"/>
    <w:basedOn w:val="1"/>
    <w:qFormat/>
    <w:uiPriority w:val="0"/>
    <w:rPr>
      <w:rFonts w:ascii="仿宋_GB2312" w:eastAsia="仿宋_GB2312"/>
      <w:b/>
      <w:sz w:val="32"/>
      <w:szCs w:val="32"/>
    </w:rPr>
  </w:style>
  <w:style w:type="paragraph" w:customStyle="1" w:styleId="442">
    <w:name w:val="默认段落样式"/>
    <w:basedOn w:val="127"/>
    <w:qFormat/>
    <w:uiPriority w:val="0"/>
    <w:pPr>
      <w:spacing w:before="0"/>
      <w:outlineLvl w:val="2"/>
    </w:pPr>
    <w:rPr>
      <w:rFonts w:ascii="仿宋_GB2312" w:hAnsi="宋体" w:eastAsia="仿宋_GB2312"/>
      <w:color w:val="000000"/>
      <w:szCs w:val="24"/>
    </w:rPr>
  </w:style>
  <w:style w:type="paragraph" w:customStyle="1" w:styleId="443">
    <w:name w:val="图中文字"/>
    <w:basedOn w:val="1"/>
    <w:qFormat/>
    <w:uiPriority w:val="0"/>
    <w:pPr>
      <w:adjustRightInd w:val="0"/>
      <w:snapToGrid w:val="0"/>
      <w:spacing w:line="0" w:lineRule="atLeast"/>
      <w:ind w:firstLine="200" w:firstLineChars="200"/>
      <w:jc w:val="center"/>
    </w:pPr>
    <w:rPr>
      <w:sz w:val="24"/>
      <w:szCs w:val="20"/>
    </w:rPr>
  </w:style>
  <w:style w:type="paragraph" w:customStyle="1" w:styleId="44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5">
    <w:name w:val="MM Topic 3"/>
    <w:basedOn w:val="5"/>
    <w:qFormat/>
    <w:uiPriority w:val="0"/>
    <w:pPr>
      <w:tabs>
        <w:tab w:val="left" w:pos="1680"/>
      </w:tabs>
      <w:adjustRightInd/>
      <w:ind w:left="1680" w:hanging="420"/>
    </w:pPr>
  </w:style>
  <w:style w:type="paragraph" w:customStyle="1" w:styleId="446">
    <w:name w:val="标准小四"/>
    <w:basedOn w:val="1"/>
    <w:qFormat/>
    <w:uiPriority w:val="0"/>
    <w:pPr>
      <w:spacing w:line="360" w:lineRule="auto"/>
      <w:ind w:firstLine="200" w:firstLineChars="200"/>
    </w:pPr>
    <w:rPr>
      <w:rFonts w:ascii="Arial" w:hAnsi="Arial"/>
      <w:sz w:val="24"/>
      <w:szCs w:val="21"/>
    </w:rPr>
  </w:style>
  <w:style w:type="paragraph" w:customStyle="1" w:styleId="44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448">
    <w:name w:val="表格（小）"/>
    <w:basedOn w:val="1"/>
    <w:qFormat/>
    <w:uiPriority w:val="0"/>
    <w:pPr>
      <w:adjustRightInd/>
      <w:snapToGrid w:val="0"/>
      <w:spacing w:line="300" w:lineRule="auto"/>
    </w:pPr>
    <w:rPr>
      <w:rFonts w:eastAsia="仿宋"/>
      <w:szCs w:val="21"/>
    </w:rPr>
  </w:style>
  <w:style w:type="paragraph" w:customStyle="1" w:styleId="449">
    <w:name w:val="Char Char Char Char Char Char1 Char"/>
    <w:basedOn w:val="1"/>
    <w:qFormat/>
    <w:uiPriority w:val="0"/>
    <w:pPr>
      <w:widowControl/>
      <w:spacing w:after="160" w:line="240" w:lineRule="exact"/>
      <w:jc w:val="left"/>
    </w:pPr>
    <w:rPr>
      <w:rFonts w:ascii="Verdana" w:hAnsi="Verdana"/>
      <w:kern w:val="0"/>
      <w:szCs w:val="20"/>
    </w:rPr>
  </w:style>
  <w:style w:type="paragraph" w:customStyle="1" w:styleId="450">
    <w:name w:val="Char2 Char Char1"/>
    <w:basedOn w:val="1"/>
    <w:qFormat/>
    <w:uiPriority w:val="0"/>
    <w:pPr>
      <w:adjustRightInd/>
    </w:pPr>
    <w:rPr>
      <w:rFonts w:ascii="Tahoma" w:hAnsi="Tahoma"/>
      <w:sz w:val="24"/>
      <w:szCs w:val="20"/>
    </w:rPr>
  </w:style>
  <w:style w:type="paragraph" w:customStyle="1" w:styleId="451">
    <w:name w:val="列出段落5"/>
    <w:basedOn w:val="1"/>
    <w:qFormat/>
    <w:uiPriority w:val="0"/>
    <w:pPr>
      <w:spacing w:line="360" w:lineRule="auto"/>
      <w:ind w:firstLine="200" w:firstLineChars="200"/>
    </w:pPr>
    <w:rPr>
      <w:rFonts w:eastAsia="楷体_GB2312" w:cs="Lucida Sans"/>
      <w:sz w:val="24"/>
    </w:rPr>
  </w:style>
  <w:style w:type="paragraph" w:customStyle="1" w:styleId="4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5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455">
    <w:name w:val="TOC 标题1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5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58">
    <w:name w:val="Char3 Char Char"/>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459">
    <w:name w:val="_Style 3"/>
    <w:basedOn w:val="1"/>
    <w:qFormat/>
    <w:uiPriority w:val="0"/>
    <w:pPr>
      <w:adjustRightInd/>
      <w:ind w:firstLine="200" w:firstLineChars="200"/>
    </w:pPr>
    <w:rPr>
      <w:rFonts w:eastAsia="仿宋_GB2312"/>
      <w:sz w:val="28"/>
    </w:rPr>
  </w:style>
  <w:style w:type="paragraph" w:customStyle="1" w:styleId="46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62">
    <w:name w:val="左对齐表格文字"/>
    <w:basedOn w:val="1"/>
    <w:qFormat/>
    <w:uiPriority w:val="0"/>
    <w:pPr>
      <w:adjustRightInd/>
      <w:ind w:firstLine="200" w:firstLineChars="200"/>
      <w:jc w:val="right"/>
    </w:pPr>
  </w:style>
  <w:style w:type="paragraph" w:customStyle="1" w:styleId="463">
    <w:name w:val="Char Char11 Char Char Char Char Char Char Char Char Char"/>
    <w:basedOn w:val="1"/>
    <w:qFormat/>
    <w:uiPriority w:val="0"/>
    <w:pPr>
      <w:spacing w:line="360" w:lineRule="auto"/>
    </w:pPr>
    <w:rPr>
      <w:szCs w:val="20"/>
    </w:rPr>
  </w:style>
  <w:style w:type="paragraph" w:customStyle="1" w:styleId="464">
    <w:name w:val="正文1.25"/>
    <w:basedOn w:val="1"/>
    <w:qFormat/>
    <w:uiPriority w:val="0"/>
    <w:pPr>
      <w:adjustRightInd/>
      <w:spacing w:line="300" w:lineRule="auto"/>
      <w:ind w:firstLine="200" w:firstLineChars="200"/>
    </w:pPr>
    <w:rPr>
      <w:sz w:val="24"/>
      <w:szCs w:val="20"/>
    </w:rPr>
  </w:style>
  <w:style w:type="paragraph" w:customStyle="1" w:styleId="4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46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szCs w:val="20"/>
      <w:lang w:val="en-US" w:eastAsia="zh-CN" w:bidi="ar-SA"/>
    </w:rPr>
  </w:style>
  <w:style w:type="paragraph" w:customStyle="1" w:styleId="46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68">
    <w:name w:val="Char Char1 Char Char Char1"/>
    <w:basedOn w:val="1"/>
    <w:qFormat/>
    <w:uiPriority w:val="0"/>
    <w:rPr>
      <w:rFonts w:ascii="仿宋_GB2312" w:eastAsia="仿宋_GB2312"/>
      <w:b/>
      <w:sz w:val="32"/>
      <w:szCs w:val="20"/>
    </w:rPr>
  </w:style>
  <w:style w:type="paragraph" w:customStyle="1" w:styleId="469">
    <w:name w:val="列出段落2"/>
    <w:basedOn w:val="1"/>
    <w:qFormat/>
    <w:uiPriority w:val="0"/>
    <w:pPr>
      <w:adjustRightInd/>
      <w:ind w:firstLine="200" w:firstLineChars="200"/>
    </w:pPr>
    <w:rPr>
      <w:rFonts w:ascii="宋体" w:hAnsi="宋体"/>
      <w:sz w:val="24"/>
    </w:rPr>
  </w:style>
  <w:style w:type="paragraph" w:customStyle="1" w:styleId="470">
    <w:name w:val="默认段落字体 Para Char Char Char Char Char Char Char"/>
    <w:basedOn w:val="1"/>
    <w:qFormat/>
    <w:uiPriority w:val="0"/>
    <w:rPr>
      <w:rFonts w:eastAsia="仿宋_GB2312"/>
      <w:sz w:val="28"/>
      <w:szCs w:val="20"/>
    </w:rPr>
  </w:style>
  <w:style w:type="paragraph" w:customStyle="1" w:styleId="47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472">
    <w:name w:val="样式 标题 4PIM 4H4h4bulletblbbH41H42H43H44H45H46H47H48...1"/>
    <w:basedOn w:val="7"/>
    <w:qFormat/>
    <w:uiPriority w:val="0"/>
    <w:pPr>
      <w:keepNext/>
      <w:keepLines/>
      <w:widowControl/>
      <w:jc w:val="left"/>
    </w:pPr>
    <w:rPr>
      <w:rFonts w:cs="宋体"/>
      <w:sz w:val="24"/>
      <w:szCs w:val="20"/>
    </w:rPr>
  </w:style>
  <w:style w:type="paragraph" w:customStyle="1" w:styleId="473">
    <w:name w:val="彩色列表 - 强调文字颜色 11"/>
    <w:basedOn w:val="1"/>
    <w:qFormat/>
    <w:uiPriority w:val="0"/>
    <w:pPr>
      <w:adjustRightInd/>
      <w:ind w:firstLine="200" w:firstLineChars="200"/>
    </w:pPr>
    <w:rPr>
      <w:rFonts w:ascii="Calibri" w:hAnsi="Calibri"/>
      <w:szCs w:val="22"/>
    </w:rPr>
  </w:style>
  <w:style w:type="paragraph" w:customStyle="1" w:styleId="474">
    <w:name w:val="加粗正文"/>
    <w:basedOn w:val="1"/>
    <w:qFormat/>
    <w:uiPriority w:val="0"/>
    <w:pPr>
      <w:adjustRightInd/>
      <w:spacing w:before="50" w:beforeLines="50" w:after="50" w:afterLines="50" w:line="360" w:lineRule="auto"/>
      <w:ind w:firstLine="200" w:firstLineChars="200"/>
    </w:pPr>
    <w:rPr>
      <w:b/>
      <w:bCs/>
      <w:szCs w:val="21"/>
    </w:rPr>
  </w:style>
  <w:style w:type="paragraph" w:customStyle="1" w:styleId="47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47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77">
    <w:name w:val="Char Char Char1 Char1"/>
    <w:basedOn w:val="1"/>
    <w:qFormat/>
    <w:uiPriority w:val="0"/>
    <w:rPr>
      <w:szCs w:val="20"/>
    </w:rPr>
  </w:style>
  <w:style w:type="paragraph" w:customStyle="1" w:styleId="47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7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0">
    <w:name w:val="List Paragraph*"/>
    <w:basedOn w:val="1"/>
    <w:qFormat/>
    <w:uiPriority w:val="0"/>
    <w:pPr>
      <w:adjustRightInd/>
      <w:spacing w:line="360" w:lineRule="auto"/>
      <w:ind w:firstLine="420"/>
    </w:pPr>
    <w:rPr>
      <w:rFonts w:ascii="Calibri" w:hAnsi="Calibri" w:cs="Calibri"/>
      <w:color w:val="000000"/>
      <w:sz w:val="24"/>
      <w:szCs w:val="22"/>
    </w:rPr>
  </w:style>
  <w:style w:type="paragraph" w:customStyle="1" w:styleId="48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CM14"/>
    <w:basedOn w:val="212"/>
    <w:next w:val="212"/>
    <w:qFormat/>
    <w:uiPriority w:val="0"/>
    <w:pPr>
      <w:spacing w:after="68"/>
    </w:pPr>
    <w:rPr>
      <w:rFonts w:ascii="FHLHE E+ Futura Bk" w:hAnsi="FHLHE E+ Futura Bk" w:eastAsia="FHLHE E+ Futura Bk" w:cs="Times New Roman"/>
      <w:color w:val="auto"/>
    </w:rPr>
  </w:style>
  <w:style w:type="paragraph" w:customStyle="1" w:styleId="48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485">
    <w:name w:val="无间隔*"/>
    <w:qFormat/>
    <w:uiPriority w:val="0"/>
    <w:pPr>
      <w:widowControl w:val="0"/>
      <w:jc w:val="both"/>
    </w:pPr>
    <w:rPr>
      <w:rFonts w:ascii="Times New Roman" w:hAnsi="Times New Roman" w:eastAsia="宋体" w:cs="Calibri"/>
      <w:color w:val="000000"/>
      <w:kern w:val="2"/>
      <w:sz w:val="21"/>
      <w:szCs w:val="22"/>
      <w:lang w:val="en-US" w:eastAsia="zh-CN" w:bidi="ar-SA"/>
    </w:rPr>
  </w:style>
  <w:style w:type="paragraph" w:customStyle="1" w:styleId="48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87">
    <w:name w:val="正文文字 2"/>
    <w:basedOn w:val="212"/>
    <w:next w:val="212"/>
    <w:qFormat/>
    <w:uiPriority w:val="0"/>
    <w:rPr>
      <w:rFonts w:ascii="宋体" w:eastAsia="宋体" w:cs="Times New Roman"/>
      <w:color w:val="auto"/>
    </w:rPr>
  </w:style>
  <w:style w:type="paragraph" w:customStyle="1" w:styleId="488">
    <w:name w:val="正文首行缩进两字"/>
    <w:qFormat/>
    <w:uiPriority w:val="0"/>
    <w:pPr>
      <w:spacing w:after="50" w:afterLines="50" w:line="300" w:lineRule="auto"/>
      <w:ind w:right="100" w:rightChars="100" w:firstLine="218" w:firstLineChars="218"/>
    </w:pPr>
    <w:rPr>
      <w:rFonts w:ascii="Times New Roman" w:hAnsi="Times New Roman" w:eastAsia="宋体" w:cs="Times New Roman"/>
      <w:sz w:val="24"/>
      <w:szCs w:val="24"/>
      <w:lang w:val="en-US" w:eastAsia="zh-CN" w:bidi="ar-SA"/>
    </w:rPr>
  </w:style>
  <w:style w:type="paragraph" w:customStyle="1" w:styleId="489">
    <w:name w:val="Char Char1 Char"/>
    <w:basedOn w:val="1"/>
    <w:qFormat/>
    <w:uiPriority w:val="0"/>
    <w:rPr>
      <w:rFonts w:ascii="仿宋_GB2312" w:eastAsia="仿宋_GB2312"/>
      <w:b/>
      <w:sz w:val="32"/>
      <w:szCs w:val="32"/>
    </w:rPr>
  </w:style>
  <w:style w:type="paragraph" w:customStyle="1" w:styleId="49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 Char111"/>
    <w:basedOn w:val="1"/>
    <w:qFormat/>
    <w:uiPriority w:val="0"/>
    <w:pPr>
      <w:spacing w:line="360" w:lineRule="auto"/>
    </w:pPr>
    <w:rPr>
      <w:szCs w:val="20"/>
    </w:rPr>
  </w:style>
  <w:style w:type="paragraph" w:customStyle="1" w:styleId="493">
    <w:name w:val="Char"/>
    <w:basedOn w:val="1"/>
    <w:qFormat/>
    <w:uiPriority w:val="0"/>
    <w:rPr>
      <w:rFonts w:ascii="仿宋_GB2312" w:eastAsia="仿宋_GB2312"/>
      <w:b/>
      <w:sz w:val="32"/>
      <w:szCs w:val="32"/>
    </w:rPr>
  </w:style>
  <w:style w:type="paragraph" w:customStyle="1" w:styleId="49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rPr>
  </w:style>
  <w:style w:type="paragraph" w:customStyle="1" w:styleId="4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496">
    <w:name w:val="Char Char Char1 Char"/>
    <w:basedOn w:val="1"/>
    <w:qFormat/>
    <w:uiPriority w:val="0"/>
    <w:rPr>
      <w:szCs w:val="20"/>
    </w:rPr>
  </w:style>
  <w:style w:type="paragraph" w:customStyle="1" w:styleId="497">
    <w:name w:val="正文标准"/>
    <w:basedOn w:val="1"/>
    <w:qFormat/>
    <w:uiPriority w:val="0"/>
    <w:pPr>
      <w:adjustRightInd/>
      <w:spacing w:line="360" w:lineRule="auto"/>
      <w:ind w:firstLine="200" w:firstLineChars="200"/>
    </w:pPr>
    <w:rPr>
      <w:rFonts w:ascii="宋体" w:hAnsi="Calibri"/>
      <w:sz w:val="24"/>
    </w:rPr>
  </w:style>
  <w:style w:type="paragraph" w:customStyle="1" w:styleId="498">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szCs w:val="20"/>
    </w:rPr>
  </w:style>
  <w:style w:type="paragraph" w:customStyle="1" w:styleId="4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0">
    <w:name w:val="Th"/>
    <w:qFormat/>
    <w:uiPriority w:val="0"/>
    <w:pPr>
      <w:keepNext/>
      <w:keepLines/>
      <w:spacing w:before="20" w:after="60" w:line="220" w:lineRule="exact"/>
      <w:ind w:left="240"/>
    </w:pPr>
    <w:rPr>
      <w:rFonts w:ascii="Times New Roman" w:hAnsi="Times New Roman" w:eastAsia="宋体" w:cs="Times New Roman"/>
      <w:b/>
      <w:sz w:val="19"/>
      <w:szCs w:val="20"/>
      <w:lang w:val="en-US" w:eastAsia="zh-CN" w:bidi="ar-SA"/>
    </w:rPr>
  </w:style>
  <w:style w:type="paragraph" w:customStyle="1" w:styleId="501">
    <w:name w:val="规范正文"/>
    <w:basedOn w:val="1"/>
    <w:qFormat/>
    <w:uiPriority w:val="0"/>
    <w:pPr>
      <w:tabs>
        <w:tab w:val="left" w:pos="840"/>
      </w:tabs>
      <w:spacing w:before="50" w:beforeLines="50" w:line="360" w:lineRule="auto"/>
      <w:ind w:left="840" w:hanging="420"/>
      <w:textAlignment w:val="baseline"/>
    </w:pPr>
    <w:rPr>
      <w:szCs w:val="20"/>
    </w:rPr>
  </w:style>
  <w:style w:type="paragraph" w:customStyle="1" w:styleId="50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03">
    <w:name w:val="Char Char1 Char2"/>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04">
    <w:name w:val="Char Char Char11"/>
    <w:basedOn w:val="1"/>
    <w:qFormat/>
    <w:uiPriority w:val="0"/>
    <w:pPr>
      <w:widowControl/>
      <w:spacing w:after="160" w:line="240" w:lineRule="exact"/>
      <w:jc w:val="left"/>
    </w:pPr>
    <w:rPr>
      <w:rFonts w:ascii="Verdana" w:hAnsi="Verdana"/>
      <w:kern w:val="0"/>
      <w:sz w:val="20"/>
      <w:szCs w:val="20"/>
    </w:rPr>
  </w:style>
  <w:style w:type="paragraph" w:customStyle="1" w:styleId="50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6">
    <w:name w:val="目录4"/>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50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0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0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0">
    <w:name w:val="Char Char Char Char Char Char Char Char Char Char"/>
    <w:basedOn w:val="1"/>
    <w:qFormat/>
    <w:uiPriority w:val="0"/>
    <w:rPr>
      <w:rFonts w:ascii="仿宋_GB2312" w:eastAsia="仿宋_GB2312"/>
      <w:b/>
      <w:sz w:val="32"/>
      <w:szCs w:val="32"/>
    </w:rPr>
  </w:style>
  <w:style w:type="paragraph" w:customStyle="1" w:styleId="51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12">
    <w:name w:val="_正文段落"/>
    <w:basedOn w:val="1"/>
    <w:qFormat/>
    <w:uiPriority w:val="0"/>
    <w:pPr>
      <w:adjustRightInd/>
      <w:ind w:firstLine="560"/>
    </w:pPr>
    <w:rPr>
      <w:rFonts w:ascii="仿宋_GB2312" w:hAnsi="仿宋" w:eastAsia="仿宋_GB2312"/>
      <w:kern w:val="0"/>
      <w:sz w:val="28"/>
      <w:szCs w:val="28"/>
    </w:rPr>
  </w:style>
  <w:style w:type="paragraph" w:customStyle="1" w:styleId="513">
    <w:name w:val="列出段落4"/>
    <w:basedOn w:val="1"/>
    <w:qFormat/>
    <w:uiPriority w:val="0"/>
    <w:pPr>
      <w:adjustRightInd/>
      <w:spacing w:line="360" w:lineRule="auto"/>
      <w:ind w:firstLine="200" w:firstLineChars="200"/>
    </w:pPr>
    <w:rPr>
      <w:rFonts w:ascii="Calibri" w:hAnsi="Calibri"/>
      <w:sz w:val="24"/>
      <w:szCs w:val="22"/>
    </w:rPr>
  </w:style>
  <w:style w:type="paragraph" w:customStyle="1" w:styleId="51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szCs w:val="20"/>
      <w:lang w:val="en-US" w:eastAsia="zh-CN" w:bidi="ar-SA"/>
    </w:rPr>
  </w:style>
  <w:style w:type="paragraph" w:customStyle="1" w:styleId="515">
    <w:name w:val="正文（首行缩进）"/>
    <w:basedOn w:val="25"/>
    <w:qFormat/>
    <w:uiPriority w:val="0"/>
    <w:pPr>
      <w:widowControl/>
      <w:tabs>
        <w:tab w:val="left" w:pos="840"/>
      </w:tabs>
      <w:overflowPunct w:val="0"/>
      <w:autoSpaceDE w:val="0"/>
      <w:autoSpaceDN w:val="0"/>
      <w:spacing w:before="50" w:beforeLines="50" w:after="120" w:line="400" w:lineRule="exact"/>
      <w:ind w:left="200" w:leftChars="200"/>
      <w:jc w:val="left"/>
      <w:textAlignment w:val="baseline"/>
    </w:pPr>
    <w:rPr>
      <w:rFonts w:ascii="Times New Roman" w:hAnsi="Times New Roman"/>
      <w:spacing w:val="10"/>
      <w:kern w:val="0"/>
      <w:szCs w:val="20"/>
    </w:rPr>
  </w:style>
  <w:style w:type="paragraph" w:customStyle="1" w:styleId="51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7">
    <w:name w:val="font9"/>
    <w:basedOn w:val="1"/>
    <w:qFormat/>
    <w:uiPriority w:val="0"/>
    <w:pPr>
      <w:widowControl/>
      <w:adjustRightInd/>
      <w:spacing w:before="100" w:beforeAutospacing="1" w:after="100" w:afterAutospacing="1"/>
      <w:jc w:val="left"/>
    </w:pPr>
    <w:rPr>
      <w:rFonts w:ascii="宋体" w:hAnsi="宋体"/>
      <w:kern w:val="0"/>
      <w:sz w:val="20"/>
      <w:szCs w:val="20"/>
    </w:rPr>
  </w:style>
  <w:style w:type="paragraph" w:customStyle="1" w:styleId="51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19">
    <w:name w:val="Char Char Char1 Char2"/>
    <w:basedOn w:val="1"/>
    <w:qFormat/>
    <w:uiPriority w:val="0"/>
    <w:rPr>
      <w:szCs w:val="20"/>
    </w:rPr>
  </w:style>
  <w:style w:type="paragraph" w:customStyle="1" w:styleId="5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21">
    <w:name w:val="默认段落字体 Para Char"/>
    <w:basedOn w:val="1"/>
    <w:qFormat/>
    <w:uiPriority w:val="0"/>
    <w:rPr>
      <w:rFonts w:ascii="Tahoma" w:hAnsi="Tahoma"/>
      <w:sz w:val="24"/>
      <w:szCs w:val="20"/>
    </w:rPr>
  </w:style>
  <w:style w:type="paragraph" w:customStyle="1" w:styleId="522">
    <w:name w:val="标题五"/>
    <w:basedOn w:val="1"/>
    <w:qFormat/>
    <w:uiPriority w:val="0"/>
    <w:pPr>
      <w:adjustRightInd/>
      <w:spacing w:before="50" w:beforeLines="50" w:line="360" w:lineRule="auto"/>
    </w:pPr>
    <w:rPr>
      <w:b/>
      <w:sz w:val="24"/>
    </w:rPr>
  </w:style>
  <w:style w:type="paragraph" w:customStyle="1" w:styleId="523">
    <w:name w:val="Char Char1101"/>
    <w:basedOn w:val="1"/>
    <w:qFormat/>
    <w:uiPriority w:val="0"/>
    <w:pPr>
      <w:spacing w:line="360" w:lineRule="auto"/>
    </w:pPr>
    <w:rPr>
      <w:rFonts w:ascii="Tahoma" w:hAnsi="Tahoma"/>
      <w:sz w:val="24"/>
      <w:szCs w:val="20"/>
    </w:rPr>
  </w:style>
  <w:style w:type="paragraph" w:customStyle="1" w:styleId="524">
    <w:name w:val="Char Char Char Char Char Char Char Char1"/>
    <w:basedOn w:val="1"/>
    <w:qFormat/>
    <w:uiPriority w:val="0"/>
    <w:pPr>
      <w:tabs>
        <w:tab w:val="left" w:pos="360"/>
      </w:tabs>
    </w:pPr>
    <w:rPr>
      <w:sz w:val="24"/>
      <w:szCs w:val="20"/>
    </w:rPr>
  </w:style>
  <w:style w:type="paragraph" w:customStyle="1" w:styleId="525">
    <w:name w:val="Char Char Char 字元 字元"/>
    <w:basedOn w:val="1"/>
    <w:qFormat/>
    <w:uiPriority w:val="0"/>
    <w:pPr>
      <w:adjustRightInd/>
      <w:spacing w:line="360" w:lineRule="auto"/>
      <w:ind w:firstLine="200" w:firstLineChars="200"/>
    </w:pPr>
    <w:rPr>
      <w:szCs w:val="20"/>
    </w:rPr>
  </w:style>
  <w:style w:type="paragraph" w:customStyle="1" w:styleId="52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27">
    <w:name w:val="Char Char Char Char Char Char Char"/>
    <w:basedOn w:val="1"/>
    <w:qFormat/>
    <w:uiPriority w:val="0"/>
    <w:rPr>
      <w:rFonts w:ascii="仿宋_GB2312" w:eastAsia="仿宋_GB2312"/>
      <w:b/>
      <w:sz w:val="32"/>
      <w:szCs w:val="32"/>
    </w:rPr>
  </w:style>
  <w:style w:type="paragraph" w:customStyle="1" w:styleId="52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2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3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3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32">
    <w:name w:val="批注框文本 Char Char"/>
    <w:basedOn w:val="1"/>
    <w:qFormat/>
    <w:uiPriority w:val="0"/>
    <w:pPr>
      <w:adjustRightInd/>
    </w:pPr>
    <w:rPr>
      <w:sz w:val="18"/>
      <w:szCs w:val="20"/>
    </w:rPr>
  </w:style>
  <w:style w:type="paragraph" w:customStyle="1" w:styleId="5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3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37">
    <w:name w:val="索引 11"/>
    <w:basedOn w:val="1"/>
    <w:next w:val="1"/>
    <w:qFormat/>
    <w:uiPriority w:val="0"/>
    <w:pPr>
      <w:adjustRightInd/>
      <w:spacing w:line="360" w:lineRule="auto"/>
    </w:pPr>
    <w:rPr>
      <w:rFonts w:ascii="仿宋_GB2312" w:eastAsia="仿宋_GB2312"/>
      <w:sz w:val="24"/>
      <w:szCs w:val="20"/>
    </w:rPr>
  </w:style>
  <w:style w:type="paragraph" w:customStyle="1" w:styleId="53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39">
    <w:name w:val="样式"/>
    <w:basedOn w:val="1"/>
    <w:qFormat/>
    <w:uiPriority w:val="0"/>
    <w:pPr>
      <w:autoSpaceDE w:val="0"/>
      <w:autoSpaceDN w:val="0"/>
      <w:adjustRightInd w:val="0"/>
      <w:snapToGrid w:val="0"/>
      <w:spacing w:before="120" w:after="120" w:line="360" w:lineRule="auto"/>
    </w:pPr>
    <w:rPr>
      <w:rFonts w:ascii="宋体"/>
      <w:sz w:val="24"/>
      <w:szCs w:val="20"/>
    </w:rPr>
  </w:style>
  <w:style w:type="paragraph" w:customStyle="1" w:styleId="540">
    <w:name w:val="正文文字缩进项目"/>
    <w:basedOn w:val="25"/>
    <w:qFormat/>
    <w:uiPriority w:val="0"/>
    <w:pPr>
      <w:tabs>
        <w:tab w:val="left" w:pos="840"/>
      </w:tabs>
      <w:adjustRightInd/>
      <w:spacing w:after="120" w:line="240" w:lineRule="auto"/>
      <w:ind w:left="0" w:hanging="420" w:firstLineChars="0"/>
    </w:pPr>
    <w:rPr>
      <w:rFonts w:ascii="Tahoma" w:hAnsi="Tahoma"/>
      <w:sz w:val="22"/>
      <w:szCs w:val="20"/>
    </w:rPr>
  </w:style>
  <w:style w:type="paragraph" w:customStyle="1" w:styleId="541">
    <w:name w:val="文档正文"/>
    <w:basedOn w:val="1"/>
    <w:qFormat/>
    <w:uiPriority w:val="0"/>
    <w:pPr>
      <w:spacing w:line="480" w:lineRule="atLeast"/>
      <w:ind w:firstLine="567"/>
      <w:textAlignment w:val="baseline"/>
    </w:pPr>
    <w:rPr>
      <w:kern w:val="0"/>
      <w:sz w:val="24"/>
      <w:szCs w:val="20"/>
    </w:rPr>
  </w:style>
  <w:style w:type="paragraph" w:customStyle="1" w:styleId="542">
    <w:name w:val="正文文字表格居中"/>
    <w:basedOn w:val="1"/>
    <w:next w:val="56"/>
    <w:qFormat/>
    <w:uiPriority w:val="0"/>
    <w:pPr>
      <w:adjustRightInd w:val="0"/>
      <w:snapToGrid w:val="0"/>
      <w:spacing w:line="360" w:lineRule="auto"/>
    </w:pPr>
    <w:rPr>
      <w:rFonts w:ascii="宋体"/>
      <w:b/>
      <w:sz w:val="24"/>
      <w:szCs w:val="20"/>
    </w:rPr>
  </w:style>
  <w:style w:type="paragraph" w:customStyle="1" w:styleId="543">
    <w:name w:val="规划正文"/>
    <w:basedOn w:val="1"/>
    <w:qFormat/>
    <w:uiPriority w:val="0"/>
    <w:pPr>
      <w:adjustRightInd/>
      <w:spacing w:before="100" w:beforeLines="100" w:line="360" w:lineRule="auto"/>
      <w:jc w:val="left"/>
    </w:pPr>
    <w:rPr>
      <w:rFonts w:ascii="Arial" w:hAnsi="Arial" w:eastAsia="仿宋_GB2312"/>
      <w:bCs/>
      <w:sz w:val="28"/>
    </w:rPr>
  </w:style>
  <w:style w:type="paragraph" w:customStyle="1" w:styleId="54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545">
    <w:name w:val="Plain Text1"/>
    <w:basedOn w:val="1"/>
    <w:qFormat/>
    <w:uiPriority w:val="0"/>
    <w:pPr>
      <w:adjustRightInd/>
    </w:pPr>
    <w:rPr>
      <w:rFonts w:ascii="宋体" w:hAnsi="Courier New"/>
    </w:rPr>
  </w:style>
  <w:style w:type="paragraph" w:customStyle="1" w:styleId="546">
    <w:name w:val="Char3"/>
    <w:basedOn w:val="1"/>
    <w:qFormat/>
    <w:uiPriority w:val="0"/>
    <w:pPr>
      <w:adjustRightInd/>
    </w:pPr>
    <w:rPr>
      <w:rFonts w:ascii="仿宋_GB2312" w:eastAsia="仿宋_GB2312"/>
      <w:b/>
      <w:sz w:val="32"/>
      <w:szCs w:val="32"/>
    </w:rPr>
  </w:style>
  <w:style w:type="paragraph" w:customStyle="1" w:styleId="5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550">
    <w:name w:val="List Paragraph1"/>
    <w:basedOn w:val="1"/>
    <w:qFormat/>
    <w:uiPriority w:val="0"/>
    <w:pPr>
      <w:spacing w:line="360" w:lineRule="auto"/>
      <w:ind w:firstLine="200" w:firstLineChars="200"/>
    </w:pPr>
    <w:rPr>
      <w:rFonts w:eastAsia="楷体_GB2312" w:cs="Lucida Sans"/>
      <w:sz w:val="24"/>
    </w:rPr>
  </w:style>
  <w:style w:type="paragraph" w:customStyle="1" w:styleId="551">
    <w:name w:val="样式 标题 3标题 3 Char第二层条h33Bold Headbh章标题1小标题level_3PIM 3..."/>
    <w:basedOn w:val="5"/>
    <w:qFormat/>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5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3">
    <w:name w:val="样式 小四 首行缩进:  0.74 厘米 行距: 1.5 倍行距"/>
    <w:basedOn w:val="1"/>
    <w:qFormat/>
    <w:uiPriority w:val="0"/>
    <w:pPr>
      <w:adjustRightInd/>
      <w:spacing w:before="100" w:beforeAutospacing="1" w:after="100" w:afterAutospacing="1" w:line="300" w:lineRule="auto"/>
      <w:ind w:firstLine="200" w:firstLineChars="200"/>
    </w:pPr>
    <w:rPr>
      <w:rFonts w:ascii="宋体" w:hAnsi="宋体" w:eastAsia="微软雅黑"/>
      <w:sz w:val="24"/>
    </w:rPr>
  </w:style>
  <w:style w:type="paragraph" w:customStyle="1" w:styleId="554">
    <w:name w:val="Char3 Char Char Char"/>
    <w:basedOn w:val="1"/>
    <w:qFormat/>
    <w:uiPriority w:val="0"/>
    <w:pPr>
      <w:widowControl/>
      <w:adjustRightInd/>
      <w:spacing w:after="160" w:line="240" w:lineRule="exact"/>
      <w:jc w:val="left"/>
    </w:pPr>
    <w:rPr>
      <w:szCs w:val="20"/>
    </w:rPr>
  </w:style>
  <w:style w:type="paragraph" w:customStyle="1" w:styleId="555">
    <w:name w:val="表格内文"/>
    <w:basedOn w:val="1"/>
    <w:qFormat/>
    <w:uiPriority w:val="0"/>
    <w:pPr>
      <w:adjustRightInd/>
      <w:spacing w:line="360" w:lineRule="auto"/>
    </w:pPr>
    <w:rPr>
      <w:rFonts w:ascii="宋体" w:hAnsi="宋体" w:cs="宋体"/>
      <w:color w:val="000000"/>
      <w:szCs w:val="20"/>
    </w:rPr>
  </w:style>
  <w:style w:type="paragraph" w:customStyle="1" w:styleId="556">
    <w:name w:val="表格标题2"/>
    <w:basedOn w:val="555"/>
    <w:qFormat/>
    <w:uiPriority w:val="0"/>
    <w:rPr>
      <w:b/>
    </w:rPr>
  </w:style>
  <w:style w:type="paragraph" w:customStyle="1" w:styleId="557">
    <w:name w:val="Char Char Char Char Char Char Char Char Char Char2"/>
    <w:basedOn w:val="1"/>
    <w:qFormat/>
    <w:uiPriority w:val="0"/>
    <w:rPr>
      <w:rFonts w:ascii="仿宋_GB2312" w:eastAsia="仿宋_GB2312"/>
      <w:b/>
      <w:sz w:val="32"/>
      <w:szCs w:val="32"/>
    </w:rPr>
  </w:style>
  <w:style w:type="paragraph" w:customStyle="1" w:styleId="558">
    <w:name w:val="正文，首行缩进:  2 字符"/>
    <w:qFormat/>
    <w:uiPriority w:val="0"/>
    <w:pPr>
      <w:spacing w:line="360" w:lineRule="auto"/>
      <w:ind w:firstLine="200" w:firstLineChars="200"/>
    </w:pPr>
    <w:rPr>
      <w:rFonts w:ascii="Arial" w:hAnsi="Arial" w:eastAsia="仿宋_GB2312" w:cs="Times New Roman"/>
      <w:kern w:val="2"/>
      <w:sz w:val="24"/>
      <w:szCs w:val="24"/>
      <w:lang w:val="en-US" w:eastAsia="zh-CN" w:bidi="ar-SA"/>
    </w:rPr>
  </w:style>
  <w:style w:type="paragraph" w:customStyle="1" w:styleId="55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560">
    <w:name w:val="Char Char11 Char Char Char Char Char Char Char Char Char11"/>
    <w:basedOn w:val="1"/>
    <w:qFormat/>
    <w:uiPriority w:val="0"/>
    <w:pPr>
      <w:spacing w:line="360" w:lineRule="auto"/>
    </w:pPr>
    <w:rPr>
      <w:szCs w:val="20"/>
    </w:rPr>
  </w:style>
  <w:style w:type="paragraph" w:customStyle="1" w:styleId="56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6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63">
    <w:name w:val="MM Topic 1"/>
    <w:basedOn w:val="3"/>
    <w:qFormat/>
    <w:uiPriority w:val="0"/>
    <w:pPr>
      <w:tabs>
        <w:tab w:val="left" w:pos="840"/>
      </w:tabs>
      <w:adjustRightInd/>
      <w:ind w:left="840" w:hanging="420"/>
    </w:pPr>
  </w:style>
  <w:style w:type="paragraph" w:customStyle="1" w:styleId="564">
    <w:name w:val="样式 标题 2标题2H2Heading 2 HiddenHeading 2 CCBSheading 22nd lev..."/>
    <w:basedOn w:val="4"/>
    <w:qFormat/>
    <w:uiPriority w:val="0"/>
    <w:pPr>
      <w:keepNext/>
      <w:keepLines/>
      <w:widowControl/>
      <w:spacing w:before="260" w:after="260" w:line="415" w:lineRule="auto"/>
      <w:ind w:left="0" w:firstLine="0"/>
    </w:pPr>
    <w:rPr>
      <w:rFonts w:ascii="Arial" w:hAnsi="Arial" w:eastAsia="黑体"/>
      <w:sz w:val="30"/>
      <w:szCs w:val="21"/>
    </w:rPr>
  </w:style>
  <w:style w:type="paragraph" w:customStyle="1" w:styleId="565">
    <w:name w:val="文本正文 Char"/>
    <w:basedOn w:val="1"/>
    <w:qFormat/>
    <w:uiPriority w:val="0"/>
    <w:pPr>
      <w:spacing w:line="360" w:lineRule="auto"/>
      <w:ind w:firstLine="200" w:firstLineChars="200"/>
    </w:pPr>
    <w:rPr>
      <w:kern w:val="0"/>
      <w:sz w:val="24"/>
      <w:szCs w:val="20"/>
    </w:rPr>
  </w:style>
  <w:style w:type="paragraph" w:customStyle="1" w:styleId="566">
    <w:name w:val="表格"/>
    <w:basedOn w:val="1"/>
    <w:qFormat/>
    <w:uiPriority w:val="0"/>
    <w:pPr>
      <w:adjustRightInd w:val="0"/>
      <w:snapToGrid w:val="0"/>
      <w:ind w:firstLine="21" w:firstLineChars="21"/>
    </w:pPr>
    <w:rPr>
      <w:rFonts w:ascii="宋体" w:hAnsi="宋体"/>
      <w:kern w:val="0"/>
      <w:sz w:val="20"/>
      <w:szCs w:val="20"/>
    </w:rPr>
  </w:style>
  <w:style w:type="paragraph" w:customStyle="1" w:styleId="567">
    <w:name w:val="标书标题4"/>
    <w:basedOn w:val="7"/>
    <w:qFormat/>
    <w:uiPriority w:val="0"/>
    <w:pPr>
      <w:keepNext/>
      <w:keepLines w:val="0"/>
      <w:adjustRightInd w:val="0"/>
      <w:snapToGrid w:val="0"/>
      <w:spacing w:before="0" w:after="0" w:line="300" w:lineRule="auto"/>
    </w:pPr>
    <w:rPr>
      <w:rFonts w:ascii="Arial Narrow" w:hAnsi="Arial Narrow" w:eastAsia="仿宋_GB2312"/>
      <w:bCs w:val="0"/>
      <w:color w:val="000000"/>
      <w:kern w:val="0"/>
      <w:szCs w:val="32"/>
      <w:lang w:val="en-US"/>
    </w:rPr>
  </w:style>
  <w:style w:type="paragraph" w:customStyle="1" w:styleId="568">
    <w:name w:val="插图题注"/>
    <w:next w:val="1"/>
    <w:qFormat/>
    <w:uiPriority w:val="0"/>
    <w:pPr>
      <w:tabs>
        <w:tab w:val="left" w:pos="3780"/>
      </w:tabs>
      <w:spacing w:after="100" w:afterLines="100"/>
      <w:ind w:left="1089" w:hanging="369"/>
      <w:jc w:val="center"/>
    </w:pPr>
    <w:rPr>
      <w:rFonts w:ascii="Arial" w:hAnsi="Arial" w:eastAsia="宋体" w:cs="Times New Roman"/>
      <w:sz w:val="18"/>
      <w:szCs w:val="18"/>
      <w:lang w:val="en-US" w:eastAsia="zh-CN" w:bidi="ar-SA"/>
    </w:rPr>
  </w:style>
  <w:style w:type="paragraph" w:customStyle="1" w:styleId="56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表格项目符号 2"/>
    <w:basedOn w:val="29"/>
    <w:qFormat/>
    <w:uiPriority w:val="0"/>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71">
    <w:name w:val="EB_表格"/>
    <w:basedOn w:val="1"/>
    <w:qFormat/>
    <w:uiPriority w:val="0"/>
    <w:pPr>
      <w:adjustRightInd/>
      <w:spacing w:line="300" w:lineRule="auto"/>
      <w:jc w:val="center"/>
    </w:pPr>
  </w:style>
  <w:style w:type="paragraph" w:customStyle="1" w:styleId="572">
    <w:name w:val="_Style 6"/>
    <w:basedOn w:val="1"/>
    <w:qFormat/>
    <w:uiPriority w:val="0"/>
    <w:pPr>
      <w:adjustRightInd/>
      <w:ind w:firstLine="200" w:firstLineChars="200"/>
    </w:pPr>
    <w:rPr>
      <w:rFonts w:eastAsia="仿宋_GB2312"/>
      <w:sz w:val="28"/>
    </w:rPr>
  </w:style>
  <w:style w:type="paragraph" w:customStyle="1" w:styleId="573">
    <w:name w:val="zTableCellBody"/>
    <w:basedOn w:val="1"/>
    <w:qFormat/>
    <w:uiPriority w:val="0"/>
    <w:pPr>
      <w:keepNext/>
      <w:keepLines/>
      <w:widowControl/>
      <w:adjustRightInd/>
      <w:spacing w:line="320" w:lineRule="exact"/>
      <w:ind w:firstLine="200" w:firstLineChars="200"/>
      <w:jc w:val="left"/>
    </w:pPr>
    <w:rPr>
      <w:rFonts w:ascii="Arial" w:hAnsi="Arial"/>
      <w:kern w:val="0"/>
      <w:sz w:val="24"/>
    </w:rPr>
  </w:style>
  <w:style w:type="paragraph" w:customStyle="1" w:styleId="57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7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57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7">
    <w:name w:val="正文表标题"/>
    <w:next w:val="578"/>
    <w:qFormat/>
    <w:uiPriority w:val="0"/>
    <w:pPr>
      <w:tabs>
        <w:tab w:val="left" w:pos="840"/>
      </w:tabs>
      <w:ind w:left="840" w:hanging="420"/>
      <w:jc w:val="center"/>
    </w:pPr>
    <w:rPr>
      <w:rFonts w:ascii="黑体" w:hAnsi="Times New Roman" w:eastAsia="黑体" w:cs="Times New Roman"/>
      <w:sz w:val="21"/>
      <w:szCs w:val="20"/>
      <w:lang w:val="en-US" w:eastAsia="zh-CN" w:bidi="ar-SA"/>
    </w:rPr>
  </w:style>
  <w:style w:type="paragraph" w:customStyle="1" w:styleId="578">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579">
    <w:name w:val="Char Char Char Char Char Char"/>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580">
    <w:name w:val="trademark"/>
    <w:qFormat/>
    <w:uiPriority w:val="0"/>
    <w:pPr>
      <w:spacing w:after="60"/>
    </w:pPr>
    <w:rPr>
      <w:rFonts w:ascii="Futura Bk" w:hAnsi="Futura Bk" w:eastAsia="宋体" w:cs="Times New Roman"/>
      <w:sz w:val="15"/>
      <w:szCs w:val="20"/>
      <w:lang w:val="en-US" w:eastAsia="zh-CN" w:bidi="ar-SA"/>
    </w:rPr>
  </w:style>
  <w:style w:type="paragraph" w:customStyle="1" w:styleId="581">
    <w:name w:val="Bullet with text 4"/>
    <w:basedOn w:val="1"/>
    <w:qFormat/>
    <w:uiPriority w:val="0"/>
    <w:pPr>
      <w:widowControl/>
      <w:tabs>
        <w:tab w:val="left" w:pos="1440"/>
      </w:tabs>
      <w:adjustRightInd/>
      <w:ind w:left="1440" w:firstLine="200" w:firstLineChars="200"/>
      <w:jc w:val="left"/>
    </w:pPr>
    <w:rPr>
      <w:rFonts w:ascii="Arial" w:hAnsi="Arial"/>
      <w:kern w:val="0"/>
      <w:sz w:val="20"/>
      <w:szCs w:val="20"/>
      <w:lang w:val="en-GB"/>
    </w:rPr>
  </w:style>
  <w:style w:type="paragraph" w:customStyle="1" w:styleId="582">
    <w:name w:val="Char Char1 Char Char Char Char Char Char1"/>
    <w:basedOn w:val="1"/>
    <w:qFormat/>
    <w:uiPriority w:val="0"/>
    <w:rPr>
      <w:rFonts w:ascii="仿宋_GB2312" w:eastAsia="仿宋_GB2312"/>
      <w:b/>
      <w:sz w:val="32"/>
      <w:szCs w:val="20"/>
    </w:rPr>
  </w:style>
  <w:style w:type="paragraph" w:customStyle="1" w:styleId="58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84">
    <w:name w:val="Char1 Char Char Char1"/>
    <w:basedOn w:val="1"/>
    <w:qFormat/>
    <w:uiPriority w:val="0"/>
    <w:pPr>
      <w:adjustRightInd/>
      <w:ind w:firstLine="200" w:firstLineChars="200"/>
    </w:pPr>
    <w:rPr>
      <w:rFonts w:ascii="Tahoma" w:hAnsi="Tahoma"/>
      <w:sz w:val="24"/>
      <w:szCs w:val="20"/>
    </w:rPr>
  </w:style>
  <w:style w:type="paragraph" w:customStyle="1" w:styleId="585">
    <w:name w:val="a1"/>
    <w:basedOn w:val="1"/>
    <w:qFormat/>
    <w:uiPriority w:val="0"/>
    <w:pPr>
      <w:widowControl/>
      <w:spacing w:line="300" w:lineRule="atLeast"/>
      <w:jc w:val="left"/>
    </w:pPr>
    <w:rPr>
      <w:rFonts w:ascii="宋体" w:hAnsi="宋体"/>
      <w:kern w:val="0"/>
      <w:sz w:val="18"/>
      <w:szCs w:val="20"/>
    </w:rPr>
  </w:style>
  <w:style w:type="paragraph" w:customStyle="1" w:styleId="5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87">
    <w:name w:val="样式7"/>
    <w:basedOn w:val="586"/>
    <w:next w:val="1"/>
    <w:qFormat/>
    <w:uiPriority w:val="0"/>
    <w:pPr>
      <w:spacing w:after="50" w:afterLines="50"/>
      <w:jc w:val="left"/>
      <w:outlineLvl w:val="3"/>
    </w:pPr>
    <w:rPr>
      <w:sz w:val="24"/>
      <w:szCs w:val="24"/>
    </w:rPr>
  </w:style>
  <w:style w:type="paragraph" w:customStyle="1" w:styleId="58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90">
    <w:name w:val="样式 样式2 + 左侧:  1 字符 右侧:  1 字符"/>
    <w:basedOn w:val="39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91">
    <w:name w:val="Char2 Char Char2"/>
    <w:basedOn w:val="1"/>
    <w:qFormat/>
    <w:uiPriority w:val="0"/>
    <w:pPr>
      <w:adjustRightInd/>
    </w:pPr>
    <w:rPr>
      <w:rFonts w:ascii="Tahoma" w:hAnsi="Tahoma"/>
      <w:sz w:val="24"/>
      <w:szCs w:val="20"/>
    </w:rPr>
  </w:style>
  <w:style w:type="paragraph" w:customStyle="1" w:styleId="592">
    <w:name w:val="Char1 Char Char Char"/>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593">
    <w:name w:val="章标题"/>
    <w:next w:val="578"/>
    <w:qFormat/>
    <w:uiPriority w:val="0"/>
    <w:pPr>
      <w:tabs>
        <w:tab w:val="left" w:pos="1260"/>
      </w:tabs>
      <w:spacing w:before="50" w:beforeLines="50" w:after="50" w:afterLines="50"/>
      <w:ind w:left="1260" w:hanging="420"/>
      <w:jc w:val="both"/>
      <w:outlineLvl w:val="1"/>
    </w:pPr>
    <w:rPr>
      <w:rFonts w:ascii="黑体" w:hAnsi="Times New Roman" w:eastAsia="黑体" w:cs="Times New Roman"/>
      <w:sz w:val="21"/>
      <w:szCs w:val="20"/>
      <w:lang w:val="en-US" w:eastAsia="zh-CN" w:bidi="ar-SA"/>
    </w:rPr>
  </w:style>
  <w:style w:type="paragraph" w:customStyle="1" w:styleId="594">
    <w:name w:val="一级条标题"/>
    <w:basedOn w:val="593"/>
    <w:next w:val="578"/>
    <w:qFormat/>
    <w:uiPriority w:val="0"/>
    <w:pPr>
      <w:tabs>
        <w:tab w:val="left" w:pos="1680"/>
      </w:tabs>
      <w:spacing w:before="0" w:beforeLines="0" w:after="0" w:afterLines="0"/>
      <w:ind w:left="1680"/>
      <w:outlineLvl w:val="2"/>
    </w:pPr>
  </w:style>
  <w:style w:type="paragraph" w:customStyle="1" w:styleId="595">
    <w:name w:val="二级条标题"/>
    <w:basedOn w:val="594"/>
    <w:next w:val="578"/>
    <w:qFormat/>
    <w:uiPriority w:val="0"/>
    <w:pPr>
      <w:tabs>
        <w:tab w:val="left" w:pos="2100"/>
      </w:tabs>
      <w:ind w:left="0"/>
      <w:outlineLvl w:val="3"/>
    </w:pPr>
  </w:style>
  <w:style w:type="paragraph" w:customStyle="1" w:styleId="596">
    <w:name w:val="三级条标题"/>
    <w:basedOn w:val="595"/>
    <w:next w:val="578"/>
    <w:qFormat/>
    <w:uiPriority w:val="0"/>
    <w:pPr>
      <w:tabs>
        <w:tab w:val="left" w:pos="2520"/>
      </w:tabs>
      <w:ind w:left="2520"/>
      <w:outlineLvl w:val="4"/>
    </w:pPr>
  </w:style>
  <w:style w:type="paragraph" w:customStyle="1" w:styleId="597">
    <w:name w:val="数字标题2"/>
    <w:basedOn w:val="4"/>
    <w:next w:val="1"/>
    <w:qFormat/>
    <w:uiPriority w:val="0"/>
    <w:pPr>
      <w:tabs>
        <w:tab w:val="left" w:pos="480"/>
      </w:tabs>
      <w:ind w:left="480" w:hanging="480"/>
    </w:pPr>
    <w:rPr>
      <w:rFonts w:ascii="Times New Roman" w:hAnsi="Times New Roman" w:eastAsia="宋体"/>
      <w:i/>
      <w:sz w:val="36"/>
      <w:szCs w:val="36"/>
      <w:lang w:val="en-US"/>
    </w:rPr>
  </w:style>
  <w:style w:type="paragraph" w:customStyle="1" w:styleId="59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9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0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0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0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04">
    <w:name w:val="正文 项目2"/>
    <w:basedOn w:val="603"/>
    <w:qFormat/>
    <w:uiPriority w:val="0"/>
    <w:pPr>
      <w:spacing w:after="0"/>
      <w:ind w:left="900"/>
    </w:pPr>
  </w:style>
  <w:style w:type="paragraph" w:customStyle="1" w:styleId="605">
    <w:name w:val="Body Text 2*"/>
    <w:basedOn w:val="1"/>
    <w:qFormat/>
    <w:uiPriority w:val="0"/>
    <w:pPr>
      <w:widowControl/>
      <w:adjustRightInd/>
      <w:ind w:left="720" w:hanging="720"/>
    </w:pPr>
    <w:rPr>
      <w:color w:val="000000"/>
      <w:kern w:val="0"/>
      <w:sz w:val="24"/>
      <w:szCs w:val="20"/>
      <w:lang w:val="en-GB"/>
    </w:rPr>
  </w:style>
  <w:style w:type="paragraph" w:customStyle="1" w:styleId="606">
    <w:name w:val="表1"/>
    <w:basedOn w:val="1"/>
    <w:qFormat/>
    <w:uiPriority w:val="0"/>
    <w:pPr>
      <w:tabs>
        <w:tab w:val="left" w:pos="703"/>
      </w:tabs>
      <w:adjustRightInd/>
      <w:spacing w:line="360" w:lineRule="auto"/>
      <w:ind w:left="703"/>
      <w:jc w:val="center"/>
    </w:pPr>
  </w:style>
  <w:style w:type="paragraph" w:customStyle="1" w:styleId="607">
    <w:name w:val="_Style 27"/>
    <w:qFormat/>
    <w:uiPriority w:val="0"/>
    <w:pPr>
      <w:widowControl w:val="0"/>
      <w:tabs>
        <w:tab w:val="left" w:pos="480"/>
      </w:tabs>
      <w:autoSpaceDE w:val="0"/>
      <w:autoSpaceDN w:val="0"/>
      <w:adjustRightInd w:val="0"/>
      <w:snapToGrid w:val="0"/>
    </w:pPr>
    <w:rPr>
      <w:rFonts w:ascii="Calibri" w:hAnsi="Calibri" w:eastAsia="宋体" w:cs="Times New Roman"/>
      <w:sz w:val="20"/>
      <w:szCs w:val="24"/>
      <w:lang w:val="en-US" w:eastAsia="zh-CN" w:bidi="ar-SA"/>
    </w:rPr>
  </w:style>
  <w:style w:type="paragraph" w:customStyle="1" w:styleId="608">
    <w:name w:val="样式 样式 标题 4 + 非加粗 + (中文) 黑体 段前: 0 磅 段后: 0 磅 行距: 固定值 22 磅"/>
    <w:basedOn w:val="1"/>
    <w:qFormat/>
    <w:uiPriority w:val="0"/>
    <w:pPr>
      <w:keepNext/>
      <w:keepLines/>
      <w:adjustRightInd/>
      <w:spacing w:before="50" w:beforeLines="50" w:after="50" w:afterLines="50" w:line="500" w:lineRule="exact"/>
      <w:outlineLvl w:val="3"/>
    </w:pPr>
    <w:rPr>
      <w:rFonts w:ascii="Arial" w:hAnsi="Arial"/>
      <w:b/>
      <w:bCs/>
      <w:sz w:val="24"/>
    </w:rPr>
  </w:style>
  <w:style w:type="paragraph" w:customStyle="1" w:styleId="609">
    <w:name w:val="章正文"/>
    <w:basedOn w:val="1"/>
    <w:qFormat/>
    <w:uiPriority w:val="0"/>
    <w:pPr>
      <w:adjustRightInd/>
      <w:spacing w:before="50" w:beforeLines="50" w:after="120" w:line="300" w:lineRule="auto"/>
      <w:ind w:firstLine="200" w:firstLineChars="200"/>
    </w:pPr>
    <w:rPr>
      <w:rFonts w:ascii="Helvetica" w:hAnsi="Helvetica"/>
      <w:kern w:val="0"/>
      <w:sz w:val="24"/>
    </w:rPr>
  </w:style>
  <w:style w:type="paragraph" w:customStyle="1" w:styleId="610">
    <w:name w:val="1级标题"/>
    <w:basedOn w:val="1"/>
    <w:qFormat/>
    <w:uiPriority w:val="0"/>
    <w:pPr>
      <w:adjustRightInd/>
      <w:spacing w:before="10" w:beforeLines="10" w:after="10" w:afterLines="10" w:line="360" w:lineRule="auto"/>
      <w:jc w:val="center"/>
      <w:outlineLvl w:val="0"/>
    </w:pPr>
    <w:rPr>
      <w:rFonts w:ascii="Calibri" w:hAnsi="Calibri"/>
      <w:b/>
      <w:sz w:val="44"/>
      <w:szCs w:val="22"/>
    </w:rPr>
  </w:style>
  <w:style w:type="paragraph" w:customStyle="1" w:styleId="611">
    <w:name w:val="2级标题"/>
    <w:basedOn w:val="610"/>
    <w:qFormat/>
    <w:uiPriority w:val="0"/>
    <w:pPr>
      <w:jc w:val="left"/>
      <w:outlineLvl w:val="1"/>
    </w:pPr>
    <w:rPr>
      <w:rFonts w:ascii="Times New Roman" w:hAnsi="Times New Roman" w:eastAsia="仿宋"/>
      <w:sz w:val="30"/>
    </w:rPr>
  </w:style>
  <w:style w:type="paragraph" w:customStyle="1" w:styleId="612">
    <w:name w:val="正文 New New New New"/>
    <w:qFormat/>
    <w:uiPriority w:val="0"/>
    <w:pPr>
      <w:widowControl w:val="0"/>
      <w:jc w:val="both"/>
    </w:pPr>
    <w:rPr>
      <w:rFonts w:ascii="Times New Roman" w:hAnsi="Times New Roman" w:eastAsia="宋体" w:cs="Times New Roman"/>
      <w:color w:val="000000"/>
      <w:sz w:val="20"/>
      <w:szCs w:val="24"/>
      <w:lang w:val="en-US" w:eastAsia="zh-CN" w:bidi="ar-SA"/>
    </w:rPr>
  </w:style>
  <w:style w:type="paragraph" w:customStyle="1" w:styleId="613">
    <w:name w:val="样式 微软雅黑 行距: 1.5 倍行距"/>
    <w:basedOn w:val="1"/>
    <w:qFormat/>
    <w:uiPriority w:val="0"/>
    <w:pPr>
      <w:adjustRightInd/>
      <w:spacing w:line="360" w:lineRule="auto"/>
      <w:ind w:firstLine="200" w:firstLineChars="200"/>
    </w:pPr>
    <w:rPr>
      <w:rFonts w:ascii="微软雅黑" w:hAnsi="宋体" w:eastAsia="微软雅黑" w:cs="宋体"/>
      <w:sz w:val="24"/>
      <w:szCs w:val="20"/>
    </w:rPr>
  </w:style>
  <w:style w:type="paragraph" w:customStyle="1" w:styleId="61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16">
    <w:name w:val="bullet"/>
    <w:basedOn w:val="1"/>
    <w:qFormat/>
    <w:uiPriority w:val="0"/>
    <w:pPr>
      <w:tabs>
        <w:tab w:val="left" w:pos="840"/>
      </w:tabs>
      <w:adjustRightInd/>
      <w:ind w:left="840" w:hanging="420"/>
    </w:pPr>
  </w:style>
  <w:style w:type="paragraph" w:customStyle="1" w:styleId="61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18">
    <w:name w:val="普通正文"/>
    <w:basedOn w:val="1"/>
    <w:qFormat/>
    <w:uiPriority w:val="0"/>
    <w:pPr>
      <w:tabs>
        <w:tab w:val="left" w:pos="2280"/>
      </w:tabs>
      <w:spacing w:before="120" w:after="120" w:line="360" w:lineRule="auto"/>
      <w:ind w:firstLine="200" w:firstLineChars="200"/>
      <w:jc w:val="left"/>
      <w:textAlignment w:val="baseline"/>
    </w:pPr>
    <w:rPr>
      <w:rFonts w:ascii="Arial" w:hAnsi="Arial"/>
      <w:kern w:val="0"/>
      <w:sz w:val="24"/>
    </w:rPr>
  </w:style>
  <w:style w:type="paragraph" w:customStyle="1" w:styleId="61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2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21">
    <w:name w:val="Preformatted Text"/>
    <w:basedOn w:val="1"/>
    <w:qFormat/>
    <w:uiPriority w:val="0"/>
    <w:pPr>
      <w:widowControl w:val="0"/>
      <w:suppressAutoHyphens/>
      <w:adjustRightInd/>
      <w:ind w:firstLine="200" w:firstLineChars="200"/>
    </w:pPr>
    <w:rPr>
      <w:rFonts w:ascii="Cumberland" w:hAnsi="Cumberland" w:eastAsia="方正宋体"/>
      <w:sz w:val="20"/>
      <w:szCs w:val="20"/>
      <w:lang w:eastAsia="ar-SA"/>
    </w:rPr>
  </w:style>
  <w:style w:type="paragraph" w:customStyle="1" w:styleId="622">
    <w:name w:val="xl25"/>
    <w:basedOn w:val="1"/>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2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24">
    <w:name w:val="MM Topic 4"/>
    <w:basedOn w:val="7"/>
    <w:qFormat/>
    <w:uiPriority w:val="0"/>
    <w:pPr>
      <w:tabs>
        <w:tab w:val="left" w:pos="2100"/>
      </w:tabs>
      <w:adjustRightInd/>
      <w:ind w:left="2100" w:hanging="420"/>
    </w:pPr>
    <w:rPr>
      <w:lang w:val="en-US"/>
    </w:rPr>
  </w:style>
  <w:style w:type="paragraph" w:customStyle="1" w:styleId="625">
    <w:name w:val="Char11"/>
    <w:basedOn w:val="1"/>
    <w:qFormat/>
    <w:uiPriority w:val="0"/>
    <w:pPr>
      <w:tabs>
        <w:tab w:val="left" w:pos="432"/>
      </w:tabs>
      <w:adjustRightInd/>
      <w:spacing w:before="50" w:beforeLines="50" w:after="50" w:afterLines="50"/>
      <w:ind w:left="432" w:firstLine="200" w:firstLineChars="200"/>
    </w:pPr>
    <w:rPr>
      <w:sz w:val="24"/>
    </w:rPr>
  </w:style>
  <w:style w:type="paragraph" w:customStyle="1" w:styleId="62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27">
    <w:name w:val="Char Char11 Char Char Char Char Char Char Char Char Char1"/>
    <w:basedOn w:val="1"/>
    <w:qFormat/>
    <w:uiPriority w:val="0"/>
    <w:pPr>
      <w:spacing w:line="360" w:lineRule="auto"/>
    </w:pPr>
    <w:rPr>
      <w:szCs w:val="20"/>
    </w:rPr>
  </w:style>
  <w:style w:type="paragraph" w:customStyle="1" w:styleId="628">
    <w:name w:val="金宏发行正文 Char"/>
    <w:basedOn w:val="1"/>
    <w:qFormat/>
    <w:uiPriority w:val="0"/>
    <w:pPr>
      <w:adjustRightInd/>
      <w:spacing w:line="500" w:lineRule="exact"/>
      <w:ind w:firstLine="200" w:firstLineChars="200"/>
    </w:pPr>
    <w:rPr>
      <w:rFonts w:eastAsia="仿宋_GB2312"/>
      <w:sz w:val="28"/>
      <w:szCs w:val="20"/>
    </w:rPr>
  </w:style>
  <w:style w:type="paragraph" w:customStyle="1" w:styleId="629">
    <w:name w:val="批注框文本1"/>
    <w:basedOn w:val="1"/>
    <w:qFormat/>
    <w:uiPriority w:val="0"/>
    <w:pPr>
      <w:autoSpaceDE w:val="0"/>
      <w:autoSpaceDN w:val="0"/>
      <w:spacing w:line="351" w:lineRule="atLeast"/>
      <w:ind w:firstLine="200" w:firstLineChars="200"/>
    </w:pPr>
    <w:rPr>
      <w:color w:val="000000"/>
      <w:kern w:val="0"/>
      <w:sz w:val="18"/>
      <w:szCs w:val="18"/>
    </w:rPr>
  </w:style>
  <w:style w:type="paragraph" w:customStyle="1" w:styleId="63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rPr>
  </w:style>
  <w:style w:type="paragraph" w:customStyle="1" w:styleId="6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3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3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37">
    <w:name w:val="单元格居中"/>
    <w:basedOn w:val="1"/>
    <w:qFormat/>
    <w:uiPriority w:val="0"/>
    <w:pPr>
      <w:adjustRightInd/>
      <w:spacing w:line="360" w:lineRule="auto"/>
      <w:jc w:val="center"/>
    </w:pPr>
    <w:rPr>
      <w:sz w:val="24"/>
    </w:rPr>
  </w:style>
  <w:style w:type="paragraph" w:customStyle="1" w:styleId="638">
    <w:name w:val="正文3"/>
    <w:basedOn w:val="1"/>
    <w:qFormat/>
    <w:uiPriority w:val="0"/>
    <w:pPr>
      <w:adjustRightInd/>
      <w:spacing w:before="50" w:beforeLines="50" w:after="50" w:afterLines="50" w:line="360" w:lineRule="auto"/>
      <w:outlineLvl w:val="8"/>
    </w:pPr>
    <w:rPr>
      <w:rFonts w:ascii="Segoe UI" w:hAnsi="宋体" w:eastAsia="楷体_GB2312" w:cs="Latha"/>
      <w:sz w:val="24"/>
      <w:szCs w:val="21"/>
    </w:rPr>
  </w:style>
  <w:style w:type="paragraph" w:customStyle="1" w:styleId="639">
    <w:name w:val="Char Char Char Char Char Char Char1"/>
    <w:basedOn w:val="1"/>
    <w:qFormat/>
    <w:uiPriority w:val="0"/>
    <w:rPr>
      <w:rFonts w:ascii="仿宋_GB2312" w:eastAsia="仿宋_GB2312"/>
      <w:b/>
      <w:sz w:val="32"/>
      <w:szCs w:val="32"/>
    </w:rPr>
  </w:style>
  <w:style w:type="paragraph" w:customStyle="1" w:styleId="640">
    <w:name w:val="正文缩进1"/>
    <w:basedOn w:val="1"/>
    <w:next w:val="25"/>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64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0"/>
      <w:lang w:val="en-US" w:eastAsia="zh-CN" w:bidi="ar-SA"/>
    </w:rPr>
  </w:style>
  <w:style w:type="paragraph" w:customStyle="1" w:styleId="642">
    <w:name w:val="Char3 Char Char Char11"/>
    <w:basedOn w:val="1"/>
    <w:qFormat/>
    <w:uiPriority w:val="0"/>
    <w:pPr>
      <w:widowControl/>
      <w:adjustRightInd/>
      <w:spacing w:after="160" w:line="240" w:lineRule="exact"/>
      <w:jc w:val="left"/>
    </w:pPr>
    <w:rPr>
      <w:szCs w:val="20"/>
    </w:rPr>
  </w:style>
  <w:style w:type="paragraph" w:customStyle="1" w:styleId="643">
    <w:name w:val="Char Char1121"/>
    <w:basedOn w:val="1"/>
    <w:qFormat/>
    <w:uiPriority w:val="0"/>
    <w:pPr>
      <w:spacing w:line="360" w:lineRule="auto"/>
    </w:pPr>
    <w:rPr>
      <w:szCs w:val="20"/>
    </w:rPr>
  </w:style>
  <w:style w:type="paragraph" w:customStyle="1" w:styleId="644">
    <w:name w:val="小项目标题"/>
    <w:basedOn w:val="1"/>
    <w:qFormat/>
    <w:uiPriority w:val="0"/>
    <w:pPr>
      <w:adjustRightInd/>
      <w:spacing w:before="100" w:beforeAutospacing="1" w:after="100" w:afterAutospacing="1" w:line="360" w:lineRule="auto"/>
      <w:ind w:left="200" w:leftChars="200" w:firstLine="200" w:firstLineChars="200"/>
      <w:jc w:val="left"/>
    </w:pPr>
    <w:rPr>
      <w:sz w:val="24"/>
    </w:rPr>
  </w:style>
  <w:style w:type="paragraph" w:customStyle="1" w:styleId="64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646">
    <w:name w:val="Normal0"/>
    <w:qFormat/>
    <w:uiPriority w:val="0"/>
    <w:rPr>
      <w:rFonts w:ascii="Times New Roman" w:hAnsi="Times New Roman" w:eastAsia="宋体" w:cs="Times New Roman"/>
      <w:sz w:val="20"/>
      <w:szCs w:val="20"/>
      <w:lang w:val="en-US" w:eastAsia="zh-CN" w:bidi="ar-SA"/>
    </w:rPr>
  </w:style>
  <w:style w:type="paragraph" w:customStyle="1" w:styleId="647">
    <w:name w:val="带编号样式"/>
    <w:basedOn w:val="565"/>
    <w:qFormat/>
    <w:uiPriority w:val="0"/>
    <w:pPr>
      <w:tabs>
        <w:tab w:val="left" w:pos="840"/>
      </w:tabs>
      <w:adjustRightInd w:val="0"/>
      <w:snapToGrid w:val="0"/>
      <w:ind w:left="840" w:hanging="420" w:firstLineChars="0"/>
    </w:pPr>
    <w:rPr>
      <w:rFonts w:ascii="仿宋_GB2312" w:eastAsia="仿宋_GB2312"/>
      <w:color w:val="000000"/>
    </w:rPr>
  </w:style>
  <w:style w:type="paragraph" w:customStyle="1" w:styleId="6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650">
    <w:name w:val="封面"/>
    <w:basedOn w:val="1"/>
    <w:qFormat/>
    <w:uiPriority w:val="0"/>
    <w:pPr>
      <w:spacing w:line="360" w:lineRule="atLeast"/>
      <w:jc w:val="right"/>
      <w:textAlignment w:val="baseline"/>
    </w:pPr>
    <w:rPr>
      <w:rFonts w:ascii="Symbol" w:hAnsi="Symbol"/>
      <w:kern w:val="0"/>
      <w:szCs w:val="20"/>
    </w:rPr>
  </w:style>
  <w:style w:type="paragraph" w:customStyle="1" w:styleId="65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653">
    <w:name w:val="默认段落字体 Para Char Char Char1 Char"/>
    <w:basedOn w:val="1"/>
    <w:qFormat/>
    <w:uiPriority w:val="0"/>
    <w:pPr>
      <w:spacing w:line="240" w:lineRule="atLeast"/>
      <w:ind w:left="420" w:firstLine="420"/>
    </w:pPr>
    <w:rPr>
      <w:sz w:val="24"/>
    </w:rPr>
  </w:style>
  <w:style w:type="paragraph" w:customStyle="1" w:styleId="654">
    <w:name w:val="WW-正文文字缩进 2"/>
    <w:basedOn w:val="1"/>
    <w:qFormat/>
    <w:uiPriority w:val="0"/>
    <w:pPr>
      <w:widowControl w:val="0"/>
      <w:suppressAutoHyphens/>
      <w:adjustRightInd/>
      <w:ind w:firstLine="420"/>
    </w:pPr>
    <w:rPr>
      <w:szCs w:val="20"/>
    </w:rPr>
  </w:style>
  <w:style w:type="paragraph" w:customStyle="1" w:styleId="65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57">
    <w:name w:val="有符号正文"/>
    <w:basedOn w:val="1"/>
    <w:qFormat/>
    <w:uiPriority w:val="0"/>
    <w:pPr>
      <w:adjustRightInd/>
      <w:spacing w:line="400" w:lineRule="exact"/>
      <w:ind w:firstLine="200" w:firstLineChars="200"/>
    </w:pPr>
    <w:rPr>
      <w:rFonts w:ascii="Arial" w:hAnsi="Arial"/>
    </w:rPr>
  </w:style>
  <w:style w:type="paragraph" w:customStyle="1" w:styleId="65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9">
    <w:name w:val="样式 样式 正文文本缩进 + 仿宋_GB2312 小四 首行缩进:  0 厘米 行距: 1.5 倍行距 + (中文) 仿宋_GB... Char Char"/>
    <w:basedOn w:val="1"/>
    <w:qFormat/>
    <w:uiPriority w:val="0"/>
    <w:pPr>
      <w:spacing w:line="360" w:lineRule="auto"/>
      <w:ind w:firstLine="200" w:firstLineChars="200"/>
    </w:pPr>
    <w:rPr>
      <w:rFonts w:ascii="仿宋_GB2312" w:hAnsi="仿宋_GB2312" w:eastAsia="新宋体"/>
      <w:sz w:val="24"/>
      <w:szCs w:val="20"/>
    </w:rPr>
  </w:style>
  <w:style w:type="paragraph" w:customStyle="1" w:styleId="660">
    <w:name w:val="4"/>
    <w:basedOn w:val="1"/>
    <w:next w:val="37"/>
    <w:qFormat/>
    <w:uiPriority w:val="0"/>
    <w:pPr>
      <w:spacing w:after="120" w:line="480" w:lineRule="auto"/>
      <w:ind w:left="200" w:leftChars="200"/>
    </w:pPr>
    <w:rPr>
      <w:sz w:val="24"/>
      <w:szCs w:val="20"/>
    </w:rPr>
  </w:style>
  <w:style w:type="paragraph" w:customStyle="1" w:styleId="6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62">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63">
    <w:name w:val="样式 标题 3H3 + 两端对齐"/>
    <w:basedOn w:val="5"/>
    <w:qFormat/>
    <w:uiPriority w:val="0"/>
    <w:pPr>
      <w:keepNext/>
      <w:keepLines w:val="0"/>
      <w:spacing w:before="0" w:after="0" w:line="240" w:lineRule="auto"/>
      <w:jc w:val="left"/>
    </w:pPr>
    <w:rPr>
      <w:rFonts w:cs="宋体"/>
      <w:sz w:val="21"/>
      <w:szCs w:val="20"/>
    </w:rPr>
  </w:style>
  <w:style w:type="paragraph" w:customStyle="1" w:styleId="66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6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66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6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66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表格题注"/>
    <w:next w:val="1"/>
    <w:qFormat/>
    <w:uiPriority w:val="0"/>
    <w:pPr>
      <w:keepLines/>
      <w:tabs>
        <w:tab w:val="left" w:pos="420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7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73">
    <w:name w:val="Char Char1 Char Char Char2"/>
    <w:basedOn w:val="1"/>
    <w:qFormat/>
    <w:uiPriority w:val="0"/>
    <w:rPr>
      <w:rFonts w:ascii="仿宋_GB2312" w:eastAsia="仿宋_GB2312"/>
      <w:b/>
      <w:sz w:val="32"/>
      <w:szCs w:val="32"/>
    </w:rPr>
  </w:style>
  <w:style w:type="paragraph" w:customStyle="1" w:styleId="674">
    <w:name w:val="Char3 Char Char Char1"/>
    <w:basedOn w:val="1"/>
    <w:qFormat/>
    <w:uiPriority w:val="0"/>
    <w:pPr>
      <w:widowControl/>
      <w:adjustRightInd/>
      <w:spacing w:after="160" w:line="240" w:lineRule="exact"/>
      <w:jc w:val="left"/>
    </w:pPr>
    <w:rPr>
      <w:szCs w:val="20"/>
    </w:rPr>
  </w:style>
  <w:style w:type="paragraph" w:customStyle="1" w:styleId="675">
    <w:name w:val="Char1 Char Char Char21"/>
    <w:basedOn w:val="1"/>
    <w:qFormat/>
    <w:uiPriority w:val="0"/>
    <w:rPr>
      <w:rFonts w:ascii="Tahoma" w:hAnsi="Tahoma"/>
      <w:sz w:val="24"/>
      <w:szCs w:val="20"/>
    </w:rPr>
  </w:style>
  <w:style w:type="paragraph" w:customStyle="1" w:styleId="67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77">
    <w:name w:val="正文（标题三）"/>
    <w:basedOn w:val="1"/>
    <w:qFormat/>
    <w:uiPriority w:val="0"/>
    <w:pPr>
      <w:spacing w:line="360" w:lineRule="auto"/>
      <w:ind w:firstLine="200" w:firstLineChars="200"/>
    </w:pPr>
    <w:rPr>
      <w:sz w:val="24"/>
    </w:rPr>
  </w:style>
  <w:style w:type="paragraph" w:customStyle="1" w:styleId="678">
    <w:name w:val="样式 正1 + 首行缩进:  2 字符"/>
    <w:basedOn w:val="1"/>
    <w:qFormat/>
    <w:uiPriority w:val="0"/>
    <w:pPr>
      <w:adjustRightInd/>
      <w:spacing w:line="360" w:lineRule="auto"/>
      <w:ind w:firstLine="200" w:firstLineChars="200"/>
    </w:pPr>
    <w:rPr>
      <w:rFonts w:ascii="仿宋_GB2312" w:eastAsia="仿宋_GB2312"/>
      <w:sz w:val="24"/>
    </w:rPr>
  </w:style>
  <w:style w:type="paragraph" w:customStyle="1" w:styleId="67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样式 样式 宋体 小四 段前: 7.8 磅 段后: 7.8 磅 行距: 1.5 倍行距 + 小二 首行缩进:  2 字符"/>
    <w:basedOn w:val="1"/>
    <w:qFormat/>
    <w:uiPriority w:val="0"/>
    <w:pPr>
      <w:adjustRightInd/>
      <w:spacing w:line="360" w:lineRule="auto"/>
      <w:ind w:firstLine="200" w:firstLineChars="200"/>
    </w:pPr>
    <w:rPr>
      <w:rFonts w:ascii="宋体" w:hAnsi="宋体" w:cs="宋体"/>
      <w:sz w:val="24"/>
      <w:szCs w:val="20"/>
    </w:rPr>
  </w:style>
  <w:style w:type="paragraph" w:customStyle="1" w:styleId="681">
    <w:name w:val="Default Text"/>
    <w:basedOn w:val="1"/>
    <w:qFormat/>
    <w:uiPriority w:val="0"/>
    <w:pPr>
      <w:widowControl/>
      <w:overflowPunct w:val="0"/>
      <w:autoSpaceDE w:val="0"/>
      <w:autoSpaceDN w:val="0"/>
      <w:spacing w:line="360" w:lineRule="auto"/>
      <w:ind w:firstLine="200" w:firstLineChars="200"/>
      <w:jc w:val="left"/>
      <w:textAlignment w:val="baseline"/>
    </w:pPr>
    <w:rPr>
      <w:rFonts w:ascii="宋体" w:hAnsi="宋体" w:eastAsia="微软雅黑"/>
      <w:kern w:val="0"/>
      <w:sz w:val="24"/>
      <w:szCs w:val="20"/>
    </w:rPr>
  </w:style>
  <w:style w:type="paragraph" w:customStyle="1" w:styleId="68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3">
    <w:name w:val="Char1 Char Char Char4"/>
    <w:basedOn w:val="1"/>
    <w:qFormat/>
    <w:uiPriority w:val="0"/>
    <w:pPr>
      <w:adjustRightInd/>
      <w:ind w:firstLine="200" w:firstLineChars="200"/>
    </w:pPr>
    <w:rPr>
      <w:rFonts w:ascii="Tahoma" w:hAnsi="Tahoma"/>
      <w:sz w:val="24"/>
      <w:szCs w:val="20"/>
    </w:rPr>
  </w:style>
  <w:style w:type="paragraph" w:customStyle="1" w:styleId="684">
    <w:name w:val="_标题2"/>
    <w:basedOn w:val="651"/>
    <w:next w:val="651"/>
    <w:qFormat/>
    <w:uiPriority w:val="0"/>
    <w:pPr>
      <w:widowControl w:val="0"/>
      <w:tabs>
        <w:tab w:val="left" w:pos="480"/>
      </w:tabs>
      <w:spacing w:before="50" w:beforeLines="50" w:after="50" w:afterLines="50"/>
      <w:ind w:left="470" w:leftChars="50" w:hanging="420" w:firstLineChars="0"/>
      <w:outlineLvl w:val="1"/>
    </w:pPr>
    <w:rPr>
      <w:b/>
      <w:sz w:val="36"/>
    </w:rPr>
  </w:style>
  <w:style w:type="paragraph" w:customStyle="1" w:styleId="685">
    <w:name w:val="样式1 + (中宋体"/>
    <w:basedOn w:val="662"/>
    <w:qFormat/>
    <w:uiPriority w:val="0"/>
    <w:pPr>
      <w:widowControl w:val="0"/>
      <w:tabs>
        <w:tab w:val="left" w:pos="1200"/>
        <w:tab w:val="clear" w:pos="1212"/>
        <w:tab w:val="clear" w:pos="3888"/>
      </w:tabs>
      <w:adjustRightInd/>
      <w:snapToGrid/>
      <w:spacing w:line="360" w:lineRule="auto"/>
      <w:ind w:left="1200" w:firstLine="200" w:firstLineChars="200"/>
      <w:jc w:val="both"/>
    </w:pPr>
    <w:rPr>
      <w:kern w:val="2"/>
      <w:szCs w:val="24"/>
    </w:rPr>
  </w:style>
  <w:style w:type="paragraph" w:customStyle="1" w:styleId="68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87">
    <w:name w:val="La0b"/>
    <w:basedOn w:val="1"/>
    <w:qFormat/>
    <w:uiPriority w:val="0"/>
    <w:pPr>
      <w:tabs>
        <w:tab w:val="left" w:pos="1500"/>
      </w:tabs>
      <w:adjustRightInd/>
      <w:spacing w:after="100" w:line="240" w:lineRule="exact"/>
      <w:ind w:left="1500" w:firstLine="200" w:firstLineChars="200"/>
    </w:pPr>
    <w:rPr>
      <w:rFonts w:ascii="宋体" w:hAnsi="宋体" w:eastAsia="微软雅黑"/>
      <w:b/>
      <w:sz w:val="24"/>
      <w:szCs w:val="20"/>
    </w:rPr>
  </w:style>
  <w:style w:type="paragraph" w:customStyle="1" w:styleId="68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89">
    <w:name w:val="四号　首行缩进"/>
    <w:basedOn w:val="1"/>
    <w:qFormat/>
    <w:uiPriority w:val="0"/>
    <w:pPr>
      <w:adjustRightInd/>
      <w:spacing w:line="360" w:lineRule="auto"/>
    </w:pPr>
    <w:rPr>
      <w:rFonts w:ascii="宋体" w:hAnsi="宋体"/>
      <w:szCs w:val="20"/>
    </w:rPr>
  </w:style>
  <w:style w:type="paragraph" w:customStyle="1" w:styleId="69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91">
    <w:name w:val="Char Char Char Char Char Char Char Char Char Char Char1 Char"/>
    <w:basedOn w:val="1"/>
    <w:qFormat/>
    <w:uiPriority w:val="0"/>
    <w:pPr>
      <w:adjustRightInd/>
    </w:pPr>
    <w:rPr>
      <w:rFonts w:ascii="Tahoma" w:hAnsi="Tahoma"/>
      <w:sz w:val="24"/>
    </w:rPr>
  </w:style>
  <w:style w:type="paragraph" w:customStyle="1" w:styleId="692">
    <w:name w:val="Char Char Char Char11"/>
    <w:basedOn w:val="1"/>
    <w:qFormat/>
    <w:uiPriority w:val="0"/>
    <w:rPr>
      <w:rFonts w:ascii="Tahoma" w:hAnsi="Tahoma"/>
      <w:sz w:val="24"/>
      <w:szCs w:val="20"/>
    </w:rPr>
  </w:style>
  <w:style w:type="paragraph" w:customStyle="1" w:styleId="69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94">
    <w:name w:val="Char Char Char Char"/>
    <w:basedOn w:val="1"/>
    <w:qFormat/>
    <w:uiPriority w:val="0"/>
    <w:rPr>
      <w:rFonts w:ascii="Tahoma" w:hAnsi="Tahoma"/>
      <w:sz w:val="24"/>
      <w:szCs w:val="20"/>
    </w:rPr>
  </w:style>
  <w:style w:type="paragraph" w:customStyle="1" w:styleId="695">
    <w:name w:val="标1"/>
    <w:basedOn w:val="1"/>
    <w:qFormat/>
    <w:uiPriority w:val="0"/>
    <w:pPr>
      <w:widowControl/>
      <w:tabs>
        <w:tab w:val="left" w:pos="1020"/>
      </w:tabs>
      <w:adjustRightInd w:val="0"/>
      <w:snapToGrid w:val="0"/>
      <w:spacing w:before="100" w:beforeLines="100" w:line="360" w:lineRule="auto"/>
      <w:ind w:left="1020" w:firstLine="200" w:firstLineChars="200"/>
      <w:jc w:val="left"/>
      <w:outlineLvl w:val="0"/>
    </w:pPr>
    <w:rPr>
      <w:rFonts w:ascii="Arial Narrow" w:hAnsi="Arial Narrow" w:eastAsia="仿宋_GB2312"/>
      <w:b/>
      <w:spacing w:val="20"/>
      <w:kern w:val="0"/>
      <w:sz w:val="24"/>
    </w:rPr>
  </w:style>
  <w:style w:type="paragraph" w:customStyle="1" w:styleId="696">
    <w:name w:val="Char19"/>
    <w:basedOn w:val="1"/>
    <w:qFormat/>
    <w:uiPriority w:val="0"/>
    <w:pPr>
      <w:adjustRightInd/>
    </w:pPr>
    <w:rPr>
      <w:szCs w:val="20"/>
    </w:rPr>
  </w:style>
  <w:style w:type="paragraph" w:customStyle="1" w:styleId="69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8">
    <w:name w:val="样式8"/>
    <w:basedOn w:val="1"/>
    <w:qFormat/>
    <w:uiPriority w:val="0"/>
    <w:pPr>
      <w:spacing w:before="50" w:beforeLines="50" w:after="50" w:afterLines="50"/>
      <w:ind w:firstLine="200" w:firstLineChars="200"/>
      <w:outlineLvl w:val="4"/>
    </w:pPr>
    <w:rPr>
      <w:rFonts w:ascii="仿宋_GB2312" w:hAnsi="宋体" w:eastAsia="仿宋_GB2312"/>
      <w:b/>
      <w:bCs/>
      <w:sz w:val="24"/>
    </w:rPr>
  </w:style>
  <w:style w:type="paragraph" w:customStyle="1" w:styleId="699">
    <w:name w:val="_Style 5"/>
    <w:basedOn w:val="1"/>
    <w:qFormat/>
    <w:uiPriority w:val="0"/>
    <w:pPr>
      <w:adjustRightInd/>
      <w:ind w:firstLine="200" w:firstLineChars="200"/>
    </w:pPr>
    <w:rPr>
      <w:rFonts w:eastAsia="仿宋_GB2312"/>
      <w:sz w:val="28"/>
    </w:rPr>
  </w:style>
  <w:style w:type="paragraph" w:customStyle="1" w:styleId="700">
    <w:name w:val="正文文字缩进"/>
    <w:basedOn w:val="1"/>
    <w:qFormat/>
    <w:uiPriority w:val="0"/>
    <w:pPr>
      <w:widowControl/>
      <w:tabs>
        <w:tab w:val="left" w:pos="180"/>
      </w:tabs>
      <w:adjustRightInd/>
      <w:spacing w:line="240" w:lineRule="exact"/>
      <w:ind w:left="187" w:firstLine="200" w:firstLineChars="200"/>
      <w:jc w:val="left"/>
    </w:pPr>
    <w:rPr>
      <w:rFonts w:ascii="Futura Bk" w:hAnsi="Futura Bk" w:cs="Futura Bk"/>
      <w:kern w:val="0"/>
      <w:sz w:val="18"/>
      <w:szCs w:val="18"/>
    </w:rPr>
  </w:style>
  <w:style w:type="paragraph" w:customStyle="1" w:styleId="701">
    <w:name w:val="列出段落*"/>
    <w:basedOn w:val="1"/>
    <w:qFormat/>
    <w:uiPriority w:val="0"/>
    <w:pPr>
      <w:adjustRightInd/>
      <w:spacing w:line="360" w:lineRule="auto"/>
      <w:ind w:firstLine="200"/>
    </w:pPr>
    <w:rPr>
      <w:rFonts w:eastAsia="楷体_GB2312" w:cs="Lucida Sans Unicode"/>
      <w:color w:val="000000"/>
      <w:sz w:val="24"/>
    </w:rPr>
  </w:style>
  <w:style w:type="paragraph" w:customStyle="1" w:styleId="70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03">
    <w:name w:val="标书表格字体格式"/>
    <w:next w:val="697"/>
    <w:qFormat/>
    <w:uiPriority w:val="0"/>
    <w:rPr>
      <w:rFonts w:ascii="Times New Roman" w:hAnsi="Times New Roman" w:eastAsia="宋体" w:cs="Times New Roman"/>
      <w:kern w:val="2"/>
      <w:sz w:val="21"/>
      <w:szCs w:val="24"/>
      <w:lang w:val="en-US" w:eastAsia="zh-CN" w:bidi="ar-SA"/>
    </w:rPr>
  </w:style>
  <w:style w:type="paragraph" w:customStyle="1" w:styleId="704">
    <w:name w:val="Char22"/>
    <w:basedOn w:val="1"/>
    <w:qFormat/>
    <w:uiPriority w:val="0"/>
    <w:pPr>
      <w:adjustRightInd/>
      <w:spacing w:line="360" w:lineRule="auto"/>
      <w:ind w:firstLine="200" w:firstLineChars="200"/>
    </w:pPr>
    <w:rPr>
      <w:rFonts w:ascii="仿宋_GB2312" w:eastAsia="仿宋_GB2312"/>
      <w:b/>
      <w:sz w:val="32"/>
      <w:szCs w:val="32"/>
    </w:rPr>
  </w:style>
  <w:style w:type="paragraph" w:customStyle="1" w:styleId="705">
    <w:name w:val="Char12"/>
    <w:basedOn w:val="1"/>
    <w:qFormat/>
    <w:uiPriority w:val="0"/>
    <w:pPr>
      <w:widowControl/>
      <w:spacing w:after="160" w:line="240" w:lineRule="exact"/>
      <w:jc w:val="left"/>
    </w:pPr>
    <w:rPr>
      <w:rFonts w:ascii="Verdana" w:hAnsi="Verdana" w:eastAsia="仿宋_GB2312"/>
      <w:kern w:val="0"/>
      <w:sz w:val="24"/>
      <w:szCs w:val="20"/>
    </w:rPr>
  </w:style>
  <w:style w:type="paragraph" w:customStyle="1" w:styleId="706">
    <w:name w:val="修订3"/>
    <w:qFormat/>
    <w:uiPriority w:val="0"/>
    <w:rPr>
      <w:rFonts w:ascii="Times New Roman" w:hAnsi="Times New Roman" w:eastAsia="宋体" w:cs="Times New Roman"/>
      <w:kern w:val="2"/>
      <w:sz w:val="21"/>
      <w:szCs w:val="20"/>
      <w:lang w:val="en-US" w:eastAsia="zh-CN" w:bidi="ar-SA"/>
    </w:rPr>
  </w:style>
  <w:style w:type="paragraph" w:customStyle="1" w:styleId="707">
    <w:name w:val="CSS1级正文 Char"/>
    <w:basedOn w:val="24"/>
    <w:qFormat/>
    <w:uiPriority w:val="0"/>
    <w:pPr>
      <w:autoSpaceDE/>
      <w:autoSpaceDN/>
      <w:adjustRightInd w:val="0"/>
      <w:snapToGrid w:val="0"/>
      <w:ind w:firstLine="200" w:firstLineChars="200"/>
    </w:pPr>
    <w:rPr>
      <w:rFonts w:ascii="Times New Roman" w:hAnsi="Times New Roman"/>
      <w:szCs w:val="24"/>
      <w:lang w:val="en-US"/>
    </w:rPr>
  </w:style>
  <w:style w:type="paragraph" w:customStyle="1" w:styleId="7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表文字"/>
    <w:qFormat/>
    <w:uiPriority w:val="0"/>
    <w:rPr>
      <w:rFonts w:ascii="宋体" w:hAnsi="Times New Roman" w:eastAsia="宋体" w:cs="Times New Roman"/>
      <w:kern w:val="2"/>
      <w:sz w:val="20"/>
      <w:szCs w:val="20"/>
      <w:lang w:val="en-US" w:eastAsia="zh-CN" w:bidi="ar-SA"/>
    </w:rPr>
  </w:style>
  <w:style w:type="paragraph" w:customStyle="1" w:styleId="71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11">
    <w:name w:val="缺省文本"/>
    <w:basedOn w:val="1"/>
    <w:qFormat/>
    <w:uiPriority w:val="0"/>
    <w:pPr>
      <w:widowControl/>
      <w:overflowPunct w:val="0"/>
      <w:autoSpaceDE w:val="0"/>
      <w:autoSpaceDN w:val="0"/>
      <w:spacing w:line="360" w:lineRule="auto"/>
      <w:ind w:firstLine="200" w:firstLineChars="200"/>
      <w:textAlignment w:val="baseline"/>
    </w:pPr>
    <w:rPr>
      <w:rFonts w:ascii="宋体" w:hAnsi="宋体" w:eastAsia="仿宋_GB2312"/>
      <w:kern w:val="0"/>
      <w:sz w:val="28"/>
      <w:szCs w:val="20"/>
    </w:rPr>
  </w:style>
  <w:style w:type="paragraph" w:customStyle="1" w:styleId="712">
    <w:name w:val="Char Char Char Char Char Char1 Char1"/>
    <w:basedOn w:val="1"/>
    <w:qFormat/>
    <w:uiPriority w:val="0"/>
    <w:pPr>
      <w:widowControl/>
      <w:spacing w:after="160" w:line="240" w:lineRule="exact"/>
      <w:jc w:val="left"/>
    </w:pPr>
    <w:rPr>
      <w:rFonts w:ascii="Verdana" w:hAnsi="Verdana"/>
      <w:kern w:val="0"/>
      <w:szCs w:val="20"/>
    </w:rPr>
  </w:style>
  <w:style w:type="paragraph" w:customStyle="1" w:styleId="713">
    <w:name w:val="Char Char Char Char Char Char Char Char2"/>
    <w:basedOn w:val="1"/>
    <w:qFormat/>
    <w:uiPriority w:val="0"/>
    <w:pPr>
      <w:tabs>
        <w:tab w:val="left" w:pos="360"/>
      </w:tabs>
    </w:pPr>
    <w:rPr>
      <w:sz w:val="24"/>
      <w:szCs w:val="20"/>
    </w:rPr>
  </w:style>
  <w:style w:type="paragraph" w:customStyle="1" w:styleId="714">
    <w:name w:val="表内文字"/>
    <w:basedOn w:val="1"/>
    <w:qFormat/>
    <w:uiPriority w:val="0"/>
    <w:pPr>
      <w:tabs>
        <w:tab w:val="left" w:pos="1418"/>
      </w:tabs>
      <w:adjustRightInd/>
      <w:spacing w:line="360" w:lineRule="auto"/>
      <w:ind w:firstLine="200" w:firstLineChars="200"/>
      <w:jc w:val="center"/>
    </w:pPr>
    <w:rPr>
      <w:rFonts w:ascii="仿宋_GB2312" w:eastAsia="仿宋_GB2312"/>
      <w:spacing w:val="-20"/>
      <w:kern w:val="0"/>
      <w:sz w:val="24"/>
    </w:rPr>
  </w:style>
  <w:style w:type="paragraph" w:customStyle="1" w:styleId="71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1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17">
    <w:name w:val="bt_content"/>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s="宋体"/>
      <w:kern w:val="0"/>
      <w:sz w:val="24"/>
    </w:rPr>
  </w:style>
  <w:style w:type="paragraph" w:customStyle="1" w:styleId="7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0"/>
      <w:lang w:val="en-US" w:eastAsia="zh-CN" w:bidi="ar-SA"/>
    </w:rPr>
  </w:style>
  <w:style w:type="paragraph" w:customStyle="1" w:styleId="719">
    <w:name w:val="正文－恩普"/>
    <w:basedOn w:val="6"/>
    <w:qFormat/>
    <w:uiPriority w:val="0"/>
    <w:pPr>
      <w:adjustRightInd/>
      <w:snapToGrid/>
      <w:spacing w:before="100" w:beforeAutospacing="1" w:after="50" w:afterLines="50" w:afterAutospacing="1" w:line="360" w:lineRule="auto"/>
      <w:ind w:firstLine="200" w:firstLineChars="200"/>
      <w:jc w:val="left"/>
    </w:pPr>
    <w:rPr>
      <w:rFonts w:ascii="Times New Roman" w:hAnsi="Times New Roman"/>
      <w:snapToGrid/>
      <w:color w:val="auto"/>
      <w:kern w:val="0"/>
      <w:sz w:val="24"/>
    </w:rPr>
  </w:style>
  <w:style w:type="paragraph" w:customStyle="1" w:styleId="72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21">
    <w:name w:val="Char4"/>
    <w:basedOn w:val="1"/>
    <w:qFormat/>
    <w:uiPriority w:val="0"/>
    <w:pPr>
      <w:tabs>
        <w:tab w:val="left" w:pos="432"/>
      </w:tabs>
      <w:adjustRightInd/>
      <w:spacing w:before="50" w:beforeLines="50" w:after="50" w:afterLines="50" w:line="360" w:lineRule="auto"/>
      <w:ind w:left="432" w:firstLine="200" w:firstLineChars="200"/>
    </w:pPr>
    <w:rPr>
      <w:rFonts w:ascii="宋体" w:hAnsi="宋体" w:eastAsia="微软雅黑"/>
      <w:b/>
      <w:kern w:val="44"/>
      <w:sz w:val="32"/>
      <w:szCs w:val="32"/>
    </w:rPr>
  </w:style>
  <w:style w:type="paragraph" w:customStyle="1" w:styleId="722">
    <w:name w:val="p0"/>
    <w:basedOn w:val="1"/>
    <w:qFormat/>
    <w:uiPriority w:val="0"/>
    <w:pPr>
      <w:widowControl/>
      <w:adjustRightInd/>
    </w:pPr>
    <w:rPr>
      <w:kern w:val="0"/>
      <w:szCs w:val="21"/>
    </w:rPr>
  </w:style>
  <w:style w:type="paragraph" w:customStyle="1" w:styleId="723">
    <w:name w:val="Char6"/>
    <w:basedOn w:val="1"/>
    <w:qFormat/>
    <w:uiPriority w:val="0"/>
    <w:rPr>
      <w:rFonts w:ascii="仿宋_GB2312" w:eastAsia="仿宋_GB2312"/>
      <w:b/>
      <w:sz w:val="32"/>
      <w:szCs w:val="32"/>
    </w:rPr>
  </w:style>
  <w:style w:type="paragraph" w:customStyle="1" w:styleId="724">
    <w:name w:val="Char111"/>
    <w:basedOn w:val="1"/>
    <w:qFormat/>
    <w:uiPriority w:val="0"/>
    <w:rPr>
      <w:rFonts w:ascii="仿宋_GB2312" w:eastAsia="仿宋_GB2312"/>
      <w:b/>
      <w:sz w:val="32"/>
      <w:szCs w:val="32"/>
    </w:rPr>
  </w:style>
  <w:style w:type="paragraph" w:customStyle="1" w:styleId="72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2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27">
    <w:name w:val="Char Char Char1"/>
    <w:basedOn w:val="1"/>
    <w:qFormat/>
    <w:uiPriority w:val="0"/>
    <w:pPr>
      <w:widowControl/>
      <w:spacing w:after="160" w:line="240" w:lineRule="exact"/>
      <w:jc w:val="left"/>
    </w:pPr>
    <w:rPr>
      <w:rFonts w:ascii="Verdana" w:hAnsi="Verdana"/>
      <w:kern w:val="0"/>
      <w:sz w:val="20"/>
      <w:szCs w:val="20"/>
    </w:rPr>
  </w:style>
  <w:style w:type="paragraph" w:customStyle="1" w:styleId="728">
    <w:name w:val="Char1 Char Char Char2"/>
    <w:basedOn w:val="1"/>
    <w:qFormat/>
    <w:uiPriority w:val="0"/>
    <w:pPr>
      <w:adjustRightInd/>
      <w:ind w:firstLine="200" w:firstLineChars="200"/>
    </w:pPr>
    <w:rPr>
      <w:rFonts w:ascii="Tahoma" w:hAnsi="Tahoma"/>
      <w:sz w:val="24"/>
      <w:szCs w:val="20"/>
    </w:rPr>
  </w:style>
  <w:style w:type="paragraph" w:customStyle="1" w:styleId="729">
    <w:name w:val="列出段落1"/>
    <w:basedOn w:val="1"/>
    <w:qFormat/>
    <w:uiPriority w:val="0"/>
    <w:pPr>
      <w:adjustRightInd/>
      <w:spacing w:line="360" w:lineRule="auto"/>
      <w:ind w:firstLine="200" w:firstLineChars="200"/>
    </w:pPr>
    <w:rPr>
      <w:rFonts w:ascii="Calibri" w:hAnsi="Calibri"/>
      <w:sz w:val="24"/>
      <w:szCs w:val="22"/>
    </w:rPr>
  </w:style>
  <w:style w:type="paragraph" w:customStyle="1" w:styleId="730">
    <w:name w:val="样式 标题 1 + 黑色 段前: 0.5 行 段后: 0.5 行1"/>
    <w:basedOn w:val="3"/>
    <w:qFormat/>
    <w:uiPriority w:val="0"/>
    <w:pPr>
      <w:keepNext/>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31">
    <w:name w:val="Char Char Char Char Char Char Char2"/>
    <w:basedOn w:val="1"/>
    <w:qFormat/>
    <w:uiPriority w:val="0"/>
    <w:rPr>
      <w:rFonts w:ascii="仿宋_GB2312" w:eastAsia="仿宋_GB2312"/>
      <w:b/>
      <w:sz w:val="32"/>
      <w:szCs w:val="32"/>
    </w:rPr>
  </w:style>
  <w:style w:type="paragraph" w:customStyle="1" w:styleId="732">
    <w:name w:val="四级条标题"/>
    <w:basedOn w:val="596"/>
    <w:next w:val="578"/>
    <w:qFormat/>
    <w:uiPriority w:val="0"/>
    <w:pPr>
      <w:tabs>
        <w:tab w:val="left" w:pos="2940"/>
        <w:tab w:val="clear" w:pos="2520"/>
      </w:tabs>
      <w:ind w:left="2940"/>
      <w:outlineLvl w:val="5"/>
    </w:pPr>
  </w:style>
  <w:style w:type="paragraph" w:customStyle="1" w:styleId="733">
    <w:name w:val="五级条标题"/>
    <w:basedOn w:val="732"/>
    <w:next w:val="578"/>
    <w:qFormat/>
    <w:uiPriority w:val="0"/>
    <w:pPr>
      <w:tabs>
        <w:tab w:val="left" w:pos="3360"/>
      </w:tabs>
      <w:ind w:left="3360"/>
      <w:outlineLvl w:val="6"/>
    </w:pPr>
  </w:style>
  <w:style w:type="paragraph" w:customStyle="1" w:styleId="734">
    <w:name w:val="目录3"/>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35">
    <w:name w:val="Char23"/>
    <w:basedOn w:val="1"/>
    <w:qFormat/>
    <w:uiPriority w:val="0"/>
    <w:rPr>
      <w:rFonts w:ascii="仿宋_GB2312" w:eastAsia="仿宋_GB2312"/>
      <w:b/>
      <w:sz w:val="32"/>
      <w:szCs w:val="32"/>
    </w:rPr>
  </w:style>
  <w:style w:type="paragraph" w:customStyle="1" w:styleId="736">
    <w:name w:val="style3"/>
    <w:basedOn w:val="1"/>
    <w:qFormat/>
    <w:uiPriority w:val="0"/>
    <w:pPr>
      <w:widowControl/>
      <w:adjustRightInd/>
      <w:spacing w:before="100" w:beforeAutospacing="1" w:after="100" w:afterAutospacing="1" w:line="360" w:lineRule="auto"/>
      <w:ind w:firstLine="200" w:firstLineChars="200"/>
      <w:jc w:val="left"/>
    </w:pPr>
    <w:rPr>
      <w:rFonts w:ascii="宋体" w:hAnsi="宋体" w:eastAsia="微软雅黑"/>
      <w:color w:val="666666"/>
      <w:kern w:val="0"/>
      <w:sz w:val="24"/>
    </w:rPr>
  </w:style>
  <w:style w:type="paragraph" w:customStyle="1" w:styleId="737">
    <w:name w:val="列出段落3"/>
    <w:basedOn w:val="1"/>
    <w:qFormat/>
    <w:uiPriority w:val="0"/>
    <w:pPr>
      <w:adjustRightInd/>
      <w:spacing w:line="360" w:lineRule="auto"/>
      <w:ind w:firstLine="200" w:firstLineChars="200"/>
    </w:pPr>
    <w:rPr>
      <w:rFonts w:ascii="Calibri" w:hAnsi="Calibri"/>
      <w:sz w:val="24"/>
      <w:szCs w:val="22"/>
    </w:rPr>
  </w:style>
  <w:style w:type="paragraph" w:customStyle="1" w:styleId="738">
    <w:name w:val="首行缩进"/>
    <w:basedOn w:val="1"/>
    <w:qFormat/>
    <w:uiPriority w:val="0"/>
    <w:pPr>
      <w:spacing w:line="360" w:lineRule="auto"/>
      <w:ind w:firstLine="200" w:firstLineChars="200"/>
    </w:pPr>
    <w:rPr>
      <w:rFonts w:ascii="宋体"/>
      <w:sz w:val="24"/>
      <w:szCs w:val="20"/>
    </w:rPr>
  </w:style>
  <w:style w:type="paragraph" w:customStyle="1" w:styleId="73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40">
    <w:name w:val="单元格左对齐"/>
    <w:basedOn w:val="1"/>
    <w:qFormat/>
    <w:uiPriority w:val="0"/>
    <w:pPr>
      <w:adjustRightInd/>
      <w:spacing w:line="360" w:lineRule="auto"/>
    </w:pPr>
    <w:rPr>
      <w:sz w:val="24"/>
    </w:rPr>
  </w:style>
  <w:style w:type="paragraph" w:customStyle="1" w:styleId="741">
    <w:name w:val="正文主体"/>
    <w:basedOn w:val="562"/>
    <w:qFormat/>
    <w:uiPriority w:val="0"/>
  </w:style>
  <w:style w:type="paragraph" w:customStyle="1" w:styleId="742">
    <w:name w:val="font6"/>
    <w:basedOn w:val="1"/>
    <w:qFormat/>
    <w:uiPriority w:val="0"/>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4">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745">
    <w:name w:val="正文（首行缩进2字符）"/>
    <w:basedOn w:val="1"/>
    <w:qFormat/>
    <w:uiPriority w:val="0"/>
    <w:pPr>
      <w:adjustRightInd/>
      <w:spacing w:line="360" w:lineRule="auto"/>
      <w:ind w:firstLine="200" w:firstLineChars="200"/>
    </w:pPr>
    <w:rPr>
      <w:sz w:val="24"/>
      <w:szCs w:val="20"/>
    </w:rPr>
  </w:style>
  <w:style w:type="paragraph" w:customStyle="1" w:styleId="746">
    <w:name w:val="P1"/>
    <w:basedOn w:val="1"/>
    <w:qFormat/>
    <w:uiPriority w:val="0"/>
    <w:pPr>
      <w:adjustRightInd/>
      <w:spacing w:line="288" w:lineRule="auto"/>
      <w:ind w:firstLine="200" w:firstLineChars="200"/>
    </w:pPr>
  </w:style>
  <w:style w:type="paragraph" w:customStyle="1" w:styleId="747">
    <w:name w:val="列表内容"/>
    <w:basedOn w:val="1"/>
    <w:next w:val="1"/>
    <w:qFormat/>
    <w:uiPriority w:val="0"/>
    <w:pPr>
      <w:widowControl/>
      <w:tabs>
        <w:tab w:val="left" w:pos="840"/>
      </w:tabs>
      <w:ind w:left="840" w:hanging="420"/>
      <w:jc w:val="left"/>
    </w:pPr>
    <w:rPr>
      <w:kern w:val="0"/>
      <w:sz w:val="18"/>
    </w:rPr>
  </w:style>
  <w:style w:type="paragraph" w:customStyle="1" w:styleId="748">
    <w:name w:val="Char Char11 Char Char Char1"/>
    <w:basedOn w:val="1"/>
    <w:qFormat/>
    <w:uiPriority w:val="0"/>
    <w:pPr>
      <w:spacing w:line="360" w:lineRule="auto"/>
    </w:pPr>
    <w:rPr>
      <w:szCs w:val="20"/>
    </w:rPr>
  </w:style>
  <w:style w:type="paragraph" w:customStyle="1" w:styleId="74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750">
    <w:name w:val="Char Char Char Char Char Char1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51">
    <w:name w:val="标题 41"/>
    <w:basedOn w:val="1"/>
    <w:next w:val="1"/>
    <w:qFormat/>
    <w:uiPriority w:val="0"/>
    <w:pPr>
      <w:keepNext/>
      <w:keepLines/>
      <w:adjustRightInd/>
      <w:spacing w:before="280" w:after="290" w:line="377" w:lineRule="auto"/>
      <w:outlineLvl w:val="3"/>
    </w:pPr>
    <w:rPr>
      <w:rFonts w:ascii="Cambria" w:hAnsi="Cambria"/>
      <w:b/>
      <w:bCs/>
      <w:sz w:val="28"/>
      <w:szCs w:val="28"/>
    </w:rPr>
  </w:style>
  <w:style w:type="paragraph" w:customStyle="1" w:styleId="752">
    <w:name w:val="Table Contents"/>
    <w:basedOn w:val="1"/>
    <w:qFormat/>
    <w:uiPriority w:val="0"/>
    <w:pPr>
      <w:widowControl w:val="0"/>
      <w:suppressAutoHyphens/>
      <w:autoSpaceDE w:val="0"/>
      <w:spacing w:after="120"/>
      <w:jc w:val="left"/>
    </w:pPr>
    <w:rPr>
      <w:rFonts w:ascii="Helvetica" w:hAnsi="Helvetica"/>
      <w:sz w:val="20"/>
      <w:szCs w:val="20"/>
    </w:rPr>
  </w:style>
  <w:style w:type="paragraph" w:customStyle="1" w:styleId="753">
    <w:name w:val="正文文字缩进2字"/>
    <w:basedOn w:val="24"/>
    <w:qFormat/>
    <w:uiPriority w:val="0"/>
    <w:pPr>
      <w:autoSpaceDE/>
      <w:autoSpaceDN/>
      <w:adjustRightInd/>
      <w:spacing w:before="60" w:after="60"/>
      <w:ind w:firstLine="200" w:firstLineChars="200"/>
    </w:pPr>
    <w:rPr>
      <w:rFonts w:ascii="Times New Roman" w:hAnsi="Times New Roman"/>
      <w:szCs w:val="20"/>
      <w:lang w:val="en-US"/>
    </w:rPr>
  </w:style>
  <w:style w:type="paragraph" w:customStyle="1" w:styleId="754">
    <w:name w:val="默认段落字体 Para Char Char Char Char"/>
    <w:basedOn w:val="1"/>
    <w:qFormat/>
    <w:uiPriority w:val="0"/>
    <w:pPr>
      <w:spacing w:line="360" w:lineRule="auto"/>
    </w:pPr>
    <w:rPr>
      <w:szCs w:val="20"/>
    </w:rPr>
  </w:style>
  <w:style w:type="paragraph" w:customStyle="1" w:styleId="7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2 Char Char Char2"/>
    <w:basedOn w:val="1"/>
    <w:qFormat/>
    <w:uiPriority w:val="0"/>
    <w:rPr>
      <w:rFonts w:ascii="仿宋_GB2312" w:eastAsia="仿宋_GB2312"/>
      <w:b/>
      <w:sz w:val="32"/>
      <w:szCs w:val="32"/>
    </w:rPr>
  </w:style>
  <w:style w:type="paragraph" w:customStyle="1" w:styleId="75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759">
    <w:name w:val="Char Char Char Char2"/>
    <w:basedOn w:val="1"/>
    <w:qFormat/>
    <w:uiPriority w:val="0"/>
    <w:pPr>
      <w:widowControl/>
      <w:spacing w:after="160" w:line="240" w:lineRule="exact"/>
      <w:jc w:val="left"/>
    </w:pPr>
    <w:rPr>
      <w:rFonts w:ascii="Arial" w:hAnsi="Arial" w:eastAsia="Times New Roman" w:cs="Verdana"/>
      <w:b/>
      <w:kern w:val="0"/>
      <w:sz w:val="24"/>
      <w:szCs w:val="20"/>
    </w:rPr>
  </w:style>
  <w:style w:type="paragraph" w:customStyle="1" w:styleId="760">
    <w:name w:val="正文 首行缩进:  2 字符 Char"/>
    <w:basedOn w:val="1"/>
    <w:qFormat/>
    <w:uiPriority w:val="0"/>
    <w:pPr>
      <w:adjustRightInd/>
      <w:spacing w:line="360" w:lineRule="auto"/>
      <w:ind w:firstLine="480"/>
    </w:pPr>
    <w:rPr>
      <w:rFonts w:cs="宋体"/>
      <w:sz w:val="24"/>
      <w:szCs w:val="20"/>
    </w:rPr>
  </w:style>
  <w:style w:type="paragraph" w:customStyle="1" w:styleId="761">
    <w:name w:val="Char Char4 Char Char"/>
    <w:basedOn w:val="1"/>
    <w:qFormat/>
    <w:uiPriority w:val="0"/>
    <w:pPr>
      <w:widowControl/>
      <w:adjustRightInd/>
      <w:spacing w:after="160" w:line="240" w:lineRule="exact"/>
      <w:jc w:val="left"/>
    </w:pPr>
  </w:style>
  <w:style w:type="paragraph" w:customStyle="1" w:styleId="762">
    <w:name w:val="目录2"/>
    <w:basedOn w:val="1"/>
    <w:qFormat/>
    <w:uiPriority w:val="0"/>
    <w:pPr>
      <w:tabs>
        <w:tab w:val="left" w:leader="dot" w:pos="7370"/>
      </w:tabs>
      <w:autoSpaceDE w:val="0"/>
      <w:autoSpaceDN w:val="0"/>
      <w:spacing w:line="317" w:lineRule="atLeast"/>
      <w:ind w:firstLine="200" w:firstLineChars="200"/>
    </w:pPr>
    <w:rPr>
      <w:color w:val="000000"/>
      <w:kern w:val="0"/>
      <w:szCs w:val="21"/>
    </w:rPr>
  </w:style>
  <w:style w:type="paragraph" w:customStyle="1" w:styleId="763">
    <w:name w:val="Char Char11 Char Char Char2"/>
    <w:basedOn w:val="1"/>
    <w:qFormat/>
    <w:uiPriority w:val="0"/>
    <w:pPr>
      <w:spacing w:line="360" w:lineRule="auto"/>
    </w:pPr>
    <w:rPr>
      <w:szCs w:val="20"/>
    </w:rPr>
  </w:style>
  <w:style w:type="paragraph" w:customStyle="1" w:styleId="76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6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rPr>
  </w:style>
  <w:style w:type="paragraph" w:customStyle="1" w:styleId="766">
    <w:name w:val="数字标题4"/>
    <w:basedOn w:val="7"/>
    <w:qFormat/>
    <w:uiPriority w:val="0"/>
    <w:pPr>
      <w:tabs>
        <w:tab w:val="left" w:pos="0"/>
        <w:tab w:val="clear" w:pos="864"/>
      </w:tabs>
      <w:spacing w:before="0" w:after="0" w:line="360" w:lineRule="auto"/>
      <w:ind w:left="0"/>
    </w:pPr>
    <w:rPr>
      <w:rFonts w:eastAsia="仿宋_GB2312" w:cs="Arial"/>
      <w:b w:val="0"/>
      <w:bCs w:val="0"/>
      <w:color w:val="000000"/>
      <w:kern w:val="0"/>
      <w:sz w:val="24"/>
      <w:szCs w:val="24"/>
      <w:lang w:val="en-US"/>
    </w:rPr>
  </w:style>
  <w:style w:type="paragraph" w:customStyle="1" w:styleId="76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7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6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0">
    <w:name w:val="Char311"/>
    <w:basedOn w:val="1"/>
    <w:qFormat/>
    <w:uiPriority w:val="0"/>
    <w:pPr>
      <w:adjustRightInd/>
      <w:ind w:firstLine="200" w:firstLineChars="200"/>
    </w:pPr>
    <w:rPr>
      <w:rFonts w:ascii="Tahoma" w:hAnsi="Tahoma"/>
      <w:sz w:val="24"/>
      <w:szCs w:val="20"/>
    </w:rPr>
  </w:style>
  <w:style w:type="paragraph" w:customStyle="1" w:styleId="77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2">
    <w:name w:val="dash bullet"/>
    <w:qFormat/>
    <w:uiPriority w:val="0"/>
    <w:pPr>
      <w:tabs>
        <w:tab w:val="left" w:pos="187"/>
        <w:tab w:val="left" w:pos="360"/>
      </w:tabs>
      <w:spacing w:after="20"/>
      <w:ind w:left="374" w:hanging="187"/>
    </w:pPr>
    <w:rPr>
      <w:rFonts w:ascii="Futura Bk" w:hAnsi="Futura Bk" w:eastAsia="宋体" w:cs="Times New Roman"/>
      <w:sz w:val="18"/>
      <w:szCs w:val="20"/>
      <w:lang w:val="en-US" w:eastAsia="zh-CN" w:bidi="ar-SA"/>
    </w:rPr>
  </w:style>
  <w:style w:type="paragraph" w:customStyle="1" w:styleId="773">
    <w:name w:val="正文 内标"/>
    <w:basedOn w:val="688"/>
    <w:qFormat/>
    <w:uiPriority w:val="0"/>
    <w:pPr>
      <w:tabs>
        <w:tab w:val="left" w:pos="0"/>
      </w:tabs>
      <w:ind w:left="900" w:firstLine="0" w:firstLineChars="0"/>
    </w:pPr>
  </w:style>
  <w:style w:type="paragraph" w:customStyle="1" w:styleId="774">
    <w:name w:val="Bulleted List"/>
    <w:basedOn w:val="1"/>
    <w:qFormat/>
    <w:uiPriority w:val="0"/>
    <w:pPr>
      <w:tabs>
        <w:tab w:val="left" w:pos="1260"/>
      </w:tabs>
      <w:adjustRightInd/>
      <w:ind w:left="1260" w:hanging="420"/>
    </w:pPr>
  </w:style>
  <w:style w:type="paragraph" w:customStyle="1" w:styleId="775">
    <w:name w:val="样式 正文文本缩进 2 + 仿宋_GB2312 黑色 行距: 1.5 倍行距"/>
    <w:basedOn w:val="37"/>
    <w:qFormat/>
    <w:uiPriority w:val="0"/>
    <w:pPr>
      <w:adjustRightInd/>
      <w:ind w:firstLine="200" w:firstLineChars="200"/>
      <w:textAlignment w:val="auto"/>
    </w:pPr>
    <w:rPr>
      <w:rFonts w:hAnsi="宋体" w:cs="宋体"/>
      <w:color w:val="000000"/>
      <w:kern w:val="2"/>
      <w:sz w:val="24"/>
    </w:rPr>
  </w:style>
  <w:style w:type="paragraph" w:customStyle="1" w:styleId="776">
    <w:name w:val="样式 左侧:  0.85 厘米"/>
    <w:basedOn w:val="1"/>
    <w:qFormat/>
    <w:uiPriority w:val="0"/>
    <w:pPr>
      <w:adjustRightInd/>
      <w:spacing w:line="360" w:lineRule="auto"/>
    </w:pPr>
    <w:rPr>
      <w:rFonts w:cs="宋体"/>
      <w:sz w:val="24"/>
      <w:szCs w:val="20"/>
    </w:rPr>
  </w:style>
  <w:style w:type="paragraph" w:customStyle="1" w:styleId="777">
    <w:name w:val="Char Char Char Char Char Char Char Char Char Char Char Char1 Char"/>
    <w:basedOn w:val="1"/>
    <w:qFormat/>
    <w:uiPriority w:val="0"/>
    <w:rPr>
      <w:rFonts w:ascii="Tahoma" w:hAnsi="Tahoma" w:cs="仿宋_GB2312"/>
      <w:sz w:val="24"/>
      <w:szCs w:val="20"/>
    </w:rPr>
  </w:style>
  <w:style w:type="paragraph" w:customStyle="1" w:styleId="778">
    <w:name w:val="正文1"/>
    <w:basedOn w:val="32"/>
    <w:qFormat/>
    <w:uiPriority w:val="0"/>
    <w:pPr>
      <w:ind w:left="0" w:leftChars="0" w:firstLine="200" w:firstLineChars="200"/>
    </w:pPr>
    <w:rPr>
      <w:rFonts w:ascii="仿宋_GB2312" w:hAnsi="Courier New" w:eastAsia="仿宋_GB2312"/>
      <w:kern w:val="28"/>
      <w:sz w:val="24"/>
    </w:rPr>
  </w:style>
  <w:style w:type="paragraph" w:customStyle="1" w:styleId="77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1">
    <w:name w:val="模板普通正文"/>
    <w:basedOn w:val="25"/>
    <w:qFormat/>
    <w:uiPriority w:val="0"/>
    <w:pPr>
      <w:adjustRightInd/>
      <w:spacing w:before="50" w:beforeLines="50" w:after="10" w:line="360" w:lineRule="auto"/>
      <w:ind w:firstLine="175" w:firstLineChars="175"/>
      <w:jc w:val="left"/>
    </w:pPr>
    <w:rPr>
      <w:rFonts w:ascii="Times New Roman" w:hAnsi="Times New Roman"/>
    </w:rPr>
  </w:style>
  <w:style w:type="paragraph" w:customStyle="1" w:styleId="782">
    <w:name w:val="Char Char1 Char Char Char Char Char Char"/>
    <w:basedOn w:val="1"/>
    <w:qFormat/>
    <w:uiPriority w:val="0"/>
    <w:rPr>
      <w:rFonts w:ascii="仿宋_GB2312" w:eastAsia="仿宋_GB2312"/>
      <w:b/>
      <w:sz w:val="32"/>
      <w:szCs w:val="20"/>
    </w:rPr>
  </w:style>
  <w:style w:type="paragraph" w:customStyle="1" w:styleId="78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784">
    <w:name w:val="Char Char1 Char Char Char Char Char Char2"/>
    <w:basedOn w:val="1"/>
    <w:qFormat/>
    <w:uiPriority w:val="0"/>
    <w:rPr>
      <w:rFonts w:ascii="仿宋_GB2312" w:eastAsia="仿宋_GB2312"/>
      <w:b/>
      <w:sz w:val="32"/>
      <w:szCs w:val="20"/>
    </w:rPr>
  </w:style>
  <w:style w:type="paragraph" w:customStyle="1" w:styleId="7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7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 Char Char Char Char Char1 Char2"/>
    <w:basedOn w:val="1"/>
    <w:qFormat/>
    <w:uiPriority w:val="0"/>
    <w:pPr>
      <w:widowControl/>
      <w:spacing w:after="160" w:line="240" w:lineRule="exact"/>
      <w:jc w:val="left"/>
    </w:pPr>
    <w:rPr>
      <w:rFonts w:ascii="Verdana" w:hAnsi="Verdana"/>
      <w:kern w:val="0"/>
      <w:szCs w:val="20"/>
    </w:rPr>
  </w:style>
  <w:style w:type="paragraph" w:customStyle="1" w:styleId="790">
    <w:name w:val="样式 首行缩进:  2 字符4"/>
    <w:basedOn w:val="1"/>
    <w:qFormat/>
    <w:uiPriority w:val="0"/>
    <w:pPr>
      <w:adjustRightInd/>
      <w:spacing w:before="120" w:line="360" w:lineRule="auto"/>
      <w:ind w:firstLine="200" w:firstLineChars="200"/>
    </w:pPr>
    <w:rPr>
      <w:rFonts w:eastAsia="仿宋_GB2312" w:cs="宋体"/>
      <w:sz w:val="28"/>
      <w:szCs w:val="20"/>
    </w:rPr>
  </w:style>
  <w:style w:type="paragraph" w:customStyle="1" w:styleId="79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9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4">
    <w:name w:val="Char31"/>
    <w:basedOn w:val="1"/>
    <w:qFormat/>
    <w:uiPriority w:val="0"/>
    <w:pPr>
      <w:adjustRightInd/>
    </w:pPr>
    <w:rPr>
      <w:rFonts w:ascii="仿宋_GB2312" w:eastAsia="仿宋_GB2312"/>
      <w:b/>
      <w:sz w:val="32"/>
      <w:szCs w:val="32"/>
    </w:rPr>
  </w:style>
  <w:style w:type="paragraph" w:customStyle="1" w:styleId="795">
    <w:name w:val="样式 标题 3h33rd level3Heading 3 - oldH3l3CTheading 3Headin..."/>
    <w:basedOn w:val="5"/>
    <w:qFormat/>
    <w:uiPriority w:val="0"/>
    <w:pPr>
      <w:adjustRightInd w:val="0"/>
      <w:snapToGrid w:val="0"/>
      <w:ind w:left="0" w:firstLine="0"/>
      <w:jc w:val="left"/>
    </w:pPr>
    <w:rPr>
      <w:rFonts w:eastAsia="黑体" w:cs="宋体"/>
      <w:sz w:val="28"/>
      <w:szCs w:val="20"/>
    </w:rPr>
  </w:style>
  <w:style w:type="paragraph" w:customStyle="1" w:styleId="796">
    <w:name w:val="Char Char Char Char Char Char1"/>
    <w:basedOn w:val="1"/>
    <w:qFormat/>
    <w:uiPriority w:val="0"/>
    <w:pPr>
      <w:widowControl/>
      <w:spacing w:before="50" w:beforeLines="50" w:after="50" w:afterLines="50" w:line="240" w:lineRule="exact"/>
      <w:jc w:val="left"/>
    </w:pPr>
    <w:rPr>
      <w:rFonts w:ascii="Verdana" w:hAnsi="Verdana"/>
      <w:kern w:val="0"/>
      <w:sz w:val="20"/>
      <w:szCs w:val="20"/>
    </w:rPr>
  </w:style>
  <w:style w:type="paragraph" w:customStyle="1" w:styleId="79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98">
    <w:name w:val="Char Char1"/>
    <w:basedOn w:val="1"/>
    <w:qFormat/>
    <w:uiPriority w:val="0"/>
    <w:pPr>
      <w:widowControl/>
      <w:spacing w:after="160" w:line="240" w:lineRule="exact"/>
      <w:jc w:val="left"/>
    </w:pPr>
    <w:rPr>
      <w:rFonts w:eastAsia="仿宋_GB2312"/>
      <w:sz w:val="28"/>
    </w:rPr>
  </w:style>
  <w:style w:type="paragraph" w:customStyle="1" w:styleId="799">
    <w:name w:val="Char21"/>
    <w:basedOn w:val="1"/>
    <w:qFormat/>
    <w:uiPriority w:val="0"/>
    <w:pPr>
      <w:adjustRightInd/>
      <w:ind w:firstLine="200" w:firstLineChars="200"/>
    </w:pPr>
    <w:rPr>
      <w:rFonts w:ascii="仿宋_GB2312" w:eastAsia="仿宋_GB2312"/>
      <w:b/>
      <w:sz w:val="32"/>
      <w:szCs w:val="32"/>
    </w:rPr>
  </w:style>
  <w:style w:type="paragraph" w:customStyle="1" w:styleId="800">
    <w:name w:val="列表段落1"/>
    <w:basedOn w:val="1"/>
    <w:qFormat/>
    <w:uiPriority w:val="0"/>
    <w:pPr>
      <w:adjustRightInd/>
      <w:ind w:right="238" w:firstLine="420"/>
    </w:pPr>
    <w:rPr>
      <w:rFonts w:ascii="Calibri" w:hAnsi="Calibri"/>
      <w:sz w:val="24"/>
    </w:rPr>
  </w:style>
  <w:style w:type="paragraph" w:customStyle="1" w:styleId="801">
    <w:name w:val="Char Char110"/>
    <w:basedOn w:val="1"/>
    <w:qFormat/>
    <w:uiPriority w:val="0"/>
    <w:pPr>
      <w:spacing w:line="360" w:lineRule="auto"/>
    </w:pPr>
    <w:rPr>
      <w:rFonts w:ascii="Tahoma" w:hAnsi="Tahoma"/>
      <w:sz w:val="24"/>
      <w:szCs w:val="20"/>
    </w:rPr>
  </w:style>
  <w:style w:type="paragraph" w:customStyle="1" w:styleId="80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0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04">
    <w:name w:val="表正文"/>
    <w:qFormat/>
    <w:uiPriority w:val="0"/>
    <w:pPr>
      <w:snapToGrid w:val="0"/>
      <w:spacing w:line="600" w:lineRule="atLeast"/>
      <w:ind w:firstLine="641"/>
      <w:jc w:val="both"/>
    </w:pPr>
    <w:rPr>
      <w:rFonts w:ascii="Times New Roman" w:hAnsi="Times New Roman" w:eastAsia="仿宋_GB2312" w:cs="Times New Roman"/>
      <w:sz w:val="32"/>
      <w:szCs w:val="20"/>
      <w:lang w:val="en-US" w:eastAsia="zh-CN" w:bidi="ar-SA"/>
    </w:rPr>
  </w:style>
  <w:style w:type="paragraph" w:customStyle="1" w:styleId="80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06">
    <w:name w:val="Char Char Char Char Char Char Char Char Char Char Char Char1 Char2"/>
    <w:basedOn w:val="1"/>
    <w:qFormat/>
    <w:uiPriority w:val="0"/>
    <w:rPr>
      <w:rFonts w:ascii="Tahoma" w:hAnsi="Tahoma" w:cs="仿宋_GB2312"/>
      <w:sz w:val="24"/>
      <w:szCs w:val="20"/>
    </w:rPr>
  </w:style>
  <w:style w:type="paragraph" w:customStyle="1" w:styleId="80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0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09">
    <w:name w:val="样式 列表编号 + 段后: 0.5 行"/>
    <w:basedOn w:val="16"/>
    <w:qFormat/>
    <w:uiPriority w:val="0"/>
    <w:pPr>
      <w:tabs>
        <w:tab w:val="clear" w:pos="390"/>
        <w:tab w:val="clear" w:pos="454"/>
      </w:tabs>
      <w:adjustRightInd/>
      <w:spacing w:after="0" w:afterLines="0"/>
      <w:ind w:left="840" w:hanging="420"/>
      <w:contextualSpacing/>
    </w:pPr>
    <w:rPr>
      <w:rFonts w:cs="宋体"/>
    </w:rPr>
  </w:style>
  <w:style w:type="paragraph" w:customStyle="1" w:styleId="81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11">
    <w:name w:val="_Style 12"/>
    <w:basedOn w:val="19"/>
    <w:qFormat/>
    <w:uiPriority w:val="0"/>
    <w:pPr>
      <w:adjustRightInd w:val="0"/>
      <w:snapToGrid w:val="0"/>
      <w:spacing w:line="360" w:lineRule="auto"/>
    </w:pPr>
  </w:style>
  <w:style w:type="paragraph" w:customStyle="1" w:styleId="81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13">
    <w:name w:val="Char1 Char Char Char6"/>
    <w:basedOn w:val="1"/>
    <w:qFormat/>
    <w:uiPriority w:val="0"/>
    <w:pPr>
      <w:widowControl/>
      <w:adjustRightInd w:val="0"/>
      <w:snapToGrid w:val="0"/>
      <w:spacing w:before="120" w:after="160" w:line="360" w:lineRule="auto"/>
      <w:ind w:right="-360"/>
      <w:jc w:val="left"/>
    </w:pPr>
    <w:rPr>
      <w:rFonts w:ascii="Arial" w:hAnsi="Arial"/>
      <w:kern w:val="0"/>
      <w:sz w:val="24"/>
    </w:rPr>
  </w:style>
  <w:style w:type="paragraph" w:customStyle="1" w:styleId="814">
    <w:name w:val="_Style 94"/>
    <w:basedOn w:val="1"/>
    <w:next w:val="233"/>
    <w:qFormat/>
    <w:uiPriority w:val="0"/>
    <w:pPr>
      <w:adjustRightInd/>
      <w:spacing w:line="360" w:lineRule="auto"/>
      <w:ind w:firstLine="200" w:firstLineChars="200"/>
    </w:pPr>
    <w:rPr>
      <w:rFonts w:ascii="Calibri" w:hAnsi="Calibri"/>
      <w:sz w:val="28"/>
      <w:szCs w:val="20"/>
    </w:rPr>
  </w:style>
  <w:style w:type="paragraph" w:customStyle="1" w:styleId="815">
    <w:name w:val="方案正文"/>
    <w:basedOn w:val="1"/>
    <w:qFormat/>
    <w:uiPriority w:val="0"/>
    <w:pPr>
      <w:adjustRightInd w:val="0"/>
      <w:snapToGrid w:val="0"/>
      <w:spacing w:line="324" w:lineRule="auto"/>
      <w:ind w:firstLine="200" w:firstLineChars="200"/>
    </w:pPr>
    <w:rPr>
      <w:rFonts w:ascii="仿宋_GB2312" w:eastAsia="仿宋_GB2312"/>
      <w:b/>
      <w:color w:val="000000"/>
      <w:sz w:val="24"/>
      <w:szCs w:val="20"/>
    </w:rPr>
  </w:style>
  <w:style w:type="paragraph" w:customStyle="1" w:styleId="8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1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18">
    <w:name w:val="3级标题"/>
    <w:basedOn w:val="611"/>
    <w:qFormat/>
    <w:uiPriority w:val="0"/>
    <w:pPr>
      <w:outlineLvl w:val="2"/>
    </w:pPr>
  </w:style>
  <w:style w:type="paragraph" w:customStyle="1" w:styleId="81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20">
    <w:name w:val="Char1 Char Char Char3"/>
    <w:basedOn w:val="1"/>
    <w:qFormat/>
    <w:uiPriority w:val="0"/>
    <w:pPr>
      <w:adjustRightInd/>
      <w:ind w:firstLine="200" w:firstLineChars="200"/>
    </w:pPr>
    <w:rPr>
      <w:rFonts w:ascii="Tahoma" w:hAnsi="Tahoma"/>
      <w:sz w:val="24"/>
      <w:szCs w:val="20"/>
    </w:rPr>
  </w:style>
  <w:style w:type="paragraph" w:customStyle="1" w:styleId="82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22">
    <w:name w:val="MM Empty"/>
    <w:basedOn w:val="1"/>
    <w:qFormat/>
    <w:uiPriority w:val="0"/>
    <w:pPr>
      <w:adjustRightInd/>
    </w:pPr>
  </w:style>
  <w:style w:type="paragraph" w:customStyle="1" w:styleId="823">
    <w:name w:val="Char24"/>
    <w:basedOn w:val="1"/>
    <w:qFormat/>
    <w:uiPriority w:val="0"/>
    <w:rPr>
      <w:rFonts w:ascii="仿宋_GB2312" w:eastAsia="仿宋_GB2312"/>
      <w:b/>
      <w:sz w:val="32"/>
      <w:szCs w:val="32"/>
    </w:rPr>
  </w:style>
  <w:style w:type="paragraph" w:customStyle="1" w:styleId="824">
    <w:name w:val="正文箭头"/>
    <w:basedOn w:val="476"/>
    <w:qFormat/>
    <w:uiPriority w:val="0"/>
  </w:style>
  <w:style w:type="paragraph" w:customStyle="1" w:styleId="825">
    <w:name w:val="U_编号2"/>
    <w:basedOn w:val="1"/>
    <w:qFormat/>
    <w:uiPriority w:val="0"/>
    <w:pPr>
      <w:tabs>
        <w:tab w:val="left" w:pos="785"/>
      </w:tabs>
      <w:adjustRightInd/>
      <w:spacing w:before="10" w:beforeLines="10" w:after="10" w:afterLines="10" w:line="300" w:lineRule="auto"/>
    </w:pPr>
    <w:rPr>
      <w:sz w:val="24"/>
    </w:rPr>
  </w:style>
  <w:style w:type="paragraph" w:customStyle="1" w:styleId="82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8">
    <w:name w:val="标书标题3"/>
    <w:basedOn w:val="5"/>
    <w:qFormat/>
    <w:uiPriority w:val="0"/>
    <w:pPr>
      <w:keepNext/>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29">
    <w:name w:val="TOC 标题11"/>
    <w:basedOn w:val="3"/>
    <w:next w:val="1"/>
    <w:qFormat/>
    <w:uiPriority w:val="0"/>
    <w:pPr>
      <w:keepNext/>
      <w:keepLines/>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0">
    <w:name w:val="_Style 1"/>
    <w:basedOn w:val="1"/>
    <w:qFormat/>
    <w:uiPriority w:val="0"/>
    <w:pPr>
      <w:adjustRightInd/>
      <w:ind w:firstLine="200" w:firstLineChars="200"/>
    </w:pPr>
    <w:rPr>
      <w:rFonts w:eastAsia="仿宋_GB2312"/>
      <w:sz w:val="28"/>
    </w:rPr>
  </w:style>
  <w:style w:type="paragraph" w:customStyle="1" w:styleId="831">
    <w:name w:val="表格 内容"/>
    <w:basedOn w:val="667"/>
    <w:qFormat/>
    <w:uiPriority w:val="0"/>
    <w:rPr>
      <w:b w:val="0"/>
      <w:sz w:val="20"/>
    </w:rPr>
  </w:style>
  <w:style w:type="paragraph" w:customStyle="1" w:styleId="832">
    <w:name w:val="正文首行缩进1"/>
    <w:basedOn w:val="24"/>
    <w:qFormat/>
    <w:uiPriority w:val="0"/>
    <w:pPr>
      <w:widowControl w:val="0"/>
      <w:suppressAutoHyphens/>
      <w:autoSpaceDE/>
      <w:autoSpaceDN/>
      <w:adjustRightInd/>
      <w:spacing w:after="120" w:line="240" w:lineRule="auto"/>
      <w:ind w:firstLine="420"/>
      <w:jc w:val="left"/>
    </w:pPr>
    <w:rPr>
      <w:rFonts w:ascii="Times New Roman" w:hAnsi="Times New Roman"/>
      <w:sz w:val="28"/>
      <w:szCs w:val="24"/>
      <w:lang w:val="en-US" w:eastAsia="ar-SA"/>
    </w:rPr>
  </w:style>
  <w:style w:type="paragraph" w:customStyle="1" w:styleId="83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34">
    <w:name w:val="数字标题5"/>
    <w:basedOn w:val="8"/>
    <w:next w:val="1"/>
    <w:qFormat/>
    <w:uiPriority w:val="0"/>
    <w:pPr>
      <w:tabs>
        <w:tab w:val="left" w:pos="1080"/>
      </w:tabs>
      <w:ind w:left="1080" w:hanging="1080"/>
    </w:pPr>
  </w:style>
  <w:style w:type="paragraph" w:customStyle="1" w:styleId="835">
    <w:name w:val="数字标题1"/>
    <w:basedOn w:val="3"/>
    <w:next w:val="1"/>
    <w:qFormat/>
    <w:uiPriority w:val="0"/>
    <w:pPr>
      <w:tabs>
        <w:tab w:val="left" w:pos="480"/>
      </w:tabs>
      <w:ind w:left="480" w:hanging="480"/>
    </w:pPr>
  </w:style>
  <w:style w:type="paragraph" w:customStyle="1" w:styleId="83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7">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838">
    <w:name w:val="Body"/>
    <w:basedOn w:val="1"/>
    <w:qFormat/>
    <w:uiPriority w:val="0"/>
    <w:pPr>
      <w:widowControl/>
      <w:adjustRightInd/>
      <w:spacing w:before="120" w:after="120" w:line="240" w:lineRule="exact"/>
      <w:ind w:firstLine="200" w:firstLineChars="200"/>
      <w:jc w:val="left"/>
    </w:pPr>
    <w:rPr>
      <w:rFonts w:ascii="Arial" w:hAnsi="Arial"/>
      <w:kern w:val="0"/>
      <w:sz w:val="20"/>
      <w:szCs w:val="20"/>
    </w:rPr>
  </w:style>
  <w:style w:type="paragraph" w:customStyle="1" w:styleId="83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rPr>
  </w:style>
  <w:style w:type="paragraph" w:customStyle="1" w:styleId="840">
    <w:name w:val="标准正文格式"/>
    <w:basedOn w:val="1"/>
    <w:qFormat/>
    <w:uiPriority w:val="0"/>
    <w:pPr>
      <w:widowControl/>
      <w:spacing w:before="60" w:after="120" w:line="360" w:lineRule="auto"/>
      <w:ind w:firstLine="200" w:firstLineChars="200"/>
      <w:textAlignment w:val="baseline"/>
    </w:pPr>
    <w:rPr>
      <w:rFonts w:ascii="宋体" w:hAnsi="宋体" w:eastAsia="仿宋_GB2312" w:cs="宋体"/>
      <w:color w:val="000000"/>
      <w:kern w:val="0"/>
      <w:sz w:val="24"/>
      <w:szCs w:val="20"/>
    </w:rPr>
  </w:style>
  <w:style w:type="paragraph" w:customStyle="1" w:styleId="841">
    <w:name w:val="Bullet"/>
    <w:basedOn w:val="1"/>
    <w:qFormat/>
    <w:uiPriority w:val="0"/>
    <w:pPr>
      <w:widowControl/>
      <w:tabs>
        <w:tab w:val="left" w:pos="288"/>
      </w:tabs>
      <w:adjustRightInd/>
      <w:ind w:left="288" w:firstLine="200" w:firstLineChars="200"/>
      <w:jc w:val="left"/>
    </w:pPr>
    <w:rPr>
      <w:rFonts w:ascii="Arial" w:hAnsi="Arial"/>
      <w:kern w:val="0"/>
      <w:sz w:val="20"/>
      <w:szCs w:val="20"/>
    </w:rPr>
  </w:style>
  <w:style w:type="paragraph" w:customStyle="1" w:styleId="842">
    <w:name w:val="0"/>
    <w:basedOn w:val="1"/>
    <w:qFormat/>
    <w:uiPriority w:val="0"/>
    <w:pPr>
      <w:widowControl/>
    </w:pPr>
    <w:rPr>
      <w:kern w:val="0"/>
      <w:sz w:val="24"/>
      <w:szCs w:val="20"/>
    </w:rPr>
  </w:style>
  <w:style w:type="paragraph" w:customStyle="1" w:styleId="843">
    <w:name w:val="Char Char113"/>
    <w:basedOn w:val="1"/>
    <w:qFormat/>
    <w:uiPriority w:val="0"/>
    <w:pPr>
      <w:widowControl/>
      <w:spacing w:after="160" w:line="240" w:lineRule="exact"/>
      <w:jc w:val="left"/>
    </w:pPr>
    <w:rPr>
      <w:rFonts w:eastAsia="仿宋_GB2312"/>
      <w:sz w:val="28"/>
    </w:rPr>
  </w:style>
  <w:style w:type="paragraph" w:customStyle="1" w:styleId="844">
    <w:name w:val="样式5"/>
    <w:basedOn w:val="1"/>
    <w:qFormat/>
    <w:uiPriority w:val="0"/>
    <w:pPr>
      <w:spacing w:line="440" w:lineRule="exact"/>
      <w:ind w:left="2" w:firstLine="200" w:firstLineChars="200"/>
    </w:pPr>
    <w:rPr>
      <w:rFonts w:ascii="仿宋_GB2312" w:hAnsi="仿宋" w:eastAsia="仿宋_GB2312"/>
      <w:sz w:val="24"/>
    </w:rPr>
  </w:style>
  <w:style w:type="paragraph" w:customStyle="1" w:styleId="845">
    <w:name w:val="_Style 8"/>
    <w:basedOn w:val="1"/>
    <w:qFormat/>
    <w:uiPriority w:val="0"/>
    <w:pPr>
      <w:adjustRightInd/>
      <w:ind w:firstLine="200" w:firstLineChars="200"/>
    </w:pPr>
    <w:rPr>
      <w:rFonts w:eastAsia="仿宋_GB2312"/>
      <w:sz w:val="28"/>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正文样式 首行缩进:  0.74 厘米"/>
    <w:basedOn w:val="1"/>
    <w:qFormat/>
    <w:uiPriority w:val="0"/>
    <w:pPr>
      <w:adjustRightInd/>
      <w:spacing w:before="50" w:beforeLines="50" w:line="360" w:lineRule="auto"/>
      <w:ind w:firstLine="420"/>
    </w:pPr>
    <w:rPr>
      <w:rFonts w:cs="宋体"/>
      <w:sz w:val="24"/>
      <w:szCs w:val="20"/>
    </w:rPr>
  </w:style>
  <w:style w:type="paragraph" w:customStyle="1" w:styleId="84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9">
    <w:name w:val="列出段落31"/>
    <w:basedOn w:val="1"/>
    <w:qFormat/>
    <w:uiPriority w:val="0"/>
    <w:pPr>
      <w:adjustRightInd/>
      <w:spacing w:line="360" w:lineRule="auto"/>
      <w:ind w:firstLine="200" w:firstLineChars="200"/>
    </w:pPr>
    <w:rPr>
      <w:rFonts w:ascii="Calibri" w:hAnsi="Calibri"/>
      <w:sz w:val="24"/>
      <w:szCs w:val="22"/>
    </w:rPr>
  </w:style>
  <w:style w:type="paragraph" w:customStyle="1" w:styleId="85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rPr>
  </w:style>
  <w:style w:type="paragraph" w:customStyle="1" w:styleId="851">
    <w:name w:val="Char Char112"/>
    <w:basedOn w:val="1"/>
    <w:qFormat/>
    <w:uiPriority w:val="0"/>
    <w:pPr>
      <w:widowControl/>
      <w:spacing w:after="160" w:line="240" w:lineRule="exact"/>
      <w:jc w:val="left"/>
    </w:pPr>
    <w:rPr>
      <w:rFonts w:eastAsia="仿宋_GB2312"/>
      <w:sz w:val="28"/>
    </w:rPr>
  </w:style>
  <w:style w:type="paragraph" w:customStyle="1" w:styleId="852">
    <w:name w:val="正文 图"/>
    <w:basedOn w:val="380"/>
    <w:qFormat/>
    <w:uiPriority w:val="0"/>
    <w:pPr>
      <w:adjustRightInd/>
      <w:spacing w:before="0"/>
      <w:ind w:firstLine="0"/>
      <w:jc w:val="center"/>
    </w:pPr>
    <w:rPr>
      <w:rFonts w:ascii="微软雅黑" w:hAnsi="微软雅黑"/>
    </w:rPr>
  </w:style>
  <w:style w:type="paragraph" w:customStyle="1" w:styleId="85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55">
    <w:name w:val="Thf"/>
    <w:basedOn w:val="500"/>
    <w:qFormat/>
    <w:uiPriority w:val="0"/>
    <w:pPr>
      <w:ind w:left="0"/>
    </w:pPr>
  </w:style>
  <w:style w:type="paragraph" w:customStyle="1" w:styleId="85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subhead 2"/>
    <w:qFormat/>
    <w:uiPriority w:val="0"/>
    <w:pPr>
      <w:spacing w:after="60" w:line="240" w:lineRule="exact"/>
    </w:pPr>
    <w:rPr>
      <w:rFonts w:ascii="Arial" w:hAnsi="Arial" w:eastAsia="宋体" w:cs="Times New Roman"/>
      <w:b/>
      <w:sz w:val="22"/>
      <w:szCs w:val="20"/>
      <w:lang w:val="en-US" w:eastAsia="zh-CN" w:bidi="ar-SA"/>
    </w:rPr>
  </w:style>
  <w:style w:type="paragraph" w:customStyle="1" w:styleId="858">
    <w:name w:val="注释"/>
    <w:basedOn w:val="1"/>
    <w:qFormat/>
    <w:uiPriority w:val="0"/>
    <w:pPr>
      <w:adjustRightInd/>
      <w:spacing w:line="360" w:lineRule="auto"/>
      <w:ind w:firstLine="480"/>
    </w:pPr>
    <w:rPr>
      <w:sz w:val="24"/>
    </w:rPr>
  </w:style>
  <w:style w:type="paragraph" w:customStyle="1" w:styleId="859">
    <w:name w:val="列出段落111"/>
    <w:basedOn w:val="1"/>
    <w:qFormat/>
    <w:uiPriority w:val="0"/>
    <w:pPr>
      <w:ind w:firstLine="200" w:firstLineChars="200"/>
    </w:pPr>
  </w:style>
  <w:style w:type="character" w:customStyle="1" w:styleId="860">
    <w:name w:val="交叉引用"/>
    <w:qFormat/>
    <w:uiPriority w:val="0"/>
    <w:rPr>
      <w:rFonts w:ascii="Arial" w:hAnsi="Arial" w:eastAsia="黑体"/>
      <w:snapToGrid w:val="0"/>
      <w:color w:val="0000FF"/>
      <w:kern w:val="0"/>
      <w:sz w:val="20"/>
      <w:szCs w:val="21"/>
      <w:u w:val="single"/>
      <w:lang w:val="en-US" w:eastAsia="zh-CN"/>
    </w:rPr>
  </w:style>
  <w:style w:type="character" w:customStyle="1" w:styleId="861">
    <w:name w:val="正文缩进 字符1"/>
    <w:qFormat/>
    <w:uiPriority w:val="0"/>
    <w:rPr>
      <w:rFonts w:ascii="宋体" w:eastAsia="宋体"/>
      <w:snapToGrid w:val="0"/>
      <w:color w:val="000000"/>
      <w:kern w:val="28"/>
      <w:sz w:val="28"/>
      <w:lang w:val="en-US" w:eastAsia="zh-CN" w:bidi="ar-SA"/>
    </w:rPr>
  </w:style>
  <w:style w:type="character" w:customStyle="1" w:styleId="862">
    <w:name w:val="页脚 字符1"/>
    <w:qFormat/>
    <w:locked/>
    <w:uiPriority w:val="0"/>
    <w:rPr>
      <w:kern w:val="2"/>
      <w:sz w:val="18"/>
      <w:szCs w:val="18"/>
    </w:rPr>
  </w:style>
  <w:style w:type="character" w:customStyle="1" w:styleId="863">
    <w:name w:val="页眉 字符1"/>
    <w:qFormat/>
    <w:uiPriority w:val="0"/>
    <w:rPr>
      <w:kern w:val="2"/>
      <w:sz w:val="18"/>
      <w:szCs w:val="18"/>
    </w:rPr>
  </w:style>
  <w:style w:type="paragraph" w:customStyle="1" w:styleId="864">
    <w:name w:val="标准文本"/>
    <w:basedOn w:val="1"/>
    <w:qFormat/>
    <w:uiPriority w:val="0"/>
    <w:pPr>
      <w:adjustRightInd/>
      <w:spacing w:line="360" w:lineRule="auto"/>
      <w:ind w:firstLine="200" w:firstLineChars="200"/>
    </w:pPr>
    <w:rPr>
      <w:rFonts w:cs="宋体"/>
      <w:sz w:val="24"/>
      <w:szCs w:val="20"/>
    </w:rPr>
  </w:style>
  <w:style w:type="character" w:customStyle="1" w:styleId="865">
    <w:name w:val="Char Char213"/>
    <w:qFormat/>
    <w:uiPriority w:val="0"/>
    <w:rPr>
      <w:rFonts w:eastAsia="Century Gothic"/>
      <w:b/>
      <w:bCs/>
      <w:kern w:val="44"/>
      <w:sz w:val="32"/>
      <w:szCs w:val="44"/>
      <w:lang w:val="en-US" w:eastAsia="zh-CN" w:bidi="ar-SA"/>
    </w:rPr>
  </w:style>
  <w:style w:type="character" w:customStyle="1" w:styleId="866">
    <w:name w:val="apple-style-span"/>
    <w:qFormat/>
    <w:uiPriority w:val="0"/>
    <w:rPr>
      <w:rFonts w:ascii="Arial" w:hAnsi="Arial" w:eastAsia="黑体" w:cs="Arial"/>
      <w:snapToGrid w:val="0"/>
      <w:kern w:val="0"/>
      <w:szCs w:val="21"/>
    </w:rPr>
  </w:style>
  <w:style w:type="character" w:customStyle="1" w:styleId="867">
    <w:name w:val="15"/>
    <w:qFormat/>
    <w:uiPriority w:val="0"/>
    <w:rPr>
      <w:rFonts w:ascii="Calibri" w:hAnsi="Calibri"/>
      <w:color w:val="0000FF"/>
      <w:u w:val="single"/>
    </w:rPr>
  </w:style>
  <w:style w:type="character" w:customStyle="1" w:styleId="868">
    <w:name w:val="16"/>
    <w:qFormat/>
    <w:uiPriority w:val="0"/>
    <w:rPr>
      <w:rFonts w:ascii="宋体" w:hAnsi="宋体" w:eastAsia="宋体"/>
      <w:color w:val="000000"/>
      <w:sz w:val="20"/>
      <w:szCs w:val="20"/>
    </w:rPr>
  </w:style>
  <w:style w:type="character" w:customStyle="1" w:styleId="869">
    <w:name w:val="edui-unclickable"/>
    <w:qFormat/>
    <w:uiPriority w:val="0"/>
    <w:rPr>
      <w:color w:val="808080"/>
    </w:rPr>
  </w:style>
  <w:style w:type="character" w:customStyle="1" w:styleId="870">
    <w:name w:val="tpc_content1"/>
    <w:qFormat/>
    <w:uiPriority w:val="0"/>
    <w:rPr>
      <w:sz w:val="20"/>
      <w:szCs w:val="20"/>
    </w:rPr>
  </w:style>
  <w:style w:type="character" w:customStyle="1" w:styleId="871">
    <w:name w:val="正文文本缩进 字符"/>
    <w:qFormat/>
    <w:uiPriority w:val="0"/>
    <w:rPr>
      <w:rFonts w:ascii="Century Gothic" w:hAnsi="Century Gothic" w:eastAsia="Century Gothic"/>
      <w:kern w:val="2"/>
      <w:sz w:val="24"/>
      <w:lang w:val="en-US" w:eastAsia="zh-CN" w:bidi="ar-SA"/>
    </w:rPr>
  </w:style>
  <w:style w:type="character" w:customStyle="1" w:styleId="872">
    <w:name w:val="正文文本 2 字符"/>
    <w:qFormat/>
    <w:uiPriority w:val="0"/>
    <w:rPr>
      <w:rFonts w:ascii="Arial" w:hAnsi="Arial" w:eastAsia="宋体"/>
      <w:kern w:val="2"/>
      <w:sz w:val="24"/>
      <w:szCs w:val="24"/>
      <w:lang w:val="en-US" w:eastAsia="zh-CN" w:bidi="ar-SA"/>
    </w:rPr>
  </w:style>
  <w:style w:type="character" w:customStyle="1" w:styleId="873">
    <w:name w:val="edui-clickable2"/>
    <w:qFormat/>
    <w:uiPriority w:val="0"/>
    <w:rPr>
      <w:color w:val="0000FF"/>
      <w:u w:val="single"/>
    </w:rPr>
  </w:style>
  <w:style w:type="character" w:customStyle="1" w:styleId="874">
    <w:name w:val="style1"/>
    <w:qFormat/>
    <w:uiPriority w:val="0"/>
    <w:rPr>
      <w:rFonts w:ascii="Arial" w:hAnsi="Arial" w:eastAsia="黑体" w:cs="Arial"/>
      <w:snapToGrid w:val="0"/>
      <w:kern w:val="0"/>
      <w:szCs w:val="21"/>
    </w:rPr>
  </w:style>
  <w:style w:type="character" w:customStyle="1" w:styleId="875">
    <w:name w:val="zbggtop11 style5"/>
    <w:qFormat/>
    <w:uiPriority w:val="0"/>
    <w:rPr>
      <w:rFonts w:ascii="Arial" w:hAnsi="Arial" w:eastAsia="黑体" w:cs="Arial"/>
      <w:snapToGrid w:val="0"/>
      <w:kern w:val="0"/>
      <w:szCs w:val="21"/>
    </w:rPr>
  </w:style>
  <w:style w:type="character" w:customStyle="1" w:styleId="87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877">
    <w:name w:val="bulletintext1"/>
    <w:qFormat/>
    <w:uiPriority w:val="0"/>
    <w:rPr>
      <w:color w:val="000000"/>
      <w:sz w:val="18"/>
    </w:rPr>
  </w:style>
  <w:style w:type="paragraph" w:customStyle="1" w:styleId="878">
    <w:name w:val="_Style 947"/>
    <w:basedOn w:val="1"/>
    <w:next w:val="233"/>
    <w:qFormat/>
    <w:uiPriority w:val="0"/>
    <w:pPr>
      <w:adjustRightInd/>
      <w:ind w:firstLine="200" w:firstLineChars="200"/>
    </w:pPr>
  </w:style>
  <w:style w:type="paragraph" w:customStyle="1" w:styleId="87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80">
    <w:name w:val="纯文本2"/>
    <w:basedOn w:val="1"/>
    <w:qFormat/>
    <w:uiPriority w:val="0"/>
    <w:pPr>
      <w:adjustRightInd/>
      <w:snapToGrid w:val="0"/>
      <w:jc w:val="left"/>
    </w:pPr>
    <w:rPr>
      <w:rFonts w:ascii="Century Gothic" w:hAnsi="楷体_GB2312" w:eastAsia="Century Gothic"/>
      <w:szCs w:val="20"/>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szCs w:val="20"/>
      <w:lang w:val="en-US" w:eastAsia="zh-CN" w:bidi="ar-SA"/>
    </w:rPr>
  </w:style>
  <w:style w:type="paragraph" w:customStyle="1" w:styleId="88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8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84">
    <w:name w:val="Blockquote"/>
    <w:basedOn w:val="1"/>
    <w:qFormat/>
    <w:uiPriority w:val="0"/>
    <w:pPr>
      <w:autoSpaceDE w:val="0"/>
      <w:autoSpaceDN w:val="0"/>
      <w:spacing w:before="100" w:after="100"/>
      <w:ind w:left="360" w:right="360"/>
      <w:jc w:val="left"/>
    </w:pPr>
    <w:rPr>
      <w:kern w:val="0"/>
      <w:sz w:val="24"/>
      <w:szCs w:val="20"/>
    </w:rPr>
  </w:style>
  <w:style w:type="paragraph" w:customStyle="1" w:styleId="885">
    <w:name w:val="p1"/>
    <w:basedOn w:val="1"/>
    <w:qFormat/>
    <w:uiPriority w:val="0"/>
    <w:pPr>
      <w:widowControl/>
      <w:adjustRightInd/>
      <w:jc w:val="left"/>
    </w:pPr>
    <w:rPr>
      <w:rFonts w:ascii=".PingFang SC" w:hAnsi=".PingFang SC" w:eastAsia=".PingFang SC"/>
      <w:color w:val="454545"/>
      <w:kern w:val="0"/>
      <w:sz w:val="18"/>
      <w:szCs w:val="18"/>
    </w:rPr>
  </w:style>
  <w:style w:type="paragraph" w:customStyle="1" w:styleId="886">
    <w:name w:val="Table Paragraph"/>
    <w:basedOn w:val="1"/>
    <w:qFormat/>
    <w:uiPriority w:val="0"/>
    <w:pPr>
      <w:adjustRightInd/>
      <w:jc w:val="left"/>
    </w:pPr>
    <w:rPr>
      <w:rFonts w:ascii="Calibri" w:hAnsi="Calibri"/>
      <w:kern w:val="0"/>
      <w:sz w:val="22"/>
      <w:szCs w:val="22"/>
    </w:rPr>
  </w:style>
  <w:style w:type="paragraph" w:customStyle="1" w:styleId="8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889">
    <w:name w:val="text-ta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890">
    <w:name w:val="ksfind_class_select1"/>
    <w:basedOn w:val="64"/>
    <w:qFormat/>
    <w:uiPriority w:val="0"/>
    <w:rPr>
      <w:color w:val="000000"/>
      <w:shd w:val="clear" w:color="auto" w:fill="EFD200"/>
    </w:rPr>
  </w:style>
  <w:style w:type="character" w:customStyle="1" w:styleId="891">
    <w:name w:val="font71"/>
    <w:qFormat/>
    <w:uiPriority w:val="0"/>
    <w:rPr>
      <w:rFonts w:ascii="宋体" w:hAnsi="宋体" w:eastAsia="宋体" w:cs="宋体"/>
      <w:color w:val="000000"/>
      <w:sz w:val="22"/>
      <w:szCs w:val="22"/>
      <w:u w:val="none"/>
    </w:rPr>
  </w:style>
  <w:style w:type="character" w:customStyle="1" w:styleId="892">
    <w:name w:val="font91"/>
    <w:qFormat/>
    <w:uiPriority w:val="0"/>
    <w:rPr>
      <w:rFonts w:ascii="仿宋" w:hAnsi="仿宋" w:eastAsia="仿宋" w:cs="仿宋"/>
      <w:color w:val="000000"/>
      <w:sz w:val="22"/>
      <w:szCs w:val="22"/>
      <w:u w:val="none"/>
    </w:rPr>
  </w:style>
  <w:style w:type="paragraph" w:customStyle="1" w:styleId="893">
    <w:name w:val="修订4"/>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4A03A-E4B2-4025-AB6B-FBE00FB06D7F}">
  <ds:schemaRefs/>
</ds:datastoreItem>
</file>

<file path=docProps/app.xml><?xml version="1.0" encoding="utf-8"?>
<Properties xmlns="http://schemas.openxmlformats.org/officeDocument/2006/extended-properties" xmlns:vt="http://schemas.openxmlformats.org/officeDocument/2006/docPropsVTypes">
  <Template>Normal.eit</Template>
  <Company>杭州市国内经济合作办公室</Company>
  <Pages>118</Pages>
  <Words>900</Words>
  <Characters>1054</Characters>
  <Lines>0</Lines>
  <Paragraphs>1093</Paragraphs>
  <TotalTime>10</TotalTime>
  <ScaleCrop>false</ScaleCrop>
  <LinksUpToDate>false</LinksUpToDate>
  <CharactersWithSpaces>1167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2025-06-11T06:16:00Z</dcterms:created>
  <dc:creator>玥</dc:creator>
  <cp:lastModifiedBy>云</cp:lastModifiedBy>
  <cp:lastPrinted>2025-06-26T03:07:00Z</cp:lastPrinted>
  <dcterms:modified xsi:type="dcterms:W3CDTF">2025-07-03T09:07:10Z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5FB3165B3EEC43A8B1A428CE2F22F61C_13</vt:lpwstr>
  </property>
  <property fmtid="{D5CDD505-2E9C-101B-9397-08002B2CF9AE}" pid="5" name="KSOTemplateDocerSaveRecord">
    <vt:lpwstr>eyJoZGlkIjoiMGI4ZWZmMTc1OWRmZjdlMDJkMzkxMzMxODc0NzZmNGQiLCJ1c2VySWQiOiIzNjc1MzMxOTYifQ==</vt:lpwstr>
  </property>
</Properties>
</file>